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9893E" w14:textId="1BD4C5AA" w:rsidR="00B60939" w:rsidRPr="00942872" w:rsidRDefault="00577C1C" w:rsidP="0049113D">
      <w:pPr>
        <w:pStyle w:val="1-MainHeading"/>
        <w:ind w:left="1440" w:hanging="1440"/>
      </w:pPr>
      <w:bookmarkStart w:id="0" w:name="_Toc82597618"/>
      <w:r w:rsidRPr="00942872">
        <w:t>5.06</w:t>
      </w:r>
      <w:r w:rsidR="00163F66" w:rsidRPr="00942872">
        <w:tab/>
      </w:r>
      <w:r w:rsidR="00561CF5" w:rsidRPr="00942872">
        <w:t>CEMIPLIMAB</w:t>
      </w:r>
      <w:r w:rsidR="00163F66" w:rsidRPr="00942872">
        <w:t>,</w:t>
      </w:r>
      <w:r w:rsidR="00163F66" w:rsidRPr="00942872">
        <w:br/>
      </w:r>
      <w:r w:rsidR="008561D2" w:rsidRPr="00C473BB">
        <w:t>Solution for I.V. infusion 350 mg in 7 mL</w:t>
      </w:r>
      <w:r w:rsidR="00163F66" w:rsidRPr="00942872">
        <w:t>,</w:t>
      </w:r>
      <w:r w:rsidR="00163F66" w:rsidRPr="00942872">
        <w:br/>
      </w:r>
      <w:r w:rsidR="00561CF5" w:rsidRPr="00942872">
        <w:t>Libtayo®</w:t>
      </w:r>
      <w:r w:rsidR="004A6040" w:rsidRPr="00942872">
        <w:t>,</w:t>
      </w:r>
      <w:r w:rsidR="004A6040" w:rsidRPr="00942872">
        <w:br/>
      </w:r>
      <w:r w:rsidR="007F00CB" w:rsidRPr="00942872">
        <w:t>s</w:t>
      </w:r>
      <w:r w:rsidR="00561CF5" w:rsidRPr="00942872">
        <w:t>anofi</w:t>
      </w:r>
      <w:r w:rsidR="008561D2" w:rsidRPr="00942872">
        <w:t>-</w:t>
      </w:r>
      <w:r w:rsidR="007F00CB" w:rsidRPr="00942872">
        <w:t>a</w:t>
      </w:r>
      <w:r w:rsidR="00561CF5" w:rsidRPr="00942872">
        <w:t>ventis Australia Pty Ltd.</w:t>
      </w:r>
      <w:bookmarkEnd w:id="0"/>
    </w:p>
    <w:p w14:paraId="37F2EA30" w14:textId="77777777" w:rsidR="007805A7" w:rsidRPr="00942872" w:rsidRDefault="007805A7" w:rsidP="007805A7">
      <w:pPr>
        <w:pStyle w:val="2-SectionHeading"/>
      </w:pPr>
      <w:bookmarkStart w:id="1" w:name="_Toc82597620"/>
      <w:r w:rsidRPr="00942872">
        <w:t>Purpose of submission</w:t>
      </w:r>
      <w:bookmarkEnd w:id="1"/>
    </w:p>
    <w:p w14:paraId="7D0F0508" w14:textId="77777777" w:rsidR="007805A7" w:rsidRPr="00942872" w:rsidRDefault="007805A7" w:rsidP="001D17E8">
      <w:pPr>
        <w:pStyle w:val="3-BodyText"/>
      </w:pPr>
      <w:r w:rsidRPr="00942872">
        <w:t xml:space="preserve">The </w:t>
      </w:r>
      <w:r w:rsidR="003B1AEE" w:rsidRPr="00942872">
        <w:t xml:space="preserve">Category 2 </w:t>
      </w:r>
      <w:r w:rsidRPr="00942872">
        <w:t xml:space="preserve">submission requested a Section 100 (Efficient Funding of Chemotherapy, Streamlined) listing of cemiplimab as first-line treatment of metastatic non-small cell lung cancer (NSCLC), in patients with high expression of programmed cell death ligand 1 (PD-L1), i.e. tumour proportion score (TPS) ≥50%, who are epidermal growth factor receptor (EGFR) wildtype, negative for anaplastic lymphoma kinase (ALK) or c-ROS proto-oncogene 1 (ROS1) gene rearrangement, and </w:t>
      </w:r>
      <w:r w:rsidR="00750AAE" w:rsidRPr="00942872">
        <w:t xml:space="preserve">with a World Health Organization (WHO) </w:t>
      </w:r>
      <w:r w:rsidRPr="00942872">
        <w:t>performance status of 0 or 1.</w:t>
      </w:r>
      <w:r w:rsidR="0018667B">
        <w:t xml:space="preserve">  </w:t>
      </w:r>
    </w:p>
    <w:p w14:paraId="4440FCB1" w14:textId="77777777" w:rsidR="007805A7" w:rsidRPr="00942872" w:rsidRDefault="007805A7" w:rsidP="007805A7">
      <w:pPr>
        <w:pStyle w:val="3-BodyText"/>
      </w:pPr>
      <w:r w:rsidRPr="00942872">
        <w:t xml:space="preserve">Listing was requested on the basis of </w:t>
      </w:r>
      <w:r w:rsidR="005F0ADE">
        <w:t xml:space="preserve">a </w:t>
      </w:r>
      <w:r w:rsidRPr="00942872">
        <w:t>cost-minimisation</w:t>
      </w:r>
      <w:r w:rsidR="0033285E">
        <w:t xml:space="preserve"> </w:t>
      </w:r>
      <w:r w:rsidR="005F0ADE">
        <w:t xml:space="preserve">approach (CMA) to </w:t>
      </w:r>
      <w:r w:rsidRPr="00942872">
        <w:t>pembrolizumab. The key components of the clinical issue addressed by the submission are summarised below.</w:t>
      </w:r>
    </w:p>
    <w:p w14:paraId="0C2AE4A7" w14:textId="77777777" w:rsidR="007805A7" w:rsidRPr="00942872" w:rsidRDefault="007805A7" w:rsidP="007805A7">
      <w:pPr>
        <w:pStyle w:val="TableFigureHeading"/>
        <w:rPr>
          <w:rStyle w:val="CommentReference"/>
          <w:b/>
          <w:color w:val="auto"/>
        </w:rPr>
      </w:pPr>
      <w:r w:rsidRPr="00942872">
        <w:t xml:space="preserve">Table </w:t>
      </w:r>
      <w:r w:rsidR="002177FE">
        <w:rPr>
          <w:noProof/>
        </w:rPr>
        <w:t>1</w:t>
      </w:r>
      <w:r w:rsidRPr="00942872">
        <w:t xml:space="preserve">: </w:t>
      </w:r>
      <w:r w:rsidRPr="00942872">
        <w:rPr>
          <w:rStyle w:val="CommentReference"/>
          <w:b/>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413"/>
        <w:gridCol w:w="7743"/>
      </w:tblGrid>
      <w:tr w:rsidR="007805A7" w:rsidRPr="00942872" w14:paraId="235CA407" w14:textId="77777777" w:rsidTr="00CA2399">
        <w:tc>
          <w:tcPr>
            <w:tcW w:w="1413" w:type="dxa"/>
            <w:vAlign w:val="center"/>
          </w:tcPr>
          <w:p w14:paraId="64927FAE" w14:textId="77777777" w:rsidR="007805A7" w:rsidRPr="00942872" w:rsidRDefault="007805A7" w:rsidP="004C718A">
            <w:pPr>
              <w:pStyle w:val="In-tableHeading"/>
              <w:rPr>
                <w:lang w:val="en-AU"/>
              </w:rPr>
            </w:pPr>
            <w:r w:rsidRPr="00942872">
              <w:rPr>
                <w:lang w:val="en-AU"/>
              </w:rPr>
              <w:t>Component</w:t>
            </w:r>
          </w:p>
        </w:tc>
        <w:tc>
          <w:tcPr>
            <w:tcW w:w="7743" w:type="dxa"/>
            <w:vAlign w:val="center"/>
          </w:tcPr>
          <w:p w14:paraId="63392C12" w14:textId="77777777" w:rsidR="007805A7" w:rsidRPr="00942872" w:rsidRDefault="007805A7" w:rsidP="004C718A">
            <w:pPr>
              <w:pStyle w:val="In-tableHeading"/>
              <w:rPr>
                <w:lang w:val="en-AU"/>
              </w:rPr>
            </w:pPr>
            <w:r w:rsidRPr="00942872">
              <w:rPr>
                <w:lang w:val="en-AU"/>
              </w:rPr>
              <w:t>Description</w:t>
            </w:r>
          </w:p>
        </w:tc>
      </w:tr>
      <w:tr w:rsidR="007805A7" w:rsidRPr="00942872" w14:paraId="067A4852" w14:textId="77777777" w:rsidTr="00CA2399">
        <w:tc>
          <w:tcPr>
            <w:tcW w:w="1413" w:type="dxa"/>
            <w:vAlign w:val="center"/>
          </w:tcPr>
          <w:p w14:paraId="340D7331" w14:textId="77777777" w:rsidR="007805A7" w:rsidRPr="00942872" w:rsidRDefault="007805A7" w:rsidP="004C718A">
            <w:pPr>
              <w:pStyle w:val="TableText0"/>
            </w:pPr>
            <w:r w:rsidRPr="00942872">
              <w:t>Population</w:t>
            </w:r>
          </w:p>
        </w:tc>
        <w:tc>
          <w:tcPr>
            <w:tcW w:w="7743" w:type="dxa"/>
          </w:tcPr>
          <w:p w14:paraId="0308DFB1" w14:textId="77777777" w:rsidR="007805A7" w:rsidRPr="00942872" w:rsidRDefault="007805A7" w:rsidP="004C718A">
            <w:pPr>
              <w:pStyle w:val="TableText0"/>
            </w:pPr>
            <w:r w:rsidRPr="00942872">
              <w:t>Patients with Stage IV (metastatic) NSCLC expressing PD-L1 in ≥50% tumour cells with no evidence of an activating EGFR gene or an ALK gene rearrangement or a ROS1 gene arrangement in tumour materials</w:t>
            </w:r>
          </w:p>
        </w:tc>
      </w:tr>
      <w:tr w:rsidR="007805A7" w:rsidRPr="00942872" w14:paraId="616B3F09" w14:textId="77777777" w:rsidTr="00CA2399">
        <w:tc>
          <w:tcPr>
            <w:tcW w:w="1413" w:type="dxa"/>
            <w:vAlign w:val="center"/>
          </w:tcPr>
          <w:p w14:paraId="1C351C0E" w14:textId="77777777" w:rsidR="007805A7" w:rsidRPr="00942872" w:rsidRDefault="007805A7" w:rsidP="004C718A">
            <w:pPr>
              <w:pStyle w:val="TableText0"/>
            </w:pPr>
            <w:r w:rsidRPr="00942872">
              <w:t>Intervention</w:t>
            </w:r>
          </w:p>
        </w:tc>
        <w:tc>
          <w:tcPr>
            <w:tcW w:w="7743" w:type="dxa"/>
          </w:tcPr>
          <w:p w14:paraId="3C81FA47" w14:textId="77777777" w:rsidR="007805A7" w:rsidRPr="00942872" w:rsidRDefault="007805A7" w:rsidP="004C718A">
            <w:pPr>
              <w:pStyle w:val="TableText0"/>
            </w:pPr>
            <w:r w:rsidRPr="00942872">
              <w:t>Cemiplimab 350 mg administered Q3W as an IV infusion over 30 minutes, until disease progression or unacceptable toxicity, for a maximum of 24 months.</w:t>
            </w:r>
          </w:p>
        </w:tc>
      </w:tr>
      <w:tr w:rsidR="007805A7" w:rsidRPr="00942872" w14:paraId="7C57BFE7" w14:textId="77777777" w:rsidTr="00CA2399">
        <w:tc>
          <w:tcPr>
            <w:tcW w:w="1413" w:type="dxa"/>
            <w:vAlign w:val="center"/>
          </w:tcPr>
          <w:p w14:paraId="6A5E1821" w14:textId="77777777" w:rsidR="007805A7" w:rsidRPr="00942872" w:rsidRDefault="007805A7" w:rsidP="004C718A">
            <w:pPr>
              <w:pStyle w:val="TableText0"/>
            </w:pPr>
            <w:r w:rsidRPr="00942872">
              <w:t>Comparator</w:t>
            </w:r>
          </w:p>
        </w:tc>
        <w:tc>
          <w:tcPr>
            <w:tcW w:w="7743" w:type="dxa"/>
          </w:tcPr>
          <w:p w14:paraId="36D09E5A" w14:textId="77777777" w:rsidR="007805A7" w:rsidRPr="00942872" w:rsidRDefault="007805A7" w:rsidP="004C718A">
            <w:pPr>
              <w:pStyle w:val="TableText0"/>
            </w:pPr>
            <w:r w:rsidRPr="00942872">
              <w:t>Pembrolizumab 200 mg administered Q3W or 400 mg Q6W as an IV infusion over 30 minutes, until disease progression or unacceptable toxicity, for a maximum of 24 months.</w:t>
            </w:r>
          </w:p>
        </w:tc>
      </w:tr>
      <w:tr w:rsidR="007805A7" w:rsidRPr="00942872" w14:paraId="3486EB46" w14:textId="77777777" w:rsidTr="00CA2399">
        <w:tc>
          <w:tcPr>
            <w:tcW w:w="1413" w:type="dxa"/>
            <w:vAlign w:val="center"/>
          </w:tcPr>
          <w:p w14:paraId="4D69FF9F" w14:textId="77777777" w:rsidR="007805A7" w:rsidRPr="00942872" w:rsidRDefault="007805A7" w:rsidP="004C718A">
            <w:pPr>
              <w:pStyle w:val="TableText0"/>
            </w:pPr>
            <w:r w:rsidRPr="00942872">
              <w:t>Outcomes</w:t>
            </w:r>
          </w:p>
        </w:tc>
        <w:tc>
          <w:tcPr>
            <w:tcW w:w="7743" w:type="dxa"/>
          </w:tcPr>
          <w:p w14:paraId="76805698" w14:textId="77777777" w:rsidR="007805A7" w:rsidRPr="00942872" w:rsidRDefault="007805A7" w:rsidP="00CA2399">
            <w:pPr>
              <w:pStyle w:val="TableText0"/>
            </w:pPr>
            <w:r w:rsidRPr="00942872">
              <w:t>OS, PFS, ORR and safety</w:t>
            </w:r>
          </w:p>
        </w:tc>
      </w:tr>
      <w:tr w:rsidR="007805A7" w:rsidRPr="00942872" w14:paraId="3E9433BA" w14:textId="77777777" w:rsidTr="00CA2399">
        <w:tc>
          <w:tcPr>
            <w:tcW w:w="1413" w:type="dxa"/>
            <w:vAlign w:val="center"/>
          </w:tcPr>
          <w:p w14:paraId="36FC9F31" w14:textId="77777777" w:rsidR="007805A7" w:rsidRPr="00942872" w:rsidRDefault="007805A7" w:rsidP="004C718A">
            <w:pPr>
              <w:pStyle w:val="TableText0"/>
            </w:pPr>
            <w:r w:rsidRPr="00942872">
              <w:t>Clinical claim</w:t>
            </w:r>
          </w:p>
        </w:tc>
        <w:tc>
          <w:tcPr>
            <w:tcW w:w="7743" w:type="dxa"/>
          </w:tcPr>
          <w:p w14:paraId="1473EE93" w14:textId="77777777" w:rsidR="007805A7" w:rsidRPr="00942872" w:rsidRDefault="007805A7" w:rsidP="00CA2399">
            <w:pPr>
              <w:pStyle w:val="TableText0"/>
            </w:pPr>
            <w:r w:rsidRPr="00942872">
              <w:t>For first</w:t>
            </w:r>
            <w:r w:rsidR="00CA2399" w:rsidRPr="00942872">
              <w:t>-</w:t>
            </w:r>
            <w:r w:rsidRPr="00942872">
              <w:t>line treatment of patients with Stage IV (metastatic) NSCLC</w:t>
            </w:r>
            <w:r w:rsidR="00CA2399" w:rsidRPr="00942872">
              <w:t xml:space="preserve"> with PD-L1 TPS ≥ 50%</w:t>
            </w:r>
            <w:r w:rsidRPr="00942872">
              <w:t>, cemiplimab is non-inferior to pembrolizumab in terms of efficacy and safety</w:t>
            </w:r>
          </w:p>
        </w:tc>
      </w:tr>
    </w:tbl>
    <w:p w14:paraId="5691347F" w14:textId="77777777" w:rsidR="007805A7" w:rsidRPr="00942872" w:rsidRDefault="007805A7" w:rsidP="007805A7">
      <w:pPr>
        <w:pStyle w:val="TableFigureFooter"/>
      </w:pPr>
      <w:r w:rsidRPr="00942872">
        <w:t>Source: Table 1.1-1, p1 of the submission</w:t>
      </w:r>
    </w:p>
    <w:p w14:paraId="1B97C262" w14:textId="77777777" w:rsidR="007805A7" w:rsidRPr="00942872" w:rsidRDefault="007805A7" w:rsidP="007805A7">
      <w:pPr>
        <w:pStyle w:val="TableFigureFooter"/>
      </w:pPr>
      <w:r w:rsidRPr="00942872">
        <w:t>ALK = anaplastic lymphoma kinase; EGFR = epidermal growth factor receptor; IV = intravenous; NSCLC = non-small cell lung cancer; ORR = objective response rate; OS = overall survival; PD-L1 = progra</w:t>
      </w:r>
      <w:r w:rsidR="00BE4181">
        <w:t>m</w:t>
      </w:r>
      <w:r w:rsidRPr="00942872">
        <w:t>med cell death ligand 1; PFS = progression</w:t>
      </w:r>
      <w:r w:rsidR="00CA2399" w:rsidRPr="00942872">
        <w:t>-</w:t>
      </w:r>
      <w:r w:rsidRPr="00942872">
        <w:t>free survival; Q3W = every 3 weeks; Q6W = every 6 weeks; ROS1 = c-ROS proto-oncogene 1.</w:t>
      </w:r>
    </w:p>
    <w:p w14:paraId="2808DFB4" w14:textId="77777777" w:rsidR="007805A7" w:rsidRPr="00942872" w:rsidRDefault="007805A7" w:rsidP="007805A7">
      <w:pPr>
        <w:pStyle w:val="2-SectionHeading"/>
      </w:pPr>
      <w:bookmarkStart w:id="2" w:name="_Toc82597621"/>
      <w:r w:rsidRPr="00942872">
        <w:t>Background</w:t>
      </w:r>
      <w:bookmarkEnd w:id="2"/>
    </w:p>
    <w:p w14:paraId="777AB568" w14:textId="77777777" w:rsidR="007805A7" w:rsidRPr="00942872" w:rsidRDefault="007805A7" w:rsidP="007805A7">
      <w:pPr>
        <w:pStyle w:val="4-SubsectionHeading"/>
      </w:pPr>
      <w:bookmarkStart w:id="3" w:name="_Toc82597622"/>
      <w:r w:rsidRPr="00942872">
        <w:t>Registration status</w:t>
      </w:r>
      <w:bookmarkEnd w:id="3"/>
    </w:p>
    <w:p w14:paraId="398E5FC0" w14:textId="77777777" w:rsidR="00327FF0" w:rsidRDefault="00910C0F" w:rsidP="00910C0F">
      <w:pPr>
        <w:pStyle w:val="3-BodyText"/>
      </w:pPr>
      <w:r w:rsidRPr="001D17E8">
        <w:rPr>
          <w:rFonts w:ascii="Calibri" w:eastAsia="Calibri" w:hAnsi="Calibri"/>
          <w:b/>
          <w:bCs/>
          <w:szCs w:val="22"/>
        </w:rPr>
        <w:t xml:space="preserve">TGA status at time of </w:t>
      </w:r>
      <w:r w:rsidR="00FC2817" w:rsidRPr="001D17E8">
        <w:rPr>
          <w:rFonts w:ascii="Calibri" w:eastAsia="Calibri" w:hAnsi="Calibri"/>
          <w:b/>
          <w:bCs/>
          <w:szCs w:val="22"/>
        </w:rPr>
        <w:t>PBAC consideration</w:t>
      </w:r>
      <w:r w:rsidRPr="001D17E8">
        <w:rPr>
          <w:rFonts w:ascii="Calibri" w:eastAsia="Calibri" w:hAnsi="Calibri"/>
          <w:b/>
          <w:bCs/>
          <w:szCs w:val="22"/>
        </w:rPr>
        <w:t>:</w:t>
      </w:r>
      <w:r w:rsidRPr="001D17E8">
        <w:rPr>
          <w:rFonts w:ascii="Calibri" w:eastAsia="Calibri" w:hAnsi="Calibri"/>
          <w:szCs w:val="22"/>
        </w:rPr>
        <w:t xml:space="preserve"> not registered.</w:t>
      </w:r>
      <w:r w:rsidR="0033285E" w:rsidRPr="0033285E">
        <w:t xml:space="preserve"> </w:t>
      </w:r>
      <w:r w:rsidR="0033285E" w:rsidRPr="00942872">
        <w:t>The submission was made under the TGA/PBAC Parallel Process.</w:t>
      </w:r>
      <w:r w:rsidR="0033285E">
        <w:t xml:space="preserve"> At the time of PBAC consideration, the TGA Delegate’s Overview and Advisory Committee on Medicines (ACM) minutes were available.  </w:t>
      </w:r>
    </w:p>
    <w:p w14:paraId="25FC2417" w14:textId="77777777" w:rsidR="005B5DBF" w:rsidRPr="005B5DBF" w:rsidRDefault="005B5DBF" w:rsidP="00910C0F">
      <w:pPr>
        <w:pStyle w:val="3-BodyText"/>
      </w:pPr>
      <w:r w:rsidRPr="005B5DBF">
        <w:rPr>
          <w:rFonts w:ascii="Calibri" w:eastAsia="Calibri" w:hAnsi="Calibri"/>
          <w:bCs/>
          <w:szCs w:val="22"/>
        </w:rPr>
        <w:lastRenderedPageBreak/>
        <w:t>The ACM</w:t>
      </w:r>
      <w:r>
        <w:rPr>
          <w:rFonts w:ascii="Calibri" w:eastAsia="Calibri" w:hAnsi="Calibri"/>
          <w:bCs/>
          <w:szCs w:val="22"/>
        </w:rPr>
        <w:t xml:space="preserve"> considered cemiplimab to have an overall positive benefit-risk profile for the treatment of adult patients with NSCLC expressing PD-L1 (in </w:t>
      </w:r>
      <w:r>
        <w:rPr>
          <w:rFonts w:ascii="Calibri" w:eastAsia="Calibri" w:hAnsi="Calibri" w:cs="Calibri"/>
          <w:bCs/>
          <w:szCs w:val="22"/>
        </w:rPr>
        <w:t>≥</w:t>
      </w:r>
      <w:r>
        <w:rPr>
          <w:rFonts w:ascii="Calibri" w:eastAsia="Calibri" w:hAnsi="Calibri"/>
          <w:bCs/>
          <w:szCs w:val="22"/>
        </w:rPr>
        <w:t xml:space="preserve"> 50% tumour cells) as determined by a validated test and with no EGFR, ALK or ROS1 aberrations, who have</w:t>
      </w:r>
    </w:p>
    <w:p w14:paraId="550149F1" w14:textId="77777777" w:rsidR="005B5DBF" w:rsidRDefault="005B5DBF" w:rsidP="000D035D">
      <w:pPr>
        <w:pStyle w:val="3-BodyText"/>
        <w:numPr>
          <w:ilvl w:val="0"/>
          <w:numId w:val="13"/>
        </w:numPr>
      </w:pPr>
      <w:r>
        <w:t xml:space="preserve">locally </w:t>
      </w:r>
      <w:r w:rsidR="00DF24C2">
        <w:t>advanced NSCLC and who</w:t>
      </w:r>
      <w:r>
        <w:t xml:space="preserve"> are not candidates for surgical resection or definitive chemoradiation, or have progressed after treatment with definitive chemo-radiation, or</w:t>
      </w:r>
    </w:p>
    <w:p w14:paraId="2D7E763F" w14:textId="77777777" w:rsidR="005B5DBF" w:rsidRPr="005B5DBF" w:rsidRDefault="005B5DBF" w:rsidP="000D035D">
      <w:pPr>
        <w:pStyle w:val="3-BodyText"/>
        <w:numPr>
          <w:ilvl w:val="0"/>
          <w:numId w:val="13"/>
        </w:numPr>
      </w:pPr>
      <w:r>
        <w:t>metastatic NSCLC</w:t>
      </w:r>
    </w:p>
    <w:p w14:paraId="678B249A" w14:textId="77777777" w:rsidR="00FC3A66" w:rsidRDefault="00FC3A66" w:rsidP="00FC3A66">
      <w:pPr>
        <w:pStyle w:val="3-BodyText"/>
      </w:pPr>
      <w:r>
        <w:t xml:space="preserve">The </w:t>
      </w:r>
      <w:r w:rsidR="00054A4E">
        <w:t>p</w:t>
      </w:r>
      <w:r>
        <w:t>re-PBAC response</w:t>
      </w:r>
      <w:r w:rsidR="0052099E">
        <w:t xml:space="preserve"> </w:t>
      </w:r>
      <w:r w:rsidR="00054A4E">
        <w:t xml:space="preserve">provided documentation that indicated </w:t>
      </w:r>
      <w:r>
        <w:t>the TGA Delegate had requested the following amendments to the proposed</w:t>
      </w:r>
      <w:r w:rsidR="0052099E">
        <w:t xml:space="preserve"> indication following the ACM meeting</w:t>
      </w:r>
      <w:r>
        <w:t xml:space="preserve">: “[cemiplimab] </w:t>
      </w:r>
      <w:r w:rsidR="0052099E">
        <w:t xml:space="preserve">as monotherapy </w:t>
      </w:r>
      <w:r>
        <w:t>is indicated for the first-line treatment of adult patients with NSCLC expressing PD-L1 [TPS ≥50%] as determined by a validated test, with no EGFR, ALK or ROS1 aberrations, who have:</w:t>
      </w:r>
    </w:p>
    <w:p w14:paraId="6008205A" w14:textId="77777777" w:rsidR="00FC3A66" w:rsidRDefault="00FC3A66" w:rsidP="000D035D">
      <w:pPr>
        <w:pStyle w:val="3-BodyText"/>
        <w:numPr>
          <w:ilvl w:val="0"/>
          <w:numId w:val="14"/>
        </w:numPr>
        <w:ind w:left="1560" w:hanging="426"/>
      </w:pPr>
      <w:r>
        <w:t>locally advanced NSCLC who are not candidates for definitive chemoradiation, or</w:t>
      </w:r>
    </w:p>
    <w:p w14:paraId="32CE18ED" w14:textId="77777777" w:rsidR="00FC3A66" w:rsidRDefault="00FC3A66" w:rsidP="000D035D">
      <w:pPr>
        <w:pStyle w:val="3-BodyText"/>
        <w:numPr>
          <w:ilvl w:val="0"/>
          <w:numId w:val="14"/>
        </w:numPr>
        <w:ind w:left="1560" w:hanging="426"/>
      </w:pPr>
      <w:r>
        <w:t>metastatic NSCLC</w:t>
      </w:r>
      <w:r w:rsidR="002B1A20">
        <w:t>”</w:t>
      </w:r>
      <w:r>
        <w:t>.</w:t>
      </w:r>
    </w:p>
    <w:p w14:paraId="279F1C15" w14:textId="77777777" w:rsidR="007805A7" w:rsidRPr="00942872" w:rsidRDefault="007805A7" w:rsidP="007805A7">
      <w:pPr>
        <w:pStyle w:val="2-SectionHeading"/>
      </w:pPr>
      <w:bookmarkStart w:id="4" w:name="_Toc82597623"/>
      <w:r w:rsidRPr="00942872">
        <w:t>Requested listing</w:t>
      </w:r>
      <w:bookmarkEnd w:id="4"/>
    </w:p>
    <w:p w14:paraId="1E051F42" w14:textId="77777777" w:rsidR="00BD14F9" w:rsidRDefault="0016100F" w:rsidP="0045112A">
      <w:pPr>
        <w:pStyle w:val="ListParagraph"/>
        <w:numPr>
          <w:ilvl w:val="1"/>
          <w:numId w:val="1"/>
        </w:numPr>
        <w:rPr>
          <w:rFonts w:cs="Calibri"/>
          <w:bCs/>
        </w:rPr>
      </w:pPr>
      <w:bookmarkStart w:id="5" w:name="_Ref87964878"/>
      <w:r w:rsidRPr="00F91542">
        <w:rPr>
          <w:rFonts w:cstheme="minorHAnsi"/>
          <w:iCs/>
        </w:rPr>
        <w:t>Suggestions and additions proposed by the Secretariat are</w:t>
      </w:r>
      <w:r w:rsidR="00F92E3A">
        <w:rPr>
          <w:rFonts w:cstheme="minorHAnsi"/>
          <w:iCs/>
        </w:rPr>
        <w:t xml:space="preserve"> </w:t>
      </w:r>
      <w:r w:rsidRPr="00F91542">
        <w:rPr>
          <w:rFonts w:cstheme="minorHAnsi"/>
          <w:iCs/>
        </w:rPr>
        <w:t>added in italics and suggested deletions are crossed out with strikethrough</w:t>
      </w:r>
      <w:r>
        <w:rPr>
          <w:rFonts w:cstheme="minorHAnsi"/>
          <w:iCs/>
        </w:rPr>
        <w:t>.</w:t>
      </w:r>
      <w:bookmarkEnd w:id="5"/>
    </w:p>
    <w:p w14:paraId="458CE158" w14:textId="77777777" w:rsidR="00FD4349" w:rsidRDefault="00FD4349" w:rsidP="00894EC5">
      <w:pPr>
        <w:pStyle w:val="TableFigureFooter"/>
      </w:pPr>
    </w:p>
    <w:tbl>
      <w:tblPr>
        <w:tblW w:w="4947" w:type="pct"/>
        <w:tblLook w:val="04A0" w:firstRow="1" w:lastRow="0" w:firstColumn="1" w:lastColumn="0" w:noHBand="0" w:noVBand="1"/>
      </w:tblPr>
      <w:tblGrid>
        <w:gridCol w:w="2670"/>
        <w:gridCol w:w="925"/>
        <w:gridCol w:w="938"/>
        <w:gridCol w:w="722"/>
        <w:gridCol w:w="1934"/>
        <w:gridCol w:w="1742"/>
      </w:tblGrid>
      <w:tr w:rsidR="00894EC5" w:rsidRPr="00894EC5" w14:paraId="36935B0E" w14:textId="77777777" w:rsidTr="005F0ADE">
        <w:trPr>
          <w:trHeight w:val="20"/>
        </w:trPr>
        <w:tc>
          <w:tcPr>
            <w:tcW w:w="2013" w:type="pct"/>
            <w:gridSpan w:val="2"/>
            <w:tcBorders>
              <w:top w:val="nil"/>
              <w:left w:val="nil"/>
              <w:bottom w:val="single" w:sz="4" w:space="0" w:color="auto"/>
              <w:right w:val="nil"/>
            </w:tcBorders>
            <w:hideMark/>
          </w:tcPr>
          <w:p w14:paraId="48ADD9EA" w14:textId="77777777" w:rsidR="00FD4349" w:rsidRPr="00894EC5" w:rsidRDefault="00FD4349" w:rsidP="00187F08">
            <w:pPr>
              <w:pStyle w:val="SubmTableHeading"/>
              <w:rPr>
                <w:sz w:val="20"/>
                <w:szCs w:val="20"/>
                <w:lang w:eastAsia="en-AU"/>
              </w:rPr>
            </w:pPr>
            <w:r w:rsidRPr="00894EC5">
              <w:rPr>
                <w:sz w:val="20"/>
                <w:szCs w:val="20"/>
                <w:lang w:eastAsia="en-AU"/>
              </w:rPr>
              <w:t>Name, Restriction,</w:t>
            </w:r>
          </w:p>
          <w:p w14:paraId="508DC3E4" w14:textId="77777777" w:rsidR="00FD4349" w:rsidRPr="00894EC5" w:rsidRDefault="00FD4349" w:rsidP="00187F08">
            <w:pPr>
              <w:pStyle w:val="SubmTableHeading"/>
              <w:rPr>
                <w:sz w:val="20"/>
                <w:szCs w:val="20"/>
                <w:lang w:eastAsia="en-AU"/>
              </w:rPr>
            </w:pPr>
            <w:r w:rsidRPr="00894EC5">
              <w:rPr>
                <w:sz w:val="20"/>
                <w:szCs w:val="20"/>
                <w:lang w:eastAsia="en-AU"/>
              </w:rPr>
              <w:t>Manner of administration and form</w:t>
            </w:r>
          </w:p>
        </w:tc>
        <w:tc>
          <w:tcPr>
            <w:tcW w:w="525" w:type="pct"/>
            <w:tcBorders>
              <w:top w:val="nil"/>
              <w:left w:val="nil"/>
              <w:bottom w:val="single" w:sz="4" w:space="0" w:color="auto"/>
              <w:right w:val="nil"/>
            </w:tcBorders>
            <w:hideMark/>
          </w:tcPr>
          <w:p w14:paraId="69A0F285" w14:textId="77777777" w:rsidR="00FD4349" w:rsidRPr="00894EC5" w:rsidRDefault="00FD4349" w:rsidP="00187F08">
            <w:pPr>
              <w:pStyle w:val="SubmTableHeading"/>
              <w:rPr>
                <w:sz w:val="20"/>
                <w:szCs w:val="20"/>
                <w:lang w:eastAsia="en-AU"/>
              </w:rPr>
            </w:pPr>
            <w:r w:rsidRPr="00894EC5">
              <w:rPr>
                <w:sz w:val="20"/>
                <w:szCs w:val="20"/>
                <w:lang w:eastAsia="en-AU"/>
              </w:rPr>
              <w:t>Max.</w:t>
            </w:r>
          </w:p>
          <w:p w14:paraId="5E84B959" w14:textId="77777777" w:rsidR="00FD4349" w:rsidRPr="00894EC5" w:rsidRDefault="00FD4349" w:rsidP="00187F08">
            <w:pPr>
              <w:pStyle w:val="SubmTableHeading"/>
              <w:rPr>
                <w:sz w:val="20"/>
                <w:szCs w:val="20"/>
                <w:lang w:eastAsia="en-AU"/>
              </w:rPr>
            </w:pPr>
            <w:r w:rsidRPr="00894EC5">
              <w:rPr>
                <w:sz w:val="20"/>
                <w:szCs w:val="20"/>
                <w:lang w:eastAsia="en-AU"/>
              </w:rPr>
              <w:t>Amt</w:t>
            </w:r>
          </w:p>
        </w:tc>
        <w:tc>
          <w:tcPr>
            <w:tcW w:w="404" w:type="pct"/>
            <w:tcBorders>
              <w:top w:val="nil"/>
              <w:left w:val="nil"/>
              <w:bottom w:val="single" w:sz="4" w:space="0" w:color="auto"/>
              <w:right w:val="nil"/>
            </w:tcBorders>
            <w:hideMark/>
          </w:tcPr>
          <w:p w14:paraId="24C76DCA" w14:textId="77777777" w:rsidR="00FD4349" w:rsidRPr="00894EC5" w:rsidRDefault="00FD4349" w:rsidP="00187F08">
            <w:pPr>
              <w:pStyle w:val="SubmTableHeading"/>
              <w:rPr>
                <w:sz w:val="20"/>
                <w:szCs w:val="20"/>
                <w:lang w:eastAsia="en-AU"/>
              </w:rPr>
            </w:pPr>
            <w:r w:rsidRPr="00894EC5">
              <w:rPr>
                <w:sz w:val="20"/>
                <w:szCs w:val="20"/>
                <w:lang w:eastAsia="en-AU"/>
              </w:rPr>
              <w:t>№. of</w:t>
            </w:r>
          </w:p>
          <w:p w14:paraId="11CBABC9" w14:textId="77777777" w:rsidR="00FD4349" w:rsidRPr="00894EC5" w:rsidRDefault="00FD4349" w:rsidP="00187F08">
            <w:pPr>
              <w:pStyle w:val="SubmTableHeading"/>
              <w:rPr>
                <w:sz w:val="20"/>
                <w:szCs w:val="20"/>
                <w:lang w:eastAsia="en-AU"/>
              </w:rPr>
            </w:pPr>
            <w:r w:rsidRPr="00894EC5">
              <w:rPr>
                <w:sz w:val="20"/>
                <w:szCs w:val="20"/>
                <w:lang w:eastAsia="en-AU"/>
              </w:rPr>
              <w:t>Rpts</w:t>
            </w:r>
          </w:p>
        </w:tc>
        <w:tc>
          <w:tcPr>
            <w:tcW w:w="1083" w:type="pct"/>
            <w:tcBorders>
              <w:top w:val="nil"/>
              <w:left w:val="nil"/>
              <w:bottom w:val="single" w:sz="4" w:space="0" w:color="auto"/>
              <w:right w:val="nil"/>
            </w:tcBorders>
            <w:hideMark/>
          </w:tcPr>
          <w:p w14:paraId="4D8A09D9" w14:textId="77777777" w:rsidR="00FD4349" w:rsidRPr="00894EC5" w:rsidRDefault="00894EC5" w:rsidP="00187F08">
            <w:pPr>
              <w:pStyle w:val="SubmTableHeading"/>
              <w:rPr>
                <w:sz w:val="20"/>
                <w:szCs w:val="20"/>
                <w:lang w:eastAsia="en-AU"/>
              </w:rPr>
            </w:pPr>
            <w:r w:rsidRPr="00894EC5">
              <w:rPr>
                <w:sz w:val="20"/>
                <w:szCs w:val="20"/>
              </w:rPr>
              <w:t>Dispensed price for maximum amount</w:t>
            </w:r>
          </w:p>
        </w:tc>
        <w:tc>
          <w:tcPr>
            <w:tcW w:w="975" w:type="pct"/>
            <w:tcBorders>
              <w:top w:val="nil"/>
              <w:left w:val="nil"/>
              <w:bottom w:val="single" w:sz="4" w:space="0" w:color="auto"/>
              <w:right w:val="nil"/>
            </w:tcBorders>
            <w:hideMark/>
          </w:tcPr>
          <w:p w14:paraId="43A89CC7" w14:textId="77777777" w:rsidR="00FD4349" w:rsidRPr="00894EC5" w:rsidRDefault="00894EC5" w:rsidP="00187F08">
            <w:pPr>
              <w:pStyle w:val="SubmTableHeading"/>
              <w:rPr>
                <w:sz w:val="20"/>
                <w:szCs w:val="20"/>
                <w:lang w:eastAsia="en-AU"/>
              </w:rPr>
            </w:pPr>
            <w:r w:rsidRPr="00894EC5">
              <w:rPr>
                <w:sz w:val="20"/>
                <w:szCs w:val="20"/>
                <w:lang w:eastAsia="en-AU"/>
              </w:rPr>
              <w:t xml:space="preserve">Proprietary Name, and </w:t>
            </w:r>
            <w:r w:rsidR="00FD4349" w:rsidRPr="00894EC5">
              <w:rPr>
                <w:sz w:val="20"/>
                <w:szCs w:val="20"/>
                <w:lang w:eastAsia="en-AU"/>
              </w:rPr>
              <w:t>Manufacturer</w:t>
            </w:r>
          </w:p>
        </w:tc>
      </w:tr>
      <w:tr w:rsidR="00894EC5" w:rsidRPr="00894EC5" w14:paraId="67C86AAA" w14:textId="77777777" w:rsidTr="005F0ADE">
        <w:trPr>
          <w:trHeight w:val="20"/>
        </w:trPr>
        <w:tc>
          <w:tcPr>
            <w:tcW w:w="2013" w:type="pct"/>
            <w:gridSpan w:val="2"/>
            <w:tcBorders>
              <w:top w:val="single" w:sz="4" w:space="0" w:color="auto"/>
              <w:left w:val="nil"/>
              <w:bottom w:val="single" w:sz="4" w:space="0" w:color="auto"/>
              <w:right w:val="nil"/>
            </w:tcBorders>
          </w:tcPr>
          <w:p w14:paraId="4E18FCFB" w14:textId="77777777" w:rsidR="00FD4349" w:rsidRPr="00894EC5" w:rsidRDefault="00FD4349" w:rsidP="00187F08">
            <w:pPr>
              <w:pStyle w:val="SubmTableTxt"/>
              <w:keepNext/>
              <w:rPr>
                <w:rFonts w:cs="Times New Roman"/>
                <w:sz w:val="20"/>
                <w:szCs w:val="20"/>
                <w:lang w:eastAsia="en-AU"/>
              </w:rPr>
            </w:pPr>
            <w:r w:rsidRPr="00894EC5">
              <w:rPr>
                <w:sz w:val="20"/>
                <w:szCs w:val="20"/>
                <w:lang w:eastAsia="en-AU"/>
              </w:rPr>
              <w:t>CEMIPLIMAB</w:t>
            </w:r>
            <w:r w:rsidRPr="00894EC5">
              <w:rPr>
                <w:sz w:val="20"/>
                <w:szCs w:val="20"/>
                <w:lang w:eastAsia="en-AU"/>
              </w:rPr>
              <w:br/>
              <w:t>350 mg/7 mL injection, 10 mL vial</w:t>
            </w:r>
            <w:r w:rsidRPr="00894EC5">
              <w:rPr>
                <w:rFonts w:cs="Times New Roman"/>
                <w:sz w:val="20"/>
                <w:szCs w:val="20"/>
                <w:lang w:eastAsia="en-AU"/>
              </w:rPr>
              <w:t xml:space="preserve"> solution for infusion, 1 x 10 mL vial</w:t>
            </w:r>
          </w:p>
          <w:p w14:paraId="2FADFB4E" w14:textId="77777777" w:rsidR="00FD4349" w:rsidRPr="00894EC5" w:rsidRDefault="00FD4349" w:rsidP="00187F08">
            <w:pPr>
              <w:pStyle w:val="SubmTableTxt"/>
              <w:keepNext/>
              <w:rPr>
                <w:rFonts w:cs="Times New Roman"/>
                <w:sz w:val="20"/>
                <w:szCs w:val="20"/>
                <w:lang w:eastAsia="en-AU"/>
              </w:rPr>
            </w:pPr>
          </w:p>
        </w:tc>
        <w:tc>
          <w:tcPr>
            <w:tcW w:w="525" w:type="pct"/>
            <w:tcBorders>
              <w:top w:val="single" w:sz="4" w:space="0" w:color="auto"/>
              <w:left w:val="nil"/>
              <w:bottom w:val="single" w:sz="4" w:space="0" w:color="auto"/>
              <w:right w:val="nil"/>
            </w:tcBorders>
            <w:hideMark/>
          </w:tcPr>
          <w:p w14:paraId="408EBC2C" w14:textId="77777777" w:rsidR="00FD4349" w:rsidRPr="00894EC5" w:rsidRDefault="00FD4349" w:rsidP="00187F08">
            <w:pPr>
              <w:pStyle w:val="SubmTableTxt"/>
              <w:keepNext/>
              <w:rPr>
                <w:rFonts w:cs="Times New Roman"/>
                <w:sz w:val="20"/>
                <w:szCs w:val="20"/>
                <w:lang w:eastAsia="en-AU"/>
              </w:rPr>
            </w:pPr>
            <w:r w:rsidRPr="00894EC5">
              <w:rPr>
                <w:rFonts w:cs="Times New Roman"/>
                <w:sz w:val="20"/>
                <w:szCs w:val="20"/>
                <w:lang w:eastAsia="en-AU"/>
              </w:rPr>
              <w:t>350 mg</w:t>
            </w:r>
          </w:p>
        </w:tc>
        <w:tc>
          <w:tcPr>
            <w:tcW w:w="404" w:type="pct"/>
            <w:tcBorders>
              <w:top w:val="single" w:sz="4" w:space="0" w:color="auto"/>
              <w:left w:val="nil"/>
              <w:bottom w:val="single" w:sz="4" w:space="0" w:color="auto"/>
              <w:right w:val="nil"/>
            </w:tcBorders>
            <w:hideMark/>
          </w:tcPr>
          <w:p w14:paraId="3ED5BFD9" w14:textId="77777777" w:rsidR="00FD4349" w:rsidRPr="00894EC5" w:rsidRDefault="00FD4349" w:rsidP="00187F08">
            <w:pPr>
              <w:pStyle w:val="SubmTableTxt"/>
              <w:keepNext/>
              <w:rPr>
                <w:rFonts w:cs="Times New Roman"/>
                <w:sz w:val="20"/>
                <w:szCs w:val="20"/>
                <w:lang w:eastAsia="en-AU"/>
              </w:rPr>
            </w:pPr>
            <w:r w:rsidRPr="00894EC5">
              <w:rPr>
                <w:rFonts w:cs="Times New Roman"/>
                <w:sz w:val="20"/>
                <w:szCs w:val="20"/>
                <w:lang w:eastAsia="en-AU"/>
              </w:rPr>
              <w:t>6</w:t>
            </w:r>
          </w:p>
        </w:tc>
        <w:tc>
          <w:tcPr>
            <w:tcW w:w="1083" w:type="pct"/>
            <w:tcBorders>
              <w:top w:val="single" w:sz="4" w:space="0" w:color="auto"/>
              <w:left w:val="nil"/>
              <w:bottom w:val="single" w:sz="4" w:space="0" w:color="auto"/>
              <w:right w:val="nil"/>
            </w:tcBorders>
            <w:hideMark/>
          </w:tcPr>
          <w:p w14:paraId="292DB5D6" w14:textId="77777777" w:rsidR="00894EC5" w:rsidRPr="00894EC5" w:rsidRDefault="00894EC5" w:rsidP="00894EC5">
            <w:pPr>
              <w:pStyle w:val="Tabletext"/>
            </w:pPr>
            <w:r w:rsidRPr="00894EC5">
              <w:t xml:space="preserve">Published </w:t>
            </w:r>
          </w:p>
          <w:p w14:paraId="59A58997" w14:textId="77777777" w:rsidR="00894EC5" w:rsidRPr="00894EC5" w:rsidRDefault="00894EC5" w:rsidP="00894EC5">
            <w:pPr>
              <w:pStyle w:val="Tabletext"/>
              <w:rPr>
                <w:vertAlign w:val="superscript"/>
              </w:rPr>
            </w:pPr>
            <w:r w:rsidRPr="00894EC5">
              <w:t xml:space="preserve">$7,729.71 – Public </w:t>
            </w:r>
            <w:r w:rsidRPr="00894EC5">
              <w:rPr>
                <w:vertAlign w:val="superscript"/>
              </w:rPr>
              <w:t>a</w:t>
            </w:r>
          </w:p>
          <w:p w14:paraId="3E9C3E32" w14:textId="77777777" w:rsidR="00894EC5" w:rsidRPr="00894EC5" w:rsidRDefault="00894EC5" w:rsidP="00894EC5">
            <w:pPr>
              <w:pStyle w:val="Tabletext"/>
              <w:rPr>
                <w:vertAlign w:val="superscript"/>
              </w:rPr>
            </w:pPr>
            <w:r w:rsidRPr="00894EC5">
              <w:t>$7,877.36 – Private</w:t>
            </w:r>
            <w:r w:rsidRPr="00894EC5">
              <w:rPr>
                <w:vertAlign w:val="superscript"/>
              </w:rPr>
              <w:t xml:space="preserve"> a</w:t>
            </w:r>
          </w:p>
          <w:p w14:paraId="0B0AE3ED" w14:textId="77777777" w:rsidR="00894EC5" w:rsidRPr="00894EC5" w:rsidRDefault="00894EC5" w:rsidP="00894EC5">
            <w:pPr>
              <w:pStyle w:val="Tabletext"/>
            </w:pPr>
            <w:r w:rsidRPr="00894EC5">
              <w:t>Effective:</w:t>
            </w:r>
          </w:p>
          <w:p w14:paraId="3BD6B3D2" w14:textId="77777777" w:rsidR="00FD4349" w:rsidRPr="00894EC5" w:rsidRDefault="00894EC5" w:rsidP="00894EC5">
            <w:pPr>
              <w:pStyle w:val="SubmTableTxt"/>
              <w:keepNext/>
              <w:rPr>
                <w:rFonts w:cs="Times New Roman"/>
                <w:sz w:val="20"/>
                <w:szCs w:val="20"/>
                <w:lang w:eastAsia="en-AU"/>
              </w:rPr>
            </w:pPr>
            <w:r w:rsidRPr="00894EC5">
              <w:t>TBD</w:t>
            </w:r>
          </w:p>
        </w:tc>
        <w:tc>
          <w:tcPr>
            <w:tcW w:w="975" w:type="pct"/>
            <w:tcBorders>
              <w:top w:val="single" w:sz="4" w:space="0" w:color="auto"/>
              <w:left w:val="nil"/>
              <w:bottom w:val="single" w:sz="4" w:space="0" w:color="auto"/>
              <w:right w:val="nil"/>
            </w:tcBorders>
            <w:hideMark/>
          </w:tcPr>
          <w:p w14:paraId="36BD4606" w14:textId="77777777" w:rsidR="00894EC5" w:rsidRPr="00894EC5" w:rsidRDefault="00894EC5" w:rsidP="00187F08">
            <w:pPr>
              <w:pStyle w:val="SubmTableTxt"/>
              <w:keepNext/>
              <w:rPr>
                <w:rFonts w:cs="Times New Roman"/>
                <w:sz w:val="20"/>
                <w:szCs w:val="20"/>
                <w:lang w:eastAsia="en-AU"/>
              </w:rPr>
            </w:pPr>
            <w:r w:rsidRPr="00894EC5">
              <w:rPr>
                <w:rFonts w:cs="Times New Roman"/>
                <w:sz w:val="20"/>
                <w:szCs w:val="20"/>
                <w:lang w:eastAsia="en-AU"/>
              </w:rPr>
              <w:t>Libtayo</w:t>
            </w:r>
            <w:r w:rsidRPr="00894EC5">
              <w:rPr>
                <w:rFonts w:cs="Times New Roman"/>
                <w:sz w:val="20"/>
                <w:szCs w:val="20"/>
                <w:vertAlign w:val="superscript"/>
                <w:lang w:eastAsia="en-AU"/>
              </w:rPr>
              <w:t>®</w:t>
            </w:r>
            <w:r w:rsidRPr="00894EC5">
              <w:rPr>
                <w:rFonts w:cs="Times New Roman"/>
                <w:sz w:val="20"/>
                <w:szCs w:val="20"/>
                <w:lang w:eastAsia="en-AU"/>
              </w:rPr>
              <w:t>,</w:t>
            </w:r>
          </w:p>
          <w:p w14:paraId="163419A4" w14:textId="77777777" w:rsidR="00FD4349" w:rsidRPr="00894EC5" w:rsidRDefault="00FD4349" w:rsidP="00187F08">
            <w:pPr>
              <w:pStyle w:val="SubmTableTxt"/>
              <w:keepNext/>
              <w:rPr>
                <w:rFonts w:cs="Times New Roman"/>
                <w:sz w:val="20"/>
                <w:szCs w:val="20"/>
                <w:lang w:eastAsia="en-AU"/>
              </w:rPr>
            </w:pPr>
            <w:r w:rsidRPr="00894EC5">
              <w:rPr>
                <w:rFonts w:cs="Times New Roman"/>
                <w:sz w:val="20"/>
                <w:szCs w:val="20"/>
                <w:lang w:eastAsia="en-AU"/>
              </w:rPr>
              <w:t>sanofi</w:t>
            </w:r>
            <w:r w:rsidRPr="00894EC5">
              <w:rPr>
                <w:rFonts w:cs="Times New Roman"/>
                <w:sz w:val="20"/>
                <w:szCs w:val="20"/>
                <w:lang w:eastAsia="en-AU"/>
              </w:rPr>
              <w:noBreakHyphen/>
              <w:t>aventis Australia Pty Ltd</w:t>
            </w:r>
          </w:p>
        </w:tc>
      </w:tr>
      <w:tr w:rsidR="008F2C66" w:rsidRPr="00894EC5" w14:paraId="6FAD0F69" w14:textId="77777777" w:rsidTr="005F0ADE">
        <w:trPr>
          <w:trHeight w:val="20"/>
        </w:trPr>
        <w:tc>
          <w:tcPr>
            <w:tcW w:w="5000" w:type="pct"/>
            <w:gridSpan w:val="6"/>
            <w:tcBorders>
              <w:top w:val="single" w:sz="4" w:space="0" w:color="auto"/>
              <w:left w:val="nil"/>
              <w:bottom w:val="single" w:sz="4" w:space="0" w:color="auto"/>
              <w:right w:val="nil"/>
            </w:tcBorders>
          </w:tcPr>
          <w:p w14:paraId="0EB0DD8B" w14:textId="77777777" w:rsidR="008F2C66" w:rsidRPr="008F2C66" w:rsidRDefault="008F2C66" w:rsidP="008F2C66">
            <w:pPr>
              <w:rPr>
                <w:rFonts w:ascii="Arial Narrow" w:hAnsi="Arial Narrow"/>
                <w:sz w:val="18"/>
                <w:szCs w:val="18"/>
              </w:rPr>
            </w:pPr>
            <w:r w:rsidRPr="008F2C66">
              <w:rPr>
                <w:rFonts w:ascii="Arial Narrow" w:hAnsi="Arial Narrow"/>
                <w:sz w:val="18"/>
                <w:szCs w:val="18"/>
              </w:rPr>
              <w:t>TBD = to be determined</w:t>
            </w:r>
          </w:p>
          <w:p w14:paraId="322FD28C" w14:textId="77777777" w:rsidR="008F2C66" w:rsidRPr="008F2C66" w:rsidRDefault="008F2C66" w:rsidP="005F0ADE">
            <w:pPr>
              <w:rPr>
                <w:rFonts w:ascii="Arial Narrow" w:hAnsi="Arial Narrow"/>
                <w:sz w:val="18"/>
                <w:szCs w:val="18"/>
              </w:rPr>
            </w:pPr>
            <w:r w:rsidRPr="008F2C66">
              <w:rPr>
                <w:rFonts w:ascii="Arial Narrow" w:hAnsi="Arial Narrow"/>
                <w:sz w:val="18"/>
                <w:szCs w:val="18"/>
              </w:rPr>
              <w:t xml:space="preserve">a The published price would be $7,730.21 in a public hospital setting and $7,878.26 in a private hospital setting, based on the Efficient Funding of Chemotherapy (EFC) mark-ups and fees </w:t>
            </w:r>
            <w:r w:rsidR="005F0ADE">
              <w:rPr>
                <w:rFonts w:ascii="Arial Narrow" w:hAnsi="Arial Narrow"/>
                <w:sz w:val="18"/>
                <w:szCs w:val="18"/>
              </w:rPr>
              <w:t xml:space="preserve">as of </w:t>
            </w:r>
            <w:r w:rsidRPr="008F2C66">
              <w:rPr>
                <w:rFonts w:ascii="Arial Narrow" w:hAnsi="Arial Narrow"/>
                <w:sz w:val="18"/>
                <w:szCs w:val="18"/>
              </w:rPr>
              <w:t xml:space="preserve">1st July 2021 and an ex-manufacturer price of $7,643.93 per 350 mg </w:t>
            </w:r>
            <w:r w:rsidRPr="00EB4E04">
              <w:rPr>
                <w:rFonts w:ascii="Arial Narrow" w:hAnsi="Arial Narrow"/>
                <w:sz w:val="18"/>
                <w:szCs w:val="18"/>
              </w:rPr>
              <w:t>vial.</w:t>
            </w:r>
          </w:p>
        </w:tc>
      </w:tr>
      <w:tr w:rsidR="00FD4349" w:rsidRPr="00894EC5" w14:paraId="55498379" w14:textId="77777777" w:rsidTr="005F0ADE">
        <w:trPr>
          <w:trHeight w:val="20"/>
        </w:trPr>
        <w:tc>
          <w:tcPr>
            <w:tcW w:w="1495" w:type="pct"/>
            <w:tcBorders>
              <w:top w:val="single" w:sz="4" w:space="0" w:color="auto"/>
              <w:left w:val="single" w:sz="4" w:space="0" w:color="auto"/>
              <w:bottom w:val="single" w:sz="4" w:space="0" w:color="auto"/>
              <w:right w:val="single" w:sz="4" w:space="0" w:color="auto"/>
            </w:tcBorders>
            <w:hideMark/>
          </w:tcPr>
          <w:p w14:paraId="5D352515" w14:textId="77777777" w:rsidR="00FD4349" w:rsidRPr="00894EC5" w:rsidRDefault="00FD4349" w:rsidP="00187F08">
            <w:pPr>
              <w:keepNext/>
              <w:rPr>
                <w:rFonts w:ascii="Arial Narrow" w:hAnsi="Arial Narrow"/>
                <w:b/>
                <w:sz w:val="20"/>
                <w:szCs w:val="20"/>
              </w:rPr>
            </w:pPr>
            <w:r w:rsidRPr="00894EC5">
              <w:rPr>
                <w:rFonts w:ascii="Arial Narrow" w:hAnsi="Arial Narrow"/>
                <w:b/>
                <w:sz w:val="20"/>
                <w:szCs w:val="20"/>
              </w:rPr>
              <w:lastRenderedPageBreak/>
              <w:t>Category / Program:</w:t>
            </w:r>
          </w:p>
        </w:tc>
        <w:tc>
          <w:tcPr>
            <w:tcW w:w="3505" w:type="pct"/>
            <w:gridSpan w:val="5"/>
            <w:tcBorders>
              <w:top w:val="single" w:sz="4" w:space="0" w:color="auto"/>
              <w:left w:val="single" w:sz="4" w:space="0" w:color="auto"/>
              <w:bottom w:val="single" w:sz="4" w:space="0" w:color="auto"/>
              <w:right w:val="single" w:sz="4" w:space="0" w:color="auto"/>
            </w:tcBorders>
            <w:hideMark/>
          </w:tcPr>
          <w:p w14:paraId="5ADC6CDF" w14:textId="77777777" w:rsidR="00FD4349" w:rsidRPr="00894EC5" w:rsidRDefault="00FD4349" w:rsidP="00FD4349">
            <w:pPr>
              <w:keepNext/>
              <w:jc w:val="left"/>
              <w:rPr>
                <w:rFonts w:ascii="Arial Narrow" w:hAnsi="Arial Narrow"/>
                <w:sz w:val="20"/>
                <w:szCs w:val="20"/>
              </w:rPr>
            </w:pPr>
            <w:r w:rsidRPr="00894EC5">
              <w:rPr>
                <w:rFonts w:ascii="Arial Narrow" w:hAnsi="Arial Narrow"/>
                <w:sz w:val="20"/>
                <w:szCs w:val="20"/>
              </w:rPr>
              <w:t xml:space="preserve">Section 100 – Efficient Funding of Chemotherapy </w:t>
            </w:r>
            <w:r w:rsidRPr="00894EC5">
              <w:rPr>
                <w:rFonts w:ascii="Arial Narrow" w:hAnsi="Arial Narrow"/>
                <w:sz w:val="20"/>
                <w:szCs w:val="20"/>
              </w:rPr>
              <w:br/>
              <w:t>Chemotherapy Items for Public Hospital Use</w:t>
            </w:r>
            <w:r w:rsidRPr="00894EC5">
              <w:rPr>
                <w:rFonts w:ascii="Arial Narrow" w:hAnsi="Arial Narrow"/>
                <w:sz w:val="20"/>
                <w:szCs w:val="20"/>
              </w:rPr>
              <w:br/>
              <w:t>Chemotherapy Items for Private Hospital Use</w:t>
            </w:r>
          </w:p>
        </w:tc>
      </w:tr>
      <w:tr w:rsidR="00FD4349" w:rsidRPr="00894EC5" w14:paraId="346BB6F8" w14:textId="77777777" w:rsidTr="005F0ADE">
        <w:trPr>
          <w:trHeight w:val="20"/>
        </w:trPr>
        <w:tc>
          <w:tcPr>
            <w:tcW w:w="1495" w:type="pct"/>
            <w:tcBorders>
              <w:top w:val="single" w:sz="4" w:space="0" w:color="auto"/>
              <w:left w:val="single" w:sz="4" w:space="0" w:color="auto"/>
              <w:bottom w:val="single" w:sz="4" w:space="0" w:color="auto"/>
              <w:right w:val="single" w:sz="4" w:space="0" w:color="auto"/>
            </w:tcBorders>
            <w:hideMark/>
          </w:tcPr>
          <w:p w14:paraId="00459858" w14:textId="77777777" w:rsidR="00FD4349" w:rsidRPr="00894EC5" w:rsidRDefault="00FD4349" w:rsidP="00187F08">
            <w:pPr>
              <w:keepNext/>
              <w:rPr>
                <w:rFonts w:ascii="Arial Narrow" w:hAnsi="Arial Narrow"/>
                <w:b/>
                <w:sz w:val="20"/>
                <w:szCs w:val="20"/>
              </w:rPr>
            </w:pPr>
            <w:r w:rsidRPr="00894EC5">
              <w:rPr>
                <w:rFonts w:ascii="Arial Narrow" w:hAnsi="Arial Narrow"/>
                <w:b/>
                <w:sz w:val="20"/>
                <w:szCs w:val="20"/>
              </w:rPr>
              <w:t>Prescriber type:</w:t>
            </w:r>
          </w:p>
        </w:tc>
        <w:tc>
          <w:tcPr>
            <w:tcW w:w="3505" w:type="pct"/>
            <w:gridSpan w:val="5"/>
            <w:tcBorders>
              <w:top w:val="single" w:sz="4" w:space="0" w:color="auto"/>
              <w:left w:val="single" w:sz="4" w:space="0" w:color="auto"/>
              <w:bottom w:val="single" w:sz="4" w:space="0" w:color="auto"/>
              <w:right w:val="single" w:sz="4" w:space="0" w:color="auto"/>
            </w:tcBorders>
            <w:hideMark/>
          </w:tcPr>
          <w:p w14:paraId="08F22437" w14:textId="77777777" w:rsidR="00FD4349" w:rsidRPr="00894EC5" w:rsidRDefault="00FD4349" w:rsidP="00187F08">
            <w:pPr>
              <w:keepNext/>
              <w:rPr>
                <w:rFonts w:ascii="Arial Narrow" w:hAnsi="Arial Narrow"/>
                <w:sz w:val="20"/>
                <w:szCs w:val="20"/>
              </w:rPr>
            </w:pPr>
            <w:r w:rsidRPr="00894EC5">
              <w:rPr>
                <w:rFonts w:ascii="Arial Narrow" w:hAnsi="Arial Narrow"/>
                <w:color w:val="2B579A"/>
                <w:sz w:val="20"/>
                <w:szCs w:val="20"/>
                <w:shd w:val="clear" w:color="auto" w:fill="E6E6E6"/>
              </w:rPr>
              <w:fldChar w:fldCharType="begin">
                <w:ffData>
                  <w:name w:val="Check1"/>
                  <w:enabled/>
                  <w:calcOnExit w:val="0"/>
                  <w:checkBox>
                    <w:sizeAuto/>
                    <w:default w:val="0"/>
                  </w:checkBox>
                </w:ffData>
              </w:fldChar>
            </w:r>
            <w:r w:rsidRPr="00894EC5">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94EC5">
              <w:rPr>
                <w:rFonts w:ascii="Arial Narrow" w:hAnsi="Arial Narrow"/>
                <w:color w:val="2B579A"/>
                <w:sz w:val="20"/>
                <w:szCs w:val="20"/>
                <w:shd w:val="clear" w:color="auto" w:fill="E6E6E6"/>
              </w:rPr>
              <w:fldChar w:fldCharType="end"/>
            </w:r>
            <w:r w:rsidRPr="00894EC5">
              <w:rPr>
                <w:rFonts w:ascii="Arial Narrow" w:hAnsi="Arial Narrow"/>
                <w:sz w:val="20"/>
                <w:szCs w:val="20"/>
              </w:rPr>
              <w:t xml:space="preserve">Dental  </w:t>
            </w:r>
            <w:r w:rsidRPr="00894EC5">
              <w:rPr>
                <w:rFonts w:ascii="Arial Narrow" w:hAnsi="Arial Narrow"/>
                <w:color w:val="2B579A"/>
                <w:sz w:val="20"/>
                <w:szCs w:val="20"/>
                <w:shd w:val="clear" w:color="auto" w:fill="E6E6E6"/>
              </w:rPr>
              <w:fldChar w:fldCharType="begin">
                <w:ffData>
                  <w:name w:val=""/>
                  <w:enabled/>
                  <w:calcOnExit w:val="0"/>
                  <w:checkBox>
                    <w:sizeAuto/>
                    <w:default w:val="1"/>
                  </w:checkBox>
                </w:ffData>
              </w:fldChar>
            </w:r>
            <w:r w:rsidRPr="00894EC5">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94EC5">
              <w:rPr>
                <w:rFonts w:ascii="Arial Narrow" w:hAnsi="Arial Narrow"/>
                <w:color w:val="2B579A"/>
                <w:sz w:val="20"/>
                <w:szCs w:val="20"/>
                <w:shd w:val="clear" w:color="auto" w:fill="E6E6E6"/>
              </w:rPr>
              <w:fldChar w:fldCharType="end"/>
            </w:r>
            <w:r w:rsidRPr="00894EC5">
              <w:rPr>
                <w:rFonts w:ascii="Arial Narrow" w:hAnsi="Arial Narrow"/>
                <w:sz w:val="20"/>
                <w:szCs w:val="20"/>
              </w:rPr>
              <w:t xml:space="preserve">Medical Practitioners  </w:t>
            </w:r>
            <w:r w:rsidRPr="00894EC5">
              <w:rPr>
                <w:rFonts w:ascii="Arial Narrow" w:hAnsi="Arial Narrow"/>
                <w:color w:val="2B579A"/>
                <w:sz w:val="20"/>
                <w:szCs w:val="20"/>
                <w:shd w:val="clear" w:color="auto" w:fill="E6E6E6"/>
              </w:rPr>
              <w:fldChar w:fldCharType="begin">
                <w:ffData>
                  <w:name w:val="Check3"/>
                  <w:enabled/>
                  <w:calcOnExit w:val="0"/>
                  <w:checkBox>
                    <w:sizeAuto/>
                    <w:default w:val="0"/>
                  </w:checkBox>
                </w:ffData>
              </w:fldChar>
            </w:r>
            <w:r w:rsidRPr="00894EC5">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94EC5">
              <w:rPr>
                <w:rFonts w:ascii="Arial Narrow" w:hAnsi="Arial Narrow"/>
                <w:color w:val="2B579A"/>
                <w:sz w:val="20"/>
                <w:szCs w:val="20"/>
                <w:shd w:val="clear" w:color="auto" w:fill="E6E6E6"/>
              </w:rPr>
              <w:fldChar w:fldCharType="end"/>
            </w:r>
            <w:r w:rsidRPr="00894EC5">
              <w:rPr>
                <w:rFonts w:ascii="Arial Narrow" w:hAnsi="Arial Narrow"/>
                <w:sz w:val="20"/>
                <w:szCs w:val="20"/>
              </w:rPr>
              <w:t xml:space="preserve">Nurse practitioners  </w:t>
            </w:r>
            <w:r w:rsidRPr="00894EC5">
              <w:rPr>
                <w:rFonts w:ascii="Arial Narrow" w:hAnsi="Arial Narrow"/>
                <w:color w:val="2B579A"/>
                <w:sz w:val="20"/>
                <w:szCs w:val="20"/>
                <w:shd w:val="clear" w:color="auto" w:fill="E6E6E6"/>
              </w:rPr>
              <w:fldChar w:fldCharType="begin">
                <w:ffData>
                  <w:name w:val=""/>
                  <w:enabled/>
                  <w:calcOnExit w:val="0"/>
                  <w:checkBox>
                    <w:sizeAuto/>
                    <w:default w:val="0"/>
                  </w:checkBox>
                </w:ffData>
              </w:fldChar>
            </w:r>
            <w:r w:rsidRPr="00894EC5">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94EC5">
              <w:rPr>
                <w:rFonts w:ascii="Arial Narrow" w:hAnsi="Arial Narrow"/>
                <w:color w:val="2B579A"/>
                <w:sz w:val="20"/>
                <w:szCs w:val="20"/>
                <w:shd w:val="clear" w:color="auto" w:fill="E6E6E6"/>
              </w:rPr>
              <w:fldChar w:fldCharType="end"/>
            </w:r>
            <w:r w:rsidRPr="00894EC5">
              <w:rPr>
                <w:rFonts w:ascii="Arial Narrow" w:hAnsi="Arial Narrow"/>
                <w:sz w:val="20"/>
                <w:szCs w:val="20"/>
              </w:rPr>
              <w:t>Optometrists</w:t>
            </w:r>
          </w:p>
          <w:p w14:paraId="4C6406F5" w14:textId="77777777" w:rsidR="00FD4349" w:rsidRPr="00894EC5" w:rsidRDefault="00FD4349" w:rsidP="00187F08">
            <w:pPr>
              <w:keepNext/>
              <w:rPr>
                <w:rFonts w:ascii="Arial Narrow" w:hAnsi="Arial Narrow"/>
                <w:sz w:val="20"/>
                <w:szCs w:val="20"/>
              </w:rPr>
            </w:pPr>
            <w:r w:rsidRPr="00894EC5">
              <w:rPr>
                <w:rFonts w:ascii="Arial Narrow" w:hAnsi="Arial Narrow"/>
                <w:color w:val="2B579A"/>
                <w:sz w:val="20"/>
                <w:szCs w:val="20"/>
                <w:shd w:val="clear" w:color="auto" w:fill="E6E6E6"/>
              </w:rPr>
              <w:fldChar w:fldCharType="begin">
                <w:ffData>
                  <w:name w:val="Check5"/>
                  <w:enabled/>
                  <w:calcOnExit w:val="0"/>
                  <w:checkBox>
                    <w:sizeAuto/>
                    <w:default w:val="0"/>
                  </w:checkBox>
                </w:ffData>
              </w:fldChar>
            </w:r>
            <w:r w:rsidRPr="00894EC5">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94EC5">
              <w:rPr>
                <w:rFonts w:ascii="Arial Narrow" w:hAnsi="Arial Narrow"/>
                <w:color w:val="2B579A"/>
                <w:sz w:val="20"/>
                <w:szCs w:val="20"/>
                <w:shd w:val="clear" w:color="auto" w:fill="E6E6E6"/>
              </w:rPr>
              <w:fldChar w:fldCharType="end"/>
            </w:r>
            <w:r w:rsidRPr="00894EC5">
              <w:rPr>
                <w:rFonts w:ascii="Arial Narrow" w:hAnsi="Arial Narrow"/>
                <w:sz w:val="20"/>
                <w:szCs w:val="20"/>
              </w:rPr>
              <w:t>Midwives</w:t>
            </w:r>
          </w:p>
        </w:tc>
      </w:tr>
      <w:tr w:rsidR="00FD4349" w:rsidRPr="00894EC5" w14:paraId="2157DECC" w14:textId="77777777" w:rsidTr="005F0ADE">
        <w:trPr>
          <w:trHeight w:val="20"/>
        </w:trPr>
        <w:tc>
          <w:tcPr>
            <w:tcW w:w="1495" w:type="pct"/>
            <w:tcBorders>
              <w:top w:val="single" w:sz="4" w:space="0" w:color="auto"/>
              <w:left w:val="single" w:sz="4" w:space="0" w:color="auto"/>
              <w:bottom w:val="single" w:sz="4" w:space="0" w:color="auto"/>
              <w:right w:val="single" w:sz="4" w:space="0" w:color="auto"/>
            </w:tcBorders>
            <w:hideMark/>
          </w:tcPr>
          <w:p w14:paraId="235707B6" w14:textId="77777777" w:rsidR="00FD4349" w:rsidRPr="00894EC5" w:rsidRDefault="00FD4349" w:rsidP="00187F08">
            <w:pPr>
              <w:keepNext/>
              <w:rPr>
                <w:rFonts w:ascii="Arial Narrow" w:hAnsi="Arial Narrow"/>
                <w:b/>
                <w:sz w:val="20"/>
                <w:szCs w:val="20"/>
              </w:rPr>
            </w:pPr>
            <w:r w:rsidRPr="00894EC5">
              <w:rPr>
                <w:rFonts w:ascii="Arial Narrow" w:hAnsi="Arial Narrow"/>
                <w:b/>
                <w:sz w:val="20"/>
                <w:szCs w:val="20"/>
              </w:rPr>
              <w:t>Severity:</w:t>
            </w:r>
          </w:p>
        </w:tc>
        <w:tc>
          <w:tcPr>
            <w:tcW w:w="3505" w:type="pct"/>
            <w:gridSpan w:val="5"/>
            <w:tcBorders>
              <w:top w:val="single" w:sz="4" w:space="0" w:color="auto"/>
              <w:left w:val="single" w:sz="4" w:space="0" w:color="auto"/>
              <w:bottom w:val="single" w:sz="4" w:space="0" w:color="auto"/>
              <w:right w:val="single" w:sz="4" w:space="0" w:color="auto"/>
            </w:tcBorders>
            <w:hideMark/>
          </w:tcPr>
          <w:p w14:paraId="5CCF8CC2" w14:textId="77777777" w:rsidR="00FD4349" w:rsidRPr="00894EC5" w:rsidRDefault="00FD4349" w:rsidP="00187F08">
            <w:pPr>
              <w:keepNext/>
              <w:rPr>
                <w:rFonts w:ascii="Arial Narrow" w:hAnsi="Arial Narrow"/>
                <w:sz w:val="20"/>
                <w:szCs w:val="20"/>
              </w:rPr>
            </w:pPr>
            <w:r w:rsidRPr="00894EC5">
              <w:rPr>
                <w:rFonts w:ascii="Arial Narrow" w:hAnsi="Arial Narrow"/>
                <w:sz w:val="20"/>
                <w:szCs w:val="20"/>
              </w:rPr>
              <w:t>Stage IV (metastatic)</w:t>
            </w:r>
          </w:p>
        </w:tc>
      </w:tr>
      <w:tr w:rsidR="00FD4349" w:rsidRPr="00894EC5" w14:paraId="55946A03" w14:textId="77777777" w:rsidTr="005F0ADE">
        <w:trPr>
          <w:trHeight w:val="20"/>
        </w:trPr>
        <w:tc>
          <w:tcPr>
            <w:tcW w:w="1495" w:type="pct"/>
            <w:tcBorders>
              <w:top w:val="single" w:sz="4" w:space="0" w:color="auto"/>
              <w:left w:val="single" w:sz="4" w:space="0" w:color="auto"/>
              <w:bottom w:val="single" w:sz="4" w:space="0" w:color="auto"/>
              <w:right w:val="single" w:sz="4" w:space="0" w:color="auto"/>
            </w:tcBorders>
            <w:hideMark/>
          </w:tcPr>
          <w:p w14:paraId="430AF64D" w14:textId="77777777" w:rsidR="00FD4349" w:rsidRPr="00894EC5" w:rsidRDefault="00FD4349" w:rsidP="00187F08">
            <w:pPr>
              <w:keepNext/>
              <w:rPr>
                <w:rFonts w:ascii="Arial Narrow" w:hAnsi="Arial Narrow"/>
                <w:b/>
                <w:sz w:val="20"/>
                <w:szCs w:val="20"/>
              </w:rPr>
            </w:pPr>
            <w:r w:rsidRPr="00894EC5">
              <w:rPr>
                <w:rFonts w:ascii="Arial Narrow" w:hAnsi="Arial Narrow"/>
                <w:b/>
                <w:sz w:val="20"/>
                <w:szCs w:val="20"/>
              </w:rPr>
              <w:t>Condition:</w:t>
            </w:r>
          </w:p>
        </w:tc>
        <w:tc>
          <w:tcPr>
            <w:tcW w:w="3505" w:type="pct"/>
            <w:gridSpan w:val="5"/>
            <w:tcBorders>
              <w:top w:val="single" w:sz="4" w:space="0" w:color="auto"/>
              <w:left w:val="single" w:sz="4" w:space="0" w:color="auto"/>
              <w:bottom w:val="single" w:sz="4" w:space="0" w:color="auto"/>
              <w:right w:val="single" w:sz="4" w:space="0" w:color="auto"/>
            </w:tcBorders>
            <w:hideMark/>
          </w:tcPr>
          <w:p w14:paraId="1697B8AC" w14:textId="77777777" w:rsidR="00FD4349" w:rsidRPr="00894EC5" w:rsidRDefault="00FD4349" w:rsidP="00187F08">
            <w:pPr>
              <w:keepNext/>
              <w:rPr>
                <w:rFonts w:ascii="Arial Narrow" w:hAnsi="Arial Narrow"/>
                <w:sz w:val="20"/>
                <w:szCs w:val="20"/>
              </w:rPr>
            </w:pPr>
            <w:r w:rsidRPr="00894EC5">
              <w:rPr>
                <w:rFonts w:ascii="Arial Narrow" w:hAnsi="Arial Narrow"/>
                <w:sz w:val="20"/>
                <w:szCs w:val="20"/>
              </w:rPr>
              <w:t>Non</w:t>
            </w:r>
            <w:r w:rsidRPr="00894EC5">
              <w:rPr>
                <w:rFonts w:ascii="Arial Narrow" w:hAnsi="Arial Narrow"/>
                <w:sz w:val="20"/>
                <w:szCs w:val="20"/>
              </w:rPr>
              <w:noBreakHyphen/>
              <w:t>small cell lung cancer (NSCLC)</w:t>
            </w:r>
          </w:p>
        </w:tc>
      </w:tr>
      <w:tr w:rsidR="00FD4349" w:rsidRPr="00894EC5" w14:paraId="1A8D967F" w14:textId="77777777" w:rsidTr="005F0ADE">
        <w:trPr>
          <w:trHeight w:val="20"/>
        </w:trPr>
        <w:tc>
          <w:tcPr>
            <w:tcW w:w="1495" w:type="pct"/>
            <w:tcBorders>
              <w:top w:val="single" w:sz="4" w:space="0" w:color="auto"/>
              <w:left w:val="single" w:sz="4" w:space="0" w:color="auto"/>
              <w:bottom w:val="single" w:sz="4" w:space="0" w:color="auto"/>
              <w:right w:val="single" w:sz="4" w:space="0" w:color="auto"/>
            </w:tcBorders>
            <w:hideMark/>
          </w:tcPr>
          <w:p w14:paraId="39B3D287" w14:textId="77777777" w:rsidR="00FD4349" w:rsidRPr="00894EC5" w:rsidRDefault="00FD4349" w:rsidP="00187F08">
            <w:pPr>
              <w:keepNext/>
              <w:rPr>
                <w:rFonts w:ascii="Arial Narrow" w:hAnsi="Arial Narrow"/>
                <w:b/>
                <w:sz w:val="20"/>
                <w:szCs w:val="20"/>
              </w:rPr>
            </w:pPr>
            <w:r w:rsidRPr="00894EC5">
              <w:rPr>
                <w:rFonts w:ascii="Arial Narrow" w:hAnsi="Arial Narrow"/>
                <w:b/>
                <w:sz w:val="20"/>
                <w:szCs w:val="20"/>
              </w:rPr>
              <w:t>PBS Indication:</w:t>
            </w:r>
          </w:p>
        </w:tc>
        <w:tc>
          <w:tcPr>
            <w:tcW w:w="3505" w:type="pct"/>
            <w:gridSpan w:val="5"/>
            <w:tcBorders>
              <w:top w:val="single" w:sz="4" w:space="0" w:color="auto"/>
              <w:left w:val="single" w:sz="4" w:space="0" w:color="auto"/>
              <w:bottom w:val="single" w:sz="4" w:space="0" w:color="auto"/>
              <w:right w:val="single" w:sz="4" w:space="0" w:color="auto"/>
            </w:tcBorders>
            <w:hideMark/>
          </w:tcPr>
          <w:p w14:paraId="42A04BED" w14:textId="77777777" w:rsidR="00FD4349" w:rsidRPr="00894EC5" w:rsidRDefault="00FD4349" w:rsidP="00187F08">
            <w:pPr>
              <w:keepNext/>
              <w:rPr>
                <w:rFonts w:ascii="Arial Narrow" w:hAnsi="Arial Narrow"/>
                <w:sz w:val="20"/>
                <w:szCs w:val="20"/>
              </w:rPr>
            </w:pPr>
            <w:r w:rsidRPr="00894EC5">
              <w:rPr>
                <w:rFonts w:ascii="Arial Narrow" w:hAnsi="Arial Narrow"/>
                <w:sz w:val="20"/>
                <w:szCs w:val="20"/>
              </w:rPr>
              <w:t>Stage IV (metastatic) NSCLC</w:t>
            </w:r>
          </w:p>
        </w:tc>
      </w:tr>
      <w:tr w:rsidR="00FD4349" w:rsidRPr="00894EC5" w14:paraId="7BB9DAD9" w14:textId="77777777" w:rsidTr="005F0ADE">
        <w:trPr>
          <w:trHeight w:val="20"/>
        </w:trPr>
        <w:tc>
          <w:tcPr>
            <w:tcW w:w="1495" w:type="pct"/>
            <w:tcBorders>
              <w:top w:val="single" w:sz="4" w:space="0" w:color="auto"/>
              <w:left w:val="single" w:sz="4" w:space="0" w:color="auto"/>
              <w:bottom w:val="single" w:sz="4" w:space="0" w:color="auto"/>
              <w:right w:val="single" w:sz="4" w:space="0" w:color="auto"/>
            </w:tcBorders>
            <w:shd w:val="clear" w:color="auto" w:fill="auto"/>
            <w:hideMark/>
          </w:tcPr>
          <w:p w14:paraId="44D33FFB" w14:textId="77777777" w:rsidR="00FD4349" w:rsidRPr="00894EC5" w:rsidRDefault="00FD4349" w:rsidP="00187F08">
            <w:pPr>
              <w:keepNext/>
              <w:rPr>
                <w:rFonts w:ascii="Arial Narrow" w:hAnsi="Arial Narrow"/>
                <w:b/>
                <w:sz w:val="20"/>
                <w:szCs w:val="20"/>
              </w:rPr>
            </w:pPr>
            <w:r w:rsidRPr="00894EC5">
              <w:rPr>
                <w:rFonts w:ascii="Arial Narrow" w:hAnsi="Arial Narrow"/>
                <w:b/>
                <w:sz w:val="20"/>
                <w:szCs w:val="20"/>
              </w:rPr>
              <w:t>Treatment phase:</w:t>
            </w:r>
          </w:p>
        </w:tc>
        <w:tc>
          <w:tcPr>
            <w:tcW w:w="3505" w:type="pct"/>
            <w:gridSpan w:val="5"/>
            <w:tcBorders>
              <w:top w:val="single" w:sz="4" w:space="0" w:color="auto"/>
              <w:left w:val="single" w:sz="4" w:space="0" w:color="auto"/>
              <w:bottom w:val="single" w:sz="4" w:space="0" w:color="auto"/>
              <w:right w:val="single" w:sz="4" w:space="0" w:color="auto"/>
            </w:tcBorders>
            <w:shd w:val="clear" w:color="auto" w:fill="auto"/>
            <w:hideMark/>
          </w:tcPr>
          <w:p w14:paraId="774A62B6" w14:textId="77777777" w:rsidR="00FD4349" w:rsidRPr="00894EC5" w:rsidRDefault="00FD4349" w:rsidP="00187F08">
            <w:pPr>
              <w:keepNext/>
              <w:rPr>
                <w:rFonts w:ascii="Arial Narrow" w:hAnsi="Arial Narrow"/>
                <w:sz w:val="20"/>
                <w:szCs w:val="20"/>
              </w:rPr>
            </w:pPr>
            <w:r w:rsidRPr="00894EC5">
              <w:rPr>
                <w:rFonts w:ascii="Arial Narrow" w:hAnsi="Arial Narrow"/>
                <w:sz w:val="20"/>
                <w:szCs w:val="20"/>
              </w:rPr>
              <w:t>Initial treatment – 3 weekly treatment regimen</w:t>
            </w:r>
          </w:p>
        </w:tc>
      </w:tr>
      <w:tr w:rsidR="00FD4349" w:rsidRPr="00894EC5" w14:paraId="5A33B69A" w14:textId="77777777" w:rsidTr="005F0ADE">
        <w:trPr>
          <w:trHeight w:val="20"/>
        </w:trPr>
        <w:tc>
          <w:tcPr>
            <w:tcW w:w="1495" w:type="pct"/>
            <w:tcBorders>
              <w:top w:val="single" w:sz="4" w:space="0" w:color="auto"/>
              <w:left w:val="single" w:sz="4" w:space="0" w:color="auto"/>
              <w:bottom w:val="single" w:sz="4" w:space="0" w:color="auto"/>
              <w:right w:val="single" w:sz="4" w:space="0" w:color="auto"/>
            </w:tcBorders>
          </w:tcPr>
          <w:p w14:paraId="240DA50E" w14:textId="77777777" w:rsidR="00FD4349" w:rsidRPr="00894EC5" w:rsidRDefault="00FD4349" w:rsidP="00187F08">
            <w:pPr>
              <w:keepNext/>
              <w:rPr>
                <w:rFonts w:ascii="Arial Narrow" w:hAnsi="Arial Narrow"/>
                <w:b/>
                <w:sz w:val="20"/>
                <w:szCs w:val="20"/>
              </w:rPr>
            </w:pPr>
            <w:r w:rsidRPr="00894EC5">
              <w:rPr>
                <w:rFonts w:ascii="Arial Narrow" w:hAnsi="Arial Narrow"/>
                <w:b/>
                <w:sz w:val="20"/>
                <w:szCs w:val="20"/>
              </w:rPr>
              <w:t>Restriction:</w:t>
            </w:r>
          </w:p>
          <w:p w14:paraId="3A81C50E" w14:textId="77777777" w:rsidR="00FD4349" w:rsidRPr="00894EC5" w:rsidRDefault="00FD4349" w:rsidP="00187F08">
            <w:pPr>
              <w:keepNext/>
              <w:rPr>
                <w:rFonts w:ascii="Arial Narrow" w:hAnsi="Arial Narrow"/>
                <w:sz w:val="20"/>
                <w:szCs w:val="20"/>
              </w:rPr>
            </w:pPr>
          </w:p>
        </w:tc>
        <w:tc>
          <w:tcPr>
            <w:tcW w:w="3505" w:type="pct"/>
            <w:gridSpan w:val="5"/>
            <w:tcBorders>
              <w:top w:val="single" w:sz="4" w:space="0" w:color="auto"/>
              <w:left w:val="single" w:sz="4" w:space="0" w:color="auto"/>
              <w:bottom w:val="single" w:sz="4" w:space="0" w:color="auto"/>
              <w:right w:val="single" w:sz="4" w:space="0" w:color="auto"/>
            </w:tcBorders>
            <w:hideMark/>
          </w:tcPr>
          <w:p w14:paraId="1F71820E" w14:textId="77777777" w:rsidR="00FD4349" w:rsidRPr="00894EC5" w:rsidRDefault="00FD4349" w:rsidP="00187F08">
            <w:pPr>
              <w:keepNext/>
              <w:rPr>
                <w:rFonts w:ascii="Arial Narrow" w:hAnsi="Arial Narrow"/>
                <w:sz w:val="20"/>
                <w:szCs w:val="20"/>
              </w:rPr>
            </w:pPr>
            <w:r w:rsidRPr="00894EC5">
              <w:rPr>
                <w:rFonts w:ascii="Arial Narrow" w:hAnsi="Arial Narrow"/>
                <w:color w:val="2B579A"/>
                <w:sz w:val="20"/>
                <w:szCs w:val="20"/>
                <w:shd w:val="clear" w:color="auto" w:fill="E6E6E6"/>
              </w:rPr>
              <w:fldChar w:fldCharType="begin">
                <w:ffData>
                  <w:name w:val="Check1"/>
                  <w:enabled/>
                  <w:calcOnExit w:val="0"/>
                  <w:checkBox>
                    <w:sizeAuto/>
                    <w:default w:val="0"/>
                  </w:checkBox>
                </w:ffData>
              </w:fldChar>
            </w:r>
            <w:r w:rsidRPr="00894EC5">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94EC5">
              <w:rPr>
                <w:rFonts w:ascii="Arial Narrow" w:hAnsi="Arial Narrow"/>
                <w:color w:val="2B579A"/>
                <w:sz w:val="20"/>
                <w:szCs w:val="20"/>
                <w:shd w:val="clear" w:color="auto" w:fill="E6E6E6"/>
              </w:rPr>
              <w:fldChar w:fldCharType="end"/>
            </w:r>
            <w:r w:rsidRPr="00894EC5">
              <w:rPr>
                <w:rFonts w:ascii="Arial Narrow" w:hAnsi="Arial Narrow"/>
                <w:sz w:val="20"/>
                <w:szCs w:val="20"/>
              </w:rPr>
              <w:t>Restricted benefit</w:t>
            </w:r>
          </w:p>
          <w:p w14:paraId="60971000" w14:textId="77777777" w:rsidR="00FD4349" w:rsidRPr="00894EC5" w:rsidRDefault="00FD4349" w:rsidP="00187F08">
            <w:pPr>
              <w:keepNext/>
              <w:rPr>
                <w:rFonts w:ascii="Arial Narrow" w:hAnsi="Arial Narrow"/>
                <w:sz w:val="20"/>
                <w:szCs w:val="20"/>
              </w:rPr>
            </w:pPr>
            <w:r w:rsidRPr="00894EC5">
              <w:rPr>
                <w:rFonts w:ascii="Arial Narrow" w:hAnsi="Arial Narrow"/>
                <w:color w:val="2B579A"/>
                <w:sz w:val="20"/>
                <w:szCs w:val="20"/>
                <w:shd w:val="clear" w:color="auto" w:fill="E6E6E6"/>
              </w:rPr>
              <w:fldChar w:fldCharType="begin">
                <w:ffData>
                  <w:name w:val=""/>
                  <w:enabled/>
                  <w:calcOnExit w:val="0"/>
                  <w:checkBox>
                    <w:sizeAuto/>
                    <w:default w:val="0"/>
                  </w:checkBox>
                </w:ffData>
              </w:fldChar>
            </w:r>
            <w:r w:rsidRPr="00894EC5">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94EC5">
              <w:rPr>
                <w:rFonts w:ascii="Arial Narrow" w:hAnsi="Arial Narrow"/>
                <w:color w:val="2B579A"/>
                <w:sz w:val="20"/>
                <w:szCs w:val="20"/>
                <w:shd w:val="clear" w:color="auto" w:fill="E6E6E6"/>
              </w:rPr>
              <w:fldChar w:fldCharType="end"/>
            </w:r>
            <w:r w:rsidRPr="00894EC5">
              <w:rPr>
                <w:rFonts w:ascii="Arial Narrow" w:hAnsi="Arial Narrow"/>
                <w:sz w:val="20"/>
                <w:szCs w:val="20"/>
              </w:rPr>
              <w:t xml:space="preserve">Authority Required </w:t>
            </w:r>
            <w:r w:rsidRPr="00894EC5">
              <w:rPr>
                <w:rFonts w:ascii="Arial Narrow" w:hAnsi="Arial Narrow"/>
                <w:sz w:val="20"/>
                <w:szCs w:val="20"/>
              </w:rPr>
              <w:noBreakHyphen/>
              <w:t xml:space="preserve"> In Writing</w:t>
            </w:r>
          </w:p>
          <w:p w14:paraId="1E4DC3B1" w14:textId="77777777" w:rsidR="00FD4349" w:rsidRPr="00894EC5" w:rsidRDefault="00FD4349" w:rsidP="00187F08">
            <w:pPr>
              <w:keepNext/>
              <w:rPr>
                <w:rFonts w:ascii="Arial Narrow" w:hAnsi="Arial Narrow"/>
                <w:sz w:val="20"/>
                <w:szCs w:val="20"/>
              </w:rPr>
            </w:pPr>
            <w:r w:rsidRPr="00894EC5">
              <w:rPr>
                <w:rFonts w:ascii="Arial Narrow" w:hAnsi="Arial Narrow"/>
                <w:color w:val="2B579A"/>
                <w:sz w:val="20"/>
                <w:szCs w:val="20"/>
                <w:shd w:val="clear" w:color="auto" w:fill="E6E6E6"/>
              </w:rPr>
              <w:fldChar w:fldCharType="begin">
                <w:ffData>
                  <w:name w:val="Check3"/>
                  <w:enabled/>
                  <w:calcOnExit w:val="0"/>
                  <w:checkBox>
                    <w:sizeAuto/>
                    <w:default w:val="0"/>
                  </w:checkBox>
                </w:ffData>
              </w:fldChar>
            </w:r>
            <w:r w:rsidRPr="00894EC5">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94EC5">
              <w:rPr>
                <w:rFonts w:ascii="Arial Narrow" w:hAnsi="Arial Narrow"/>
                <w:color w:val="2B579A"/>
                <w:sz w:val="20"/>
                <w:szCs w:val="20"/>
                <w:shd w:val="clear" w:color="auto" w:fill="E6E6E6"/>
              </w:rPr>
              <w:fldChar w:fldCharType="end"/>
            </w:r>
            <w:r w:rsidRPr="00894EC5">
              <w:rPr>
                <w:rFonts w:ascii="Arial Narrow" w:hAnsi="Arial Narrow"/>
                <w:sz w:val="20"/>
                <w:szCs w:val="20"/>
              </w:rPr>
              <w:t xml:space="preserve">Authority Required </w:t>
            </w:r>
            <w:r w:rsidRPr="00894EC5">
              <w:rPr>
                <w:rFonts w:ascii="Arial Narrow" w:hAnsi="Arial Narrow"/>
                <w:sz w:val="20"/>
                <w:szCs w:val="20"/>
              </w:rPr>
              <w:noBreakHyphen/>
              <w:t xml:space="preserve"> Telephone</w:t>
            </w:r>
          </w:p>
          <w:p w14:paraId="28592229" w14:textId="77777777" w:rsidR="00FD4349" w:rsidRPr="00894EC5" w:rsidRDefault="00FD4349" w:rsidP="00187F08">
            <w:pPr>
              <w:keepNext/>
              <w:rPr>
                <w:rFonts w:ascii="Arial Narrow" w:hAnsi="Arial Narrow"/>
                <w:sz w:val="20"/>
                <w:szCs w:val="20"/>
              </w:rPr>
            </w:pPr>
            <w:r w:rsidRPr="00894EC5">
              <w:rPr>
                <w:rFonts w:ascii="Arial Narrow" w:hAnsi="Arial Narrow"/>
                <w:color w:val="2B579A"/>
                <w:sz w:val="20"/>
                <w:szCs w:val="20"/>
                <w:shd w:val="clear" w:color="auto" w:fill="E6E6E6"/>
              </w:rPr>
              <w:fldChar w:fldCharType="begin">
                <w:ffData>
                  <w:name w:val=""/>
                  <w:enabled/>
                  <w:calcOnExit w:val="0"/>
                  <w:checkBox>
                    <w:sizeAuto/>
                    <w:default w:val="0"/>
                  </w:checkBox>
                </w:ffData>
              </w:fldChar>
            </w:r>
            <w:r w:rsidRPr="00894EC5">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94EC5">
              <w:rPr>
                <w:rFonts w:ascii="Arial Narrow" w:hAnsi="Arial Narrow"/>
                <w:color w:val="2B579A"/>
                <w:sz w:val="20"/>
                <w:szCs w:val="20"/>
                <w:shd w:val="clear" w:color="auto" w:fill="E6E6E6"/>
              </w:rPr>
              <w:fldChar w:fldCharType="end"/>
            </w:r>
            <w:r w:rsidRPr="00894EC5">
              <w:rPr>
                <w:rFonts w:ascii="Arial Narrow" w:hAnsi="Arial Narrow"/>
                <w:sz w:val="20"/>
                <w:szCs w:val="20"/>
              </w:rPr>
              <w:t>Authority Required – Emergency</w:t>
            </w:r>
          </w:p>
          <w:p w14:paraId="7E8055F5" w14:textId="77777777" w:rsidR="00FD4349" w:rsidRPr="00894EC5" w:rsidRDefault="00FD4349" w:rsidP="00187F08">
            <w:pPr>
              <w:keepNext/>
              <w:rPr>
                <w:rFonts w:ascii="Arial Narrow" w:hAnsi="Arial Narrow"/>
                <w:sz w:val="20"/>
                <w:szCs w:val="20"/>
              </w:rPr>
            </w:pPr>
            <w:r w:rsidRPr="00894EC5">
              <w:rPr>
                <w:rFonts w:ascii="Arial Narrow" w:hAnsi="Arial Narrow"/>
                <w:color w:val="2B579A"/>
                <w:sz w:val="20"/>
                <w:szCs w:val="20"/>
                <w:shd w:val="clear" w:color="auto" w:fill="E6E6E6"/>
              </w:rPr>
              <w:fldChar w:fldCharType="begin">
                <w:ffData>
                  <w:name w:val="Check5"/>
                  <w:enabled/>
                  <w:calcOnExit w:val="0"/>
                  <w:checkBox>
                    <w:sizeAuto/>
                    <w:default w:val="0"/>
                  </w:checkBox>
                </w:ffData>
              </w:fldChar>
            </w:r>
            <w:r w:rsidRPr="00894EC5">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94EC5">
              <w:rPr>
                <w:rFonts w:ascii="Arial Narrow" w:hAnsi="Arial Narrow"/>
                <w:color w:val="2B579A"/>
                <w:sz w:val="20"/>
                <w:szCs w:val="20"/>
                <w:shd w:val="clear" w:color="auto" w:fill="E6E6E6"/>
              </w:rPr>
              <w:fldChar w:fldCharType="end"/>
            </w:r>
            <w:r w:rsidRPr="00894EC5">
              <w:rPr>
                <w:rFonts w:ascii="Arial Narrow" w:hAnsi="Arial Narrow"/>
                <w:sz w:val="20"/>
                <w:szCs w:val="20"/>
              </w:rPr>
              <w:t xml:space="preserve">Authority Required </w:t>
            </w:r>
            <w:r w:rsidRPr="00894EC5">
              <w:rPr>
                <w:rFonts w:ascii="Arial Narrow" w:hAnsi="Arial Narrow"/>
                <w:sz w:val="20"/>
                <w:szCs w:val="20"/>
              </w:rPr>
              <w:noBreakHyphen/>
              <w:t xml:space="preserve"> Electronic</w:t>
            </w:r>
          </w:p>
          <w:p w14:paraId="1C6E9AC2" w14:textId="77777777" w:rsidR="00FD4349" w:rsidRPr="00894EC5" w:rsidRDefault="00FD4349" w:rsidP="00187F08">
            <w:pPr>
              <w:keepNext/>
              <w:rPr>
                <w:rFonts w:ascii="Arial Narrow" w:hAnsi="Arial Narrow"/>
                <w:sz w:val="20"/>
                <w:szCs w:val="20"/>
              </w:rPr>
            </w:pPr>
            <w:r w:rsidRPr="00894EC5">
              <w:rPr>
                <w:rFonts w:ascii="Arial Narrow" w:hAnsi="Arial Narrow"/>
                <w:color w:val="2B579A"/>
                <w:sz w:val="20"/>
                <w:szCs w:val="20"/>
                <w:shd w:val="clear" w:color="auto" w:fill="E6E6E6"/>
              </w:rPr>
              <w:fldChar w:fldCharType="begin">
                <w:ffData>
                  <w:name w:val="Check5"/>
                  <w:enabled/>
                  <w:calcOnExit w:val="0"/>
                  <w:checkBox>
                    <w:sizeAuto/>
                    <w:default w:val="1"/>
                  </w:checkBox>
                </w:ffData>
              </w:fldChar>
            </w:r>
            <w:r w:rsidRPr="00894EC5">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94EC5">
              <w:rPr>
                <w:rFonts w:ascii="Arial Narrow" w:hAnsi="Arial Narrow"/>
                <w:color w:val="2B579A"/>
                <w:sz w:val="20"/>
                <w:szCs w:val="20"/>
                <w:shd w:val="clear" w:color="auto" w:fill="E6E6E6"/>
              </w:rPr>
              <w:fldChar w:fldCharType="end"/>
            </w:r>
            <w:r w:rsidRPr="00894EC5">
              <w:rPr>
                <w:rFonts w:ascii="Arial Narrow" w:hAnsi="Arial Narrow"/>
                <w:sz w:val="20"/>
                <w:szCs w:val="20"/>
              </w:rPr>
              <w:t>Streamlined</w:t>
            </w:r>
          </w:p>
        </w:tc>
      </w:tr>
      <w:tr w:rsidR="00FD4349" w:rsidRPr="00894EC5" w14:paraId="49A66C10" w14:textId="77777777" w:rsidTr="005F0ADE">
        <w:trPr>
          <w:trHeight w:val="20"/>
        </w:trPr>
        <w:tc>
          <w:tcPr>
            <w:tcW w:w="1495" w:type="pct"/>
            <w:tcBorders>
              <w:top w:val="single" w:sz="4" w:space="0" w:color="auto"/>
              <w:left w:val="single" w:sz="4" w:space="0" w:color="auto"/>
              <w:bottom w:val="single" w:sz="4" w:space="0" w:color="auto"/>
              <w:right w:val="single" w:sz="4" w:space="0" w:color="auto"/>
            </w:tcBorders>
          </w:tcPr>
          <w:p w14:paraId="0CF11FA5" w14:textId="77777777" w:rsidR="00FD4349" w:rsidRPr="00894EC5" w:rsidRDefault="00FD4349" w:rsidP="00187F08">
            <w:pPr>
              <w:keepNext/>
              <w:rPr>
                <w:rFonts w:ascii="Arial Narrow" w:hAnsi="Arial Narrow"/>
                <w:b/>
                <w:sz w:val="20"/>
                <w:szCs w:val="20"/>
              </w:rPr>
            </w:pPr>
            <w:r w:rsidRPr="00894EC5">
              <w:rPr>
                <w:rFonts w:ascii="Arial Narrow" w:hAnsi="Arial Narrow"/>
                <w:b/>
                <w:sz w:val="20"/>
                <w:szCs w:val="20"/>
              </w:rPr>
              <w:t>Clinical criteria:</w:t>
            </w:r>
          </w:p>
          <w:p w14:paraId="1957AD6C" w14:textId="77777777" w:rsidR="00FD4349" w:rsidRPr="00894EC5" w:rsidRDefault="00FD4349" w:rsidP="00187F08">
            <w:pPr>
              <w:keepNext/>
              <w:rPr>
                <w:rFonts w:ascii="Arial Narrow" w:hAnsi="Arial Narrow"/>
                <w:i/>
                <w:sz w:val="20"/>
                <w:szCs w:val="20"/>
              </w:rPr>
            </w:pPr>
          </w:p>
          <w:p w14:paraId="53A4CFB7" w14:textId="77777777" w:rsidR="00FD4349" w:rsidRPr="00894EC5" w:rsidRDefault="00FD4349" w:rsidP="00187F08">
            <w:pPr>
              <w:keepNext/>
              <w:rPr>
                <w:rFonts w:ascii="Arial Narrow" w:hAnsi="Arial Narrow"/>
                <w:sz w:val="20"/>
                <w:szCs w:val="20"/>
              </w:rPr>
            </w:pPr>
          </w:p>
        </w:tc>
        <w:tc>
          <w:tcPr>
            <w:tcW w:w="3505" w:type="pct"/>
            <w:gridSpan w:val="5"/>
            <w:tcBorders>
              <w:top w:val="single" w:sz="4" w:space="0" w:color="auto"/>
              <w:left w:val="single" w:sz="4" w:space="0" w:color="auto"/>
              <w:bottom w:val="single" w:sz="4" w:space="0" w:color="auto"/>
              <w:right w:val="single" w:sz="4" w:space="0" w:color="auto"/>
            </w:tcBorders>
            <w:hideMark/>
          </w:tcPr>
          <w:p w14:paraId="74C18442" w14:textId="77777777" w:rsidR="00FD4349" w:rsidRPr="00894EC5" w:rsidRDefault="00FD4349" w:rsidP="000D035D">
            <w:pPr>
              <w:keepNext/>
              <w:numPr>
                <w:ilvl w:val="0"/>
                <w:numId w:val="6"/>
              </w:numPr>
              <w:contextualSpacing/>
              <w:jc w:val="left"/>
              <w:rPr>
                <w:rFonts w:ascii="Arial Narrow" w:hAnsi="Arial Narrow" w:cs="Calibri"/>
                <w:bCs/>
                <w:sz w:val="20"/>
                <w:szCs w:val="20"/>
              </w:rPr>
            </w:pPr>
            <w:r w:rsidRPr="00894EC5">
              <w:rPr>
                <w:rFonts w:ascii="Arial Narrow" w:hAnsi="Arial Narrow" w:cs="Calibri"/>
                <w:bCs/>
                <w:sz w:val="20"/>
                <w:szCs w:val="20"/>
              </w:rPr>
              <w:t xml:space="preserve">Patient must not have previously been treated for this condition in the metastatic setting, </w:t>
            </w:r>
            <w:r w:rsidRPr="00894EC5">
              <w:rPr>
                <w:rFonts w:ascii="Arial Narrow" w:hAnsi="Arial Narrow" w:cs="Calibri"/>
                <w:b/>
                <w:sz w:val="20"/>
                <w:szCs w:val="20"/>
              </w:rPr>
              <w:t>AND</w:t>
            </w:r>
          </w:p>
          <w:p w14:paraId="3EFBBD94" w14:textId="77777777" w:rsidR="00FD4349" w:rsidRPr="00894EC5" w:rsidRDefault="00FD4349" w:rsidP="000D035D">
            <w:pPr>
              <w:keepNext/>
              <w:numPr>
                <w:ilvl w:val="0"/>
                <w:numId w:val="6"/>
              </w:numPr>
              <w:contextualSpacing/>
              <w:jc w:val="left"/>
              <w:rPr>
                <w:rFonts w:ascii="Arial Narrow" w:hAnsi="Arial Narrow" w:cs="Calibri"/>
                <w:bCs/>
                <w:sz w:val="20"/>
                <w:szCs w:val="20"/>
              </w:rPr>
            </w:pPr>
            <w:r w:rsidRPr="00894EC5">
              <w:rPr>
                <w:rFonts w:ascii="Arial Narrow" w:hAnsi="Arial Narrow" w:cs="Calibri"/>
                <w:bCs/>
                <w:sz w:val="20"/>
                <w:szCs w:val="20"/>
              </w:rPr>
              <w:t>Patient must not have received prior treatment with a programmed cell death</w:t>
            </w:r>
            <w:r w:rsidRPr="00894EC5">
              <w:rPr>
                <w:rFonts w:ascii="Arial Narrow" w:hAnsi="Arial Narrow" w:cs="Calibri"/>
                <w:bCs/>
                <w:sz w:val="20"/>
                <w:szCs w:val="20"/>
              </w:rPr>
              <w:noBreakHyphen/>
              <w:t>1 (PD</w:t>
            </w:r>
            <w:r w:rsidRPr="00894EC5">
              <w:rPr>
                <w:rFonts w:ascii="Arial Narrow" w:hAnsi="Arial Narrow" w:cs="Calibri"/>
                <w:bCs/>
                <w:sz w:val="20"/>
                <w:szCs w:val="20"/>
              </w:rPr>
              <w:noBreakHyphen/>
              <w:t>1) inhibitor or a programmed cell death ligand</w:t>
            </w:r>
            <w:r w:rsidRPr="00894EC5">
              <w:rPr>
                <w:rFonts w:ascii="Arial Narrow" w:hAnsi="Arial Narrow" w:cs="Calibri"/>
                <w:bCs/>
                <w:sz w:val="20"/>
                <w:szCs w:val="20"/>
              </w:rPr>
              <w:noBreakHyphen/>
              <w:t>1 (PD</w:t>
            </w:r>
            <w:r w:rsidRPr="00894EC5">
              <w:rPr>
                <w:rFonts w:ascii="Arial Narrow" w:hAnsi="Arial Narrow" w:cs="Calibri"/>
                <w:bCs/>
                <w:sz w:val="20"/>
                <w:szCs w:val="20"/>
              </w:rPr>
              <w:noBreakHyphen/>
              <w:t>L1) inhibitor for non</w:t>
            </w:r>
            <w:r w:rsidRPr="00894EC5">
              <w:rPr>
                <w:rFonts w:ascii="Arial Narrow" w:hAnsi="Arial Narrow" w:cs="Calibri"/>
                <w:bCs/>
                <w:sz w:val="20"/>
                <w:szCs w:val="20"/>
              </w:rPr>
              <w:noBreakHyphen/>
              <w:t xml:space="preserve">small cell lung cancer, </w:t>
            </w:r>
            <w:r w:rsidRPr="00894EC5">
              <w:rPr>
                <w:rFonts w:ascii="Arial Narrow" w:hAnsi="Arial Narrow" w:cs="Calibri"/>
                <w:b/>
                <w:sz w:val="20"/>
                <w:szCs w:val="20"/>
              </w:rPr>
              <w:t>AND</w:t>
            </w:r>
          </w:p>
          <w:p w14:paraId="5AA4BC4B" w14:textId="77777777" w:rsidR="00FD4349" w:rsidRPr="00894EC5" w:rsidRDefault="00FD4349" w:rsidP="000D035D">
            <w:pPr>
              <w:keepNext/>
              <w:numPr>
                <w:ilvl w:val="0"/>
                <w:numId w:val="6"/>
              </w:numPr>
              <w:contextualSpacing/>
              <w:jc w:val="left"/>
              <w:rPr>
                <w:rFonts w:ascii="Arial Narrow" w:hAnsi="Arial Narrow" w:cs="Calibri"/>
                <w:bCs/>
                <w:sz w:val="20"/>
                <w:szCs w:val="20"/>
              </w:rPr>
            </w:pPr>
            <w:r w:rsidRPr="00894EC5">
              <w:rPr>
                <w:rFonts w:ascii="Arial Narrow" w:hAnsi="Arial Narrow" w:cs="Calibri"/>
                <w:bCs/>
                <w:sz w:val="20"/>
                <w:szCs w:val="20"/>
              </w:rPr>
              <w:t xml:space="preserve">Patient must have a WHO performance status of 0 or 1, </w:t>
            </w:r>
            <w:r w:rsidRPr="00894EC5">
              <w:rPr>
                <w:rFonts w:ascii="Arial Narrow" w:hAnsi="Arial Narrow" w:cs="Calibri"/>
                <w:b/>
                <w:sz w:val="20"/>
                <w:szCs w:val="20"/>
              </w:rPr>
              <w:t>AND</w:t>
            </w:r>
          </w:p>
          <w:p w14:paraId="7CD867CD" w14:textId="77777777" w:rsidR="00FD4349" w:rsidRPr="00894EC5" w:rsidRDefault="00FD4349" w:rsidP="000D035D">
            <w:pPr>
              <w:keepNext/>
              <w:numPr>
                <w:ilvl w:val="0"/>
                <w:numId w:val="6"/>
              </w:numPr>
              <w:contextualSpacing/>
              <w:jc w:val="left"/>
              <w:rPr>
                <w:rFonts w:ascii="Arial Narrow" w:hAnsi="Arial Narrow" w:cs="Calibri"/>
                <w:bCs/>
                <w:sz w:val="20"/>
                <w:szCs w:val="20"/>
              </w:rPr>
            </w:pPr>
            <w:r w:rsidRPr="00894EC5">
              <w:rPr>
                <w:rFonts w:ascii="Arial Narrow" w:hAnsi="Arial Narrow"/>
                <w:sz w:val="20"/>
                <w:szCs w:val="20"/>
              </w:rPr>
              <w:t>The condition must express programmed cell death ligand 1 (PD</w:t>
            </w:r>
            <w:r w:rsidRPr="00894EC5">
              <w:rPr>
                <w:rFonts w:ascii="Arial Narrow" w:hAnsi="Arial Narrow"/>
                <w:sz w:val="20"/>
                <w:szCs w:val="20"/>
              </w:rPr>
              <w:noBreakHyphen/>
              <w:t xml:space="preserve">L1) with a tumour score of at least 50% in the tumour sample, </w:t>
            </w:r>
            <w:r w:rsidRPr="00894EC5">
              <w:rPr>
                <w:rFonts w:ascii="Arial Narrow" w:hAnsi="Arial Narrow"/>
                <w:b/>
                <w:bCs/>
                <w:sz w:val="20"/>
                <w:szCs w:val="20"/>
              </w:rPr>
              <w:t>AND</w:t>
            </w:r>
          </w:p>
          <w:p w14:paraId="15132C85" w14:textId="77777777" w:rsidR="00FD4349" w:rsidRPr="00894EC5" w:rsidRDefault="00FD4349" w:rsidP="000D035D">
            <w:pPr>
              <w:keepNext/>
              <w:numPr>
                <w:ilvl w:val="0"/>
                <w:numId w:val="6"/>
              </w:numPr>
              <w:contextualSpacing/>
              <w:jc w:val="left"/>
              <w:rPr>
                <w:rFonts w:ascii="Arial Narrow" w:hAnsi="Arial Narrow" w:cs="Calibri"/>
                <w:bCs/>
                <w:sz w:val="20"/>
                <w:szCs w:val="20"/>
              </w:rPr>
            </w:pPr>
            <w:r w:rsidRPr="00894EC5">
              <w:rPr>
                <w:rFonts w:ascii="Arial Narrow" w:hAnsi="Arial Narrow" w:cs="Calibri"/>
                <w:bCs/>
                <w:sz w:val="20"/>
                <w:szCs w:val="20"/>
              </w:rPr>
              <w:t>The condition must not have evidence of an activating epidermal growth factor receptor (EGFR) gene or an anaplastic lymphoma kinase (ALK) gene rearrangement or a c</w:t>
            </w:r>
            <w:r w:rsidRPr="00894EC5">
              <w:rPr>
                <w:rFonts w:ascii="Arial Narrow" w:hAnsi="Arial Narrow" w:cs="Calibri"/>
                <w:bCs/>
                <w:sz w:val="20"/>
                <w:szCs w:val="20"/>
              </w:rPr>
              <w:noBreakHyphen/>
              <w:t>ROS proto</w:t>
            </w:r>
            <w:r w:rsidRPr="00894EC5">
              <w:rPr>
                <w:rFonts w:ascii="Arial Narrow" w:hAnsi="Arial Narrow" w:cs="Calibri"/>
                <w:bCs/>
                <w:sz w:val="20"/>
                <w:szCs w:val="20"/>
              </w:rPr>
              <w:noBreakHyphen/>
              <w:t xml:space="preserve">oncogene 1 (ROS1) gene arrangement in tumour material, </w:t>
            </w:r>
            <w:r w:rsidRPr="00894EC5">
              <w:rPr>
                <w:rFonts w:ascii="Arial Narrow" w:hAnsi="Arial Narrow" w:cs="Calibri"/>
                <w:b/>
                <w:sz w:val="20"/>
                <w:szCs w:val="20"/>
              </w:rPr>
              <w:t>AND</w:t>
            </w:r>
          </w:p>
          <w:p w14:paraId="1B9FA656" w14:textId="77777777" w:rsidR="00FD4349" w:rsidRPr="00894EC5" w:rsidRDefault="00FD4349" w:rsidP="000D035D">
            <w:pPr>
              <w:keepNext/>
              <w:numPr>
                <w:ilvl w:val="0"/>
                <w:numId w:val="6"/>
              </w:numPr>
              <w:contextualSpacing/>
              <w:jc w:val="left"/>
              <w:rPr>
                <w:rFonts w:ascii="Arial Narrow" w:hAnsi="Arial Narrow" w:cs="Calibri"/>
                <w:bCs/>
                <w:sz w:val="20"/>
                <w:szCs w:val="20"/>
              </w:rPr>
            </w:pPr>
            <w:r w:rsidRPr="00894EC5">
              <w:rPr>
                <w:rFonts w:ascii="Arial Narrow" w:hAnsi="Arial Narrow" w:cs="Calibri"/>
                <w:bCs/>
                <w:i/>
                <w:sz w:val="20"/>
                <w:szCs w:val="20"/>
              </w:rPr>
              <w:t>The treatment must be the sole PBS-subsidised systemic anti-cancer therapy for this condition</w:t>
            </w:r>
            <w:r w:rsidRPr="00894EC5" w:rsidDel="00C05030">
              <w:rPr>
                <w:rFonts w:ascii="Arial Narrow" w:hAnsi="Arial Narrow" w:cs="Calibri"/>
                <w:bCs/>
                <w:i/>
                <w:sz w:val="20"/>
                <w:szCs w:val="20"/>
              </w:rPr>
              <w:t xml:space="preserve"> </w:t>
            </w:r>
            <w:r w:rsidRPr="00894EC5">
              <w:rPr>
                <w:rFonts w:ascii="Arial Narrow" w:hAnsi="Arial Narrow" w:cs="Calibri"/>
                <w:b/>
                <w:bCs/>
                <w:sz w:val="20"/>
                <w:szCs w:val="20"/>
              </w:rPr>
              <w:t>AND</w:t>
            </w:r>
          </w:p>
          <w:p w14:paraId="56BCF7AC" w14:textId="77777777" w:rsidR="00FD4349" w:rsidRPr="00894EC5" w:rsidRDefault="00FD4349" w:rsidP="000D035D">
            <w:pPr>
              <w:keepNext/>
              <w:numPr>
                <w:ilvl w:val="0"/>
                <w:numId w:val="6"/>
              </w:numPr>
              <w:contextualSpacing/>
              <w:jc w:val="left"/>
              <w:rPr>
                <w:rFonts w:ascii="Arial Narrow" w:hAnsi="Arial Narrow" w:cs="Calibri"/>
                <w:bCs/>
                <w:sz w:val="20"/>
                <w:szCs w:val="20"/>
              </w:rPr>
            </w:pPr>
            <w:r w:rsidRPr="00894EC5">
              <w:rPr>
                <w:rFonts w:ascii="Arial Narrow" w:hAnsi="Arial Narrow" w:cs="Calibri"/>
                <w:bCs/>
                <w:sz w:val="20"/>
                <w:szCs w:val="20"/>
              </w:rPr>
              <w:t>The treatment must not exceed a total of 7 doses under this restriction.</w:t>
            </w:r>
          </w:p>
          <w:p w14:paraId="2A7677CC" w14:textId="77777777" w:rsidR="00FD4349" w:rsidRPr="00894EC5" w:rsidRDefault="00FD4349" w:rsidP="00187F08">
            <w:pPr>
              <w:keepNext/>
              <w:ind w:left="360"/>
              <w:contextualSpacing/>
              <w:rPr>
                <w:rFonts w:ascii="Arial Narrow" w:hAnsi="Arial Narrow" w:cs="Calibri"/>
                <w:bCs/>
                <w:sz w:val="20"/>
                <w:szCs w:val="20"/>
              </w:rPr>
            </w:pPr>
          </w:p>
          <w:p w14:paraId="1DDE9FAF" w14:textId="77777777" w:rsidR="00FD4349" w:rsidRPr="00894EC5" w:rsidRDefault="00FD4349" w:rsidP="00187F08">
            <w:pPr>
              <w:keepNext/>
              <w:rPr>
                <w:rFonts w:ascii="Arial Narrow" w:hAnsi="Arial Narrow" w:cs="Calibri"/>
                <w:bCs/>
                <w:sz w:val="20"/>
                <w:szCs w:val="20"/>
                <w:u w:val="single"/>
              </w:rPr>
            </w:pPr>
            <w:r w:rsidRPr="00894EC5">
              <w:rPr>
                <w:rFonts w:ascii="Arial Narrow" w:hAnsi="Arial Narrow" w:cs="Calibri"/>
                <w:bCs/>
                <w:sz w:val="20"/>
                <w:szCs w:val="20"/>
                <w:u w:val="single"/>
              </w:rPr>
              <w:t>Note</w:t>
            </w:r>
          </w:p>
          <w:p w14:paraId="00A0B67F" w14:textId="77777777" w:rsidR="00FD4349" w:rsidRPr="00894EC5" w:rsidRDefault="00FD4349" w:rsidP="00187F08">
            <w:pPr>
              <w:keepNext/>
              <w:rPr>
                <w:rFonts w:ascii="Arial Narrow" w:hAnsi="Arial Narrow" w:cs="Calibri"/>
                <w:bCs/>
                <w:sz w:val="20"/>
                <w:szCs w:val="20"/>
              </w:rPr>
            </w:pPr>
            <w:r w:rsidRPr="00894EC5">
              <w:rPr>
                <w:rFonts w:ascii="Arial Narrow" w:hAnsi="Arial Narrow" w:cs="Calibri"/>
                <w:bCs/>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p w14:paraId="3085E946" w14:textId="77777777" w:rsidR="00FD4349" w:rsidRPr="00894EC5" w:rsidRDefault="00FD4349" w:rsidP="00187F08">
            <w:pPr>
              <w:keepNext/>
              <w:rPr>
                <w:rFonts w:ascii="Arial Narrow" w:hAnsi="Arial Narrow" w:cs="Calibri"/>
                <w:bCs/>
                <w:sz w:val="20"/>
                <w:szCs w:val="20"/>
              </w:rPr>
            </w:pPr>
          </w:p>
          <w:p w14:paraId="1C52F2AE" w14:textId="77777777" w:rsidR="00FD4349" w:rsidRPr="00894EC5" w:rsidRDefault="00FD4349" w:rsidP="00187F08">
            <w:pPr>
              <w:keepNext/>
              <w:rPr>
                <w:rFonts w:ascii="Arial Narrow" w:hAnsi="Arial Narrow" w:cs="Calibri"/>
                <w:bCs/>
                <w:sz w:val="20"/>
                <w:szCs w:val="20"/>
                <w:u w:val="single"/>
              </w:rPr>
            </w:pPr>
            <w:r w:rsidRPr="00894EC5">
              <w:rPr>
                <w:rFonts w:ascii="Arial Narrow" w:hAnsi="Arial Narrow" w:cs="Calibri"/>
                <w:bCs/>
                <w:sz w:val="20"/>
                <w:szCs w:val="20"/>
                <w:u w:val="single"/>
              </w:rPr>
              <w:t>Note</w:t>
            </w:r>
          </w:p>
          <w:p w14:paraId="3534D0CB" w14:textId="77777777" w:rsidR="00FD4349" w:rsidRPr="00894EC5" w:rsidRDefault="00FD4349" w:rsidP="00187F08">
            <w:pPr>
              <w:keepNext/>
              <w:rPr>
                <w:rFonts w:ascii="Arial Narrow" w:hAnsi="Arial Narrow" w:cs="Calibri"/>
                <w:bCs/>
                <w:sz w:val="20"/>
                <w:szCs w:val="20"/>
              </w:rPr>
            </w:pPr>
            <w:r w:rsidRPr="00894EC5">
              <w:rPr>
                <w:rFonts w:ascii="Arial Narrow" w:hAnsi="Arial Narrow" w:cs="Calibri"/>
                <w:bCs/>
                <w:sz w:val="20"/>
                <w:szCs w:val="20"/>
              </w:rPr>
              <w:t>A patient may only qualify for PBS</w:t>
            </w:r>
            <w:r w:rsidRPr="00894EC5">
              <w:rPr>
                <w:rFonts w:ascii="Arial Narrow" w:hAnsi="Arial Narrow" w:cs="Calibri"/>
                <w:bCs/>
                <w:sz w:val="20"/>
                <w:szCs w:val="20"/>
              </w:rPr>
              <w:noBreakHyphen/>
              <w:t>subsidised treatment under this restriction once.</w:t>
            </w:r>
          </w:p>
          <w:p w14:paraId="463ADA31" w14:textId="77777777" w:rsidR="00FD4349" w:rsidRPr="00894EC5" w:rsidRDefault="00FD4349" w:rsidP="00187F08">
            <w:pPr>
              <w:keepNext/>
              <w:rPr>
                <w:rFonts w:ascii="Arial Narrow" w:hAnsi="Arial Narrow" w:cs="Calibri"/>
                <w:bCs/>
                <w:sz w:val="20"/>
                <w:szCs w:val="20"/>
              </w:rPr>
            </w:pPr>
          </w:p>
          <w:p w14:paraId="5AD17536" w14:textId="77777777" w:rsidR="00FD4349" w:rsidRPr="00894EC5" w:rsidRDefault="00FD4349" w:rsidP="00187F08">
            <w:pPr>
              <w:keepNext/>
              <w:rPr>
                <w:rFonts w:ascii="Arial Narrow" w:hAnsi="Arial Narrow" w:cs="Calibri"/>
                <w:bCs/>
                <w:sz w:val="20"/>
                <w:szCs w:val="20"/>
                <w:u w:val="single"/>
              </w:rPr>
            </w:pPr>
            <w:r w:rsidRPr="00894EC5">
              <w:rPr>
                <w:rFonts w:ascii="Arial Narrow" w:hAnsi="Arial Narrow" w:cs="Calibri"/>
                <w:bCs/>
                <w:sz w:val="20"/>
                <w:szCs w:val="20"/>
                <w:u w:val="single"/>
              </w:rPr>
              <w:t>Note</w:t>
            </w:r>
          </w:p>
          <w:p w14:paraId="308A6DE3" w14:textId="77777777" w:rsidR="00FD4349" w:rsidRPr="00894EC5" w:rsidRDefault="00FD4349" w:rsidP="00187F08">
            <w:pPr>
              <w:keepNext/>
              <w:rPr>
                <w:rFonts w:ascii="Arial Narrow" w:hAnsi="Arial Narrow" w:cs="Calibri"/>
                <w:bCs/>
                <w:sz w:val="20"/>
                <w:szCs w:val="20"/>
              </w:rPr>
            </w:pPr>
            <w:r w:rsidRPr="00894EC5">
              <w:rPr>
                <w:rFonts w:ascii="Arial Narrow" w:hAnsi="Arial Narrow" w:cs="Calibri"/>
                <w:bCs/>
                <w:sz w:val="20"/>
                <w:szCs w:val="20"/>
              </w:rPr>
              <w:t>Following completion of the initial PBS subsidised course, further applications for treatment will be assessed under the continuing treatment restriction.</w:t>
            </w:r>
          </w:p>
        </w:tc>
      </w:tr>
      <w:tr w:rsidR="00FD4349" w:rsidRPr="005467E8" w14:paraId="623581B5" w14:textId="77777777" w:rsidTr="005F0ADE">
        <w:trPr>
          <w:trHeight w:val="20"/>
        </w:trPr>
        <w:tc>
          <w:tcPr>
            <w:tcW w:w="1495" w:type="pct"/>
            <w:tcBorders>
              <w:top w:val="single" w:sz="4" w:space="0" w:color="auto"/>
              <w:left w:val="single" w:sz="4" w:space="0" w:color="auto"/>
              <w:bottom w:val="single" w:sz="4" w:space="0" w:color="auto"/>
              <w:right w:val="single" w:sz="4" w:space="0" w:color="auto"/>
            </w:tcBorders>
          </w:tcPr>
          <w:p w14:paraId="108C9069" w14:textId="77777777" w:rsidR="00FD4349" w:rsidRPr="00894EC5" w:rsidRDefault="00FD4349" w:rsidP="00187F08">
            <w:pPr>
              <w:keepNext/>
              <w:rPr>
                <w:rFonts w:ascii="Arial Narrow" w:hAnsi="Arial Narrow"/>
                <w:b/>
                <w:i/>
                <w:sz w:val="20"/>
                <w:szCs w:val="20"/>
              </w:rPr>
            </w:pPr>
            <w:r w:rsidRPr="00894EC5">
              <w:rPr>
                <w:rFonts w:ascii="Arial Narrow" w:hAnsi="Arial Narrow"/>
                <w:b/>
                <w:i/>
                <w:sz w:val="20"/>
                <w:szCs w:val="20"/>
              </w:rPr>
              <w:t>Population criteria</w:t>
            </w:r>
          </w:p>
        </w:tc>
        <w:tc>
          <w:tcPr>
            <w:tcW w:w="3505" w:type="pct"/>
            <w:gridSpan w:val="5"/>
            <w:tcBorders>
              <w:top w:val="single" w:sz="4" w:space="0" w:color="auto"/>
              <w:left w:val="single" w:sz="4" w:space="0" w:color="auto"/>
              <w:bottom w:val="single" w:sz="4" w:space="0" w:color="auto"/>
              <w:right w:val="single" w:sz="4" w:space="0" w:color="auto"/>
            </w:tcBorders>
          </w:tcPr>
          <w:p w14:paraId="7B8CC383" w14:textId="77777777" w:rsidR="00FD4349" w:rsidRPr="00894EC5" w:rsidRDefault="00FD4349" w:rsidP="000D035D">
            <w:pPr>
              <w:keepNext/>
              <w:numPr>
                <w:ilvl w:val="0"/>
                <w:numId w:val="6"/>
              </w:numPr>
              <w:contextualSpacing/>
              <w:jc w:val="left"/>
              <w:rPr>
                <w:rFonts w:ascii="Arial Narrow" w:hAnsi="Arial Narrow" w:cs="Calibri"/>
                <w:bCs/>
                <w:i/>
                <w:sz w:val="20"/>
                <w:szCs w:val="20"/>
              </w:rPr>
            </w:pPr>
            <w:r w:rsidRPr="00894EC5">
              <w:rPr>
                <w:rFonts w:ascii="Arial Narrow" w:hAnsi="Arial Narrow" w:cs="Calibri"/>
                <w:bCs/>
                <w:i/>
                <w:sz w:val="20"/>
                <w:szCs w:val="20"/>
              </w:rPr>
              <w:t xml:space="preserve">Patient must be aged 18 years or older. </w:t>
            </w:r>
          </w:p>
        </w:tc>
      </w:tr>
    </w:tbl>
    <w:p w14:paraId="39BDE62E" w14:textId="77777777" w:rsidR="00FD4349" w:rsidRPr="005467E8" w:rsidRDefault="00FD4349" w:rsidP="00FD4349">
      <w:pPr>
        <w:rPr>
          <w:rFonts w:ascii="Arial Narrow" w:hAnsi="Arial Narrow"/>
          <w:sz w:val="18"/>
          <w:szCs w:val="18"/>
          <w:highlight w:val="yellow"/>
        </w:rPr>
      </w:pPr>
    </w:p>
    <w:p w14:paraId="45343BFE" w14:textId="77777777" w:rsidR="00FD4349" w:rsidRPr="005467E8" w:rsidRDefault="00FD4349" w:rsidP="00FD4349">
      <w:pPr>
        <w:pStyle w:val="SubmTableCaption"/>
        <w:spacing w:before="120"/>
        <w:rPr>
          <w:highlight w:val="yellow"/>
        </w:rPr>
      </w:pPr>
    </w:p>
    <w:tbl>
      <w:tblPr>
        <w:tblW w:w="9075" w:type="dxa"/>
        <w:tblLayout w:type="fixed"/>
        <w:tblLook w:val="04A0" w:firstRow="1" w:lastRow="0" w:firstColumn="1" w:lastColumn="0" w:noHBand="0" w:noVBand="1"/>
      </w:tblPr>
      <w:tblGrid>
        <w:gridCol w:w="2269"/>
        <w:gridCol w:w="1561"/>
        <w:gridCol w:w="1228"/>
        <w:gridCol w:w="1228"/>
        <w:gridCol w:w="1229"/>
        <w:gridCol w:w="1560"/>
      </w:tblGrid>
      <w:tr w:rsidR="00FD4349" w:rsidRPr="005467E8" w14:paraId="310227CD" w14:textId="77777777" w:rsidTr="00187F08">
        <w:trPr>
          <w:trHeight w:val="20"/>
        </w:trPr>
        <w:tc>
          <w:tcPr>
            <w:tcW w:w="3830" w:type="dxa"/>
            <w:gridSpan w:val="2"/>
            <w:tcBorders>
              <w:top w:val="nil"/>
              <w:left w:val="nil"/>
              <w:bottom w:val="single" w:sz="4" w:space="0" w:color="auto"/>
              <w:right w:val="nil"/>
            </w:tcBorders>
            <w:hideMark/>
          </w:tcPr>
          <w:p w14:paraId="7FEE4B79" w14:textId="77777777" w:rsidR="00FD4349" w:rsidRPr="008F2C66" w:rsidRDefault="00FD4349" w:rsidP="00187F08">
            <w:pPr>
              <w:pStyle w:val="SubmTableHeading"/>
              <w:rPr>
                <w:sz w:val="20"/>
                <w:szCs w:val="20"/>
                <w:lang w:eastAsia="en-AU"/>
              </w:rPr>
            </w:pPr>
            <w:r w:rsidRPr="008F2C66">
              <w:rPr>
                <w:sz w:val="20"/>
                <w:szCs w:val="20"/>
                <w:lang w:eastAsia="en-AU"/>
              </w:rPr>
              <w:t>Name, Restriction,</w:t>
            </w:r>
          </w:p>
          <w:p w14:paraId="73D256BE" w14:textId="77777777" w:rsidR="00FD4349" w:rsidRPr="008F2C66" w:rsidRDefault="00FD4349" w:rsidP="00187F08">
            <w:pPr>
              <w:pStyle w:val="SubmTableHeading"/>
              <w:rPr>
                <w:sz w:val="20"/>
                <w:szCs w:val="20"/>
                <w:lang w:eastAsia="en-AU"/>
              </w:rPr>
            </w:pPr>
            <w:r w:rsidRPr="008F2C66">
              <w:rPr>
                <w:sz w:val="20"/>
                <w:szCs w:val="20"/>
                <w:lang w:eastAsia="en-AU"/>
              </w:rPr>
              <w:t>Manner of administration and form</w:t>
            </w:r>
          </w:p>
        </w:tc>
        <w:tc>
          <w:tcPr>
            <w:tcW w:w="1228" w:type="dxa"/>
            <w:tcBorders>
              <w:top w:val="nil"/>
              <w:left w:val="nil"/>
              <w:bottom w:val="single" w:sz="4" w:space="0" w:color="auto"/>
              <w:right w:val="nil"/>
            </w:tcBorders>
            <w:hideMark/>
          </w:tcPr>
          <w:p w14:paraId="6756A58A" w14:textId="77777777" w:rsidR="00FD4349" w:rsidRPr="008F2C66" w:rsidRDefault="00FD4349" w:rsidP="00187F08">
            <w:pPr>
              <w:pStyle w:val="SubmTableHeading"/>
              <w:rPr>
                <w:sz w:val="20"/>
                <w:szCs w:val="20"/>
                <w:lang w:eastAsia="en-AU"/>
              </w:rPr>
            </w:pPr>
            <w:r w:rsidRPr="008F2C66">
              <w:rPr>
                <w:sz w:val="20"/>
                <w:szCs w:val="20"/>
                <w:lang w:eastAsia="en-AU"/>
              </w:rPr>
              <w:t>Max.</w:t>
            </w:r>
          </w:p>
          <w:p w14:paraId="02199C58" w14:textId="77777777" w:rsidR="00FD4349" w:rsidRPr="008F2C66" w:rsidRDefault="00FD4349" w:rsidP="00187F08">
            <w:pPr>
              <w:pStyle w:val="SubmTableHeading"/>
              <w:rPr>
                <w:sz w:val="20"/>
                <w:szCs w:val="20"/>
                <w:lang w:eastAsia="en-AU"/>
              </w:rPr>
            </w:pPr>
            <w:r w:rsidRPr="008F2C66">
              <w:rPr>
                <w:sz w:val="20"/>
                <w:szCs w:val="20"/>
                <w:lang w:eastAsia="en-AU"/>
              </w:rPr>
              <w:t>Amt</w:t>
            </w:r>
          </w:p>
        </w:tc>
        <w:tc>
          <w:tcPr>
            <w:tcW w:w="1228" w:type="dxa"/>
            <w:tcBorders>
              <w:top w:val="nil"/>
              <w:left w:val="nil"/>
              <w:bottom w:val="single" w:sz="4" w:space="0" w:color="auto"/>
              <w:right w:val="nil"/>
            </w:tcBorders>
            <w:hideMark/>
          </w:tcPr>
          <w:p w14:paraId="2B8F7D17" w14:textId="77777777" w:rsidR="00FD4349" w:rsidRPr="008F2C66" w:rsidRDefault="00FD4349" w:rsidP="00187F08">
            <w:pPr>
              <w:pStyle w:val="SubmTableHeading"/>
              <w:rPr>
                <w:sz w:val="20"/>
                <w:szCs w:val="20"/>
                <w:lang w:eastAsia="en-AU"/>
              </w:rPr>
            </w:pPr>
            <w:r w:rsidRPr="008F2C66">
              <w:rPr>
                <w:sz w:val="20"/>
                <w:szCs w:val="20"/>
                <w:lang w:eastAsia="en-AU"/>
              </w:rPr>
              <w:t>№. of</w:t>
            </w:r>
          </w:p>
          <w:p w14:paraId="3ABE99C6" w14:textId="77777777" w:rsidR="00FD4349" w:rsidRPr="008F2C66" w:rsidRDefault="00FD4349" w:rsidP="00187F08">
            <w:pPr>
              <w:pStyle w:val="SubmTableHeading"/>
              <w:rPr>
                <w:sz w:val="20"/>
                <w:szCs w:val="20"/>
                <w:lang w:eastAsia="en-AU"/>
              </w:rPr>
            </w:pPr>
            <w:r w:rsidRPr="008F2C66">
              <w:rPr>
                <w:sz w:val="20"/>
                <w:szCs w:val="20"/>
                <w:lang w:eastAsia="en-AU"/>
              </w:rPr>
              <w:t>Rpts</w:t>
            </w:r>
          </w:p>
        </w:tc>
        <w:tc>
          <w:tcPr>
            <w:tcW w:w="1229" w:type="dxa"/>
            <w:tcBorders>
              <w:top w:val="nil"/>
              <w:left w:val="nil"/>
              <w:bottom w:val="single" w:sz="4" w:space="0" w:color="auto"/>
              <w:right w:val="nil"/>
            </w:tcBorders>
            <w:hideMark/>
          </w:tcPr>
          <w:p w14:paraId="3D1E172C" w14:textId="77777777" w:rsidR="00FD4349" w:rsidRPr="008F2C66" w:rsidRDefault="00FD4349" w:rsidP="00187F08">
            <w:pPr>
              <w:pStyle w:val="SubmTableHeading"/>
              <w:rPr>
                <w:sz w:val="20"/>
                <w:szCs w:val="20"/>
                <w:lang w:eastAsia="en-AU"/>
              </w:rPr>
            </w:pPr>
            <w:r w:rsidRPr="008F2C66">
              <w:rPr>
                <w:sz w:val="20"/>
                <w:szCs w:val="20"/>
                <w:lang w:eastAsia="en-AU"/>
              </w:rPr>
              <w:t xml:space="preserve">Proprietary Name </w:t>
            </w:r>
          </w:p>
        </w:tc>
        <w:tc>
          <w:tcPr>
            <w:tcW w:w="1560" w:type="dxa"/>
            <w:tcBorders>
              <w:top w:val="nil"/>
              <w:left w:val="nil"/>
              <w:bottom w:val="single" w:sz="4" w:space="0" w:color="auto"/>
              <w:right w:val="nil"/>
            </w:tcBorders>
            <w:hideMark/>
          </w:tcPr>
          <w:p w14:paraId="466BCF72" w14:textId="77777777" w:rsidR="00FD4349" w:rsidRPr="008F2C66" w:rsidRDefault="00FD4349" w:rsidP="00187F08">
            <w:pPr>
              <w:pStyle w:val="SubmTableHeading"/>
              <w:rPr>
                <w:sz w:val="20"/>
                <w:szCs w:val="20"/>
                <w:lang w:eastAsia="en-AU"/>
              </w:rPr>
            </w:pPr>
            <w:r w:rsidRPr="008F2C66">
              <w:rPr>
                <w:sz w:val="20"/>
                <w:szCs w:val="20"/>
                <w:lang w:eastAsia="en-AU"/>
              </w:rPr>
              <w:t>Manufacturer</w:t>
            </w:r>
          </w:p>
        </w:tc>
      </w:tr>
      <w:tr w:rsidR="00FD4349" w:rsidRPr="005467E8" w14:paraId="43B7080C" w14:textId="77777777" w:rsidTr="00187F08">
        <w:trPr>
          <w:trHeight w:val="20"/>
        </w:trPr>
        <w:tc>
          <w:tcPr>
            <w:tcW w:w="3830" w:type="dxa"/>
            <w:gridSpan w:val="2"/>
            <w:tcBorders>
              <w:top w:val="single" w:sz="4" w:space="0" w:color="auto"/>
              <w:left w:val="nil"/>
              <w:bottom w:val="single" w:sz="4" w:space="0" w:color="auto"/>
              <w:right w:val="nil"/>
            </w:tcBorders>
          </w:tcPr>
          <w:p w14:paraId="3ABD9FB7" w14:textId="77777777" w:rsidR="00FD4349" w:rsidRPr="008F2C66" w:rsidRDefault="00FD4349" w:rsidP="00187F08">
            <w:pPr>
              <w:pStyle w:val="SubmTableTxt"/>
              <w:keepNext/>
              <w:rPr>
                <w:rFonts w:cs="Times New Roman"/>
                <w:sz w:val="20"/>
                <w:szCs w:val="20"/>
                <w:lang w:eastAsia="en-AU"/>
              </w:rPr>
            </w:pPr>
            <w:r w:rsidRPr="008F2C66">
              <w:rPr>
                <w:sz w:val="20"/>
                <w:szCs w:val="20"/>
                <w:lang w:eastAsia="en-AU"/>
              </w:rPr>
              <w:t>CEMIPLIMAB</w:t>
            </w:r>
            <w:r w:rsidRPr="008F2C66">
              <w:rPr>
                <w:sz w:val="20"/>
                <w:szCs w:val="20"/>
                <w:lang w:eastAsia="en-AU"/>
              </w:rPr>
              <w:br/>
              <w:t>350 mg/7 mL injection, 10 mL vial</w:t>
            </w:r>
            <w:r w:rsidRPr="008F2C66">
              <w:rPr>
                <w:rFonts w:cs="Times New Roman"/>
                <w:sz w:val="20"/>
                <w:szCs w:val="20"/>
                <w:lang w:eastAsia="en-AU"/>
              </w:rPr>
              <w:t xml:space="preserve"> solution for infusion, 1 x 10 mL vial</w:t>
            </w:r>
          </w:p>
          <w:p w14:paraId="17A50AD2" w14:textId="77777777" w:rsidR="00FD4349" w:rsidRPr="008F2C66" w:rsidRDefault="00FD4349" w:rsidP="00187F08">
            <w:pPr>
              <w:pStyle w:val="SubmTableTxt"/>
              <w:keepNext/>
              <w:rPr>
                <w:rFonts w:cs="Times New Roman"/>
                <w:sz w:val="20"/>
                <w:szCs w:val="20"/>
                <w:lang w:eastAsia="en-AU"/>
              </w:rPr>
            </w:pPr>
          </w:p>
        </w:tc>
        <w:tc>
          <w:tcPr>
            <w:tcW w:w="1228" w:type="dxa"/>
            <w:tcBorders>
              <w:top w:val="single" w:sz="4" w:space="0" w:color="auto"/>
              <w:left w:val="nil"/>
              <w:bottom w:val="single" w:sz="4" w:space="0" w:color="auto"/>
              <w:right w:val="nil"/>
            </w:tcBorders>
            <w:hideMark/>
          </w:tcPr>
          <w:p w14:paraId="319CDDE0" w14:textId="77777777" w:rsidR="00FD4349" w:rsidRPr="008F2C66" w:rsidRDefault="00FD4349" w:rsidP="00187F08">
            <w:pPr>
              <w:pStyle w:val="SubmTableTxt"/>
              <w:keepNext/>
              <w:rPr>
                <w:rFonts w:cs="Times New Roman"/>
                <w:sz w:val="20"/>
                <w:szCs w:val="20"/>
                <w:lang w:eastAsia="en-AU"/>
              </w:rPr>
            </w:pPr>
            <w:r w:rsidRPr="008F2C66">
              <w:rPr>
                <w:rFonts w:cs="Times New Roman"/>
                <w:sz w:val="20"/>
                <w:szCs w:val="20"/>
                <w:lang w:eastAsia="en-AU"/>
              </w:rPr>
              <w:t>350 mg</w:t>
            </w:r>
          </w:p>
        </w:tc>
        <w:tc>
          <w:tcPr>
            <w:tcW w:w="1228" w:type="dxa"/>
            <w:tcBorders>
              <w:top w:val="single" w:sz="4" w:space="0" w:color="auto"/>
              <w:left w:val="nil"/>
              <w:bottom w:val="single" w:sz="4" w:space="0" w:color="auto"/>
              <w:right w:val="nil"/>
            </w:tcBorders>
            <w:hideMark/>
          </w:tcPr>
          <w:p w14:paraId="69F8AE11" w14:textId="77777777" w:rsidR="00FD4349" w:rsidRPr="008F2C66" w:rsidRDefault="00FD4349" w:rsidP="00187F08">
            <w:pPr>
              <w:pStyle w:val="SubmTableTxt"/>
              <w:keepNext/>
              <w:rPr>
                <w:rFonts w:cs="Times New Roman"/>
                <w:sz w:val="20"/>
                <w:szCs w:val="20"/>
                <w:lang w:eastAsia="en-AU"/>
              </w:rPr>
            </w:pPr>
            <w:r w:rsidRPr="008F2C66">
              <w:rPr>
                <w:rFonts w:cs="Times New Roman"/>
                <w:sz w:val="20"/>
                <w:szCs w:val="20"/>
                <w:lang w:eastAsia="en-AU"/>
              </w:rPr>
              <w:t>6</w:t>
            </w:r>
          </w:p>
        </w:tc>
        <w:tc>
          <w:tcPr>
            <w:tcW w:w="1229" w:type="dxa"/>
            <w:tcBorders>
              <w:top w:val="single" w:sz="4" w:space="0" w:color="auto"/>
              <w:left w:val="nil"/>
              <w:bottom w:val="single" w:sz="4" w:space="0" w:color="auto"/>
              <w:right w:val="nil"/>
            </w:tcBorders>
            <w:hideMark/>
          </w:tcPr>
          <w:p w14:paraId="043ABE43" w14:textId="77777777" w:rsidR="00FD4349" w:rsidRPr="008F2C66" w:rsidRDefault="00FD4349" w:rsidP="00187F08">
            <w:pPr>
              <w:pStyle w:val="SubmTableTxt"/>
              <w:keepNext/>
              <w:rPr>
                <w:rFonts w:cs="Times New Roman"/>
                <w:sz w:val="20"/>
                <w:szCs w:val="20"/>
                <w:lang w:eastAsia="en-AU"/>
              </w:rPr>
            </w:pPr>
            <w:r w:rsidRPr="008F2C66">
              <w:rPr>
                <w:rFonts w:cs="Times New Roman"/>
                <w:sz w:val="20"/>
                <w:szCs w:val="20"/>
                <w:lang w:eastAsia="en-AU"/>
              </w:rPr>
              <w:t>Libtayo</w:t>
            </w:r>
            <w:r w:rsidRPr="008F2C66">
              <w:rPr>
                <w:rFonts w:cs="Times New Roman"/>
                <w:sz w:val="20"/>
                <w:szCs w:val="20"/>
                <w:vertAlign w:val="superscript"/>
                <w:lang w:eastAsia="en-AU"/>
              </w:rPr>
              <w:t>®</w:t>
            </w:r>
          </w:p>
        </w:tc>
        <w:tc>
          <w:tcPr>
            <w:tcW w:w="1560" w:type="dxa"/>
            <w:tcBorders>
              <w:top w:val="single" w:sz="4" w:space="0" w:color="auto"/>
              <w:left w:val="nil"/>
              <w:bottom w:val="single" w:sz="4" w:space="0" w:color="auto"/>
              <w:right w:val="nil"/>
            </w:tcBorders>
            <w:hideMark/>
          </w:tcPr>
          <w:p w14:paraId="5CA1BC06" w14:textId="77777777" w:rsidR="00FD4349" w:rsidRPr="008F2C66" w:rsidRDefault="00FD4349" w:rsidP="00187F08">
            <w:pPr>
              <w:pStyle w:val="SubmTableTxt"/>
              <w:keepNext/>
              <w:rPr>
                <w:rFonts w:cs="Times New Roman"/>
                <w:sz w:val="20"/>
                <w:szCs w:val="20"/>
                <w:lang w:eastAsia="en-AU"/>
              </w:rPr>
            </w:pPr>
            <w:r w:rsidRPr="008F2C66">
              <w:rPr>
                <w:rFonts w:cs="Times New Roman"/>
                <w:sz w:val="20"/>
                <w:szCs w:val="20"/>
                <w:lang w:eastAsia="en-AU"/>
              </w:rPr>
              <w:t>sanofi</w:t>
            </w:r>
            <w:r w:rsidRPr="008F2C66">
              <w:rPr>
                <w:rFonts w:cs="Times New Roman"/>
                <w:sz w:val="20"/>
                <w:szCs w:val="20"/>
                <w:lang w:eastAsia="en-AU"/>
              </w:rPr>
              <w:noBreakHyphen/>
              <w:t>aventis Australia Pty Ltd</w:t>
            </w:r>
          </w:p>
        </w:tc>
      </w:tr>
      <w:tr w:rsidR="00FD4349" w:rsidRPr="005467E8" w14:paraId="1F76C4F4" w14:textId="77777777" w:rsidTr="00187F08">
        <w:trPr>
          <w:trHeight w:val="20"/>
        </w:trPr>
        <w:tc>
          <w:tcPr>
            <w:tcW w:w="2269" w:type="dxa"/>
            <w:tcBorders>
              <w:top w:val="single" w:sz="4" w:space="0" w:color="auto"/>
              <w:left w:val="single" w:sz="4" w:space="0" w:color="auto"/>
              <w:bottom w:val="single" w:sz="4" w:space="0" w:color="auto"/>
              <w:right w:val="single" w:sz="4" w:space="0" w:color="auto"/>
            </w:tcBorders>
            <w:hideMark/>
          </w:tcPr>
          <w:p w14:paraId="5FBC9457" w14:textId="77777777" w:rsidR="00FD4349" w:rsidRPr="008F2C66" w:rsidRDefault="00FD4349" w:rsidP="00187F08">
            <w:pPr>
              <w:keepNext/>
              <w:rPr>
                <w:rFonts w:ascii="Arial Narrow" w:hAnsi="Arial Narrow"/>
                <w:b/>
                <w:sz w:val="20"/>
                <w:szCs w:val="20"/>
              </w:rPr>
            </w:pPr>
            <w:r w:rsidRPr="008F2C66">
              <w:rPr>
                <w:rFonts w:ascii="Arial Narrow" w:hAnsi="Arial Narrow"/>
                <w:b/>
                <w:sz w:val="20"/>
                <w:szCs w:val="20"/>
              </w:rPr>
              <w:t>Category / Program:</w:t>
            </w:r>
          </w:p>
        </w:tc>
        <w:tc>
          <w:tcPr>
            <w:tcW w:w="6806" w:type="dxa"/>
            <w:gridSpan w:val="5"/>
            <w:tcBorders>
              <w:top w:val="single" w:sz="4" w:space="0" w:color="auto"/>
              <w:left w:val="single" w:sz="4" w:space="0" w:color="auto"/>
              <w:bottom w:val="single" w:sz="4" w:space="0" w:color="auto"/>
              <w:right w:val="single" w:sz="4" w:space="0" w:color="auto"/>
            </w:tcBorders>
            <w:hideMark/>
          </w:tcPr>
          <w:p w14:paraId="6093C198" w14:textId="77777777" w:rsidR="00FD4349" w:rsidRPr="008F2C66" w:rsidRDefault="00FD4349" w:rsidP="00FD4349">
            <w:pPr>
              <w:keepNext/>
              <w:jc w:val="left"/>
              <w:rPr>
                <w:rFonts w:ascii="Arial Narrow" w:hAnsi="Arial Narrow"/>
                <w:sz w:val="20"/>
                <w:szCs w:val="20"/>
              </w:rPr>
            </w:pPr>
            <w:r w:rsidRPr="008F2C66">
              <w:rPr>
                <w:rFonts w:ascii="Arial Narrow" w:hAnsi="Arial Narrow"/>
                <w:sz w:val="20"/>
                <w:szCs w:val="20"/>
              </w:rPr>
              <w:t xml:space="preserve">Section 100 – Efficient Funding of Chemotherapy </w:t>
            </w:r>
            <w:r w:rsidRPr="008F2C66">
              <w:rPr>
                <w:rFonts w:ascii="Arial Narrow" w:hAnsi="Arial Narrow"/>
                <w:sz w:val="20"/>
                <w:szCs w:val="20"/>
              </w:rPr>
              <w:br/>
              <w:t>Chemotherapy Items for Public Hospital Use</w:t>
            </w:r>
            <w:r w:rsidRPr="008F2C66">
              <w:rPr>
                <w:rFonts w:ascii="Arial Narrow" w:hAnsi="Arial Narrow"/>
                <w:sz w:val="20"/>
                <w:szCs w:val="20"/>
              </w:rPr>
              <w:br/>
              <w:t>Chemotherapy Items for Private Hospital Use</w:t>
            </w:r>
          </w:p>
        </w:tc>
      </w:tr>
      <w:tr w:rsidR="00FD4349" w:rsidRPr="005467E8" w14:paraId="29EAE7E5" w14:textId="77777777" w:rsidTr="00187F08">
        <w:trPr>
          <w:trHeight w:val="20"/>
        </w:trPr>
        <w:tc>
          <w:tcPr>
            <w:tcW w:w="2269" w:type="dxa"/>
            <w:tcBorders>
              <w:top w:val="single" w:sz="4" w:space="0" w:color="auto"/>
              <w:left w:val="single" w:sz="4" w:space="0" w:color="auto"/>
              <w:bottom w:val="single" w:sz="4" w:space="0" w:color="auto"/>
              <w:right w:val="single" w:sz="4" w:space="0" w:color="auto"/>
            </w:tcBorders>
            <w:hideMark/>
          </w:tcPr>
          <w:p w14:paraId="2A6E8B3A" w14:textId="77777777" w:rsidR="00FD4349" w:rsidRPr="008F2C66" w:rsidRDefault="00FD4349" w:rsidP="00187F08">
            <w:pPr>
              <w:keepNext/>
              <w:rPr>
                <w:rFonts w:ascii="Arial Narrow" w:hAnsi="Arial Narrow"/>
                <w:b/>
                <w:sz w:val="20"/>
                <w:szCs w:val="20"/>
              </w:rPr>
            </w:pPr>
            <w:r w:rsidRPr="008F2C66">
              <w:rPr>
                <w:rFonts w:ascii="Arial Narrow" w:hAnsi="Arial Narrow"/>
                <w:b/>
                <w:sz w:val="20"/>
                <w:szCs w:val="20"/>
              </w:rPr>
              <w:t>Prescriber type:</w:t>
            </w:r>
          </w:p>
        </w:tc>
        <w:tc>
          <w:tcPr>
            <w:tcW w:w="6806" w:type="dxa"/>
            <w:gridSpan w:val="5"/>
            <w:tcBorders>
              <w:top w:val="single" w:sz="4" w:space="0" w:color="auto"/>
              <w:left w:val="single" w:sz="4" w:space="0" w:color="auto"/>
              <w:bottom w:val="single" w:sz="4" w:space="0" w:color="auto"/>
              <w:right w:val="single" w:sz="4" w:space="0" w:color="auto"/>
            </w:tcBorders>
            <w:hideMark/>
          </w:tcPr>
          <w:p w14:paraId="6DDFE797" w14:textId="77777777" w:rsidR="00FD4349" w:rsidRPr="008F2C66" w:rsidRDefault="00FD4349" w:rsidP="00187F08">
            <w:pPr>
              <w:keepNext/>
              <w:rPr>
                <w:rFonts w:ascii="Arial Narrow" w:hAnsi="Arial Narrow"/>
                <w:sz w:val="20"/>
                <w:szCs w:val="20"/>
              </w:rPr>
            </w:pPr>
            <w:r w:rsidRPr="008F2C66">
              <w:rPr>
                <w:rFonts w:ascii="Arial Narrow" w:hAnsi="Arial Narrow"/>
                <w:color w:val="2B579A"/>
                <w:sz w:val="20"/>
                <w:szCs w:val="20"/>
                <w:shd w:val="clear" w:color="auto" w:fill="E6E6E6"/>
              </w:rPr>
              <w:fldChar w:fldCharType="begin">
                <w:ffData>
                  <w:name w:val="Check1"/>
                  <w:enabled/>
                  <w:calcOnExit w:val="0"/>
                  <w:checkBox>
                    <w:sizeAuto/>
                    <w:default w:val="0"/>
                  </w:checkBox>
                </w:ffData>
              </w:fldChar>
            </w:r>
            <w:r w:rsidRPr="008F2C66">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F2C66">
              <w:rPr>
                <w:rFonts w:ascii="Arial Narrow" w:hAnsi="Arial Narrow"/>
                <w:color w:val="2B579A"/>
                <w:sz w:val="20"/>
                <w:szCs w:val="20"/>
                <w:shd w:val="clear" w:color="auto" w:fill="E6E6E6"/>
              </w:rPr>
              <w:fldChar w:fldCharType="end"/>
            </w:r>
            <w:r w:rsidRPr="008F2C66">
              <w:rPr>
                <w:rFonts w:ascii="Arial Narrow" w:hAnsi="Arial Narrow"/>
                <w:sz w:val="20"/>
                <w:szCs w:val="20"/>
              </w:rPr>
              <w:t xml:space="preserve">Dental  </w:t>
            </w:r>
            <w:r w:rsidRPr="008F2C66">
              <w:rPr>
                <w:rFonts w:ascii="Arial Narrow" w:hAnsi="Arial Narrow"/>
                <w:color w:val="2B579A"/>
                <w:sz w:val="20"/>
                <w:szCs w:val="20"/>
                <w:shd w:val="clear" w:color="auto" w:fill="E6E6E6"/>
              </w:rPr>
              <w:fldChar w:fldCharType="begin">
                <w:ffData>
                  <w:name w:val=""/>
                  <w:enabled/>
                  <w:calcOnExit w:val="0"/>
                  <w:checkBox>
                    <w:sizeAuto/>
                    <w:default w:val="1"/>
                  </w:checkBox>
                </w:ffData>
              </w:fldChar>
            </w:r>
            <w:r w:rsidRPr="008F2C66">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F2C66">
              <w:rPr>
                <w:rFonts w:ascii="Arial Narrow" w:hAnsi="Arial Narrow"/>
                <w:color w:val="2B579A"/>
                <w:sz w:val="20"/>
                <w:szCs w:val="20"/>
                <w:shd w:val="clear" w:color="auto" w:fill="E6E6E6"/>
              </w:rPr>
              <w:fldChar w:fldCharType="end"/>
            </w:r>
            <w:r w:rsidRPr="008F2C66">
              <w:rPr>
                <w:rFonts w:ascii="Arial Narrow" w:hAnsi="Arial Narrow"/>
                <w:sz w:val="20"/>
                <w:szCs w:val="20"/>
              </w:rPr>
              <w:t xml:space="preserve">Medical Practitioners  </w:t>
            </w:r>
            <w:r w:rsidRPr="008F2C66">
              <w:rPr>
                <w:rFonts w:ascii="Arial Narrow" w:hAnsi="Arial Narrow"/>
                <w:color w:val="2B579A"/>
                <w:sz w:val="20"/>
                <w:szCs w:val="20"/>
                <w:shd w:val="clear" w:color="auto" w:fill="E6E6E6"/>
              </w:rPr>
              <w:fldChar w:fldCharType="begin">
                <w:ffData>
                  <w:name w:val="Check3"/>
                  <w:enabled/>
                  <w:calcOnExit w:val="0"/>
                  <w:checkBox>
                    <w:sizeAuto/>
                    <w:default w:val="0"/>
                  </w:checkBox>
                </w:ffData>
              </w:fldChar>
            </w:r>
            <w:r w:rsidRPr="008F2C66">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F2C66">
              <w:rPr>
                <w:rFonts w:ascii="Arial Narrow" w:hAnsi="Arial Narrow"/>
                <w:color w:val="2B579A"/>
                <w:sz w:val="20"/>
                <w:szCs w:val="20"/>
                <w:shd w:val="clear" w:color="auto" w:fill="E6E6E6"/>
              </w:rPr>
              <w:fldChar w:fldCharType="end"/>
            </w:r>
            <w:r w:rsidRPr="008F2C66">
              <w:rPr>
                <w:rFonts w:ascii="Arial Narrow" w:hAnsi="Arial Narrow"/>
                <w:sz w:val="20"/>
                <w:szCs w:val="20"/>
              </w:rPr>
              <w:t xml:space="preserve">Nurse practitioners  </w:t>
            </w:r>
            <w:r w:rsidRPr="008F2C66">
              <w:rPr>
                <w:rFonts w:ascii="Arial Narrow" w:hAnsi="Arial Narrow"/>
                <w:color w:val="2B579A"/>
                <w:sz w:val="20"/>
                <w:szCs w:val="20"/>
                <w:shd w:val="clear" w:color="auto" w:fill="E6E6E6"/>
              </w:rPr>
              <w:fldChar w:fldCharType="begin">
                <w:ffData>
                  <w:name w:val=""/>
                  <w:enabled/>
                  <w:calcOnExit w:val="0"/>
                  <w:checkBox>
                    <w:sizeAuto/>
                    <w:default w:val="0"/>
                  </w:checkBox>
                </w:ffData>
              </w:fldChar>
            </w:r>
            <w:r w:rsidRPr="008F2C66">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F2C66">
              <w:rPr>
                <w:rFonts w:ascii="Arial Narrow" w:hAnsi="Arial Narrow"/>
                <w:color w:val="2B579A"/>
                <w:sz w:val="20"/>
                <w:szCs w:val="20"/>
                <w:shd w:val="clear" w:color="auto" w:fill="E6E6E6"/>
              </w:rPr>
              <w:fldChar w:fldCharType="end"/>
            </w:r>
            <w:r w:rsidRPr="008F2C66">
              <w:rPr>
                <w:rFonts w:ascii="Arial Narrow" w:hAnsi="Arial Narrow"/>
                <w:sz w:val="20"/>
                <w:szCs w:val="20"/>
              </w:rPr>
              <w:t>Optometrists</w:t>
            </w:r>
          </w:p>
          <w:p w14:paraId="41C47C8C" w14:textId="77777777" w:rsidR="00FD4349" w:rsidRPr="008F2C66" w:rsidRDefault="00FD4349" w:rsidP="00187F08">
            <w:pPr>
              <w:keepNext/>
              <w:rPr>
                <w:rFonts w:ascii="Arial Narrow" w:hAnsi="Arial Narrow"/>
                <w:sz w:val="20"/>
                <w:szCs w:val="20"/>
              </w:rPr>
            </w:pPr>
            <w:r w:rsidRPr="008F2C66">
              <w:rPr>
                <w:rFonts w:ascii="Arial Narrow" w:hAnsi="Arial Narrow"/>
                <w:color w:val="2B579A"/>
                <w:sz w:val="20"/>
                <w:szCs w:val="20"/>
                <w:shd w:val="clear" w:color="auto" w:fill="E6E6E6"/>
              </w:rPr>
              <w:fldChar w:fldCharType="begin">
                <w:ffData>
                  <w:name w:val="Check5"/>
                  <w:enabled/>
                  <w:calcOnExit w:val="0"/>
                  <w:checkBox>
                    <w:sizeAuto/>
                    <w:default w:val="0"/>
                  </w:checkBox>
                </w:ffData>
              </w:fldChar>
            </w:r>
            <w:r w:rsidRPr="008F2C66">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F2C66">
              <w:rPr>
                <w:rFonts w:ascii="Arial Narrow" w:hAnsi="Arial Narrow"/>
                <w:color w:val="2B579A"/>
                <w:sz w:val="20"/>
                <w:szCs w:val="20"/>
                <w:shd w:val="clear" w:color="auto" w:fill="E6E6E6"/>
              </w:rPr>
              <w:fldChar w:fldCharType="end"/>
            </w:r>
            <w:r w:rsidRPr="008F2C66">
              <w:rPr>
                <w:rFonts w:ascii="Arial Narrow" w:hAnsi="Arial Narrow"/>
                <w:sz w:val="20"/>
                <w:szCs w:val="20"/>
              </w:rPr>
              <w:t>Midwives</w:t>
            </w:r>
          </w:p>
        </w:tc>
      </w:tr>
      <w:tr w:rsidR="00FD4349" w:rsidRPr="005467E8" w14:paraId="7B768A8F" w14:textId="77777777" w:rsidTr="00187F08">
        <w:trPr>
          <w:trHeight w:val="20"/>
        </w:trPr>
        <w:tc>
          <w:tcPr>
            <w:tcW w:w="2269" w:type="dxa"/>
            <w:tcBorders>
              <w:top w:val="single" w:sz="4" w:space="0" w:color="auto"/>
              <w:left w:val="single" w:sz="4" w:space="0" w:color="auto"/>
              <w:bottom w:val="single" w:sz="4" w:space="0" w:color="auto"/>
              <w:right w:val="single" w:sz="4" w:space="0" w:color="auto"/>
            </w:tcBorders>
            <w:hideMark/>
          </w:tcPr>
          <w:p w14:paraId="33CEF849" w14:textId="77777777" w:rsidR="00FD4349" w:rsidRPr="008F2C66" w:rsidRDefault="00FD4349" w:rsidP="00187F08">
            <w:pPr>
              <w:rPr>
                <w:rFonts w:ascii="Arial Narrow" w:hAnsi="Arial Narrow"/>
                <w:b/>
                <w:sz w:val="20"/>
                <w:szCs w:val="20"/>
              </w:rPr>
            </w:pPr>
            <w:r w:rsidRPr="008F2C66">
              <w:rPr>
                <w:rFonts w:ascii="Arial Narrow" w:hAnsi="Arial Narrow"/>
                <w:b/>
                <w:sz w:val="20"/>
                <w:szCs w:val="20"/>
              </w:rPr>
              <w:t>Severity:</w:t>
            </w:r>
          </w:p>
        </w:tc>
        <w:tc>
          <w:tcPr>
            <w:tcW w:w="6806" w:type="dxa"/>
            <w:gridSpan w:val="5"/>
            <w:tcBorders>
              <w:top w:val="single" w:sz="4" w:space="0" w:color="auto"/>
              <w:left w:val="single" w:sz="4" w:space="0" w:color="auto"/>
              <w:bottom w:val="single" w:sz="4" w:space="0" w:color="auto"/>
              <w:right w:val="single" w:sz="4" w:space="0" w:color="auto"/>
            </w:tcBorders>
            <w:hideMark/>
          </w:tcPr>
          <w:p w14:paraId="2617D5EC" w14:textId="77777777" w:rsidR="00FD4349" w:rsidRPr="008F2C66" w:rsidRDefault="00FD4349" w:rsidP="00187F08">
            <w:pPr>
              <w:rPr>
                <w:rFonts w:ascii="Arial Narrow" w:hAnsi="Arial Narrow"/>
                <w:sz w:val="20"/>
                <w:szCs w:val="20"/>
              </w:rPr>
            </w:pPr>
            <w:r w:rsidRPr="008F2C66">
              <w:rPr>
                <w:rFonts w:ascii="Arial Narrow" w:hAnsi="Arial Narrow"/>
                <w:sz w:val="20"/>
                <w:szCs w:val="20"/>
              </w:rPr>
              <w:t>Stage IV (metastatic)</w:t>
            </w:r>
          </w:p>
        </w:tc>
      </w:tr>
      <w:tr w:rsidR="00FD4349" w:rsidRPr="005467E8" w14:paraId="231E586D" w14:textId="77777777" w:rsidTr="00187F08">
        <w:trPr>
          <w:trHeight w:val="20"/>
        </w:trPr>
        <w:tc>
          <w:tcPr>
            <w:tcW w:w="2269" w:type="dxa"/>
            <w:tcBorders>
              <w:top w:val="single" w:sz="4" w:space="0" w:color="auto"/>
              <w:left w:val="single" w:sz="4" w:space="0" w:color="auto"/>
              <w:bottom w:val="single" w:sz="4" w:space="0" w:color="auto"/>
              <w:right w:val="single" w:sz="4" w:space="0" w:color="auto"/>
            </w:tcBorders>
            <w:hideMark/>
          </w:tcPr>
          <w:p w14:paraId="0DAE8943" w14:textId="77777777" w:rsidR="00FD4349" w:rsidRPr="008F2C66" w:rsidRDefault="00FD4349" w:rsidP="00187F08">
            <w:pPr>
              <w:rPr>
                <w:rFonts w:ascii="Arial Narrow" w:hAnsi="Arial Narrow"/>
                <w:b/>
                <w:sz w:val="20"/>
                <w:szCs w:val="20"/>
              </w:rPr>
            </w:pPr>
            <w:r w:rsidRPr="008F2C66">
              <w:rPr>
                <w:rFonts w:ascii="Arial Narrow" w:hAnsi="Arial Narrow"/>
                <w:b/>
                <w:sz w:val="20"/>
                <w:szCs w:val="20"/>
              </w:rPr>
              <w:t>Condition:</w:t>
            </w:r>
          </w:p>
        </w:tc>
        <w:tc>
          <w:tcPr>
            <w:tcW w:w="6806" w:type="dxa"/>
            <w:gridSpan w:val="5"/>
            <w:tcBorders>
              <w:top w:val="single" w:sz="4" w:space="0" w:color="auto"/>
              <w:left w:val="single" w:sz="4" w:space="0" w:color="auto"/>
              <w:bottom w:val="single" w:sz="4" w:space="0" w:color="auto"/>
              <w:right w:val="single" w:sz="4" w:space="0" w:color="auto"/>
            </w:tcBorders>
            <w:hideMark/>
          </w:tcPr>
          <w:p w14:paraId="7BD485CF" w14:textId="77777777" w:rsidR="00FD4349" w:rsidRPr="008F2C66" w:rsidRDefault="00FD4349" w:rsidP="00187F08">
            <w:pPr>
              <w:rPr>
                <w:rFonts w:ascii="Arial Narrow" w:hAnsi="Arial Narrow"/>
                <w:sz w:val="20"/>
                <w:szCs w:val="20"/>
              </w:rPr>
            </w:pPr>
            <w:r w:rsidRPr="008F2C66">
              <w:rPr>
                <w:rFonts w:ascii="Arial Narrow" w:hAnsi="Arial Narrow"/>
                <w:sz w:val="20"/>
                <w:szCs w:val="20"/>
              </w:rPr>
              <w:t>Non</w:t>
            </w:r>
            <w:r w:rsidRPr="008F2C66">
              <w:rPr>
                <w:rFonts w:ascii="Arial Narrow" w:hAnsi="Arial Narrow"/>
                <w:sz w:val="20"/>
                <w:szCs w:val="20"/>
              </w:rPr>
              <w:noBreakHyphen/>
              <w:t>small cell lung cancer (NSCLC)</w:t>
            </w:r>
          </w:p>
        </w:tc>
      </w:tr>
      <w:tr w:rsidR="00FD4349" w:rsidRPr="005467E8" w14:paraId="79C3ACDD" w14:textId="77777777" w:rsidTr="00187F08">
        <w:trPr>
          <w:trHeight w:val="20"/>
        </w:trPr>
        <w:tc>
          <w:tcPr>
            <w:tcW w:w="2269" w:type="dxa"/>
            <w:tcBorders>
              <w:top w:val="single" w:sz="4" w:space="0" w:color="auto"/>
              <w:left w:val="single" w:sz="4" w:space="0" w:color="auto"/>
              <w:bottom w:val="single" w:sz="4" w:space="0" w:color="auto"/>
              <w:right w:val="single" w:sz="4" w:space="0" w:color="auto"/>
            </w:tcBorders>
            <w:hideMark/>
          </w:tcPr>
          <w:p w14:paraId="5E331BBF" w14:textId="77777777" w:rsidR="00FD4349" w:rsidRPr="008F2C66" w:rsidRDefault="00FD4349" w:rsidP="00187F08">
            <w:pPr>
              <w:rPr>
                <w:rFonts w:ascii="Arial Narrow" w:hAnsi="Arial Narrow"/>
                <w:b/>
                <w:sz w:val="20"/>
                <w:szCs w:val="20"/>
              </w:rPr>
            </w:pPr>
            <w:r w:rsidRPr="008F2C66">
              <w:rPr>
                <w:rFonts w:ascii="Arial Narrow" w:hAnsi="Arial Narrow"/>
                <w:b/>
                <w:sz w:val="20"/>
                <w:szCs w:val="20"/>
              </w:rPr>
              <w:t>PBS Indication:</w:t>
            </w:r>
          </w:p>
        </w:tc>
        <w:tc>
          <w:tcPr>
            <w:tcW w:w="6806" w:type="dxa"/>
            <w:gridSpan w:val="5"/>
            <w:tcBorders>
              <w:top w:val="single" w:sz="4" w:space="0" w:color="auto"/>
              <w:left w:val="single" w:sz="4" w:space="0" w:color="auto"/>
              <w:bottom w:val="single" w:sz="4" w:space="0" w:color="auto"/>
              <w:right w:val="single" w:sz="4" w:space="0" w:color="auto"/>
            </w:tcBorders>
            <w:hideMark/>
          </w:tcPr>
          <w:p w14:paraId="69BC5988" w14:textId="77777777" w:rsidR="00FD4349" w:rsidRPr="008F2C66" w:rsidRDefault="00FD4349" w:rsidP="00187F08">
            <w:pPr>
              <w:rPr>
                <w:rFonts w:ascii="Arial Narrow" w:hAnsi="Arial Narrow"/>
                <w:sz w:val="20"/>
                <w:szCs w:val="20"/>
              </w:rPr>
            </w:pPr>
            <w:r w:rsidRPr="008F2C66">
              <w:rPr>
                <w:rFonts w:ascii="Arial Narrow" w:hAnsi="Arial Narrow"/>
                <w:sz w:val="20"/>
                <w:szCs w:val="20"/>
              </w:rPr>
              <w:t>Stage IV (metastatic) NSCLC</w:t>
            </w:r>
          </w:p>
        </w:tc>
      </w:tr>
      <w:tr w:rsidR="00FD4349" w:rsidRPr="005467E8" w14:paraId="437CF24A" w14:textId="77777777" w:rsidTr="00187F08">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14:paraId="62CBA127" w14:textId="77777777" w:rsidR="00FD4349" w:rsidRPr="008F2C66" w:rsidRDefault="00FD4349" w:rsidP="00187F08">
            <w:pPr>
              <w:rPr>
                <w:rFonts w:ascii="Arial Narrow" w:hAnsi="Arial Narrow"/>
                <w:b/>
                <w:sz w:val="20"/>
                <w:szCs w:val="20"/>
              </w:rPr>
            </w:pPr>
            <w:r w:rsidRPr="008F2C66">
              <w:rPr>
                <w:rFonts w:ascii="Arial Narrow" w:hAnsi="Arial Narrow"/>
                <w:b/>
                <w:sz w:val="20"/>
                <w:szCs w:val="20"/>
              </w:rPr>
              <w:t>Treatment phase:</w:t>
            </w:r>
          </w:p>
        </w:tc>
        <w:tc>
          <w:tcPr>
            <w:tcW w:w="6806" w:type="dxa"/>
            <w:gridSpan w:val="5"/>
            <w:tcBorders>
              <w:top w:val="single" w:sz="4" w:space="0" w:color="auto"/>
              <w:left w:val="single" w:sz="4" w:space="0" w:color="auto"/>
              <w:bottom w:val="single" w:sz="4" w:space="0" w:color="auto"/>
              <w:right w:val="single" w:sz="4" w:space="0" w:color="auto"/>
            </w:tcBorders>
            <w:shd w:val="clear" w:color="auto" w:fill="auto"/>
            <w:hideMark/>
          </w:tcPr>
          <w:p w14:paraId="38F25393" w14:textId="77777777" w:rsidR="00FD4349" w:rsidRPr="008F2C66" w:rsidRDefault="00FD4349" w:rsidP="00187F08">
            <w:pPr>
              <w:rPr>
                <w:rFonts w:ascii="Arial Narrow" w:hAnsi="Arial Narrow" w:cs="Calibri"/>
                <w:sz w:val="20"/>
                <w:szCs w:val="20"/>
              </w:rPr>
            </w:pPr>
            <w:r w:rsidRPr="008F2C66">
              <w:rPr>
                <w:rFonts w:ascii="Arial Narrow" w:hAnsi="Arial Narrow"/>
                <w:sz w:val="20"/>
                <w:szCs w:val="20"/>
              </w:rPr>
              <w:t>Continuing treatment – 3 weekly treatment regimen</w:t>
            </w:r>
          </w:p>
        </w:tc>
      </w:tr>
      <w:tr w:rsidR="00FD4349" w:rsidRPr="005467E8" w14:paraId="2BA923A8" w14:textId="77777777" w:rsidTr="00187F08">
        <w:trPr>
          <w:trHeight w:val="20"/>
        </w:trPr>
        <w:tc>
          <w:tcPr>
            <w:tcW w:w="2269" w:type="dxa"/>
            <w:tcBorders>
              <w:top w:val="single" w:sz="4" w:space="0" w:color="auto"/>
              <w:left w:val="single" w:sz="4" w:space="0" w:color="auto"/>
              <w:bottom w:val="single" w:sz="4" w:space="0" w:color="auto"/>
              <w:right w:val="single" w:sz="4" w:space="0" w:color="auto"/>
            </w:tcBorders>
          </w:tcPr>
          <w:p w14:paraId="2B67CA17" w14:textId="77777777" w:rsidR="00FD4349" w:rsidRPr="008F2C66" w:rsidRDefault="00FD4349" w:rsidP="00187F08">
            <w:pPr>
              <w:rPr>
                <w:rFonts w:ascii="Arial Narrow" w:hAnsi="Arial Narrow"/>
                <w:b/>
                <w:sz w:val="20"/>
                <w:szCs w:val="20"/>
              </w:rPr>
            </w:pPr>
            <w:r w:rsidRPr="008F2C66">
              <w:rPr>
                <w:rFonts w:ascii="Arial Narrow" w:hAnsi="Arial Narrow"/>
                <w:b/>
                <w:sz w:val="20"/>
                <w:szCs w:val="20"/>
              </w:rPr>
              <w:t>Restriction:</w:t>
            </w:r>
          </w:p>
          <w:p w14:paraId="47C09997" w14:textId="77777777" w:rsidR="00FD4349" w:rsidRPr="008F2C66" w:rsidRDefault="00FD4349" w:rsidP="00187F08">
            <w:pPr>
              <w:rPr>
                <w:rFonts w:ascii="Arial Narrow" w:hAnsi="Arial Narrow"/>
                <w:b/>
                <w:sz w:val="20"/>
                <w:szCs w:val="20"/>
              </w:rPr>
            </w:pPr>
          </w:p>
        </w:tc>
        <w:tc>
          <w:tcPr>
            <w:tcW w:w="6806" w:type="dxa"/>
            <w:gridSpan w:val="5"/>
            <w:tcBorders>
              <w:top w:val="single" w:sz="4" w:space="0" w:color="auto"/>
              <w:left w:val="single" w:sz="4" w:space="0" w:color="auto"/>
              <w:bottom w:val="single" w:sz="4" w:space="0" w:color="auto"/>
              <w:right w:val="single" w:sz="4" w:space="0" w:color="auto"/>
            </w:tcBorders>
            <w:hideMark/>
          </w:tcPr>
          <w:p w14:paraId="42D10967" w14:textId="77777777" w:rsidR="00FD4349" w:rsidRPr="008F2C66" w:rsidRDefault="00FD4349" w:rsidP="00187F08">
            <w:pPr>
              <w:rPr>
                <w:rFonts w:ascii="Arial Narrow" w:hAnsi="Arial Narrow"/>
                <w:sz w:val="20"/>
                <w:szCs w:val="20"/>
              </w:rPr>
            </w:pPr>
            <w:r w:rsidRPr="008F2C66">
              <w:rPr>
                <w:rFonts w:ascii="Arial Narrow" w:hAnsi="Arial Narrow"/>
                <w:color w:val="2B579A"/>
                <w:sz w:val="20"/>
                <w:szCs w:val="20"/>
                <w:shd w:val="clear" w:color="auto" w:fill="E6E6E6"/>
              </w:rPr>
              <w:fldChar w:fldCharType="begin">
                <w:ffData>
                  <w:name w:val="Check1"/>
                  <w:enabled/>
                  <w:calcOnExit w:val="0"/>
                  <w:checkBox>
                    <w:sizeAuto/>
                    <w:default w:val="0"/>
                  </w:checkBox>
                </w:ffData>
              </w:fldChar>
            </w:r>
            <w:r w:rsidRPr="008F2C66">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F2C66">
              <w:rPr>
                <w:rFonts w:ascii="Arial Narrow" w:hAnsi="Arial Narrow"/>
                <w:color w:val="2B579A"/>
                <w:sz w:val="20"/>
                <w:szCs w:val="20"/>
                <w:shd w:val="clear" w:color="auto" w:fill="E6E6E6"/>
              </w:rPr>
              <w:fldChar w:fldCharType="end"/>
            </w:r>
            <w:r w:rsidRPr="008F2C66">
              <w:rPr>
                <w:rFonts w:ascii="Arial Narrow" w:hAnsi="Arial Narrow"/>
                <w:sz w:val="20"/>
                <w:szCs w:val="20"/>
              </w:rPr>
              <w:t>Restricted benefit</w:t>
            </w:r>
          </w:p>
          <w:p w14:paraId="68627C32" w14:textId="77777777" w:rsidR="00FD4349" w:rsidRPr="008F2C66" w:rsidRDefault="00FD4349" w:rsidP="00187F08">
            <w:pPr>
              <w:rPr>
                <w:rFonts w:ascii="Arial Narrow" w:hAnsi="Arial Narrow"/>
                <w:sz w:val="20"/>
                <w:szCs w:val="20"/>
              </w:rPr>
            </w:pPr>
            <w:r w:rsidRPr="008F2C66">
              <w:rPr>
                <w:rFonts w:ascii="Arial Narrow" w:hAnsi="Arial Narrow"/>
                <w:color w:val="2B579A"/>
                <w:sz w:val="20"/>
                <w:szCs w:val="20"/>
                <w:shd w:val="clear" w:color="auto" w:fill="E6E6E6"/>
              </w:rPr>
              <w:fldChar w:fldCharType="begin">
                <w:ffData>
                  <w:name w:val=""/>
                  <w:enabled/>
                  <w:calcOnExit w:val="0"/>
                  <w:checkBox>
                    <w:sizeAuto/>
                    <w:default w:val="0"/>
                  </w:checkBox>
                </w:ffData>
              </w:fldChar>
            </w:r>
            <w:r w:rsidRPr="008F2C66">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F2C66">
              <w:rPr>
                <w:rFonts w:ascii="Arial Narrow" w:hAnsi="Arial Narrow"/>
                <w:color w:val="2B579A"/>
                <w:sz w:val="20"/>
                <w:szCs w:val="20"/>
                <w:shd w:val="clear" w:color="auto" w:fill="E6E6E6"/>
              </w:rPr>
              <w:fldChar w:fldCharType="end"/>
            </w:r>
            <w:r w:rsidRPr="008F2C66">
              <w:rPr>
                <w:rFonts w:ascii="Arial Narrow" w:hAnsi="Arial Narrow"/>
                <w:sz w:val="20"/>
                <w:szCs w:val="20"/>
              </w:rPr>
              <w:t xml:space="preserve">Authority Required </w:t>
            </w:r>
            <w:r w:rsidRPr="008F2C66">
              <w:rPr>
                <w:rFonts w:ascii="Arial Narrow" w:hAnsi="Arial Narrow"/>
                <w:sz w:val="20"/>
                <w:szCs w:val="20"/>
              </w:rPr>
              <w:noBreakHyphen/>
              <w:t xml:space="preserve"> In Writing</w:t>
            </w:r>
          </w:p>
          <w:p w14:paraId="25438AD1" w14:textId="77777777" w:rsidR="00FD4349" w:rsidRPr="008F2C66" w:rsidRDefault="00FD4349" w:rsidP="00187F08">
            <w:pPr>
              <w:rPr>
                <w:rFonts w:ascii="Arial Narrow" w:hAnsi="Arial Narrow"/>
                <w:sz w:val="20"/>
                <w:szCs w:val="20"/>
              </w:rPr>
            </w:pPr>
            <w:r w:rsidRPr="008F2C66">
              <w:rPr>
                <w:rFonts w:ascii="Arial Narrow" w:hAnsi="Arial Narrow"/>
                <w:color w:val="2B579A"/>
                <w:sz w:val="20"/>
                <w:szCs w:val="20"/>
                <w:shd w:val="clear" w:color="auto" w:fill="E6E6E6"/>
              </w:rPr>
              <w:fldChar w:fldCharType="begin">
                <w:ffData>
                  <w:name w:val=""/>
                  <w:enabled/>
                  <w:calcOnExit w:val="0"/>
                  <w:checkBox>
                    <w:sizeAuto/>
                    <w:default w:val="0"/>
                  </w:checkBox>
                </w:ffData>
              </w:fldChar>
            </w:r>
            <w:r w:rsidRPr="008F2C66">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F2C66">
              <w:rPr>
                <w:rFonts w:ascii="Arial Narrow" w:hAnsi="Arial Narrow"/>
                <w:color w:val="2B579A"/>
                <w:sz w:val="20"/>
                <w:szCs w:val="20"/>
                <w:shd w:val="clear" w:color="auto" w:fill="E6E6E6"/>
              </w:rPr>
              <w:fldChar w:fldCharType="end"/>
            </w:r>
            <w:r w:rsidRPr="008F2C66">
              <w:rPr>
                <w:rFonts w:ascii="Arial Narrow" w:hAnsi="Arial Narrow"/>
                <w:sz w:val="20"/>
                <w:szCs w:val="20"/>
              </w:rPr>
              <w:t xml:space="preserve">Authority Required </w:t>
            </w:r>
            <w:r w:rsidRPr="008F2C66">
              <w:rPr>
                <w:rFonts w:ascii="Arial Narrow" w:hAnsi="Arial Narrow"/>
                <w:sz w:val="20"/>
                <w:szCs w:val="20"/>
              </w:rPr>
              <w:noBreakHyphen/>
              <w:t xml:space="preserve"> Telephone</w:t>
            </w:r>
          </w:p>
          <w:p w14:paraId="2B31490C" w14:textId="77777777" w:rsidR="00FD4349" w:rsidRPr="008F2C66" w:rsidRDefault="00FD4349" w:rsidP="00187F08">
            <w:pPr>
              <w:rPr>
                <w:rFonts w:ascii="Arial Narrow" w:hAnsi="Arial Narrow"/>
                <w:sz w:val="20"/>
                <w:szCs w:val="20"/>
              </w:rPr>
            </w:pPr>
            <w:r w:rsidRPr="008F2C66">
              <w:rPr>
                <w:rFonts w:ascii="Arial Narrow" w:hAnsi="Arial Narrow"/>
                <w:color w:val="2B579A"/>
                <w:sz w:val="20"/>
                <w:szCs w:val="20"/>
                <w:shd w:val="clear" w:color="auto" w:fill="E6E6E6"/>
              </w:rPr>
              <w:fldChar w:fldCharType="begin">
                <w:ffData>
                  <w:name w:val=""/>
                  <w:enabled/>
                  <w:calcOnExit w:val="0"/>
                  <w:checkBox>
                    <w:sizeAuto/>
                    <w:default w:val="0"/>
                  </w:checkBox>
                </w:ffData>
              </w:fldChar>
            </w:r>
            <w:r w:rsidRPr="008F2C66">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F2C66">
              <w:rPr>
                <w:rFonts w:ascii="Arial Narrow" w:hAnsi="Arial Narrow"/>
                <w:color w:val="2B579A"/>
                <w:sz w:val="20"/>
                <w:szCs w:val="20"/>
                <w:shd w:val="clear" w:color="auto" w:fill="E6E6E6"/>
              </w:rPr>
              <w:fldChar w:fldCharType="end"/>
            </w:r>
            <w:r w:rsidRPr="008F2C66">
              <w:rPr>
                <w:rFonts w:ascii="Arial Narrow" w:hAnsi="Arial Narrow"/>
                <w:sz w:val="20"/>
                <w:szCs w:val="20"/>
              </w:rPr>
              <w:t>Authority Required – Emergency</w:t>
            </w:r>
          </w:p>
          <w:p w14:paraId="1CCC1206" w14:textId="77777777" w:rsidR="00FD4349" w:rsidRPr="008F2C66" w:rsidRDefault="00FD4349" w:rsidP="00187F08">
            <w:pPr>
              <w:rPr>
                <w:rFonts w:ascii="Arial Narrow" w:hAnsi="Arial Narrow"/>
                <w:sz w:val="20"/>
                <w:szCs w:val="20"/>
              </w:rPr>
            </w:pPr>
            <w:r w:rsidRPr="008F2C66">
              <w:rPr>
                <w:rFonts w:ascii="Arial Narrow" w:hAnsi="Arial Narrow"/>
                <w:color w:val="2B579A"/>
                <w:sz w:val="20"/>
                <w:szCs w:val="20"/>
                <w:shd w:val="clear" w:color="auto" w:fill="E6E6E6"/>
              </w:rPr>
              <w:fldChar w:fldCharType="begin">
                <w:ffData>
                  <w:name w:val="Check5"/>
                  <w:enabled/>
                  <w:calcOnExit w:val="0"/>
                  <w:checkBox>
                    <w:sizeAuto/>
                    <w:default w:val="0"/>
                  </w:checkBox>
                </w:ffData>
              </w:fldChar>
            </w:r>
            <w:r w:rsidRPr="008F2C66">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F2C66">
              <w:rPr>
                <w:rFonts w:ascii="Arial Narrow" w:hAnsi="Arial Narrow"/>
                <w:color w:val="2B579A"/>
                <w:sz w:val="20"/>
                <w:szCs w:val="20"/>
                <w:shd w:val="clear" w:color="auto" w:fill="E6E6E6"/>
              </w:rPr>
              <w:fldChar w:fldCharType="end"/>
            </w:r>
            <w:r w:rsidRPr="008F2C66">
              <w:rPr>
                <w:rFonts w:ascii="Arial Narrow" w:hAnsi="Arial Narrow"/>
                <w:sz w:val="20"/>
                <w:szCs w:val="20"/>
              </w:rPr>
              <w:t xml:space="preserve">Authority Required </w:t>
            </w:r>
            <w:r w:rsidRPr="008F2C66">
              <w:rPr>
                <w:rFonts w:ascii="Arial Narrow" w:hAnsi="Arial Narrow"/>
                <w:sz w:val="20"/>
                <w:szCs w:val="20"/>
              </w:rPr>
              <w:noBreakHyphen/>
              <w:t xml:space="preserve"> Electronic</w:t>
            </w:r>
          </w:p>
          <w:p w14:paraId="5BDC40A7" w14:textId="77777777" w:rsidR="00FD4349" w:rsidRPr="008F2C66" w:rsidRDefault="00FD4349" w:rsidP="00187F08">
            <w:pPr>
              <w:rPr>
                <w:rFonts w:ascii="Arial Narrow" w:hAnsi="Arial Narrow" w:cs="Calibri"/>
                <w:sz w:val="20"/>
                <w:szCs w:val="20"/>
              </w:rPr>
            </w:pPr>
            <w:r w:rsidRPr="008F2C66">
              <w:rPr>
                <w:rFonts w:ascii="Arial Narrow" w:hAnsi="Arial Narrow"/>
                <w:color w:val="2B579A"/>
                <w:sz w:val="20"/>
                <w:szCs w:val="20"/>
                <w:shd w:val="clear" w:color="auto" w:fill="E6E6E6"/>
              </w:rPr>
              <w:fldChar w:fldCharType="begin">
                <w:ffData>
                  <w:name w:val=""/>
                  <w:enabled/>
                  <w:calcOnExit w:val="0"/>
                  <w:checkBox>
                    <w:sizeAuto/>
                    <w:default w:val="1"/>
                  </w:checkBox>
                </w:ffData>
              </w:fldChar>
            </w:r>
            <w:r w:rsidRPr="008F2C66">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8F2C66">
              <w:rPr>
                <w:rFonts w:ascii="Arial Narrow" w:hAnsi="Arial Narrow"/>
                <w:color w:val="2B579A"/>
                <w:sz w:val="20"/>
                <w:szCs w:val="20"/>
                <w:shd w:val="clear" w:color="auto" w:fill="E6E6E6"/>
              </w:rPr>
              <w:fldChar w:fldCharType="end"/>
            </w:r>
            <w:r w:rsidRPr="008F2C66">
              <w:rPr>
                <w:rFonts w:ascii="Arial Narrow" w:hAnsi="Arial Narrow"/>
                <w:sz w:val="20"/>
                <w:szCs w:val="20"/>
              </w:rPr>
              <w:t>Streamlined</w:t>
            </w:r>
          </w:p>
        </w:tc>
      </w:tr>
      <w:tr w:rsidR="00FD4349" w:rsidRPr="00DA16C6" w14:paraId="21487990" w14:textId="77777777" w:rsidTr="00187F08">
        <w:trPr>
          <w:trHeight w:val="20"/>
        </w:trPr>
        <w:tc>
          <w:tcPr>
            <w:tcW w:w="2269" w:type="dxa"/>
            <w:tcBorders>
              <w:top w:val="single" w:sz="4" w:space="0" w:color="auto"/>
              <w:left w:val="single" w:sz="4" w:space="0" w:color="auto"/>
              <w:bottom w:val="single" w:sz="4" w:space="0" w:color="auto"/>
              <w:right w:val="single" w:sz="4" w:space="0" w:color="auto"/>
            </w:tcBorders>
          </w:tcPr>
          <w:p w14:paraId="12C9A778" w14:textId="77777777" w:rsidR="00FD4349" w:rsidRPr="008F2C66" w:rsidRDefault="00FD4349" w:rsidP="00187F08">
            <w:pPr>
              <w:rPr>
                <w:rFonts w:ascii="Arial Narrow" w:hAnsi="Arial Narrow"/>
                <w:b/>
                <w:sz w:val="20"/>
                <w:szCs w:val="20"/>
              </w:rPr>
            </w:pPr>
            <w:r w:rsidRPr="008F2C66">
              <w:rPr>
                <w:rFonts w:ascii="Arial Narrow" w:hAnsi="Arial Narrow"/>
                <w:b/>
                <w:sz w:val="20"/>
                <w:szCs w:val="20"/>
              </w:rPr>
              <w:t>Clinical criteria:</w:t>
            </w:r>
          </w:p>
          <w:p w14:paraId="5D2A6C5A" w14:textId="77777777" w:rsidR="00FD4349" w:rsidRPr="008F2C66" w:rsidRDefault="00FD4349" w:rsidP="00187F08">
            <w:pPr>
              <w:rPr>
                <w:rFonts w:ascii="Arial Narrow" w:hAnsi="Arial Narrow"/>
                <w:i/>
                <w:sz w:val="20"/>
                <w:szCs w:val="20"/>
              </w:rPr>
            </w:pPr>
          </w:p>
          <w:p w14:paraId="3F8B96A8" w14:textId="77777777" w:rsidR="00FD4349" w:rsidRPr="008F2C66" w:rsidRDefault="00FD4349" w:rsidP="00187F08">
            <w:pPr>
              <w:rPr>
                <w:rFonts w:ascii="Arial Narrow" w:hAnsi="Arial Narrow"/>
                <w:b/>
                <w:sz w:val="20"/>
                <w:szCs w:val="20"/>
              </w:rPr>
            </w:pPr>
          </w:p>
        </w:tc>
        <w:tc>
          <w:tcPr>
            <w:tcW w:w="6806" w:type="dxa"/>
            <w:gridSpan w:val="5"/>
            <w:tcBorders>
              <w:top w:val="single" w:sz="4" w:space="0" w:color="auto"/>
              <w:left w:val="single" w:sz="4" w:space="0" w:color="auto"/>
              <w:bottom w:val="single" w:sz="4" w:space="0" w:color="auto"/>
              <w:right w:val="single" w:sz="4" w:space="0" w:color="auto"/>
            </w:tcBorders>
            <w:hideMark/>
          </w:tcPr>
          <w:p w14:paraId="691F7C54" w14:textId="77777777" w:rsidR="00FD4349" w:rsidRPr="008F2C66" w:rsidRDefault="00FD4349" w:rsidP="000D035D">
            <w:pPr>
              <w:numPr>
                <w:ilvl w:val="0"/>
                <w:numId w:val="7"/>
              </w:numPr>
              <w:contextualSpacing/>
              <w:rPr>
                <w:rFonts w:ascii="Arial Narrow" w:hAnsi="Arial Narrow"/>
                <w:sz w:val="20"/>
                <w:szCs w:val="20"/>
              </w:rPr>
            </w:pPr>
            <w:r w:rsidRPr="008F2C66">
              <w:rPr>
                <w:rFonts w:ascii="Arial Narrow" w:hAnsi="Arial Narrow"/>
                <w:sz w:val="20"/>
                <w:szCs w:val="20"/>
              </w:rPr>
              <w:t>Patient must have previously received PBS</w:t>
            </w:r>
            <w:r w:rsidRPr="008F2C66">
              <w:rPr>
                <w:rFonts w:ascii="Arial Narrow" w:hAnsi="Arial Narrow"/>
                <w:sz w:val="20"/>
                <w:szCs w:val="20"/>
              </w:rPr>
              <w:noBreakHyphen/>
              <w:t xml:space="preserve">subsidised treatment with this drug for this condition, </w:t>
            </w:r>
            <w:r w:rsidRPr="008F2C66">
              <w:rPr>
                <w:rFonts w:ascii="Arial Narrow" w:hAnsi="Arial Narrow"/>
                <w:b/>
                <w:bCs/>
                <w:sz w:val="20"/>
                <w:szCs w:val="20"/>
              </w:rPr>
              <w:t>AND</w:t>
            </w:r>
          </w:p>
          <w:p w14:paraId="77F17F6C" w14:textId="77777777" w:rsidR="00FD4349" w:rsidRPr="008F2C66" w:rsidRDefault="00FD4349" w:rsidP="000D035D">
            <w:pPr>
              <w:numPr>
                <w:ilvl w:val="0"/>
                <w:numId w:val="7"/>
              </w:numPr>
              <w:contextualSpacing/>
              <w:rPr>
                <w:rFonts w:ascii="Arial Narrow" w:hAnsi="Arial Narrow"/>
                <w:sz w:val="20"/>
                <w:szCs w:val="20"/>
              </w:rPr>
            </w:pPr>
            <w:r w:rsidRPr="008F2C66">
              <w:rPr>
                <w:rFonts w:ascii="Arial Narrow" w:hAnsi="Arial Narrow"/>
                <w:sz w:val="20"/>
                <w:szCs w:val="20"/>
              </w:rPr>
              <w:t xml:space="preserve">Patient must not have developed disease progression while being treated with this drug for this condition, </w:t>
            </w:r>
            <w:r w:rsidRPr="008F2C66">
              <w:rPr>
                <w:rFonts w:ascii="Arial Narrow" w:hAnsi="Arial Narrow"/>
                <w:b/>
                <w:bCs/>
                <w:sz w:val="20"/>
                <w:szCs w:val="20"/>
              </w:rPr>
              <w:t>AND</w:t>
            </w:r>
          </w:p>
          <w:p w14:paraId="06B25B6F" w14:textId="77777777" w:rsidR="00FD4349" w:rsidRPr="008F2C66" w:rsidRDefault="00FD4349" w:rsidP="000D035D">
            <w:pPr>
              <w:keepNext/>
              <w:numPr>
                <w:ilvl w:val="0"/>
                <w:numId w:val="7"/>
              </w:numPr>
              <w:contextualSpacing/>
              <w:jc w:val="left"/>
              <w:rPr>
                <w:rFonts w:ascii="Arial Narrow" w:hAnsi="Arial Narrow" w:cs="Calibri"/>
                <w:bCs/>
                <w:sz w:val="20"/>
                <w:szCs w:val="20"/>
              </w:rPr>
            </w:pPr>
            <w:r w:rsidRPr="008F2C66">
              <w:rPr>
                <w:rFonts w:ascii="Arial Narrow" w:hAnsi="Arial Narrow"/>
                <w:i/>
                <w:sz w:val="20"/>
                <w:szCs w:val="20"/>
              </w:rPr>
              <w:t>The treatment must be the sole PBS-subsidised systemic anti-cancer therapy for this condition</w:t>
            </w:r>
            <w:r w:rsidRPr="008F2C66">
              <w:rPr>
                <w:rFonts w:ascii="Arial Narrow" w:hAnsi="Arial Narrow" w:cs="Calibri"/>
                <w:bCs/>
                <w:i/>
                <w:sz w:val="20"/>
                <w:szCs w:val="20"/>
              </w:rPr>
              <w:t>,</w:t>
            </w:r>
            <w:r w:rsidRPr="008F2C66">
              <w:rPr>
                <w:rFonts w:ascii="Arial Narrow" w:hAnsi="Arial Narrow" w:cs="Calibri"/>
                <w:bCs/>
                <w:sz w:val="20"/>
                <w:szCs w:val="20"/>
              </w:rPr>
              <w:t xml:space="preserve"> </w:t>
            </w:r>
            <w:r w:rsidRPr="008F2C66">
              <w:rPr>
                <w:rFonts w:ascii="Arial Narrow" w:hAnsi="Arial Narrow" w:cs="Calibri"/>
                <w:b/>
                <w:bCs/>
                <w:sz w:val="20"/>
                <w:szCs w:val="20"/>
              </w:rPr>
              <w:t>AND</w:t>
            </w:r>
          </w:p>
          <w:p w14:paraId="036A54EB" w14:textId="77777777" w:rsidR="00FD4349" w:rsidRPr="008F2C66" w:rsidRDefault="00FD4349" w:rsidP="000D035D">
            <w:pPr>
              <w:numPr>
                <w:ilvl w:val="0"/>
                <w:numId w:val="7"/>
              </w:numPr>
              <w:contextualSpacing/>
              <w:rPr>
                <w:rFonts w:ascii="Arial Narrow" w:hAnsi="Arial Narrow"/>
                <w:sz w:val="20"/>
                <w:szCs w:val="20"/>
              </w:rPr>
            </w:pPr>
            <w:r w:rsidRPr="008F2C66">
              <w:rPr>
                <w:rFonts w:ascii="Arial Narrow" w:hAnsi="Arial Narrow"/>
                <w:sz w:val="20"/>
                <w:szCs w:val="20"/>
              </w:rPr>
              <w:t xml:space="preserve">The treatment must not exceed a total of 35 cycles or up to 24 months of </w:t>
            </w:r>
            <w:r w:rsidRPr="008F2C66">
              <w:rPr>
                <w:rFonts w:ascii="Arial Narrow" w:hAnsi="Arial Narrow"/>
                <w:i/>
                <w:sz w:val="20"/>
                <w:szCs w:val="20"/>
              </w:rPr>
              <w:t>treatment under both initial and continuing treatment restrictions</w:t>
            </w:r>
            <w:r w:rsidRPr="008F2C66">
              <w:rPr>
                <w:rFonts w:ascii="Arial Narrow" w:hAnsi="Arial Narrow"/>
                <w:sz w:val="20"/>
                <w:szCs w:val="20"/>
              </w:rPr>
              <w:t xml:space="preserve"> </w:t>
            </w:r>
            <w:r w:rsidRPr="008F2C66">
              <w:rPr>
                <w:rFonts w:ascii="Arial Narrow" w:hAnsi="Arial Narrow"/>
                <w:strike/>
                <w:sz w:val="20"/>
                <w:szCs w:val="20"/>
              </w:rPr>
              <w:t>under this restriction.</w:t>
            </w:r>
          </w:p>
        </w:tc>
      </w:tr>
    </w:tbl>
    <w:p w14:paraId="746C5A02" w14:textId="77777777" w:rsidR="00FD4349" w:rsidRPr="00942872" w:rsidRDefault="00FD4349" w:rsidP="00FD4349">
      <w:pPr>
        <w:spacing w:after="120"/>
        <w:rPr>
          <w:rFonts w:asciiTheme="minorHAnsi" w:hAnsiTheme="minorHAnsi" w:cstheme="minorHAnsi"/>
          <w:i/>
        </w:rPr>
      </w:pPr>
    </w:p>
    <w:p w14:paraId="7BC5F09D" w14:textId="77777777" w:rsidR="007805A7" w:rsidRPr="00942872" w:rsidRDefault="007805A7" w:rsidP="007805A7">
      <w:pPr>
        <w:pStyle w:val="3-BodyText"/>
      </w:pPr>
      <w:r w:rsidRPr="00942872">
        <w:t xml:space="preserve">The submission stated that the sponsor would seek a Special Pricing Arrangement (SPA). Published prices </w:t>
      </w:r>
      <w:r w:rsidR="000043EC" w:rsidRPr="00942872">
        <w:t xml:space="preserve">for cemiplimab </w:t>
      </w:r>
      <w:r w:rsidRPr="00942872">
        <w:t>were calculated on a cost-minimisation basis versus pembrolizumab</w:t>
      </w:r>
      <w:r w:rsidR="000043EC" w:rsidRPr="00942872">
        <w:t>, using the</w:t>
      </w:r>
      <w:r w:rsidR="00E54AC3" w:rsidRPr="00942872">
        <w:t xml:space="preserve"> PBS-listed </w:t>
      </w:r>
      <w:r w:rsidR="000043EC" w:rsidRPr="00942872">
        <w:t>price for pembrolizumab</w:t>
      </w:r>
      <w:r w:rsidRPr="00942872">
        <w:t>. As the effective price for pembrolizumab is confidential, the submission stated that the effective price for cemiplimab is to be determined after a positive recommendation.</w:t>
      </w:r>
    </w:p>
    <w:p w14:paraId="73ACBAD5" w14:textId="77777777" w:rsidR="007805A7" w:rsidRPr="005467E8" w:rsidRDefault="007805A7" w:rsidP="00EB70DB">
      <w:pPr>
        <w:pStyle w:val="3-BodyText"/>
      </w:pPr>
      <w:r w:rsidRPr="00942872">
        <w:t>Overall, the wording of the proposed PBS restriction for cemiplimab was similar to that of pembrolizumab, except that the proposed listing of cemiplimab included a criterion regarding the level of PD-L1 expression (i.e. TPS ≥ 50%).</w:t>
      </w:r>
      <w:r w:rsidR="00380E4B" w:rsidRPr="00942872">
        <w:t xml:space="preserve"> Initially</w:t>
      </w:r>
      <w:r w:rsidR="00101022" w:rsidRPr="00942872">
        <w:t>, pembrolizumab was listed on the PBS</w:t>
      </w:r>
      <w:r w:rsidR="007A1FC4" w:rsidRPr="00942872">
        <w:t>, as monotherapy,</w:t>
      </w:r>
      <w:r w:rsidR="00101022" w:rsidRPr="00942872">
        <w:t xml:space="preserve"> for treatment of NSCLC patients with high expression of PD-L1 (i.e. TPS ≥ 50%). </w:t>
      </w:r>
      <w:r w:rsidR="007A1FC4" w:rsidRPr="00942872">
        <w:t>Subsequently, p</w:t>
      </w:r>
      <w:r w:rsidR="00101022" w:rsidRPr="00942872">
        <w:t xml:space="preserve">embrolizumab, in combination with chemotherapy, received a positive PBAC recommendation for </w:t>
      </w:r>
      <w:r w:rsidR="007A1FC4" w:rsidRPr="00942872">
        <w:t xml:space="preserve">treatment of </w:t>
      </w:r>
      <w:r w:rsidR="00101022" w:rsidRPr="00942872">
        <w:t>NSCLC</w:t>
      </w:r>
      <w:r w:rsidR="007A1FC4" w:rsidRPr="00942872">
        <w:t xml:space="preserve">, regardless of </w:t>
      </w:r>
      <w:r w:rsidR="00101022" w:rsidRPr="00942872">
        <w:t>PD-L1 expression</w:t>
      </w:r>
      <w:r w:rsidR="007A1FC4" w:rsidRPr="00942872">
        <w:t>.</w:t>
      </w:r>
      <w:r w:rsidR="00101022" w:rsidRPr="00942872">
        <w:t xml:space="preserve"> </w:t>
      </w:r>
      <w:r w:rsidR="00894F67" w:rsidRPr="00942872">
        <w:t>The current PBS restriction for pembrolizumab does not include a criterion on PD-L1 expression</w:t>
      </w:r>
      <w:r w:rsidR="007A1FC4" w:rsidRPr="00942872">
        <w:t xml:space="preserve"> level</w:t>
      </w:r>
      <w:r w:rsidR="00894F67" w:rsidRPr="00942872">
        <w:t xml:space="preserve">, as the PBAC decided to consolidate its listing to allow clinicians to determine whether in combination with chemotherapy or as monotherapy is used according to its approved TGA indications (Broad PBS subsidy listing for PD-(L)1 </w:t>
      </w:r>
      <w:r w:rsidR="002F23C9" w:rsidRPr="00942872">
        <w:t>checkpoint inhibitors for NSCLC Public Summary Document (</w:t>
      </w:r>
      <w:r w:rsidR="00894F67" w:rsidRPr="00942872">
        <w:t>PSD</w:t>
      </w:r>
      <w:r w:rsidR="002F23C9" w:rsidRPr="00942872">
        <w:t>)</w:t>
      </w:r>
      <w:r w:rsidR="00894F67" w:rsidRPr="00942872">
        <w:t>, August 2019 PBAC meeting).</w:t>
      </w:r>
      <w:r w:rsidR="0016065C" w:rsidRPr="00942872">
        <w:t xml:space="preserve">  </w:t>
      </w:r>
    </w:p>
    <w:p w14:paraId="44886AB3" w14:textId="77777777" w:rsidR="007805A7" w:rsidRPr="00942872" w:rsidRDefault="007805A7" w:rsidP="00910C0F">
      <w:pPr>
        <w:pStyle w:val="3-BodyText"/>
      </w:pPr>
      <w:r w:rsidRPr="00942872">
        <w:t>The proposed PBS population is broader than the patient population in the key clinical evidence for cemiplimab (Study 1624)</w:t>
      </w:r>
      <w:r w:rsidR="00875516" w:rsidRPr="00942872">
        <w:t xml:space="preserve"> by </w:t>
      </w:r>
      <w:r w:rsidR="009055D2">
        <w:t>not precluding use</w:t>
      </w:r>
      <w:r w:rsidR="009055D2" w:rsidRPr="00942872">
        <w:t xml:space="preserve"> </w:t>
      </w:r>
      <w:r w:rsidR="00875516" w:rsidRPr="00942872">
        <w:t xml:space="preserve">never smokers, but </w:t>
      </w:r>
      <w:r w:rsidRPr="00942872">
        <w:t>narrower than the</w:t>
      </w:r>
      <w:r w:rsidR="00875516" w:rsidRPr="00942872">
        <w:t xml:space="preserve"> Study 1624 population </w:t>
      </w:r>
      <w:r w:rsidRPr="00942872">
        <w:t>and the proposed TGA indication</w:t>
      </w:r>
      <w:r w:rsidR="00875516" w:rsidRPr="00942872">
        <w:t xml:space="preserve"> by limiting </w:t>
      </w:r>
      <w:r w:rsidR="00994020" w:rsidRPr="00942872">
        <w:t xml:space="preserve">the </w:t>
      </w:r>
      <w:r w:rsidR="00875516" w:rsidRPr="00942872">
        <w:t>use of cemiplimab</w:t>
      </w:r>
      <w:r w:rsidR="00994020" w:rsidRPr="00942872">
        <w:t xml:space="preserve"> in metastatic NSCLC</w:t>
      </w:r>
      <w:r w:rsidR="008F2E3C" w:rsidRPr="00942872">
        <w:t>s</w:t>
      </w:r>
      <w:r w:rsidR="00994020" w:rsidRPr="00942872">
        <w:t xml:space="preserve"> (not for </w:t>
      </w:r>
      <w:r w:rsidRPr="00942872">
        <w:t xml:space="preserve">locally advanced </w:t>
      </w:r>
      <w:r w:rsidR="00994020" w:rsidRPr="00942872">
        <w:t xml:space="preserve">disease). </w:t>
      </w:r>
      <w:r w:rsidR="00024042" w:rsidRPr="005467E8">
        <w:t xml:space="preserve">The ESC </w:t>
      </w:r>
      <w:r w:rsidR="007F51B6" w:rsidRPr="005467E8">
        <w:t xml:space="preserve">noted that Study 1624 excluded never smokers, however </w:t>
      </w:r>
      <w:r w:rsidR="00024042" w:rsidRPr="005467E8">
        <w:t>considered that a criterion related to smoking history was not required</w:t>
      </w:r>
      <w:r w:rsidR="007F51B6" w:rsidRPr="005467E8">
        <w:t xml:space="preserve"> in the proposed PBS listing</w:t>
      </w:r>
      <w:r w:rsidR="00024042" w:rsidRPr="005467E8">
        <w:t>.</w:t>
      </w:r>
    </w:p>
    <w:p w14:paraId="40722F77" w14:textId="77777777" w:rsidR="006C359D" w:rsidRDefault="006C359D" w:rsidP="00C47C86">
      <w:pPr>
        <w:pStyle w:val="3-BodyText"/>
      </w:pPr>
      <w:bookmarkStart w:id="6" w:name="_Ref87964844"/>
      <w:r w:rsidRPr="00942872">
        <w:t xml:space="preserve">The proposed PBS listing does not preclude the use cemiplimab in combination with other therapies, e.g. chemotherapy. </w:t>
      </w:r>
      <w:r w:rsidR="00024042" w:rsidRPr="005467E8">
        <w:t xml:space="preserve">The </w:t>
      </w:r>
      <w:r w:rsidR="00C47C86" w:rsidRPr="005467E8">
        <w:t>Pre-Sub-Committee Response (PSCR</w:t>
      </w:r>
      <w:r w:rsidR="00024042" w:rsidRPr="005467E8">
        <w:t>) agreed with the suggestion by the Secretariat to add a restriction to limit the use of cemiplimab to monotherapy if considered necessary by the PBAC.  The ESC considered that a</w:t>
      </w:r>
      <w:r w:rsidRPr="005467E8">
        <w:t xml:space="preserve">s </w:t>
      </w:r>
      <w:r w:rsidRPr="00942872">
        <w:t xml:space="preserve">the submission only provided evidence on </w:t>
      </w:r>
      <w:r w:rsidR="007F51B6" w:rsidRPr="00942872">
        <w:t xml:space="preserve">the </w:t>
      </w:r>
      <w:r w:rsidRPr="00942872">
        <w:t xml:space="preserve">use of cemiplimab </w:t>
      </w:r>
      <w:r w:rsidR="007F51B6" w:rsidRPr="00942872">
        <w:t xml:space="preserve">as </w:t>
      </w:r>
      <w:r w:rsidRPr="00942872">
        <w:t>monotherapy for treatment of PD-L1 TPS</w:t>
      </w:r>
      <w:r w:rsidR="00024042" w:rsidRPr="00942872">
        <w:t> </w:t>
      </w:r>
      <w:r w:rsidRPr="00942872">
        <w:t>≥</w:t>
      </w:r>
      <w:r w:rsidR="00024042" w:rsidRPr="00942872">
        <w:t> </w:t>
      </w:r>
      <w:r w:rsidRPr="00942872">
        <w:t xml:space="preserve">50% NSCLC, an additional restriction to limit the use </w:t>
      </w:r>
      <w:r w:rsidR="00380E4B" w:rsidRPr="00942872">
        <w:t xml:space="preserve">of </w:t>
      </w:r>
      <w:r w:rsidRPr="00942872">
        <w:t xml:space="preserve">cemiplimab </w:t>
      </w:r>
      <w:r w:rsidR="00024042" w:rsidRPr="00942872">
        <w:t xml:space="preserve">to </w:t>
      </w:r>
      <w:r w:rsidRPr="00942872">
        <w:t>monotherapy</w:t>
      </w:r>
      <w:r w:rsidR="00024042" w:rsidRPr="00942872">
        <w:t xml:space="preserve"> was appropriate</w:t>
      </w:r>
      <w:r w:rsidRPr="00942872">
        <w:t>.</w:t>
      </w:r>
      <w:bookmarkEnd w:id="6"/>
    </w:p>
    <w:p w14:paraId="7793CB48" w14:textId="121E838A" w:rsidR="004E652C" w:rsidRDefault="004E652C" w:rsidP="004E652C">
      <w:pPr>
        <w:pStyle w:val="3-BodyText"/>
      </w:pPr>
      <w:r w:rsidRPr="004E652C">
        <w:t>The pre-PBAC response requested two changes to the proposed initial treatment restriction. Specifically, the sponsor requested to remove the following notes: “A patient may only qualify for PBS subsidised treatment under this restriction once.”; and “Following completion of the initial PBS subsidised course, further applications for treatment will be assessed under the continuing treatment restriction.”</w:t>
      </w:r>
      <w:r w:rsidR="0053505B">
        <w:t xml:space="preserve"> </w:t>
      </w:r>
    </w:p>
    <w:p w14:paraId="7BEA8E4D" w14:textId="77777777" w:rsidR="000C23E1" w:rsidRPr="004E652C" w:rsidRDefault="000C23E1" w:rsidP="004E652C">
      <w:pPr>
        <w:pStyle w:val="3-BodyText"/>
      </w:pPr>
      <w:r>
        <w:t>The PBAC considered it would appropriate to include reference to ‘tumour proportion score</w:t>
      </w:r>
      <w:r w:rsidR="00F466D5">
        <w:t xml:space="preserve"> (TPS)</w:t>
      </w:r>
      <w:r>
        <w:t xml:space="preserve">’ in the clinical criteria, rather ‘tumour score’, to more accurately reflect the proposed TGA indication.  </w:t>
      </w:r>
    </w:p>
    <w:p w14:paraId="706217A1" w14:textId="77777777" w:rsidR="007805A7" w:rsidRPr="00942872" w:rsidRDefault="00302859" w:rsidP="007805A7">
      <w:pPr>
        <w:pStyle w:val="3-BodyText"/>
      </w:pPr>
      <w:r w:rsidRPr="00302859">
        <w:t xml:space="preserve">This application is being considered under the </w:t>
      </w:r>
      <w:r w:rsidR="006D564C">
        <w:t>s</w:t>
      </w:r>
      <w:r w:rsidRPr="00302859">
        <w:t xml:space="preserve">treamlined codependent submission process. </w:t>
      </w:r>
      <w:r w:rsidR="007805A7" w:rsidRPr="00942872">
        <w:t xml:space="preserve">To be eligible for cemiplimab treatment, patients need to be tested for PD-L1 expression. Currently an immunohistochemical (IHC) test is listed on the MBS to determine if the requirements relating to the PD-L1 status for access to pembrolizumab under the PBS are fulfilled (MBS item 72814). </w:t>
      </w:r>
      <w:r>
        <w:t>A</w:t>
      </w:r>
      <w:r w:rsidR="007805A7" w:rsidRPr="00942872">
        <w:t xml:space="preserve"> concurrent minor submission was lodged to MSAC, to request amendment to the MBS item 72814 to include cemiplimab. The proposed wording for MBS item descriptor is presented below.</w:t>
      </w:r>
    </w:p>
    <w:p w14:paraId="7E317ED6" w14:textId="77777777" w:rsidR="007805A7" w:rsidRPr="00942872" w:rsidRDefault="007805A7" w:rsidP="007805A7">
      <w:pPr>
        <w:pStyle w:val="TableFigureHeading"/>
      </w:pPr>
      <w:r w:rsidRPr="00942872">
        <w:t xml:space="preserve">Table </w:t>
      </w:r>
      <w:r w:rsidR="002177FE">
        <w:rPr>
          <w:noProof/>
        </w:rPr>
        <w:t>2</w:t>
      </w:r>
      <w:r w:rsidRPr="00942872">
        <w:t>: Proposed wording for MBS item descriptor</w:t>
      </w:r>
    </w:p>
    <w:tbl>
      <w:tblPr>
        <w:tblStyle w:val="TableGrid"/>
        <w:tblW w:w="0" w:type="auto"/>
        <w:tblLook w:val="04A0" w:firstRow="1" w:lastRow="0" w:firstColumn="1" w:lastColumn="0" w:noHBand="0" w:noVBand="1"/>
        <w:tblCaption w:val="Table 2: Proposed wording for MBS item descriptor"/>
      </w:tblPr>
      <w:tblGrid>
        <w:gridCol w:w="9016"/>
      </w:tblGrid>
      <w:tr w:rsidR="007805A7" w:rsidRPr="00942872" w14:paraId="489F9733" w14:textId="77777777" w:rsidTr="003E5591">
        <w:trPr>
          <w:tblHeader/>
        </w:trPr>
        <w:tc>
          <w:tcPr>
            <w:tcW w:w="9016" w:type="dxa"/>
          </w:tcPr>
          <w:p w14:paraId="4BDBC19E" w14:textId="77777777" w:rsidR="007805A7" w:rsidRPr="00942872" w:rsidRDefault="007805A7" w:rsidP="004C718A">
            <w:pPr>
              <w:spacing w:before="40" w:after="40"/>
              <w:jc w:val="right"/>
              <w:rPr>
                <w:rFonts w:ascii="Arial Narrow" w:hAnsi="Arial Narrow"/>
                <w:b/>
                <w:bCs/>
                <w:sz w:val="20"/>
                <w:szCs w:val="20"/>
              </w:rPr>
            </w:pPr>
            <w:r w:rsidRPr="00942872">
              <w:rPr>
                <w:rFonts w:ascii="Arial Narrow" w:hAnsi="Arial Narrow"/>
                <w:b/>
                <w:bCs/>
                <w:sz w:val="20"/>
                <w:szCs w:val="20"/>
              </w:rPr>
              <w:t>CATEGORY 6 – PATHOLOGY SERVICES</w:t>
            </w:r>
          </w:p>
        </w:tc>
      </w:tr>
      <w:tr w:rsidR="007805A7" w:rsidRPr="00942872" w14:paraId="028B8D73" w14:textId="77777777" w:rsidTr="004C718A">
        <w:tc>
          <w:tcPr>
            <w:tcW w:w="9016" w:type="dxa"/>
          </w:tcPr>
          <w:p w14:paraId="2D786056" w14:textId="77777777" w:rsidR="007805A7" w:rsidRPr="00942872" w:rsidRDefault="007805A7" w:rsidP="004C718A">
            <w:pPr>
              <w:spacing w:before="40" w:after="40"/>
              <w:rPr>
                <w:rFonts w:ascii="Arial Narrow" w:hAnsi="Arial Narrow"/>
                <w:sz w:val="20"/>
                <w:szCs w:val="20"/>
              </w:rPr>
            </w:pPr>
            <w:r w:rsidRPr="00942872">
              <w:rPr>
                <w:rFonts w:ascii="Arial Narrow" w:hAnsi="Arial Narrow"/>
                <w:sz w:val="20"/>
                <w:szCs w:val="20"/>
                <w:u w:val="single"/>
              </w:rPr>
              <w:t>72814</w:t>
            </w:r>
          </w:p>
          <w:p w14:paraId="7E1490CA" w14:textId="77777777" w:rsidR="007805A7" w:rsidRPr="00942872" w:rsidRDefault="007805A7" w:rsidP="004C718A">
            <w:pPr>
              <w:spacing w:before="40" w:after="40"/>
              <w:rPr>
                <w:rFonts w:ascii="Arial Narrow" w:hAnsi="Arial Narrow"/>
                <w:sz w:val="20"/>
                <w:szCs w:val="20"/>
              </w:rPr>
            </w:pPr>
            <w:r w:rsidRPr="00942872">
              <w:rPr>
                <w:rFonts w:ascii="Arial Narrow" w:hAnsi="Arial Narrow"/>
                <w:sz w:val="20"/>
                <w:szCs w:val="20"/>
              </w:rPr>
              <w:t>Immunohistochemical examination by immunoperoxidase or other labelled antibody techniques using the programmed cell death ligand 1 (PD</w:t>
            </w:r>
            <w:r w:rsidRPr="00942872">
              <w:rPr>
                <w:rFonts w:ascii="Arial Narrow" w:hAnsi="Arial Narrow"/>
                <w:sz w:val="20"/>
                <w:szCs w:val="20"/>
              </w:rPr>
              <w:noBreakHyphen/>
              <w:t>L1) antibody of tumour material from a patient diagnosed with non</w:t>
            </w:r>
            <w:r w:rsidRPr="00942872">
              <w:rPr>
                <w:rFonts w:ascii="Arial Narrow" w:hAnsi="Arial Narrow"/>
                <w:sz w:val="20"/>
                <w:szCs w:val="20"/>
              </w:rPr>
              <w:noBreakHyphen/>
              <w:t>small cell lung cancer, to determine if the requirements relating to PD</w:t>
            </w:r>
            <w:r w:rsidRPr="00942872">
              <w:rPr>
                <w:rFonts w:ascii="Arial Narrow" w:hAnsi="Arial Narrow"/>
                <w:sz w:val="20"/>
                <w:szCs w:val="20"/>
              </w:rPr>
              <w:noBreakHyphen/>
              <w:t>L1 status for access to pembrolizumab</w:t>
            </w:r>
            <w:r w:rsidRPr="00942872">
              <w:rPr>
                <w:rFonts w:ascii="Arial Narrow" w:hAnsi="Arial Narrow"/>
                <w:color w:val="FF0000"/>
                <w:sz w:val="20"/>
                <w:szCs w:val="20"/>
              </w:rPr>
              <w:t xml:space="preserve"> </w:t>
            </w:r>
            <w:r w:rsidRPr="00942872">
              <w:rPr>
                <w:rFonts w:ascii="Arial Narrow" w:hAnsi="Arial Narrow"/>
                <w:b/>
                <w:bCs/>
                <w:sz w:val="20"/>
                <w:szCs w:val="20"/>
                <w:u w:val="single"/>
              </w:rPr>
              <w:t>or cemiplimab</w:t>
            </w:r>
            <w:r w:rsidRPr="00942872">
              <w:rPr>
                <w:rFonts w:ascii="Arial Narrow" w:hAnsi="Arial Narrow"/>
                <w:sz w:val="20"/>
                <w:szCs w:val="20"/>
              </w:rPr>
              <w:t xml:space="preserve"> under the Pharmaceutical Benefits Scheme are fulfilled.</w:t>
            </w:r>
          </w:p>
          <w:p w14:paraId="76039582" w14:textId="77777777" w:rsidR="007805A7" w:rsidRPr="00942872" w:rsidRDefault="007805A7" w:rsidP="004C718A">
            <w:pPr>
              <w:spacing w:before="40" w:after="40"/>
              <w:rPr>
                <w:rFonts w:ascii="Arial Narrow" w:hAnsi="Arial Narrow"/>
                <w:sz w:val="20"/>
                <w:szCs w:val="20"/>
              </w:rPr>
            </w:pPr>
            <w:r w:rsidRPr="00942872">
              <w:rPr>
                <w:rFonts w:ascii="Arial Narrow" w:hAnsi="Arial Narrow"/>
                <w:sz w:val="20"/>
                <w:szCs w:val="20"/>
              </w:rPr>
              <w:t>Fee: $74.50 Benefit: 75% = $55.90 85% = $63.35</w:t>
            </w:r>
          </w:p>
        </w:tc>
      </w:tr>
    </w:tbl>
    <w:p w14:paraId="3EBE1393" w14:textId="77777777" w:rsidR="007805A7" w:rsidRPr="00942872" w:rsidRDefault="007805A7" w:rsidP="007805A7">
      <w:pPr>
        <w:pStyle w:val="TableFigureFooter"/>
      </w:pPr>
      <w:r w:rsidRPr="00942872">
        <w:t>Source: Table 1, p1 of the minor MSAC submission.</w:t>
      </w:r>
    </w:p>
    <w:p w14:paraId="1D01BAFC" w14:textId="77777777" w:rsidR="007805A7" w:rsidRPr="00942872" w:rsidRDefault="006C359D" w:rsidP="007805A7">
      <w:pPr>
        <w:pStyle w:val="TableFigureFooter"/>
      </w:pPr>
      <w:r w:rsidRPr="00942872">
        <w:t xml:space="preserve">Note: </w:t>
      </w:r>
      <w:r w:rsidR="007805A7" w:rsidRPr="00942872">
        <w:t xml:space="preserve">Proposed changes to the current MBS item descriptor are </w:t>
      </w:r>
      <w:r w:rsidR="007805A7" w:rsidRPr="00942872">
        <w:rPr>
          <w:b/>
        </w:rPr>
        <w:t>bold</w:t>
      </w:r>
      <w:r w:rsidR="007805A7" w:rsidRPr="00942872">
        <w:t xml:space="preserve"> and </w:t>
      </w:r>
      <w:r w:rsidR="007805A7" w:rsidRPr="00942872">
        <w:rPr>
          <w:u w:val="single"/>
        </w:rPr>
        <w:t>underlined</w:t>
      </w:r>
      <w:r w:rsidR="007805A7" w:rsidRPr="00942872">
        <w:t>.</w:t>
      </w:r>
      <w:bookmarkStart w:id="7" w:name="_GoBack"/>
      <w:bookmarkEnd w:id="7"/>
    </w:p>
    <w:p w14:paraId="666F1216" w14:textId="77777777" w:rsidR="007805A7" w:rsidRDefault="00F304CF" w:rsidP="00761CFA">
      <w:pPr>
        <w:pStyle w:val="3-BodyText"/>
      </w:pPr>
      <w:r>
        <w:t xml:space="preserve">The evaluation </w:t>
      </w:r>
      <w:r w:rsidR="006D564C">
        <w:t xml:space="preserve">stated </w:t>
      </w:r>
      <w:r>
        <w:t>that g</w:t>
      </w:r>
      <w:r w:rsidR="007805A7" w:rsidRPr="00942872">
        <w:t xml:space="preserve">iven PD-L1 testing is likely to be a part of the routine clinical management for NSCLC, the minor revision to MBS item 72814 is </w:t>
      </w:r>
      <w:r w:rsidR="006C359D" w:rsidRPr="00942872">
        <w:t xml:space="preserve">not expected </w:t>
      </w:r>
      <w:r w:rsidR="007805A7" w:rsidRPr="00942872">
        <w:t xml:space="preserve">to increase the usage of PD-L1 testing in clinical practice. </w:t>
      </w:r>
      <w:r w:rsidR="00DF2A43">
        <w:t xml:space="preserve">The PBAC </w:t>
      </w:r>
      <w:r>
        <w:t>confirmed</w:t>
      </w:r>
      <w:r w:rsidR="00DF2A43">
        <w:t xml:space="preserve"> that </w:t>
      </w:r>
      <w:r w:rsidR="00DF2A43" w:rsidRPr="00942872">
        <w:t>PD-L1 testing</w:t>
      </w:r>
      <w:r w:rsidR="00DF2A43">
        <w:t xml:space="preserve"> is already </w:t>
      </w:r>
      <w:r>
        <w:t xml:space="preserve">part of </w:t>
      </w:r>
      <w:r w:rsidR="00DF2A43">
        <w:t>standard of care in the proposed population and that listing of cemiplimab will not alter that.</w:t>
      </w:r>
    </w:p>
    <w:p w14:paraId="4E15CD34" w14:textId="77777777" w:rsidR="00BA23CA" w:rsidRPr="00BA23CA" w:rsidRDefault="00BA23CA" w:rsidP="00BA23CA">
      <w:pPr>
        <w:ind w:firstLine="709"/>
        <w:rPr>
          <w:rFonts w:asciiTheme="minorHAnsi" w:hAnsiTheme="minorHAnsi"/>
          <w:i/>
        </w:rPr>
      </w:pPr>
      <w:r w:rsidRPr="00BA23CA">
        <w:rPr>
          <w:rFonts w:asciiTheme="minorHAnsi" w:hAnsiTheme="minorHAnsi"/>
          <w:i/>
        </w:rPr>
        <w:t>For more detail on PBAC’s view, see section 7 PBAC outcome.</w:t>
      </w:r>
    </w:p>
    <w:p w14:paraId="356E1D5B" w14:textId="77777777" w:rsidR="007805A7" w:rsidRPr="00942872" w:rsidRDefault="007805A7" w:rsidP="00815130">
      <w:pPr>
        <w:pStyle w:val="2-SectionHeading"/>
        <w:keepLines/>
      </w:pPr>
      <w:bookmarkStart w:id="8" w:name="_Toc82597624"/>
      <w:r w:rsidRPr="00942872">
        <w:t>Population and disease</w:t>
      </w:r>
      <w:bookmarkEnd w:id="8"/>
    </w:p>
    <w:p w14:paraId="5C690140" w14:textId="77777777" w:rsidR="007805A7" w:rsidRPr="00942872" w:rsidRDefault="007805A7" w:rsidP="00815130">
      <w:pPr>
        <w:pStyle w:val="3-BodyText"/>
        <w:keepNext/>
        <w:keepLines/>
      </w:pPr>
      <w:r w:rsidRPr="00942872">
        <w:t>Lung cancer is the leading cause of death and the fifth most common cancer diagnosis in Australia.</w:t>
      </w:r>
      <w:r w:rsidRPr="00942872">
        <w:rPr>
          <w:snapToGrid/>
        </w:rPr>
        <w:t xml:space="preserve"> </w:t>
      </w:r>
      <w:r w:rsidR="00FB238F" w:rsidRPr="00942872">
        <w:t xml:space="preserve">In Australia </w:t>
      </w:r>
      <w:r w:rsidR="000B2CAE" w:rsidRPr="00942872">
        <w:t xml:space="preserve">in </w:t>
      </w:r>
      <w:r w:rsidR="00FB238F" w:rsidRPr="00942872">
        <w:t xml:space="preserve">2011, 42.2% (4,273 out of 10,134) of lung cancers were </w:t>
      </w:r>
      <w:r w:rsidR="007A4099" w:rsidRPr="00942872">
        <w:t>diagnosed with Stage IV disease,</w:t>
      </w:r>
      <w:r w:rsidR="00FB238F" w:rsidRPr="00942872">
        <w:t xml:space="preserve"> with the disease stage of another 28.5% of diagnoses not recorded. </w:t>
      </w:r>
      <w:r w:rsidRPr="00942872">
        <w:rPr>
          <w:snapToGrid/>
        </w:rPr>
        <w:t>The 5-year survival rate for Stage IV lung cancer was only 3.2% in 2011-2016</w:t>
      </w:r>
      <w:r w:rsidR="00C07D37" w:rsidRPr="00942872">
        <w:rPr>
          <w:rStyle w:val="FootnoteReference"/>
          <w:rFonts w:ascii="Calibri" w:hAnsi="Calibri"/>
          <w:snapToGrid/>
        </w:rPr>
        <w:footnoteReference w:id="1"/>
      </w:r>
      <w:r w:rsidRPr="00942872">
        <w:rPr>
          <w:snapToGrid/>
        </w:rPr>
        <w:t>.</w:t>
      </w:r>
      <w:r w:rsidR="00FB238F" w:rsidRPr="00942872">
        <w:rPr>
          <w:snapToGrid/>
        </w:rPr>
        <w:t xml:space="preserve"> NSCLC is the most common type of lung cancer and accounts for around 85%</w:t>
      </w:r>
      <w:r w:rsidR="007A4099" w:rsidRPr="00942872">
        <w:rPr>
          <w:snapToGrid/>
        </w:rPr>
        <w:t>-90%</w:t>
      </w:r>
      <w:r w:rsidR="00FB238F" w:rsidRPr="00942872">
        <w:rPr>
          <w:snapToGrid/>
        </w:rPr>
        <w:t xml:space="preserve"> of all cases</w:t>
      </w:r>
      <w:r w:rsidR="00FB238F" w:rsidRPr="00942872">
        <w:rPr>
          <w:rStyle w:val="FootnoteReference"/>
          <w:rFonts w:ascii="Calibri" w:hAnsi="Calibri"/>
          <w:snapToGrid/>
        </w:rPr>
        <w:footnoteReference w:id="2"/>
      </w:r>
      <w:r w:rsidR="00FB238F" w:rsidRPr="00942872">
        <w:rPr>
          <w:snapToGrid/>
        </w:rPr>
        <w:t>.</w:t>
      </w:r>
    </w:p>
    <w:p w14:paraId="4361E23F" w14:textId="77777777" w:rsidR="007805A7" w:rsidRPr="00942872" w:rsidRDefault="007805A7" w:rsidP="00F0548A">
      <w:pPr>
        <w:pStyle w:val="3-BodyText"/>
      </w:pPr>
      <w:r w:rsidRPr="00942872">
        <w:t>The submission proposed cemiplimab to be used as a first</w:t>
      </w:r>
      <w:r w:rsidR="00C07D37" w:rsidRPr="00942872">
        <w:t>-</w:t>
      </w:r>
      <w:r w:rsidRPr="00942872">
        <w:t xml:space="preserve">line treatment for patients with Stage IV NSCLC whose tumour has </w:t>
      </w:r>
      <w:r w:rsidR="00C07D37" w:rsidRPr="00942872">
        <w:t xml:space="preserve">PD-L1 expression in </w:t>
      </w:r>
      <w:r w:rsidRPr="00942872">
        <w:t xml:space="preserve">≥50% </w:t>
      </w:r>
      <w:r w:rsidR="00C07D37" w:rsidRPr="00942872">
        <w:t>tumour</w:t>
      </w:r>
      <w:r w:rsidRPr="00942872">
        <w:t xml:space="preserve"> cells, is EGFR </w:t>
      </w:r>
      <w:r w:rsidR="006C359D" w:rsidRPr="00942872">
        <w:t>wild</w:t>
      </w:r>
      <w:r w:rsidRPr="00942872">
        <w:t>type, and negative for ALK or ROS1 gene rearrangement, and has a performance status of 0 or 1. These patients are currently eligible for PBS</w:t>
      </w:r>
      <w:r w:rsidR="00C07D37" w:rsidRPr="00942872">
        <w:t>-</w:t>
      </w:r>
      <w:r w:rsidRPr="00942872">
        <w:t>subsidised pembrolizumab</w:t>
      </w:r>
      <w:r w:rsidR="00875516" w:rsidRPr="00942872">
        <w:t xml:space="preserve"> monotherapy. Other treatment options are pembrolizumab + chemotherapy</w:t>
      </w:r>
      <w:r w:rsidR="00F0548A" w:rsidRPr="00942872">
        <w:t xml:space="preserve">, atezolizumab + bevacizumab + chemotherapy </w:t>
      </w:r>
      <w:r w:rsidR="00804EF2" w:rsidRPr="00942872">
        <w:t>(</w:t>
      </w:r>
      <w:r w:rsidR="00F0548A" w:rsidRPr="00942872">
        <w:t>for non-squamous NSCLC</w:t>
      </w:r>
      <w:r w:rsidR="00804EF2" w:rsidRPr="00942872">
        <w:t>)</w:t>
      </w:r>
      <w:r w:rsidR="00F0548A" w:rsidRPr="00942872">
        <w:t xml:space="preserve"> and nivolumab</w:t>
      </w:r>
      <w:r w:rsidR="00804EF2" w:rsidRPr="00942872">
        <w:t xml:space="preserve"> + </w:t>
      </w:r>
      <w:r w:rsidR="00F0548A" w:rsidRPr="00942872">
        <w:t xml:space="preserve">ipilimumab </w:t>
      </w:r>
      <w:r w:rsidR="00804EF2" w:rsidRPr="00942872">
        <w:t>+</w:t>
      </w:r>
      <w:r w:rsidR="00F0548A" w:rsidRPr="00942872">
        <w:t xml:space="preserve"> chemotherapy</w:t>
      </w:r>
      <w:r w:rsidR="00804EF2" w:rsidRPr="00942872">
        <w:t xml:space="preserve"> (</w:t>
      </w:r>
      <w:r w:rsidR="00F0548A" w:rsidRPr="00942872">
        <w:t>for squamous NSCLC</w:t>
      </w:r>
      <w:r w:rsidR="00804EF2" w:rsidRPr="00942872">
        <w:t>)</w:t>
      </w:r>
      <w:r w:rsidRPr="00942872">
        <w:t>.</w:t>
      </w:r>
      <w:r w:rsidR="00710B2E">
        <w:t xml:space="preserve">  </w:t>
      </w:r>
    </w:p>
    <w:p w14:paraId="1D31573E" w14:textId="77777777" w:rsidR="007805A7" w:rsidRPr="00942872" w:rsidRDefault="007805A7" w:rsidP="007805A7">
      <w:pPr>
        <w:pStyle w:val="3-BodyText"/>
      </w:pPr>
      <w:r w:rsidRPr="00942872">
        <w:t xml:space="preserve">Cemiplimab is a fully recombinant human immunoglobulin G4 monoclonal antibody that targets the programmed </w:t>
      </w:r>
      <w:r w:rsidR="003D610F" w:rsidRPr="00942872">
        <w:t xml:space="preserve">cell </w:t>
      </w:r>
      <w:r w:rsidRPr="00942872">
        <w:t xml:space="preserve">death 1 (PD-1) receptor and is part of the pharmacologic class of PD-1 blocking antibodies. Cemiplimab blocks the interaction of PD-1 with its ligands PD-L1 and PD-L2 which potentiates T-cell responses, including anti-tumour responses. </w:t>
      </w:r>
    </w:p>
    <w:p w14:paraId="08EC9C86" w14:textId="77777777" w:rsidR="007805A7" w:rsidRDefault="007805A7" w:rsidP="007805A7">
      <w:pPr>
        <w:pStyle w:val="3-BodyText"/>
      </w:pPr>
      <w:r w:rsidRPr="00942872">
        <w:t>The recommended dose of cemiplimab is 350 mg administered as an intravenous (IV) infusion over 30 minutes every 3 weeks (Q3W) until disease progression or unacceptable toxicity, for a maximum treatment duration of 24 months.</w:t>
      </w:r>
    </w:p>
    <w:p w14:paraId="783D8097" w14:textId="77777777" w:rsidR="007805A7" w:rsidRPr="00942872" w:rsidRDefault="007805A7" w:rsidP="007805A7">
      <w:pPr>
        <w:pStyle w:val="2-SectionHeading"/>
      </w:pPr>
      <w:bookmarkStart w:id="9" w:name="_Toc82597625"/>
      <w:r w:rsidRPr="00942872">
        <w:t>Comparator</w:t>
      </w:r>
      <w:bookmarkEnd w:id="9"/>
    </w:p>
    <w:p w14:paraId="6A7B1EBC" w14:textId="77777777" w:rsidR="007805A7" w:rsidRDefault="007805A7" w:rsidP="0053505B">
      <w:pPr>
        <w:pStyle w:val="3-BodyText"/>
        <w:rPr>
          <w:snapToGrid/>
        </w:rPr>
      </w:pPr>
      <w:r w:rsidRPr="00942872">
        <w:rPr>
          <w:snapToGrid/>
        </w:rPr>
        <w:t>The submission nominated pembrolizumab monotherapy as the main comparator. The main arguments provided in support of this nomination were that pembrolizumab is the most prescribed immunotherapy in Australia for patients with Stage IV NSCLC with high expression of PD-L1 (i.e. TPS ≥ 50%) and that pembrolizumab is the only immunotherapy that can be used as monotherapy</w:t>
      </w:r>
      <w:r w:rsidR="003D610F" w:rsidRPr="00942872">
        <w:rPr>
          <w:snapToGrid/>
        </w:rPr>
        <w:t xml:space="preserve"> for the proposed PBS population</w:t>
      </w:r>
      <w:r w:rsidR="00116CDC">
        <w:rPr>
          <w:snapToGrid/>
        </w:rPr>
        <w:t>.</w:t>
      </w:r>
      <w:r w:rsidR="00380E4B" w:rsidRPr="005467E8">
        <w:rPr>
          <w:snapToGrid/>
        </w:rPr>
        <w:t xml:space="preserve"> The ESC noted that some patients within the proposed PBS population (i.e. TPS ≥ 50%) may be treated with pembrolizumab in combination with chemotherapy instead of pembrolizumab monotherapy, but considered that pembrolizumab monotherapy remained the appropriate comparator for cemiplimab monotherapy.</w:t>
      </w:r>
      <w:r w:rsidR="000D59AD">
        <w:rPr>
          <w:snapToGrid/>
        </w:rPr>
        <w:t xml:space="preserve">  </w:t>
      </w:r>
    </w:p>
    <w:p w14:paraId="1056F222" w14:textId="77777777" w:rsidR="00BA23CA" w:rsidRPr="00BA23CA" w:rsidRDefault="00BA23CA" w:rsidP="00BA23CA">
      <w:pPr>
        <w:ind w:firstLine="709"/>
        <w:rPr>
          <w:rFonts w:asciiTheme="minorHAnsi" w:hAnsiTheme="minorHAnsi"/>
          <w:i/>
        </w:rPr>
      </w:pPr>
      <w:r w:rsidRPr="00BA23CA">
        <w:rPr>
          <w:rFonts w:asciiTheme="minorHAnsi" w:hAnsiTheme="minorHAnsi"/>
          <w:i/>
        </w:rPr>
        <w:t>For more detail on PBAC’s view, see section 7 PBAC outcome.</w:t>
      </w:r>
    </w:p>
    <w:p w14:paraId="7293C20A" w14:textId="77777777" w:rsidR="007805A7" w:rsidRPr="00942872" w:rsidRDefault="007805A7" w:rsidP="007805A7">
      <w:pPr>
        <w:pStyle w:val="2-SectionHeading"/>
      </w:pPr>
      <w:bookmarkStart w:id="10" w:name="_Toc82597626"/>
      <w:r w:rsidRPr="00942872">
        <w:t>Consideration of the evidence</w:t>
      </w:r>
      <w:bookmarkEnd w:id="10"/>
    </w:p>
    <w:p w14:paraId="2987E29C" w14:textId="77777777" w:rsidR="00054384" w:rsidRPr="006E1229" w:rsidRDefault="00054384" w:rsidP="00054384">
      <w:pPr>
        <w:pStyle w:val="4-SubsectionHeading"/>
      </w:pPr>
      <w:bookmarkStart w:id="11" w:name="_Hlk76375935"/>
      <w:bookmarkStart w:id="12" w:name="_Toc82597627"/>
      <w:r w:rsidRPr="006E1229">
        <w:t>Sponsor hearing</w:t>
      </w:r>
    </w:p>
    <w:p w14:paraId="5D0D4094" w14:textId="77777777" w:rsidR="00054384" w:rsidRPr="00EF1DCB" w:rsidRDefault="00EF1DCB" w:rsidP="00EF1DCB">
      <w:pPr>
        <w:widowControl w:val="0"/>
        <w:numPr>
          <w:ilvl w:val="1"/>
          <w:numId w:val="1"/>
        </w:numPr>
        <w:spacing w:after="120"/>
        <w:rPr>
          <w:rFonts w:cs="Calibri"/>
          <w:bCs/>
          <w:snapToGrid w:val="0"/>
        </w:rPr>
      </w:pPr>
      <w:r w:rsidRPr="00F91542">
        <w:rPr>
          <w:rFonts w:cs="Calibri"/>
          <w:bCs/>
          <w:snapToGrid w:val="0"/>
        </w:rPr>
        <w:t>There was no hearing for this item.</w:t>
      </w:r>
    </w:p>
    <w:p w14:paraId="607359A9" w14:textId="77777777" w:rsidR="00054384" w:rsidRPr="006E1229" w:rsidRDefault="00054384" w:rsidP="00054384">
      <w:pPr>
        <w:pStyle w:val="4-SubsectionHeading"/>
      </w:pPr>
      <w:r w:rsidRPr="006E1229">
        <w:t>Consumer comments</w:t>
      </w:r>
    </w:p>
    <w:p w14:paraId="444397D0" w14:textId="77777777" w:rsidR="00187F08" w:rsidRPr="00187F08" w:rsidRDefault="00187F08" w:rsidP="00187F08">
      <w:pPr>
        <w:widowControl w:val="0"/>
        <w:numPr>
          <w:ilvl w:val="1"/>
          <w:numId w:val="1"/>
        </w:numPr>
        <w:spacing w:after="120"/>
        <w:rPr>
          <w:rFonts w:asciiTheme="minorHAnsi" w:hAnsiTheme="minorHAnsi"/>
          <w:bCs/>
          <w:snapToGrid w:val="0"/>
        </w:rPr>
      </w:pPr>
      <w:bookmarkStart w:id="13" w:name="_Hlk76382618"/>
      <w:r w:rsidRPr="00836F75">
        <w:rPr>
          <w:rFonts w:asciiTheme="minorHAnsi" w:hAnsiTheme="minorHAnsi"/>
          <w:bCs/>
          <w:snapToGrid w:val="0"/>
        </w:rPr>
        <w:t>The PBAC noted and welcomed the input from individuals (</w:t>
      </w:r>
      <w:r>
        <w:rPr>
          <w:rFonts w:asciiTheme="minorHAnsi" w:hAnsiTheme="minorHAnsi"/>
          <w:bCs/>
          <w:snapToGrid w:val="0"/>
        </w:rPr>
        <w:t>2</w:t>
      </w:r>
      <w:r w:rsidRPr="00836F75">
        <w:rPr>
          <w:rFonts w:asciiTheme="minorHAnsi" w:hAnsiTheme="minorHAnsi"/>
          <w:bCs/>
          <w:snapToGrid w:val="0"/>
        </w:rPr>
        <w:t>) and organisations (</w:t>
      </w:r>
      <w:r>
        <w:rPr>
          <w:rFonts w:asciiTheme="minorHAnsi" w:hAnsiTheme="minorHAnsi"/>
          <w:bCs/>
          <w:snapToGrid w:val="0"/>
        </w:rPr>
        <w:t>4</w:t>
      </w:r>
      <w:r w:rsidRPr="00836F75">
        <w:rPr>
          <w:rFonts w:asciiTheme="minorHAnsi" w:hAnsiTheme="minorHAnsi"/>
          <w:bCs/>
          <w:snapToGrid w:val="0"/>
        </w:rPr>
        <w:t xml:space="preserve">) via the Consumer Comments facility on the PBS website. The comments </w:t>
      </w:r>
      <w:r>
        <w:rPr>
          <w:rFonts w:asciiTheme="minorHAnsi" w:hAnsiTheme="minorHAnsi"/>
          <w:bCs/>
          <w:snapToGrid w:val="0"/>
        </w:rPr>
        <w:t xml:space="preserve">from individuals </w:t>
      </w:r>
      <w:r w:rsidRPr="00836F75">
        <w:rPr>
          <w:rFonts w:asciiTheme="minorHAnsi" w:hAnsiTheme="minorHAnsi"/>
          <w:bCs/>
          <w:snapToGrid w:val="0"/>
        </w:rPr>
        <w:t xml:space="preserve">described </w:t>
      </w:r>
      <w:r>
        <w:rPr>
          <w:rFonts w:asciiTheme="minorHAnsi" w:hAnsiTheme="minorHAnsi"/>
          <w:bCs/>
          <w:snapToGrid w:val="0"/>
        </w:rPr>
        <w:t xml:space="preserve">the experience of patients who had used this medicine and </w:t>
      </w:r>
      <w:r w:rsidRPr="00C7129D">
        <w:t xml:space="preserve">spoke positively of its effectiveness, prolonging length and quality of </w:t>
      </w:r>
      <w:r>
        <w:t>life</w:t>
      </w:r>
      <w:r w:rsidRPr="00C7129D">
        <w:t>.</w:t>
      </w:r>
    </w:p>
    <w:p w14:paraId="7023E438" w14:textId="77777777" w:rsidR="004E652C" w:rsidRPr="006D5FC8" w:rsidRDefault="004E652C" w:rsidP="004E652C">
      <w:pPr>
        <w:pStyle w:val="3-BodyText"/>
      </w:pPr>
      <w:r w:rsidRPr="00757385">
        <w:t xml:space="preserve">The Medical Oncology Group of Australia (MOGA) also expressed its support for the </w:t>
      </w:r>
      <w:r>
        <w:t>cemiplimab</w:t>
      </w:r>
      <w:r w:rsidRPr="00757385">
        <w:t xml:space="preserve"> submission</w:t>
      </w:r>
      <w:r>
        <w:t xml:space="preserve"> on the basis of the EMPOWER-Lung 1 study (referred to as Study 1624 in this submission)</w:t>
      </w:r>
      <w:r w:rsidRPr="00757385">
        <w:t xml:space="preserve">. The PBAC noted that the MOGA presented a European Society for Medical Oncology Magnitude of Clinical Benefit Scale (ESMO-MCBS) for </w:t>
      </w:r>
      <w:r>
        <w:t>cemiplimab</w:t>
      </w:r>
      <w:r w:rsidRPr="00757385">
        <w:t xml:space="preserve">, </w:t>
      </w:r>
      <w:r>
        <w:t>of 5</w:t>
      </w:r>
      <w:r w:rsidRPr="00757385">
        <w:t xml:space="preserve"> (out of a maximum of 5, where 5 and 4 represent the grades with substantial improvement</w:t>
      </w:r>
      <w:r>
        <w:t>)</w:t>
      </w:r>
      <w:r w:rsidRPr="007607DE">
        <w:rPr>
          <w:vertAlign w:val="superscript"/>
        </w:rPr>
        <w:footnoteReference w:id="3"/>
      </w:r>
      <w:r w:rsidRPr="00757385">
        <w:t xml:space="preserve">, based on a comparison with </w:t>
      </w:r>
      <w:r>
        <w:t>chemotherapy, while also noting that pembrolizumab is the PBS comparator</w:t>
      </w:r>
      <w:r w:rsidRPr="00757385">
        <w:t>.</w:t>
      </w:r>
    </w:p>
    <w:p w14:paraId="2BF73A7F" w14:textId="77777777" w:rsidR="00BD5E59" w:rsidRPr="00D44623" w:rsidRDefault="00D44623" w:rsidP="00D44623">
      <w:pPr>
        <w:widowControl w:val="0"/>
        <w:numPr>
          <w:ilvl w:val="1"/>
          <w:numId w:val="1"/>
        </w:numPr>
        <w:spacing w:after="120"/>
        <w:rPr>
          <w:rFonts w:asciiTheme="minorHAnsi" w:hAnsiTheme="minorHAnsi"/>
          <w:bCs/>
          <w:snapToGrid w:val="0"/>
        </w:rPr>
      </w:pPr>
      <w:r w:rsidRPr="00D44623">
        <w:rPr>
          <w:rFonts w:asciiTheme="minorHAnsi" w:hAnsiTheme="minorHAnsi"/>
          <w:bCs/>
          <w:snapToGrid w:val="0"/>
        </w:rPr>
        <w:t xml:space="preserve">The PBAC noted the advice from </w:t>
      </w:r>
      <w:r w:rsidR="00A6054E" w:rsidRPr="00D44623">
        <w:rPr>
          <w:bCs/>
        </w:rPr>
        <w:t>Lung Foundation Australia</w:t>
      </w:r>
      <w:r w:rsidRPr="00D44623">
        <w:rPr>
          <w:bCs/>
        </w:rPr>
        <w:t xml:space="preserve">, in particular that cemiplimab would </w:t>
      </w:r>
      <w:r w:rsidR="00A6054E" w:rsidRPr="00D44623">
        <w:rPr>
          <w:bCs/>
        </w:rPr>
        <w:t xml:space="preserve">provide clinicians and patients with </w:t>
      </w:r>
      <w:r w:rsidRPr="00D44623">
        <w:rPr>
          <w:bCs/>
        </w:rPr>
        <w:t xml:space="preserve">an additional </w:t>
      </w:r>
      <w:r w:rsidR="00A6054E" w:rsidRPr="00D44623">
        <w:rPr>
          <w:bCs/>
        </w:rPr>
        <w:t>choice</w:t>
      </w:r>
      <w:r w:rsidRPr="00D44623">
        <w:rPr>
          <w:bCs/>
        </w:rPr>
        <w:t xml:space="preserve"> of treatment</w:t>
      </w:r>
      <w:r w:rsidR="00015E58">
        <w:rPr>
          <w:bCs/>
        </w:rPr>
        <w:t xml:space="preserve"> and</w:t>
      </w:r>
      <w:r w:rsidR="0053505B">
        <w:rPr>
          <w:bCs/>
        </w:rPr>
        <w:t xml:space="preserve"> </w:t>
      </w:r>
      <w:r w:rsidR="00A6054E" w:rsidRPr="00D44623">
        <w:rPr>
          <w:bCs/>
        </w:rPr>
        <w:t>secure an alternative line of supply</w:t>
      </w:r>
      <w:r w:rsidRPr="00D44623">
        <w:rPr>
          <w:bCs/>
        </w:rPr>
        <w:t xml:space="preserve"> for</w:t>
      </w:r>
      <w:r>
        <w:rPr>
          <w:bCs/>
        </w:rPr>
        <w:t xml:space="preserve"> continued access to treatment for patients with late stage NSCLC.</w:t>
      </w:r>
    </w:p>
    <w:p w14:paraId="468BE13E" w14:textId="77777777" w:rsidR="00BD5E59" w:rsidRPr="00D44623" w:rsidRDefault="00D44623" w:rsidP="00931169">
      <w:pPr>
        <w:pStyle w:val="3-BodyText"/>
        <w:rPr>
          <w:bCs/>
        </w:rPr>
      </w:pPr>
      <w:r w:rsidRPr="00D44623">
        <w:t xml:space="preserve">The PBAC noted the advice from the </w:t>
      </w:r>
      <w:r w:rsidR="00A6054E" w:rsidRPr="00D44623">
        <w:t>Centre for Community-Driven Research</w:t>
      </w:r>
      <w:r w:rsidRPr="00D44623">
        <w:t xml:space="preserve"> which described the results of a patient survey based on </w:t>
      </w:r>
      <w:r w:rsidR="00931169">
        <w:t xml:space="preserve">a number of </w:t>
      </w:r>
      <w:r w:rsidRPr="00D44623">
        <w:t>tele</w:t>
      </w:r>
      <w:r w:rsidR="00A6054E" w:rsidRPr="00D44623">
        <w:t>phone interviews</w:t>
      </w:r>
      <w:r w:rsidR="00015E58">
        <w:t xml:space="preserve"> conducted in 2018</w:t>
      </w:r>
      <w:r w:rsidR="00A6054E" w:rsidRPr="00D44623">
        <w:t xml:space="preserve">. </w:t>
      </w:r>
      <w:r w:rsidRPr="00D44623">
        <w:t xml:space="preserve">The survey enrolled </w:t>
      </w:r>
      <w:r>
        <w:t>p</w:t>
      </w:r>
      <w:r w:rsidRPr="00D44623">
        <w:rPr>
          <w:bCs/>
        </w:rPr>
        <w:t xml:space="preserve">articipants from all stages of lung cancer, with half of all participants having stage IV lung cancer. The PBAC noted key themes arising from the survey included </w:t>
      </w:r>
      <w:r w:rsidR="00015E58">
        <w:rPr>
          <w:bCs/>
        </w:rPr>
        <w:t xml:space="preserve">the importance of </w:t>
      </w:r>
      <w:r>
        <w:rPr>
          <w:bCs/>
        </w:rPr>
        <w:t>r</w:t>
      </w:r>
      <w:r w:rsidR="00A6054E" w:rsidRPr="00D44623">
        <w:rPr>
          <w:bCs/>
        </w:rPr>
        <w:t>apid access to new treatments, desire for targeted treatments with limited toxicity, psychosocial impact of cancer diagnosis,</w:t>
      </w:r>
      <w:r>
        <w:rPr>
          <w:bCs/>
        </w:rPr>
        <w:t xml:space="preserve"> and</w:t>
      </w:r>
      <w:r w:rsidR="00A6054E" w:rsidRPr="00D44623">
        <w:rPr>
          <w:bCs/>
        </w:rPr>
        <w:t xml:space="preserve"> lung cancer stigma</w:t>
      </w:r>
      <w:r>
        <w:rPr>
          <w:bCs/>
        </w:rPr>
        <w:t>.</w:t>
      </w:r>
      <w:r w:rsidR="00931169" w:rsidRPr="00931169">
        <w:t xml:space="preserve"> </w:t>
      </w:r>
      <w:r w:rsidR="00931169" w:rsidRPr="00931169">
        <w:rPr>
          <w:bCs/>
        </w:rPr>
        <w:t>The PBAC noted that the survey was not specific to cemiplimab, but was a generic survey which helped provide some key themes of importance to people with stage IV lung cancer</w:t>
      </w:r>
    </w:p>
    <w:p w14:paraId="7F4CEFD2" w14:textId="77777777" w:rsidR="00D44623" w:rsidRPr="00D44623" w:rsidRDefault="00D44623" w:rsidP="00B07E51">
      <w:pPr>
        <w:widowControl w:val="0"/>
        <w:numPr>
          <w:ilvl w:val="1"/>
          <w:numId w:val="1"/>
        </w:numPr>
        <w:spacing w:after="120"/>
        <w:rPr>
          <w:bCs/>
        </w:rPr>
      </w:pPr>
      <w:r w:rsidRPr="00D44623">
        <w:rPr>
          <w:rFonts w:asciiTheme="minorHAnsi" w:hAnsiTheme="minorHAnsi"/>
          <w:bCs/>
          <w:snapToGrid w:val="0"/>
        </w:rPr>
        <w:t xml:space="preserve">The PBAC noted </w:t>
      </w:r>
      <w:r w:rsidR="004E652C">
        <w:rPr>
          <w:rFonts w:asciiTheme="minorHAnsi" w:hAnsiTheme="minorHAnsi"/>
          <w:bCs/>
          <w:snapToGrid w:val="0"/>
        </w:rPr>
        <w:t xml:space="preserve">the advice </w:t>
      </w:r>
      <w:r w:rsidRPr="00D44623">
        <w:rPr>
          <w:rFonts w:asciiTheme="minorHAnsi" w:hAnsiTheme="minorHAnsi"/>
          <w:bCs/>
          <w:snapToGrid w:val="0"/>
        </w:rPr>
        <w:t xml:space="preserve">from </w:t>
      </w:r>
      <w:r w:rsidRPr="00D44623">
        <w:rPr>
          <w:bCs/>
        </w:rPr>
        <w:t>Rare Cancers Australia</w:t>
      </w:r>
      <w:r w:rsidR="006D5FC8">
        <w:rPr>
          <w:bCs/>
        </w:rPr>
        <w:t xml:space="preserve">, which supported the listing of cemiplimab, as </w:t>
      </w:r>
      <w:r w:rsidRPr="00D44623">
        <w:rPr>
          <w:bCs/>
        </w:rPr>
        <w:t xml:space="preserve">an alternative </w:t>
      </w:r>
      <w:r w:rsidR="00DE544B">
        <w:rPr>
          <w:bCs/>
        </w:rPr>
        <w:t xml:space="preserve">checkpoint inhibitor </w:t>
      </w:r>
      <w:r w:rsidRPr="00D44623">
        <w:rPr>
          <w:bCs/>
        </w:rPr>
        <w:t xml:space="preserve">for NSCLC </w:t>
      </w:r>
      <w:r w:rsidR="00DE544B">
        <w:rPr>
          <w:bCs/>
        </w:rPr>
        <w:t xml:space="preserve">patients </w:t>
      </w:r>
      <w:r w:rsidRPr="00D44623">
        <w:rPr>
          <w:bCs/>
        </w:rPr>
        <w:t xml:space="preserve">with </w:t>
      </w:r>
      <w:r w:rsidR="006D5FC8">
        <w:rPr>
          <w:bCs/>
        </w:rPr>
        <w:t>significant PD</w:t>
      </w:r>
      <w:r w:rsidR="006D5FC8">
        <w:rPr>
          <w:bCs/>
        </w:rPr>
        <w:noBreakHyphen/>
      </w:r>
      <w:r w:rsidRPr="00D44623">
        <w:rPr>
          <w:bCs/>
        </w:rPr>
        <w:t>L1 expression</w:t>
      </w:r>
      <w:r w:rsidR="006D5FC8">
        <w:rPr>
          <w:bCs/>
        </w:rPr>
        <w:t>.</w:t>
      </w:r>
    </w:p>
    <w:bookmarkEnd w:id="11"/>
    <w:bookmarkEnd w:id="13"/>
    <w:p w14:paraId="4599457F" w14:textId="77777777" w:rsidR="007805A7" w:rsidRPr="00942872" w:rsidRDefault="007805A7" w:rsidP="007805A7">
      <w:pPr>
        <w:pStyle w:val="4-SubsectionHeading"/>
      </w:pPr>
      <w:r w:rsidRPr="00942872">
        <w:t>Clinical studies</w:t>
      </w:r>
      <w:bookmarkEnd w:id="12"/>
    </w:p>
    <w:p w14:paraId="240BFCDE" w14:textId="77777777" w:rsidR="007805A7" w:rsidRPr="00942872" w:rsidRDefault="007805A7" w:rsidP="007805A7">
      <w:pPr>
        <w:pStyle w:val="3-BodyText"/>
      </w:pPr>
      <w:r w:rsidRPr="00942872">
        <w:rPr>
          <w:snapToGrid/>
        </w:rPr>
        <w:t>The submission was based on an indirect treatment comparison (ITC) of:</w:t>
      </w:r>
    </w:p>
    <w:p w14:paraId="7AF0A16B" w14:textId="77777777" w:rsidR="007805A7" w:rsidRPr="00942872" w:rsidRDefault="007805A7" w:rsidP="000D035D">
      <w:pPr>
        <w:pStyle w:val="ListParagraph"/>
        <w:numPr>
          <w:ilvl w:val="1"/>
          <w:numId w:val="10"/>
        </w:numPr>
        <w:spacing w:after="0"/>
        <w:ind w:left="1134" w:hanging="392"/>
      </w:pPr>
      <w:r w:rsidRPr="00942872">
        <w:t>One cemiplimab trial, Study 1624, which compared cemiplimab monotherapy with platinum-based chemotherapy for first-line treatment of patients with locally advanced or metastatic NSCLC whose tumour expressed PD-L1 TPS ≥50% and was EGFR wildtype, ALK translocation negative and ROS1 gene rearrangement negative; and</w:t>
      </w:r>
    </w:p>
    <w:p w14:paraId="7C6D7EBA" w14:textId="77777777" w:rsidR="007805A7" w:rsidRPr="00942872" w:rsidRDefault="007805A7" w:rsidP="000D035D">
      <w:pPr>
        <w:pStyle w:val="ListParagraph"/>
        <w:numPr>
          <w:ilvl w:val="1"/>
          <w:numId w:val="10"/>
        </w:numPr>
        <w:ind w:left="1134" w:hanging="391"/>
        <w:rPr>
          <w:snapToGrid/>
        </w:rPr>
      </w:pPr>
      <w:r w:rsidRPr="00942872">
        <w:t xml:space="preserve">Two pembrolizumab trials, KN024 and KN042, which compared pembrolizumab monotherapy with platinum-based chemotherapy as first-line treatment of NSCLC patients. KN024 only included metastatic NSCLC patients with PD-L1 TPS ≥ 50% and with no EGFR or ALK genomic tumour aberrations. KN042 had broader inclusion criteria, as it recruited patients with locally advanced or metastatic disease and used a lower threshold for PD-L1 expression of TPS ≥ 1%. </w:t>
      </w:r>
      <w:r w:rsidR="00B11F3A" w:rsidRPr="00942872">
        <w:t>The level of PD-L1 expression (TPS of 1-49% vs. ≥50%) was a stratification factor in KN042.</w:t>
      </w:r>
    </w:p>
    <w:p w14:paraId="0FA3A554" w14:textId="77777777" w:rsidR="007805A7" w:rsidRPr="00942872" w:rsidRDefault="007805A7" w:rsidP="007805A7">
      <w:pPr>
        <w:pStyle w:val="3-BodyText"/>
      </w:pPr>
      <w:r w:rsidRPr="00942872">
        <w:t xml:space="preserve">The two pembrolizumab trials, KN024 and KN042, have previously been reviewed by the PBAC in the submissions of pembrolizumab monotherapy for first-line treatment of Stage IV, PD-L1 TPS ≥50% NSCLC (KN024, as the intervention trial) </w:t>
      </w:r>
      <w:r w:rsidR="00262B24" w:rsidRPr="00942872">
        <w:t>(</w:t>
      </w:r>
      <w:r w:rsidR="00AB2808">
        <w:t>p</w:t>
      </w:r>
      <w:r w:rsidR="00262B24" w:rsidRPr="00942872">
        <w:t>embrolizumab PSDs, March 2017 and November 2017 PBAC meeting</w:t>
      </w:r>
      <w:r w:rsidR="007A1FC4" w:rsidRPr="00942872">
        <w:t>s</w:t>
      </w:r>
      <w:r w:rsidR="00262B24" w:rsidRPr="00942872">
        <w:t xml:space="preserve">) </w:t>
      </w:r>
      <w:r w:rsidRPr="00942872">
        <w:t>and the submissions of pembrolizumab + chemotherapy combination therapy for first-line treatment of Stage IV NSCLC, regardless of PD-L1 expression level (KN024 and KN042, as the comparator trials)</w:t>
      </w:r>
      <w:r w:rsidR="00262B24" w:rsidRPr="00942872">
        <w:t xml:space="preserve"> (</w:t>
      </w:r>
      <w:r w:rsidR="00AB2808">
        <w:t>p</w:t>
      </w:r>
      <w:r w:rsidR="00262B24" w:rsidRPr="00942872">
        <w:t>embrolizumab PSDs, November 2018 and July 2019 PBAC meeting</w:t>
      </w:r>
      <w:r w:rsidR="007A1FC4" w:rsidRPr="00942872">
        <w:t>s</w:t>
      </w:r>
      <w:r w:rsidR="00262B24" w:rsidRPr="00942872">
        <w:t>)</w:t>
      </w:r>
      <w:r w:rsidRPr="00942872">
        <w:t>.</w:t>
      </w:r>
    </w:p>
    <w:p w14:paraId="140A2F75" w14:textId="77777777" w:rsidR="007805A7" w:rsidRPr="00942872" w:rsidRDefault="007805A7" w:rsidP="007805A7">
      <w:pPr>
        <w:pStyle w:val="3-BodyText"/>
      </w:pPr>
      <w:r w:rsidRPr="00942872">
        <w:t xml:space="preserve">The submission also presented results from </w:t>
      </w:r>
      <w:r w:rsidR="00A921F7" w:rsidRPr="00942872">
        <w:t>a</w:t>
      </w:r>
      <w:r w:rsidRPr="00942872">
        <w:t xml:space="preserve"> recently published KN042 China Study as supplementary evidence. This study included patients enrolled from mainland China in the KN042 global study and in the KN042 China extension study. A total of 92 out of 262 (35%) patients in the KN042 China Study were also included in the main KN042</w:t>
      </w:r>
      <w:r w:rsidR="001B55C3" w:rsidRPr="00942872">
        <w:t xml:space="preserve"> study</w:t>
      </w:r>
      <w:r w:rsidRPr="00942872">
        <w:t xml:space="preserve">, with the remaining 170 Chinese subjects recruited after global enrolment was completed. Given the overlap of the trial populations between KN042 and KN042 China Study, it appeared reasonable not to include KN042 China Study in the ITC. </w:t>
      </w:r>
    </w:p>
    <w:p w14:paraId="65CB47DC" w14:textId="77777777" w:rsidR="007805A7" w:rsidRPr="00942872" w:rsidRDefault="007805A7" w:rsidP="007805A7">
      <w:pPr>
        <w:pStyle w:val="3-BodyText"/>
      </w:pPr>
      <w:r w:rsidRPr="00942872">
        <w:rPr>
          <w:snapToGrid/>
        </w:rPr>
        <w:t xml:space="preserve">Details of the </w:t>
      </w:r>
      <w:r w:rsidR="00A921F7" w:rsidRPr="00942872">
        <w:rPr>
          <w:snapToGrid/>
        </w:rPr>
        <w:t>trials</w:t>
      </w:r>
      <w:r w:rsidRPr="00942872">
        <w:rPr>
          <w:snapToGrid/>
        </w:rPr>
        <w:t xml:space="preserve"> presented in the submission are provided in the table below. </w:t>
      </w:r>
    </w:p>
    <w:p w14:paraId="4290B124" w14:textId="77777777" w:rsidR="007805A7" w:rsidRPr="00942872" w:rsidRDefault="00815130" w:rsidP="007805A7">
      <w:pPr>
        <w:pStyle w:val="TableFigureHeading"/>
      </w:pPr>
      <w:r>
        <w:br w:type="column"/>
      </w:r>
      <w:r w:rsidR="007805A7" w:rsidRPr="00942872">
        <w:t xml:space="preserve">Table </w:t>
      </w:r>
      <w:r w:rsidR="002177FE">
        <w:rPr>
          <w:noProof/>
        </w:rPr>
        <w:t>3</w:t>
      </w:r>
      <w:r w:rsidR="007805A7" w:rsidRPr="00942872">
        <w:t xml:space="preserve">: </w:t>
      </w:r>
      <w:r w:rsidR="007805A7" w:rsidRPr="00942872">
        <w:rPr>
          <w:rStyle w:val="CommentReference"/>
          <w:b/>
        </w:rPr>
        <w:t>Studies and associated reports presented in the submission</w:t>
      </w:r>
    </w:p>
    <w:tbl>
      <w:tblPr>
        <w:tblStyle w:val="TableGrid"/>
        <w:tblW w:w="5000" w:type="pct"/>
        <w:tblLook w:val="04A0" w:firstRow="1" w:lastRow="0" w:firstColumn="1" w:lastColumn="0" w:noHBand="0" w:noVBand="1"/>
        <w:tblCaption w:val="Table 3: Studies and associated reports presented in the submission"/>
      </w:tblPr>
      <w:tblGrid>
        <w:gridCol w:w="1516"/>
        <w:gridCol w:w="5493"/>
        <w:gridCol w:w="2008"/>
      </w:tblGrid>
      <w:tr w:rsidR="007805A7" w:rsidRPr="00942872" w14:paraId="743B9343" w14:textId="77777777" w:rsidTr="00815130">
        <w:trPr>
          <w:cantSplit/>
          <w:tblHeader/>
        </w:trPr>
        <w:tc>
          <w:tcPr>
            <w:tcW w:w="1501" w:type="dxa"/>
          </w:tcPr>
          <w:p w14:paraId="43E89356" w14:textId="77777777" w:rsidR="007805A7" w:rsidRPr="00942872" w:rsidRDefault="007805A7" w:rsidP="00B65C7B">
            <w:pPr>
              <w:pStyle w:val="SubmTableHeading"/>
              <w:spacing w:after="0"/>
              <w:rPr>
                <w:sz w:val="20"/>
                <w:szCs w:val="20"/>
              </w:rPr>
            </w:pPr>
            <w:r w:rsidRPr="00942872">
              <w:rPr>
                <w:sz w:val="20"/>
                <w:szCs w:val="20"/>
              </w:rPr>
              <w:t>Trial ID</w:t>
            </w:r>
          </w:p>
        </w:tc>
        <w:tc>
          <w:tcPr>
            <w:tcW w:w="5440" w:type="dxa"/>
          </w:tcPr>
          <w:p w14:paraId="4C691B3D" w14:textId="77777777" w:rsidR="007805A7" w:rsidRPr="00942872" w:rsidRDefault="007805A7" w:rsidP="00B65C7B">
            <w:pPr>
              <w:pStyle w:val="SubmTableHeading"/>
              <w:spacing w:after="0"/>
              <w:rPr>
                <w:sz w:val="20"/>
                <w:szCs w:val="20"/>
              </w:rPr>
            </w:pPr>
            <w:r w:rsidRPr="00942872">
              <w:rPr>
                <w:sz w:val="20"/>
                <w:szCs w:val="20"/>
              </w:rPr>
              <w:t>Protocol title / Publication title</w:t>
            </w:r>
          </w:p>
        </w:tc>
        <w:tc>
          <w:tcPr>
            <w:tcW w:w="1989" w:type="dxa"/>
          </w:tcPr>
          <w:p w14:paraId="7746DA8F" w14:textId="77777777" w:rsidR="007805A7" w:rsidRPr="00942872" w:rsidRDefault="0044615A" w:rsidP="00B65C7B">
            <w:pPr>
              <w:pStyle w:val="SubmTableHeading"/>
              <w:spacing w:after="0"/>
              <w:rPr>
                <w:sz w:val="20"/>
                <w:szCs w:val="20"/>
              </w:rPr>
            </w:pPr>
            <w:r w:rsidRPr="00942872">
              <w:rPr>
                <w:sz w:val="20"/>
                <w:szCs w:val="20"/>
              </w:rPr>
              <w:t>Publication citation</w:t>
            </w:r>
          </w:p>
        </w:tc>
      </w:tr>
      <w:tr w:rsidR="007805A7" w:rsidRPr="00942872" w14:paraId="46AED13F" w14:textId="77777777" w:rsidTr="00815130">
        <w:trPr>
          <w:cantSplit/>
        </w:trPr>
        <w:tc>
          <w:tcPr>
            <w:tcW w:w="8930" w:type="dxa"/>
            <w:gridSpan w:val="3"/>
            <w:tcBorders>
              <w:bottom w:val="single" w:sz="4" w:space="0" w:color="auto"/>
            </w:tcBorders>
          </w:tcPr>
          <w:p w14:paraId="2C8D6029" w14:textId="77777777" w:rsidR="007805A7" w:rsidRPr="00942872" w:rsidRDefault="007805A7" w:rsidP="00B65C7B">
            <w:pPr>
              <w:pStyle w:val="TableText0"/>
              <w:rPr>
                <w:b/>
                <w:bCs w:val="0"/>
                <w:iCs/>
                <w:szCs w:val="20"/>
              </w:rPr>
            </w:pPr>
            <w:r w:rsidRPr="00942872">
              <w:rPr>
                <w:b/>
                <w:bCs w:val="0"/>
                <w:iCs/>
                <w:szCs w:val="20"/>
              </w:rPr>
              <w:t>Cemiplimab trials</w:t>
            </w:r>
          </w:p>
        </w:tc>
      </w:tr>
      <w:tr w:rsidR="007805A7" w:rsidRPr="00942872" w14:paraId="70B32DE4" w14:textId="77777777" w:rsidTr="00815130">
        <w:trPr>
          <w:cantSplit/>
        </w:trPr>
        <w:tc>
          <w:tcPr>
            <w:tcW w:w="1501" w:type="dxa"/>
            <w:tcBorders>
              <w:bottom w:val="nil"/>
            </w:tcBorders>
          </w:tcPr>
          <w:p w14:paraId="3B9E3B3F" w14:textId="77777777" w:rsidR="007805A7" w:rsidRPr="00942872" w:rsidRDefault="007805A7" w:rsidP="00B65C7B">
            <w:pPr>
              <w:pStyle w:val="TableText0"/>
              <w:rPr>
                <w:szCs w:val="20"/>
              </w:rPr>
            </w:pPr>
            <w:r w:rsidRPr="00942872">
              <w:rPr>
                <w:szCs w:val="20"/>
              </w:rPr>
              <w:t>Study 1624</w:t>
            </w:r>
          </w:p>
          <w:p w14:paraId="4053C62A" w14:textId="77777777" w:rsidR="007805A7" w:rsidRPr="00942872" w:rsidRDefault="007805A7" w:rsidP="00B65C7B">
            <w:pPr>
              <w:pStyle w:val="TableText0"/>
              <w:rPr>
                <w:i/>
                <w:iCs/>
                <w:szCs w:val="20"/>
              </w:rPr>
            </w:pPr>
            <w:r w:rsidRPr="00942872">
              <w:rPr>
                <w:iCs/>
                <w:szCs w:val="20"/>
              </w:rPr>
              <w:t>EMPOWER</w:t>
            </w:r>
            <w:r w:rsidRPr="00942872">
              <w:rPr>
                <w:iCs/>
                <w:szCs w:val="20"/>
              </w:rPr>
              <w:noBreakHyphen/>
              <w:t>Lung 1</w:t>
            </w:r>
          </w:p>
        </w:tc>
        <w:tc>
          <w:tcPr>
            <w:tcW w:w="5440" w:type="dxa"/>
            <w:tcBorders>
              <w:bottom w:val="nil"/>
            </w:tcBorders>
          </w:tcPr>
          <w:p w14:paraId="68E610C6" w14:textId="77777777" w:rsidR="007805A7" w:rsidRPr="00942872" w:rsidRDefault="007805A7" w:rsidP="00B65C7B">
            <w:pPr>
              <w:pStyle w:val="TableText0"/>
              <w:rPr>
                <w:szCs w:val="20"/>
              </w:rPr>
            </w:pPr>
            <w:r w:rsidRPr="00942872">
              <w:rPr>
                <w:szCs w:val="20"/>
              </w:rPr>
              <w:t>A global, randomized, Phase 3, open</w:t>
            </w:r>
            <w:r w:rsidRPr="00942872">
              <w:rPr>
                <w:szCs w:val="20"/>
              </w:rPr>
              <w:noBreakHyphen/>
              <w:t>label study of REGN2810 (anti</w:t>
            </w:r>
            <w:r w:rsidRPr="00942872">
              <w:rPr>
                <w:szCs w:val="20"/>
              </w:rPr>
              <w:noBreakHyphen/>
              <w:t>PD</w:t>
            </w:r>
            <w:r w:rsidRPr="00942872">
              <w:rPr>
                <w:szCs w:val="20"/>
              </w:rPr>
              <w:noBreakHyphen/>
              <w:t>1 antibody) versus platinum</w:t>
            </w:r>
            <w:r w:rsidRPr="00942872">
              <w:rPr>
                <w:szCs w:val="20"/>
              </w:rPr>
              <w:noBreakHyphen/>
              <w:t>based chemotherapy in first</w:t>
            </w:r>
            <w:r w:rsidRPr="00942872">
              <w:rPr>
                <w:szCs w:val="20"/>
              </w:rPr>
              <w:noBreakHyphen/>
              <w:t>line treatment of patients with advanced or metastatic PD</w:t>
            </w:r>
            <w:r w:rsidRPr="00942872">
              <w:rPr>
                <w:szCs w:val="20"/>
              </w:rPr>
              <w:noBreakHyphen/>
              <w:t>L1 + non</w:t>
            </w:r>
            <w:r w:rsidRPr="00942872">
              <w:rPr>
                <w:szCs w:val="20"/>
              </w:rPr>
              <w:noBreakHyphen/>
              <w:t>small cell lung cancer.</w:t>
            </w:r>
          </w:p>
        </w:tc>
        <w:tc>
          <w:tcPr>
            <w:tcW w:w="1989" w:type="dxa"/>
            <w:tcBorders>
              <w:bottom w:val="nil"/>
            </w:tcBorders>
          </w:tcPr>
          <w:p w14:paraId="5D1E5BC3" w14:textId="77777777" w:rsidR="007805A7" w:rsidRPr="00942872" w:rsidRDefault="007805A7" w:rsidP="00B65C7B">
            <w:pPr>
              <w:pStyle w:val="TableText0"/>
              <w:rPr>
                <w:bCs w:val="0"/>
                <w:iCs/>
                <w:szCs w:val="20"/>
              </w:rPr>
            </w:pPr>
            <w:r w:rsidRPr="00942872">
              <w:rPr>
                <w:bCs w:val="0"/>
                <w:iCs/>
                <w:szCs w:val="20"/>
              </w:rPr>
              <w:t>August 2020</w:t>
            </w:r>
          </w:p>
        </w:tc>
      </w:tr>
      <w:tr w:rsidR="007805A7" w:rsidRPr="00942872" w14:paraId="388F5ACA" w14:textId="77777777" w:rsidTr="00815130">
        <w:trPr>
          <w:cantSplit/>
        </w:trPr>
        <w:tc>
          <w:tcPr>
            <w:tcW w:w="1501" w:type="dxa"/>
            <w:tcBorders>
              <w:top w:val="nil"/>
              <w:bottom w:val="nil"/>
            </w:tcBorders>
          </w:tcPr>
          <w:p w14:paraId="24F46CCE" w14:textId="77777777" w:rsidR="007805A7" w:rsidRPr="00942872" w:rsidRDefault="007805A7" w:rsidP="0044615A">
            <w:pPr>
              <w:pStyle w:val="TableText0"/>
              <w:keepNext w:val="0"/>
              <w:rPr>
                <w:szCs w:val="20"/>
              </w:rPr>
            </w:pPr>
          </w:p>
        </w:tc>
        <w:tc>
          <w:tcPr>
            <w:tcW w:w="5440" w:type="dxa"/>
            <w:tcBorders>
              <w:top w:val="nil"/>
              <w:bottom w:val="nil"/>
            </w:tcBorders>
          </w:tcPr>
          <w:p w14:paraId="4FFEE0BE" w14:textId="77777777" w:rsidR="007805A7" w:rsidRPr="00942872" w:rsidRDefault="007805A7" w:rsidP="0044615A">
            <w:pPr>
              <w:pStyle w:val="TableText0"/>
              <w:keepNext w:val="0"/>
              <w:rPr>
                <w:szCs w:val="20"/>
              </w:rPr>
            </w:pPr>
            <w:r w:rsidRPr="00942872">
              <w:rPr>
                <w:szCs w:val="20"/>
              </w:rPr>
              <w:t>A global, randomized, Phase 3, open label study of REGN2810 (anti-PD-1 antibody) versus platinum based chemotherapy in first line treatment of patients with advanced or metastatic PD L1 + non-small cell lung cancer. Protocol Amendment 7.</w:t>
            </w:r>
          </w:p>
        </w:tc>
        <w:tc>
          <w:tcPr>
            <w:tcW w:w="1989" w:type="dxa"/>
            <w:tcBorders>
              <w:top w:val="nil"/>
              <w:bottom w:val="nil"/>
            </w:tcBorders>
          </w:tcPr>
          <w:p w14:paraId="0000C4ED" w14:textId="77777777" w:rsidR="007805A7" w:rsidRPr="00942872" w:rsidRDefault="007805A7" w:rsidP="0044615A">
            <w:pPr>
              <w:pStyle w:val="TableText0"/>
              <w:keepNext w:val="0"/>
              <w:rPr>
                <w:bCs w:val="0"/>
                <w:iCs/>
                <w:szCs w:val="20"/>
              </w:rPr>
            </w:pPr>
            <w:r w:rsidRPr="00942872">
              <w:rPr>
                <w:bCs w:val="0"/>
                <w:iCs/>
                <w:szCs w:val="20"/>
              </w:rPr>
              <w:t>May 2019</w:t>
            </w:r>
          </w:p>
        </w:tc>
      </w:tr>
      <w:tr w:rsidR="007805A7" w:rsidRPr="00942872" w14:paraId="7B75CFCE" w14:textId="77777777" w:rsidTr="00815130">
        <w:trPr>
          <w:cantSplit/>
        </w:trPr>
        <w:tc>
          <w:tcPr>
            <w:tcW w:w="1501" w:type="dxa"/>
            <w:tcBorders>
              <w:top w:val="nil"/>
              <w:bottom w:val="nil"/>
            </w:tcBorders>
          </w:tcPr>
          <w:p w14:paraId="6E9AD50B" w14:textId="77777777" w:rsidR="007805A7" w:rsidRPr="00942872" w:rsidRDefault="007805A7" w:rsidP="0044615A">
            <w:pPr>
              <w:pStyle w:val="TableText0"/>
              <w:keepNext w:val="0"/>
              <w:rPr>
                <w:szCs w:val="20"/>
              </w:rPr>
            </w:pPr>
          </w:p>
        </w:tc>
        <w:tc>
          <w:tcPr>
            <w:tcW w:w="5440" w:type="dxa"/>
            <w:tcBorders>
              <w:top w:val="nil"/>
              <w:bottom w:val="nil"/>
            </w:tcBorders>
          </w:tcPr>
          <w:p w14:paraId="44EBF092" w14:textId="77777777" w:rsidR="007805A7" w:rsidRPr="00942872" w:rsidRDefault="007805A7" w:rsidP="0044615A">
            <w:pPr>
              <w:pStyle w:val="TableText0"/>
              <w:keepNext w:val="0"/>
              <w:rPr>
                <w:szCs w:val="20"/>
              </w:rPr>
            </w:pPr>
            <w:r w:rsidRPr="00942872">
              <w:rPr>
                <w:szCs w:val="20"/>
              </w:rPr>
              <w:t>Sezer A, Kilickap S, et al. Cemiplimab monotherapy for first</w:t>
            </w:r>
            <w:r w:rsidRPr="00942872">
              <w:rPr>
                <w:szCs w:val="20"/>
              </w:rPr>
              <w:noBreakHyphen/>
              <w:t>line treatment of advanced non</w:t>
            </w:r>
            <w:r w:rsidRPr="00942872">
              <w:rPr>
                <w:szCs w:val="20"/>
              </w:rPr>
              <w:noBreakHyphen/>
              <w:t>small</w:t>
            </w:r>
            <w:r w:rsidRPr="00942872">
              <w:rPr>
                <w:szCs w:val="20"/>
              </w:rPr>
              <w:noBreakHyphen/>
              <w:t>cell lung cancer with PD</w:t>
            </w:r>
            <w:r w:rsidRPr="00942872">
              <w:rPr>
                <w:szCs w:val="20"/>
              </w:rPr>
              <w:noBreakHyphen/>
              <w:t>L1 of at least 50%: a multicentre, open</w:t>
            </w:r>
            <w:r w:rsidRPr="00942872">
              <w:rPr>
                <w:szCs w:val="20"/>
              </w:rPr>
              <w:noBreakHyphen/>
              <w:t xml:space="preserve">label, global, phase 3, randomised, controlled trial. </w:t>
            </w:r>
          </w:p>
        </w:tc>
        <w:tc>
          <w:tcPr>
            <w:tcW w:w="1989" w:type="dxa"/>
            <w:tcBorders>
              <w:top w:val="nil"/>
              <w:bottom w:val="nil"/>
            </w:tcBorders>
          </w:tcPr>
          <w:p w14:paraId="2A78E855" w14:textId="77777777" w:rsidR="007805A7" w:rsidRPr="00942872" w:rsidRDefault="007805A7" w:rsidP="0044615A">
            <w:pPr>
              <w:pStyle w:val="TableText0"/>
              <w:keepNext w:val="0"/>
              <w:rPr>
                <w:szCs w:val="20"/>
              </w:rPr>
            </w:pPr>
            <w:r w:rsidRPr="00942872">
              <w:rPr>
                <w:szCs w:val="20"/>
              </w:rPr>
              <w:t>Lancet 2021; 397: 592-604.</w:t>
            </w:r>
          </w:p>
        </w:tc>
      </w:tr>
      <w:tr w:rsidR="007805A7" w:rsidRPr="00942872" w14:paraId="126D0A40" w14:textId="77777777" w:rsidTr="00815130">
        <w:trPr>
          <w:cantSplit/>
        </w:trPr>
        <w:tc>
          <w:tcPr>
            <w:tcW w:w="1501" w:type="dxa"/>
            <w:tcBorders>
              <w:top w:val="nil"/>
            </w:tcBorders>
          </w:tcPr>
          <w:p w14:paraId="71B20440" w14:textId="77777777" w:rsidR="007805A7" w:rsidRPr="00942872" w:rsidRDefault="007805A7" w:rsidP="0044615A">
            <w:pPr>
              <w:pStyle w:val="TableText0"/>
              <w:keepNext w:val="0"/>
              <w:rPr>
                <w:szCs w:val="20"/>
              </w:rPr>
            </w:pPr>
          </w:p>
        </w:tc>
        <w:tc>
          <w:tcPr>
            <w:tcW w:w="5440" w:type="dxa"/>
            <w:tcBorders>
              <w:top w:val="nil"/>
            </w:tcBorders>
          </w:tcPr>
          <w:p w14:paraId="5559F32D" w14:textId="77777777" w:rsidR="007805A7" w:rsidRPr="00942872" w:rsidRDefault="007805A7" w:rsidP="0044615A">
            <w:pPr>
              <w:pStyle w:val="TableText0"/>
              <w:keepNext w:val="0"/>
              <w:rPr>
                <w:szCs w:val="20"/>
              </w:rPr>
            </w:pPr>
            <w:r w:rsidRPr="00942872">
              <w:rPr>
                <w:szCs w:val="20"/>
              </w:rPr>
              <w:t xml:space="preserve">Gumus M, Chen C-I, </w:t>
            </w:r>
            <w:r w:rsidRPr="00942872">
              <w:rPr>
                <w:iCs/>
                <w:szCs w:val="20"/>
              </w:rPr>
              <w:t>et al</w:t>
            </w:r>
            <w:r w:rsidRPr="00942872">
              <w:rPr>
                <w:szCs w:val="20"/>
              </w:rPr>
              <w:t>. Patient</w:t>
            </w:r>
            <w:r w:rsidRPr="00942872">
              <w:rPr>
                <w:szCs w:val="20"/>
              </w:rPr>
              <w:noBreakHyphen/>
              <w:t>reported symptoms, functioning, and quality of life (QoL) in patients treated with cemiplimab monotherapy for first</w:t>
            </w:r>
            <w:r w:rsidRPr="00942872">
              <w:rPr>
                <w:szCs w:val="20"/>
              </w:rPr>
              <w:noBreakHyphen/>
              <w:t>line treatment of advanced NSCLC with PD</w:t>
            </w:r>
            <w:r w:rsidRPr="00942872">
              <w:rPr>
                <w:szCs w:val="20"/>
              </w:rPr>
              <w:noBreakHyphen/>
              <w:t>L1 ≥ 50%: Results from EMPOWER</w:t>
            </w:r>
            <w:r w:rsidRPr="00942872">
              <w:rPr>
                <w:szCs w:val="20"/>
              </w:rPr>
              <w:noBreakHyphen/>
              <w:t xml:space="preserve">Lung 1 study. (Abstract) </w:t>
            </w:r>
          </w:p>
        </w:tc>
        <w:tc>
          <w:tcPr>
            <w:tcW w:w="1989" w:type="dxa"/>
            <w:tcBorders>
              <w:top w:val="nil"/>
            </w:tcBorders>
          </w:tcPr>
          <w:p w14:paraId="76D2DCC9" w14:textId="77777777" w:rsidR="007805A7" w:rsidRPr="00942872" w:rsidRDefault="007805A7" w:rsidP="0044615A">
            <w:pPr>
              <w:pStyle w:val="TableText0"/>
              <w:keepNext w:val="0"/>
              <w:rPr>
                <w:szCs w:val="20"/>
              </w:rPr>
            </w:pPr>
            <w:r w:rsidRPr="00942872">
              <w:rPr>
                <w:szCs w:val="20"/>
              </w:rPr>
              <w:t xml:space="preserve">Journal of Clinical Oncology 39(15_suppl.): 9078. </w:t>
            </w:r>
          </w:p>
        </w:tc>
      </w:tr>
      <w:tr w:rsidR="007805A7" w:rsidRPr="00942872" w14:paraId="31B4D0CB" w14:textId="77777777" w:rsidTr="00815130">
        <w:trPr>
          <w:cantSplit/>
        </w:trPr>
        <w:tc>
          <w:tcPr>
            <w:tcW w:w="8930" w:type="dxa"/>
            <w:gridSpan w:val="3"/>
            <w:tcBorders>
              <w:bottom w:val="single" w:sz="4" w:space="0" w:color="auto"/>
            </w:tcBorders>
          </w:tcPr>
          <w:p w14:paraId="7C2EFD35" w14:textId="77777777" w:rsidR="007805A7" w:rsidRPr="00942872" w:rsidRDefault="007805A7" w:rsidP="0044615A">
            <w:pPr>
              <w:pStyle w:val="TableText0"/>
              <w:keepNext w:val="0"/>
              <w:rPr>
                <w:b/>
                <w:bCs w:val="0"/>
                <w:iCs/>
                <w:szCs w:val="20"/>
              </w:rPr>
            </w:pPr>
            <w:r w:rsidRPr="00942872">
              <w:rPr>
                <w:b/>
                <w:bCs w:val="0"/>
                <w:iCs/>
                <w:szCs w:val="20"/>
              </w:rPr>
              <w:t>Pembrolizumab trials</w:t>
            </w:r>
          </w:p>
        </w:tc>
      </w:tr>
      <w:tr w:rsidR="007805A7" w:rsidRPr="00942872" w14:paraId="298BE087" w14:textId="77777777" w:rsidTr="00815130">
        <w:trPr>
          <w:cantSplit/>
        </w:trPr>
        <w:tc>
          <w:tcPr>
            <w:tcW w:w="1501" w:type="dxa"/>
            <w:tcBorders>
              <w:bottom w:val="nil"/>
            </w:tcBorders>
          </w:tcPr>
          <w:p w14:paraId="00BABD03" w14:textId="77777777" w:rsidR="007805A7" w:rsidRPr="00942872" w:rsidRDefault="007805A7" w:rsidP="0044615A">
            <w:pPr>
              <w:pStyle w:val="TableText0"/>
              <w:keepNext w:val="0"/>
              <w:rPr>
                <w:szCs w:val="20"/>
              </w:rPr>
            </w:pPr>
            <w:r w:rsidRPr="00942872">
              <w:rPr>
                <w:szCs w:val="20"/>
              </w:rPr>
              <w:t>KN024</w:t>
            </w:r>
          </w:p>
        </w:tc>
        <w:tc>
          <w:tcPr>
            <w:tcW w:w="5440" w:type="dxa"/>
            <w:tcBorders>
              <w:bottom w:val="nil"/>
            </w:tcBorders>
          </w:tcPr>
          <w:p w14:paraId="16F1D796" w14:textId="77777777" w:rsidR="007805A7" w:rsidRPr="00942872" w:rsidRDefault="007805A7" w:rsidP="0044615A">
            <w:pPr>
              <w:pStyle w:val="TableText0"/>
              <w:keepNext w:val="0"/>
              <w:rPr>
                <w:szCs w:val="20"/>
              </w:rPr>
            </w:pPr>
            <w:r w:rsidRPr="00942872">
              <w:rPr>
                <w:szCs w:val="20"/>
              </w:rPr>
              <w:t xml:space="preserve">Reck M, Rodrigues-Abreu D, </w:t>
            </w:r>
            <w:r w:rsidRPr="00942872">
              <w:rPr>
                <w:iCs/>
                <w:szCs w:val="20"/>
              </w:rPr>
              <w:t>et al.</w:t>
            </w:r>
            <w:r w:rsidRPr="00942872">
              <w:rPr>
                <w:szCs w:val="20"/>
              </w:rPr>
              <w:t xml:space="preserve"> Five</w:t>
            </w:r>
            <w:r w:rsidRPr="00942872">
              <w:rPr>
                <w:szCs w:val="20"/>
              </w:rPr>
              <w:noBreakHyphen/>
              <w:t>year outcomes with pembrolizumab versus chemotherapy for metastatic non</w:t>
            </w:r>
            <w:r w:rsidRPr="00942872">
              <w:rPr>
                <w:szCs w:val="20"/>
              </w:rPr>
              <w:noBreakHyphen/>
              <w:t>small cell lung cancer with PD</w:t>
            </w:r>
            <w:r w:rsidRPr="00942872">
              <w:rPr>
                <w:szCs w:val="20"/>
              </w:rPr>
              <w:noBreakHyphen/>
              <w:t xml:space="preserve">L1 Tumor Proportion Score </w:t>
            </w:r>
            <w:r w:rsidRPr="00942872">
              <w:rPr>
                <w:rFonts w:cs="Arial"/>
                <w:szCs w:val="20"/>
              </w:rPr>
              <w:t>≥</w:t>
            </w:r>
            <w:r w:rsidRPr="00942872">
              <w:rPr>
                <w:szCs w:val="20"/>
              </w:rPr>
              <w:t xml:space="preserve">50%. </w:t>
            </w:r>
          </w:p>
        </w:tc>
        <w:tc>
          <w:tcPr>
            <w:tcW w:w="1989" w:type="dxa"/>
            <w:tcBorders>
              <w:bottom w:val="nil"/>
            </w:tcBorders>
          </w:tcPr>
          <w:p w14:paraId="56E85183" w14:textId="77777777" w:rsidR="007805A7" w:rsidRPr="00942872" w:rsidRDefault="007805A7" w:rsidP="0044615A">
            <w:pPr>
              <w:pStyle w:val="TableText0"/>
              <w:keepNext w:val="0"/>
              <w:rPr>
                <w:i/>
                <w:szCs w:val="20"/>
              </w:rPr>
            </w:pPr>
            <w:r w:rsidRPr="00942872">
              <w:rPr>
                <w:szCs w:val="20"/>
              </w:rPr>
              <w:t>Journal of Clinical Oncology 2021; 39(21): 2339-49</w:t>
            </w:r>
          </w:p>
        </w:tc>
      </w:tr>
      <w:tr w:rsidR="007805A7" w:rsidRPr="00942872" w14:paraId="6DE548D7" w14:textId="77777777" w:rsidTr="00815130">
        <w:trPr>
          <w:cantSplit/>
        </w:trPr>
        <w:tc>
          <w:tcPr>
            <w:tcW w:w="1501" w:type="dxa"/>
            <w:tcBorders>
              <w:top w:val="nil"/>
              <w:bottom w:val="nil"/>
            </w:tcBorders>
          </w:tcPr>
          <w:p w14:paraId="7631533C" w14:textId="77777777" w:rsidR="007805A7" w:rsidRPr="00942872" w:rsidRDefault="007805A7" w:rsidP="0044615A">
            <w:pPr>
              <w:pStyle w:val="TableText0"/>
              <w:keepNext w:val="0"/>
              <w:rPr>
                <w:szCs w:val="20"/>
              </w:rPr>
            </w:pPr>
          </w:p>
        </w:tc>
        <w:tc>
          <w:tcPr>
            <w:tcW w:w="5440" w:type="dxa"/>
            <w:tcBorders>
              <w:top w:val="nil"/>
              <w:bottom w:val="nil"/>
            </w:tcBorders>
          </w:tcPr>
          <w:p w14:paraId="5D532DD7" w14:textId="77777777" w:rsidR="007805A7" w:rsidRPr="00942872" w:rsidRDefault="007805A7" w:rsidP="0044615A">
            <w:pPr>
              <w:pStyle w:val="TableText0"/>
              <w:keepNext w:val="0"/>
              <w:rPr>
                <w:szCs w:val="20"/>
              </w:rPr>
            </w:pPr>
            <w:r w:rsidRPr="00942872">
              <w:rPr>
                <w:szCs w:val="20"/>
              </w:rPr>
              <w:t xml:space="preserve">Satouchi M, Nosaki K, </w:t>
            </w:r>
            <w:r w:rsidRPr="00942872">
              <w:rPr>
                <w:iCs/>
                <w:szCs w:val="20"/>
              </w:rPr>
              <w:t>et al.</w:t>
            </w:r>
            <w:r w:rsidRPr="00942872">
              <w:rPr>
                <w:szCs w:val="20"/>
              </w:rPr>
              <w:t xml:space="preserve"> First</w:t>
            </w:r>
            <w:r w:rsidRPr="00942872">
              <w:rPr>
                <w:szCs w:val="20"/>
              </w:rPr>
              <w:noBreakHyphen/>
              <w:t>line pembrolizumab vs chemotherapy in metastatic non</w:t>
            </w:r>
            <w:r w:rsidRPr="00942872">
              <w:rPr>
                <w:szCs w:val="20"/>
              </w:rPr>
              <w:noBreakHyphen/>
              <w:t>small</w:t>
            </w:r>
            <w:r w:rsidRPr="00942872">
              <w:rPr>
                <w:szCs w:val="20"/>
              </w:rPr>
              <w:noBreakHyphen/>
              <w:t>cell lung cancer: KEYNOTE</w:t>
            </w:r>
            <w:r w:rsidRPr="00942872">
              <w:rPr>
                <w:szCs w:val="20"/>
              </w:rPr>
              <w:noBreakHyphen/>
              <w:t xml:space="preserve">024 Japan subset. </w:t>
            </w:r>
          </w:p>
        </w:tc>
        <w:tc>
          <w:tcPr>
            <w:tcW w:w="1989" w:type="dxa"/>
            <w:tcBorders>
              <w:top w:val="nil"/>
              <w:bottom w:val="nil"/>
            </w:tcBorders>
          </w:tcPr>
          <w:p w14:paraId="5B12737C" w14:textId="77777777" w:rsidR="007805A7" w:rsidRPr="00942872" w:rsidRDefault="007805A7" w:rsidP="0044615A">
            <w:pPr>
              <w:pStyle w:val="TableText0"/>
              <w:keepNext w:val="0"/>
              <w:rPr>
                <w:i/>
                <w:szCs w:val="20"/>
              </w:rPr>
            </w:pPr>
            <w:r w:rsidRPr="00942872">
              <w:rPr>
                <w:szCs w:val="20"/>
              </w:rPr>
              <w:t>Cancer Science 2020; 111(12):4480</w:t>
            </w:r>
            <w:r w:rsidRPr="00942872">
              <w:rPr>
                <w:szCs w:val="20"/>
              </w:rPr>
              <w:noBreakHyphen/>
              <w:t>9.</w:t>
            </w:r>
          </w:p>
        </w:tc>
      </w:tr>
      <w:tr w:rsidR="007805A7" w:rsidRPr="00942872" w14:paraId="023EE46C" w14:textId="77777777" w:rsidTr="00815130">
        <w:trPr>
          <w:cantSplit/>
        </w:trPr>
        <w:tc>
          <w:tcPr>
            <w:tcW w:w="1501" w:type="dxa"/>
            <w:tcBorders>
              <w:top w:val="nil"/>
              <w:bottom w:val="nil"/>
            </w:tcBorders>
          </w:tcPr>
          <w:p w14:paraId="1028566C" w14:textId="77777777" w:rsidR="007805A7" w:rsidRPr="00942872" w:rsidRDefault="007805A7" w:rsidP="0044615A">
            <w:pPr>
              <w:pStyle w:val="TableText0"/>
              <w:keepNext w:val="0"/>
              <w:rPr>
                <w:szCs w:val="20"/>
              </w:rPr>
            </w:pPr>
          </w:p>
        </w:tc>
        <w:tc>
          <w:tcPr>
            <w:tcW w:w="5440" w:type="dxa"/>
            <w:tcBorders>
              <w:top w:val="nil"/>
              <w:bottom w:val="nil"/>
            </w:tcBorders>
          </w:tcPr>
          <w:p w14:paraId="76881984" w14:textId="77777777" w:rsidR="007805A7" w:rsidRPr="00942872" w:rsidRDefault="007805A7" w:rsidP="0044615A">
            <w:pPr>
              <w:pStyle w:val="TableText0"/>
              <w:keepNext w:val="0"/>
              <w:rPr>
                <w:szCs w:val="20"/>
              </w:rPr>
            </w:pPr>
            <w:r w:rsidRPr="00942872">
              <w:rPr>
                <w:szCs w:val="20"/>
              </w:rPr>
              <w:t xml:space="preserve">Reck M, Rodrigues-Abreu D, </w:t>
            </w:r>
            <w:r w:rsidRPr="00942872">
              <w:rPr>
                <w:iCs/>
                <w:szCs w:val="20"/>
              </w:rPr>
              <w:t>et al.</w:t>
            </w:r>
            <w:r w:rsidRPr="00942872">
              <w:rPr>
                <w:szCs w:val="20"/>
              </w:rPr>
              <w:t xml:space="preserve"> Updated Analysis of KEYNOTE</w:t>
            </w:r>
            <w:r w:rsidRPr="00942872">
              <w:rPr>
                <w:szCs w:val="20"/>
              </w:rPr>
              <w:noBreakHyphen/>
              <w:t>024: Pembrolizumab versus platinum</w:t>
            </w:r>
            <w:r w:rsidRPr="00942872">
              <w:rPr>
                <w:szCs w:val="20"/>
              </w:rPr>
              <w:noBreakHyphen/>
              <w:t>based chemotherapy for advanced non-small</w:t>
            </w:r>
            <w:r w:rsidRPr="00942872">
              <w:rPr>
                <w:szCs w:val="20"/>
              </w:rPr>
              <w:noBreakHyphen/>
              <w:t>cell lung cancer with PD</w:t>
            </w:r>
            <w:r w:rsidRPr="00942872">
              <w:rPr>
                <w:szCs w:val="20"/>
              </w:rPr>
              <w:noBreakHyphen/>
              <w:t xml:space="preserve">L1 Tumor Proportion Score of 50% or greater. </w:t>
            </w:r>
          </w:p>
        </w:tc>
        <w:tc>
          <w:tcPr>
            <w:tcW w:w="1989" w:type="dxa"/>
            <w:tcBorders>
              <w:top w:val="nil"/>
              <w:bottom w:val="nil"/>
            </w:tcBorders>
          </w:tcPr>
          <w:p w14:paraId="5E47C434" w14:textId="77777777" w:rsidR="007805A7" w:rsidRPr="00942872" w:rsidRDefault="007805A7" w:rsidP="0044615A">
            <w:pPr>
              <w:pStyle w:val="TableText0"/>
              <w:keepNext w:val="0"/>
              <w:rPr>
                <w:i/>
                <w:szCs w:val="20"/>
              </w:rPr>
            </w:pPr>
            <w:r w:rsidRPr="00942872">
              <w:rPr>
                <w:szCs w:val="20"/>
              </w:rPr>
              <w:t>Journal of Clinical Oncology 2019; 37(7): 537</w:t>
            </w:r>
            <w:r w:rsidRPr="00942872">
              <w:rPr>
                <w:szCs w:val="20"/>
              </w:rPr>
              <w:noBreakHyphen/>
              <w:t xml:space="preserve">46. </w:t>
            </w:r>
          </w:p>
        </w:tc>
      </w:tr>
      <w:tr w:rsidR="007805A7" w:rsidRPr="00942872" w14:paraId="492C323A" w14:textId="77777777" w:rsidTr="00815130">
        <w:trPr>
          <w:cantSplit/>
        </w:trPr>
        <w:tc>
          <w:tcPr>
            <w:tcW w:w="1501" w:type="dxa"/>
            <w:tcBorders>
              <w:top w:val="nil"/>
              <w:bottom w:val="nil"/>
            </w:tcBorders>
          </w:tcPr>
          <w:p w14:paraId="41CDBB6E" w14:textId="77777777" w:rsidR="007805A7" w:rsidRPr="00942872" w:rsidRDefault="007805A7" w:rsidP="0044615A">
            <w:pPr>
              <w:pStyle w:val="TableText0"/>
              <w:keepNext w:val="0"/>
              <w:rPr>
                <w:szCs w:val="20"/>
              </w:rPr>
            </w:pPr>
          </w:p>
        </w:tc>
        <w:tc>
          <w:tcPr>
            <w:tcW w:w="5440" w:type="dxa"/>
            <w:tcBorders>
              <w:top w:val="nil"/>
              <w:bottom w:val="nil"/>
            </w:tcBorders>
          </w:tcPr>
          <w:p w14:paraId="0C9C4DA6" w14:textId="77777777" w:rsidR="007805A7" w:rsidRPr="00942872" w:rsidRDefault="007805A7" w:rsidP="0044615A">
            <w:pPr>
              <w:pStyle w:val="TableText0"/>
              <w:keepNext w:val="0"/>
              <w:rPr>
                <w:szCs w:val="20"/>
              </w:rPr>
            </w:pPr>
            <w:r w:rsidRPr="00942872">
              <w:rPr>
                <w:szCs w:val="20"/>
              </w:rPr>
              <w:t xml:space="preserve">Brahmer JR, Rodrigues-Abreu D, </w:t>
            </w:r>
            <w:r w:rsidRPr="00942872">
              <w:rPr>
                <w:iCs/>
                <w:szCs w:val="20"/>
              </w:rPr>
              <w:t>et al.</w:t>
            </w:r>
            <w:r w:rsidRPr="00942872">
              <w:rPr>
                <w:szCs w:val="20"/>
              </w:rPr>
              <w:t xml:space="preserve"> Health</w:t>
            </w:r>
            <w:r w:rsidRPr="00942872">
              <w:rPr>
                <w:szCs w:val="20"/>
              </w:rPr>
              <w:noBreakHyphen/>
              <w:t>related quality</w:t>
            </w:r>
            <w:r w:rsidRPr="00942872">
              <w:rPr>
                <w:szCs w:val="20"/>
              </w:rPr>
              <w:noBreakHyphen/>
              <w:t>of</w:t>
            </w:r>
            <w:r w:rsidRPr="00942872">
              <w:rPr>
                <w:szCs w:val="20"/>
              </w:rPr>
              <w:noBreakHyphen/>
              <w:t>life results for pembrolizumab versus chemotherapy in advanced, PD</w:t>
            </w:r>
            <w:r w:rsidRPr="00942872">
              <w:rPr>
                <w:szCs w:val="20"/>
              </w:rPr>
              <w:noBreakHyphen/>
              <w:t>L1</w:t>
            </w:r>
            <w:r w:rsidRPr="00942872">
              <w:rPr>
                <w:szCs w:val="20"/>
              </w:rPr>
              <w:noBreakHyphen/>
              <w:t>positive NSCLC (KEYNOTE</w:t>
            </w:r>
            <w:r w:rsidRPr="00942872">
              <w:rPr>
                <w:szCs w:val="20"/>
              </w:rPr>
              <w:noBreakHyphen/>
              <w:t>024): a multicentre, international, randomised, open</w:t>
            </w:r>
            <w:r w:rsidRPr="00942872">
              <w:rPr>
                <w:szCs w:val="20"/>
              </w:rPr>
              <w:noBreakHyphen/>
              <w:t xml:space="preserve">label phase 3 trial. </w:t>
            </w:r>
          </w:p>
        </w:tc>
        <w:tc>
          <w:tcPr>
            <w:tcW w:w="1989" w:type="dxa"/>
            <w:tcBorders>
              <w:top w:val="nil"/>
              <w:bottom w:val="nil"/>
            </w:tcBorders>
          </w:tcPr>
          <w:p w14:paraId="635B85E3" w14:textId="77777777" w:rsidR="007805A7" w:rsidRPr="00942872" w:rsidRDefault="007805A7" w:rsidP="0044615A">
            <w:pPr>
              <w:pStyle w:val="TableText0"/>
              <w:keepNext w:val="0"/>
              <w:rPr>
                <w:i/>
                <w:szCs w:val="20"/>
              </w:rPr>
            </w:pPr>
            <w:r w:rsidRPr="00942872">
              <w:rPr>
                <w:szCs w:val="20"/>
              </w:rPr>
              <w:t>The Lancet Oncology 2017; 18(12): 1600</w:t>
            </w:r>
            <w:r w:rsidRPr="00942872">
              <w:rPr>
                <w:szCs w:val="20"/>
              </w:rPr>
              <w:noBreakHyphen/>
              <w:t>9.</w:t>
            </w:r>
          </w:p>
        </w:tc>
      </w:tr>
      <w:tr w:rsidR="007805A7" w:rsidRPr="00942872" w14:paraId="07B01EC6" w14:textId="77777777" w:rsidTr="00815130">
        <w:trPr>
          <w:cantSplit/>
        </w:trPr>
        <w:tc>
          <w:tcPr>
            <w:tcW w:w="1501" w:type="dxa"/>
            <w:tcBorders>
              <w:top w:val="nil"/>
              <w:bottom w:val="nil"/>
            </w:tcBorders>
          </w:tcPr>
          <w:p w14:paraId="3F8FAFF7" w14:textId="77777777" w:rsidR="007805A7" w:rsidRPr="00942872" w:rsidRDefault="007805A7" w:rsidP="0044615A">
            <w:pPr>
              <w:pStyle w:val="TableText0"/>
              <w:keepNext w:val="0"/>
              <w:rPr>
                <w:szCs w:val="20"/>
              </w:rPr>
            </w:pPr>
          </w:p>
        </w:tc>
        <w:tc>
          <w:tcPr>
            <w:tcW w:w="5440" w:type="dxa"/>
            <w:tcBorders>
              <w:top w:val="nil"/>
              <w:bottom w:val="nil"/>
            </w:tcBorders>
          </w:tcPr>
          <w:p w14:paraId="065E68DB" w14:textId="77777777" w:rsidR="007805A7" w:rsidRPr="00942872" w:rsidRDefault="007805A7" w:rsidP="0044615A">
            <w:pPr>
              <w:pStyle w:val="TableText0"/>
              <w:keepNext w:val="0"/>
              <w:rPr>
                <w:szCs w:val="20"/>
              </w:rPr>
            </w:pPr>
            <w:r w:rsidRPr="00942872">
              <w:rPr>
                <w:szCs w:val="20"/>
              </w:rPr>
              <w:t xml:space="preserve">Reck M, Rodrigues-Abreu D, </w:t>
            </w:r>
            <w:r w:rsidRPr="00942872">
              <w:rPr>
                <w:iCs/>
                <w:szCs w:val="20"/>
              </w:rPr>
              <w:t>et al.</w:t>
            </w:r>
            <w:r w:rsidRPr="00942872">
              <w:rPr>
                <w:szCs w:val="20"/>
              </w:rPr>
              <w:t xml:space="preserve"> 2016. Pembrolizumab versus chemotherapy for PD</w:t>
            </w:r>
            <w:r w:rsidRPr="00942872">
              <w:rPr>
                <w:szCs w:val="20"/>
              </w:rPr>
              <w:noBreakHyphen/>
              <w:t>L1–positive non-small</w:t>
            </w:r>
            <w:r w:rsidRPr="00942872">
              <w:rPr>
                <w:szCs w:val="20"/>
              </w:rPr>
              <w:noBreakHyphen/>
              <w:t xml:space="preserve">cell lung cancer. </w:t>
            </w:r>
          </w:p>
        </w:tc>
        <w:tc>
          <w:tcPr>
            <w:tcW w:w="1989" w:type="dxa"/>
            <w:tcBorders>
              <w:top w:val="nil"/>
              <w:bottom w:val="nil"/>
            </w:tcBorders>
          </w:tcPr>
          <w:p w14:paraId="6EE95007" w14:textId="77777777" w:rsidR="007805A7" w:rsidRPr="00942872" w:rsidRDefault="007805A7" w:rsidP="0044615A">
            <w:pPr>
              <w:pStyle w:val="TableText0"/>
              <w:keepNext w:val="0"/>
              <w:rPr>
                <w:i/>
                <w:szCs w:val="20"/>
              </w:rPr>
            </w:pPr>
            <w:r w:rsidRPr="00942872">
              <w:rPr>
                <w:szCs w:val="20"/>
              </w:rPr>
              <w:t>New England Journal of Medicine 2016; 375(19): 1823</w:t>
            </w:r>
            <w:r w:rsidRPr="00942872">
              <w:rPr>
                <w:szCs w:val="20"/>
              </w:rPr>
              <w:noBreakHyphen/>
              <w:t>33.</w:t>
            </w:r>
          </w:p>
        </w:tc>
      </w:tr>
      <w:tr w:rsidR="007805A7" w:rsidRPr="00942872" w14:paraId="5B9BF700" w14:textId="77777777" w:rsidTr="00815130">
        <w:trPr>
          <w:cantSplit/>
        </w:trPr>
        <w:tc>
          <w:tcPr>
            <w:tcW w:w="1501" w:type="dxa"/>
            <w:tcBorders>
              <w:top w:val="nil"/>
              <w:bottom w:val="nil"/>
            </w:tcBorders>
          </w:tcPr>
          <w:p w14:paraId="0A9939B8" w14:textId="77777777" w:rsidR="007805A7" w:rsidRPr="00942872" w:rsidRDefault="007805A7" w:rsidP="0044615A">
            <w:pPr>
              <w:pStyle w:val="TableText0"/>
              <w:keepNext w:val="0"/>
              <w:rPr>
                <w:szCs w:val="20"/>
              </w:rPr>
            </w:pPr>
          </w:p>
        </w:tc>
        <w:tc>
          <w:tcPr>
            <w:tcW w:w="5440" w:type="dxa"/>
            <w:tcBorders>
              <w:top w:val="nil"/>
              <w:bottom w:val="nil"/>
            </w:tcBorders>
          </w:tcPr>
          <w:p w14:paraId="33480CA1" w14:textId="77777777" w:rsidR="007805A7" w:rsidRPr="00942872" w:rsidRDefault="007805A7" w:rsidP="0044615A">
            <w:pPr>
              <w:pStyle w:val="TableText0"/>
              <w:keepNext w:val="0"/>
              <w:rPr>
                <w:szCs w:val="20"/>
              </w:rPr>
            </w:pPr>
            <w:r w:rsidRPr="00942872">
              <w:rPr>
                <w:szCs w:val="20"/>
              </w:rPr>
              <w:t>Brahmer J, Rodrigues-Abreu D,</w:t>
            </w:r>
            <w:r w:rsidRPr="00942872">
              <w:rPr>
                <w:iCs/>
                <w:szCs w:val="20"/>
              </w:rPr>
              <w:t xml:space="preserve"> et al.</w:t>
            </w:r>
            <w:r w:rsidRPr="00942872">
              <w:rPr>
                <w:szCs w:val="20"/>
              </w:rPr>
              <w:t xml:space="preserve"> Updated analysis of KEYNOTE</w:t>
            </w:r>
            <w:r w:rsidRPr="00942872">
              <w:rPr>
                <w:szCs w:val="20"/>
              </w:rPr>
              <w:noBreakHyphen/>
              <w:t>024: Pembrolizumab vs platinum</w:t>
            </w:r>
            <w:r w:rsidRPr="00942872">
              <w:rPr>
                <w:szCs w:val="20"/>
              </w:rPr>
              <w:noBreakHyphen/>
              <w:t>based chemotherapy for advanced NSCLC with PD</w:t>
            </w:r>
            <w:r w:rsidRPr="00942872">
              <w:rPr>
                <w:szCs w:val="20"/>
              </w:rPr>
              <w:noBreakHyphen/>
              <w:t>L1 TPS ≥50%. (Abstract OA 17.06)</w:t>
            </w:r>
          </w:p>
        </w:tc>
        <w:tc>
          <w:tcPr>
            <w:tcW w:w="1989" w:type="dxa"/>
            <w:tcBorders>
              <w:top w:val="nil"/>
              <w:bottom w:val="nil"/>
            </w:tcBorders>
          </w:tcPr>
          <w:p w14:paraId="6E194C96" w14:textId="77777777" w:rsidR="007805A7" w:rsidRPr="00942872" w:rsidRDefault="007805A7" w:rsidP="0044615A">
            <w:pPr>
              <w:pStyle w:val="TableText0"/>
              <w:keepNext w:val="0"/>
              <w:rPr>
                <w:i/>
                <w:szCs w:val="20"/>
              </w:rPr>
            </w:pPr>
            <w:r w:rsidRPr="00942872">
              <w:rPr>
                <w:szCs w:val="20"/>
              </w:rPr>
              <w:t>Journal of Thoracic Oncology 2017; 23 (11 suppl. 2): S1793-4.</w:t>
            </w:r>
          </w:p>
        </w:tc>
      </w:tr>
      <w:tr w:rsidR="007805A7" w:rsidRPr="00942872" w14:paraId="236096EF" w14:textId="77777777" w:rsidTr="00815130">
        <w:trPr>
          <w:cantSplit/>
        </w:trPr>
        <w:tc>
          <w:tcPr>
            <w:tcW w:w="1501" w:type="dxa"/>
            <w:tcBorders>
              <w:top w:val="nil"/>
              <w:bottom w:val="nil"/>
            </w:tcBorders>
          </w:tcPr>
          <w:p w14:paraId="095F930B" w14:textId="77777777" w:rsidR="007805A7" w:rsidRPr="00942872" w:rsidRDefault="007805A7" w:rsidP="0044615A">
            <w:pPr>
              <w:pStyle w:val="TableText0"/>
              <w:keepNext w:val="0"/>
              <w:rPr>
                <w:szCs w:val="20"/>
              </w:rPr>
            </w:pPr>
          </w:p>
        </w:tc>
        <w:tc>
          <w:tcPr>
            <w:tcW w:w="5440" w:type="dxa"/>
            <w:tcBorders>
              <w:top w:val="nil"/>
              <w:bottom w:val="nil"/>
            </w:tcBorders>
          </w:tcPr>
          <w:p w14:paraId="3298D0E2" w14:textId="77777777" w:rsidR="007805A7" w:rsidRPr="00942872" w:rsidRDefault="007805A7" w:rsidP="0044615A">
            <w:pPr>
              <w:pStyle w:val="TableText0"/>
              <w:keepNext w:val="0"/>
              <w:rPr>
                <w:szCs w:val="20"/>
              </w:rPr>
            </w:pPr>
            <w:r w:rsidRPr="00942872">
              <w:rPr>
                <w:szCs w:val="20"/>
              </w:rPr>
              <w:t>Brahmer J, Rodrigues-Abreu D,</w:t>
            </w:r>
            <w:r w:rsidRPr="00942872">
              <w:rPr>
                <w:iCs/>
                <w:szCs w:val="20"/>
              </w:rPr>
              <w:t xml:space="preserve"> et al.</w:t>
            </w:r>
            <w:r w:rsidRPr="00942872">
              <w:rPr>
                <w:szCs w:val="20"/>
              </w:rPr>
              <w:t xml:space="preserve"> Progression after the next line of therapy (PFS2) and updated OS among patients (pts) with advanced NSCLC and PD-L1 tumor proportion score (TPS) ≥50% enrolled in KEYNOTE 024. (Abstract) </w:t>
            </w:r>
          </w:p>
        </w:tc>
        <w:tc>
          <w:tcPr>
            <w:tcW w:w="1989" w:type="dxa"/>
            <w:tcBorders>
              <w:top w:val="nil"/>
              <w:bottom w:val="nil"/>
            </w:tcBorders>
          </w:tcPr>
          <w:p w14:paraId="2B92374F" w14:textId="77777777" w:rsidR="007805A7" w:rsidRPr="00942872" w:rsidRDefault="007805A7" w:rsidP="0044615A">
            <w:pPr>
              <w:pStyle w:val="TableText0"/>
              <w:keepNext w:val="0"/>
              <w:rPr>
                <w:i/>
                <w:szCs w:val="20"/>
              </w:rPr>
            </w:pPr>
            <w:r w:rsidRPr="00942872">
              <w:rPr>
                <w:szCs w:val="20"/>
              </w:rPr>
              <w:t>Journal of Clinical Oncology 2017; 35(5 suppl.): 9000.</w:t>
            </w:r>
          </w:p>
        </w:tc>
      </w:tr>
      <w:tr w:rsidR="007805A7" w:rsidRPr="00942872" w14:paraId="6EBD85E3" w14:textId="77777777" w:rsidTr="00815130">
        <w:trPr>
          <w:cantSplit/>
        </w:trPr>
        <w:tc>
          <w:tcPr>
            <w:tcW w:w="1501" w:type="dxa"/>
            <w:tcBorders>
              <w:bottom w:val="nil"/>
            </w:tcBorders>
          </w:tcPr>
          <w:p w14:paraId="4B8B225E" w14:textId="77777777" w:rsidR="007805A7" w:rsidRPr="00942872" w:rsidRDefault="007805A7" w:rsidP="0044615A">
            <w:pPr>
              <w:pStyle w:val="TableText0"/>
              <w:keepNext w:val="0"/>
              <w:rPr>
                <w:szCs w:val="20"/>
              </w:rPr>
            </w:pPr>
            <w:r w:rsidRPr="00942872">
              <w:rPr>
                <w:szCs w:val="20"/>
              </w:rPr>
              <w:t>KN042</w:t>
            </w:r>
          </w:p>
        </w:tc>
        <w:tc>
          <w:tcPr>
            <w:tcW w:w="5440" w:type="dxa"/>
            <w:tcBorders>
              <w:bottom w:val="nil"/>
            </w:tcBorders>
          </w:tcPr>
          <w:p w14:paraId="33B25E4B" w14:textId="77777777" w:rsidR="007805A7" w:rsidRPr="00942872" w:rsidRDefault="007805A7" w:rsidP="0044615A">
            <w:pPr>
              <w:pStyle w:val="TableText0"/>
              <w:keepNext w:val="0"/>
              <w:rPr>
                <w:szCs w:val="20"/>
              </w:rPr>
            </w:pPr>
            <w:r w:rsidRPr="00942872">
              <w:rPr>
                <w:szCs w:val="20"/>
              </w:rPr>
              <w:t xml:space="preserve">Mok TSK, Wu YL, </w:t>
            </w:r>
            <w:r w:rsidRPr="00942872">
              <w:rPr>
                <w:iCs/>
                <w:szCs w:val="20"/>
              </w:rPr>
              <w:t>et al</w:t>
            </w:r>
            <w:r w:rsidRPr="00942872">
              <w:rPr>
                <w:szCs w:val="20"/>
              </w:rPr>
              <w:t>. Pembrolizumab versus chemotherapy for previously untreated, PD</w:t>
            </w:r>
            <w:r w:rsidRPr="00942872">
              <w:rPr>
                <w:szCs w:val="20"/>
              </w:rPr>
              <w:noBreakHyphen/>
              <w:t>L1</w:t>
            </w:r>
            <w:r w:rsidRPr="00942872">
              <w:rPr>
                <w:szCs w:val="20"/>
              </w:rPr>
              <w:noBreakHyphen/>
              <w:t>expressing, locally advanced or metastatic non</w:t>
            </w:r>
            <w:r w:rsidRPr="00942872">
              <w:rPr>
                <w:szCs w:val="20"/>
              </w:rPr>
              <w:noBreakHyphen/>
              <w:t>small</w:t>
            </w:r>
            <w:r w:rsidRPr="00942872">
              <w:rPr>
                <w:szCs w:val="20"/>
              </w:rPr>
              <w:noBreakHyphen/>
              <w:t>cell lung cancer (KEYNOTE</w:t>
            </w:r>
            <w:r w:rsidRPr="00942872">
              <w:rPr>
                <w:szCs w:val="20"/>
              </w:rPr>
              <w:noBreakHyphen/>
              <w:t>042): a randomised, open</w:t>
            </w:r>
            <w:r w:rsidRPr="00942872">
              <w:rPr>
                <w:szCs w:val="20"/>
              </w:rPr>
              <w:noBreakHyphen/>
              <w:t>label, controlled, phase 3 trial.</w:t>
            </w:r>
          </w:p>
        </w:tc>
        <w:tc>
          <w:tcPr>
            <w:tcW w:w="1989" w:type="dxa"/>
            <w:tcBorders>
              <w:bottom w:val="nil"/>
            </w:tcBorders>
          </w:tcPr>
          <w:p w14:paraId="5CD83D89" w14:textId="77777777" w:rsidR="007805A7" w:rsidRPr="00942872" w:rsidRDefault="007805A7" w:rsidP="0044615A">
            <w:pPr>
              <w:pStyle w:val="TableText0"/>
              <w:keepNext w:val="0"/>
              <w:rPr>
                <w:szCs w:val="20"/>
              </w:rPr>
            </w:pPr>
            <w:r w:rsidRPr="00942872">
              <w:rPr>
                <w:szCs w:val="20"/>
              </w:rPr>
              <w:t>Lancet 2019; 393(10183): 1819</w:t>
            </w:r>
            <w:r w:rsidRPr="00942872">
              <w:rPr>
                <w:szCs w:val="20"/>
              </w:rPr>
              <w:noBreakHyphen/>
              <w:t>30.</w:t>
            </w:r>
          </w:p>
        </w:tc>
      </w:tr>
      <w:tr w:rsidR="007805A7" w:rsidRPr="00942872" w14:paraId="5A0B8592" w14:textId="77777777" w:rsidTr="00815130">
        <w:trPr>
          <w:cantSplit/>
        </w:trPr>
        <w:tc>
          <w:tcPr>
            <w:tcW w:w="1501" w:type="dxa"/>
            <w:tcBorders>
              <w:top w:val="nil"/>
              <w:bottom w:val="single" w:sz="4" w:space="0" w:color="auto"/>
            </w:tcBorders>
          </w:tcPr>
          <w:p w14:paraId="77C63C7D" w14:textId="77777777" w:rsidR="007805A7" w:rsidRPr="00942872" w:rsidRDefault="007805A7" w:rsidP="0044615A">
            <w:pPr>
              <w:pStyle w:val="TableText0"/>
              <w:keepNext w:val="0"/>
              <w:rPr>
                <w:szCs w:val="20"/>
              </w:rPr>
            </w:pPr>
          </w:p>
        </w:tc>
        <w:tc>
          <w:tcPr>
            <w:tcW w:w="5440" w:type="dxa"/>
            <w:tcBorders>
              <w:top w:val="nil"/>
              <w:bottom w:val="single" w:sz="4" w:space="0" w:color="auto"/>
            </w:tcBorders>
          </w:tcPr>
          <w:p w14:paraId="0B0B7E53" w14:textId="77777777" w:rsidR="007805A7" w:rsidRPr="00942872" w:rsidRDefault="007805A7" w:rsidP="0044615A">
            <w:pPr>
              <w:pStyle w:val="TableText0"/>
              <w:keepNext w:val="0"/>
              <w:rPr>
                <w:szCs w:val="20"/>
              </w:rPr>
            </w:pPr>
            <w:r w:rsidRPr="00942872">
              <w:rPr>
                <w:szCs w:val="20"/>
              </w:rPr>
              <w:t xml:space="preserve">Mok TSK, Wu YL, </w:t>
            </w:r>
            <w:r w:rsidRPr="00942872">
              <w:rPr>
                <w:iCs/>
                <w:szCs w:val="20"/>
              </w:rPr>
              <w:t>et al.</w:t>
            </w:r>
            <w:r w:rsidRPr="00942872">
              <w:rPr>
                <w:szCs w:val="20"/>
              </w:rPr>
              <w:t xml:space="preserve"> 2019b. Final analysis of the phase III KEYNOTE</w:t>
            </w:r>
            <w:r w:rsidRPr="00942872">
              <w:rPr>
                <w:szCs w:val="20"/>
              </w:rPr>
              <w:noBreakHyphen/>
              <w:t>042 study: Pembrolizumab versus platinum</w:t>
            </w:r>
            <w:r w:rsidRPr="00942872">
              <w:rPr>
                <w:szCs w:val="20"/>
              </w:rPr>
              <w:noBreakHyphen/>
              <w:t>based chemotherapy as first</w:t>
            </w:r>
            <w:r w:rsidRPr="00942872">
              <w:rPr>
                <w:szCs w:val="20"/>
              </w:rPr>
              <w:noBreakHyphen/>
              <w:t>line therapy for patients with PD</w:t>
            </w:r>
            <w:r w:rsidRPr="00942872">
              <w:rPr>
                <w:szCs w:val="20"/>
              </w:rPr>
              <w:noBreakHyphen/>
              <w:t>L1–positive locally advanced/metastatic NSCLC. (Abstract 102O)</w:t>
            </w:r>
          </w:p>
        </w:tc>
        <w:tc>
          <w:tcPr>
            <w:tcW w:w="1989" w:type="dxa"/>
            <w:tcBorders>
              <w:top w:val="nil"/>
              <w:bottom w:val="single" w:sz="4" w:space="0" w:color="auto"/>
            </w:tcBorders>
          </w:tcPr>
          <w:p w14:paraId="52F9F3D1" w14:textId="77777777" w:rsidR="007805A7" w:rsidRPr="00942872" w:rsidRDefault="007805A7" w:rsidP="0044615A">
            <w:pPr>
              <w:pStyle w:val="TableText0"/>
              <w:keepNext w:val="0"/>
              <w:rPr>
                <w:i/>
                <w:szCs w:val="20"/>
              </w:rPr>
            </w:pPr>
            <w:r w:rsidRPr="00942872">
              <w:rPr>
                <w:szCs w:val="20"/>
              </w:rPr>
              <w:t xml:space="preserve">Annals of Oncology 2019; 30(suppl. 2): ii3819. </w:t>
            </w:r>
          </w:p>
        </w:tc>
      </w:tr>
      <w:tr w:rsidR="007805A7" w:rsidRPr="00942872" w14:paraId="590D0655" w14:textId="77777777" w:rsidTr="00815130">
        <w:trPr>
          <w:cantSplit/>
        </w:trPr>
        <w:tc>
          <w:tcPr>
            <w:tcW w:w="1501" w:type="dxa"/>
            <w:tcBorders>
              <w:bottom w:val="nil"/>
            </w:tcBorders>
          </w:tcPr>
          <w:p w14:paraId="07101A6B" w14:textId="77777777" w:rsidR="007805A7" w:rsidRPr="00942872" w:rsidRDefault="007805A7" w:rsidP="00B65C7B">
            <w:pPr>
              <w:pStyle w:val="TableText0"/>
              <w:rPr>
                <w:szCs w:val="20"/>
              </w:rPr>
            </w:pPr>
            <w:r w:rsidRPr="00942872">
              <w:rPr>
                <w:szCs w:val="20"/>
              </w:rPr>
              <w:t>KN042 China Study (supplementary evidence)</w:t>
            </w:r>
          </w:p>
        </w:tc>
        <w:tc>
          <w:tcPr>
            <w:tcW w:w="5440" w:type="dxa"/>
            <w:tcBorders>
              <w:bottom w:val="nil"/>
            </w:tcBorders>
          </w:tcPr>
          <w:p w14:paraId="0FD22F53" w14:textId="77777777" w:rsidR="007805A7" w:rsidRPr="00942872" w:rsidRDefault="007805A7" w:rsidP="00B65C7B">
            <w:pPr>
              <w:pStyle w:val="TableText0"/>
              <w:rPr>
                <w:szCs w:val="20"/>
              </w:rPr>
            </w:pPr>
            <w:r w:rsidRPr="00942872">
              <w:rPr>
                <w:szCs w:val="20"/>
              </w:rPr>
              <w:t xml:space="preserve">Wu YL, Zhang L, </w:t>
            </w:r>
            <w:r w:rsidRPr="00942872">
              <w:rPr>
                <w:iCs/>
                <w:szCs w:val="20"/>
              </w:rPr>
              <w:t>et al.</w:t>
            </w:r>
            <w:r w:rsidRPr="00942872">
              <w:rPr>
                <w:szCs w:val="20"/>
              </w:rPr>
              <w:t xml:space="preserve"> Randomized clinical trial of pembrolizumab vs chemotherapy for previously untreated Chinese patients with PD</w:t>
            </w:r>
            <w:r w:rsidRPr="00942872">
              <w:rPr>
                <w:szCs w:val="20"/>
              </w:rPr>
              <w:noBreakHyphen/>
              <w:t>L1</w:t>
            </w:r>
            <w:r w:rsidRPr="00942872">
              <w:rPr>
                <w:szCs w:val="20"/>
              </w:rPr>
              <w:noBreakHyphen/>
              <w:t>positive locally advanced or metastatic non-small</w:t>
            </w:r>
            <w:r w:rsidRPr="00942872">
              <w:rPr>
                <w:szCs w:val="20"/>
              </w:rPr>
              <w:noBreakHyphen/>
              <w:t>cell lung cancer: KEYNOTE</w:t>
            </w:r>
            <w:r w:rsidRPr="00942872">
              <w:rPr>
                <w:szCs w:val="20"/>
              </w:rPr>
              <w:noBreakHyphen/>
              <w:t xml:space="preserve">042 China Study. </w:t>
            </w:r>
          </w:p>
        </w:tc>
        <w:tc>
          <w:tcPr>
            <w:tcW w:w="1989" w:type="dxa"/>
            <w:tcBorders>
              <w:bottom w:val="nil"/>
            </w:tcBorders>
          </w:tcPr>
          <w:p w14:paraId="0D6E3C53" w14:textId="77777777" w:rsidR="007805A7" w:rsidRPr="00942872" w:rsidRDefault="007805A7" w:rsidP="00B65C7B">
            <w:pPr>
              <w:pStyle w:val="TableText0"/>
              <w:rPr>
                <w:i/>
                <w:szCs w:val="20"/>
              </w:rPr>
            </w:pPr>
            <w:r w:rsidRPr="00942872">
              <w:rPr>
                <w:szCs w:val="20"/>
              </w:rPr>
              <w:t>International Journal of Cancer 2021; 148(9): 2313</w:t>
            </w:r>
            <w:r w:rsidRPr="00942872">
              <w:rPr>
                <w:szCs w:val="20"/>
              </w:rPr>
              <w:noBreakHyphen/>
              <w:t>20.</w:t>
            </w:r>
          </w:p>
        </w:tc>
      </w:tr>
      <w:tr w:rsidR="007805A7" w:rsidRPr="00942872" w14:paraId="3D4CA0F2" w14:textId="77777777" w:rsidTr="00815130">
        <w:trPr>
          <w:cantSplit/>
        </w:trPr>
        <w:tc>
          <w:tcPr>
            <w:tcW w:w="1501" w:type="dxa"/>
            <w:tcBorders>
              <w:top w:val="nil"/>
            </w:tcBorders>
          </w:tcPr>
          <w:p w14:paraId="63B8BDF9" w14:textId="77777777" w:rsidR="007805A7" w:rsidRPr="00942872" w:rsidRDefault="007805A7" w:rsidP="0044615A">
            <w:pPr>
              <w:pStyle w:val="TableText0"/>
              <w:keepNext w:val="0"/>
              <w:rPr>
                <w:szCs w:val="20"/>
              </w:rPr>
            </w:pPr>
          </w:p>
        </w:tc>
        <w:tc>
          <w:tcPr>
            <w:tcW w:w="5440" w:type="dxa"/>
            <w:tcBorders>
              <w:top w:val="nil"/>
            </w:tcBorders>
          </w:tcPr>
          <w:p w14:paraId="415CE428" w14:textId="77777777" w:rsidR="007805A7" w:rsidRPr="00942872" w:rsidRDefault="007805A7" w:rsidP="0044615A">
            <w:pPr>
              <w:pStyle w:val="TableText0"/>
              <w:keepNext w:val="0"/>
              <w:rPr>
                <w:szCs w:val="20"/>
              </w:rPr>
            </w:pPr>
            <w:r w:rsidRPr="00942872">
              <w:rPr>
                <w:szCs w:val="20"/>
              </w:rPr>
              <w:t xml:space="preserve">Wu YL </w:t>
            </w:r>
            <w:r w:rsidRPr="00942872">
              <w:rPr>
                <w:iCs/>
                <w:szCs w:val="20"/>
              </w:rPr>
              <w:t>et al</w:t>
            </w:r>
            <w:r w:rsidRPr="00942872">
              <w:rPr>
                <w:szCs w:val="20"/>
              </w:rPr>
              <w:t>. 2020. Updated analysis from the KEYNOTE</w:t>
            </w:r>
            <w:r w:rsidRPr="00942872">
              <w:rPr>
                <w:szCs w:val="20"/>
              </w:rPr>
              <w:noBreakHyphen/>
              <w:t>042 China study: 1L pembrolizumab vs. chemotherapy in Chinese patients with advanced NSCLC with PD</w:t>
            </w:r>
            <w:r w:rsidRPr="00942872">
              <w:rPr>
                <w:szCs w:val="20"/>
              </w:rPr>
              <w:noBreakHyphen/>
              <w:t xml:space="preserve">L1 TPS ≥1%. (Abstract 389P) </w:t>
            </w:r>
          </w:p>
        </w:tc>
        <w:tc>
          <w:tcPr>
            <w:tcW w:w="1989" w:type="dxa"/>
            <w:tcBorders>
              <w:top w:val="nil"/>
            </w:tcBorders>
          </w:tcPr>
          <w:p w14:paraId="23A99F2F" w14:textId="77777777" w:rsidR="007805A7" w:rsidRPr="00942872" w:rsidRDefault="007805A7" w:rsidP="0044615A">
            <w:pPr>
              <w:pStyle w:val="TableText0"/>
              <w:keepNext w:val="0"/>
              <w:rPr>
                <w:i/>
                <w:szCs w:val="20"/>
              </w:rPr>
            </w:pPr>
            <w:r w:rsidRPr="00942872">
              <w:rPr>
                <w:szCs w:val="20"/>
              </w:rPr>
              <w:t>Annals of Oncology 2021; 31(suppl. 6): S1394.</w:t>
            </w:r>
          </w:p>
        </w:tc>
      </w:tr>
    </w:tbl>
    <w:p w14:paraId="3FC739B5" w14:textId="77777777" w:rsidR="007805A7" w:rsidRPr="00942872" w:rsidRDefault="007805A7" w:rsidP="007805A7">
      <w:pPr>
        <w:pStyle w:val="TableFigureFooter"/>
      </w:pPr>
      <w:r w:rsidRPr="00942872">
        <w:t>Source: Tables 2.2-1 to 2.2-3, pp11-14 of the submission.</w:t>
      </w:r>
    </w:p>
    <w:p w14:paraId="58FDADC4" w14:textId="77777777" w:rsidR="007805A7" w:rsidRPr="00942872" w:rsidRDefault="007805A7" w:rsidP="007805A7">
      <w:pPr>
        <w:pStyle w:val="3-BodyText"/>
      </w:pPr>
      <w:r w:rsidRPr="00942872">
        <w:t xml:space="preserve">The key features of the evidence included in the ITC are summarised in the table below. </w:t>
      </w:r>
    </w:p>
    <w:p w14:paraId="17003051" w14:textId="77777777" w:rsidR="007805A7" w:rsidRPr="00942872" w:rsidRDefault="007805A7" w:rsidP="00393BE8">
      <w:pPr>
        <w:pStyle w:val="TableFigureHeading"/>
        <w:keepLines/>
        <w:rPr>
          <w:rStyle w:val="CommentReference"/>
          <w:b/>
          <w:color w:val="auto"/>
        </w:rPr>
      </w:pPr>
      <w:r w:rsidRPr="00942872">
        <w:t xml:space="preserve">Table </w:t>
      </w:r>
      <w:r w:rsidR="002177FE">
        <w:rPr>
          <w:noProof/>
        </w:rPr>
        <w:t>4</w:t>
      </w:r>
      <w:r w:rsidRPr="00942872">
        <w:t xml:space="preserve">: </w:t>
      </w:r>
      <w:r w:rsidRPr="00942872">
        <w:rPr>
          <w:rStyle w:val="CommentReference"/>
          <w:b/>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Key features of the included evidence – indirect comparison"/>
      </w:tblPr>
      <w:tblGrid>
        <w:gridCol w:w="1310"/>
        <w:gridCol w:w="853"/>
        <w:gridCol w:w="1426"/>
        <w:gridCol w:w="4061"/>
        <w:gridCol w:w="1367"/>
      </w:tblGrid>
      <w:tr w:rsidR="007805A7" w:rsidRPr="00942872" w14:paraId="5D4049EC" w14:textId="77777777" w:rsidTr="004C718A">
        <w:trPr>
          <w:tblHeader/>
        </w:trPr>
        <w:tc>
          <w:tcPr>
            <w:tcW w:w="726" w:type="pct"/>
            <w:shd w:val="clear" w:color="auto" w:fill="auto"/>
            <w:vAlign w:val="center"/>
          </w:tcPr>
          <w:p w14:paraId="7D4A4D6B" w14:textId="77777777" w:rsidR="007805A7" w:rsidRPr="00942872" w:rsidRDefault="007805A7" w:rsidP="00393BE8">
            <w:pPr>
              <w:pStyle w:val="In-tableHeading"/>
              <w:keepLines/>
              <w:rPr>
                <w:lang w:val="en-AU"/>
              </w:rPr>
            </w:pPr>
            <w:r w:rsidRPr="00942872">
              <w:rPr>
                <w:lang w:val="en-AU"/>
              </w:rPr>
              <w:t>Trial</w:t>
            </w:r>
          </w:p>
        </w:tc>
        <w:tc>
          <w:tcPr>
            <w:tcW w:w="473" w:type="pct"/>
            <w:shd w:val="clear" w:color="auto" w:fill="auto"/>
            <w:vAlign w:val="center"/>
          </w:tcPr>
          <w:p w14:paraId="2688F257" w14:textId="77777777" w:rsidR="007805A7" w:rsidRPr="00942872" w:rsidRDefault="007805A7" w:rsidP="00393BE8">
            <w:pPr>
              <w:pStyle w:val="In-tableHeading"/>
              <w:keepLines/>
              <w:jc w:val="center"/>
              <w:rPr>
                <w:lang w:val="en-AU"/>
              </w:rPr>
            </w:pPr>
            <w:r w:rsidRPr="00942872">
              <w:rPr>
                <w:lang w:val="en-AU"/>
              </w:rPr>
              <w:t>N</w:t>
            </w:r>
          </w:p>
        </w:tc>
        <w:tc>
          <w:tcPr>
            <w:tcW w:w="791" w:type="pct"/>
            <w:shd w:val="clear" w:color="auto" w:fill="auto"/>
            <w:vAlign w:val="center"/>
          </w:tcPr>
          <w:p w14:paraId="6EC5BFCE" w14:textId="77777777" w:rsidR="007805A7" w:rsidRPr="00942872" w:rsidRDefault="007805A7" w:rsidP="00393BE8">
            <w:pPr>
              <w:pStyle w:val="In-tableHeading"/>
              <w:keepLines/>
              <w:jc w:val="center"/>
              <w:rPr>
                <w:lang w:val="en-AU"/>
              </w:rPr>
            </w:pPr>
            <w:r w:rsidRPr="00942872">
              <w:rPr>
                <w:lang w:val="en-AU"/>
              </w:rPr>
              <w:t>Design/ duration</w:t>
            </w:r>
          </w:p>
        </w:tc>
        <w:tc>
          <w:tcPr>
            <w:tcW w:w="2252" w:type="pct"/>
            <w:shd w:val="clear" w:color="auto" w:fill="auto"/>
            <w:vAlign w:val="center"/>
          </w:tcPr>
          <w:p w14:paraId="335C37A0" w14:textId="77777777" w:rsidR="007805A7" w:rsidRPr="00942872" w:rsidRDefault="007805A7" w:rsidP="00393BE8">
            <w:pPr>
              <w:pStyle w:val="In-tableHeading"/>
              <w:keepLines/>
              <w:jc w:val="center"/>
              <w:rPr>
                <w:lang w:val="en-AU"/>
              </w:rPr>
            </w:pPr>
            <w:r w:rsidRPr="00942872">
              <w:rPr>
                <w:lang w:val="en-AU"/>
              </w:rPr>
              <w:t>Patient population</w:t>
            </w:r>
          </w:p>
        </w:tc>
        <w:tc>
          <w:tcPr>
            <w:tcW w:w="758" w:type="pct"/>
            <w:shd w:val="clear" w:color="auto" w:fill="auto"/>
            <w:vAlign w:val="center"/>
          </w:tcPr>
          <w:p w14:paraId="73CEBD47" w14:textId="77777777" w:rsidR="007805A7" w:rsidRPr="00942872" w:rsidRDefault="007805A7" w:rsidP="00393BE8">
            <w:pPr>
              <w:pStyle w:val="In-tableHeading"/>
              <w:keepLines/>
              <w:jc w:val="center"/>
              <w:rPr>
                <w:lang w:val="en-AU"/>
              </w:rPr>
            </w:pPr>
            <w:r w:rsidRPr="00942872">
              <w:rPr>
                <w:lang w:val="en-AU"/>
              </w:rPr>
              <w:t>Outcomes</w:t>
            </w:r>
          </w:p>
        </w:tc>
      </w:tr>
      <w:tr w:rsidR="007805A7" w:rsidRPr="00942872" w14:paraId="4A290E50" w14:textId="77777777" w:rsidTr="004C718A">
        <w:tc>
          <w:tcPr>
            <w:tcW w:w="5000" w:type="pct"/>
            <w:gridSpan w:val="5"/>
            <w:shd w:val="clear" w:color="auto" w:fill="auto"/>
            <w:vAlign w:val="center"/>
          </w:tcPr>
          <w:p w14:paraId="0660C9C4" w14:textId="77777777" w:rsidR="007805A7" w:rsidRPr="00942872" w:rsidRDefault="007805A7" w:rsidP="00393BE8">
            <w:pPr>
              <w:pStyle w:val="In-tableHeading"/>
              <w:keepLines/>
              <w:rPr>
                <w:lang w:val="en-AU"/>
              </w:rPr>
            </w:pPr>
            <w:r w:rsidRPr="00942872">
              <w:rPr>
                <w:lang w:val="en-AU"/>
              </w:rPr>
              <w:t>Cemiplimab vs. platinum</w:t>
            </w:r>
            <w:r w:rsidR="00326766" w:rsidRPr="00942872">
              <w:rPr>
                <w:lang w:val="en-AU"/>
              </w:rPr>
              <w:t>-</w:t>
            </w:r>
            <w:r w:rsidRPr="00942872">
              <w:rPr>
                <w:lang w:val="en-AU"/>
              </w:rPr>
              <w:t>based chemotherapy</w:t>
            </w:r>
          </w:p>
        </w:tc>
      </w:tr>
      <w:tr w:rsidR="007805A7" w:rsidRPr="00942872" w14:paraId="2C97E488" w14:textId="77777777" w:rsidTr="0053505B">
        <w:trPr>
          <w:trHeight w:val="607"/>
        </w:trPr>
        <w:tc>
          <w:tcPr>
            <w:tcW w:w="726" w:type="pct"/>
            <w:shd w:val="clear" w:color="auto" w:fill="auto"/>
            <w:vAlign w:val="center"/>
          </w:tcPr>
          <w:p w14:paraId="2416F00D" w14:textId="77777777" w:rsidR="007805A7" w:rsidRPr="00942872" w:rsidRDefault="007805A7" w:rsidP="00393BE8">
            <w:pPr>
              <w:pStyle w:val="TableText0"/>
              <w:keepLines/>
            </w:pPr>
            <w:r w:rsidRPr="00942872">
              <w:t>Study 1624</w:t>
            </w:r>
          </w:p>
        </w:tc>
        <w:tc>
          <w:tcPr>
            <w:tcW w:w="473" w:type="pct"/>
            <w:shd w:val="clear" w:color="auto" w:fill="auto"/>
            <w:vAlign w:val="center"/>
          </w:tcPr>
          <w:p w14:paraId="1F03E629" w14:textId="77777777" w:rsidR="007805A7" w:rsidRDefault="007805A7" w:rsidP="00393BE8">
            <w:pPr>
              <w:pStyle w:val="TableText0"/>
              <w:keepLines/>
              <w:jc w:val="center"/>
            </w:pPr>
            <w:r w:rsidRPr="00942872">
              <w:t>710</w:t>
            </w:r>
            <w:r w:rsidR="0053505B">
              <w:t xml:space="preserve"> </w:t>
            </w:r>
          </w:p>
          <w:p w14:paraId="73A178A6" w14:textId="77777777" w:rsidR="0053505B" w:rsidRPr="00942872" w:rsidRDefault="0053505B" w:rsidP="00B6359C">
            <w:pPr>
              <w:pStyle w:val="TableText0"/>
              <w:keepLines/>
              <w:jc w:val="center"/>
            </w:pPr>
          </w:p>
        </w:tc>
        <w:tc>
          <w:tcPr>
            <w:tcW w:w="791" w:type="pct"/>
            <w:shd w:val="clear" w:color="auto" w:fill="auto"/>
            <w:vAlign w:val="center"/>
          </w:tcPr>
          <w:p w14:paraId="149E7CA2" w14:textId="77777777" w:rsidR="007805A7" w:rsidRPr="00942872" w:rsidRDefault="007805A7" w:rsidP="00393BE8">
            <w:pPr>
              <w:pStyle w:val="TableText0"/>
              <w:keepLines/>
              <w:jc w:val="center"/>
            </w:pPr>
            <w:r w:rsidRPr="00942872">
              <w:t>R, OL, MC</w:t>
            </w:r>
          </w:p>
          <w:p w14:paraId="1F1FFDF0" w14:textId="77777777" w:rsidR="007805A7" w:rsidRPr="00942872" w:rsidRDefault="007805A7" w:rsidP="00393BE8">
            <w:pPr>
              <w:pStyle w:val="TableText0"/>
              <w:keepLines/>
              <w:jc w:val="center"/>
            </w:pPr>
            <w:r w:rsidRPr="00942872">
              <w:t>13.1 mths</w:t>
            </w:r>
          </w:p>
        </w:tc>
        <w:tc>
          <w:tcPr>
            <w:tcW w:w="2252" w:type="pct"/>
            <w:shd w:val="clear" w:color="auto" w:fill="auto"/>
            <w:vAlign w:val="center"/>
          </w:tcPr>
          <w:p w14:paraId="295DA4AC" w14:textId="77777777" w:rsidR="007805A7" w:rsidRPr="00942872" w:rsidRDefault="007805A7" w:rsidP="00011F2C">
            <w:pPr>
              <w:pStyle w:val="TableText0"/>
              <w:keepLines/>
            </w:pPr>
            <w:r w:rsidRPr="00942872">
              <w:t>Squamous or non</w:t>
            </w:r>
            <w:r w:rsidRPr="00942872">
              <w:noBreakHyphen/>
              <w:t>squamous NSCLC patients with locally advanced or metastatic disease</w:t>
            </w:r>
            <w:r w:rsidR="00B6359C">
              <w:t xml:space="preserve">.  </w:t>
            </w:r>
            <w:r w:rsidR="00011F2C" w:rsidRPr="00011F2C">
              <w:t>79</w:t>
            </w:r>
            <w:r w:rsidR="00B6359C" w:rsidRPr="00011F2C">
              <w:t>%</w:t>
            </w:r>
            <w:r w:rsidR="00B6359C">
              <w:t xml:space="preserve"> </w:t>
            </w:r>
            <w:r w:rsidR="00011F2C">
              <w:t xml:space="preserve">of the ITT population </w:t>
            </w:r>
            <w:r w:rsidR="00B6359C">
              <w:t xml:space="preserve">had PD-L1 TPS </w:t>
            </w:r>
            <w:r w:rsidR="00B6359C" w:rsidRPr="00942872">
              <w:t>≥ 50%</w:t>
            </w:r>
            <w:r w:rsidR="00B6359C">
              <w:t>.</w:t>
            </w:r>
          </w:p>
        </w:tc>
        <w:tc>
          <w:tcPr>
            <w:tcW w:w="758" w:type="pct"/>
            <w:shd w:val="clear" w:color="auto" w:fill="auto"/>
            <w:vAlign w:val="center"/>
          </w:tcPr>
          <w:p w14:paraId="08833514" w14:textId="77777777" w:rsidR="007805A7" w:rsidRPr="00942872" w:rsidRDefault="007805A7" w:rsidP="00393BE8">
            <w:pPr>
              <w:pStyle w:val="TableText0"/>
              <w:keepLines/>
              <w:jc w:val="center"/>
            </w:pPr>
            <w:r w:rsidRPr="00942872">
              <w:t>OS, PFS, ORR and AEs</w:t>
            </w:r>
          </w:p>
        </w:tc>
      </w:tr>
      <w:tr w:rsidR="007805A7" w:rsidRPr="00942872" w14:paraId="27023B40" w14:textId="77777777" w:rsidTr="004C718A">
        <w:tc>
          <w:tcPr>
            <w:tcW w:w="5000" w:type="pct"/>
            <w:gridSpan w:val="5"/>
            <w:shd w:val="clear" w:color="auto" w:fill="auto"/>
            <w:vAlign w:val="center"/>
          </w:tcPr>
          <w:p w14:paraId="5A270BF2" w14:textId="77777777" w:rsidR="007805A7" w:rsidRPr="00942872" w:rsidRDefault="007805A7" w:rsidP="00393BE8">
            <w:pPr>
              <w:pStyle w:val="In-tableHeading"/>
              <w:keepLines/>
              <w:rPr>
                <w:lang w:val="en-AU"/>
              </w:rPr>
            </w:pPr>
            <w:r w:rsidRPr="00942872">
              <w:rPr>
                <w:lang w:val="en-AU"/>
              </w:rPr>
              <w:t>Pembrolizumab vs. platinum</w:t>
            </w:r>
            <w:r w:rsidR="00326766" w:rsidRPr="00942872">
              <w:rPr>
                <w:lang w:val="en-AU"/>
              </w:rPr>
              <w:t>-</w:t>
            </w:r>
            <w:r w:rsidRPr="00942872">
              <w:rPr>
                <w:lang w:val="en-AU"/>
              </w:rPr>
              <w:t>based chemotherapy</w:t>
            </w:r>
          </w:p>
        </w:tc>
      </w:tr>
      <w:tr w:rsidR="007805A7" w:rsidRPr="00942872" w14:paraId="536AE3D0" w14:textId="77777777" w:rsidTr="004C718A">
        <w:tc>
          <w:tcPr>
            <w:tcW w:w="726" w:type="pct"/>
            <w:shd w:val="clear" w:color="auto" w:fill="auto"/>
            <w:vAlign w:val="center"/>
          </w:tcPr>
          <w:p w14:paraId="1BA7D527" w14:textId="77777777" w:rsidR="007805A7" w:rsidRPr="00942872" w:rsidRDefault="007805A7" w:rsidP="00393BE8">
            <w:pPr>
              <w:pStyle w:val="TableText0"/>
              <w:keepLines/>
            </w:pPr>
            <w:r w:rsidRPr="00942872">
              <w:t>KN024</w:t>
            </w:r>
          </w:p>
        </w:tc>
        <w:tc>
          <w:tcPr>
            <w:tcW w:w="473" w:type="pct"/>
            <w:shd w:val="clear" w:color="auto" w:fill="auto"/>
            <w:vAlign w:val="center"/>
          </w:tcPr>
          <w:p w14:paraId="10A8F6E9" w14:textId="77777777" w:rsidR="007805A7" w:rsidRPr="00942872" w:rsidRDefault="007805A7" w:rsidP="00393BE8">
            <w:pPr>
              <w:pStyle w:val="TableText0"/>
              <w:keepLines/>
              <w:jc w:val="center"/>
            </w:pPr>
            <w:r w:rsidRPr="00942872">
              <w:t>305</w:t>
            </w:r>
          </w:p>
        </w:tc>
        <w:tc>
          <w:tcPr>
            <w:tcW w:w="791" w:type="pct"/>
            <w:shd w:val="clear" w:color="auto" w:fill="auto"/>
            <w:vAlign w:val="center"/>
          </w:tcPr>
          <w:p w14:paraId="3D1515E5" w14:textId="77777777" w:rsidR="007805A7" w:rsidRPr="00942872" w:rsidRDefault="007805A7" w:rsidP="00393BE8">
            <w:pPr>
              <w:pStyle w:val="TableText0"/>
              <w:keepLines/>
              <w:jc w:val="center"/>
            </w:pPr>
            <w:r w:rsidRPr="00942872">
              <w:t>R, OL, MC</w:t>
            </w:r>
          </w:p>
          <w:p w14:paraId="6CF5D671" w14:textId="77777777" w:rsidR="007805A7" w:rsidRPr="00942872" w:rsidRDefault="007805A7" w:rsidP="00393BE8">
            <w:pPr>
              <w:pStyle w:val="TableText0"/>
              <w:keepLines/>
              <w:jc w:val="center"/>
            </w:pPr>
            <w:r w:rsidRPr="00942872">
              <w:t>11.2-59.9 mths</w:t>
            </w:r>
            <w:r w:rsidRPr="00942872">
              <w:rPr>
                <w:vertAlign w:val="superscript"/>
              </w:rPr>
              <w:t>a</w:t>
            </w:r>
          </w:p>
        </w:tc>
        <w:tc>
          <w:tcPr>
            <w:tcW w:w="2252" w:type="pct"/>
            <w:shd w:val="clear" w:color="auto" w:fill="auto"/>
            <w:vAlign w:val="center"/>
          </w:tcPr>
          <w:p w14:paraId="2E30AE9A" w14:textId="77777777" w:rsidR="007805A7" w:rsidRPr="00942872" w:rsidRDefault="007805A7" w:rsidP="00393BE8">
            <w:pPr>
              <w:pStyle w:val="TableText0"/>
              <w:keepLines/>
              <w:jc w:val="both"/>
            </w:pPr>
            <w:r w:rsidRPr="00942872">
              <w:t>Squamous or non</w:t>
            </w:r>
            <w:r w:rsidRPr="00942872">
              <w:noBreakHyphen/>
              <w:t>squamous NSCLC patients with metastatic disease and PD-L1 TPS ≥ 50%</w:t>
            </w:r>
          </w:p>
        </w:tc>
        <w:tc>
          <w:tcPr>
            <w:tcW w:w="758" w:type="pct"/>
            <w:shd w:val="clear" w:color="auto" w:fill="auto"/>
            <w:vAlign w:val="center"/>
          </w:tcPr>
          <w:p w14:paraId="1CA72609" w14:textId="77777777" w:rsidR="007805A7" w:rsidRPr="00942872" w:rsidRDefault="007805A7" w:rsidP="00393BE8">
            <w:pPr>
              <w:pStyle w:val="TableText0"/>
              <w:keepLines/>
              <w:jc w:val="center"/>
            </w:pPr>
            <w:r w:rsidRPr="00942872">
              <w:t>OS, PFS, ORR and AEs</w:t>
            </w:r>
          </w:p>
        </w:tc>
      </w:tr>
      <w:tr w:rsidR="007805A7" w:rsidRPr="00942872" w14:paraId="1C20ABB8" w14:textId="77777777" w:rsidTr="004C718A">
        <w:tc>
          <w:tcPr>
            <w:tcW w:w="726" w:type="pct"/>
            <w:shd w:val="clear" w:color="auto" w:fill="auto"/>
            <w:vAlign w:val="center"/>
          </w:tcPr>
          <w:p w14:paraId="46B27369" w14:textId="77777777" w:rsidR="007805A7" w:rsidRPr="00942872" w:rsidRDefault="007805A7" w:rsidP="00393BE8">
            <w:pPr>
              <w:pStyle w:val="TableText0"/>
              <w:keepLines/>
            </w:pPr>
            <w:r w:rsidRPr="00942872">
              <w:t>KN042</w:t>
            </w:r>
          </w:p>
        </w:tc>
        <w:tc>
          <w:tcPr>
            <w:tcW w:w="473" w:type="pct"/>
            <w:shd w:val="clear" w:color="auto" w:fill="auto"/>
            <w:vAlign w:val="center"/>
          </w:tcPr>
          <w:p w14:paraId="47025C9C" w14:textId="77777777" w:rsidR="007805A7" w:rsidRPr="00942872" w:rsidRDefault="007805A7" w:rsidP="00393BE8">
            <w:pPr>
              <w:pStyle w:val="TableText0"/>
              <w:keepLines/>
              <w:jc w:val="center"/>
            </w:pPr>
            <w:r w:rsidRPr="00942872">
              <w:t>599</w:t>
            </w:r>
            <w:r w:rsidRPr="00942872">
              <w:rPr>
                <w:vertAlign w:val="superscript"/>
              </w:rPr>
              <w:t>b</w:t>
            </w:r>
          </w:p>
        </w:tc>
        <w:tc>
          <w:tcPr>
            <w:tcW w:w="791" w:type="pct"/>
            <w:shd w:val="clear" w:color="auto" w:fill="auto"/>
            <w:vAlign w:val="center"/>
          </w:tcPr>
          <w:p w14:paraId="40A7A1DE" w14:textId="77777777" w:rsidR="007805A7" w:rsidRPr="00942872" w:rsidRDefault="007805A7" w:rsidP="00393BE8">
            <w:pPr>
              <w:pStyle w:val="TableText0"/>
              <w:keepLines/>
              <w:jc w:val="center"/>
            </w:pPr>
            <w:r w:rsidRPr="00942872">
              <w:t>R, OL, MC</w:t>
            </w:r>
          </w:p>
          <w:p w14:paraId="79F98947" w14:textId="77777777" w:rsidR="007805A7" w:rsidRPr="00942872" w:rsidRDefault="007805A7" w:rsidP="00393BE8">
            <w:pPr>
              <w:pStyle w:val="TableText0"/>
              <w:keepLines/>
              <w:jc w:val="center"/>
              <w:rPr>
                <w:vertAlign w:val="superscript"/>
              </w:rPr>
            </w:pPr>
            <w:r w:rsidRPr="00942872">
              <w:t>12.8 mths</w:t>
            </w:r>
            <w:r w:rsidR="00A921F7" w:rsidRPr="00942872">
              <w:rPr>
                <w:vertAlign w:val="superscript"/>
              </w:rPr>
              <w:t>c</w:t>
            </w:r>
          </w:p>
        </w:tc>
        <w:tc>
          <w:tcPr>
            <w:tcW w:w="2252" w:type="pct"/>
            <w:shd w:val="clear" w:color="auto" w:fill="auto"/>
            <w:vAlign w:val="center"/>
          </w:tcPr>
          <w:p w14:paraId="75145B81" w14:textId="77777777" w:rsidR="007805A7" w:rsidRPr="00942872" w:rsidRDefault="007805A7" w:rsidP="00393BE8">
            <w:pPr>
              <w:pStyle w:val="TableText0"/>
              <w:keepLines/>
              <w:jc w:val="both"/>
            </w:pPr>
            <w:r w:rsidRPr="00942872">
              <w:t>Squamous or non</w:t>
            </w:r>
            <w:r w:rsidRPr="00942872">
              <w:noBreakHyphen/>
              <w:t>squamous NSCLC patients with locally advanced or metastatic disease and PD-L1 TPS ≥ 1% (subgroup of patients with PD-L1 TPS ≥ 50% was used in the ITC)</w:t>
            </w:r>
          </w:p>
        </w:tc>
        <w:tc>
          <w:tcPr>
            <w:tcW w:w="758" w:type="pct"/>
            <w:shd w:val="clear" w:color="auto" w:fill="auto"/>
            <w:vAlign w:val="center"/>
          </w:tcPr>
          <w:p w14:paraId="290767AA" w14:textId="77777777" w:rsidR="007805A7" w:rsidRPr="00942872" w:rsidRDefault="007805A7" w:rsidP="00393BE8">
            <w:pPr>
              <w:pStyle w:val="TableText0"/>
              <w:keepLines/>
              <w:jc w:val="center"/>
            </w:pPr>
            <w:r w:rsidRPr="00942872">
              <w:t>OS, PFS, ORR and AEs</w:t>
            </w:r>
          </w:p>
        </w:tc>
      </w:tr>
      <w:tr w:rsidR="007805A7" w:rsidRPr="00942872" w14:paraId="350B779F" w14:textId="77777777" w:rsidTr="004C718A">
        <w:tc>
          <w:tcPr>
            <w:tcW w:w="726" w:type="pct"/>
            <w:shd w:val="clear" w:color="auto" w:fill="auto"/>
            <w:vAlign w:val="center"/>
          </w:tcPr>
          <w:p w14:paraId="2C6865D8" w14:textId="77777777" w:rsidR="007805A7" w:rsidRPr="00942872" w:rsidRDefault="007805A7" w:rsidP="00393BE8">
            <w:pPr>
              <w:pStyle w:val="TableText0"/>
              <w:keepLines/>
            </w:pPr>
            <w:r w:rsidRPr="00942872">
              <w:t>Meta-analysis</w:t>
            </w:r>
          </w:p>
        </w:tc>
        <w:tc>
          <w:tcPr>
            <w:tcW w:w="473" w:type="pct"/>
            <w:shd w:val="clear" w:color="auto" w:fill="auto"/>
            <w:vAlign w:val="center"/>
          </w:tcPr>
          <w:p w14:paraId="3C17EB8E" w14:textId="77777777" w:rsidR="007805A7" w:rsidRPr="00942872" w:rsidRDefault="007805A7" w:rsidP="00393BE8">
            <w:pPr>
              <w:pStyle w:val="TableText0"/>
              <w:keepLines/>
              <w:jc w:val="center"/>
              <w:rPr>
                <w:vertAlign w:val="superscript"/>
              </w:rPr>
            </w:pPr>
            <w:r w:rsidRPr="00942872">
              <w:t>904</w:t>
            </w:r>
          </w:p>
        </w:tc>
        <w:tc>
          <w:tcPr>
            <w:tcW w:w="3801" w:type="pct"/>
            <w:gridSpan w:val="3"/>
            <w:shd w:val="clear" w:color="auto" w:fill="auto"/>
            <w:vAlign w:val="center"/>
          </w:tcPr>
          <w:p w14:paraId="7CB4897D" w14:textId="77777777" w:rsidR="007805A7" w:rsidRPr="00942872" w:rsidRDefault="004C49F0" w:rsidP="00393BE8">
            <w:pPr>
              <w:pStyle w:val="TableText0"/>
              <w:keepLines/>
              <w:rPr>
                <w:vertAlign w:val="superscript"/>
              </w:rPr>
            </w:pPr>
            <w:r w:rsidRPr="00942872">
              <w:t>I</w:t>
            </w:r>
            <w:r w:rsidR="00326766" w:rsidRPr="00942872">
              <w:t xml:space="preserve">ncluding </w:t>
            </w:r>
            <w:r w:rsidR="007805A7" w:rsidRPr="00942872">
              <w:t>KN024 ITT patients and KN042 PD-L1 TPS ≥ 50% subgroup</w:t>
            </w:r>
            <w:r w:rsidRPr="00942872">
              <w:t xml:space="preserve"> for assessment of OS, PFS and AEs</w:t>
            </w:r>
            <w:r w:rsidRPr="00942872">
              <w:rPr>
                <w:vertAlign w:val="superscript"/>
              </w:rPr>
              <w:t>d</w:t>
            </w:r>
            <w:r w:rsidR="007805A7" w:rsidRPr="00942872">
              <w:t xml:space="preserve"> </w:t>
            </w:r>
          </w:p>
        </w:tc>
      </w:tr>
    </w:tbl>
    <w:p w14:paraId="13F8E84E" w14:textId="77777777" w:rsidR="007805A7" w:rsidRPr="00942872" w:rsidRDefault="007805A7" w:rsidP="00393BE8">
      <w:pPr>
        <w:pStyle w:val="TableFigureFooter"/>
        <w:keepNext/>
        <w:keepLines/>
      </w:pPr>
      <w:r w:rsidRPr="00942872">
        <w:t>Source: Compiled during the evaluation based on Sections 2.3 and 2.4 of the submission.</w:t>
      </w:r>
    </w:p>
    <w:p w14:paraId="4EF4AE22" w14:textId="77777777" w:rsidR="007805A7" w:rsidRPr="00942872" w:rsidRDefault="007805A7" w:rsidP="00393BE8">
      <w:pPr>
        <w:pStyle w:val="TableFigureFooter"/>
        <w:keepNext/>
        <w:keepLines/>
      </w:pPr>
      <w:r w:rsidRPr="00942872">
        <w:t xml:space="preserve">AE = adverse events; </w:t>
      </w:r>
      <w:r w:rsidR="007D60C1" w:rsidRPr="00942872">
        <w:t xml:space="preserve">ITC = indirect treatment comparison; ITT= intention-to-treat; </w:t>
      </w:r>
      <w:r w:rsidRPr="00942872">
        <w:t xml:space="preserve">MC = multi-centre; </w:t>
      </w:r>
      <w:r w:rsidR="007D60C1" w:rsidRPr="00942872">
        <w:t>NSCLC = non-small cell lung cancer; PD-L1 TPS = progra</w:t>
      </w:r>
      <w:r w:rsidR="00BE4181">
        <w:t>m</w:t>
      </w:r>
      <w:r w:rsidR="007D60C1" w:rsidRPr="00942872">
        <w:t xml:space="preserve">med cell death ligand 1 tumour proportion score; </w:t>
      </w:r>
      <w:r w:rsidRPr="00942872">
        <w:t>OL = open label; ORR = objective response rate; OS = overall survival; PFS = progression-free survival; R = randomised.</w:t>
      </w:r>
    </w:p>
    <w:p w14:paraId="1BC9383A" w14:textId="77777777" w:rsidR="007805A7" w:rsidRPr="00942872" w:rsidRDefault="007805A7" w:rsidP="00393BE8">
      <w:pPr>
        <w:pStyle w:val="TableFigureFooter"/>
        <w:keepNext/>
        <w:keepLines/>
      </w:pPr>
      <w:r w:rsidRPr="00942872">
        <w:rPr>
          <w:vertAlign w:val="superscript"/>
        </w:rPr>
        <w:t xml:space="preserve">a </w:t>
      </w:r>
      <w:r w:rsidRPr="00942872">
        <w:t>Median duration of follow</w:t>
      </w:r>
      <w:r w:rsidR="00A921F7" w:rsidRPr="00942872">
        <w:t>-</w:t>
      </w:r>
      <w:r w:rsidRPr="00942872">
        <w:t xml:space="preserve">up at different data cutoff </w:t>
      </w:r>
      <w:r w:rsidR="00A921F7" w:rsidRPr="00942872">
        <w:t xml:space="preserve">(DOC) </w:t>
      </w:r>
      <w:r w:rsidRPr="00942872">
        <w:t xml:space="preserve">date: DCO May 2016: 11.2 mths, DCO July 2017: 25.2 mths; DCO June 2020: 59.9 mths. </w:t>
      </w:r>
      <w:r w:rsidR="009D14D8" w:rsidRPr="00942872">
        <w:t xml:space="preserve">Data on </w:t>
      </w:r>
      <w:r w:rsidRPr="00942872">
        <w:t>PFS and safety at DCO May 2016 and other outcomes (including OS) at DCO July 2017 were used in the indirect comparison.</w:t>
      </w:r>
    </w:p>
    <w:p w14:paraId="117ED5CD" w14:textId="77777777" w:rsidR="007805A7" w:rsidRPr="00942872" w:rsidRDefault="007805A7" w:rsidP="00393BE8">
      <w:pPr>
        <w:pStyle w:val="TableFigureFooter"/>
        <w:keepNext/>
        <w:keepLines/>
      </w:pPr>
      <w:r w:rsidRPr="00942872">
        <w:rPr>
          <w:vertAlign w:val="superscript"/>
        </w:rPr>
        <w:t>b</w:t>
      </w:r>
      <w:r w:rsidRPr="00942872">
        <w:t xml:space="preserve"> Number of patients in the subgroup of PD-L1 TPS ≥ 50%.</w:t>
      </w:r>
      <w:r w:rsidR="004C49F0" w:rsidRPr="00942872">
        <w:t xml:space="preserve"> N = 1,274 for the ITT population.</w:t>
      </w:r>
    </w:p>
    <w:p w14:paraId="49DCCCF3" w14:textId="77777777" w:rsidR="00A921F7" w:rsidRPr="00942872" w:rsidRDefault="00A921F7" w:rsidP="00393BE8">
      <w:pPr>
        <w:pStyle w:val="TableFigureFooter"/>
        <w:keepNext/>
        <w:keepLines/>
      </w:pPr>
      <w:r w:rsidRPr="00942872">
        <w:rPr>
          <w:vertAlign w:val="superscript"/>
        </w:rPr>
        <w:t xml:space="preserve">c </w:t>
      </w:r>
      <w:r w:rsidRPr="00942872">
        <w:t xml:space="preserve">Median duration of follow-up in the </w:t>
      </w:r>
      <w:r w:rsidR="007D60C1" w:rsidRPr="00942872">
        <w:t>ITT</w:t>
      </w:r>
      <w:r w:rsidRPr="00942872">
        <w:t xml:space="preserve"> population. Relevant data on the PD-L1 TPS ≥ 50% subgroup was not available.</w:t>
      </w:r>
    </w:p>
    <w:p w14:paraId="36AF57F3" w14:textId="77777777" w:rsidR="004C49F0" w:rsidRPr="00942872" w:rsidRDefault="004C49F0" w:rsidP="00393BE8">
      <w:pPr>
        <w:pStyle w:val="TableFigureFooter"/>
        <w:keepNext/>
        <w:keepLines/>
        <w:rPr>
          <w:szCs w:val="24"/>
        </w:rPr>
      </w:pPr>
      <w:r w:rsidRPr="00942872">
        <w:rPr>
          <w:vertAlign w:val="superscript"/>
        </w:rPr>
        <w:t xml:space="preserve">d </w:t>
      </w:r>
      <w:r w:rsidRPr="00942872">
        <w:t xml:space="preserve">Meta-analysis of AEs included all subjects as treated from KN024 and KN042. </w:t>
      </w:r>
    </w:p>
    <w:p w14:paraId="7FCDDEAA" w14:textId="77777777" w:rsidR="00CF5008" w:rsidRPr="00942872" w:rsidRDefault="00CF5008" w:rsidP="00CF5008">
      <w:pPr>
        <w:pStyle w:val="3-BodyText"/>
      </w:pPr>
      <w:r w:rsidRPr="00942872">
        <w:t>In Study 1624, to confirm patient eligibility during the screening period, a central commercial laboratory was used to analyse PD-L1 expression (IHC 22C3 pharmDx assay). During the course of the study, the sponsor became aware that the PD-L1 testing of samples from Study 1624 at the central commercial laboratory had a number of quality issues. After August 2018, patients were tested using the same assay (IHC 22C3 assay) but with additional oversight to ensure that the testing at the commercial laboratory was conducted in accordance with the FDA-approved labelling. Patients who were tested before August 2018 could be retested using the samples from Study 1624 (for those patient samples were still available). There were three populations for assessment of efficacy data:</w:t>
      </w:r>
    </w:p>
    <w:p w14:paraId="17E41459" w14:textId="77777777" w:rsidR="00CF5008" w:rsidRPr="00942872" w:rsidRDefault="00CF5008" w:rsidP="000D035D">
      <w:pPr>
        <w:pStyle w:val="ListParagraph"/>
        <w:numPr>
          <w:ilvl w:val="1"/>
          <w:numId w:val="10"/>
        </w:numPr>
        <w:spacing w:after="0"/>
        <w:ind w:left="1134" w:hanging="392"/>
      </w:pPr>
      <w:r w:rsidRPr="00942872">
        <w:t xml:space="preserve">Full Analysis population (i.e. all randomised patients – </w:t>
      </w:r>
      <w:r w:rsidR="00A82490" w:rsidRPr="00942872">
        <w:t>intention-to-treat (</w:t>
      </w:r>
      <w:r w:rsidRPr="00942872">
        <w:t>ITT</w:t>
      </w:r>
      <w:r w:rsidR="00A82490" w:rsidRPr="00942872">
        <w:t>)</w:t>
      </w:r>
      <w:r w:rsidRPr="00942872">
        <w:t xml:space="preserve"> population) (N=710).</w:t>
      </w:r>
    </w:p>
    <w:p w14:paraId="23ED6616" w14:textId="77777777" w:rsidR="00CF5008" w:rsidRPr="00942872" w:rsidRDefault="00CF5008" w:rsidP="000D035D">
      <w:pPr>
        <w:pStyle w:val="ListParagraph"/>
        <w:numPr>
          <w:ilvl w:val="1"/>
          <w:numId w:val="10"/>
        </w:numPr>
        <w:spacing w:after="0"/>
        <w:ind w:left="1134" w:hanging="392"/>
      </w:pPr>
      <w:r w:rsidRPr="00942872">
        <w:t xml:space="preserve">Modified ITT 1 (mITT-1) population (N=563): All randomised patients who were enrolled based on tests performed after August 2018 (n=475), as well as patients whose PD-L1 samples tested before August 2018 and required retesting, and upon retest, were confirmed as having PD-L1 TPS ≥50% (n=88). </w:t>
      </w:r>
    </w:p>
    <w:p w14:paraId="657225F8" w14:textId="77777777" w:rsidR="00CF5008" w:rsidRPr="00942872" w:rsidRDefault="00CF5008" w:rsidP="000D035D">
      <w:pPr>
        <w:pStyle w:val="ListParagraph"/>
        <w:numPr>
          <w:ilvl w:val="1"/>
          <w:numId w:val="10"/>
        </w:numPr>
        <w:ind w:left="1134" w:hanging="391"/>
      </w:pPr>
      <w:r w:rsidRPr="00942872">
        <w:t>Modified ITT 2 (mITT-2) population (N=475): All randomised patients who were tested after August 2018 with PD-L1 TPS of ≥50%.</w:t>
      </w:r>
    </w:p>
    <w:p w14:paraId="67277BF9" w14:textId="77777777" w:rsidR="00CF5008" w:rsidRPr="00942872" w:rsidRDefault="00CF5008" w:rsidP="002F534F">
      <w:pPr>
        <w:pStyle w:val="3-BodyText"/>
      </w:pPr>
      <w:r w:rsidRPr="00942872">
        <w:t xml:space="preserve">The primary ITC </w:t>
      </w:r>
      <w:r w:rsidR="00410064" w:rsidRPr="00942872">
        <w:t xml:space="preserve">for efficacy </w:t>
      </w:r>
      <w:r w:rsidRPr="00942872">
        <w:t xml:space="preserve">was based the Study 1624 ITT population versus the meta-analysis of </w:t>
      </w:r>
      <w:r w:rsidR="00234CFF" w:rsidRPr="00942872">
        <w:t xml:space="preserve">the </w:t>
      </w:r>
      <w:r w:rsidRPr="00942872">
        <w:t xml:space="preserve">KN024 ITT </w:t>
      </w:r>
      <w:r w:rsidR="00234CFF" w:rsidRPr="00942872">
        <w:t xml:space="preserve">population </w:t>
      </w:r>
      <w:r w:rsidRPr="00942872">
        <w:t xml:space="preserve">and the KN042 </w:t>
      </w:r>
      <w:r w:rsidR="00B11F3A" w:rsidRPr="00942872">
        <w:t xml:space="preserve">pre-specified </w:t>
      </w:r>
      <w:r w:rsidRPr="00942872">
        <w:t>subgroup with PD-L1 TPS ≥50%.</w:t>
      </w:r>
      <w:r w:rsidR="00234CFF" w:rsidRPr="00942872">
        <w:t xml:space="preserve"> The other two </w:t>
      </w:r>
      <w:r w:rsidRPr="00942872">
        <w:t>populations</w:t>
      </w:r>
      <w:r w:rsidR="00234CFF" w:rsidRPr="00942872">
        <w:t xml:space="preserve"> from Study 1624</w:t>
      </w:r>
      <w:r w:rsidRPr="00942872">
        <w:t xml:space="preserve">, i.e. mITT-1 and mITT-2, </w:t>
      </w:r>
      <w:r w:rsidR="00234CFF" w:rsidRPr="00942872">
        <w:t xml:space="preserve">were </w:t>
      </w:r>
      <w:r w:rsidRPr="00942872">
        <w:t xml:space="preserve">used in the sensitivity analyses. </w:t>
      </w:r>
      <w:r w:rsidR="002F534F" w:rsidRPr="00942872">
        <w:t>All subjects as treated from Study 1624, KN024 and KN042 were involved in the ITC of safety outcomes.</w:t>
      </w:r>
    </w:p>
    <w:p w14:paraId="70CBFA56" w14:textId="77777777" w:rsidR="00CF5008" w:rsidRPr="005467E8" w:rsidRDefault="00CF5008" w:rsidP="002F2882">
      <w:pPr>
        <w:pStyle w:val="3-BodyText"/>
      </w:pPr>
      <w:r w:rsidRPr="00942872">
        <w:t>The ITC was performed using the Bucher (1997) method</w:t>
      </w:r>
      <w:r w:rsidRPr="00942872">
        <w:rPr>
          <w:rStyle w:val="FootnoteReference"/>
        </w:rPr>
        <w:footnoteReference w:id="4"/>
      </w:r>
      <w:r w:rsidRPr="00942872">
        <w:t xml:space="preserve">, via platinum doublet as the common reference. The submission claimed that the nominated non-inferiority margin for </w:t>
      </w:r>
      <w:r w:rsidR="00234CFF" w:rsidRPr="00942872">
        <w:t>overall survival (</w:t>
      </w:r>
      <w:r w:rsidRPr="00942872">
        <w:t>OS</w:t>
      </w:r>
      <w:r w:rsidR="00234CFF" w:rsidRPr="00942872">
        <w:t>)</w:t>
      </w:r>
      <w:r w:rsidRPr="00942872">
        <w:t xml:space="preserve"> was based on previous PBAC consideration of atezolizumab as a later-line therapy for locally advanced or metastatic NSCLC (</w:t>
      </w:r>
      <w:r w:rsidR="0053505B">
        <w:t>a</w:t>
      </w:r>
      <w:r w:rsidRPr="00942872">
        <w:t xml:space="preserve">tezolizumab PSD, November 2017 PBAC meeting). </w:t>
      </w:r>
      <w:r w:rsidR="00234CFF" w:rsidRPr="00942872">
        <w:t xml:space="preserve">It was noted that the nominated non-inferiority </w:t>
      </w:r>
      <w:r w:rsidR="00FF083F" w:rsidRPr="00942872">
        <w:t>criteria</w:t>
      </w:r>
      <w:r w:rsidR="00234CFF" w:rsidRPr="00942872">
        <w:t xml:space="preserve">, </w:t>
      </w:r>
      <w:r w:rsidR="009D14D8" w:rsidRPr="00942872">
        <w:t xml:space="preserve">i.e. </w:t>
      </w:r>
      <w:r w:rsidR="00234CFF" w:rsidRPr="00942872">
        <w:t>OS hazard ratio 1.04</w:t>
      </w:r>
      <w:r w:rsidR="000C23E1">
        <w:t xml:space="preserve"> (95%CI: 0.70, 1.54)</w:t>
      </w:r>
      <w:r w:rsidR="009D14D8" w:rsidRPr="00942872">
        <w:t>,</w:t>
      </w:r>
      <w:r w:rsidR="00234CFF" w:rsidRPr="00942872">
        <w:t xml:space="preserve"> as mentioned in the atezolizumab submission was from </w:t>
      </w:r>
      <w:r w:rsidR="00B11F3A" w:rsidRPr="00942872">
        <w:t>a comparison of nivolumab v</w:t>
      </w:r>
      <w:r w:rsidR="009D14D8" w:rsidRPr="00942872">
        <w:t>ersu</w:t>
      </w:r>
      <w:r w:rsidR="00B11F3A" w:rsidRPr="00942872">
        <w:t>s pembrolizumab for</w:t>
      </w:r>
      <w:r w:rsidR="00234CFF" w:rsidRPr="00942872">
        <w:t xml:space="preserve"> melanoma, which </w:t>
      </w:r>
      <w:r w:rsidR="00CE512B" w:rsidRPr="00942872">
        <w:t xml:space="preserve">may </w:t>
      </w:r>
      <w:r w:rsidR="00234CFF" w:rsidRPr="00942872">
        <w:t xml:space="preserve">not be applicable to the proposed NSCLC </w:t>
      </w:r>
      <w:r w:rsidR="00B11F3A" w:rsidRPr="00942872">
        <w:t>indication</w:t>
      </w:r>
      <w:r w:rsidR="00234CFF" w:rsidRPr="00942872">
        <w:t xml:space="preserve">. This non-inferiority threshold </w:t>
      </w:r>
      <w:r w:rsidR="00CE512B" w:rsidRPr="00942872">
        <w:t>was mentioned in the atezolizumab PSD</w:t>
      </w:r>
      <w:r w:rsidR="00234CFF" w:rsidRPr="00942872">
        <w:t xml:space="preserve">. </w:t>
      </w:r>
      <w:r w:rsidR="00352D8F" w:rsidRPr="00942872">
        <w:t xml:space="preserve">However, the PBAC’s acceptance of non-inferiority of atezolizumab versus nivolumab was based on </w:t>
      </w:r>
      <w:r w:rsidR="00FF083F" w:rsidRPr="00942872">
        <w:t xml:space="preserve">the </w:t>
      </w:r>
      <w:r w:rsidR="00352D8F" w:rsidRPr="00942872">
        <w:t xml:space="preserve">additional scenario analyses provided </w:t>
      </w:r>
      <w:r w:rsidR="00FF083F" w:rsidRPr="00942872">
        <w:t xml:space="preserve">in </w:t>
      </w:r>
      <w:r w:rsidR="00352D8F" w:rsidRPr="00942872">
        <w:t>the Pre-Sub-Committee Response</w:t>
      </w:r>
      <w:r w:rsidR="00FF083F" w:rsidRPr="00942872">
        <w:t xml:space="preserve">, not </w:t>
      </w:r>
      <w:r w:rsidR="00352D8F" w:rsidRPr="00942872">
        <w:t>the comparison</w:t>
      </w:r>
      <w:r w:rsidR="00130C40">
        <w:t xml:space="preserve"> quoted</w:t>
      </w:r>
      <w:r w:rsidR="00352D8F" w:rsidRPr="00942872">
        <w:t xml:space="preserve">. </w:t>
      </w:r>
      <w:r w:rsidR="00FF083F" w:rsidRPr="00942872">
        <w:t>Th</w:t>
      </w:r>
      <w:r w:rsidR="00130C40">
        <w:t>e proposed</w:t>
      </w:r>
      <w:r w:rsidR="00FF083F" w:rsidRPr="00942872">
        <w:t xml:space="preserve"> non-inferio</w:t>
      </w:r>
      <w:r w:rsidR="008B1C87" w:rsidRPr="00942872">
        <w:t>ri</w:t>
      </w:r>
      <w:r w:rsidR="00FF083F" w:rsidRPr="00942872">
        <w:t xml:space="preserve">ty threshold has not been </w:t>
      </w:r>
      <w:r w:rsidR="00130C40">
        <w:t xml:space="preserve">previously </w:t>
      </w:r>
      <w:r w:rsidR="00FF083F" w:rsidRPr="00942872">
        <w:t>accepted by the PBAC</w:t>
      </w:r>
      <w:r w:rsidR="00130C40">
        <w:t xml:space="preserve"> and it</w:t>
      </w:r>
      <w:r w:rsidR="00234CFF" w:rsidRPr="00942872">
        <w:t xml:space="preserve"> was</w:t>
      </w:r>
      <w:r w:rsidR="00130C40">
        <w:t xml:space="preserve"> not</w:t>
      </w:r>
      <w:r w:rsidR="00234CFF" w:rsidRPr="00942872">
        <w:t xml:space="preserve"> adequately justified in the submission. </w:t>
      </w:r>
      <w:r w:rsidR="007006A9" w:rsidRPr="00942872">
        <w:t xml:space="preserve">  </w:t>
      </w:r>
    </w:p>
    <w:p w14:paraId="5C4FB13F" w14:textId="77777777" w:rsidR="00B11F3A" w:rsidRPr="00942872" w:rsidRDefault="00B11F3A" w:rsidP="00B11F3A">
      <w:pPr>
        <w:pStyle w:val="3-BodyText"/>
      </w:pPr>
      <w:r w:rsidRPr="00942872">
        <w:t>The results of the indirect comparison were subject to high risk of bias, given the indirect nature of the comparison and the transitivity concerns across the trials included in the indirect comparison. These will be discussed further below.</w:t>
      </w:r>
    </w:p>
    <w:p w14:paraId="784FAF66" w14:textId="77777777" w:rsidR="00CF5008" w:rsidRPr="00942872" w:rsidRDefault="007D60C1" w:rsidP="002F2882">
      <w:pPr>
        <w:pStyle w:val="3-BodyText"/>
      </w:pPr>
      <w:r w:rsidRPr="00942872">
        <w:t xml:space="preserve">Given the </w:t>
      </w:r>
      <w:r w:rsidR="007805A7" w:rsidRPr="00942872">
        <w:t>open-label design</w:t>
      </w:r>
      <w:r w:rsidRPr="00942872">
        <w:t xml:space="preserve"> of </w:t>
      </w:r>
      <w:r w:rsidR="00B112E7">
        <w:t xml:space="preserve">the </w:t>
      </w:r>
      <w:r w:rsidRPr="00942872">
        <w:t>cemiplimab and pembrolizumab trials</w:t>
      </w:r>
      <w:r w:rsidR="007805A7" w:rsidRPr="00942872">
        <w:t xml:space="preserve">, patients and investigators were not blinded to treatment allocation. In each of </w:t>
      </w:r>
      <w:r w:rsidR="00B112E7">
        <w:t xml:space="preserve">the </w:t>
      </w:r>
      <w:r w:rsidR="007805A7" w:rsidRPr="00942872">
        <w:t>individual trials, there is a high risk of bias for the patient</w:t>
      </w:r>
      <w:r w:rsidR="002F534F" w:rsidRPr="00942872">
        <w:t>-</w:t>
      </w:r>
      <w:r w:rsidR="007805A7" w:rsidRPr="00942872">
        <w:t xml:space="preserve">reported outcomes, such as incidence and severity of adverse events (AEs). Since disease </w:t>
      </w:r>
      <w:r w:rsidR="00C40F27" w:rsidRPr="00942872">
        <w:t>progression was assessed by an Independent Review C</w:t>
      </w:r>
      <w:r w:rsidR="007805A7" w:rsidRPr="00942872">
        <w:t>ommittee (IRC) that was blinded to treatment assignment, there was a low risk of bias for assessment of outcomes associated with treatment response, e.g. progression</w:t>
      </w:r>
      <w:r w:rsidR="00D22F46" w:rsidRPr="00942872">
        <w:t>-</w:t>
      </w:r>
      <w:r w:rsidR="007805A7" w:rsidRPr="00942872">
        <w:t xml:space="preserve">free survival (PFS) and objective response rate (ORR). </w:t>
      </w:r>
    </w:p>
    <w:p w14:paraId="2408E361" w14:textId="77777777" w:rsidR="007805A7" w:rsidRPr="00942872" w:rsidRDefault="007805A7" w:rsidP="007805A7">
      <w:pPr>
        <w:pStyle w:val="4-SubsectionHeading"/>
      </w:pPr>
      <w:bookmarkStart w:id="14" w:name="_Toc82597628"/>
      <w:r w:rsidRPr="00942872">
        <w:t>Comparative effectiveness</w:t>
      </w:r>
      <w:bookmarkEnd w:id="14"/>
    </w:p>
    <w:p w14:paraId="0407B584" w14:textId="77777777" w:rsidR="007805A7" w:rsidRPr="00942872" w:rsidRDefault="007805A7" w:rsidP="007805A7">
      <w:pPr>
        <w:pStyle w:val="3-BodyText"/>
      </w:pPr>
      <w:r w:rsidRPr="00942872">
        <w:t>The OS and PFS results for the ITT population in Study 1624 are presented below.</w:t>
      </w:r>
    </w:p>
    <w:p w14:paraId="36CB420D" w14:textId="77777777" w:rsidR="007805A7" w:rsidRPr="00942872" w:rsidRDefault="007805A7" w:rsidP="00393BE8">
      <w:pPr>
        <w:pStyle w:val="TableFigureHeading"/>
        <w:keepLines/>
      </w:pPr>
      <w:r w:rsidRPr="00942872">
        <w:t xml:space="preserve">Table </w:t>
      </w:r>
      <w:r w:rsidR="002177FE">
        <w:rPr>
          <w:noProof/>
        </w:rPr>
        <w:t>5</w:t>
      </w:r>
      <w:r w:rsidRPr="00942872">
        <w:t>: Results of OS and PFS</w:t>
      </w:r>
      <w:r w:rsidR="004802D9" w:rsidRPr="00942872">
        <w:t xml:space="preserve"> per IRC</w:t>
      </w:r>
      <w:r w:rsidRPr="00942872">
        <w:t xml:space="preserve"> – primary analysis in Study 1624 ITT population</w:t>
      </w:r>
    </w:p>
    <w:tbl>
      <w:tblPr>
        <w:tblStyle w:val="TableGrid"/>
        <w:tblW w:w="0" w:type="auto"/>
        <w:shd w:val="clear" w:color="auto" w:fill="FFFFFF" w:themeFill="background1"/>
        <w:tblLook w:val="04A0" w:firstRow="1" w:lastRow="0" w:firstColumn="1" w:lastColumn="0" w:noHBand="0" w:noVBand="1"/>
        <w:tblCaption w:val="Table 5: Results of OS and PFS per IRC – primary analysis in Study 1624 ITT population"/>
      </w:tblPr>
      <w:tblGrid>
        <w:gridCol w:w="3003"/>
        <w:gridCol w:w="3003"/>
        <w:gridCol w:w="3004"/>
      </w:tblGrid>
      <w:tr w:rsidR="007805A7" w:rsidRPr="00942872" w14:paraId="276FFF41" w14:textId="77777777" w:rsidTr="003E5591">
        <w:trPr>
          <w:tblHeader/>
        </w:trPr>
        <w:tc>
          <w:tcPr>
            <w:tcW w:w="3003" w:type="dxa"/>
            <w:shd w:val="clear" w:color="auto" w:fill="FFFFFF" w:themeFill="background1"/>
            <w:vAlign w:val="center"/>
          </w:tcPr>
          <w:p w14:paraId="2EB1AFEF" w14:textId="77777777" w:rsidR="007805A7" w:rsidRPr="00942872" w:rsidRDefault="007805A7" w:rsidP="00393BE8">
            <w:pPr>
              <w:pStyle w:val="SubmTableHeading"/>
              <w:keepLines/>
              <w:spacing w:after="0"/>
              <w:rPr>
                <w:sz w:val="20"/>
                <w:szCs w:val="20"/>
              </w:rPr>
            </w:pPr>
          </w:p>
        </w:tc>
        <w:tc>
          <w:tcPr>
            <w:tcW w:w="3003" w:type="dxa"/>
            <w:shd w:val="clear" w:color="auto" w:fill="FFFFFF" w:themeFill="background1"/>
            <w:vAlign w:val="center"/>
          </w:tcPr>
          <w:p w14:paraId="71B73B0A" w14:textId="77777777" w:rsidR="007805A7" w:rsidRPr="00942872" w:rsidRDefault="007805A7" w:rsidP="00393BE8">
            <w:pPr>
              <w:pStyle w:val="SubmTableHeading"/>
              <w:keepLines/>
              <w:spacing w:after="0"/>
              <w:jc w:val="center"/>
              <w:rPr>
                <w:sz w:val="20"/>
                <w:szCs w:val="20"/>
              </w:rPr>
            </w:pPr>
            <w:r w:rsidRPr="00942872">
              <w:rPr>
                <w:sz w:val="20"/>
                <w:szCs w:val="20"/>
              </w:rPr>
              <w:t>Cemiplimab (N=356)</w:t>
            </w:r>
          </w:p>
        </w:tc>
        <w:tc>
          <w:tcPr>
            <w:tcW w:w="3004" w:type="dxa"/>
            <w:shd w:val="clear" w:color="auto" w:fill="FFFFFF" w:themeFill="background1"/>
            <w:vAlign w:val="center"/>
          </w:tcPr>
          <w:p w14:paraId="1D60D8F5" w14:textId="77777777" w:rsidR="007805A7" w:rsidRPr="00942872" w:rsidRDefault="007805A7" w:rsidP="00393BE8">
            <w:pPr>
              <w:pStyle w:val="SubmTableHeading"/>
              <w:keepLines/>
              <w:spacing w:after="0"/>
              <w:jc w:val="center"/>
              <w:rPr>
                <w:sz w:val="20"/>
                <w:szCs w:val="20"/>
              </w:rPr>
            </w:pPr>
            <w:r w:rsidRPr="00942872">
              <w:rPr>
                <w:sz w:val="20"/>
                <w:szCs w:val="20"/>
              </w:rPr>
              <w:t>Chemotherapy (N=354)</w:t>
            </w:r>
          </w:p>
        </w:tc>
      </w:tr>
      <w:tr w:rsidR="007805A7" w:rsidRPr="00942872" w14:paraId="31460477" w14:textId="77777777" w:rsidTr="003E5591">
        <w:tc>
          <w:tcPr>
            <w:tcW w:w="9010" w:type="dxa"/>
            <w:gridSpan w:val="3"/>
            <w:shd w:val="clear" w:color="auto" w:fill="FFFFFF" w:themeFill="background1"/>
          </w:tcPr>
          <w:p w14:paraId="0EA028B3" w14:textId="77777777" w:rsidR="007805A7" w:rsidRPr="00942872" w:rsidRDefault="007805A7" w:rsidP="00393BE8">
            <w:pPr>
              <w:pStyle w:val="BodyText1"/>
              <w:spacing w:before="0" w:after="0" w:line="240" w:lineRule="auto"/>
              <w:contextualSpacing/>
              <w:jc w:val="left"/>
              <w:rPr>
                <w:rFonts w:ascii="Arial Narrow" w:hAnsi="Arial Narrow"/>
                <w:b/>
                <w:sz w:val="20"/>
                <w:szCs w:val="20"/>
              </w:rPr>
            </w:pPr>
            <w:r w:rsidRPr="00942872">
              <w:rPr>
                <w:rFonts w:ascii="Arial Narrow" w:hAnsi="Arial Narrow"/>
                <w:b/>
                <w:sz w:val="20"/>
                <w:szCs w:val="20"/>
              </w:rPr>
              <w:t>OS</w:t>
            </w:r>
          </w:p>
        </w:tc>
      </w:tr>
      <w:tr w:rsidR="007805A7" w:rsidRPr="00942872" w14:paraId="3ACB5192" w14:textId="77777777" w:rsidTr="003E5591">
        <w:tc>
          <w:tcPr>
            <w:tcW w:w="3003" w:type="dxa"/>
            <w:shd w:val="clear" w:color="auto" w:fill="FFFFFF" w:themeFill="background1"/>
          </w:tcPr>
          <w:p w14:paraId="66260DDD" w14:textId="77777777" w:rsidR="007805A7" w:rsidRPr="00942872" w:rsidRDefault="007805A7" w:rsidP="00393BE8">
            <w:pPr>
              <w:pStyle w:val="BodyText1"/>
              <w:spacing w:before="0" w:after="0" w:line="240" w:lineRule="auto"/>
              <w:contextualSpacing/>
              <w:rPr>
                <w:rFonts w:ascii="Arial Narrow" w:hAnsi="Arial Narrow"/>
                <w:sz w:val="20"/>
                <w:szCs w:val="20"/>
              </w:rPr>
            </w:pPr>
            <w:r w:rsidRPr="00942872">
              <w:rPr>
                <w:rFonts w:ascii="Arial Narrow" w:hAnsi="Arial Narrow"/>
                <w:sz w:val="20"/>
                <w:szCs w:val="20"/>
              </w:rPr>
              <w:t xml:space="preserve">Number of deaths, n (%) </w:t>
            </w:r>
          </w:p>
        </w:tc>
        <w:tc>
          <w:tcPr>
            <w:tcW w:w="3003" w:type="dxa"/>
            <w:shd w:val="clear" w:color="auto" w:fill="FFFFFF" w:themeFill="background1"/>
          </w:tcPr>
          <w:p w14:paraId="5CEEBFCF"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108 (30.3%)</w:t>
            </w:r>
          </w:p>
        </w:tc>
        <w:tc>
          <w:tcPr>
            <w:tcW w:w="3004" w:type="dxa"/>
            <w:shd w:val="clear" w:color="auto" w:fill="FFFFFF" w:themeFill="background1"/>
          </w:tcPr>
          <w:p w14:paraId="4E4150F3"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141 (39.8%)</w:t>
            </w:r>
          </w:p>
        </w:tc>
      </w:tr>
      <w:tr w:rsidR="007805A7" w:rsidRPr="00942872" w14:paraId="708F72A4" w14:textId="77777777" w:rsidTr="003E5591">
        <w:tc>
          <w:tcPr>
            <w:tcW w:w="3003" w:type="dxa"/>
            <w:shd w:val="clear" w:color="auto" w:fill="FFFFFF" w:themeFill="background1"/>
          </w:tcPr>
          <w:p w14:paraId="250518F8" w14:textId="77777777" w:rsidR="007805A7" w:rsidRPr="00942872" w:rsidRDefault="007805A7" w:rsidP="00393BE8">
            <w:pPr>
              <w:pStyle w:val="BodyText1"/>
              <w:spacing w:before="0" w:after="0" w:line="240" w:lineRule="auto"/>
              <w:contextualSpacing/>
              <w:rPr>
                <w:rFonts w:ascii="Arial Narrow" w:hAnsi="Arial Narrow"/>
                <w:sz w:val="20"/>
                <w:szCs w:val="20"/>
              </w:rPr>
            </w:pPr>
            <w:r w:rsidRPr="00942872">
              <w:rPr>
                <w:rFonts w:ascii="Arial Narrow" w:hAnsi="Arial Narrow"/>
                <w:sz w:val="20"/>
                <w:szCs w:val="20"/>
              </w:rPr>
              <w:t xml:space="preserve">Number of censored patients, n (%) </w:t>
            </w:r>
          </w:p>
        </w:tc>
        <w:tc>
          <w:tcPr>
            <w:tcW w:w="3003" w:type="dxa"/>
            <w:shd w:val="clear" w:color="auto" w:fill="FFFFFF" w:themeFill="background1"/>
          </w:tcPr>
          <w:p w14:paraId="4F9BAE25"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248 (69.7%)</w:t>
            </w:r>
          </w:p>
        </w:tc>
        <w:tc>
          <w:tcPr>
            <w:tcW w:w="3004" w:type="dxa"/>
            <w:shd w:val="clear" w:color="auto" w:fill="FFFFFF" w:themeFill="background1"/>
          </w:tcPr>
          <w:p w14:paraId="2274A94B"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213 (60.2%)</w:t>
            </w:r>
          </w:p>
        </w:tc>
      </w:tr>
      <w:tr w:rsidR="007805A7" w:rsidRPr="00942872" w14:paraId="1AFB762B" w14:textId="77777777" w:rsidTr="003E5591">
        <w:tc>
          <w:tcPr>
            <w:tcW w:w="3003" w:type="dxa"/>
            <w:shd w:val="clear" w:color="auto" w:fill="FFFFFF" w:themeFill="background1"/>
          </w:tcPr>
          <w:p w14:paraId="4A2DF9F5" w14:textId="77777777" w:rsidR="007805A7" w:rsidRPr="00942872" w:rsidRDefault="001A241F" w:rsidP="00393BE8">
            <w:pPr>
              <w:pStyle w:val="BodyText1"/>
              <w:spacing w:before="0" w:after="0" w:line="240" w:lineRule="auto"/>
              <w:contextualSpacing/>
              <w:rPr>
                <w:rFonts w:ascii="Arial Narrow" w:hAnsi="Arial Narrow"/>
                <w:sz w:val="20"/>
                <w:szCs w:val="20"/>
              </w:rPr>
            </w:pPr>
            <w:r w:rsidRPr="00942872">
              <w:rPr>
                <w:rFonts w:ascii="Arial Narrow" w:hAnsi="Arial Narrow"/>
                <w:sz w:val="20"/>
                <w:szCs w:val="20"/>
              </w:rPr>
              <w:t>Median [</w:t>
            </w:r>
            <w:r w:rsidR="007805A7" w:rsidRPr="00942872">
              <w:rPr>
                <w:rFonts w:ascii="Arial Narrow" w:hAnsi="Arial Narrow"/>
                <w:sz w:val="20"/>
                <w:szCs w:val="20"/>
              </w:rPr>
              <w:t>95% CI</w:t>
            </w:r>
            <w:r w:rsidRPr="00942872">
              <w:rPr>
                <w:rFonts w:ascii="Arial Narrow" w:hAnsi="Arial Narrow"/>
                <w:sz w:val="20"/>
                <w:szCs w:val="20"/>
              </w:rPr>
              <w:t>]</w:t>
            </w:r>
            <w:r w:rsidR="007805A7" w:rsidRPr="00942872">
              <w:rPr>
                <w:rFonts w:ascii="Arial Narrow" w:hAnsi="Arial Narrow"/>
                <w:sz w:val="20"/>
                <w:szCs w:val="20"/>
              </w:rPr>
              <w:t xml:space="preserve">, months </w:t>
            </w:r>
            <w:r w:rsidR="007805A7" w:rsidRPr="00942872">
              <w:rPr>
                <w:rFonts w:ascii="Arial Narrow" w:hAnsi="Arial Narrow"/>
                <w:sz w:val="20"/>
                <w:szCs w:val="20"/>
                <w:vertAlign w:val="superscript"/>
              </w:rPr>
              <w:t>a</w:t>
            </w:r>
          </w:p>
        </w:tc>
        <w:tc>
          <w:tcPr>
            <w:tcW w:w="3003" w:type="dxa"/>
            <w:shd w:val="clear" w:color="auto" w:fill="FFFFFF" w:themeFill="background1"/>
          </w:tcPr>
          <w:p w14:paraId="60DB19EC"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22.1 </w:t>
            </w:r>
            <w:r w:rsidR="001A241F" w:rsidRPr="00942872">
              <w:rPr>
                <w:rFonts w:ascii="Arial Narrow" w:hAnsi="Arial Narrow"/>
                <w:sz w:val="20"/>
                <w:szCs w:val="20"/>
              </w:rPr>
              <w:t>[</w:t>
            </w:r>
            <w:r w:rsidRPr="00942872">
              <w:rPr>
                <w:rFonts w:ascii="Arial Narrow" w:hAnsi="Arial Narrow"/>
                <w:sz w:val="20"/>
                <w:szCs w:val="20"/>
              </w:rPr>
              <w:t>17.7, NE</w:t>
            </w:r>
            <w:r w:rsidR="001A241F" w:rsidRPr="00942872">
              <w:rPr>
                <w:rFonts w:ascii="Arial Narrow" w:hAnsi="Arial Narrow"/>
                <w:sz w:val="20"/>
                <w:szCs w:val="20"/>
              </w:rPr>
              <w:t>]</w:t>
            </w:r>
          </w:p>
        </w:tc>
        <w:tc>
          <w:tcPr>
            <w:tcW w:w="3004" w:type="dxa"/>
            <w:shd w:val="clear" w:color="auto" w:fill="FFFFFF" w:themeFill="background1"/>
          </w:tcPr>
          <w:p w14:paraId="507E5E7B"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14.3 </w:t>
            </w:r>
            <w:r w:rsidR="001A241F" w:rsidRPr="00942872">
              <w:rPr>
                <w:rFonts w:ascii="Arial Narrow" w:hAnsi="Arial Narrow"/>
                <w:sz w:val="20"/>
                <w:szCs w:val="20"/>
              </w:rPr>
              <w:t>[</w:t>
            </w:r>
            <w:r w:rsidRPr="00942872">
              <w:rPr>
                <w:rFonts w:ascii="Arial Narrow" w:hAnsi="Arial Narrow"/>
                <w:sz w:val="20"/>
                <w:szCs w:val="20"/>
              </w:rPr>
              <w:t>11.7, 19.2</w:t>
            </w:r>
            <w:r w:rsidR="001A241F" w:rsidRPr="00942872">
              <w:rPr>
                <w:rFonts w:ascii="Arial Narrow" w:hAnsi="Arial Narrow"/>
                <w:sz w:val="20"/>
                <w:szCs w:val="20"/>
              </w:rPr>
              <w:t>]</w:t>
            </w:r>
          </w:p>
        </w:tc>
      </w:tr>
      <w:tr w:rsidR="007805A7" w:rsidRPr="00942872" w14:paraId="7C4908E5" w14:textId="77777777" w:rsidTr="003E5591">
        <w:tc>
          <w:tcPr>
            <w:tcW w:w="3003" w:type="dxa"/>
            <w:shd w:val="clear" w:color="auto" w:fill="FFFFFF" w:themeFill="background1"/>
          </w:tcPr>
          <w:p w14:paraId="3BF10F29" w14:textId="77777777" w:rsidR="007805A7" w:rsidRPr="00942872" w:rsidRDefault="007805A7" w:rsidP="00393BE8">
            <w:pPr>
              <w:pStyle w:val="BodyText1"/>
              <w:spacing w:before="0" w:after="0" w:line="240" w:lineRule="auto"/>
              <w:contextualSpacing/>
              <w:rPr>
                <w:rFonts w:ascii="Arial Narrow" w:hAnsi="Arial Narrow"/>
                <w:sz w:val="20"/>
                <w:szCs w:val="20"/>
              </w:rPr>
            </w:pPr>
            <w:r w:rsidRPr="00942872">
              <w:rPr>
                <w:rFonts w:ascii="Arial Narrow" w:hAnsi="Arial Narrow"/>
                <w:sz w:val="20"/>
                <w:szCs w:val="20"/>
              </w:rPr>
              <w:t>Stratified log</w:t>
            </w:r>
            <w:r w:rsidRPr="00942872">
              <w:rPr>
                <w:rFonts w:ascii="Arial Narrow" w:hAnsi="Arial Narrow"/>
                <w:sz w:val="20"/>
                <w:szCs w:val="20"/>
              </w:rPr>
              <w:noBreakHyphen/>
              <w:t>rank test p</w:t>
            </w:r>
            <w:r w:rsidRPr="00942872">
              <w:rPr>
                <w:rFonts w:ascii="Arial Narrow" w:hAnsi="Arial Narrow"/>
                <w:sz w:val="20"/>
                <w:szCs w:val="20"/>
              </w:rPr>
              <w:noBreakHyphen/>
              <w:t>value</w:t>
            </w:r>
            <w:r w:rsidRPr="00942872">
              <w:rPr>
                <w:rFonts w:ascii="Arial Narrow" w:hAnsi="Arial Narrow"/>
                <w:sz w:val="20"/>
                <w:szCs w:val="20"/>
                <w:vertAlign w:val="superscript"/>
              </w:rPr>
              <w:t xml:space="preserve"> b, c</w:t>
            </w:r>
          </w:p>
        </w:tc>
        <w:tc>
          <w:tcPr>
            <w:tcW w:w="6007" w:type="dxa"/>
            <w:gridSpan w:val="2"/>
            <w:shd w:val="clear" w:color="auto" w:fill="FFFFFF" w:themeFill="background1"/>
          </w:tcPr>
          <w:p w14:paraId="29DF72EF"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0.0022</w:t>
            </w:r>
          </w:p>
        </w:tc>
      </w:tr>
      <w:tr w:rsidR="007805A7" w:rsidRPr="00942872" w14:paraId="561322F5" w14:textId="77777777" w:rsidTr="003E5591">
        <w:tc>
          <w:tcPr>
            <w:tcW w:w="3003" w:type="dxa"/>
            <w:shd w:val="clear" w:color="auto" w:fill="FFFFFF" w:themeFill="background1"/>
          </w:tcPr>
          <w:p w14:paraId="18E743BD" w14:textId="77777777" w:rsidR="007805A7" w:rsidRPr="00942872" w:rsidRDefault="007805A7" w:rsidP="00393BE8">
            <w:pPr>
              <w:pStyle w:val="BodyText1"/>
              <w:spacing w:before="0" w:after="0" w:line="240" w:lineRule="auto"/>
              <w:contextualSpacing/>
              <w:rPr>
                <w:rFonts w:ascii="Arial Narrow" w:hAnsi="Arial Narrow"/>
                <w:sz w:val="20"/>
                <w:szCs w:val="20"/>
              </w:rPr>
            </w:pPr>
            <w:r w:rsidRPr="00942872">
              <w:rPr>
                <w:rFonts w:ascii="Arial Narrow" w:hAnsi="Arial Narrow"/>
                <w:sz w:val="20"/>
                <w:szCs w:val="20"/>
              </w:rPr>
              <w:t xml:space="preserve">HR </w:t>
            </w:r>
            <w:r w:rsidR="001A241F" w:rsidRPr="00942872">
              <w:rPr>
                <w:rFonts w:ascii="Arial Narrow" w:hAnsi="Arial Narrow"/>
                <w:sz w:val="20"/>
                <w:szCs w:val="20"/>
              </w:rPr>
              <w:t>[</w:t>
            </w:r>
            <w:r w:rsidRPr="00942872">
              <w:rPr>
                <w:rFonts w:ascii="Arial Narrow" w:hAnsi="Arial Narrow"/>
                <w:sz w:val="20"/>
                <w:szCs w:val="20"/>
              </w:rPr>
              <w:t>95% CI</w:t>
            </w:r>
            <w:r w:rsidR="001A241F" w:rsidRPr="00942872">
              <w:rPr>
                <w:rFonts w:ascii="Arial Narrow" w:hAnsi="Arial Narrow"/>
                <w:sz w:val="20"/>
                <w:szCs w:val="20"/>
              </w:rPr>
              <w:t>]</w:t>
            </w:r>
            <w:r w:rsidRPr="00942872">
              <w:rPr>
                <w:rFonts w:ascii="Arial Narrow" w:hAnsi="Arial Narrow"/>
                <w:sz w:val="20"/>
                <w:szCs w:val="20"/>
                <w:vertAlign w:val="superscript"/>
              </w:rPr>
              <w:t>b, d</w:t>
            </w:r>
          </w:p>
        </w:tc>
        <w:tc>
          <w:tcPr>
            <w:tcW w:w="6007" w:type="dxa"/>
            <w:gridSpan w:val="2"/>
            <w:shd w:val="clear" w:color="auto" w:fill="FFFFFF" w:themeFill="background1"/>
          </w:tcPr>
          <w:p w14:paraId="7B1E5797"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0.676 </w:t>
            </w:r>
            <w:r w:rsidR="001A241F" w:rsidRPr="00942872">
              <w:rPr>
                <w:rFonts w:ascii="Arial Narrow" w:hAnsi="Arial Narrow"/>
                <w:sz w:val="20"/>
                <w:szCs w:val="20"/>
              </w:rPr>
              <w:t>[</w:t>
            </w:r>
            <w:r w:rsidRPr="00942872">
              <w:rPr>
                <w:rFonts w:ascii="Arial Narrow" w:hAnsi="Arial Narrow"/>
                <w:sz w:val="20"/>
                <w:szCs w:val="20"/>
              </w:rPr>
              <w:t>0.525, 0.870</w:t>
            </w:r>
            <w:r w:rsidR="001A241F" w:rsidRPr="00942872">
              <w:rPr>
                <w:rFonts w:ascii="Arial Narrow" w:hAnsi="Arial Narrow"/>
                <w:sz w:val="20"/>
                <w:szCs w:val="20"/>
              </w:rPr>
              <w:t>]</w:t>
            </w:r>
          </w:p>
        </w:tc>
      </w:tr>
      <w:tr w:rsidR="007805A7" w:rsidRPr="00942872" w14:paraId="6A523647" w14:textId="77777777" w:rsidTr="003E5591">
        <w:tc>
          <w:tcPr>
            <w:tcW w:w="9010" w:type="dxa"/>
            <w:gridSpan w:val="3"/>
            <w:shd w:val="clear" w:color="auto" w:fill="FFFFFF" w:themeFill="background1"/>
          </w:tcPr>
          <w:p w14:paraId="3730E872" w14:textId="77777777" w:rsidR="007805A7" w:rsidRPr="00942872" w:rsidRDefault="007805A7" w:rsidP="00393BE8">
            <w:pPr>
              <w:pStyle w:val="SubmTableHeading"/>
              <w:keepLines/>
              <w:spacing w:after="0"/>
              <w:rPr>
                <w:b w:val="0"/>
                <w:sz w:val="20"/>
                <w:szCs w:val="20"/>
              </w:rPr>
            </w:pPr>
            <w:r w:rsidRPr="00942872">
              <w:rPr>
                <w:b w:val="0"/>
                <w:sz w:val="20"/>
                <w:szCs w:val="20"/>
              </w:rPr>
              <w:t xml:space="preserve">Estimated survival probability, % </w:t>
            </w:r>
            <w:r w:rsidR="001A241F" w:rsidRPr="00942872">
              <w:rPr>
                <w:b w:val="0"/>
                <w:sz w:val="20"/>
                <w:szCs w:val="20"/>
              </w:rPr>
              <w:t>[</w:t>
            </w:r>
            <w:r w:rsidRPr="00942872">
              <w:rPr>
                <w:b w:val="0"/>
                <w:sz w:val="20"/>
                <w:szCs w:val="20"/>
              </w:rPr>
              <w:t>95% CI</w:t>
            </w:r>
            <w:r w:rsidR="001A241F" w:rsidRPr="00942872">
              <w:rPr>
                <w:b w:val="0"/>
                <w:sz w:val="20"/>
                <w:szCs w:val="20"/>
              </w:rPr>
              <w:t>]</w:t>
            </w:r>
            <w:r w:rsidRPr="00942872">
              <w:rPr>
                <w:b w:val="0"/>
                <w:sz w:val="20"/>
                <w:szCs w:val="20"/>
                <w:vertAlign w:val="superscript"/>
              </w:rPr>
              <w:t>a</w:t>
            </w:r>
          </w:p>
        </w:tc>
      </w:tr>
      <w:tr w:rsidR="007805A7" w:rsidRPr="00942872" w14:paraId="4C23A1F8" w14:textId="77777777" w:rsidTr="003E5591">
        <w:tc>
          <w:tcPr>
            <w:tcW w:w="3003" w:type="dxa"/>
            <w:shd w:val="clear" w:color="auto" w:fill="FFFFFF" w:themeFill="background1"/>
          </w:tcPr>
          <w:p w14:paraId="6EF92BF7" w14:textId="77777777" w:rsidR="007805A7" w:rsidRPr="00942872" w:rsidRDefault="007805A7" w:rsidP="00393BE8">
            <w:pPr>
              <w:pStyle w:val="BodyText1"/>
              <w:spacing w:before="0" w:after="0" w:line="240" w:lineRule="auto"/>
              <w:ind w:left="314"/>
              <w:contextualSpacing/>
              <w:rPr>
                <w:rFonts w:ascii="Arial Narrow" w:hAnsi="Arial Narrow"/>
                <w:sz w:val="20"/>
                <w:szCs w:val="20"/>
              </w:rPr>
            </w:pPr>
            <w:r w:rsidRPr="00942872">
              <w:rPr>
                <w:rFonts w:ascii="Arial Narrow" w:hAnsi="Arial Narrow"/>
                <w:sz w:val="20"/>
                <w:szCs w:val="20"/>
              </w:rPr>
              <w:t>6 months</w:t>
            </w:r>
          </w:p>
        </w:tc>
        <w:tc>
          <w:tcPr>
            <w:tcW w:w="3003" w:type="dxa"/>
            <w:shd w:val="clear" w:color="auto" w:fill="FFFFFF" w:themeFill="background1"/>
          </w:tcPr>
          <w:p w14:paraId="68188B54"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81.2 </w:t>
            </w:r>
            <w:r w:rsidR="001A241F" w:rsidRPr="00942872">
              <w:rPr>
                <w:rFonts w:ascii="Arial Narrow" w:hAnsi="Arial Narrow"/>
                <w:sz w:val="20"/>
                <w:szCs w:val="20"/>
              </w:rPr>
              <w:t>[</w:t>
            </w:r>
            <w:r w:rsidRPr="00942872">
              <w:rPr>
                <w:rFonts w:ascii="Arial Narrow" w:hAnsi="Arial Narrow"/>
                <w:sz w:val="20"/>
                <w:szCs w:val="20"/>
              </w:rPr>
              <w:t>76.4, 85.1</w:t>
            </w:r>
            <w:r w:rsidR="001A241F" w:rsidRPr="00942872">
              <w:rPr>
                <w:rFonts w:ascii="Arial Narrow" w:hAnsi="Arial Narrow"/>
                <w:sz w:val="20"/>
                <w:szCs w:val="20"/>
              </w:rPr>
              <w:t>]</w:t>
            </w:r>
          </w:p>
        </w:tc>
        <w:tc>
          <w:tcPr>
            <w:tcW w:w="3004" w:type="dxa"/>
            <w:shd w:val="clear" w:color="auto" w:fill="FFFFFF" w:themeFill="background1"/>
          </w:tcPr>
          <w:p w14:paraId="10A6053D"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76.2 </w:t>
            </w:r>
            <w:r w:rsidR="001A241F" w:rsidRPr="00942872">
              <w:rPr>
                <w:rFonts w:ascii="Arial Narrow" w:hAnsi="Arial Narrow"/>
                <w:sz w:val="20"/>
                <w:szCs w:val="20"/>
              </w:rPr>
              <w:t>[</w:t>
            </w:r>
            <w:r w:rsidRPr="00942872">
              <w:rPr>
                <w:rFonts w:ascii="Arial Narrow" w:hAnsi="Arial Narrow"/>
                <w:sz w:val="20"/>
                <w:szCs w:val="20"/>
              </w:rPr>
              <w:t>71.0, 80.6</w:t>
            </w:r>
            <w:r w:rsidR="001A241F" w:rsidRPr="00942872">
              <w:rPr>
                <w:rFonts w:ascii="Arial Narrow" w:hAnsi="Arial Narrow"/>
                <w:sz w:val="20"/>
                <w:szCs w:val="20"/>
              </w:rPr>
              <w:t>]</w:t>
            </w:r>
          </w:p>
        </w:tc>
      </w:tr>
      <w:tr w:rsidR="007805A7" w:rsidRPr="00942872" w14:paraId="023FB0EF" w14:textId="77777777" w:rsidTr="003E5591">
        <w:tc>
          <w:tcPr>
            <w:tcW w:w="3003" w:type="dxa"/>
            <w:shd w:val="clear" w:color="auto" w:fill="FFFFFF" w:themeFill="background1"/>
          </w:tcPr>
          <w:p w14:paraId="0E097266" w14:textId="77777777" w:rsidR="007805A7" w:rsidRPr="00942872" w:rsidRDefault="007805A7" w:rsidP="00393BE8">
            <w:pPr>
              <w:pStyle w:val="BodyText1"/>
              <w:spacing w:before="0" w:after="0" w:line="240" w:lineRule="auto"/>
              <w:ind w:left="314"/>
              <w:contextualSpacing/>
              <w:rPr>
                <w:rFonts w:ascii="Arial Narrow" w:hAnsi="Arial Narrow"/>
                <w:sz w:val="20"/>
                <w:szCs w:val="20"/>
              </w:rPr>
            </w:pPr>
            <w:r w:rsidRPr="00942872">
              <w:rPr>
                <w:rFonts w:ascii="Arial Narrow" w:hAnsi="Arial Narrow"/>
                <w:sz w:val="20"/>
                <w:szCs w:val="20"/>
              </w:rPr>
              <w:t>12 months</w:t>
            </w:r>
          </w:p>
        </w:tc>
        <w:tc>
          <w:tcPr>
            <w:tcW w:w="3003" w:type="dxa"/>
            <w:shd w:val="clear" w:color="auto" w:fill="FFFFFF" w:themeFill="background1"/>
          </w:tcPr>
          <w:p w14:paraId="1B767B96"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70.3 </w:t>
            </w:r>
            <w:r w:rsidR="001A241F" w:rsidRPr="00942872">
              <w:rPr>
                <w:rFonts w:ascii="Arial Narrow" w:hAnsi="Arial Narrow"/>
                <w:sz w:val="20"/>
                <w:szCs w:val="20"/>
              </w:rPr>
              <w:t>[</w:t>
            </w:r>
            <w:r w:rsidRPr="00942872">
              <w:rPr>
                <w:rFonts w:ascii="Arial Narrow" w:hAnsi="Arial Narrow"/>
                <w:sz w:val="20"/>
                <w:szCs w:val="20"/>
              </w:rPr>
              <w:t>64.4, 75.4</w:t>
            </w:r>
            <w:r w:rsidR="001A241F" w:rsidRPr="00942872">
              <w:rPr>
                <w:rFonts w:ascii="Arial Narrow" w:hAnsi="Arial Narrow"/>
                <w:sz w:val="20"/>
                <w:szCs w:val="20"/>
              </w:rPr>
              <w:t>]</w:t>
            </w:r>
            <w:r w:rsidRPr="00942872">
              <w:rPr>
                <w:rFonts w:ascii="Arial Narrow" w:hAnsi="Arial Narrow"/>
                <w:sz w:val="20"/>
                <w:szCs w:val="20"/>
              </w:rPr>
              <w:t xml:space="preserve"> </w:t>
            </w:r>
          </w:p>
        </w:tc>
        <w:tc>
          <w:tcPr>
            <w:tcW w:w="3004" w:type="dxa"/>
            <w:shd w:val="clear" w:color="auto" w:fill="FFFFFF" w:themeFill="background1"/>
          </w:tcPr>
          <w:p w14:paraId="2B6FFCBD"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55.7 </w:t>
            </w:r>
            <w:r w:rsidR="001A241F" w:rsidRPr="00942872">
              <w:rPr>
                <w:rFonts w:ascii="Arial Narrow" w:hAnsi="Arial Narrow"/>
                <w:sz w:val="20"/>
                <w:szCs w:val="20"/>
              </w:rPr>
              <w:t>[</w:t>
            </w:r>
            <w:r w:rsidRPr="00942872">
              <w:rPr>
                <w:rFonts w:ascii="Arial Narrow" w:hAnsi="Arial Narrow"/>
                <w:sz w:val="20"/>
                <w:szCs w:val="20"/>
              </w:rPr>
              <w:t>49.2, 61.7</w:t>
            </w:r>
            <w:r w:rsidR="001A241F" w:rsidRPr="00942872">
              <w:rPr>
                <w:rFonts w:ascii="Arial Narrow" w:hAnsi="Arial Narrow"/>
                <w:sz w:val="20"/>
                <w:szCs w:val="20"/>
              </w:rPr>
              <w:t>]</w:t>
            </w:r>
          </w:p>
        </w:tc>
      </w:tr>
      <w:tr w:rsidR="007805A7" w:rsidRPr="00942872" w14:paraId="4F92EF3A" w14:textId="77777777" w:rsidTr="003E5591">
        <w:tc>
          <w:tcPr>
            <w:tcW w:w="3003" w:type="dxa"/>
            <w:shd w:val="clear" w:color="auto" w:fill="FFFFFF" w:themeFill="background1"/>
          </w:tcPr>
          <w:p w14:paraId="6073853B" w14:textId="77777777" w:rsidR="007805A7" w:rsidRPr="00942872" w:rsidRDefault="007805A7" w:rsidP="00393BE8">
            <w:pPr>
              <w:pStyle w:val="BodyText1"/>
              <w:spacing w:before="0" w:after="0" w:line="240" w:lineRule="auto"/>
              <w:ind w:left="314"/>
              <w:contextualSpacing/>
              <w:rPr>
                <w:rFonts w:ascii="Arial Narrow" w:hAnsi="Arial Narrow"/>
                <w:sz w:val="20"/>
                <w:szCs w:val="20"/>
              </w:rPr>
            </w:pPr>
            <w:r w:rsidRPr="00942872">
              <w:rPr>
                <w:rFonts w:ascii="Arial Narrow" w:hAnsi="Arial Narrow"/>
                <w:sz w:val="20"/>
                <w:szCs w:val="20"/>
              </w:rPr>
              <w:t>18 months</w:t>
            </w:r>
          </w:p>
        </w:tc>
        <w:tc>
          <w:tcPr>
            <w:tcW w:w="3003" w:type="dxa"/>
            <w:shd w:val="clear" w:color="auto" w:fill="FFFFFF" w:themeFill="background1"/>
          </w:tcPr>
          <w:p w14:paraId="4ACB226B"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56.1 </w:t>
            </w:r>
            <w:r w:rsidR="001A241F" w:rsidRPr="00942872">
              <w:rPr>
                <w:rFonts w:ascii="Arial Narrow" w:hAnsi="Arial Narrow"/>
                <w:sz w:val="20"/>
                <w:szCs w:val="20"/>
              </w:rPr>
              <w:t>[</w:t>
            </w:r>
            <w:r w:rsidRPr="00942872">
              <w:rPr>
                <w:rFonts w:ascii="Arial Narrow" w:hAnsi="Arial Narrow"/>
                <w:sz w:val="20"/>
                <w:szCs w:val="20"/>
              </w:rPr>
              <w:t>48.1, 63.3</w:t>
            </w:r>
            <w:r w:rsidR="001A241F" w:rsidRPr="00942872">
              <w:rPr>
                <w:rFonts w:ascii="Arial Narrow" w:hAnsi="Arial Narrow"/>
                <w:sz w:val="20"/>
                <w:szCs w:val="20"/>
              </w:rPr>
              <w:t>]</w:t>
            </w:r>
            <w:r w:rsidRPr="00942872">
              <w:rPr>
                <w:rFonts w:ascii="Arial Narrow" w:hAnsi="Arial Narrow"/>
                <w:sz w:val="20"/>
                <w:szCs w:val="20"/>
              </w:rPr>
              <w:t xml:space="preserve"> </w:t>
            </w:r>
          </w:p>
        </w:tc>
        <w:tc>
          <w:tcPr>
            <w:tcW w:w="3004" w:type="dxa"/>
            <w:shd w:val="clear" w:color="auto" w:fill="FFFFFF" w:themeFill="background1"/>
          </w:tcPr>
          <w:p w14:paraId="6DF4489F"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43.3 </w:t>
            </w:r>
            <w:r w:rsidR="001A241F" w:rsidRPr="00942872">
              <w:rPr>
                <w:rFonts w:ascii="Arial Narrow" w:hAnsi="Arial Narrow"/>
                <w:sz w:val="20"/>
                <w:szCs w:val="20"/>
              </w:rPr>
              <w:t>[</w:t>
            </w:r>
            <w:r w:rsidRPr="00942872">
              <w:rPr>
                <w:rFonts w:ascii="Arial Narrow" w:hAnsi="Arial Narrow"/>
                <w:sz w:val="20"/>
                <w:szCs w:val="20"/>
              </w:rPr>
              <w:t>35.8, 50.4</w:t>
            </w:r>
            <w:r w:rsidR="001A241F" w:rsidRPr="00942872">
              <w:rPr>
                <w:rFonts w:ascii="Arial Narrow" w:hAnsi="Arial Narrow"/>
                <w:sz w:val="20"/>
                <w:szCs w:val="20"/>
              </w:rPr>
              <w:t>]</w:t>
            </w:r>
          </w:p>
        </w:tc>
      </w:tr>
      <w:tr w:rsidR="007805A7" w:rsidRPr="00942872" w14:paraId="7991AFD2" w14:textId="77777777" w:rsidTr="003E5591">
        <w:tc>
          <w:tcPr>
            <w:tcW w:w="3003" w:type="dxa"/>
            <w:shd w:val="clear" w:color="auto" w:fill="FFFFFF" w:themeFill="background1"/>
          </w:tcPr>
          <w:p w14:paraId="52F05A76" w14:textId="77777777" w:rsidR="007805A7" w:rsidRPr="00942872" w:rsidRDefault="007805A7" w:rsidP="00393BE8">
            <w:pPr>
              <w:pStyle w:val="BodyText1"/>
              <w:spacing w:before="0" w:after="0" w:line="240" w:lineRule="auto"/>
              <w:ind w:left="314"/>
              <w:contextualSpacing/>
              <w:rPr>
                <w:rFonts w:ascii="Arial Narrow" w:hAnsi="Arial Narrow"/>
                <w:sz w:val="20"/>
                <w:szCs w:val="20"/>
              </w:rPr>
            </w:pPr>
            <w:r w:rsidRPr="00942872">
              <w:rPr>
                <w:rFonts w:ascii="Arial Narrow" w:hAnsi="Arial Narrow"/>
                <w:sz w:val="20"/>
                <w:szCs w:val="20"/>
              </w:rPr>
              <w:t>24 months</w:t>
            </w:r>
          </w:p>
        </w:tc>
        <w:tc>
          <w:tcPr>
            <w:tcW w:w="3003" w:type="dxa"/>
            <w:shd w:val="clear" w:color="auto" w:fill="FFFFFF" w:themeFill="background1"/>
          </w:tcPr>
          <w:p w14:paraId="69CB4B43"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48.6 </w:t>
            </w:r>
            <w:r w:rsidR="001A241F" w:rsidRPr="00942872">
              <w:rPr>
                <w:rFonts w:ascii="Arial Narrow" w:hAnsi="Arial Narrow"/>
                <w:sz w:val="20"/>
                <w:szCs w:val="20"/>
              </w:rPr>
              <w:t>[</w:t>
            </w:r>
            <w:r w:rsidRPr="00942872">
              <w:rPr>
                <w:rFonts w:ascii="Arial Narrow" w:hAnsi="Arial Narrow"/>
                <w:sz w:val="20"/>
                <w:szCs w:val="20"/>
              </w:rPr>
              <w:t>39.2, 57.3</w:t>
            </w:r>
            <w:r w:rsidR="001A241F" w:rsidRPr="00942872">
              <w:rPr>
                <w:rFonts w:ascii="Arial Narrow" w:hAnsi="Arial Narrow"/>
                <w:sz w:val="20"/>
                <w:szCs w:val="20"/>
              </w:rPr>
              <w:t>]</w:t>
            </w:r>
            <w:r w:rsidRPr="00942872">
              <w:rPr>
                <w:rFonts w:ascii="Arial Narrow" w:hAnsi="Arial Narrow"/>
                <w:sz w:val="20"/>
                <w:szCs w:val="20"/>
              </w:rPr>
              <w:t xml:space="preserve"> </w:t>
            </w:r>
          </w:p>
        </w:tc>
        <w:tc>
          <w:tcPr>
            <w:tcW w:w="3004" w:type="dxa"/>
            <w:shd w:val="clear" w:color="auto" w:fill="FFFFFF" w:themeFill="background1"/>
          </w:tcPr>
          <w:p w14:paraId="371346D8"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29.7 </w:t>
            </w:r>
            <w:r w:rsidR="001A241F" w:rsidRPr="00942872">
              <w:rPr>
                <w:rFonts w:ascii="Arial Narrow" w:hAnsi="Arial Narrow"/>
                <w:sz w:val="20"/>
                <w:szCs w:val="20"/>
              </w:rPr>
              <w:t>[</w:t>
            </w:r>
            <w:r w:rsidRPr="00942872">
              <w:rPr>
                <w:rFonts w:ascii="Arial Narrow" w:hAnsi="Arial Narrow"/>
                <w:sz w:val="20"/>
                <w:szCs w:val="20"/>
              </w:rPr>
              <w:t>18.8, 41.4</w:t>
            </w:r>
            <w:r w:rsidR="001A241F" w:rsidRPr="00942872">
              <w:rPr>
                <w:rFonts w:ascii="Arial Narrow" w:hAnsi="Arial Narrow"/>
                <w:sz w:val="20"/>
                <w:szCs w:val="20"/>
              </w:rPr>
              <w:t>]</w:t>
            </w:r>
          </w:p>
        </w:tc>
      </w:tr>
      <w:tr w:rsidR="007805A7" w:rsidRPr="00942872" w14:paraId="25D7FC18" w14:textId="77777777" w:rsidTr="003E5591">
        <w:tc>
          <w:tcPr>
            <w:tcW w:w="9010" w:type="dxa"/>
            <w:gridSpan w:val="3"/>
            <w:shd w:val="clear" w:color="auto" w:fill="FFFFFF" w:themeFill="background1"/>
          </w:tcPr>
          <w:p w14:paraId="651305F2" w14:textId="77777777" w:rsidR="007805A7" w:rsidRPr="00942872" w:rsidRDefault="007805A7" w:rsidP="00393BE8">
            <w:pPr>
              <w:pStyle w:val="BodyText1"/>
              <w:spacing w:before="0" w:after="0" w:line="240" w:lineRule="auto"/>
              <w:contextualSpacing/>
              <w:jc w:val="left"/>
              <w:rPr>
                <w:rFonts w:ascii="Arial Narrow" w:hAnsi="Arial Narrow"/>
                <w:b/>
                <w:sz w:val="20"/>
                <w:szCs w:val="20"/>
              </w:rPr>
            </w:pPr>
            <w:r w:rsidRPr="00942872">
              <w:rPr>
                <w:rFonts w:ascii="Arial Narrow" w:hAnsi="Arial Narrow"/>
                <w:b/>
                <w:sz w:val="20"/>
                <w:szCs w:val="20"/>
              </w:rPr>
              <w:t>PFS</w:t>
            </w:r>
            <w:r w:rsidR="004802D9" w:rsidRPr="00942872">
              <w:rPr>
                <w:rFonts w:ascii="Arial Narrow" w:hAnsi="Arial Narrow"/>
                <w:b/>
                <w:sz w:val="20"/>
                <w:szCs w:val="20"/>
              </w:rPr>
              <w:t xml:space="preserve"> per IRC</w:t>
            </w:r>
          </w:p>
        </w:tc>
      </w:tr>
      <w:tr w:rsidR="007805A7" w:rsidRPr="00942872" w14:paraId="5323A0F2" w14:textId="77777777" w:rsidTr="003E5591">
        <w:tc>
          <w:tcPr>
            <w:tcW w:w="3003" w:type="dxa"/>
            <w:shd w:val="clear" w:color="auto" w:fill="FFFFFF" w:themeFill="background1"/>
          </w:tcPr>
          <w:p w14:paraId="69EEDCC3" w14:textId="77777777" w:rsidR="007805A7" w:rsidRPr="00942872" w:rsidRDefault="007805A7" w:rsidP="00393BE8">
            <w:pPr>
              <w:pStyle w:val="BodyText1"/>
              <w:spacing w:before="0" w:after="0" w:line="240" w:lineRule="auto"/>
              <w:contextualSpacing/>
              <w:rPr>
                <w:rFonts w:ascii="Arial Narrow" w:hAnsi="Arial Narrow"/>
                <w:sz w:val="20"/>
                <w:szCs w:val="20"/>
              </w:rPr>
            </w:pPr>
            <w:r w:rsidRPr="00942872">
              <w:rPr>
                <w:rFonts w:ascii="Arial Narrow" w:hAnsi="Arial Narrow"/>
                <w:sz w:val="20"/>
                <w:szCs w:val="20"/>
              </w:rPr>
              <w:t xml:space="preserve">Number of events, n (%) </w:t>
            </w:r>
          </w:p>
        </w:tc>
        <w:tc>
          <w:tcPr>
            <w:tcW w:w="3003" w:type="dxa"/>
            <w:shd w:val="clear" w:color="auto" w:fill="FFFFFF" w:themeFill="background1"/>
          </w:tcPr>
          <w:p w14:paraId="0B981FF3"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201 (56.5%)</w:t>
            </w:r>
          </w:p>
        </w:tc>
        <w:tc>
          <w:tcPr>
            <w:tcW w:w="3004" w:type="dxa"/>
            <w:shd w:val="clear" w:color="auto" w:fill="FFFFFF" w:themeFill="background1"/>
          </w:tcPr>
          <w:p w14:paraId="660E7176"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262 (74.0%)</w:t>
            </w:r>
          </w:p>
        </w:tc>
      </w:tr>
      <w:tr w:rsidR="007805A7" w:rsidRPr="00942872" w14:paraId="3CFB8BD1" w14:textId="77777777" w:rsidTr="003E5591">
        <w:tc>
          <w:tcPr>
            <w:tcW w:w="3003" w:type="dxa"/>
            <w:shd w:val="clear" w:color="auto" w:fill="FFFFFF" w:themeFill="background1"/>
          </w:tcPr>
          <w:p w14:paraId="18E23F08" w14:textId="77777777" w:rsidR="007805A7" w:rsidRPr="00942872" w:rsidRDefault="007805A7" w:rsidP="00393BE8">
            <w:pPr>
              <w:pStyle w:val="BodyText1"/>
              <w:spacing w:before="0" w:after="0" w:line="240" w:lineRule="auto"/>
              <w:ind w:left="314"/>
              <w:contextualSpacing/>
              <w:rPr>
                <w:rFonts w:ascii="Arial Narrow" w:hAnsi="Arial Narrow"/>
                <w:sz w:val="20"/>
                <w:szCs w:val="20"/>
              </w:rPr>
            </w:pPr>
            <w:r w:rsidRPr="00942872">
              <w:rPr>
                <w:rFonts w:ascii="Arial Narrow" w:hAnsi="Arial Narrow"/>
                <w:sz w:val="20"/>
                <w:szCs w:val="20"/>
              </w:rPr>
              <w:t>Progressive disease, n (%)</w:t>
            </w:r>
          </w:p>
        </w:tc>
        <w:tc>
          <w:tcPr>
            <w:tcW w:w="3003" w:type="dxa"/>
            <w:shd w:val="clear" w:color="auto" w:fill="FFFFFF" w:themeFill="background1"/>
          </w:tcPr>
          <w:p w14:paraId="3A98C496"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158 (44.4%)</w:t>
            </w:r>
          </w:p>
        </w:tc>
        <w:tc>
          <w:tcPr>
            <w:tcW w:w="3004" w:type="dxa"/>
            <w:shd w:val="clear" w:color="auto" w:fill="FFFFFF" w:themeFill="background1"/>
          </w:tcPr>
          <w:p w14:paraId="11BA8E8E"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203 (57.3%)</w:t>
            </w:r>
          </w:p>
        </w:tc>
      </w:tr>
      <w:tr w:rsidR="007805A7" w:rsidRPr="00942872" w14:paraId="7B1848ED" w14:textId="77777777" w:rsidTr="003E5591">
        <w:tc>
          <w:tcPr>
            <w:tcW w:w="3003" w:type="dxa"/>
            <w:shd w:val="clear" w:color="auto" w:fill="FFFFFF" w:themeFill="background1"/>
          </w:tcPr>
          <w:p w14:paraId="192FAD8A" w14:textId="77777777" w:rsidR="007805A7" w:rsidRPr="00942872" w:rsidRDefault="007805A7" w:rsidP="00393BE8">
            <w:pPr>
              <w:pStyle w:val="BodyText1"/>
              <w:spacing w:before="0" w:after="0" w:line="240" w:lineRule="auto"/>
              <w:ind w:left="314"/>
              <w:contextualSpacing/>
              <w:rPr>
                <w:rFonts w:ascii="Arial Narrow" w:hAnsi="Arial Narrow"/>
                <w:sz w:val="20"/>
                <w:szCs w:val="20"/>
              </w:rPr>
            </w:pPr>
            <w:r w:rsidRPr="00942872">
              <w:rPr>
                <w:rFonts w:ascii="Arial Narrow" w:hAnsi="Arial Narrow"/>
                <w:sz w:val="20"/>
                <w:szCs w:val="20"/>
              </w:rPr>
              <w:t>Deaths, n (%)</w:t>
            </w:r>
          </w:p>
        </w:tc>
        <w:tc>
          <w:tcPr>
            <w:tcW w:w="3003" w:type="dxa"/>
            <w:shd w:val="clear" w:color="auto" w:fill="FFFFFF" w:themeFill="background1"/>
          </w:tcPr>
          <w:p w14:paraId="55214E17"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43 (12.1%)</w:t>
            </w:r>
          </w:p>
        </w:tc>
        <w:tc>
          <w:tcPr>
            <w:tcW w:w="3004" w:type="dxa"/>
            <w:shd w:val="clear" w:color="auto" w:fill="FFFFFF" w:themeFill="background1"/>
          </w:tcPr>
          <w:p w14:paraId="79BDA2B7"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59 (16.7%)</w:t>
            </w:r>
          </w:p>
        </w:tc>
      </w:tr>
      <w:tr w:rsidR="007805A7" w:rsidRPr="00942872" w14:paraId="316543AE" w14:textId="77777777" w:rsidTr="003E5591">
        <w:tc>
          <w:tcPr>
            <w:tcW w:w="3003" w:type="dxa"/>
            <w:shd w:val="clear" w:color="auto" w:fill="FFFFFF" w:themeFill="background1"/>
          </w:tcPr>
          <w:p w14:paraId="6DB2B570" w14:textId="77777777" w:rsidR="007805A7" w:rsidRPr="00942872" w:rsidRDefault="007805A7" w:rsidP="00393BE8">
            <w:pPr>
              <w:pStyle w:val="BodyText1"/>
              <w:spacing w:before="0" w:after="0" w:line="240" w:lineRule="auto"/>
              <w:contextualSpacing/>
              <w:rPr>
                <w:rFonts w:ascii="Arial Narrow" w:hAnsi="Arial Narrow"/>
                <w:sz w:val="20"/>
                <w:szCs w:val="20"/>
              </w:rPr>
            </w:pPr>
            <w:r w:rsidRPr="00942872">
              <w:rPr>
                <w:rFonts w:ascii="Arial Narrow" w:hAnsi="Arial Narrow"/>
                <w:sz w:val="20"/>
                <w:szCs w:val="20"/>
              </w:rPr>
              <w:t xml:space="preserve">Number of censored patients, n (%) </w:t>
            </w:r>
          </w:p>
        </w:tc>
        <w:tc>
          <w:tcPr>
            <w:tcW w:w="3003" w:type="dxa"/>
            <w:shd w:val="clear" w:color="auto" w:fill="FFFFFF" w:themeFill="background1"/>
          </w:tcPr>
          <w:p w14:paraId="7BE787F0"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155 (43.5%)</w:t>
            </w:r>
          </w:p>
        </w:tc>
        <w:tc>
          <w:tcPr>
            <w:tcW w:w="3004" w:type="dxa"/>
            <w:shd w:val="clear" w:color="auto" w:fill="FFFFFF" w:themeFill="background1"/>
          </w:tcPr>
          <w:p w14:paraId="7C5704EF"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92 (26.0%)</w:t>
            </w:r>
          </w:p>
        </w:tc>
      </w:tr>
      <w:tr w:rsidR="007805A7" w:rsidRPr="00942872" w14:paraId="0B24A5FA" w14:textId="77777777" w:rsidTr="003E5591">
        <w:tc>
          <w:tcPr>
            <w:tcW w:w="3003" w:type="dxa"/>
            <w:shd w:val="clear" w:color="auto" w:fill="FFFFFF" w:themeFill="background1"/>
          </w:tcPr>
          <w:p w14:paraId="14E2319F" w14:textId="77777777" w:rsidR="007805A7" w:rsidRPr="00942872" w:rsidRDefault="007805A7" w:rsidP="00393BE8">
            <w:pPr>
              <w:pStyle w:val="BodyText1"/>
              <w:spacing w:before="0" w:after="0" w:line="240" w:lineRule="auto"/>
              <w:contextualSpacing/>
              <w:rPr>
                <w:rFonts w:ascii="Arial Narrow" w:hAnsi="Arial Narrow"/>
                <w:sz w:val="20"/>
                <w:szCs w:val="20"/>
              </w:rPr>
            </w:pPr>
            <w:r w:rsidRPr="00942872">
              <w:rPr>
                <w:rFonts w:ascii="Arial Narrow" w:hAnsi="Arial Narrow"/>
                <w:sz w:val="20"/>
                <w:szCs w:val="20"/>
              </w:rPr>
              <w:t xml:space="preserve">Median </w:t>
            </w:r>
            <w:r w:rsidR="001A241F" w:rsidRPr="00942872">
              <w:rPr>
                <w:rFonts w:ascii="Arial Narrow" w:hAnsi="Arial Narrow"/>
                <w:sz w:val="20"/>
                <w:szCs w:val="20"/>
              </w:rPr>
              <w:t>[</w:t>
            </w:r>
            <w:r w:rsidRPr="00942872">
              <w:rPr>
                <w:rFonts w:ascii="Arial Narrow" w:hAnsi="Arial Narrow"/>
                <w:sz w:val="20"/>
                <w:szCs w:val="20"/>
              </w:rPr>
              <w:t>95% CI</w:t>
            </w:r>
            <w:r w:rsidR="001A241F" w:rsidRPr="00942872">
              <w:rPr>
                <w:rFonts w:ascii="Arial Narrow" w:hAnsi="Arial Narrow"/>
                <w:sz w:val="20"/>
                <w:szCs w:val="20"/>
              </w:rPr>
              <w:t>]</w:t>
            </w:r>
            <w:r w:rsidRPr="00942872">
              <w:rPr>
                <w:rFonts w:ascii="Arial Narrow" w:hAnsi="Arial Narrow"/>
                <w:sz w:val="20"/>
                <w:szCs w:val="20"/>
              </w:rPr>
              <w:t xml:space="preserve">, months </w:t>
            </w:r>
            <w:r w:rsidRPr="00942872">
              <w:rPr>
                <w:rFonts w:ascii="Arial Narrow" w:hAnsi="Arial Narrow"/>
                <w:sz w:val="20"/>
                <w:szCs w:val="20"/>
                <w:vertAlign w:val="superscript"/>
              </w:rPr>
              <w:t>a</w:t>
            </w:r>
          </w:p>
        </w:tc>
        <w:tc>
          <w:tcPr>
            <w:tcW w:w="3003" w:type="dxa"/>
            <w:shd w:val="clear" w:color="auto" w:fill="FFFFFF" w:themeFill="background1"/>
          </w:tcPr>
          <w:p w14:paraId="44965835"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6.2 </w:t>
            </w:r>
            <w:r w:rsidR="001A241F" w:rsidRPr="00942872">
              <w:rPr>
                <w:rFonts w:ascii="Arial Narrow" w:hAnsi="Arial Narrow"/>
                <w:sz w:val="20"/>
                <w:szCs w:val="20"/>
              </w:rPr>
              <w:t>[</w:t>
            </w:r>
            <w:r w:rsidRPr="00942872">
              <w:rPr>
                <w:rFonts w:ascii="Arial Narrow" w:hAnsi="Arial Narrow"/>
                <w:sz w:val="20"/>
                <w:szCs w:val="20"/>
              </w:rPr>
              <w:t>4.5, 8.3</w:t>
            </w:r>
            <w:r w:rsidR="001A241F" w:rsidRPr="00942872">
              <w:rPr>
                <w:rFonts w:ascii="Arial Narrow" w:hAnsi="Arial Narrow"/>
                <w:sz w:val="20"/>
                <w:szCs w:val="20"/>
              </w:rPr>
              <w:t>]</w:t>
            </w:r>
          </w:p>
        </w:tc>
        <w:tc>
          <w:tcPr>
            <w:tcW w:w="3004" w:type="dxa"/>
            <w:shd w:val="clear" w:color="auto" w:fill="FFFFFF" w:themeFill="background1"/>
          </w:tcPr>
          <w:p w14:paraId="56C2D2FA"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5.6 </w:t>
            </w:r>
            <w:r w:rsidR="001A241F" w:rsidRPr="00942872">
              <w:rPr>
                <w:rFonts w:ascii="Arial Narrow" w:hAnsi="Arial Narrow"/>
                <w:sz w:val="20"/>
                <w:szCs w:val="20"/>
              </w:rPr>
              <w:t>[</w:t>
            </w:r>
            <w:r w:rsidRPr="00942872">
              <w:rPr>
                <w:rFonts w:ascii="Arial Narrow" w:hAnsi="Arial Narrow"/>
                <w:sz w:val="20"/>
                <w:szCs w:val="20"/>
              </w:rPr>
              <w:t>4.5, 6.1</w:t>
            </w:r>
            <w:r w:rsidR="001A241F" w:rsidRPr="00942872">
              <w:rPr>
                <w:rFonts w:ascii="Arial Narrow" w:hAnsi="Arial Narrow"/>
                <w:sz w:val="20"/>
                <w:szCs w:val="20"/>
              </w:rPr>
              <w:t>]</w:t>
            </w:r>
          </w:p>
        </w:tc>
      </w:tr>
      <w:tr w:rsidR="00810336" w:rsidRPr="00942872" w14:paraId="7E069784" w14:textId="77777777" w:rsidTr="003E5591">
        <w:tc>
          <w:tcPr>
            <w:tcW w:w="3003" w:type="dxa"/>
            <w:shd w:val="clear" w:color="auto" w:fill="FFFFFF" w:themeFill="background1"/>
          </w:tcPr>
          <w:p w14:paraId="1800238A" w14:textId="77777777" w:rsidR="00810336" w:rsidRPr="00942872" w:rsidRDefault="00810336" w:rsidP="00393BE8">
            <w:pPr>
              <w:pStyle w:val="BodyText1"/>
              <w:spacing w:before="0" w:after="0" w:line="240" w:lineRule="auto"/>
              <w:contextualSpacing/>
              <w:rPr>
                <w:rFonts w:ascii="Arial Narrow" w:hAnsi="Arial Narrow"/>
                <w:sz w:val="20"/>
                <w:szCs w:val="20"/>
              </w:rPr>
            </w:pPr>
            <w:r w:rsidRPr="00942872">
              <w:rPr>
                <w:rFonts w:ascii="Arial Narrow" w:hAnsi="Arial Narrow"/>
                <w:sz w:val="20"/>
                <w:szCs w:val="20"/>
              </w:rPr>
              <w:t>Stratified log</w:t>
            </w:r>
            <w:r w:rsidRPr="00942872">
              <w:rPr>
                <w:rFonts w:ascii="Arial Narrow" w:hAnsi="Arial Narrow"/>
                <w:sz w:val="20"/>
                <w:szCs w:val="20"/>
              </w:rPr>
              <w:noBreakHyphen/>
              <w:t>rank test p</w:t>
            </w:r>
            <w:r w:rsidRPr="00942872">
              <w:rPr>
                <w:rFonts w:ascii="Arial Narrow" w:hAnsi="Arial Narrow"/>
                <w:sz w:val="20"/>
                <w:szCs w:val="20"/>
              </w:rPr>
              <w:noBreakHyphen/>
              <w:t>value</w:t>
            </w:r>
            <w:r w:rsidRPr="00942872">
              <w:rPr>
                <w:rFonts w:ascii="Arial Narrow" w:hAnsi="Arial Narrow"/>
                <w:sz w:val="20"/>
                <w:szCs w:val="20"/>
                <w:vertAlign w:val="superscript"/>
              </w:rPr>
              <w:t xml:space="preserve"> b, c</w:t>
            </w:r>
          </w:p>
        </w:tc>
        <w:tc>
          <w:tcPr>
            <w:tcW w:w="6007" w:type="dxa"/>
            <w:gridSpan w:val="2"/>
            <w:shd w:val="clear" w:color="auto" w:fill="FFFFFF" w:themeFill="background1"/>
          </w:tcPr>
          <w:p w14:paraId="5860360E" w14:textId="77777777" w:rsidR="00810336" w:rsidRPr="00942872" w:rsidRDefault="00810336"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&lt;0.0001</w:t>
            </w:r>
          </w:p>
        </w:tc>
      </w:tr>
      <w:tr w:rsidR="00810336" w:rsidRPr="00942872" w14:paraId="1F1F89D1" w14:textId="77777777" w:rsidTr="003E5591">
        <w:tc>
          <w:tcPr>
            <w:tcW w:w="3003" w:type="dxa"/>
            <w:shd w:val="clear" w:color="auto" w:fill="FFFFFF" w:themeFill="background1"/>
          </w:tcPr>
          <w:p w14:paraId="5DEF9A63" w14:textId="77777777" w:rsidR="00810336" w:rsidRPr="00942872" w:rsidRDefault="00810336" w:rsidP="00393BE8">
            <w:pPr>
              <w:pStyle w:val="BodyText1"/>
              <w:spacing w:before="0" w:after="0" w:line="240" w:lineRule="auto"/>
              <w:contextualSpacing/>
              <w:rPr>
                <w:rFonts w:ascii="Arial Narrow" w:hAnsi="Arial Narrow"/>
                <w:sz w:val="20"/>
                <w:szCs w:val="20"/>
              </w:rPr>
            </w:pPr>
            <w:r w:rsidRPr="00942872">
              <w:rPr>
                <w:rFonts w:ascii="Arial Narrow" w:hAnsi="Arial Narrow"/>
                <w:sz w:val="20"/>
                <w:szCs w:val="20"/>
              </w:rPr>
              <w:t>HR [95% CI]</w:t>
            </w:r>
            <w:r w:rsidRPr="00942872">
              <w:rPr>
                <w:rFonts w:ascii="Arial Narrow" w:hAnsi="Arial Narrow"/>
                <w:sz w:val="20"/>
                <w:szCs w:val="20"/>
                <w:vertAlign w:val="superscript"/>
              </w:rPr>
              <w:t>b, d</w:t>
            </w:r>
          </w:p>
        </w:tc>
        <w:tc>
          <w:tcPr>
            <w:tcW w:w="6007" w:type="dxa"/>
            <w:gridSpan w:val="2"/>
            <w:shd w:val="clear" w:color="auto" w:fill="FFFFFF" w:themeFill="background1"/>
          </w:tcPr>
          <w:p w14:paraId="4C02B67C" w14:textId="77777777" w:rsidR="00810336" w:rsidRPr="00942872" w:rsidRDefault="00810336"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0.593 [0.491, 0.718]</w:t>
            </w:r>
          </w:p>
        </w:tc>
      </w:tr>
      <w:tr w:rsidR="007805A7" w:rsidRPr="00942872" w14:paraId="73B3CC96" w14:textId="77777777" w:rsidTr="003E5591">
        <w:tc>
          <w:tcPr>
            <w:tcW w:w="9010" w:type="dxa"/>
            <w:gridSpan w:val="3"/>
            <w:shd w:val="clear" w:color="auto" w:fill="FFFFFF" w:themeFill="background1"/>
          </w:tcPr>
          <w:p w14:paraId="17F6D771" w14:textId="77777777" w:rsidR="007805A7" w:rsidRPr="00942872" w:rsidRDefault="007805A7" w:rsidP="00393BE8">
            <w:pPr>
              <w:pStyle w:val="BodyText1"/>
              <w:spacing w:before="0" w:after="0" w:line="240" w:lineRule="auto"/>
              <w:contextualSpacing/>
              <w:jc w:val="left"/>
              <w:rPr>
                <w:rFonts w:ascii="Arial Narrow" w:hAnsi="Arial Narrow"/>
                <w:sz w:val="20"/>
                <w:szCs w:val="20"/>
              </w:rPr>
            </w:pPr>
            <w:r w:rsidRPr="00942872">
              <w:rPr>
                <w:rFonts w:ascii="Arial Narrow" w:hAnsi="Arial Narrow"/>
                <w:sz w:val="20"/>
                <w:szCs w:val="20"/>
              </w:rPr>
              <w:t>Estimated event</w:t>
            </w:r>
            <w:r w:rsidRPr="00942872">
              <w:rPr>
                <w:rFonts w:ascii="Arial Narrow" w:hAnsi="Arial Narrow"/>
                <w:sz w:val="20"/>
                <w:szCs w:val="20"/>
              </w:rPr>
              <w:noBreakHyphen/>
              <w:t xml:space="preserve">free probability, % </w:t>
            </w:r>
            <w:r w:rsidR="001A241F" w:rsidRPr="00942872">
              <w:rPr>
                <w:rFonts w:ascii="Arial Narrow" w:hAnsi="Arial Narrow"/>
                <w:sz w:val="20"/>
                <w:szCs w:val="20"/>
              </w:rPr>
              <w:t>[</w:t>
            </w:r>
            <w:r w:rsidRPr="00942872">
              <w:rPr>
                <w:rFonts w:ascii="Arial Narrow" w:hAnsi="Arial Narrow"/>
                <w:sz w:val="20"/>
                <w:szCs w:val="20"/>
              </w:rPr>
              <w:t>95% CI</w:t>
            </w:r>
            <w:r w:rsidR="001A241F" w:rsidRPr="00942872">
              <w:rPr>
                <w:rFonts w:ascii="Arial Narrow" w:hAnsi="Arial Narrow"/>
                <w:sz w:val="20"/>
                <w:szCs w:val="20"/>
              </w:rPr>
              <w:t>]</w:t>
            </w:r>
            <w:r w:rsidRPr="00942872">
              <w:rPr>
                <w:rFonts w:ascii="Arial Narrow" w:hAnsi="Arial Narrow"/>
                <w:sz w:val="20"/>
                <w:szCs w:val="20"/>
                <w:vertAlign w:val="superscript"/>
              </w:rPr>
              <w:t>a</w:t>
            </w:r>
          </w:p>
        </w:tc>
      </w:tr>
      <w:tr w:rsidR="007805A7" w:rsidRPr="00942872" w14:paraId="2642DDF9" w14:textId="77777777" w:rsidTr="003E5591">
        <w:tc>
          <w:tcPr>
            <w:tcW w:w="3003" w:type="dxa"/>
            <w:shd w:val="clear" w:color="auto" w:fill="FFFFFF" w:themeFill="background1"/>
          </w:tcPr>
          <w:p w14:paraId="53BC7BB8" w14:textId="77777777" w:rsidR="007805A7" w:rsidRPr="00942872" w:rsidRDefault="007805A7" w:rsidP="00393BE8">
            <w:pPr>
              <w:pStyle w:val="BodyText1"/>
              <w:spacing w:before="0" w:after="0" w:line="240" w:lineRule="auto"/>
              <w:ind w:left="314"/>
              <w:contextualSpacing/>
              <w:rPr>
                <w:rFonts w:ascii="Arial Narrow" w:hAnsi="Arial Narrow"/>
                <w:sz w:val="20"/>
                <w:szCs w:val="20"/>
              </w:rPr>
            </w:pPr>
            <w:r w:rsidRPr="00942872">
              <w:rPr>
                <w:rFonts w:ascii="Arial Narrow" w:hAnsi="Arial Narrow"/>
                <w:sz w:val="20"/>
                <w:szCs w:val="20"/>
              </w:rPr>
              <w:t>6 months</w:t>
            </w:r>
          </w:p>
        </w:tc>
        <w:tc>
          <w:tcPr>
            <w:tcW w:w="3003" w:type="dxa"/>
            <w:shd w:val="clear" w:color="auto" w:fill="FFFFFF" w:themeFill="background1"/>
          </w:tcPr>
          <w:p w14:paraId="00E32AF9"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53.1 </w:t>
            </w:r>
            <w:r w:rsidR="001A241F" w:rsidRPr="00942872">
              <w:rPr>
                <w:rFonts w:ascii="Arial Narrow" w:hAnsi="Arial Narrow"/>
                <w:sz w:val="20"/>
                <w:szCs w:val="20"/>
              </w:rPr>
              <w:t>[</w:t>
            </w:r>
            <w:r w:rsidRPr="00942872">
              <w:rPr>
                <w:rFonts w:ascii="Arial Narrow" w:hAnsi="Arial Narrow"/>
                <w:sz w:val="20"/>
                <w:szCs w:val="20"/>
              </w:rPr>
              <w:t>47.4, 58.5</w:t>
            </w:r>
            <w:r w:rsidR="001A241F" w:rsidRPr="00942872">
              <w:rPr>
                <w:rFonts w:ascii="Arial Narrow" w:hAnsi="Arial Narrow"/>
                <w:sz w:val="20"/>
                <w:szCs w:val="20"/>
              </w:rPr>
              <w:t>]</w:t>
            </w:r>
          </w:p>
        </w:tc>
        <w:tc>
          <w:tcPr>
            <w:tcW w:w="3004" w:type="dxa"/>
            <w:shd w:val="clear" w:color="auto" w:fill="FFFFFF" w:themeFill="background1"/>
          </w:tcPr>
          <w:p w14:paraId="25F43FDE"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48.0 </w:t>
            </w:r>
            <w:r w:rsidR="001A241F" w:rsidRPr="00942872">
              <w:rPr>
                <w:rFonts w:ascii="Arial Narrow" w:hAnsi="Arial Narrow"/>
                <w:sz w:val="20"/>
                <w:szCs w:val="20"/>
              </w:rPr>
              <w:t>[</w:t>
            </w:r>
            <w:r w:rsidRPr="00942872">
              <w:rPr>
                <w:rFonts w:ascii="Arial Narrow" w:hAnsi="Arial Narrow"/>
                <w:sz w:val="20"/>
                <w:szCs w:val="20"/>
              </w:rPr>
              <w:t>42.2, 53.6</w:t>
            </w:r>
            <w:r w:rsidR="001A241F" w:rsidRPr="00942872">
              <w:rPr>
                <w:rFonts w:ascii="Arial Narrow" w:hAnsi="Arial Narrow"/>
                <w:sz w:val="20"/>
                <w:szCs w:val="20"/>
              </w:rPr>
              <w:t>]</w:t>
            </w:r>
          </w:p>
        </w:tc>
      </w:tr>
      <w:tr w:rsidR="007805A7" w:rsidRPr="00942872" w14:paraId="6D3972C6" w14:textId="77777777" w:rsidTr="003E5591">
        <w:tc>
          <w:tcPr>
            <w:tcW w:w="3003" w:type="dxa"/>
            <w:shd w:val="clear" w:color="auto" w:fill="FFFFFF" w:themeFill="background1"/>
          </w:tcPr>
          <w:p w14:paraId="6E4A72E2" w14:textId="77777777" w:rsidR="007805A7" w:rsidRPr="00942872" w:rsidRDefault="007805A7" w:rsidP="00393BE8">
            <w:pPr>
              <w:pStyle w:val="BodyText1"/>
              <w:spacing w:before="0" w:after="0" w:line="240" w:lineRule="auto"/>
              <w:ind w:left="314"/>
              <w:contextualSpacing/>
              <w:rPr>
                <w:rFonts w:ascii="Arial Narrow" w:hAnsi="Arial Narrow"/>
                <w:sz w:val="20"/>
                <w:szCs w:val="20"/>
              </w:rPr>
            </w:pPr>
            <w:r w:rsidRPr="00942872">
              <w:rPr>
                <w:rFonts w:ascii="Arial Narrow" w:hAnsi="Arial Narrow"/>
                <w:sz w:val="20"/>
                <w:szCs w:val="20"/>
              </w:rPr>
              <w:t>12 months</w:t>
            </w:r>
          </w:p>
        </w:tc>
        <w:tc>
          <w:tcPr>
            <w:tcW w:w="3003" w:type="dxa"/>
            <w:shd w:val="clear" w:color="auto" w:fill="FFFFFF" w:themeFill="background1"/>
          </w:tcPr>
          <w:p w14:paraId="39262CFE"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37.8 </w:t>
            </w:r>
            <w:r w:rsidR="001A241F" w:rsidRPr="00942872">
              <w:rPr>
                <w:rFonts w:ascii="Arial Narrow" w:hAnsi="Arial Narrow"/>
                <w:sz w:val="20"/>
                <w:szCs w:val="20"/>
              </w:rPr>
              <w:t>[</w:t>
            </w:r>
            <w:r w:rsidRPr="00942872">
              <w:rPr>
                <w:rFonts w:ascii="Arial Narrow" w:hAnsi="Arial Narrow"/>
                <w:sz w:val="20"/>
                <w:szCs w:val="20"/>
              </w:rPr>
              <w:t>31.9, 43.6</w:t>
            </w:r>
            <w:r w:rsidR="001A241F" w:rsidRPr="00942872">
              <w:rPr>
                <w:rFonts w:ascii="Arial Narrow" w:hAnsi="Arial Narrow"/>
                <w:sz w:val="20"/>
                <w:szCs w:val="20"/>
              </w:rPr>
              <w:t>]</w:t>
            </w:r>
          </w:p>
        </w:tc>
        <w:tc>
          <w:tcPr>
            <w:tcW w:w="3004" w:type="dxa"/>
            <w:shd w:val="clear" w:color="auto" w:fill="FFFFFF" w:themeFill="background1"/>
          </w:tcPr>
          <w:p w14:paraId="0898E943" w14:textId="77777777" w:rsidR="007805A7" w:rsidRPr="00942872" w:rsidRDefault="007805A7" w:rsidP="00393BE8">
            <w:pPr>
              <w:pStyle w:val="BodyText1"/>
              <w:spacing w:before="0" w:after="0" w:line="240" w:lineRule="auto"/>
              <w:contextualSpacing/>
              <w:jc w:val="center"/>
              <w:rPr>
                <w:rFonts w:ascii="Arial Narrow" w:hAnsi="Arial Narrow"/>
                <w:sz w:val="20"/>
                <w:szCs w:val="20"/>
              </w:rPr>
            </w:pPr>
            <w:r w:rsidRPr="00942872">
              <w:rPr>
                <w:rFonts w:ascii="Arial Narrow" w:hAnsi="Arial Narrow"/>
                <w:sz w:val="20"/>
                <w:szCs w:val="20"/>
              </w:rPr>
              <w:t xml:space="preserve">7.2 </w:t>
            </w:r>
            <w:r w:rsidR="001A241F" w:rsidRPr="00942872">
              <w:rPr>
                <w:rFonts w:ascii="Arial Narrow" w:hAnsi="Arial Narrow"/>
                <w:sz w:val="20"/>
                <w:szCs w:val="20"/>
              </w:rPr>
              <w:t>[</w:t>
            </w:r>
            <w:r w:rsidRPr="00942872">
              <w:rPr>
                <w:rFonts w:ascii="Arial Narrow" w:hAnsi="Arial Narrow"/>
                <w:sz w:val="20"/>
                <w:szCs w:val="20"/>
              </w:rPr>
              <w:t>4.3, 11.2</w:t>
            </w:r>
            <w:r w:rsidR="001A241F" w:rsidRPr="00942872">
              <w:rPr>
                <w:rFonts w:ascii="Arial Narrow" w:hAnsi="Arial Narrow"/>
                <w:sz w:val="20"/>
                <w:szCs w:val="20"/>
              </w:rPr>
              <w:t>]</w:t>
            </w:r>
          </w:p>
        </w:tc>
      </w:tr>
    </w:tbl>
    <w:p w14:paraId="4FF5020D" w14:textId="77777777" w:rsidR="007805A7" w:rsidRPr="00942872" w:rsidRDefault="007805A7" w:rsidP="00393BE8">
      <w:pPr>
        <w:pStyle w:val="TableFigureFooter"/>
        <w:keepNext/>
        <w:keepLines/>
      </w:pPr>
      <w:r w:rsidRPr="00942872">
        <w:t xml:space="preserve">Source: Table 2.5-1, p52 of the submission </w:t>
      </w:r>
    </w:p>
    <w:p w14:paraId="055C8AC3" w14:textId="77777777" w:rsidR="007805A7" w:rsidRPr="00942872" w:rsidRDefault="007805A7" w:rsidP="00393BE8">
      <w:pPr>
        <w:pStyle w:val="TableFigureFooter"/>
        <w:keepNext/>
        <w:keepLines/>
        <w:rPr>
          <w:vertAlign w:val="superscript"/>
        </w:rPr>
      </w:pPr>
      <w:r w:rsidRPr="00942872">
        <w:t xml:space="preserve">CI = confidence interval; HR = hazard ratio; </w:t>
      </w:r>
      <w:r w:rsidR="004802D9" w:rsidRPr="00942872">
        <w:t xml:space="preserve">IRC = Independent Review Committee; </w:t>
      </w:r>
      <w:r w:rsidRPr="00942872">
        <w:t>ITT = intention-to-treat; IWRS = Interactive Web Response System; NE = not evaluable</w:t>
      </w:r>
      <w:r w:rsidR="002F534F" w:rsidRPr="00942872">
        <w:t>; OS = overall survival; PFS = progression-free survival</w:t>
      </w:r>
    </w:p>
    <w:p w14:paraId="4A440CBE" w14:textId="77777777" w:rsidR="007805A7" w:rsidRPr="00942872" w:rsidRDefault="007805A7" w:rsidP="00393BE8">
      <w:pPr>
        <w:pStyle w:val="TableFigureFooter"/>
        <w:keepNext/>
        <w:keepLines/>
      </w:pPr>
      <w:r w:rsidRPr="00942872">
        <w:rPr>
          <w:vertAlign w:val="superscript"/>
        </w:rPr>
        <w:t xml:space="preserve">a </w:t>
      </w:r>
      <w:r w:rsidRPr="00942872">
        <w:t>Based on Kaplan</w:t>
      </w:r>
      <w:r w:rsidRPr="00942872">
        <w:noBreakHyphen/>
        <w:t>Meier method.</w:t>
      </w:r>
    </w:p>
    <w:p w14:paraId="2FA9ADD1" w14:textId="77777777" w:rsidR="007805A7" w:rsidRPr="00942872" w:rsidRDefault="007805A7" w:rsidP="00393BE8">
      <w:pPr>
        <w:pStyle w:val="TableFigureFooter"/>
        <w:keepNext/>
        <w:keepLines/>
      </w:pPr>
      <w:r w:rsidRPr="00942872">
        <w:rPr>
          <w:vertAlign w:val="superscript"/>
        </w:rPr>
        <w:t xml:space="preserve">b </w:t>
      </w:r>
      <w:r w:rsidRPr="00942872">
        <w:t>Stratified by histology (squamous</w:t>
      </w:r>
      <w:r w:rsidR="00090647" w:rsidRPr="00942872">
        <w:t xml:space="preserve"> vs. </w:t>
      </w:r>
      <w:r w:rsidRPr="00942872">
        <w:t>non</w:t>
      </w:r>
      <w:r w:rsidRPr="00942872">
        <w:noBreakHyphen/>
        <w:t>squamous) according to IWRS.</w:t>
      </w:r>
    </w:p>
    <w:p w14:paraId="1B7DE7C5" w14:textId="77777777" w:rsidR="007805A7" w:rsidRPr="00942872" w:rsidRDefault="007805A7" w:rsidP="00393BE8">
      <w:pPr>
        <w:pStyle w:val="TableFigureFooter"/>
        <w:keepNext/>
        <w:keepLines/>
      </w:pPr>
      <w:r w:rsidRPr="00942872">
        <w:rPr>
          <w:vertAlign w:val="superscript"/>
        </w:rPr>
        <w:t xml:space="preserve">c </w:t>
      </w:r>
      <w:r w:rsidRPr="00942872">
        <w:t>Two</w:t>
      </w:r>
      <w:r w:rsidRPr="00942872">
        <w:noBreakHyphen/>
        <w:t>sided p</w:t>
      </w:r>
      <w:r w:rsidRPr="00942872">
        <w:noBreakHyphen/>
        <w:t xml:space="preserve">value. Significance threshold </w:t>
      </w:r>
      <w:r w:rsidR="002F534F" w:rsidRPr="00942872">
        <w:t>for OS was</w:t>
      </w:r>
      <w:r w:rsidRPr="00942872">
        <w:t xml:space="preserve"> set to 0.0025 using the O’Brien Fleming alpha spending function.</w:t>
      </w:r>
    </w:p>
    <w:p w14:paraId="483136ED" w14:textId="77777777" w:rsidR="007805A7" w:rsidRDefault="007805A7" w:rsidP="00393BE8">
      <w:pPr>
        <w:pStyle w:val="TableFigureFooter"/>
        <w:keepNext/>
        <w:keepLines/>
      </w:pPr>
      <w:r w:rsidRPr="00942872">
        <w:rPr>
          <w:vertAlign w:val="superscript"/>
        </w:rPr>
        <w:t xml:space="preserve">d </w:t>
      </w:r>
      <w:r w:rsidRPr="00942872">
        <w:t xml:space="preserve">Based on stratified proportional hazards model (cemiplimab </w:t>
      </w:r>
      <w:r w:rsidR="00C63C33" w:rsidRPr="00942872">
        <w:t>vs.</w:t>
      </w:r>
      <w:r w:rsidRPr="00942872">
        <w:t xml:space="preserve"> chemotherapy).</w:t>
      </w:r>
    </w:p>
    <w:p w14:paraId="2314EB14" w14:textId="77777777" w:rsidR="001D40D6" w:rsidRPr="001D40D6" w:rsidRDefault="001D40D6" w:rsidP="001D40D6"/>
    <w:p w14:paraId="748B34F4" w14:textId="77777777" w:rsidR="007805A7" w:rsidRPr="00942872" w:rsidRDefault="007805A7" w:rsidP="00F27AFC">
      <w:pPr>
        <w:pStyle w:val="TableFigureHeading"/>
      </w:pPr>
      <w:r w:rsidRPr="00942872">
        <w:t xml:space="preserve">Figure </w:t>
      </w:r>
      <w:r w:rsidR="002177FE">
        <w:rPr>
          <w:noProof/>
        </w:rPr>
        <w:t>1</w:t>
      </w:r>
      <w:r w:rsidRPr="00942872">
        <w:t>: Kaplan-Meier curve for overall survival in Study 1624 ITT population</w:t>
      </w:r>
    </w:p>
    <w:p w14:paraId="1B7B7AEA" w14:textId="77777777" w:rsidR="007805A7" w:rsidRPr="00942872" w:rsidRDefault="007805A7" w:rsidP="007805A7">
      <w:r w:rsidRPr="00942872">
        <w:rPr>
          <w:noProof/>
        </w:rPr>
        <w:drawing>
          <wp:inline distT="0" distB="0" distL="0" distR="0" wp14:anchorId="6664A515" wp14:editId="43DBB01B">
            <wp:extent cx="5803900" cy="2487295"/>
            <wp:effectExtent l="0" t="0" r="6350" b="8255"/>
            <wp:docPr id="4" name="Picture 4" title="Figure 1: Kaplan-Meier curve for overall survival in Study 1624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0" cy="2487295"/>
                    </a:xfrm>
                    <a:prstGeom prst="rect">
                      <a:avLst/>
                    </a:prstGeom>
                    <a:noFill/>
                  </pic:spPr>
                </pic:pic>
              </a:graphicData>
            </a:graphic>
          </wp:inline>
        </w:drawing>
      </w:r>
    </w:p>
    <w:p w14:paraId="6B2729AA" w14:textId="77777777" w:rsidR="007805A7" w:rsidRPr="00942872" w:rsidRDefault="007805A7" w:rsidP="007805A7">
      <w:pPr>
        <w:pStyle w:val="TableFigureFooter"/>
      </w:pPr>
      <w:r w:rsidRPr="00942872">
        <w:t xml:space="preserve">Source: Figure 2.5-1, p53 of the submission </w:t>
      </w:r>
    </w:p>
    <w:p w14:paraId="5876439C" w14:textId="77777777" w:rsidR="007805A7" w:rsidRPr="00942872" w:rsidRDefault="007805A7" w:rsidP="007805A7">
      <w:pPr>
        <w:pStyle w:val="TableFigureFooter"/>
      </w:pPr>
      <w:r w:rsidRPr="00942872">
        <w:t>CI = confidence interval; ITT = intention-to-treat</w:t>
      </w:r>
    </w:p>
    <w:p w14:paraId="4C0CA464" w14:textId="77777777" w:rsidR="007805A7" w:rsidRPr="00942872" w:rsidRDefault="007805A7" w:rsidP="007805A7">
      <w:pPr>
        <w:pStyle w:val="TableFigureHeading"/>
      </w:pPr>
      <w:r w:rsidRPr="00942872">
        <w:t xml:space="preserve">Figure </w:t>
      </w:r>
      <w:r w:rsidR="002177FE">
        <w:rPr>
          <w:noProof/>
        </w:rPr>
        <w:t>2</w:t>
      </w:r>
      <w:r w:rsidRPr="00942872">
        <w:t xml:space="preserve">: Kaplan-Meier curve for progression-free survival </w:t>
      </w:r>
      <w:r w:rsidR="004802D9" w:rsidRPr="00942872">
        <w:t xml:space="preserve">per IRC </w:t>
      </w:r>
      <w:r w:rsidRPr="00942872">
        <w:t>in Study 1624 ITT population</w:t>
      </w:r>
    </w:p>
    <w:p w14:paraId="1C0B7FAD" w14:textId="77777777" w:rsidR="007805A7" w:rsidRPr="00942872" w:rsidRDefault="007805A7" w:rsidP="007805A7">
      <w:r w:rsidRPr="00942872">
        <w:rPr>
          <w:noProof/>
        </w:rPr>
        <w:drawing>
          <wp:inline distT="0" distB="0" distL="0" distR="0" wp14:anchorId="22AF62F1" wp14:editId="5A2494A1">
            <wp:extent cx="5864860" cy="2487295"/>
            <wp:effectExtent l="0" t="0" r="2540" b="8255"/>
            <wp:docPr id="5" name="Picture 5" title="Figure 2: Kaplan-Meier curve for progression-free survival per IRC in Study 1624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4860" cy="2487295"/>
                    </a:xfrm>
                    <a:prstGeom prst="rect">
                      <a:avLst/>
                    </a:prstGeom>
                    <a:noFill/>
                  </pic:spPr>
                </pic:pic>
              </a:graphicData>
            </a:graphic>
          </wp:inline>
        </w:drawing>
      </w:r>
    </w:p>
    <w:p w14:paraId="002DC02E" w14:textId="77777777" w:rsidR="007805A7" w:rsidRPr="00942872" w:rsidRDefault="007805A7" w:rsidP="007805A7">
      <w:pPr>
        <w:pStyle w:val="TableFigureFooter"/>
      </w:pPr>
      <w:r w:rsidRPr="00942872">
        <w:t>Source: Figure 2.5-4, p56 of the submission</w:t>
      </w:r>
    </w:p>
    <w:p w14:paraId="76325E41" w14:textId="77777777" w:rsidR="007805A7" w:rsidRPr="00942872" w:rsidRDefault="007805A7" w:rsidP="007805A7">
      <w:pPr>
        <w:pStyle w:val="TableFigureFooter"/>
      </w:pPr>
      <w:r w:rsidRPr="00942872">
        <w:t xml:space="preserve">CI = confidence interval; </w:t>
      </w:r>
      <w:r w:rsidR="004802D9" w:rsidRPr="00942872">
        <w:t xml:space="preserve">IRC = Independent Review Committee; </w:t>
      </w:r>
      <w:r w:rsidRPr="00942872">
        <w:t>ITT = intention-to-treat</w:t>
      </w:r>
    </w:p>
    <w:p w14:paraId="0556D0A4" w14:textId="77777777" w:rsidR="007805A7" w:rsidRPr="00942872" w:rsidRDefault="007805A7" w:rsidP="007805A7">
      <w:pPr>
        <w:pStyle w:val="3-BodyText"/>
      </w:pPr>
      <w:r w:rsidRPr="00942872">
        <w:t>With a median follow-up of 13.1 months, the median OS in the cemiplimab monotherapy arm of the ITT population was 7.8 months longer than that in the platinum-based chemotherapy arm (22.1 months versus 14.3 months); and the difference was statistically significant (hazard ratio: 0.68 [95% CI: 0.53, 0.87]). The Kaplan-Meier estimates of OS at 12 months was 70.3% in patients receiving cemiplimab, compared with 55.7% in the comparator arm; and the OS estimates at 24 months in the two treatment arms were 48.6% and 29.7%, respectively.</w:t>
      </w:r>
    </w:p>
    <w:p w14:paraId="6E8ECA2A" w14:textId="77777777" w:rsidR="007805A7" w:rsidRPr="00942872" w:rsidRDefault="007805A7" w:rsidP="007805A7">
      <w:pPr>
        <w:pStyle w:val="3-BodyText"/>
      </w:pPr>
      <w:r w:rsidRPr="00942872">
        <w:t xml:space="preserve">Statistically significant OS benefit of cemiplimab was also observed in the mITT-1 population </w:t>
      </w:r>
      <w:r w:rsidR="00C63C33" w:rsidRPr="00942872">
        <w:t xml:space="preserve">(N=563) </w:t>
      </w:r>
      <w:r w:rsidRPr="00942872">
        <w:t>and mITT-2 population</w:t>
      </w:r>
      <w:r w:rsidR="00C63C33" w:rsidRPr="00942872">
        <w:t xml:space="preserve"> (N=475)</w:t>
      </w:r>
      <w:r w:rsidRPr="00942872">
        <w:t xml:space="preserve">. The point estimates of </w:t>
      </w:r>
      <w:r w:rsidR="00E458AE" w:rsidRPr="00942872">
        <w:t xml:space="preserve">OS </w:t>
      </w:r>
      <w:r w:rsidRPr="00942872">
        <w:t>hazard ratio in mITT-1 and mITT-2 patients were both lower (</w:t>
      </w:r>
      <w:r w:rsidR="00F27AFC" w:rsidRPr="00942872">
        <w:t xml:space="preserve">more relative benefits of </w:t>
      </w:r>
      <w:r w:rsidRPr="00942872">
        <w:t>cemiplimab</w:t>
      </w:r>
      <w:r w:rsidR="00F27AFC" w:rsidRPr="00942872">
        <w:t xml:space="preserve"> vs. chemotherapy</w:t>
      </w:r>
      <w:r w:rsidRPr="00942872">
        <w:t>) compared with the hazard ratio estimate in the ITT population (0.57 [0.42, 0.77] in mITT-1 and 0.57 [0.40, 0.80] in mITT-2 vs. 0.68 [0.53, 0.87] in ITT).</w:t>
      </w:r>
    </w:p>
    <w:p w14:paraId="76EE9C00" w14:textId="77777777" w:rsidR="007805A7" w:rsidRPr="00942872" w:rsidRDefault="007805A7" w:rsidP="007805A7">
      <w:pPr>
        <w:pStyle w:val="3-BodyText"/>
      </w:pPr>
      <w:r w:rsidRPr="00942872">
        <w:t>Similar to OS, ITT patients who were treated with cemiplimab monotherapy demonstrated statistically significantly greater PFS compared to those receiving platinum doublet (median: 6.2 months vs. 5.6 months), with a hazard ratio of 0.59 [0.49, 0.72]. The Kaplan-Meier estimate of PFS at 12 months was 30.6</w:t>
      </w:r>
      <w:r w:rsidR="00AE63C9">
        <w:t xml:space="preserve"> percentage points </w:t>
      </w:r>
      <w:r w:rsidRPr="00942872">
        <w:t>higher in the cemiplimab group than in the chemotherapy group (37.8% vs. 7.2%).</w:t>
      </w:r>
    </w:p>
    <w:p w14:paraId="3AE397D3" w14:textId="77777777" w:rsidR="007805A7" w:rsidRPr="00942872" w:rsidRDefault="007805A7" w:rsidP="007805A7">
      <w:pPr>
        <w:pStyle w:val="3-BodyText"/>
      </w:pPr>
      <w:r w:rsidRPr="00942872">
        <w:t xml:space="preserve">The </w:t>
      </w:r>
      <w:r w:rsidR="00F27AFC" w:rsidRPr="00942872">
        <w:t xml:space="preserve">PFS </w:t>
      </w:r>
      <w:r w:rsidRPr="00942872">
        <w:t xml:space="preserve">hazard ratio in mITT-1 patients was </w:t>
      </w:r>
      <w:r w:rsidR="009B5EF3" w:rsidRPr="00942872">
        <w:t>slightly</w:t>
      </w:r>
      <w:r w:rsidRPr="00942872">
        <w:t xml:space="preserve"> lower (</w:t>
      </w:r>
      <w:r w:rsidR="00F27AFC" w:rsidRPr="00942872">
        <w:t>more relative benefits of cemiplimab vs. chemotherapy</w:t>
      </w:r>
      <w:r w:rsidRPr="00942872">
        <w:t>) than the ITT hazard ratio (0.54 [0.43, 0.68] vs. 0.59 [0.49, 0.72]). The PFS results in the mITT-2 patients were similar to the ITT results in terms of both median PFS (6.3 months for cemiplimab and 5.6 months for chemotherapy vs. 6.2 months for cemiplimab and 5.6 months for chemotherapy) and hazard ratio (0.60 [0.47, 0.77] vs. 0.59 [0.49, 0.72]).</w:t>
      </w:r>
    </w:p>
    <w:p w14:paraId="48443BD0" w14:textId="77777777" w:rsidR="007805A7" w:rsidRPr="00942872" w:rsidRDefault="007805A7" w:rsidP="007805A7">
      <w:pPr>
        <w:pStyle w:val="3-BodyText"/>
      </w:pPr>
      <w:r w:rsidRPr="00942872">
        <w:t>Other secondary outcomes of ORR and duration of response in Study 1624 also suggested a superior treatment effect of cemiplimab over platinum doublet in the ITT, mITT-1 and mITT-2 populations.</w:t>
      </w:r>
    </w:p>
    <w:p w14:paraId="7CB7834F" w14:textId="77777777" w:rsidR="004B10AF" w:rsidRPr="00942872" w:rsidRDefault="004B10AF" w:rsidP="00E734A3">
      <w:pPr>
        <w:pStyle w:val="3-BodyText"/>
      </w:pPr>
      <w:bookmarkStart w:id="15" w:name="_Ref85110348"/>
      <w:r w:rsidRPr="00942872">
        <w:t xml:space="preserve">The following differences between Study 1624 and the Australian setting </w:t>
      </w:r>
      <w:r w:rsidR="00D965FC" w:rsidRPr="005467E8">
        <w:t>were</w:t>
      </w:r>
      <w:r w:rsidR="00D965FC" w:rsidRPr="00942872">
        <w:t xml:space="preserve"> </w:t>
      </w:r>
      <w:r w:rsidRPr="00942872">
        <w:t>identified</w:t>
      </w:r>
      <w:r w:rsidR="00E734A3" w:rsidRPr="00942872">
        <w:t xml:space="preserve"> </w:t>
      </w:r>
      <w:r w:rsidR="00D965FC" w:rsidRPr="005467E8">
        <w:t>by the evaluation</w:t>
      </w:r>
      <w:r w:rsidR="00D965FC" w:rsidRPr="00942872">
        <w:t xml:space="preserve"> </w:t>
      </w:r>
      <w:r w:rsidR="00E734A3" w:rsidRPr="00942872">
        <w:t>which could have affected the applicability of the trial results to the proposed PBS population</w:t>
      </w:r>
      <w:r w:rsidRPr="00942872">
        <w:t>:</w:t>
      </w:r>
      <w:bookmarkEnd w:id="15"/>
    </w:p>
    <w:p w14:paraId="27356B5B" w14:textId="77777777" w:rsidR="004B10AF" w:rsidRPr="00942872" w:rsidRDefault="004B10AF" w:rsidP="000D035D">
      <w:pPr>
        <w:pStyle w:val="3-BodyText"/>
        <w:numPr>
          <w:ilvl w:val="0"/>
          <w:numId w:val="12"/>
        </w:numPr>
        <w:ind w:left="1134"/>
      </w:pPr>
      <w:r w:rsidRPr="00942872">
        <w:t xml:space="preserve">Study 1624 excluded never smokers. Evidence from trials of other PD-(L)1 inhibitors showed no benefit </w:t>
      </w:r>
      <w:r w:rsidR="00715A20" w:rsidRPr="00942872">
        <w:t xml:space="preserve">of PD-(L)1 inhibitors </w:t>
      </w:r>
      <w:r w:rsidRPr="00942872">
        <w:t xml:space="preserve">for metastatic NSCLC patients with high PD-L1 expression </w:t>
      </w:r>
      <w:r w:rsidR="009B5EF3" w:rsidRPr="00942872">
        <w:t xml:space="preserve">(TPS </w:t>
      </w:r>
      <w:r w:rsidR="009B5EF3" w:rsidRPr="00942872">
        <w:rPr>
          <w:rFonts w:cstheme="minorHAnsi"/>
        </w:rPr>
        <w:t>≥</w:t>
      </w:r>
      <w:r w:rsidR="009B5EF3" w:rsidRPr="00942872">
        <w:t xml:space="preserve"> 50%) </w:t>
      </w:r>
      <w:r w:rsidRPr="00942872">
        <w:t>in the subgroup of never smokers</w:t>
      </w:r>
      <w:r w:rsidRPr="00942872">
        <w:rPr>
          <w:rStyle w:val="FootnoteReference"/>
        </w:rPr>
        <w:footnoteReference w:id="5"/>
      </w:r>
      <w:r w:rsidRPr="00942872">
        <w:t>. However, the interaction between smoking status and cemiplimab cannot be assessed as never smokers were not included in Study 1624</w:t>
      </w:r>
      <w:r w:rsidR="00AF507F">
        <w:t>. The PBAC noted the exclusion of never smokers enriched the population of patients with squamous NSCLC (see next point). The PBAC acknowledged the PSCR statement that never smokers are less likely to present with high PD-L1 expression</w:t>
      </w:r>
      <w:r w:rsidRPr="00942872">
        <w:t>;</w:t>
      </w:r>
    </w:p>
    <w:p w14:paraId="47644D10" w14:textId="77777777" w:rsidR="00A82490" w:rsidRPr="00942872" w:rsidRDefault="00890E90" w:rsidP="000D035D">
      <w:pPr>
        <w:pStyle w:val="3-BodyText"/>
        <w:numPr>
          <w:ilvl w:val="0"/>
          <w:numId w:val="12"/>
        </w:numPr>
        <w:ind w:left="1134"/>
      </w:pPr>
      <w:r w:rsidRPr="00942872">
        <w:t xml:space="preserve">In Study 1624, 44% of ITT patients had NSCLC of </w:t>
      </w:r>
      <w:r w:rsidR="004B10AF" w:rsidRPr="00942872">
        <w:t>squamous histology</w:t>
      </w:r>
      <w:r w:rsidRPr="00942872">
        <w:t>. This proportion was higher than the estimate (2</w:t>
      </w:r>
      <w:r w:rsidR="002C627C" w:rsidRPr="00942872">
        <w:t>6</w:t>
      </w:r>
      <w:r w:rsidRPr="00942872">
        <w:t>%) noted in the nivolumab Drug Utilisation Sub-Committee (DUSC) report (2020)</w:t>
      </w:r>
      <w:r w:rsidR="00A82490" w:rsidRPr="00942872">
        <w:rPr>
          <w:rStyle w:val="FootnoteReference"/>
        </w:rPr>
        <w:footnoteReference w:id="6"/>
      </w:r>
      <w:r w:rsidR="00A82490" w:rsidRPr="00942872">
        <w:t>. Subgroup analysis suggested a trend of more benefits from cemiplimab relative to chemotherapy in the squamous subgroup than in the non-squamous subgroup (OS hazard ratio: 0.53 [0.36, 0.77] vs. 0.83 [0.59, 1.16]). Therefore, the overrepresentation of squamous NSCLC patients in Study 1624 could have biased the results in favour of cemiplimab</w:t>
      </w:r>
      <w:r w:rsidR="002D2D7D" w:rsidRPr="00942872">
        <w:t>;</w:t>
      </w:r>
      <w:r w:rsidR="00A82490" w:rsidRPr="00942872">
        <w:t xml:space="preserve"> </w:t>
      </w:r>
    </w:p>
    <w:p w14:paraId="6DED31D5" w14:textId="77777777" w:rsidR="004B10AF" w:rsidRPr="00942872" w:rsidRDefault="00A82490" w:rsidP="000D035D">
      <w:pPr>
        <w:pStyle w:val="3-BodyText"/>
        <w:numPr>
          <w:ilvl w:val="0"/>
          <w:numId w:val="12"/>
        </w:numPr>
        <w:ind w:left="1134"/>
      </w:pPr>
      <w:r w:rsidRPr="00942872">
        <w:t>Study 16</w:t>
      </w:r>
      <w:r w:rsidR="005661F3" w:rsidRPr="00942872">
        <w:t xml:space="preserve">24 included subjects with locally advanced NSCLC, who </w:t>
      </w:r>
      <w:r w:rsidR="0053505B">
        <w:t xml:space="preserve">were not included in </w:t>
      </w:r>
      <w:r w:rsidR="005661F3" w:rsidRPr="00942872">
        <w:t xml:space="preserve">the proposed PBS population. This, however, is unlikely to greatly affect the applicability of the trial results to the target population, given the small number of patients with locally advanced disease in Study 1624 (16%) and the </w:t>
      </w:r>
      <w:r w:rsidR="007015C9" w:rsidRPr="00942872">
        <w:t>similar</w:t>
      </w:r>
      <w:r w:rsidR="005661F3" w:rsidRPr="00942872">
        <w:t xml:space="preserve"> results between the Stage IV subgroup and the </w:t>
      </w:r>
      <w:r w:rsidR="009B5EF3" w:rsidRPr="00942872">
        <w:t xml:space="preserve">overall </w:t>
      </w:r>
      <w:r w:rsidR="005661F3" w:rsidRPr="00942872">
        <w:t>ITT population</w:t>
      </w:r>
      <w:r w:rsidR="002D2D7D" w:rsidRPr="00942872">
        <w:t>; and</w:t>
      </w:r>
      <w:r w:rsidR="004B10AF" w:rsidRPr="00942872">
        <w:t xml:space="preserve"> </w:t>
      </w:r>
    </w:p>
    <w:p w14:paraId="3F9D9C1C" w14:textId="77777777" w:rsidR="004B10AF" w:rsidRPr="00942872" w:rsidRDefault="00890E90" w:rsidP="000D035D">
      <w:pPr>
        <w:pStyle w:val="3-BodyText"/>
        <w:numPr>
          <w:ilvl w:val="0"/>
          <w:numId w:val="12"/>
        </w:numPr>
        <w:ind w:left="1134"/>
      </w:pPr>
      <w:r w:rsidRPr="00942872">
        <w:t>P</w:t>
      </w:r>
      <w:r w:rsidR="004B10AF" w:rsidRPr="00942872">
        <w:t>atients in the cemiplimab arm of Study 1624 were allowed to continue cemiplimab after progression for up to 108 weeks, with the addition of histology</w:t>
      </w:r>
      <w:r w:rsidR="007015C9" w:rsidRPr="00942872">
        <w:t>-</w:t>
      </w:r>
      <w:r w:rsidR="004B10AF" w:rsidRPr="00942872">
        <w:t>specific platinum</w:t>
      </w:r>
      <w:r w:rsidR="007015C9" w:rsidRPr="00942872">
        <w:t>-</w:t>
      </w:r>
      <w:r w:rsidR="004B10AF" w:rsidRPr="00942872">
        <w:t xml:space="preserve">based doublet chemotherapy for </w:t>
      </w:r>
      <w:r w:rsidR="002C627C" w:rsidRPr="00942872">
        <w:t>four</w:t>
      </w:r>
      <w:r w:rsidR="004B10AF" w:rsidRPr="00942872">
        <w:t xml:space="preserve"> cycles. Of 71 (45% of progressors, 20% of ITT) patients who received subsequent anti-cancer therapy after disease progression in the cemiplimab arm, 51 patients (32% of progressors, 14% of ITT) were treated with cemiplimab + chemotherapy as extended treatment. </w:t>
      </w:r>
      <w:r w:rsidR="002A615A" w:rsidRPr="00942872">
        <w:t xml:space="preserve">Benefits of continuation of cemiplimab </w:t>
      </w:r>
      <w:r w:rsidR="004722A8" w:rsidRPr="00942872">
        <w:t xml:space="preserve">therapy </w:t>
      </w:r>
      <w:r w:rsidR="002A615A" w:rsidRPr="00942872">
        <w:t>after progression</w:t>
      </w:r>
      <w:r w:rsidR="004722A8" w:rsidRPr="00942872">
        <w:t>,</w:t>
      </w:r>
      <w:r w:rsidR="002A615A" w:rsidRPr="00942872">
        <w:t xml:space="preserve"> with addition </w:t>
      </w:r>
      <w:r w:rsidR="004722A8" w:rsidRPr="00942872">
        <w:t>of</w:t>
      </w:r>
      <w:r w:rsidR="002A615A" w:rsidRPr="00942872">
        <w:t xml:space="preserve"> chemotherapy</w:t>
      </w:r>
      <w:r w:rsidR="004722A8" w:rsidRPr="00942872">
        <w:t>,</w:t>
      </w:r>
      <w:r w:rsidR="002A615A" w:rsidRPr="00942872">
        <w:t xml:space="preserve"> ha</w:t>
      </w:r>
      <w:r w:rsidR="00FE7D55" w:rsidRPr="00942872">
        <w:t>sn</w:t>
      </w:r>
      <w:r w:rsidR="002A615A" w:rsidRPr="00942872">
        <w:t xml:space="preserve">’t been previously </w:t>
      </w:r>
      <w:r w:rsidR="00B1563B" w:rsidRPr="00942872">
        <w:t>established</w:t>
      </w:r>
      <w:r w:rsidR="002A615A" w:rsidRPr="00942872">
        <w:t>. Nevertheless, a potential confounding effect on OS (potential inflation of the OS effect) cannot be ruled</w:t>
      </w:r>
      <w:r w:rsidR="00CE512B" w:rsidRPr="00942872">
        <w:t xml:space="preserve"> out</w:t>
      </w:r>
      <w:r w:rsidR="002A615A" w:rsidRPr="00942872">
        <w:t>, as such use is not allowed by the proposed PBS listing</w:t>
      </w:r>
      <w:r w:rsidR="004722A8" w:rsidRPr="00942872">
        <w:t xml:space="preserve"> or Product information</w:t>
      </w:r>
      <w:r w:rsidR="002A615A" w:rsidRPr="00942872">
        <w:t>.</w:t>
      </w:r>
    </w:p>
    <w:p w14:paraId="1C7AAF06" w14:textId="77777777" w:rsidR="004573E8" w:rsidRPr="005467E8" w:rsidRDefault="004573E8" w:rsidP="004573E8">
      <w:pPr>
        <w:pStyle w:val="3-BodyText"/>
      </w:pPr>
      <w:r w:rsidRPr="005467E8">
        <w:t>The ESC</w:t>
      </w:r>
      <w:r w:rsidR="002F2882" w:rsidRPr="005467E8">
        <w:t xml:space="preserve"> noted</w:t>
      </w:r>
      <w:r w:rsidRPr="005467E8">
        <w:t xml:space="preserve"> the differences between Study 1624 and the Australian setting </w:t>
      </w:r>
      <w:r w:rsidR="00947B4B" w:rsidRPr="005467E8">
        <w:t xml:space="preserve">(see paragraph </w:t>
      </w:r>
      <w:r w:rsidR="002177FE">
        <w:t>6.23</w:t>
      </w:r>
      <w:r w:rsidR="00947B4B" w:rsidRPr="005467E8">
        <w:t xml:space="preserve">) </w:t>
      </w:r>
      <w:r w:rsidR="002F2882" w:rsidRPr="005467E8">
        <w:t xml:space="preserve">but considered that, overall, </w:t>
      </w:r>
      <w:r w:rsidRPr="005467E8">
        <w:t>the evidence is reasonably applicable to the Australian setting.</w:t>
      </w:r>
    </w:p>
    <w:p w14:paraId="29992C48" w14:textId="77777777" w:rsidR="007805A7" w:rsidRPr="00942872" w:rsidRDefault="002C627C" w:rsidP="0011525E">
      <w:pPr>
        <w:pStyle w:val="3-BodyText"/>
      </w:pPr>
      <w:r w:rsidRPr="00942872">
        <w:t xml:space="preserve">Data </w:t>
      </w:r>
      <w:r w:rsidR="00610AF9" w:rsidRPr="00942872">
        <w:t>on</w:t>
      </w:r>
      <w:r w:rsidR="00792806" w:rsidRPr="00942872">
        <w:t xml:space="preserve"> KN024 and KN042 were available at different </w:t>
      </w:r>
      <w:r w:rsidR="00BB0EA2" w:rsidRPr="00942872">
        <w:t>data cutoff (DCO)</w:t>
      </w:r>
      <w:r w:rsidR="00CE512B" w:rsidRPr="00942872">
        <w:t xml:space="preserve"> dates</w:t>
      </w:r>
      <w:r w:rsidR="00BB0EA2" w:rsidRPr="00942872">
        <w:t xml:space="preserve">. </w:t>
      </w:r>
      <w:r w:rsidR="007805A7" w:rsidRPr="00942872">
        <w:t xml:space="preserve">Results from KN024 at </w:t>
      </w:r>
      <w:r w:rsidR="00BB0EA2" w:rsidRPr="00942872">
        <w:t xml:space="preserve">DCO </w:t>
      </w:r>
      <w:r w:rsidR="007805A7" w:rsidRPr="00942872">
        <w:t xml:space="preserve">May 2016 </w:t>
      </w:r>
      <w:r w:rsidR="007C39C6" w:rsidRPr="00942872">
        <w:t xml:space="preserve">(for PFS) </w:t>
      </w:r>
      <w:r w:rsidR="007805A7" w:rsidRPr="00942872">
        <w:t xml:space="preserve">and DCO July 2017 </w:t>
      </w:r>
      <w:r w:rsidR="007C39C6" w:rsidRPr="00942872">
        <w:t xml:space="preserve">(for OS and ORR) </w:t>
      </w:r>
      <w:r w:rsidR="007805A7" w:rsidRPr="00942872">
        <w:t>and from KN042 at DCO February 2018 were used in the ITC due to the duration of follow-up being similar to Study 1624.</w:t>
      </w:r>
      <w:r w:rsidR="007C39C6" w:rsidRPr="00942872">
        <w:t xml:space="preserve"> </w:t>
      </w:r>
      <w:r w:rsidR="007805A7" w:rsidRPr="00942872">
        <w:t xml:space="preserve">The submission </w:t>
      </w:r>
      <w:r w:rsidR="00D217ED" w:rsidRPr="00942872">
        <w:t xml:space="preserve">also </w:t>
      </w:r>
      <w:r w:rsidR="007805A7" w:rsidRPr="00942872">
        <w:t xml:space="preserve">presented updated data for KN024 (DCO June 2020) and KN042 (DCO September 2018), and the results from KN042 China Study. In summary, the updated data from KN024 and KN042 and the results of KN042 China Study were largely consistent with the results </w:t>
      </w:r>
      <w:r w:rsidR="00447B40" w:rsidRPr="00942872">
        <w:t>used in the ITC</w:t>
      </w:r>
      <w:r w:rsidR="007805A7" w:rsidRPr="00942872">
        <w:t xml:space="preserve">. </w:t>
      </w:r>
    </w:p>
    <w:p w14:paraId="74449B59" w14:textId="77777777" w:rsidR="007805A7" w:rsidRPr="00942872" w:rsidRDefault="007805A7" w:rsidP="007805A7">
      <w:pPr>
        <w:pStyle w:val="3-BodyText"/>
      </w:pPr>
      <w:r w:rsidRPr="00942872">
        <w:t>The primary ITC results of OS and PFS are presented below.</w:t>
      </w:r>
      <w:r w:rsidR="00410064" w:rsidRPr="00942872">
        <w:t xml:space="preserve"> </w:t>
      </w:r>
    </w:p>
    <w:p w14:paraId="07089355" w14:textId="77777777" w:rsidR="007805A7" w:rsidRPr="00942872" w:rsidRDefault="007805A7" w:rsidP="007F4041">
      <w:pPr>
        <w:pStyle w:val="TableFigureHeading"/>
        <w:keepLines/>
      </w:pPr>
      <w:bookmarkStart w:id="16" w:name="_Ref84595421"/>
      <w:r w:rsidRPr="00942872">
        <w:t xml:space="preserve">Table </w:t>
      </w:r>
      <w:r w:rsidR="002177FE">
        <w:rPr>
          <w:noProof/>
        </w:rPr>
        <w:t>6</w:t>
      </w:r>
      <w:bookmarkEnd w:id="16"/>
      <w:r w:rsidRPr="00942872">
        <w:t>: Summary of results of the indirect comparison for OS and PFS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Caption w:val="Table 6: Summary of results of the indirect comparison for OS and PFS"/>
      </w:tblPr>
      <w:tblGrid>
        <w:gridCol w:w="1696"/>
        <w:gridCol w:w="1416"/>
        <w:gridCol w:w="6"/>
        <w:gridCol w:w="980"/>
        <w:gridCol w:w="6"/>
        <w:gridCol w:w="570"/>
        <w:gridCol w:w="1275"/>
        <w:gridCol w:w="566"/>
        <w:gridCol w:w="1277"/>
        <w:gridCol w:w="1275"/>
      </w:tblGrid>
      <w:tr w:rsidR="007805A7" w:rsidRPr="00942872" w14:paraId="1D82E6F8" w14:textId="77777777" w:rsidTr="00816960">
        <w:tc>
          <w:tcPr>
            <w:tcW w:w="1696" w:type="dxa"/>
            <w:shd w:val="clear" w:color="auto" w:fill="FFFFFF" w:themeFill="background1"/>
          </w:tcPr>
          <w:p w14:paraId="6F08C9DD" w14:textId="77777777" w:rsidR="007805A7" w:rsidRPr="00942872" w:rsidRDefault="007805A7" w:rsidP="007F4041">
            <w:pPr>
              <w:pStyle w:val="SubmTableHeading"/>
              <w:keepLines/>
              <w:spacing w:after="0"/>
              <w:ind w:right="-57"/>
              <w:rPr>
                <w:sz w:val="20"/>
                <w:szCs w:val="20"/>
              </w:rPr>
            </w:pPr>
          </w:p>
        </w:tc>
        <w:tc>
          <w:tcPr>
            <w:tcW w:w="1416" w:type="dxa"/>
            <w:shd w:val="clear" w:color="auto" w:fill="FFFFFF" w:themeFill="background1"/>
          </w:tcPr>
          <w:p w14:paraId="3F352702" w14:textId="77777777" w:rsidR="007805A7" w:rsidRPr="00942872" w:rsidRDefault="007805A7" w:rsidP="007F4041">
            <w:pPr>
              <w:pStyle w:val="SubmTableHeading"/>
              <w:keepLines/>
              <w:spacing w:after="0"/>
              <w:jc w:val="center"/>
              <w:rPr>
                <w:sz w:val="20"/>
                <w:szCs w:val="20"/>
              </w:rPr>
            </w:pPr>
            <w:r w:rsidRPr="00942872">
              <w:rPr>
                <w:sz w:val="20"/>
                <w:szCs w:val="20"/>
              </w:rPr>
              <w:t>Trial ID</w:t>
            </w:r>
          </w:p>
        </w:tc>
        <w:tc>
          <w:tcPr>
            <w:tcW w:w="992" w:type="dxa"/>
            <w:gridSpan w:val="3"/>
            <w:shd w:val="clear" w:color="auto" w:fill="FFFFFF" w:themeFill="background1"/>
          </w:tcPr>
          <w:p w14:paraId="75265E27" w14:textId="77777777" w:rsidR="007805A7" w:rsidRPr="00942872" w:rsidRDefault="007805A7" w:rsidP="007F4041">
            <w:pPr>
              <w:pStyle w:val="SubmTableHeading"/>
              <w:keepLines/>
              <w:spacing w:after="0"/>
              <w:ind w:left="-57" w:right="-57"/>
              <w:jc w:val="center"/>
              <w:rPr>
                <w:sz w:val="20"/>
                <w:szCs w:val="20"/>
              </w:rPr>
            </w:pPr>
            <w:r w:rsidRPr="00942872">
              <w:rPr>
                <w:sz w:val="20"/>
                <w:szCs w:val="20"/>
              </w:rPr>
              <w:t>Follow</w:t>
            </w:r>
            <w:r w:rsidRPr="00942872">
              <w:rPr>
                <w:sz w:val="20"/>
                <w:szCs w:val="20"/>
              </w:rPr>
              <w:noBreakHyphen/>
              <w:t>up,</w:t>
            </w:r>
            <w:r w:rsidR="00610AF9" w:rsidRPr="00942872">
              <w:rPr>
                <w:sz w:val="20"/>
                <w:szCs w:val="20"/>
              </w:rPr>
              <w:t xml:space="preserve"> m</w:t>
            </w:r>
            <w:r w:rsidRPr="00942872">
              <w:rPr>
                <w:sz w:val="20"/>
                <w:szCs w:val="20"/>
              </w:rPr>
              <w:t>ths</w:t>
            </w:r>
          </w:p>
        </w:tc>
        <w:tc>
          <w:tcPr>
            <w:tcW w:w="570" w:type="dxa"/>
            <w:shd w:val="clear" w:color="auto" w:fill="FFFFFF" w:themeFill="background1"/>
          </w:tcPr>
          <w:p w14:paraId="5BF6E39F" w14:textId="77777777" w:rsidR="007805A7" w:rsidRPr="00942872" w:rsidRDefault="007805A7" w:rsidP="007F4041">
            <w:pPr>
              <w:pStyle w:val="SubmTableHeading"/>
              <w:keepLines/>
              <w:spacing w:after="0"/>
              <w:jc w:val="center"/>
              <w:rPr>
                <w:sz w:val="20"/>
                <w:szCs w:val="20"/>
              </w:rPr>
            </w:pPr>
            <w:r w:rsidRPr="00942872">
              <w:rPr>
                <w:sz w:val="20"/>
                <w:szCs w:val="20"/>
              </w:rPr>
              <w:t>N</w:t>
            </w:r>
          </w:p>
        </w:tc>
        <w:tc>
          <w:tcPr>
            <w:tcW w:w="1275" w:type="dxa"/>
            <w:shd w:val="clear" w:color="auto" w:fill="FFFFFF" w:themeFill="background1"/>
          </w:tcPr>
          <w:p w14:paraId="29872281" w14:textId="77777777" w:rsidR="007805A7" w:rsidRPr="00942872" w:rsidRDefault="00223BCB" w:rsidP="007F4041">
            <w:pPr>
              <w:pStyle w:val="SubmTableHeading"/>
              <w:keepLines/>
              <w:spacing w:after="0"/>
              <w:ind w:left="-57" w:right="-57"/>
              <w:jc w:val="center"/>
              <w:rPr>
                <w:sz w:val="20"/>
                <w:szCs w:val="20"/>
              </w:rPr>
            </w:pPr>
            <w:r w:rsidRPr="00942872">
              <w:rPr>
                <w:sz w:val="20"/>
                <w:szCs w:val="20"/>
              </w:rPr>
              <w:t>PD</w:t>
            </w:r>
            <w:r w:rsidRPr="00942872">
              <w:rPr>
                <w:sz w:val="20"/>
                <w:szCs w:val="20"/>
              </w:rPr>
              <w:noBreakHyphen/>
            </w:r>
            <w:r w:rsidR="007805A7" w:rsidRPr="00942872">
              <w:rPr>
                <w:sz w:val="20"/>
                <w:szCs w:val="20"/>
              </w:rPr>
              <w:t>1 inhibitor</w:t>
            </w:r>
          </w:p>
          <w:p w14:paraId="40437D3D" w14:textId="77777777" w:rsidR="007805A7" w:rsidRPr="00942872" w:rsidRDefault="007805A7" w:rsidP="007F4041">
            <w:pPr>
              <w:pStyle w:val="SubmTableHeading"/>
              <w:keepLines/>
              <w:spacing w:after="0"/>
              <w:ind w:left="-57" w:right="-57"/>
              <w:jc w:val="center"/>
              <w:rPr>
                <w:sz w:val="20"/>
                <w:szCs w:val="20"/>
              </w:rPr>
            </w:pPr>
            <w:r w:rsidRPr="00942872">
              <w:rPr>
                <w:sz w:val="20"/>
                <w:szCs w:val="20"/>
              </w:rPr>
              <w:t>Median</w:t>
            </w:r>
            <w:r w:rsidR="004C46D9" w:rsidRPr="00942872">
              <w:rPr>
                <w:sz w:val="20"/>
                <w:szCs w:val="20"/>
              </w:rPr>
              <w:t>,</w:t>
            </w:r>
            <w:r w:rsidRPr="00942872">
              <w:rPr>
                <w:sz w:val="20"/>
                <w:szCs w:val="20"/>
              </w:rPr>
              <w:t xml:space="preserve"> mths</w:t>
            </w:r>
          </w:p>
          <w:p w14:paraId="782866D9" w14:textId="77777777" w:rsidR="007805A7" w:rsidRPr="00942872" w:rsidRDefault="001A241F" w:rsidP="007F4041">
            <w:pPr>
              <w:pStyle w:val="SubmTableHeading"/>
              <w:keepLines/>
              <w:spacing w:after="0"/>
              <w:ind w:left="-57" w:right="-57"/>
              <w:jc w:val="center"/>
              <w:rPr>
                <w:sz w:val="20"/>
                <w:szCs w:val="20"/>
              </w:rPr>
            </w:pPr>
            <w:r w:rsidRPr="00942872">
              <w:rPr>
                <w:sz w:val="20"/>
                <w:szCs w:val="20"/>
              </w:rPr>
              <w:t>[</w:t>
            </w:r>
            <w:r w:rsidR="007805A7" w:rsidRPr="00942872">
              <w:rPr>
                <w:sz w:val="20"/>
                <w:szCs w:val="20"/>
              </w:rPr>
              <w:t>95% CI</w:t>
            </w:r>
            <w:r w:rsidRPr="00942872">
              <w:rPr>
                <w:sz w:val="20"/>
                <w:szCs w:val="20"/>
              </w:rPr>
              <w:t>]</w:t>
            </w:r>
          </w:p>
        </w:tc>
        <w:tc>
          <w:tcPr>
            <w:tcW w:w="566" w:type="dxa"/>
            <w:shd w:val="clear" w:color="auto" w:fill="FFFFFF" w:themeFill="background1"/>
          </w:tcPr>
          <w:p w14:paraId="40FE7CEE" w14:textId="77777777" w:rsidR="007805A7" w:rsidRPr="00942872" w:rsidRDefault="007805A7" w:rsidP="007F4041">
            <w:pPr>
              <w:pStyle w:val="SubmTableHeading"/>
              <w:keepLines/>
              <w:spacing w:after="0"/>
              <w:jc w:val="center"/>
              <w:rPr>
                <w:sz w:val="20"/>
                <w:szCs w:val="20"/>
              </w:rPr>
            </w:pPr>
            <w:r w:rsidRPr="00942872">
              <w:rPr>
                <w:sz w:val="20"/>
                <w:szCs w:val="20"/>
              </w:rPr>
              <w:t>N</w:t>
            </w:r>
          </w:p>
        </w:tc>
        <w:tc>
          <w:tcPr>
            <w:tcW w:w="1277" w:type="dxa"/>
            <w:shd w:val="clear" w:color="auto" w:fill="FFFFFF" w:themeFill="background1"/>
          </w:tcPr>
          <w:p w14:paraId="7E0B9817" w14:textId="77777777" w:rsidR="007805A7" w:rsidRPr="00942872" w:rsidRDefault="007805A7" w:rsidP="007F4041">
            <w:pPr>
              <w:pStyle w:val="SubmTableHeading"/>
              <w:keepLines/>
              <w:spacing w:after="0"/>
              <w:ind w:left="-57" w:right="-57"/>
              <w:jc w:val="center"/>
              <w:rPr>
                <w:sz w:val="20"/>
                <w:szCs w:val="20"/>
              </w:rPr>
            </w:pPr>
            <w:r w:rsidRPr="00942872">
              <w:rPr>
                <w:sz w:val="20"/>
                <w:szCs w:val="20"/>
              </w:rPr>
              <w:t>Chemotherapy</w:t>
            </w:r>
          </w:p>
          <w:p w14:paraId="1DD69E32" w14:textId="77777777" w:rsidR="007805A7" w:rsidRPr="00942872" w:rsidRDefault="007805A7" w:rsidP="007F4041">
            <w:pPr>
              <w:pStyle w:val="SubmTableHeading"/>
              <w:keepLines/>
              <w:spacing w:after="0"/>
              <w:ind w:left="-57" w:right="-57"/>
              <w:jc w:val="center"/>
              <w:rPr>
                <w:sz w:val="20"/>
                <w:szCs w:val="20"/>
              </w:rPr>
            </w:pPr>
            <w:r w:rsidRPr="00942872">
              <w:rPr>
                <w:sz w:val="20"/>
                <w:szCs w:val="20"/>
              </w:rPr>
              <w:t>Median</w:t>
            </w:r>
            <w:r w:rsidR="004C46D9" w:rsidRPr="00942872">
              <w:rPr>
                <w:sz w:val="20"/>
                <w:szCs w:val="20"/>
              </w:rPr>
              <w:t>,</w:t>
            </w:r>
            <w:r w:rsidRPr="00942872">
              <w:rPr>
                <w:sz w:val="20"/>
                <w:szCs w:val="20"/>
              </w:rPr>
              <w:t xml:space="preserve"> mths</w:t>
            </w:r>
          </w:p>
          <w:p w14:paraId="4D7FB71C" w14:textId="77777777" w:rsidR="007805A7" w:rsidRPr="00942872" w:rsidRDefault="001A241F" w:rsidP="007F4041">
            <w:pPr>
              <w:pStyle w:val="SubmTableHeading"/>
              <w:keepLines/>
              <w:spacing w:after="0"/>
              <w:ind w:left="-57" w:right="-57"/>
              <w:jc w:val="center"/>
              <w:rPr>
                <w:sz w:val="20"/>
                <w:szCs w:val="20"/>
              </w:rPr>
            </w:pPr>
            <w:r w:rsidRPr="00942872">
              <w:rPr>
                <w:sz w:val="20"/>
                <w:szCs w:val="20"/>
              </w:rPr>
              <w:t>[</w:t>
            </w:r>
            <w:r w:rsidR="007805A7" w:rsidRPr="00942872">
              <w:rPr>
                <w:sz w:val="20"/>
                <w:szCs w:val="20"/>
              </w:rPr>
              <w:t>95% CI</w:t>
            </w:r>
            <w:r w:rsidRPr="00942872">
              <w:rPr>
                <w:sz w:val="20"/>
                <w:szCs w:val="20"/>
              </w:rPr>
              <w:t>]</w:t>
            </w:r>
          </w:p>
        </w:tc>
        <w:tc>
          <w:tcPr>
            <w:tcW w:w="1275" w:type="dxa"/>
            <w:shd w:val="clear" w:color="auto" w:fill="FFFFFF" w:themeFill="background1"/>
          </w:tcPr>
          <w:p w14:paraId="37A089EF" w14:textId="77777777" w:rsidR="007805A7" w:rsidRPr="00942872" w:rsidRDefault="007805A7" w:rsidP="007F4041">
            <w:pPr>
              <w:pStyle w:val="SubmTableHeading"/>
              <w:keepLines/>
              <w:spacing w:after="0"/>
              <w:jc w:val="center"/>
              <w:rPr>
                <w:sz w:val="20"/>
                <w:szCs w:val="20"/>
              </w:rPr>
            </w:pPr>
            <w:r w:rsidRPr="00942872">
              <w:rPr>
                <w:sz w:val="20"/>
                <w:szCs w:val="20"/>
              </w:rPr>
              <w:t>HR</w:t>
            </w:r>
          </w:p>
          <w:p w14:paraId="24D86AB8" w14:textId="77777777" w:rsidR="007805A7" w:rsidRPr="00942872" w:rsidRDefault="001A241F" w:rsidP="007F4041">
            <w:pPr>
              <w:pStyle w:val="SubmTableHeading"/>
              <w:keepLines/>
              <w:spacing w:after="0"/>
              <w:jc w:val="center"/>
              <w:rPr>
                <w:sz w:val="20"/>
                <w:szCs w:val="20"/>
              </w:rPr>
            </w:pPr>
            <w:r w:rsidRPr="00942872">
              <w:rPr>
                <w:sz w:val="20"/>
                <w:szCs w:val="20"/>
              </w:rPr>
              <w:t>[</w:t>
            </w:r>
            <w:r w:rsidR="007805A7" w:rsidRPr="00942872">
              <w:rPr>
                <w:sz w:val="20"/>
                <w:szCs w:val="20"/>
              </w:rPr>
              <w:t>95% CI</w:t>
            </w:r>
            <w:r w:rsidRPr="00942872">
              <w:rPr>
                <w:sz w:val="20"/>
                <w:szCs w:val="20"/>
              </w:rPr>
              <w:t>]</w:t>
            </w:r>
          </w:p>
        </w:tc>
      </w:tr>
      <w:tr w:rsidR="007805A7" w:rsidRPr="00942872" w14:paraId="4D158C8A" w14:textId="77777777" w:rsidTr="00816960">
        <w:tc>
          <w:tcPr>
            <w:tcW w:w="9067" w:type="dxa"/>
            <w:gridSpan w:val="10"/>
            <w:shd w:val="clear" w:color="auto" w:fill="FFFFFF" w:themeFill="background1"/>
          </w:tcPr>
          <w:p w14:paraId="41E36E91" w14:textId="77777777" w:rsidR="007805A7" w:rsidRPr="00942872" w:rsidRDefault="007805A7" w:rsidP="007F4041">
            <w:pPr>
              <w:keepNext/>
              <w:keepLines/>
              <w:jc w:val="left"/>
              <w:rPr>
                <w:rFonts w:ascii="Arial Narrow" w:hAnsi="Arial Narrow" w:cstheme="minorHAnsi"/>
                <w:b/>
                <w:sz w:val="20"/>
                <w:szCs w:val="20"/>
              </w:rPr>
            </w:pPr>
            <w:r w:rsidRPr="00942872">
              <w:rPr>
                <w:rFonts w:ascii="Arial Narrow" w:hAnsi="Arial Narrow" w:cstheme="minorHAnsi"/>
                <w:b/>
                <w:sz w:val="20"/>
                <w:szCs w:val="20"/>
              </w:rPr>
              <w:t>OS</w:t>
            </w:r>
          </w:p>
        </w:tc>
      </w:tr>
      <w:tr w:rsidR="00080418" w:rsidRPr="00942872" w14:paraId="1EBBE7F8" w14:textId="77777777" w:rsidTr="00816960">
        <w:tc>
          <w:tcPr>
            <w:tcW w:w="1696" w:type="dxa"/>
            <w:vMerge w:val="restart"/>
            <w:shd w:val="clear" w:color="auto" w:fill="FFFFFF" w:themeFill="background1"/>
          </w:tcPr>
          <w:p w14:paraId="4EBD5822" w14:textId="77777777" w:rsidR="00080418" w:rsidRPr="00942872" w:rsidRDefault="00080418" w:rsidP="007F4041">
            <w:pPr>
              <w:keepNext/>
              <w:keepLines/>
              <w:ind w:right="-57"/>
              <w:jc w:val="left"/>
              <w:rPr>
                <w:rFonts w:ascii="Arial Narrow" w:hAnsi="Arial Narrow" w:cstheme="minorHAnsi"/>
                <w:sz w:val="20"/>
                <w:szCs w:val="20"/>
              </w:rPr>
            </w:pPr>
            <w:r w:rsidRPr="00942872">
              <w:rPr>
                <w:rFonts w:ascii="Arial Narrow" w:hAnsi="Arial Narrow" w:cstheme="minorHAnsi"/>
                <w:sz w:val="20"/>
                <w:szCs w:val="20"/>
              </w:rPr>
              <w:t>Cemiplimab vs. chemotherapy</w:t>
            </w:r>
          </w:p>
        </w:tc>
        <w:tc>
          <w:tcPr>
            <w:tcW w:w="1416" w:type="dxa"/>
            <w:shd w:val="clear" w:color="auto" w:fill="FFFFFF" w:themeFill="background1"/>
          </w:tcPr>
          <w:p w14:paraId="50EAED90" w14:textId="77777777" w:rsidR="00080418" w:rsidRPr="00942872" w:rsidRDefault="00080418" w:rsidP="007F4041">
            <w:pPr>
              <w:keepNext/>
              <w:keepLines/>
              <w:rPr>
                <w:rFonts w:ascii="Arial Narrow" w:hAnsi="Arial Narrow" w:cstheme="minorHAnsi"/>
                <w:sz w:val="20"/>
                <w:szCs w:val="20"/>
              </w:rPr>
            </w:pPr>
            <w:r w:rsidRPr="00942872">
              <w:rPr>
                <w:rFonts w:ascii="Arial Narrow" w:hAnsi="Arial Narrow" w:cstheme="minorHAnsi"/>
                <w:sz w:val="20"/>
                <w:szCs w:val="20"/>
              </w:rPr>
              <w:t>1624 ITT</w:t>
            </w:r>
          </w:p>
        </w:tc>
        <w:tc>
          <w:tcPr>
            <w:tcW w:w="992" w:type="dxa"/>
            <w:gridSpan w:val="3"/>
            <w:shd w:val="clear" w:color="auto" w:fill="FFFFFF" w:themeFill="background1"/>
          </w:tcPr>
          <w:p w14:paraId="5FA885A7" w14:textId="77777777" w:rsidR="00080418" w:rsidRPr="00942872" w:rsidRDefault="00080418" w:rsidP="007F4041">
            <w:pPr>
              <w:keepNext/>
              <w:keepLines/>
              <w:jc w:val="center"/>
              <w:rPr>
                <w:rFonts w:ascii="Arial Narrow" w:hAnsi="Arial Narrow" w:cstheme="minorHAnsi"/>
                <w:sz w:val="20"/>
                <w:szCs w:val="20"/>
              </w:rPr>
            </w:pPr>
            <w:r w:rsidRPr="00942872">
              <w:rPr>
                <w:rFonts w:ascii="Arial Narrow" w:hAnsi="Arial Narrow" w:cstheme="minorHAnsi"/>
                <w:sz w:val="20"/>
                <w:szCs w:val="20"/>
              </w:rPr>
              <w:t>13.1</w:t>
            </w:r>
          </w:p>
        </w:tc>
        <w:tc>
          <w:tcPr>
            <w:tcW w:w="570" w:type="dxa"/>
            <w:shd w:val="clear" w:color="auto" w:fill="FFFFFF" w:themeFill="background1"/>
          </w:tcPr>
          <w:p w14:paraId="5F1C376D" w14:textId="77777777" w:rsidR="00080418" w:rsidRPr="00942872" w:rsidRDefault="00080418" w:rsidP="007F4041">
            <w:pPr>
              <w:keepNext/>
              <w:keepLines/>
              <w:jc w:val="center"/>
              <w:rPr>
                <w:rFonts w:ascii="Arial Narrow" w:hAnsi="Arial Narrow" w:cstheme="minorHAnsi"/>
                <w:sz w:val="20"/>
                <w:szCs w:val="20"/>
              </w:rPr>
            </w:pPr>
            <w:r w:rsidRPr="00942872">
              <w:rPr>
                <w:rFonts w:ascii="Arial Narrow" w:hAnsi="Arial Narrow" w:cstheme="minorHAnsi"/>
                <w:sz w:val="20"/>
                <w:szCs w:val="20"/>
              </w:rPr>
              <w:t>356</w:t>
            </w:r>
          </w:p>
        </w:tc>
        <w:tc>
          <w:tcPr>
            <w:tcW w:w="1275" w:type="dxa"/>
            <w:shd w:val="clear" w:color="auto" w:fill="FFFFFF" w:themeFill="background1"/>
          </w:tcPr>
          <w:p w14:paraId="58872FAE" w14:textId="77777777" w:rsidR="00080418" w:rsidRPr="00942872" w:rsidRDefault="00080418" w:rsidP="007F4041">
            <w:pPr>
              <w:keepNext/>
              <w:keepLines/>
              <w:jc w:val="center"/>
              <w:rPr>
                <w:rFonts w:ascii="Arial Narrow" w:hAnsi="Arial Narrow" w:cstheme="minorHAnsi"/>
                <w:sz w:val="20"/>
                <w:szCs w:val="20"/>
              </w:rPr>
            </w:pPr>
            <w:r w:rsidRPr="00942872">
              <w:rPr>
                <w:rFonts w:ascii="Arial Narrow" w:hAnsi="Arial Narrow" w:cstheme="minorHAnsi"/>
                <w:sz w:val="20"/>
                <w:szCs w:val="20"/>
              </w:rPr>
              <w:t xml:space="preserve">22.1 </w:t>
            </w:r>
            <w:r w:rsidRPr="00942872">
              <w:rPr>
                <w:rFonts w:ascii="Arial Narrow" w:hAnsi="Arial Narrow" w:cstheme="minorHAnsi"/>
                <w:sz w:val="20"/>
                <w:szCs w:val="20"/>
              </w:rPr>
              <w:br/>
              <w:t>[17.7, NE]</w:t>
            </w:r>
          </w:p>
        </w:tc>
        <w:tc>
          <w:tcPr>
            <w:tcW w:w="566" w:type="dxa"/>
            <w:shd w:val="clear" w:color="auto" w:fill="FFFFFF" w:themeFill="background1"/>
          </w:tcPr>
          <w:p w14:paraId="553D134E" w14:textId="77777777" w:rsidR="00080418" w:rsidRPr="00942872" w:rsidRDefault="00080418" w:rsidP="007F4041">
            <w:pPr>
              <w:keepNext/>
              <w:keepLines/>
              <w:jc w:val="center"/>
              <w:rPr>
                <w:rFonts w:ascii="Arial Narrow" w:hAnsi="Arial Narrow" w:cstheme="minorHAnsi"/>
                <w:sz w:val="20"/>
                <w:szCs w:val="20"/>
              </w:rPr>
            </w:pPr>
            <w:r w:rsidRPr="00942872">
              <w:rPr>
                <w:rFonts w:ascii="Arial Narrow" w:hAnsi="Arial Narrow" w:cstheme="minorHAnsi"/>
                <w:sz w:val="20"/>
                <w:szCs w:val="20"/>
              </w:rPr>
              <w:t>354</w:t>
            </w:r>
          </w:p>
        </w:tc>
        <w:tc>
          <w:tcPr>
            <w:tcW w:w="1277" w:type="dxa"/>
            <w:shd w:val="clear" w:color="auto" w:fill="FFFFFF" w:themeFill="background1"/>
          </w:tcPr>
          <w:p w14:paraId="231A8329" w14:textId="77777777" w:rsidR="00080418" w:rsidRPr="00942872" w:rsidRDefault="00080418" w:rsidP="007F4041">
            <w:pPr>
              <w:keepNext/>
              <w:keepLines/>
              <w:jc w:val="center"/>
              <w:rPr>
                <w:rFonts w:ascii="Arial Narrow" w:hAnsi="Arial Narrow" w:cstheme="minorHAnsi"/>
                <w:sz w:val="20"/>
                <w:szCs w:val="20"/>
              </w:rPr>
            </w:pPr>
            <w:r w:rsidRPr="00942872">
              <w:rPr>
                <w:rFonts w:ascii="Arial Narrow" w:hAnsi="Arial Narrow" w:cstheme="minorHAnsi"/>
                <w:sz w:val="20"/>
                <w:szCs w:val="20"/>
              </w:rPr>
              <w:t xml:space="preserve">14.3 </w:t>
            </w:r>
            <w:r w:rsidRPr="00942872">
              <w:rPr>
                <w:rFonts w:ascii="Arial Narrow" w:hAnsi="Arial Narrow" w:cstheme="minorHAnsi"/>
                <w:sz w:val="20"/>
                <w:szCs w:val="20"/>
              </w:rPr>
              <w:br/>
              <w:t>[11.7, 19.2]</w:t>
            </w:r>
          </w:p>
        </w:tc>
        <w:tc>
          <w:tcPr>
            <w:tcW w:w="1275" w:type="dxa"/>
            <w:shd w:val="clear" w:color="auto" w:fill="FFFFFF" w:themeFill="background1"/>
          </w:tcPr>
          <w:p w14:paraId="4B267DFB" w14:textId="77777777" w:rsidR="00080418" w:rsidRPr="00942872" w:rsidRDefault="00080418" w:rsidP="007F4041">
            <w:pPr>
              <w:keepNext/>
              <w:keepLines/>
              <w:jc w:val="center"/>
              <w:rPr>
                <w:rFonts w:ascii="Arial Narrow" w:hAnsi="Arial Narrow" w:cstheme="minorHAnsi"/>
                <w:sz w:val="20"/>
                <w:szCs w:val="20"/>
              </w:rPr>
            </w:pPr>
            <w:r w:rsidRPr="00942872">
              <w:rPr>
                <w:rFonts w:ascii="Arial Narrow" w:hAnsi="Arial Narrow" w:cstheme="minorHAnsi"/>
                <w:sz w:val="20"/>
                <w:szCs w:val="20"/>
              </w:rPr>
              <w:t>0.68 [0.53, 0.87]</w:t>
            </w:r>
          </w:p>
        </w:tc>
      </w:tr>
      <w:tr w:rsidR="00080418" w:rsidRPr="00942872" w14:paraId="4AE6790F" w14:textId="77777777" w:rsidTr="00816960">
        <w:tc>
          <w:tcPr>
            <w:tcW w:w="1696" w:type="dxa"/>
            <w:vMerge/>
            <w:shd w:val="clear" w:color="auto" w:fill="FFFFFF" w:themeFill="background1"/>
          </w:tcPr>
          <w:p w14:paraId="29BECA25" w14:textId="77777777" w:rsidR="00080418" w:rsidRPr="00942872" w:rsidRDefault="00080418" w:rsidP="007F4041">
            <w:pPr>
              <w:keepNext/>
              <w:keepLines/>
              <w:ind w:right="-57"/>
              <w:jc w:val="left"/>
              <w:rPr>
                <w:rFonts w:ascii="Arial Narrow" w:hAnsi="Arial Narrow" w:cstheme="minorHAnsi"/>
                <w:sz w:val="20"/>
                <w:szCs w:val="20"/>
              </w:rPr>
            </w:pPr>
          </w:p>
        </w:tc>
        <w:tc>
          <w:tcPr>
            <w:tcW w:w="1416" w:type="dxa"/>
            <w:shd w:val="clear" w:color="auto" w:fill="FFFFFF" w:themeFill="background1"/>
          </w:tcPr>
          <w:p w14:paraId="175DB7FF" w14:textId="77777777" w:rsidR="00080418" w:rsidRPr="00942872" w:rsidRDefault="00080418" w:rsidP="007F4041">
            <w:pPr>
              <w:keepNext/>
              <w:keepLines/>
              <w:rPr>
                <w:rFonts w:ascii="Arial Narrow" w:hAnsi="Arial Narrow" w:cstheme="minorHAnsi"/>
                <w:sz w:val="20"/>
                <w:szCs w:val="20"/>
              </w:rPr>
            </w:pPr>
            <w:r>
              <w:rPr>
                <w:rFonts w:ascii="Arial Narrow" w:hAnsi="Arial Narrow" w:cstheme="minorHAnsi"/>
                <w:sz w:val="20"/>
                <w:szCs w:val="20"/>
              </w:rPr>
              <w:t>1624 mITT-1</w:t>
            </w:r>
          </w:p>
        </w:tc>
        <w:tc>
          <w:tcPr>
            <w:tcW w:w="992" w:type="dxa"/>
            <w:gridSpan w:val="3"/>
            <w:shd w:val="clear" w:color="auto" w:fill="FFFFFF" w:themeFill="background1"/>
          </w:tcPr>
          <w:p w14:paraId="01688137" w14:textId="77777777" w:rsidR="00080418" w:rsidRPr="00942872" w:rsidRDefault="00080418" w:rsidP="007F4041">
            <w:pPr>
              <w:keepNext/>
              <w:keepLines/>
              <w:jc w:val="center"/>
              <w:rPr>
                <w:rFonts w:ascii="Arial Narrow" w:hAnsi="Arial Narrow" w:cs="Calibri"/>
                <w:color w:val="000000"/>
                <w:sz w:val="20"/>
                <w:szCs w:val="20"/>
              </w:rPr>
            </w:pPr>
            <w:r>
              <w:rPr>
                <w:rFonts w:ascii="Arial Narrow" w:hAnsi="Arial Narrow" w:cs="Calibri"/>
                <w:color w:val="000000"/>
                <w:sz w:val="20"/>
                <w:szCs w:val="20"/>
              </w:rPr>
              <w:t>13.1</w:t>
            </w:r>
          </w:p>
        </w:tc>
        <w:tc>
          <w:tcPr>
            <w:tcW w:w="570" w:type="dxa"/>
            <w:shd w:val="clear" w:color="auto" w:fill="FFFFFF" w:themeFill="background1"/>
          </w:tcPr>
          <w:p w14:paraId="2131CAB6" w14:textId="77777777" w:rsidR="00080418" w:rsidRPr="00942872" w:rsidRDefault="00080418" w:rsidP="007F4041">
            <w:pPr>
              <w:keepNext/>
              <w:keepLines/>
              <w:jc w:val="center"/>
              <w:rPr>
                <w:rFonts w:ascii="Arial Narrow" w:hAnsi="Arial Narrow" w:cs="Calibri"/>
                <w:color w:val="000000"/>
                <w:sz w:val="20"/>
                <w:szCs w:val="20"/>
              </w:rPr>
            </w:pPr>
            <w:r>
              <w:rPr>
                <w:rFonts w:ascii="Arial Narrow" w:hAnsi="Arial Narrow" w:cs="Calibri"/>
                <w:color w:val="000000"/>
                <w:sz w:val="20"/>
                <w:szCs w:val="20"/>
              </w:rPr>
              <w:t>283</w:t>
            </w:r>
          </w:p>
        </w:tc>
        <w:tc>
          <w:tcPr>
            <w:tcW w:w="1275" w:type="dxa"/>
            <w:shd w:val="clear" w:color="auto" w:fill="FFFFFF" w:themeFill="background1"/>
          </w:tcPr>
          <w:p w14:paraId="0E3A76A6" w14:textId="77777777" w:rsidR="00080418" w:rsidRPr="00942872" w:rsidRDefault="00080418" w:rsidP="007F4041">
            <w:pPr>
              <w:keepNext/>
              <w:keepLines/>
              <w:jc w:val="center"/>
              <w:rPr>
                <w:rFonts w:ascii="Arial Narrow" w:hAnsi="Arial Narrow" w:cstheme="minorHAnsi"/>
                <w:sz w:val="20"/>
                <w:szCs w:val="20"/>
              </w:rPr>
            </w:pPr>
            <w:r>
              <w:rPr>
                <w:rFonts w:ascii="Arial Narrow" w:hAnsi="Arial Narrow" w:cstheme="minorHAnsi"/>
                <w:sz w:val="20"/>
                <w:szCs w:val="20"/>
              </w:rPr>
              <w:t>NR [17.9, NE]</w:t>
            </w:r>
          </w:p>
        </w:tc>
        <w:tc>
          <w:tcPr>
            <w:tcW w:w="566" w:type="dxa"/>
            <w:shd w:val="clear" w:color="auto" w:fill="FFFFFF" w:themeFill="background1"/>
          </w:tcPr>
          <w:p w14:paraId="73E664B4" w14:textId="77777777" w:rsidR="00080418" w:rsidRPr="00942872" w:rsidRDefault="00080418" w:rsidP="007F4041">
            <w:pPr>
              <w:keepNext/>
              <w:keepLines/>
              <w:jc w:val="center"/>
              <w:rPr>
                <w:rFonts w:ascii="Arial Narrow" w:hAnsi="Arial Narrow" w:cs="Calibri"/>
                <w:sz w:val="20"/>
                <w:szCs w:val="20"/>
              </w:rPr>
            </w:pPr>
            <w:r>
              <w:rPr>
                <w:rFonts w:ascii="Arial Narrow" w:hAnsi="Arial Narrow" w:cs="Calibri"/>
                <w:sz w:val="20"/>
                <w:szCs w:val="20"/>
              </w:rPr>
              <w:t>280</w:t>
            </w:r>
          </w:p>
        </w:tc>
        <w:tc>
          <w:tcPr>
            <w:tcW w:w="1277" w:type="dxa"/>
            <w:shd w:val="clear" w:color="auto" w:fill="FFFFFF" w:themeFill="background1"/>
          </w:tcPr>
          <w:p w14:paraId="68B23DE5" w14:textId="77777777" w:rsidR="00080418" w:rsidRPr="00942872" w:rsidRDefault="00080418" w:rsidP="007F4041">
            <w:pPr>
              <w:keepNext/>
              <w:keepLines/>
              <w:jc w:val="center"/>
              <w:rPr>
                <w:rFonts w:ascii="Arial Narrow" w:hAnsi="Arial Narrow" w:cstheme="minorHAnsi"/>
                <w:sz w:val="20"/>
                <w:szCs w:val="20"/>
              </w:rPr>
            </w:pPr>
            <w:r>
              <w:rPr>
                <w:rFonts w:ascii="Arial Narrow" w:hAnsi="Arial Narrow" w:cstheme="minorHAnsi"/>
                <w:sz w:val="20"/>
                <w:szCs w:val="20"/>
              </w:rPr>
              <w:t>14.2 [11.2, 17.5]</w:t>
            </w:r>
          </w:p>
        </w:tc>
        <w:tc>
          <w:tcPr>
            <w:tcW w:w="1275" w:type="dxa"/>
            <w:shd w:val="clear" w:color="auto" w:fill="FFFFFF" w:themeFill="background1"/>
          </w:tcPr>
          <w:p w14:paraId="18FD5D06" w14:textId="77777777" w:rsidR="00080418" w:rsidRPr="00942872" w:rsidRDefault="00080418" w:rsidP="007F4041">
            <w:pPr>
              <w:keepNext/>
              <w:keepLines/>
              <w:jc w:val="center"/>
              <w:rPr>
                <w:rFonts w:ascii="Arial Narrow" w:hAnsi="Arial Narrow" w:cstheme="minorHAnsi"/>
                <w:sz w:val="20"/>
                <w:szCs w:val="20"/>
              </w:rPr>
            </w:pPr>
            <w:r>
              <w:rPr>
                <w:rFonts w:ascii="Arial Narrow" w:hAnsi="Arial Narrow" w:cstheme="minorHAnsi"/>
                <w:sz w:val="20"/>
                <w:szCs w:val="20"/>
              </w:rPr>
              <w:t>0.57 (0.42, 0.77)</w:t>
            </w:r>
          </w:p>
        </w:tc>
      </w:tr>
      <w:tr w:rsidR="007805A7" w:rsidRPr="00942872" w14:paraId="588655C3" w14:textId="77777777" w:rsidTr="00816960">
        <w:tc>
          <w:tcPr>
            <w:tcW w:w="1696" w:type="dxa"/>
            <w:vMerge w:val="restart"/>
            <w:shd w:val="clear" w:color="auto" w:fill="FFFFFF" w:themeFill="background1"/>
          </w:tcPr>
          <w:p w14:paraId="06BF120A" w14:textId="77777777" w:rsidR="007805A7" w:rsidRPr="00942872" w:rsidRDefault="007805A7" w:rsidP="007F4041">
            <w:pPr>
              <w:keepNext/>
              <w:keepLines/>
              <w:ind w:right="-57"/>
              <w:jc w:val="left"/>
              <w:rPr>
                <w:rFonts w:ascii="Arial Narrow" w:hAnsi="Arial Narrow" w:cstheme="minorHAnsi"/>
                <w:sz w:val="20"/>
                <w:szCs w:val="20"/>
              </w:rPr>
            </w:pPr>
            <w:r w:rsidRPr="00942872">
              <w:rPr>
                <w:rFonts w:ascii="Arial Narrow" w:hAnsi="Arial Narrow" w:cstheme="minorHAnsi"/>
                <w:sz w:val="20"/>
                <w:szCs w:val="20"/>
              </w:rPr>
              <w:t>Pembrolizumab vs. chemotherapy</w:t>
            </w:r>
          </w:p>
        </w:tc>
        <w:tc>
          <w:tcPr>
            <w:tcW w:w="1416" w:type="dxa"/>
            <w:shd w:val="clear" w:color="auto" w:fill="FFFFFF" w:themeFill="background1"/>
          </w:tcPr>
          <w:p w14:paraId="6B23B816" w14:textId="77777777" w:rsidR="007805A7" w:rsidRPr="00942872" w:rsidRDefault="004C46D9" w:rsidP="007F4041">
            <w:pPr>
              <w:keepNext/>
              <w:keepLines/>
              <w:rPr>
                <w:rFonts w:ascii="Arial Narrow" w:hAnsi="Arial Narrow" w:cstheme="minorHAnsi"/>
                <w:sz w:val="20"/>
                <w:szCs w:val="20"/>
              </w:rPr>
            </w:pPr>
            <w:r w:rsidRPr="00942872">
              <w:rPr>
                <w:rFonts w:ascii="Arial Narrow" w:hAnsi="Arial Narrow" w:cstheme="minorHAnsi"/>
                <w:sz w:val="20"/>
                <w:szCs w:val="20"/>
              </w:rPr>
              <w:t>KN024</w:t>
            </w:r>
            <w:r w:rsidR="007805A7" w:rsidRPr="00942872">
              <w:rPr>
                <w:rFonts w:ascii="Arial Narrow" w:hAnsi="Arial Narrow" w:cstheme="minorHAnsi"/>
                <w:sz w:val="20"/>
                <w:szCs w:val="20"/>
              </w:rPr>
              <w:t xml:space="preserve"> ITT</w:t>
            </w:r>
          </w:p>
        </w:tc>
        <w:tc>
          <w:tcPr>
            <w:tcW w:w="992" w:type="dxa"/>
            <w:gridSpan w:val="3"/>
            <w:shd w:val="clear" w:color="auto" w:fill="FFFFFF" w:themeFill="background1"/>
          </w:tcPr>
          <w:p w14:paraId="545A1582" w14:textId="77777777" w:rsidR="007805A7" w:rsidRPr="00942872" w:rsidRDefault="007805A7" w:rsidP="007F4041">
            <w:pPr>
              <w:keepNext/>
              <w:keepLines/>
              <w:jc w:val="center"/>
              <w:rPr>
                <w:rFonts w:ascii="Arial Narrow" w:hAnsi="Arial Narrow" w:cstheme="minorHAnsi"/>
                <w:sz w:val="20"/>
                <w:szCs w:val="20"/>
              </w:rPr>
            </w:pPr>
            <w:r w:rsidRPr="00942872">
              <w:rPr>
                <w:rFonts w:ascii="Arial Narrow" w:hAnsi="Arial Narrow" w:cs="Calibri"/>
                <w:color w:val="000000"/>
                <w:sz w:val="20"/>
                <w:szCs w:val="20"/>
              </w:rPr>
              <w:t>25.2</w:t>
            </w:r>
            <w:r w:rsidR="006C39E6" w:rsidRPr="00942872">
              <w:rPr>
                <w:rFonts w:ascii="Arial Narrow" w:hAnsi="Arial Narrow" w:cs="Calibri"/>
                <w:color w:val="000000"/>
                <w:sz w:val="20"/>
                <w:szCs w:val="20"/>
                <w:vertAlign w:val="superscript"/>
              </w:rPr>
              <w:t>a</w:t>
            </w:r>
          </w:p>
        </w:tc>
        <w:tc>
          <w:tcPr>
            <w:tcW w:w="570" w:type="dxa"/>
            <w:shd w:val="clear" w:color="auto" w:fill="FFFFFF" w:themeFill="background1"/>
          </w:tcPr>
          <w:p w14:paraId="1EF7FD43" w14:textId="77777777" w:rsidR="007805A7" w:rsidRPr="00942872" w:rsidRDefault="007805A7" w:rsidP="007F4041">
            <w:pPr>
              <w:keepNext/>
              <w:keepLines/>
              <w:jc w:val="center"/>
              <w:rPr>
                <w:rFonts w:ascii="Arial Narrow" w:hAnsi="Arial Narrow" w:cstheme="minorHAnsi"/>
                <w:sz w:val="20"/>
                <w:szCs w:val="20"/>
              </w:rPr>
            </w:pPr>
            <w:r w:rsidRPr="00942872">
              <w:rPr>
                <w:rFonts w:ascii="Arial Narrow" w:hAnsi="Arial Narrow" w:cs="Calibri"/>
                <w:color w:val="000000"/>
                <w:sz w:val="20"/>
                <w:szCs w:val="20"/>
              </w:rPr>
              <w:t>154</w:t>
            </w:r>
          </w:p>
        </w:tc>
        <w:tc>
          <w:tcPr>
            <w:tcW w:w="1275" w:type="dxa"/>
            <w:shd w:val="clear" w:color="auto" w:fill="FFFFFF" w:themeFill="background1"/>
          </w:tcPr>
          <w:p w14:paraId="2ABBAF6F" w14:textId="77777777" w:rsidR="007805A7" w:rsidRPr="00942872" w:rsidRDefault="007805A7" w:rsidP="007F4041">
            <w:pPr>
              <w:keepNext/>
              <w:keepLines/>
              <w:jc w:val="center"/>
              <w:rPr>
                <w:rFonts w:ascii="Arial Narrow" w:hAnsi="Arial Narrow" w:cstheme="minorHAnsi"/>
                <w:sz w:val="20"/>
                <w:szCs w:val="20"/>
              </w:rPr>
            </w:pPr>
            <w:r w:rsidRPr="00942872">
              <w:rPr>
                <w:rFonts w:ascii="Arial Narrow" w:hAnsi="Arial Narrow" w:cstheme="minorHAnsi"/>
                <w:sz w:val="20"/>
                <w:szCs w:val="20"/>
              </w:rPr>
              <w:t xml:space="preserve">30.0 </w:t>
            </w:r>
            <w:r w:rsidR="00AD525B" w:rsidRPr="00942872">
              <w:rPr>
                <w:rFonts w:ascii="Arial Narrow" w:hAnsi="Arial Narrow" w:cstheme="minorHAnsi"/>
                <w:sz w:val="20"/>
                <w:szCs w:val="20"/>
              </w:rPr>
              <w:br/>
            </w:r>
            <w:r w:rsidR="001A241F" w:rsidRPr="00942872">
              <w:rPr>
                <w:rFonts w:ascii="Arial Narrow" w:hAnsi="Arial Narrow" w:cstheme="minorHAnsi"/>
                <w:sz w:val="20"/>
                <w:szCs w:val="20"/>
              </w:rPr>
              <w:t>[</w:t>
            </w:r>
            <w:r w:rsidRPr="00942872">
              <w:rPr>
                <w:rFonts w:ascii="Arial Narrow" w:hAnsi="Arial Narrow" w:cstheme="minorHAnsi"/>
                <w:sz w:val="20"/>
                <w:szCs w:val="20"/>
              </w:rPr>
              <w:t>18.3, NR</w:t>
            </w:r>
            <w:r w:rsidR="001A241F" w:rsidRPr="00942872">
              <w:rPr>
                <w:rFonts w:ascii="Arial Narrow" w:hAnsi="Arial Narrow" w:cstheme="minorHAnsi"/>
                <w:sz w:val="20"/>
                <w:szCs w:val="20"/>
              </w:rPr>
              <w:t>]</w:t>
            </w:r>
          </w:p>
        </w:tc>
        <w:tc>
          <w:tcPr>
            <w:tcW w:w="566" w:type="dxa"/>
            <w:shd w:val="clear" w:color="auto" w:fill="FFFFFF" w:themeFill="background1"/>
          </w:tcPr>
          <w:p w14:paraId="7D4602B9" w14:textId="77777777" w:rsidR="007805A7" w:rsidRPr="00942872" w:rsidRDefault="007805A7" w:rsidP="007F4041">
            <w:pPr>
              <w:keepNext/>
              <w:keepLines/>
              <w:jc w:val="center"/>
              <w:rPr>
                <w:rFonts w:ascii="Arial Narrow" w:hAnsi="Arial Narrow" w:cstheme="minorHAnsi"/>
                <w:sz w:val="20"/>
                <w:szCs w:val="20"/>
              </w:rPr>
            </w:pPr>
            <w:r w:rsidRPr="00942872">
              <w:rPr>
                <w:rFonts w:ascii="Arial Narrow" w:hAnsi="Arial Narrow" w:cs="Calibri"/>
                <w:sz w:val="20"/>
                <w:szCs w:val="20"/>
              </w:rPr>
              <w:t>151</w:t>
            </w:r>
          </w:p>
        </w:tc>
        <w:tc>
          <w:tcPr>
            <w:tcW w:w="1277" w:type="dxa"/>
            <w:shd w:val="clear" w:color="auto" w:fill="FFFFFF" w:themeFill="background1"/>
          </w:tcPr>
          <w:p w14:paraId="01E36567" w14:textId="77777777" w:rsidR="007805A7" w:rsidRPr="00942872" w:rsidRDefault="007805A7" w:rsidP="007F4041">
            <w:pPr>
              <w:keepNext/>
              <w:keepLines/>
              <w:jc w:val="center"/>
              <w:rPr>
                <w:rFonts w:ascii="Arial Narrow" w:hAnsi="Arial Narrow" w:cstheme="minorHAnsi"/>
                <w:sz w:val="20"/>
                <w:szCs w:val="20"/>
              </w:rPr>
            </w:pPr>
            <w:r w:rsidRPr="00942872">
              <w:rPr>
                <w:rFonts w:ascii="Arial Narrow" w:hAnsi="Arial Narrow" w:cstheme="minorHAnsi"/>
                <w:sz w:val="20"/>
                <w:szCs w:val="20"/>
              </w:rPr>
              <w:t xml:space="preserve">14.2 </w:t>
            </w:r>
            <w:r w:rsidR="00AD525B" w:rsidRPr="00942872">
              <w:rPr>
                <w:rFonts w:ascii="Arial Narrow" w:hAnsi="Arial Narrow" w:cstheme="minorHAnsi"/>
                <w:sz w:val="20"/>
                <w:szCs w:val="20"/>
              </w:rPr>
              <w:br/>
            </w:r>
            <w:r w:rsidR="001A241F" w:rsidRPr="00942872">
              <w:rPr>
                <w:rFonts w:ascii="Arial Narrow" w:hAnsi="Arial Narrow" w:cstheme="minorHAnsi"/>
                <w:sz w:val="20"/>
                <w:szCs w:val="20"/>
              </w:rPr>
              <w:t>[</w:t>
            </w:r>
            <w:r w:rsidRPr="00942872">
              <w:rPr>
                <w:rFonts w:ascii="Arial Narrow" w:hAnsi="Arial Narrow" w:cstheme="minorHAnsi"/>
                <w:sz w:val="20"/>
                <w:szCs w:val="20"/>
              </w:rPr>
              <w:t>9.8, 19.0</w:t>
            </w:r>
            <w:r w:rsidR="001A241F" w:rsidRPr="00942872">
              <w:rPr>
                <w:rFonts w:ascii="Arial Narrow" w:hAnsi="Arial Narrow" w:cstheme="minorHAnsi"/>
                <w:sz w:val="20"/>
                <w:szCs w:val="20"/>
              </w:rPr>
              <w:t>]</w:t>
            </w:r>
          </w:p>
        </w:tc>
        <w:tc>
          <w:tcPr>
            <w:tcW w:w="1275" w:type="dxa"/>
            <w:shd w:val="clear" w:color="auto" w:fill="FFFFFF" w:themeFill="background1"/>
          </w:tcPr>
          <w:p w14:paraId="0BB5CD01" w14:textId="77777777" w:rsidR="007805A7" w:rsidRPr="00942872" w:rsidRDefault="007805A7" w:rsidP="007F4041">
            <w:pPr>
              <w:keepNext/>
              <w:keepLines/>
              <w:jc w:val="center"/>
              <w:rPr>
                <w:rFonts w:ascii="Arial Narrow" w:hAnsi="Arial Narrow" w:cstheme="minorHAnsi"/>
                <w:sz w:val="20"/>
                <w:szCs w:val="20"/>
              </w:rPr>
            </w:pPr>
            <w:r w:rsidRPr="00942872">
              <w:rPr>
                <w:rFonts w:ascii="Arial Narrow" w:hAnsi="Arial Narrow" w:cstheme="minorHAnsi"/>
                <w:sz w:val="20"/>
                <w:szCs w:val="20"/>
              </w:rPr>
              <w:t xml:space="preserve">0.63 </w:t>
            </w:r>
            <w:r w:rsidR="001A241F" w:rsidRPr="00942872">
              <w:rPr>
                <w:rFonts w:ascii="Arial Narrow" w:hAnsi="Arial Narrow" w:cstheme="minorHAnsi"/>
                <w:sz w:val="20"/>
                <w:szCs w:val="20"/>
              </w:rPr>
              <w:t>[</w:t>
            </w:r>
            <w:r w:rsidRPr="00942872">
              <w:rPr>
                <w:rFonts w:ascii="Arial Narrow" w:hAnsi="Arial Narrow" w:cstheme="minorHAnsi"/>
                <w:sz w:val="20"/>
                <w:szCs w:val="20"/>
              </w:rPr>
              <w:t>0.47, 0.86</w:t>
            </w:r>
            <w:r w:rsidR="001A241F" w:rsidRPr="00942872">
              <w:rPr>
                <w:rFonts w:ascii="Arial Narrow" w:hAnsi="Arial Narrow" w:cstheme="minorHAnsi"/>
                <w:sz w:val="20"/>
                <w:szCs w:val="20"/>
              </w:rPr>
              <w:t>]</w:t>
            </w:r>
          </w:p>
        </w:tc>
      </w:tr>
      <w:tr w:rsidR="007805A7" w:rsidRPr="00942872" w14:paraId="5713AC8F" w14:textId="77777777" w:rsidTr="00816960">
        <w:tc>
          <w:tcPr>
            <w:tcW w:w="1696" w:type="dxa"/>
            <w:vMerge/>
            <w:shd w:val="clear" w:color="auto" w:fill="FFFFFF" w:themeFill="background1"/>
          </w:tcPr>
          <w:p w14:paraId="349505BA" w14:textId="77777777" w:rsidR="007805A7" w:rsidRPr="00942872" w:rsidRDefault="007805A7" w:rsidP="007F4041">
            <w:pPr>
              <w:keepNext/>
              <w:keepLines/>
              <w:ind w:right="-57"/>
              <w:jc w:val="left"/>
              <w:rPr>
                <w:rFonts w:ascii="Arial Narrow" w:hAnsi="Arial Narrow" w:cstheme="minorHAnsi"/>
                <w:sz w:val="20"/>
                <w:szCs w:val="20"/>
              </w:rPr>
            </w:pPr>
          </w:p>
        </w:tc>
        <w:tc>
          <w:tcPr>
            <w:tcW w:w="1416" w:type="dxa"/>
            <w:shd w:val="clear" w:color="auto" w:fill="FFFFFF" w:themeFill="background1"/>
          </w:tcPr>
          <w:p w14:paraId="540990B4" w14:textId="77777777" w:rsidR="007805A7" w:rsidRPr="00942872" w:rsidRDefault="004C46D9" w:rsidP="007F4041">
            <w:pPr>
              <w:keepNext/>
              <w:keepLines/>
              <w:jc w:val="left"/>
              <w:rPr>
                <w:rFonts w:ascii="Arial Narrow" w:hAnsi="Arial Narrow" w:cstheme="minorHAnsi"/>
                <w:sz w:val="20"/>
                <w:szCs w:val="20"/>
              </w:rPr>
            </w:pPr>
            <w:r w:rsidRPr="00942872">
              <w:rPr>
                <w:rFonts w:ascii="Arial Narrow" w:hAnsi="Arial Narrow" w:cstheme="minorHAnsi"/>
                <w:sz w:val="20"/>
                <w:szCs w:val="20"/>
              </w:rPr>
              <w:t>KN042</w:t>
            </w:r>
            <w:r w:rsidR="007805A7" w:rsidRPr="00942872">
              <w:rPr>
                <w:rFonts w:ascii="Arial Narrow" w:hAnsi="Arial Narrow" w:cstheme="minorHAnsi"/>
                <w:sz w:val="20"/>
                <w:szCs w:val="20"/>
              </w:rPr>
              <w:t xml:space="preserve"> ≥ 50% TPS</w:t>
            </w:r>
          </w:p>
        </w:tc>
        <w:tc>
          <w:tcPr>
            <w:tcW w:w="992" w:type="dxa"/>
            <w:gridSpan w:val="3"/>
            <w:shd w:val="clear" w:color="auto" w:fill="FFFFFF" w:themeFill="background1"/>
          </w:tcPr>
          <w:p w14:paraId="0E0124F5" w14:textId="77777777" w:rsidR="007805A7" w:rsidRPr="00942872" w:rsidRDefault="007805A7" w:rsidP="007F4041">
            <w:pPr>
              <w:keepNext/>
              <w:keepLines/>
              <w:jc w:val="center"/>
              <w:rPr>
                <w:rFonts w:ascii="Arial Narrow" w:hAnsi="Arial Narrow" w:cstheme="minorHAnsi"/>
                <w:sz w:val="20"/>
                <w:szCs w:val="20"/>
              </w:rPr>
            </w:pPr>
            <w:r w:rsidRPr="00942872">
              <w:rPr>
                <w:rFonts w:ascii="Arial Narrow" w:hAnsi="Arial Narrow" w:cs="Calibri"/>
                <w:color w:val="000000"/>
                <w:sz w:val="20"/>
                <w:szCs w:val="20"/>
              </w:rPr>
              <w:t>12.8</w:t>
            </w:r>
          </w:p>
        </w:tc>
        <w:tc>
          <w:tcPr>
            <w:tcW w:w="570" w:type="dxa"/>
            <w:shd w:val="clear" w:color="auto" w:fill="FFFFFF" w:themeFill="background1"/>
          </w:tcPr>
          <w:p w14:paraId="5CF37D21" w14:textId="77777777" w:rsidR="007805A7" w:rsidRPr="00942872" w:rsidRDefault="007805A7" w:rsidP="007F4041">
            <w:pPr>
              <w:keepNext/>
              <w:keepLines/>
              <w:jc w:val="center"/>
              <w:rPr>
                <w:rFonts w:ascii="Arial Narrow" w:hAnsi="Arial Narrow" w:cstheme="minorHAnsi"/>
                <w:sz w:val="20"/>
                <w:szCs w:val="20"/>
              </w:rPr>
            </w:pPr>
            <w:r w:rsidRPr="00942872">
              <w:rPr>
                <w:rFonts w:ascii="Arial Narrow" w:hAnsi="Arial Narrow" w:cs="Calibri"/>
                <w:color w:val="000000"/>
                <w:sz w:val="20"/>
                <w:szCs w:val="20"/>
              </w:rPr>
              <w:t>299</w:t>
            </w:r>
          </w:p>
        </w:tc>
        <w:tc>
          <w:tcPr>
            <w:tcW w:w="1275" w:type="dxa"/>
            <w:shd w:val="clear" w:color="auto" w:fill="FFFFFF" w:themeFill="background1"/>
          </w:tcPr>
          <w:p w14:paraId="041448B0" w14:textId="77777777" w:rsidR="007805A7" w:rsidRPr="00942872" w:rsidRDefault="007805A7" w:rsidP="007F4041">
            <w:pPr>
              <w:keepNext/>
              <w:keepLines/>
              <w:jc w:val="center"/>
              <w:rPr>
                <w:rFonts w:ascii="Arial Narrow" w:hAnsi="Arial Narrow" w:cstheme="minorHAnsi"/>
                <w:sz w:val="20"/>
                <w:szCs w:val="20"/>
              </w:rPr>
            </w:pPr>
            <w:r w:rsidRPr="00942872">
              <w:rPr>
                <w:rFonts w:ascii="Arial Narrow" w:hAnsi="Arial Narrow" w:cstheme="minorHAnsi"/>
                <w:sz w:val="20"/>
                <w:szCs w:val="20"/>
              </w:rPr>
              <w:t xml:space="preserve">20.0 </w:t>
            </w:r>
            <w:r w:rsidR="001A241F" w:rsidRPr="00942872">
              <w:rPr>
                <w:rFonts w:ascii="Arial Narrow" w:hAnsi="Arial Narrow" w:cstheme="minorHAnsi"/>
                <w:sz w:val="20"/>
                <w:szCs w:val="20"/>
              </w:rPr>
              <w:br/>
              <w:t>[</w:t>
            </w:r>
            <w:r w:rsidRPr="00942872">
              <w:rPr>
                <w:rFonts w:ascii="Arial Narrow" w:hAnsi="Arial Narrow" w:cstheme="minorHAnsi"/>
                <w:sz w:val="20"/>
                <w:szCs w:val="20"/>
              </w:rPr>
              <w:t>15.4, 24.9</w:t>
            </w:r>
            <w:r w:rsidR="001A241F" w:rsidRPr="00942872">
              <w:rPr>
                <w:rFonts w:ascii="Arial Narrow" w:hAnsi="Arial Narrow" w:cstheme="minorHAnsi"/>
                <w:sz w:val="20"/>
                <w:szCs w:val="20"/>
              </w:rPr>
              <w:t>]</w:t>
            </w:r>
          </w:p>
        </w:tc>
        <w:tc>
          <w:tcPr>
            <w:tcW w:w="566" w:type="dxa"/>
            <w:shd w:val="clear" w:color="auto" w:fill="FFFFFF" w:themeFill="background1"/>
          </w:tcPr>
          <w:p w14:paraId="1935386B" w14:textId="77777777" w:rsidR="007805A7" w:rsidRPr="00942872" w:rsidRDefault="007805A7" w:rsidP="007F4041">
            <w:pPr>
              <w:keepNext/>
              <w:keepLines/>
              <w:jc w:val="center"/>
              <w:rPr>
                <w:rFonts w:ascii="Arial Narrow" w:hAnsi="Arial Narrow" w:cstheme="minorHAnsi"/>
                <w:sz w:val="20"/>
                <w:szCs w:val="20"/>
              </w:rPr>
            </w:pPr>
            <w:r w:rsidRPr="00942872">
              <w:rPr>
                <w:rFonts w:ascii="Arial Narrow" w:hAnsi="Arial Narrow" w:cs="Calibri"/>
                <w:sz w:val="20"/>
                <w:szCs w:val="20"/>
              </w:rPr>
              <w:t>300</w:t>
            </w:r>
          </w:p>
        </w:tc>
        <w:tc>
          <w:tcPr>
            <w:tcW w:w="1277" w:type="dxa"/>
            <w:shd w:val="clear" w:color="auto" w:fill="FFFFFF" w:themeFill="background1"/>
          </w:tcPr>
          <w:p w14:paraId="29C2285B" w14:textId="77777777" w:rsidR="007805A7" w:rsidRPr="00942872" w:rsidRDefault="007805A7" w:rsidP="007F4041">
            <w:pPr>
              <w:keepNext/>
              <w:keepLines/>
              <w:jc w:val="center"/>
              <w:rPr>
                <w:rFonts w:ascii="Arial Narrow" w:hAnsi="Arial Narrow" w:cstheme="minorHAnsi"/>
                <w:sz w:val="20"/>
                <w:szCs w:val="20"/>
              </w:rPr>
            </w:pPr>
            <w:r w:rsidRPr="00942872">
              <w:rPr>
                <w:rFonts w:ascii="Arial Narrow" w:hAnsi="Arial Narrow" w:cstheme="minorHAnsi"/>
                <w:sz w:val="20"/>
                <w:szCs w:val="20"/>
              </w:rPr>
              <w:t xml:space="preserve">12.2 </w:t>
            </w:r>
            <w:r w:rsidR="001A241F" w:rsidRPr="00942872">
              <w:rPr>
                <w:rFonts w:ascii="Arial Narrow" w:hAnsi="Arial Narrow" w:cstheme="minorHAnsi"/>
                <w:sz w:val="20"/>
                <w:szCs w:val="20"/>
              </w:rPr>
              <w:br/>
              <w:t>[</w:t>
            </w:r>
            <w:r w:rsidRPr="00942872">
              <w:rPr>
                <w:rFonts w:ascii="Arial Narrow" w:hAnsi="Arial Narrow" w:cstheme="minorHAnsi"/>
                <w:sz w:val="20"/>
                <w:szCs w:val="20"/>
              </w:rPr>
              <w:t>10.4, 14.2</w:t>
            </w:r>
            <w:r w:rsidR="001A241F" w:rsidRPr="00942872">
              <w:rPr>
                <w:rFonts w:ascii="Arial Narrow" w:hAnsi="Arial Narrow" w:cstheme="minorHAnsi"/>
                <w:sz w:val="20"/>
                <w:szCs w:val="20"/>
              </w:rPr>
              <w:t>]</w:t>
            </w:r>
          </w:p>
        </w:tc>
        <w:tc>
          <w:tcPr>
            <w:tcW w:w="1275" w:type="dxa"/>
            <w:shd w:val="clear" w:color="auto" w:fill="FFFFFF" w:themeFill="background1"/>
          </w:tcPr>
          <w:p w14:paraId="1892E97A" w14:textId="77777777" w:rsidR="007805A7" w:rsidRPr="00942872" w:rsidRDefault="007805A7" w:rsidP="007F4041">
            <w:pPr>
              <w:keepNext/>
              <w:keepLines/>
              <w:jc w:val="center"/>
              <w:rPr>
                <w:rFonts w:ascii="Arial Narrow" w:hAnsi="Arial Narrow" w:cstheme="minorHAnsi"/>
                <w:sz w:val="20"/>
                <w:szCs w:val="20"/>
              </w:rPr>
            </w:pPr>
            <w:r w:rsidRPr="00942872">
              <w:rPr>
                <w:rFonts w:ascii="Arial Narrow" w:hAnsi="Arial Narrow" w:cstheme="minorHAnsi"/>
                <w:sz w:val="20"/>
                <w:szCs w:val="20"/>
              </w:rPr>
              <w:t>0.69 </w:t>
            </w:r>
            <w:r w:rsidRPr="00942872">
              <w:rPr>
                <w:rFonts w:ascii="Arial Narrow" w:hAnsi="Arial Narrow" w:cstheme="minorHAnsi"/>
                <w:sz w:val="20"/>
                <w:szCs w:val="20"/>
              </w:rPr>
              <w:br/>
            </w:r>
            <w:r w:rsidR="001A241F" w:rsidRPr="00942872">
              <w:rPr>
                <w:rFonts w:ascii="Arial Narrow" w:hAnsi="Arial Narrow" w:cstheme="minorHAnsi"/>
                <w:sz w:val="20"/>
                <w:szCs w:val="20"/>
              </w:rPr>
              <w:t>[</w:t>
            </w:r>
            <w:r w:rsidRPr="00942872">
              <w:rPr>
                <w:rFonts w:ascii="Arial Narrow" w:hAnsi="Arial Narrow" w:cstheme="minorHAnsi"/>
                <w:sz w:val="20"/>
                <w:szCs w:val="20"/>
              </w:rPr>
              <w:t>0.56, 0.85</w:t>
            </w:r>
            <w:r w:rsidR="001A241F" w:rsidRPr="00942872">
              <w:rPr>
                <w:rFonts w:ascii="Arial Narrow" w:hAnsi="Arial Narrow" w:cstheme="minorHAnsi"/>
                <w:sz w:val="20"/>
                <w:szCs w:val="20"/>
              </w:rPr>
              <w:t>]</w:t>
            </w:r>
          </w:p>
        </w:tc>
      </w:tr>
      <w:tr w:rsidR="007805A7" w:rsidRPr="00942872" w14:paraId="61FCAA2C" w14:textId="77777777" w:rsidTr="00816960">
        <w:tc>
          <w:tcPr>
            <w:tcW w:w="1696" w:type="dxa"/>
            <w:vMerge/>
            <w:tcBorders>
              <w:bottom w:val="single" w:sz="4" w:space="0" w:color="auto"/>
            </w:tcBorders>
            <w:shd w:val="clear" w:color="auto" w:fill="FFFFFF" w:themeFill="background1"/>
          </w:tcPr>
          <w:p w14:paraId="28CFCF7B" w14:textId="77777777" w:rsidR="007805A7" w:rsidRPr="00942872" w:rsidRDefault="007805A7" w:rsidP="007F4041">
            <w:pPr>
              <w:keepNext/>
              <w:keepLines/>
              <w:ind w:right="-57"/>
              <w:jc w:val="left"/>
              <w:rPr>
                <w:rFonts w:ascii="Arial Narrow" w:hAnsi="Arial Narrow" w:cstheme="minorHAnsi"/>
                <w:sz w:val="20"/>
                <w:szCs w:val="20"/>
              </w:rPr>
            </w:pPr>
          </w:p>
        </w:tc>
        <w:tc>
          <w:tcPr>
            <w:tcW w:w="1416" w:type="dxa"/>
            <w:tcBorders>
              <w:bottom w:val="single" w:sz="4" w:space="0" w:color="auto"/>
            </w:tcBorders>
            <w:shd w:val="clear" w:color="auto" w:fill="FFFFFF" w:themeFill="background1"/>
          </w:tcPr>
          <w:p w14:paraId="475759E1" w14:textId="77777777" w:rsidR="007805A7" w:rsidRPr="00942872" w:rsidRDefault="007805A7" w:rsidP="007F4041">
            <w:pPr>
              <w:keepNext/>
              <w:keepLines/>
              <w:jc w:val="left"/>
              <w:rPr>
                <w:rFonts w:ascii="Arial Narrow" w:hAnsi="Arial Narrow" w:cstheme="minorHAnsi"/>
                <w:sz w:val="20"/>
                <w:szCs w:val="20"/>
              </w:rPr>
            </w:pPr>
            <w:r w:rsidRPr="00942872">
              <w:rPr>
                <w:rFonts w:ascii="Arial Narrow" w:hAnsi="Arial Narrow" w:cstheme="minorHAnsi"/>
                <w:sz w:val="20"/>
                <w:szCs w:val="20"/>
              </w:rPr>
              <w:t xml:space="preserve">KN meta-analysis </w:t>
            </w:r>
            <w:r w:rsidRPr="00942872">
              <w:rPr>
                <w:rFonts w:ascii="Arial Narrow" w:hAnsi="Arial Narrow" w:cstheme="minorHAnsi"/>
                <w:iCs/>
                <w:sz w:val="20"/>
                <w:szCs w:val="20"/>
              </w:rPr>
              <w:t>k</w:t>
            </w:r>
            <w:r w:rsidRPr="00942872">
              <w:rPr>
                <w:rFonts w:ascii="Arial Narrow" w:hAnsi="Arial Narrow" w:cstheme="minorHAnsi"/>
                <w:sz w:val="20"/>
                <w:szCs w:val="20"/>
              </w:rPr>
              <w:t> = 2</w:t>
            </w:r>
            <w:r w:rsidR="006C39E6" w:rsidRPr="00942872">
              <w:rPr>
                <w:rFonts w:ascii="Arial Narrow" w:hAnsi="Arial Narrow" w:cstheme="minorHAnsi"/>
                <w:sz w:val="20"/>
                <w:szCs w:val="20"/>
                <w:vertAlign w:val="superscript"/>
              </w:rPr>
              <w:t xml:space="preserve"> b</w:t>
            </w:r>
          </w:p>
        </w:tc>
        <w:tc>
          <w:tcPr>
            <w:tcW w:w="4680" w:type="dxa"/>
            <w:gridSpan w:val="7"/>
            <w:tcBorders>
              <w:bottom w:val="single" w:sz="4" w:space="0" w:color="auto"/>
            </w:tcBorders>
            <w:shd w:val="clear" w:color="auto" w:fill="FFFFFF" w:themeFill="background1"/>
          </w:tcPr>
          <w:p w14:paraId="7D1FEF6A" w14:textId="77777777" w:rsidR="007805A7" w:rsidRPr="00942872" w:rsidRDefault="007805A7" w:rsidP="007F4041">
            <w:pPr>
              <w:keepNext/>
              <w:keepLines/>
              <w:jc w:val="center"/>
              <w:rPr>
                <w:rFonts w:ascii="Arial Narrow" w:hAnsi="Arial Narrow" w:cstheme="minorHAnsi"/>
                <w:sz w:val="20"/>
                <w:szCs w:val="20"/>
              </w:rPr>
            </w:pPr>
            <w:r w:rsidRPr="00942872">
              <w:rPr>
                <w:rFonts w:ascii="Arial Narrow" w:hAnsi="Arial Narrow" w:cstheme="minorHAnsi"/>
                <w:sz w:val="20"/>
                <w:szCs w:val="20"/>
              </w:rPr>
              <w:t>–</w:t>
            </w:r>
          </w:p>
        </w:tc>
        <w:tc>
          <w:tcPr>
            <w:tcW w:w="1275" w:type="dxa"/>
            <w:tcBorders>
              <w:bottom w:val="single" w:sz="4" w:space="0" w:color="auto"/>
            </w:tcBorders>
            <w:shd w:val="clear" w:color="auto" w:fill="FFFFFF" w:themeFill="background1"/>
          </w:tcPr>
          <w:p w14:paraId="4D30BE2D" w14:textId="77777777" w:rsidR="007805A7" w:rsidRPr="00942872" w:rsidRDefault="007805A7" w:rsidP="007F4041">
            <w:pPr>
              <w:keepNext/>
              <w:keepLines/>
              <w:jc w:val="center"/>
              <w:rPr>
                <w:rFonts w:ascii="Arial Narrow" w:hAnsi="Arial Narrow" w:cstheme="minorHAnsi"/>
                <w:sz w:val="20"/>
                <w:szCs w:val="20"/>
                <w:vertAlign w:val="superscript"/>
              </w:rPr>
            </w:pPr>
            <w:r w:rsidRPr="00942872">
              <w:rPr>
                <w:rFonts w:ascii="Arial Narrow" w:hAnsi="Arial Narrow" w:cstheme="minorHAnsi"/>
                <w:sz w:val="20"/>
                <w:szCs w:val="20"/>
              </w:rPr>
              <w:t>0.67 </w:t>
            </w:r>
            <w:r w:rsidRPr="00942872">
              <w:rPr>
                <w:rFonts w:ascii="Arial Narrow" w:hAnsi="Arial Narrow" w:cstheme="minorHAnsi"/>
                <w:sz w:val="20"/>
                <w:szCs w:val="20"/>
              </w:rPr>
              <w:br/>
            </w:r>
            <w:r w:rsidR="001A241F" w:rsidRPr="00942872">
              <w:rPr>
                <w:rFonts w:ascii="Arial Narrow" w:hAnsi="Arial Narrow" w:cstheme="minorHAnsi"/>
                <w:sz w:val="20"/>
                <w:szCs w:val="20"/>
              </w:rPr>
              <w:t>[</w:t>
            </w:r>
            <w:r w:rsidRPr="00942872">
              <w:rPr>
                <w:rFonts w:ascii="Arial Narrow" w:hAnsi="Arial Narrow" w:cstheme="minorHAnsi"/>
                <w:sz w:val="20"/>
                <w:szCs w:val="20"/>
              </w:rPr>
              <w:t>0.56, 0.80</w:t>
            </w:r>
            <w:r w:rsidR="001A241F" w:rsidRPr="00942872">
              <w:rPr>
                <w:rFonts w:ascii="Arial Narrow" w:hAnsi="Arial Narrow" w:cstheme="minorHAnsi"/>
                <w:sz w:val="20"/>
                <w:szCs w:val="20"/>
              </w:rPr>
              <w:t>]</w:t>
            </w:r>
            <w:r w:rsidRPr="00942872">
              <w:rPr>
                <w:rFonts w:ascii="Arial Narrow" w:hAnsi="Arial Narrow" w:cstheme="minorHAnsi"/>
                <w:sz w:val="20"/>
                <w:szCs w:val="20"/>
              </w:rPr>
              <w:t xml:space="preserve"> </w:t>
            </w:r>
          </w:p>
        </w:tc>
      </w:tr>
      <w:tr w:rsidR="00080418" w:rsidRPr="00942872" w14:paraId="0CEF787A" w14:textId="77777777" w:rsidTr="00816960">
        <w:tc>
          <w:tcPr>
            <w:tcW w:w="1696" w:type="dxa"/>
            <w:vMerge w:val="restart"/>
            <w:shd w:val="clear" w:color="auto" w:fill="D9D9D9" w:themeFill="background1" w:themeFillShade="D9"/>
          </w:tcPr>
          <w:p w14:paraId="3519546B" w14:textId="77777777" w:rsidR="00080418" w:rsidRPr="00942872" w:rsidRDefault="00080418" w:rsidP="007F4041">
            <w:pPr>
              <w:keepNext/>
              <w:keepLines/>
              <w:ind w:right="-57"/>
              <w:jc w:val="left"/>
              <w:rPr>
                <w:rFonts w:ascii="Arial Narrow" w:hAnsi="Arial Narrow" w:cstheme="minorHAnsi"/>
                <w:sz w:val="20"/>
                <w:szCs w:val="20"/>
              </w:rPr>
            </w:pPr>
            <w:r w:rsidRPr="00942872">
              <w:rPr>
                <w:rFonts w:ascii="Arial Narrow" w:hAnsi="Arial Narrow" w:cstheme="minorHAnsi"/>
                <w:sz w:val="20"/>
                <w:szCs w:val="20"/>
              </w:rPr>
              <w:t>ITC of cemiplimab vs. pembrolizumab</w:t>
            </w:r>
          </w:p>
        </w:tc>
        <w:tc>
          <w:tcPr>
            <w:tcW w:w="1416" w:type="dxa"/>
            <w:shd w:val="clear" w:color="auto" w:fill="D9D9D9" w:themeFill="background1" w:themeFillShade="D9"/>
          </w:tcPr>
          <w:p w14:paraId="27C85F12" w14:textId="77777777" w:rsidR="00080418" w:rsidRPr="00942872" w:rsidRDefault="00080418" w:rsidP="007F4041">
            <w:pPr>
              <w:keepNext/>
              <w:keepLines/>
              <w:ind w:right="-57"/>
              <w:jc w:val="left"/>
              <w:rPr>
                <w:rFonts w:ascii="Arial Narrow" w:hAnsi="Arial Narrow" w:cstheme="minorHAnsi"/>
                <w:bCs/>
                <w:sz w:val="20"/>
                <w:szCs w:val="20"/>
              </w:rPr>
            </w:pPr>
            <w:r w:rsidRPr="00942872">
              <w:rPr>
                <w:rFonts w:ascii="Arial Narrow" w:hAnsi="Arial Narrow" w:cstheme="minorHAnsi"/>
                <w:bCs/>
                <w:sz w:val="20"/>
                <w:szCs w:val="20"/>
              </w:rPr>
              <w:t>1624 ITT vs. KN meta</w:t>
            </w:r>
            <w:r w:rsidRPr="00942872">
              <w:rPr>
                <w:rFonts w:ascii="Arial Narrow" w:hAnsi="Arial Narrow" w:cstheme="minorHAnsi"/>
                <w:bCs/>
                <w:sz w:val="20"/>
                <w:szCs w:val="20"/>
              </w:rPr>
              <w:noBreakHyphen/>
              <w:t>analysis</w:t>
            </w:r>
          </w:p>
        </w:tc>
        <w:tc>
          <w:tcPr>
            <w:tcW w:w="4680" w:type="dxa"/>
            <w:gridSpan w:val="7"/>
            <w:shd w:val="clear" w:color="auto" w:fill="D9D9D9" w:themeFill="background1" w:themeFillShade="D9"/>
          </w:tcPr>
          <w:p w14:paraId="4CF3F2FB" w14:textId="77777777" w:rsidR="00080418" w:rsidRPr="00942872" w:rsidRDefault="00080418" w:rsidP="007F4041">
            <w:pPr>
              <w:keepNext/>
              <w:keepLines/>
              <w:jc w:val="center"/>
              <w:rPr>
                <w:rFonts w:ascii="Arial Narrow" w:hAnsi="Arial Narrow" w:cstheme="minorHAnsi"/>
                <w:bCs/>
                <w:sz w:val="20"/>
                <w:szCs w:val="20"/>
              </w:rPr>
            </w:pPr>
            <w:r w:rsidRPr="00942872">
              <w:rPr>
                <w:rFonts w:ascii="Arial Narrow" w:hAnsi="Arial Narrow" w:cstheme="minorHAnsi"/>
                <w:sz w:val="20"/>
                <w:szCs w:val="20"/>
              </w:rPr>
              <w:t>–</w:t>
            </w:r>
          </w:p>
        </w:tc>
        <w:tc>
          <w:tcPr>
            <w:tcW w:w="1275" w:type="dxa"/>
            <w:shd w:val="clear" w:color="auto" w:fill="D9D9D9" w:themeFill="background1" w:themeFillShade="D9"/>
          </w:tcPr>
          <w:p w14:paraId="45BD5EED" w14:textId="77777777" w:rsidR="00080418" w:rsidRPr="00942872" w:rsidRDefault="00080418" w:rsidP="007F4041">
            <w:pPr>
              <w:keepNext/>
              <w:keepLines/>
              <w:jc w:val="center"/>
              <w:rPr>
                <w:rFonts w:ascii="Arial Narrow" w:hAnsi="Arial Narrow" w:cstheme="minorHAnsi"/>
                <w:bCs/>
                <w:sz w:val="20"/>
                <w:szCs w:val="20"/>
              </w:rPr>
            </w:pPr>
            <w:r w:rsidRPr="00942872">
              <w:rPr>
                <w:rFonts w:ascii="Arial Narrow" w:hAnsi="Arial Narrow" w:cstheme="minorHAnsi"/>
                <w:bCs/>
                <w:sz w:val="20"/>
                <w:szCs w:val="20"/>
              </w:rPr>
              <w:t>1.01 [0.74, 1.37]</w:t>
            </w:r>
          </w:p>
        </w:tc>
      </w:tr>
      <w:tr w:rsidR="00080418" w:rsidRPr="00942872" w14:paraId="46B3130D" w14:textId="77777777" w:rsidTr="00816960">
        <w:tc>
          <w:tcPr>
            <w:tcW w:w="1696" w:type="dxa"/>
            <w:vMerge/>
            <w:shd w:val="clear" w:color="auto" w:fill="D9D9D9" w:themeFill="background1" w:themeFillShade="D9"/>
          </w:tcPr>
          <w:p w14:paraId="59ED93A5" w14:textId="77777777" w:rsidR="00080418" w:rsidRPr="00942872" w:rsidRDefault="00080418" w:rsidP="007F4041">
            <w:pPr>
              <w:keepNext/>
              <w:keepLines/>
              <w:ind w:right="-57"/>
              <w:jc w:val="left"/>
              <w:rPr>
                <w:rFonts w:ascii="Arial Narrow" w:hAnsi="Arial Narrow" w:cstheme="minorHAnsi"/>
                <w:sz w:val="20"/>
                <w:szCs w:val="20"/>
              </w:rPr>
            </w:pPr>
          </w:p>
        </w:tc>
        <w:tc>
          <w:tcPr>
            <w:tcW w:w="1416" w:type="dxa"/>
            <w:shd w:val="clear" w:color="auto" w:fill="D9D9D9" w:themeFill="background1" w:themeFillShade="D9"/>
          </w:tcPr>
          <w:p w14:paraId="0A460B0B" w14:textId="77777777" w:rsidR="00080418" w:rsidRPr="00942872" w:rsidRDefault="00080418" w:rsidP="007F4041">
            <w:pPr>
              <w:keepNext/>
              <w:keepLines/>
              <w:ind w:right="-57"/>
              <w:jc w:val="left"/>
              <w:rPr>
                <w:rFonts w:ascii="Arial Narrow" w:hAnsi="Arial Narrow" w:cstheme="minorHAnsi"/>
                <w:bCs/>
                <w:sz w:val="20"/>
                <w:szCs w:val="20"/>
              </w:rPr>
            </w:pPr>
            <w:r>
              <w:rPr>
                <w:rFonts w:ascii="Arial Narrow" w:hAnsi="Arial Narrow" w:cstheme="minorHAnsi"/>
                <w:sz w:val="20"/>
                <w:szCs w:val="20"/>
              </w:rPr>
              <w:t>1624 mITT-1 vs KN meta-analysis</w:t>
            </w:r>
          </w:p>
        </w:tc>
        <w:tc>
          <w:tcPr>
            <w:tcW w:w="4680" w:type="dxa"/>
            <w:gridSpan w:val="7"/>
            <w:shd w:val="clear" w:color="auto" w:fill="D9D9D9" w:themeFill="background1" w:themeFillShade="D9"/>
          </w:tcPr>
          <w:p w14:paraId="3C226044" w14:textId="77777777" w:rsidR="00080418" w:rsidRPr="00942872" w:rsidRDefault="00080418" w:rsidP="007F4041">
            <w:pPr>
              <w:keepNext/>
              <w:keepLines/>
              <w:jc w:val="center"/>
              <w:rPr>
                <w:rFonts w:ascii="Arial Narrow" w:hAnsi="Arial Narrow" w:cstheme="minorHAnsi"/>
                <w:sz w:val="20"/>
                <w:szCs w:val="20"/>
              </w:rPr>
            </w:pPr>
            <w:r>
              <w:rPr>
                <w:rFonts w:ascii="Arial Narrow" w:hAnsi="Arial Narrow" w:cstheme="minorHAnsi"/>
                <w:sz w:val="20"/>
                <w:szCs w:val="20"/>
              </w:rPr>
              <w:t>-</w:t>
            </w:r>
          </w:p>
        </w:tc>
        <w:tc>
          <w:tcPr>
            <w:tcW w:w="1275" w:type="dxa"/>
            <w:shd w:val="clear" w:color="auto" w:fill="D9D9D9" w:themeFill="background1" w:themeFillShade="D9"/>
          </w:tcPr>
          <w:p w14:paraId="0DD3DE2F" w14:textId="77777777" w:rsidR="00080418" w:rsidRDefault="00080418" w:rsidP="007F4041">
            <w:pPr>
              <w:keepNext/>
              <w:keepLines/>
              <w:jc w:val="center"/>
              <w:rPr>
                <w:rFonts w:ascii="Arial Narrow" w:hAnsi="Arial Narrow" w:cstheme="minorHAnsi"/>
                <w:bCs/>
                <w:sz w:val="20"/>
                <w:szCs w:val="20"/>
              </w:rPr>
            </w:pPr>
            <w:r>
              <w:rPr>
                <w:rFonts w:ascii="Arial Narrow" w:hAnsi="Arial Narrow" w:cstheme="minorHAnsi"/>
                <w:bCs/>
                <w:sz w:val="20"/>
                <w:szCs w:val="20"/>
              </w:rPr>
              <w:t xml:space="preserve">0.84 </w:t>
            </w:r>
          </w:p>
          <w:p w14:paraId="13FF5D82" w14:textId="77777777" w:rsidR="00080418" w:rsidRPr="00942872" w:rsidRDefault="00080418" w:rsidP="007F4041">
            <w:pPr>
              <w:keepNext/>
              <w:keepLines/>
              <w:jc w:val="center"/>
              <w:rPr>
                <w:rFonts w:ascii="Arial Narrow" w:hAnsi="Arial Narrow" w:cstheme="minorHAnsi"/>
                <w:bCs/>
                <w:sz w:val="20"/>
                <w:szCs w:val="20"/>
              </w:rPr>
            </w:pPr>
            <w:r>
              <w:rPr>
                <w:rFonts w:ascii="Arial Narrow" w:hAnsi="Arial Narrow" w:cstheme="minorHAnsi"/>
                <w:bCs/>
                <w:sz w:val="20"/>
                <w:szCs w:val="20"/>
              </w:rPr>
              <w:t>[0.59, 1.20]</w:t>
            </w:r>
          </w:p>
        </w:tc>
      </w:tr>
      <w:tr w:rsidR="007805A7" w:rsidRPr="00942872" w14:paraId="06E9E74C" w14:textId="77777777" w:rsidTr="00816960">
        <w:tc>
          <w:tcPr>
            <w:tcW w:w="9067" w:type="dxa"/>
            <w:gridSpan w:val="10"/>
            <w:shd w:val="clear" w:color="auto" w:fill="FFFFFF" w:themeFill="background1"/>
          </w:tcPr>
          <w:p w14:paraId="5EEEB6DB" w14:textId="77777777" w:rsidR="007805A7" w:rsidRPr="00942872" w:rsidRDefault="007805A7" w:rsidP="007F4041">
            <w:pPr>
              <w:pStyle w:val="TableFooter"/>
              <w:keepNext/>
              <w:keepLines/>
              <w:jc w:val="left"/>
              <w:rPr>
                <w:b/>
                <w:sz w:val="20"/>
                <w:szCs w:val="20"/>
              </w:rPr>
            </w:pPr>
            <w:r w:rsidRPr="00942872">
              <w:rPr>
                <w:b/>
                <w:sz w:val="20"/>
                <w:szCs w:val="20"/>
              </w:rPr>
              <w:t>PFS</w:t>
            </w:r>
          </w:p>
        </w:tc>
      </w:tr>
      <w:tr w:rsidR="007805A7" w:rsidRPr="00942872" w14:paraId="73B63013" w14:textId="77777777" w:rsidTr="00816960">
        <w:tc>
          <w:tcPr>
            <w:tcW w:w="1696" w:type="dxa"/>
            <w:shd w:val="clear" w:color="auto" w:fill="FFFFFF" w:themeFill="background1"/>
          </w:tcPr>
          <w:p w14:paraId="565B0C20" w14:textId="77777777" w:rsidR="007805A7" w:rsidRPr="00942872" w:rsidRDefault="007805A7" w:rsidP="007F4041">
            <w:pPr>
              <w:pStyle w:val="TableFooter"/>
              <w:keepNext/>
              <w:keepLines/>
              <w:jc w:val="left"/>
              <w:rPr>
                <w:sz w:val="20"/>
                <w:szCs w:val="20"/>
              </w:rPr>
            </w:pPr>
            <w:r w:rsidRPr="00942872">
              <w:rPr>
                <w:sz w:val="20"/>
                <w:szCs w:val="20"/>
              </w:rPr>
              <w:t>Cemiplimab vs. chemotherapy</w:t>
            </w:r>
          </w:p>
        </w:tc>
        <w:tc>
          <w:tcPr>
            <w:tcW w:w="1422" w:type="dxa"/>
            <w:gridSpan w:val="2"/>
            <w:shd w:val="clear" w:color="auto" w:fill="FFFFFF" w:themeFill="background1"/>
          </w:tcPr>
          <w:p w14:paraId="7DED0655" w14:textId="77777777" w:rsidR="007805A7" w:rsidRPr="00942872" w:rsidRDefault="007805A7" w:rsidP="007F4041">
            <w:pPr>
              <w:pStyle w:val="TableFooter"/>
              <w:keepNext/>
              <w:keepLines/>
              <w:jc w:val="left"/>
              <w:rPr>
                <w:sz w:val="20"/>
                <w:szCs w:val="20"/>
              </w:rPr>
            </w:pPr>
            <w:r w:rsidRPr="00942872">
              <w:rPr>
                <w:sz w:val="20"/>
                <w:szCs w:val="20"/>
              </w:rPr>
              <w:t>1624 ITT</w:t>
            </w:r>
          </w:p>
        </w:tc>
        <w:tc>
          <w:tcPr>
            <w:tcW w:w="980" w:type="dxa"/>
            <w:shd w:val="clear" w:color="auto" w:fill="FFFFFF" w:themeFill="background1"/>
          </w:tcPr>
          <w:p w14:paraId="0918DB80" w14:textId="77777777" w:rsidR="007805A7" w:rsidRPr="00942872" w:rsidRDefault="007805A7" w:rsidP="007F4041">
            <w:pPr>
              <w:pStyle w:val="TableFooter"/>
              <w:keepNext/>
              <w:keepLines/>
              <w:jc w:val="center"/>
              <w:rPr>
                <w:sz w:val="20"/>
                <w:szCs w:val="20"/>
              </w:rPr>
            </w:pPr>
            <w:r w:rsidRPr="00942872">
              <w:rPr>
                <w:sz w:val="20"/>
                <w:szCs w:val="20"/>
              </w:rPr>
              <w:t>13.1</w:t>
            </w:r>
          </w:p>
        </w:tc>
        <w:tc>
          <w:tcPr>
            <w:tcW w:w="576" w:type="dxa"/>
            <w:gridSpan w:val="2"/>
            <w:shd w:val="clear" w:color="auto" w:fill="FFFFFF" w:themeFill="background1"/>
          </w:tcPr>
          <w:p w14:paraId="19A97147" w14:textId="77777777" w:rsidR="007805A7" w:rsidRPr="00942872" w:rsidRDefault="007805A7" w:rsidP="007F4041">
            <w:pPr>
              <w:pStyle w:val="TableFooter"/>
              <w:keepNext/>
              <w:keepLines/>
              <w:jc w:val="center"/>
              <w:rPr>
                <w:sz w:val="20"/>
                <w:szCs w:val="20"/>
              </w:rPr>
            </w:pPr>
            <w:r w:rsidRPr="00942872">
              <w:rPr>
                <w:sz w:val="20"/>
                <w:szCs w:val="20"/>
              </w:rPr>
              <w:t>356</w:t>
            </w:r>
          </w:p>
        </w:tc>
        <w:tc>
          <w:tcPr>
            <w:tcW w:w="1275" w:type="dxa"/>
            <w:shd w:val="clear" w:color="auto" w:fill="FFFFFF" w:themeFill="background1"/>
          </w:tcPr>
          <w:p w14:paraId="146B77FA" w14:textId="77777777" w:rsidR="007805A7" w:rsidRPr="00942872" w:rsidRDefault="007805A7" w:rsidP="007F4041">
            <w:pPr>
              <w:pStyle w:val="TableFooter"/>
              <w:keepNext/>
              <w:keepLines/>
              <w:jc w:val="center"/>
              <w:rPr>
                <w:sz w:val="20"/>
                <w:szCs w:val="20"/>
              </w:rPr>
            </w:pPr>
            <w:r w:rsidRPr="00942872">
              <w:rPr>
                <w:sz w:val="20"/>
                <w:szCs w:val="20"/>
              </w:rPr>
              <w:t>6.2 </w:t>
            </w:r>
            <w:r w:rsidR="001A241F" w:rsidRPr="00942872">
              <w:rPr>
                <w:sz w:val="20"/>
                <w:szCs w:val="20"/>
              </w:rPr>
              <w:br/>
              <w:t>[</w:t>
            </w:r>
            <w:r w:rsidRPr="00942872">
              <w:rPr>
                <w:sz w:val="20"/>
                <w:szCs w:val="20"/>
              </w:rPr>
              <w:t>4.5, 8.3</w:t>
            </w:r>
            <w:r w:rsidR="001A241F" w:rsidRPr="00942872">
              <w:rPr>
                <w:sz w:val="20"/>
                <w:szCs w:val="20"/>
              </w:rPr>
              <w:t>]</w:t>
            </w:r>
          </w:p>
        </w:tc>
        <w:tc>
          <w:tcPr>
            <w:tcW w:w="566" w:type="dxa"/>
            <w:shd w:val="clear" w:color="auto" w:fill="FFFFFF" w:themeFill="background1"/>
          </w:tcPr>
          <w:p w14:paraId="79E67AB9" w14:textId="77777777" w:rsidR="007805A7" w:rsidRPr="00942872" w:rsidRDefault="007805A7" w:rsidP="007F4041">
            <w:pPr>
              <w:pStyle w:val="TableFooter"/>
              <w:keepNext/>
              <w:keepLines/>
              <w:jc w:val="center"/>
              <w:rPr>
                <w:sz w:val="20"/>
                <w:szCs w:val="20"/>
              </w:rPr>
            </w:pPr>
            <w:r w:rsidRPr="00942872">
              <w:rPr>
                <w:sz w:val="20"/>
                <w:szCs w:val="20"/>
              </w:rPr>
              <w:t>354</w:t>
            </w:r>
          </w:p>
        </w:tc>
        <w:tc>
          <w:tcPr>
            <w:tcW w:w="1277" w:type="dxa"/>
            <w:shd w:val="clear" w:color="auto" w:fill="FFFFFF" w:themeFill="background1"/>
          </w:tcPr>
          <w:p w14:paraId="19FF014C" w14:textId="77777777" w:rsidR="007805A7" w:rsidRPr="00942872" w:rsidRDefault="007805A7" w:rsidP="007F4041">
            <w:pPr>
              <w:pStyle w:val="TableFooter"/>
              <w:keepNext/>
              <w:keepLines/>
              <w:jc w:val="center"/>
              <w:rPr>
                <w:sz w:val="20"/>
                <w:szCs w:val="20"/>
              </w:rPr>
            </w:pPr>
            <w:r w:rsidRPr="00942872">
              <w:rPr>
                <w:sz w:val="20"/>
                <w:szCs w:val="20"/>
              </w:rPr>
              <w:t xml:space="preserve">5.6 </w:t>
            </w:r>
            <w:r w:rsidR="001A241F" w:rsidRPr="00942872">
              <w:rPr>
                <w:sz w:val="20"/>
                <w:szCs w:val="20"/>
              </w:rPr>
              <w:br/>
              <w:t>[</w:t>
            </w:r>
            <w:r w:rsidRPr="00942872">
              <w:rPr>
                <w:sz w:val="20"/>
                <w:szCs w:val="20"/>
              </w:rPr>
              <w:t>4.5, 6.1</w:t>
            </w:r>
            <w:r w:rsidR="001A241F" w:rsidRPr="00942872">
              <w:rPr>
                <w:sz w:val="20"/>
                <w:szCs w:val="20"/>
              </w:rPr>
              <w:t>]</w:t>
            </w:r>
          </w:p>
        </w:tc>
        <w:tc>
          <w:tcPr>
            <w:tcW w:w="1275" w:type="dxa"/>
            <w:shd w:val="clear" w:color="auto" w:fill="FFFFFF" w:themeFill="background1"/>
          </w:tcPr>
          <w:p w14:paraId="66E17E46" w14:textId="77777777" w:rsidR="007805A7" w:rsidRPr="00942872" w:rsidRDefault="007805A7" w:rsidP="007F4041">
            <w:pPr>
              <w:pStyle w:val="TableFooter"/>
              <w:keepNext/>
              <w:keepLines/>
              <w:jc w:val="center"/>
              <w:rPr>
                <w:sz w:val="20"/>
                <w:szCs w:val="20"/>
              </w:rPr>
            </w:pPr>
            <w:r w:rsidRPr="00942872">
              <w:rPr>
                <w:sz w:val="20"/>
                <w:szCs w:val="20"/>
              </w:rPr>
              <w:t>0.59 </w:t>
            </w:r>
            <w:r w:rsidRPr="00942872">
              <w:rPr>
                <w:sz w:val="20"/>
                <w:szCs w:val="20"/>
              </w:rPr>
              <w:br/>
            </w:r>
            <w:r w:rsidR="001A241F" w:rsidRPr="00942872">
              <w:rPr>
                <w:sz w:val="20"/>
                <w:szCs w:val="20"/>
              </w:rPr>
              <w:t>[</w:t>
            </w:r>
            <w:r w:rsidRPr="00942872">
              <w:rPr>
                <w:sz w:val="20"/>
                <w:szCs w:val="20"/>
              </w:rPr>
              <w:t>0.49, 0.72</w:t>
            </w:r>
            <w:r w:rsidR="001A241F" w:rsidRPr="00942872">
              <w:rPr>
                <w:sz w:val="20"/>
                <w:szCs w:val="20"/>
              </w:rPr>
              <w:t>]</w:t>
            </w:r>
          </w:p>
        </w:tc>
      </w:tr>
      <w:tr w:rsidR="007805A7" w:rsidRPr="00942872" w14:paraId="34313862" w14:textId="77777777" w:rsidTr="00816960">
        <w:tc>
          <w:tcPr>
            <w:tcW w:w="1696" w:type="dxa"/>
            <w:vMerge w:val="restart"/>
            <w:shd w:val="clear" w:color="auto" w:fill="FFFFFF" w:themeFill="background1"/>
          </w:tcPr>
          <w:p w14:paraId="2F5F3147" w14:textId="77777777" w:rsidR="007805A7" w:rsidRPr="00942872" w:rsidRDefault="007805A7" w:rsidP="007F4041">
            <w:pPr>
              <w:pStyle w:val="TableFooter"/>
              <w:keepNext/>
              <w:keepLines/>
              <w:jc w:val="left"/>
              <w:rPr>
                <w:sz w:val="20"/>
                <w:szCs w:val="20"/>
              </w:rPr>
            </w:pPr>
            <w:r w:rsidRPr="00942872">
              <w:rPr>
                <w:sz w:val="20"/>
                <w:szCs w:val="20"/>
              </w:rPr>
              <w:t>Pembrolizumab vs. chemotherapy</w:t>
            </w:r>
          </w:p>
        </w:tc>
        <w:tc>
          <w:tcPr>
            <w:tcW w:w="1422" w:type="dxa"/>
            <w:gridSpan w:val="2"/>
            <w:shd w:val="clear" w:color="auto" w:fill="FFFFFF" w:themeFill="background1"/>
          </w:tcPr>
          <w:p w14:paraId="71F24BAE" w14:textId="77777777" w:rsidR="007805A7" w:rsidRPr="00942872" w:rsidRDefault="004C46D9" w:rsidP="007F4041">
            <w:pPr>
              <w:pStyle w:val="TableFooter"/>
              <w:keepNext/>
              <w:keepLines/>
              <w:jc w:val="left"/>
              <w:rPr>
                <w:sz w:val="20"/>
                <w:szCs w:val="20"/>
              </w:rPr>
            </w:pPr>
            <w:r w:rsidRPr="00942872">
              <w:rPr>
                <w:sz w:val="20"/>
                <w:szCs w:val="20"/>
              </w:rPr>
              <w:t>KN024</w:t>
            </w:r>
            <w:r w:rsidR="007805A7" w:rsidRPr="00942872">
              <w:rPr>
                <w:sz w:val="20"/>
                <w:szCs w:val="20"/>
              </w:rPr>
              <w:t xml:space="preserve"> ITT</w:t>
            </w:r>
          </w:p>
        </w:tc>
        <w:tc>
          <w:tcPr>
            <w:tcW w:w="980" w:type="dxa"/>
            <w:shd w:val="clear" w:color="auto" w:fill="FFFFFF" w:themeFill="background1"/>
          </w:tcPr>
          <w:p w14:paraId="774E38B6" w14:textId="77777777" w:rsidR="007805A7" w:rsidRPr="00942872" w:rsidRDefault="007805A7" w:rsidP="007F4041">
            <w:pPr>
              <w:pStyle w:val="TableFooter"/>
              <w:keepNext/>
              <w:keepLines/>
              <w:jc w:val="center"/>
              <w:rPr>
                <w:sz w:val="20"/>
                <w:szCs w:val="20"/>
                <w:vertAlign w:val="superscript"/>
              </w:rPr>
            </w:pPr>
            <w:r w:rsidRPr="00942872">
              <w:rPr>
                <w:sz w:val="20"/>
                <w:szCs w:val="20"/>
              </w:rPr>
              <w:t>11.2</w:t>
            </w:r>
            <w:r w:rsidR="006C39E6" w:rsidRPr="00942872">
              <w:rPr>
                <w:sz w:val="20"/>
                <w:szCs w:val="20"/>
                <w:vertAlign w:val="superscript"/>
              </w:rPr>
              <w:t>c</w:t>
            </w:r>
          </w:p>
        </w:tc>
        <w:tc>
          <w:tcPr>
            <w:tcW w:w="576" w:type="dxa"/>
            <w:gridSpan w:val="2"/>
            <w:shd w:val="clear" w:color="auto" w:fill="FFFFFF" w:themeFill="background1"/>
          </w:tcPr>
          <w:p w14:paraId="0EE28A8B" w14:textId="77777777" w:rsidR="007805A7" w:rsidRPr="00942872" w:rsidRDefault="007805A7" w:rsidP="007F4041">
            <w:pPr>
              <w:pStyle w:val="TableFooter"/>
              <w:keepNext/>
              <w:keepLines/>
              <w:jc w:val="center"/>
              <w:rPr>
                <w:sz w:val="20"/>
                <w:szCs w:val="20"/>
              </w:rPr>
            </w:pPr>
            <w:r w:rsidRPr="00942872">
              <w:rPr>
                <w:sz w:val="20"/>
                <w:szCs w:val="20"/>
              </w:rPr>
              <w:t>154</w:t>
            </w:r>
          </w:p>
        </w:tc>
        <w:tc>
          <w:tcPr>
            <w:tcW w:w="1275" w:type="dxa"/>
            <w:shd w:val="clear" w:color="auto" w:fill="FFFFFF" w:themeFill="background1"/>
          </w:tcPr>
          <w:p w14:paraId="23E9A3AE" w14:textId="77777777" w:rsidR="007805A7" w:rsidRPr="00942872" w:rsidRDefault="007805A7" w:rsidP="007F4041">
            <w:pPr>
              <w:pStyle w:val="TableFooter"/>
              <w:keepNext/>
              <w:keepLines/>
              <w:jc w:val="center"/>
              <w:rPr>
                <w:sz w:val="20"/>
                <w:szCs w:val="20"/>
              </w:rPr>
            </w:pPr>
            <w:r w:rsidRPr="00942872">
              <w:rPr>
                <w:sz w:val="20"/>
                <w:szCs w:val="20"/>
              </w:rPr>
              <w:t>10.3 </w:t>
            </w:r>
            <w:r w:rsidR="001A241F" w:rsidRPr="00942872">
              <w:rPr>
                <w:sz w:val="20"/>
                <w:szCs w:val="20"/>
              </w:rPr>
              <w:br/>
              <w:t>[</w:t>
            </w:r>
            <w:r w:rsidRPr="00942872">
              <w:rPr>
                <w:sz w:val="20"/>
                <w:szCs w:val="20"/>
              </w:rPr>
              <w:t>6.7, NR</w:t>
            </w:r>
            <w:r w:rsidR="001A241F" w:rsidRPr="00942872">
              <w:rPr>
                <w:sz w:val="20"/>
                <w:szCs w:val="20"/>
              </w:rPr>
              <w:t>]</w:t>
            </w:r>
          </w:p>
        </w:tc>
        <w:tc>
          <w:tcPr>
            <w:tcW w:w="566" w:type="dxa"/>
            <w:shd w:val="clear" w:color="auto" w:fill="FFFFFF" w:themeFill="background1"/>
          </w:tcPr>
          <w:p w14:paraId="553911FE" w14:textId="77777777" w:rsidR="007805A7" w:rsidRPr="00942872" w:rsidRDefault="007805A7" w:rsidP="007F4041">
            <w:pPr>
              <w:pStyle w:val="TableFooter"/>
              <w:keepNext/>
              <w:keepLines/>
              <w:jc w:val="center"/>
              <w:rPr>
                <w:sz w:val="20"/>
                <w:szCs w:val="20"/>
              </w:rPr>
            </w:pPr>
            <w:r w:rsidRPr="00942872">
              <w:rPr>
                <w:sz w:val="20"/>
                <w:szCs w:val="20"/>
              </w:rPr>
              <w:t>151</w:t>
            </w:r>
          </w:p>
        </w:tc>
        <w:tc>
          <w:tcPr>
            <w:tcW w:w="1277" w:type="dxa"/>
            <w:shd w:val="clear" w:color="auto" w:fill="FFFFFF" w:themeFill="background1"/>
          </w:tcPr>
          <w:p w14:paraId="09741791" w14:textId="77777777" w:rsidR="007805A7" w:rsidRPr="00942872" w:rsidRDefault="007805A7" w:rsidP="007F4041">
            <w:pPr>
              <w:pStyle w:val="TableFooter"/>
              <w:keepNext/>
              <w:keepLines/>
              <w:jc w:val="center"/>
              <w:rPr>
                <w:sz w:val="20"/>
                <w:szCs w:val="20"/>
              </w:rPr>
            </w:pPr>
            <w:r w:rsidRPr="00942872">
              <w:rPr>
                <w:sz w:val="20"/>
                <w:szCs w:val="20"/>
              </w:rPr>
              <w:t xml:space="preserve">6.0 </w:t>
            </w:r>
            <w:r w:rsidR="001A241F" w:rsidRPr="00942872">
              <w:rPr>
                <w:sz w:val="20"/>
                <w:szCs w:val="20"/>
              </w:rPr>
              <w:br/>
              <w:t>[</w:t>
            </w:r>
            <w:r w:rsidRPr="00942872">
              <w:rPr>
                <w:sz w:val="20"/>
                <w:szCs w:val="20"/>
              </w:rPr>
              <w:t>4.2, 6.2</w:t>
            </w:r>
            <w:r w:rsidR="001A241F" w:rsidRPr="00942872">
              <w:rPr>
                <w:sz w:val="20"/>
                <w:szCs w:val="20"/>
              </w:rPr>
              <w:t>]</w:t>
            </w:r>
          </w:p>
        </w:tc>
        <w:tc>
          <w:tcPr>
            <w:tcW w:w="1275" w:type="dxa"/>
            <w:shd w:val="clear" w:color="auto" w:fill="FFFFFF" w:themeFill="background1"/>
          </w:tcPr>
          <w:p w14:paraId="45B8C46E" w14:textId="77777777" w:rsidR="007805A7" w:rsidRPr="00942872" w:rsidRDefault="007805A7" w:rsidP="007F4041">
            <w:pPr>
              <w:pStyle w:val="TableFooter"/>
              <w:keepNext/>
              <w:keepLines/>
              <w:jc w:val="center"/>
              <w:rPr>
                <w:sz w:val="20"/>
                <w:szCs w:val="20"/>
              </w:rPr>
            </w:pPr>
            <w:r w:rsidRPr="00942872">
              <w:rPr>
                <w:sz w:val="20"/>
                <w:szCs w:val="20"/>
              </w:rPr>
              <w:t>0.50</w:t>
            </w:r>
          </w:p>
          <w:p w14:paraId="5C5496FC" w14:textId="77777777" w:rsidR="007805A7" w:rsidRPr="00942872" w:rsidRDefault="001A241F" w:rsidP="007F4041">
            <w:pPr>
              <w:pStyle w:val="TableFooter"/>
              <w:keepNext/>
              <w:keepLines/>
              <w:jc w:val="center"/>
              <w:rPr>
                <w:sz w:val="20"/>
                <w:szCs w:val="20"/>
              </w:rPr>
            </w:pPr>
            <w:r w:rsidRPr="00942872">
              <w:rPr>
                <w:sz w:val="20"/>
                <w:szCs w:val="20"/>
              </w:rPr>
              <w:t>[</w:t>
            </w:r>
            <w:r w:rsidR="007805A7" w:rsidRPr="00942872">
              <w:rPr>
                <w:sz w:val="20"/>
                <w:szCs w:val="20"/>
              </w:rPr>
              <w:t>0.37, 0.68</w:t>
            </w:r>
            <w:r w:rsidRPr="00942872">
              <w:rPr>
                <w:sz w:val="20"/>
                <w:szCs w:val="20"/>
              </w:rPr>
              <w:t>]</w:t>
            </w:r>
          </w:p>
        </w:tc>
      </w:tr>
      <w:tr w:rsidR="007805A7" w:rsidRPr="00942872" w14:paraId="33F11A85" w14:textId="77777777" w:rsidTr="00816960">
        <w:tc>
          <w:tcPr>
            <w:tcW w:w="1696" w:type="dxa"/>
            <w:vMerge/>
            <w:shd w:val="clear" w:color="auto" w:fill="FFFFFF" w:themeFill="background1"/>
          </w:tcPr>
          <w:p w14:paraId="5F4CE496" w14:textId="77777777" w:rsidR="007805A7" w:rsidRPr="00942872" w:rsidRDefault="007805A7" w:rsidP="007F4041">
            <w:pPr>
              <w:pStyle w:val="TableFooter"/>
              <w:keepNext/>
              <w:keepLines/>
              <w:jc w:val="left"/>
              <w:rPr>
                <w:sz w:val="20"/>
                <w:szCs w:val="20"/>
              </w:rPr>
            </w:pPr>
          </w:p>
        </w:tc>
        <w:tc>
          <w:tcPr>
            <w:tcW w:w="1422" w:type="dxa"/>
            <w:gridSpan w:val="2"/>
            <w:shd w:val="clear" w:color="auto" w:fill="FFFFFF" w:themeFill="background1"/>
          </w:tcPr>
          <w:p w14:paraId="23EA384B" w14:textId="77777777" w:rsidR="007805A7" w:rsidRPr="00942872" w:rsidRDefault="004C46D9" w:rsidP="007F4041">
            <w:pPr>
              <w:pStyle w:val="TableFooter"/>
              <w:keepNext/>
              <w:keepLines/>
              <w:jc w:val="left"/>
              <w:rPr>
                <w:sz w:val="20"/>
                <w:szCs w:val="20"/>
              </w:rPr>
            </w:pPr>
            <w:r w:rsidRPr="00942872">
              <w:rPr>
                <w:sz w:val="20"/>
                <w:szCs w:val="20"/>
              </w:rPr>
              <w:t>KN042</w:t>
            </w:r>
            <w:r w:rsidR="007805A7" w:rsidRPr="00942872">
              <w:rPr>
                <w:sz w:val="20"/>
                <w:szCs w:val="20"/>
              </w:rPr>
              <w:t xml:space="preserve"> ≥ 50% TPS</w:t>
            </w:r>
          </w:p>
        </w:tc>
        <w:tc>
          <w:tcPr>
            <w:tcW w:w="980" w:type="dxa"/>
            <w:shd w:val="clear" w:color="auto" w:fill="FFFFFF" w:themeFill="background1"/>
          </w:tcPr>
          <w:p w14:paraId="6B7E5B01" w14:textId="77777777" w:rsidR="007805A7" w:rsidRPr="00942872" w:rsidRDefault="007805A7" w:rsidP="007F4041">
            <w:pPr>
              <w:pStyle w:val="TableFooter"/>
              <w:keepNext/>
              <w:keepLines/>
              <w:jc w:val="center"/>
              <w:rPr>
                <w:sz w:val="20"/>
                <w:szCs w:val="20"/>
              </w:rPr>
            </w:pPr>
            <w:r w:rsidRPr="00942872">
              <w:rPr>
                <w:sz w:val="20"/>
                <w:szCs w:val="20"/>
              </w:rPr>
              <w:t>12.8</w:t>
            </w:r>
          </w:p>
        </w:tc>
        <w:tc>
          <w:tcPr>
            <w:tcW w:w="576" w:type="dxa"/>
            <w:gridSpan w:val="2"/>
            <w:shd w:val="clear" w:color="auto" w:fill="FFFFFF" w:themeFill="background1"/>
          </w:tcPr>
          <w:p w14:paraId="69761352" w14:textId="77777777" w:rsidR="007805A7" w:rsidRPr="00942872" w:rsidRDefault="007805A7" w:rsidP="007F4041">
            <w:pPr>
              <w:pStyle w:val="TableFooter"/>
              <w:keepNext/>
              <w:keepLines/>
              <w:jc w:val="center"/>
              <w:rPr>
                <w:sz w:val="20"/>
                <w:szCs w:val="20"/>
              </w:rPr>
            </w:pPr>
            <w:r w:rsidRPr="00942872">
              <w:rPr>
                <w:sz w:val="20"/>
                <w:szCs w:val="20"/>
              </w:rPr>
              <w:t>299</w:t>
            </w:r>
          </w:p>
        </w:tc>
        <w:tc>
          <w:tcPr>
            <w:tcW w:w="1275" w:type="dxa"/>
            <w:shd w:val="clear" w:color="auto" w:fill="FFFFFF" w:themeFill="background1"/>
          </w:tcPr>
          <w:p w14:paraId="71D02899" w14:textId="77777777" w:rsidR="007805A7" w:rsidRPr="00942872" w:rsidRDefault="007805A7" w:rsidP="007F4041">
            <w:pPr>
              <w:pStyle w:val="TableFooter"/>
              <w:keepNext/>
              <w:keepLines/>
              <w:jc w:val="center"/>
              <w:rPr>
                <w:sz w:val="20"/>
                <w:szCs w:val="20"/>
              </w:rPr>
            </w:pPr>
            <w:r w:rsidRPr="00942872">
              <w:rPr>
                <w:sz w:val="20"/>
                <w:szCs w:val="20"/>
              </w:rPr>
              <w:t xml:space="preserve">7.1 </w:t>
            </w:r>
            <w:r w:rsidR="001A241F" w:rsidRPr="00942872">
              <w:rPr>
                <w:sz w:val="20"/>
                <w:szCs w:val="20"/>
              </w:rPr>
              <w:br/>
              <w:t>[</w:t>
            </w:r>
            <w:r w:rsidRPr="00942872">
              <w:rPr>
                <w:sz w:val="20"/>
                <w:szCs w:val="20"/>
              </w:rPr>
              <w:t>5.9, 9.0</w:t>
            </w:r>
            <w:r w:rsidR="001A241F" w:rsidRPr="00942872">
              <w:rPr>
                <w:sz w:val="20"/>
                <w:szCs w:val="20"/>
              </w:rPr>
              <w:t>]</w:t>
            </w:r>
          </w:p>
        </w:tc>
        <w:tc>
          <w:tcPr>
            <w:tcW w:w="566" w:type="dxa"/>
            <w:shd w:val="clear" w:color="auto" w:fill="FFFFFF" w:themeFill="background1"/>
          </w:tcPr>
          <w:p w14:paraId="59B2606E" w14:textId="77777777" w:rsidR="007805A7" w:rsidRPr="00942872" w:rsidRDefault="007805A7" w:rsidP="007F4041">
            <w:pPr>
              <w:pStyle w:val="TableFooter"/>
              <w:keepNext/>
              <w:keepLines/>
              <w:jc w:val="center"/>
              <w:rPr>
                <w:sz w:val="20"/>
                <w:szCs w:val="20"/>
              </w:rPr>
            </w:pPr>
            <w:r w:rsidRPr="00942872">
              <w:rPr>
                <w:sz w:val="20"/>
                <w:szCs w:val="20"/>
              </w:rPr>
              <w:t>300</w:t>
            </w:r>
          </w:p>
        </w:tc>
        <w:tc>
          <w:tcPr>
            <w:tcW w:w="1277" w:type="dxa"/>
            <w:shd w:val="clear" w:color="auto" w:fill="FFFFFF" w:themeFill="background1"/>
          </w:tcPr>
          <w:p w14:paraId="2B2A36B3" w14:textId="77777777" w:rsidR="007805A7" w:rsidRPr="00942872" w:rsidRDefault="007805A7" w:rsidP="007F4041">
            <w:pPr>
              <w:pStyle w:val="TableFooter"/>
              <w:keepNext/>
              <w:keepLines/>
              <w:jc w:val="center"/>
              <w:rPr>
                <w:sz w:val="20"/>
                <w:szCs w:val="20"/>
              </w:rPr>
            </w:pPr>
            <w:r w:rsidRPr="00942872">
              <w:rPr>
                <w:sz w:val="20"/>
                <w:szCs w:val="20"/>
              </w:rPr>
              <w:t xml:space="preserve">6.4 </w:t>
            </w:r>
            <w:r w:rsidR="001A241F" w:rsidRPr="00942872">
              <w:rPr>
                <w:sz w:val="20"/>
                <w:szCs w:val="20"/>
              </w:rPr>
              <w:br/>
              <w:t>[</w:t>
            </w:r>
            <w:r w:rsidRPr="00942872">
              <w:rPr>
                <w:sz w:val="20"/>
                <w:szCs w:val="20"/>
              </w:rPr>
              <w:t>6.1, 6.9</w:t>
            </w:r>
            <w:r w:rsidR="001A241F" w:rsidRPr="00942872">
              <w:rPr>
                <w:sz w:val="20"/>
                <w:szCs w:val="20"/>
              </w:rPr>
              <w:t>]</w:t>
            </w:r>
          </w:p>
        </w:tc>
        <w:tc>
          <w:tcPr>
            <w:tcW w:w="1275" w:type="dxa"/>
            <w:shd w:val="clear" w:color="auto" w:fill="FFFFFF" w:themeFill="background1"/>
          </w:tcPr>
          <w:p w14:paraId="0D814999" w14:textId="77777777" w:rsidR="007805A7" w:rsidRPr="00942872" w:rsidRDefault="007805A7" w:rsidP="007F4041">
            <w:pPr>
              <w:pStyle w:val="TableFooter"/>
              <w:keepNext/>
              <w:keepLines/>
              <w:jc w:val="center"/>
              <w:rPr>
                <w:sz w:val="20"/>
                <w:szCs w:val="20"/>
              </w:rPr>
            </w:pPr>
            <w:r w:rsidRPr="00942872">
              <w:rPr>
                <w:sz w:val="20"/>
                <w:szCs w:val="20"/>
              </w:rPr>
              <w:t xml:space="preserve">0.81 </w:t>
            </w:r>
            <w:r w:rsidRPr="00942872">
              <w:rPr>
                <w:sz w:val="20"/>
                <w:szCs w:val="20"/>
              </w:rPr>
              <w:br/>
            </w:r>
            <w:r w:rsidR="001A241F" w:rsidRPr="00942872">
              <w:rPr>
                <w:sz w:val="20"/>
                <w:szCs w:val="20"/>
              </w:rPr>
              <w:t>[</w:t>
            </w:r>
            <w:r w:rsidRPr="00942872">
              <w:rPr>
                <w:sz w:val="20"/>
                <w:szCs w:val="20"/>
              </w:rPr>
              <w:t>0.67, 0.99</w:t>
            </w:r>
            <w:r w:rsidR="001A241F" w:rsidRPr="00942872">
              <w:rPr>
                <w:sz w:val="20"/>
                <w:szCs w:val="20"/>
              </w:rPr>
              <w:t>]</w:t>
            </w:r>
          </w:p>
        </w:tc>
      </w:tr>
      <w:tr w:rsidR="007805A7" w:rsidRPr="00942872" w14:paraId="2B3D00C4" w14:textId="77777777" w:rsidTr="00816960">
        <w:trPr>
          <w:trHeight w:val="302"/>
        </w:trPr>
        <w:tc>
          <w:tcPr>
            <w:tcW w:w="1696" w:type="dxa"/>
            <w:vMerge/>
            <w:tcBorders>
              <w:bottom w:val="single" w:sz="4" w:space="0" w:color="auto"/>
            </w:tcBorders>
            <w:shd w:val="clear" w:color="auto" w:fill="FFFFFF" w:themeFill="background1"/>
          </w:tcPr>
          <w:p w14:paraId="4393330A" w14:textId="77777777" w:rsidR="007805A7" w:rsidRPr="00942872" w:rsidRDefault="007805A7" w:rsidP="007F4041">
            <w:pPr>
              <w:pStyle w:val="TableFooter"/>
              <w:keepNext/>
              <w:keepLines/>
              <w:jc w:val="left"/>
              <w:rPr>
                <w:sz w:val="20"/>
                <w:szCs w:val="20"/>
              </w:rPr>
            </w:pPr>
          </w:p>
        </w:tc>
        <w:tc>
          <w:tcPr>
            <w:tcW w:w="1422" w:type="dxa"/>
            <w:gridSpan w:val="2"/>
            <w:tcBorders>
              <w:bottom w:val="single" w:sz="4" w:space="0" w:color="auto"/>
            </w:tcBorders>
            <w:shd w:val="clear" w:color="auto" w:fill="FFFFFF" w:themeFill="background1"/>
          </w:tcPr>
          <w:p w14:paraId="0119CE7E" w14:textId="77777777" w:rsidR="007805A7" w:rsidRPr="00942872" w:rsidRDefault="007805A7" w:rsidP="007F4041">
            <w:pPr>
              <w:pStyle w:val="TableFooter"/>
              <w:keepNext/>
              <w:keepLines/>
              <w:jc w:val="left"/>
              <w:rPr>
                <w:sz w:val="20"/>
                <w:szCs w:val="20"/>
              </w:rPr>
            </w:pPr>
            <w:r w:rsidRPr="00942872">
              <w:rPr>
                <w:sz w:val="20"/>
                <w:szCs w:val="20"/>
              </w:rPr>
              <w:t xml:space="preserve">KN meta-analysis </w:t>
            </w:r>
            <w:r w:rsidRPr="00942872">
              <w:rPr>
                <w:iCs/>
                <w:sz w:val="20"/>
                <w:szCs w:val="20"/>
              </w:rPr>
              <w:t>k</w:t>
            </w:r>
            <w:r w:rsidRPr="00942872">
              <w:rPr>
                <w:sz w:val="20"/>
                <w:szCs w:val="20"/>
              </w:rPr>
              <w:t> = 2</w:t>
            </w:r>
            <w:r w:rsidR="006C39E6" w:rsidRPr="00942872">
              <w:rPr>
                <w:sz w:val="20"/>
                <w:szCs w:val="20"/>
                <w:vertAlign w:val="superscript"/>
              </w:rPr>
              <w:t xml:space="preserve"> d</w:t>
            </w:r>
          </w:p>
        </w:tc>
        <w:tc>
          <w:tcPr>
            <w:tcW w:w="4674" w:type="dxa"/>
            <w:gridSpan w:val="6"/>
            <w:tcBorders>
              <w:bottom w:val="single" w:sz="4" w:space="0" w:color="auto"/>
            </w:tcBorders>
            <w:shd w:val="clear" w:color="auto" w:fill="FFFFFF" w:themeFill="background1"/>
          </w:tcPr>
          <w:p w14:paraId="561372AB" w14:textId="77777777" w:rsidR="007805A7" w:rsidRPr="00942872" w:rsidRDefault="007805A7" w:rsidP="007F4041">
            <w:pPr>
              <w:pStyle w:val="TableFooter"/>
              <w:keepNext/>
              <w:keepLines/>
              <w:jc w:val="center"/>
              <w:rPr>
                <w:sz w:val="20"/>
                <w:szCs w:val="20"/>
              </w:rPr>
            </w:pPr>
            <w:r w:rsidRPr="00942872">
              <w:rPr>
                <w:sz w:val="20"/>
                <w:szCs w:val="20"/>
              </w:rPr>
              <w:t>–</w:t>
            </w:r>
          </w:p>
        </w:tc>
        <w:tc>
          <w:tcPr>
            <w:tcW w:w="1275" w:type="dxa"/>
            <w:tcBorders>
              <w:bottom w:val="single" w:sz="4" w:space="0" w:color="auto"/>
            </w:tcBorders>
            <w:shd w:val="clear" w:color="auto" w:fill="FFFFFF" w:themeFill="background1"/>
          </w:tcPr>
          <w:p w14:paraId="4322DB1F" w14:textId="77777777" w:rsidR="007805A7" w:rsidRPr="00942872" w:rsidRDefault="007805A7" w:rsidP="007F4041">
            <w:pPr>
              <w:pStyle w:val="TableFooter"/>
              <w:keepNext/>
              <w:keepLines/>
              <w:jc w:val="center"/>
              <w:rPr>
                <w:sz w:val="20"/>
                <w:szCs w:val="20"/>
                <w:vertAlign w:val="superscript"/>
              </w:rPr>
            </w:pPr>
            <w:r w:rsidRPr="00942872">
              <w:rPr>
                <w:sz w:val="20"/>
                <w:szCs w:val="20"/>
              </w:rPr>
              <w:t xml:space="preserve">0.65 </w:t>
            </w:r>
            <w:r w:rsidRPr="00942872">
              <w:rPr>
                <w:sz w:val="20"/>
                <w:szCs w:val="20"/>
              </w:rPr>
              <w:br/>
            </w:r>
            <w:r w:rsidR="001A241F" w:rsidRPr="00942872">
              <w:rPr>
                <w:sz w:val="20"/>
                <w:szCs w:val="20"/>
              </w:rPr>
              <w:t>[</w:t>
            </w:r>
            <w:r w:rsidRPr="00942872">
              <w:rPr>
                <w:sz w:val="20"/>
                <w:szCs w:val="20"/>
              </w:rPr>
              <w:t>0.40, 1.04</w:t>
            </w:r>
            <w:r w:rsidR="001A241F" w:rsidRPr="00942872">
              <w:rPr>
                <w:sz w:val="20"/>
                <w:szCs w:val="20"/>
              </w:rPr>
              <w:t>]</w:t>
            </w:r>
          </w:p>
        </w:tc>
      </w:tr>
      <w:tr w:rsidR="007805A7" w:rsidRPr="00942872" w14:paraId="13CE95CE" w14:textId="77777777" w:rsidTr="00816960">
        <w:tc>
          <w:tcPr>
            <w:tcW w:w="1696" w:type="dxa"/>
            <w:shd w:val="clear" w:color="auto" w:fill="D9D9D9" w:themeFill="background1" w:themeFillShade="D9"/>
          </w:tcPr>
          <w:p w14:paraId="5E532423" w14:textId="77777777" w:rsidR="007805A7" w:rsidRPr="00942872" w:rsidRDefault="007805A7" w:rsidP="007F4041">
            <w:pPr>
              <w:pStyle w:val="TableFooter"/>
              <w:keepNext/>
              <w:keepLines/>
              <w:jc w:val="left"/>
              <w:rPr>
                <w:sz w:val="20"/>
                <w:szCs w:val="20"/>
              </w:rPr>
            </w:pPr>
            <w:r w:rsidRPr="00942872">
              <w:rPr>
                <w:sz w:val="20"/>
                <w:szCs w:val="20"/>
              </w:rPr>
              <w:t>ITC of cemiplimab vs. pembrolizumab</w:t>
            </w:r>
          </w:p>
        </w:tc>
        <w:tc>
          <w:tcPr>
            <w:tcW w:w="1422" w:type="dxa"/>
            <w:gridSpan w:val="2"/>
            <w:shd w:val="clear" w:color="auto" w:fill="D9D9D9" w:themeFill="background1" w:themeFillShade="D9"/>
          </w:tcPr>
          <w:p w14:paraId="369E30C0" w14:textId="77777777" w:rsidR="007805A7" w:rsidRPr="00942872" w:rsidRDefault="007805A7" w:rsidP="007F4041">
            <w:pPr>
              <w:pStyle w:val="TableFooter"/>
              <w:keepNext/>
              <w:keepLines/>
              <w:ind w:right="-57"/>
              <w:jc w:val="left"/>
              <w:rPr>
                <w:bCs/>
                <w:sz w:val="20"/>
                <w:szCs w:val="20"/>
              </w:rPr>
            </w:pPr>
            <w:r w:rsidRPr="00942872">
              <w:rPr>
                <w:bCs/>
                <w:sz w:val="20"/>
                <w:szCs w:val="20"/>
              </w:rPr>
              <w:t>1624 ITT vs. KN meta</w:t>
            </w:r>
            <w:r w:rsidRPr="00942872">
              <w:rPr>
                <w:bCs/>
                <w:sz w:val="20"/>
                <w:szCs w:val="20"/>
              </w:rPr>
              <w:noBreakHyphen/>
              <w:t>analysis</w:t>
            </w:r>
          </w:p>
        </w:tc>
        <w:tc>
          <w:tcPr>
            <w:tcW w:w="4674" w:type="dxa"/>
            <w:gridSpan w:val="6"/>
            <w:shd w:val="clear" w:color="auto" w:fill="D9D9D9" w:themeFill="background1" w:themeFillShade="D9"/>
          </w:tcPr>
          <w:p w14:paraId="6DC10E03" w14:textId="77777777" w:rsidR="007805A7" w:rsidRPr="00942872" w:rsidRDefault="007805A7" w:rsidP="007F4041">
            <w:pPr>
              <w:pStyle w:val="TableFooter"/>
              <w:keepNext/>
              <w:keepLines/>
              <w:jc w:val="center"/>
              <w:rPr>
                <w:bCs/>
                <w:sz w:val="20"/>
                <w:szCs w:val="20"/>
              </w:rPr>
            </w:pPr>
            <w:r w:rsidRPr="00942872">
              <w:rPr>
                <w:sz w:val="20"/>
                <w:szCs w:val="20"/>
              </w:rPr>
              <w:t>–</w:t>
            </w:r>
          </w:p>
        </w:tc>
        <w:tc>
          <w:tcPr>
            <w:tcW w:w="1275" w:type="dxa"/>
            <w:shd w:val="clear" w:color="auto" w:fill="D9D9D9" w:themeFill="background1" w:themeFillShade="D9"/>
          </w:tcPr>
          <w:p w14:paraId="2243883F" w14:textId="77777777" w:rsidR="007805A7" w:rsidRPr="00942872" w:rsidRDefault="007805A7" w:rsidP="007F4041">
            <w:pPr>
              <w:pStyle w:val="TableFooter"/>
              <w:keepNext/>
              <w:keepLines/>
              <w:jc w:val="center"/>
              <w:rPr>
                <w:sz w:val="20"/>
                <w:szCs w:val="20"/>
              </w:rPr>
            </w:pPr>
            <w:r w:rsidRPr="00942872">
              <w:rPr>
                <w:sz w:val="20"/>
                <w:szCs w:val="20"/>
              </w:rPr>
              <w:t xml:space="preserve">0.91 </w:t>
            </w:r>
            <w:r w:rsidRPr="00942872">
              <w:rPr>
                <w:sz w:val="20"/>
                <w:szCs w:val="20"/>
              </w:rPr>
              <w:br/>
            </w:r>
            <w:r w:rsidR="001A241F" w:rsidRPr="00942872">
              <w:rPr>
                <w:sz w:val="20"/>
                <w:szCs w:val="20"/>
              </w:rPr>
              <w:t>[</w:t>
            </w:r>
            <w:r w:rsidRPr="00942872">
              <w:rPr>
                <w:sz w:val="20"/>
                <w:szCs w:val="20"/>
              </w:rPr>
              <w:t>0.55, 1.53</w:t>
            </w:r>
            <w:r w:rsidR="001A241F" w:rsidRPr="00942872">
              <w:rPr>
                <w:sz w:val="20"/>
                <w:szCs w:val="20"/>
              </w:rPr>
              <w:t>]</w:t>
            </w:r>
          </w:p>
        </w:tc>
      </w:tr>
    </w:tbl>
    <w:p w14:paraId="7755CD29" w14:textId="77777777" w:rsidR="007805A7" w:rsidRPr="00942872" w:rsidRDefault="007805A7" w:rsidP="007F4041">
      <w:pPr>
        <w:pStyle w:val="TableFooter"/>
        <w:keepNext/>
        <w:keepLines/>
      </w:pPr>
      <w:r w:rsidRPr="00942872">
        <w:t>Source: Table 2.6-16, p102 and Table 2.6-3, p90 of the submission; “2021-07-05_MA&amp;ITC” Excel workbook for indirect comparison</w:t>
      </w:r>
    </w:p>
    <w:p w14:paraId="31AC891E" w14:textId="77777777" w:rsidR="007805A7" w:rsidRPr="00942872" w:rsidRDefault="007805A7" w:rsidP="007F4041">
      <w:pPr>
        <w:pStyle w:val="TableFooter"/>
        <w:keepNext/>
        <w:keepLines/>
      </w:pPr>
      <w:r w:rsidRPr="00942872">
        <w:t xml:space="preserve">CI = confidence interval; HR = hazard ratio; ITC = indirect treatment comparison; ITT = intention-to-treat; k = number of studies contributing to the pooled estimate of effect; </w:t>
      </w:r>
      <w:r w:rsidR="00610AF9" w:rsidRPr="00942872">
        <w:t xml:space="preserve">mths = months; </w:t>
      </w:r>
      <w:r w:rsidR="00A9493A">
        <w:t xml:space="preserve">mITT-1 = modified intention to treat population </w:t>
      </w:r>
      <w:r w:rsidR="00A9493A" w:rsidRPr="00A9493A">
        <w:t>1</w:t>
      </w:r>
      <w:r w:rsidR="00A9493A">
        <w:t>;</w:t>
      </w:r>
      <w:r w:rsidR="00A9493A" w:rsidRPr="00A9493A">
        <w:t xml:space="preserve"> </w:t>
      </w:r>
      <w:r w:rsidRPr="00942872">
        <w:t>NE = not evaluable; NR = not reached; PD-1 = programmed cell death 1</w:t>
      </w:r>
      <w:r w:rsidR="00707D3E" w:rsidRPr="00942872">
        <w:t>; TPS = tumour proportion score</w:t>
      </w:r>
      <w:r w:rsidRPr="00942872">
        <w:t>.</w:t>
      </w:r>
    </w:p>
    <w:p w14:paraId="43151B0A" w14:textId="77777777" w:rsidR="007805A7" w:rsidRPr="00942872" w:rsidRDefault="007805A7" w:rsidP="007F4041">
      <w:pPr>
        <w:pStyle w:val="TableFooter"/>
        <w:keepNext/>
        <w:keepLines/>
      </w:pPr>
      <w:r w:rsidRPr="00942872">
        <w:t>Note</w:t>
      </w:r>
      <w:r w:rsidR="00A95F72" w:rsidRPr="00942872">
        <w:t>s</w:t>
      </w:r>
      <w:r w:rsidRPr="00942872">
        <w:t xml:space="preserve">: A HR &lt;1 in ITC favours cemiplimab. </w:t>
      </w:r>
      <w:r w:rsidR="0091227B" w:rsidRPr="00942872">
        <w:t>R</w:t>
      </w:r>
      <w:r w:rsidR="00A95F72" w:rsidRPr="00942872">
        <w:t xml:space="preserve">esults </w:t>
      </w:r>
      <w:r w:rsidR="0091227B" w:rsidRPr="00942872">
        <w:t xml:space="preserve">of </w:t>
      </w:r>
      <w:r w:rsidR="00A95F72" w:rsidRPr="00942872">
        <w:t>the primary ITC</w:t>
      </w:r>
      <w:r w:rsidR="00410064" w:rsidRPr="00942872">
        <w:t>s</w:t>
      </w:r>
      <w:r w:rsidR="0091227B" w:rsidRPr="00942872">
        <w:t xml:space="preserve"> are shaded</w:t>
      </w:r>
      <w:r w:rsidR="00A95F72" w:rsidRPr="00942872">
        <w:t>.</w:t>
      </w:r>
    </w:p>
    <w:p w14:paraId="1BBB31FE" w14:textId="77777777" w:rsidR="006C39E6" w:rsidRPr="00942872" w:rsidRDefault="007805A7" w:rsidP="007F4041">
      <w:pPr>
        <w:pStyle w:val="TableFooter"/>
        <w:keepNext/>
        <w:keepLines/>
      </w:pPr>
      <w:r w:rsidRPr="00942872">
        <w:rPr>
          <w:vertAlign w:val="superscript"/>
        </w:rPr>
        <w:t xml:space="preserve">a </w:t>
      </w:r>
      <w:r w:rsidR="006C39E6" w:rsidRPr="00942872">
        <w:t>Overall survival data at data cutoff (DCO) July 2017 in KN024, as median overall survival were not reached at an earlier DCO of May 2016.</w:t>
      </w:r>
    </w:p>
    <w:p w14:paraId="77798B34" w14:textId="77777777" w:rsidR="007805A7" w:rsidRPr="00942872" w:rsidRDefault="009A1D16" w:rsidP="007F4041">
      <w:pPr>
        <w:pStyle w:val="TableFooter"/>
        <w:keepNext/>
        <w:keepLines/>
      </w:pPr>
      <w:r w:rsidRPr="00942872">
        <w:rPr>
          <w:vertAlign w:val="superscript"/>
        </w:rPr>
        <w:t xml:space="preserve">b </w:t>
      </w:r>
      <w:r w:rsidR="007805A7" w:rsidRPr="00942872">
        <w:t>Random-effect model. Heterogeneity: Tau</w:t>
      </w:r>
      <w:r w:rsidR="007805A7" w:rsidRPr="00942872">
        <w:rPr>
          <w:vertAlign w:val="superscript"/>
        </w:rPr>
        <w:t>2</w:t>
      </w:r>
      <w:r w:rsidR="007805A7" w:rsidRPr="00942872">
        <w:t>=0.00; Chi</w:t>
      </w:r>
      <w:r w:rsidR="007805A7" w:rsidRPr="00942872">
        <w:rPr>
          <w:vertAlign w:val="superscript"/>
        </w:rPr>
        <w:t>2</w:t>
      </w:r>
      <w:r w:rsidR="007805A7" w:rsidRPr="00942872">
        <w:t>=0.24, df=1, P=0.63; I</w:t>
      </w:r>
      <w:r w:rsidR="007805A7" w:rsidRPr="00942872">
        <w:rPr>
          <w:vertAlign w:val="superscript"/>
        </w:rPr>
        <w:t xml:space="preserve">2 </w:t>
      </w:r>
      <w:r w:rsidR="007805A7" w:rsidRPr="00942872">
        <w:t>=0%</w:t>
      </w:r>
    </w:p>
    <w:p w14:paraId="0CDE30FF" w14:textId="77777777" w:rsidR="006C39E6" w:rsidRPr="00942872" w:rsidRDefault="006C39E6" w:rsidP="007F4041">
      <w:pPr>
        <w:pStyle w:val="TableFooter"/>
        <w:keepNext/>
        <w:keepLines/>
      </w:pPr>
      <w:r w:rsidRPr="00942872">
        <w:rPr>
          <w:vertAlign w:val="superscript"/>
        </w:rPr>
        <w:t xml:space="preserve">c </w:t>
      </w:r>
      <w:r w:rsidRPr="00942872">
        <w:t>Progression-free survival data at DCO May 2016 in KN024</w:t>
      </w:r>
    </w:p>
    <w:p w14:paraId="430A57B7" w14:textId="77777777" w:rsidR="007805A7" w:rsidRPr="00942872" w:rsidRDefault="006C39E6" w:rsidP="007F4041">
      <w:pPr>
        <w:pStyle w:val="TableFooter"/>
        <w:keepNext/>
        <w:keepLines/>
      </w:pPr>
      <w:r w:rsidRPr="00942872">
        <w:rPr>
          <w:vertAlign w:val="superscript"/>
        </w:rPr>
        <w:t>d</w:t>
      </w:r>
      <w:r w:rsidR="007805A7" w:rsidRPr="00942872">
        <w:rPr>
          <w:vertAlign w:val="superscript"/>
        </w:rPr>
        <w:t xml:space="preserve"> </w:t>
      </w:r>
      <w:r w:rsidR="007805A7" w:rsidRPr="00942872">
        <w:t>Random-effect model. Heterogeneity: Tau</w:t>
      </w:r>
      <w:r w:rsidR="007805A7" w:rsidRPr="00942872">
        <w:rPr>
          <w:vertAlign w:val="superscript"/>
        </w:rPr>
        <w:t>2</w:t>
      </w:r>
      <w:r w:rsidR="007805A7" w:rsidRPr="00942872">
        <w:t>=0.10; Chi</w:t>
      </w:r>
      <w:r w:rsidR="007805A7" w:rsidRPr="00942872">
        <w:rPr>
          <w:vertAlign w:val="superscript"/>
        </w:rPr>
        <w:t>2</w:t>
      </w:r>
      <w:r w:rsidR="007805A7" w:rsidRPr="00942872">
        <w:t>=6.84, df=1, P=0.009; I</w:t>
      </w:r>
      <w:r w:rsidR="007805A7" w:rsidRPr="00942872">
        <w:rPr>
          <w:vertAlign w:val="superscript"/>
        </w:rPr>
        <w:t xml:space="preserve">2 </w:t>
      </w:r>
      <w:r w:rsidR="007805A7" w:rsidRPr="00942872">
        <w:t>=85%</w:t>
      </w:r>
    </w:p>
    <w:p w14:paraId="7ED3E058" w14:textId="77777777" w:rsidR="007805A7" w:rsidRPr="00942872" w:rsidRDefault="007805A7" w:rsidP="007805A7">
      <w:pPr>
        <w:pStyle w:val="TableFooter"/>
      </w:pPr>
    </w:p>
    <w:p w14:paraId="21527A25" w14:textId="77777777" w:rsidR="007805A7" w:rsidRPr="00942872" w:rsidRDefault="007805A7" w:rsidP="007805A7">
      <w:pPr>
        <w:pStyle w:val="3-BodyText"/>
      </w:pPr>
      <w:r w:rsidRPr="00942872">
        <w:t xml:space="preserve">The point estimate of indirect hazard ratio for </w:t>
      </w:r>
      <w:r w:rsidR="00E458AE" w:rsidRPr="00942872">
        <w:t xml:space="preserve">OS </w:t>
      </w:r>
      <w:r w:rsidR="00E745D5">
        <w:t xml:space="preserve">for the </w:t>
      </w:r>
      <w:r w:rsidRPr="00942872">
        <w:t xml:space="preserve">primary comparison </w:t>
      </w:r>
      <w:r w:rsidR="00C647A5" w:rsidRPr="00942872">
        <w:t xml:space="preserve">suggested no </w:t>
      </w:r>
      <w:r w:rsidR="000C672D" w:rsidRPr="00942872">
        <w:t xml:space="preserve">significant </w:t>
      </w:r>
      <w:r w:rsidR="00C647A5" w:rsidRPr="00942872">
        <w:t xml:space="preserve">difference in the treatment effect of cemiplimab versus chemotherapy compared with </w:t>
      </w:r>
      <w:r w:rsidRPr="00942872">
        <w:t xml:space="preserve">pembrolizumab </w:t>
      </w:r>
      <w:r w:rsidR="00C647A5" w:rsidRPr="00942872">
        <w:t xml:space="preserve">versus </w:t>
      </w:r>
      <w:r w:rsidRPr="00942872">
        <w:t>chemotherapy (</w:t>
      </w:r>
      <w:r w:rsidR="00C647A5" w:rsidRPr="00942872">
        <w:t xml:space="preserve">indirect </w:t>
      </w:r>
      <w:r w:rsidRPr="00942872">
        <w:t xml:space="preserve">hazard ratio: 1.01 [0.74, 1.37]). The 95% CI contained an increase of hazard for death by 37%, which could be clinically important to the proposed target population. Similar results were reported when the ITC used the OS data at an earlier DCO of May 2016 in KN024, and when the mITT-1 and mITT-2 populations of Study 1624 were used. </w:t>
      </w:r>
    </w:p>
    <w:p w14:paraId="74249FC0" w14:textId="77777777" w:rsidR="007805A7" w:rsidRPr="00942872" w:rsidRDefault="007805A7" w:rsidP="007805A7">
      <w:pPr>
        <w:pStyle w:val="3-BodyText"/>
      </w:pPr>
      <w:r w:rsidRPr="00942872">
        <w:t xml:space="preserve">There was no significant difference in effect size of cemiplimab and pembrolizumab relative to chemotherapy in term of PFS (hazard ratio: 0.91 [0.55, 1.53]) in the primary ITC. Similar results were reported from sensitivity analyses where mITT-1 and mITT-2 from Study 1624 were used. </w:t>
      </w:r>
    </w:p>
    <w:p w14:paraId="3C117F70" w14:textId="77777777" w:rsidR="007805A7" w:rsidRPr="00942872" w:rsidRDefault="007805A7" w:rsidP="007805A7">
      <w:pPr>
        <w:pStyle w:val="3-BodyText"/>
      </w:pPr>
      <w:bookmarkStart w:id="17" w:name="_Ref87957392"/>
      <w:r w:rsidRPr="00942872">
        <w:t xml:space="preserve">The key differences in the baseline characteristics </w:t>
      </w:r>
      <w:r w:rsidR="00503304" w:rsidRPr="00942872">
        <w:t xml:space="preserve">and treatments </w:t>
      </w:r>
      <w:r w:rsidRPr="00942872">
        <w:t>across the cemiplimab trial (Study 1624) and the two pembrolizumab trials (KN024 and KN042 (PD-L1 TPS ≥ 50% subgroup)) are summarised as follows:</w:t>
      </w:r>
      <w:bookmarkEnd w:id="17"/>
      <w:r w:rsidRPr="00942872">
        <w:t xml:space="preserve"> </w:t>
      </w:r>
    </w:p>
    <w:p w14:paraId="0652BABE" w14:textId="77777777" w:rsidR="007805A7" w:rsidRPr="00942872" w:rsidRDefault="007805A7" w:rsidP="000D035D">
      <w:pPr>
        <w:numPr>
          <w:ilvl w:val="1"/>
          <w:numId w:val="10"/>
        </w:numPr>
        <w:spacing w:after="120"/>
        <w:ind w:left="1134" w:hanging="392"/>
        <w:rPr>
          <w:rFonts w:asciiTheme="minorHAnsi" w:hAnsiTheme="minorHAnsi"/>
          <w:snapToGrid w:val="0"/>
        </w:rPr>
      </w:pPr>
      <w:r w:rsidRPr="00942872">
        <w:rPr>
          <w:rFonts w:asciiTheme="minorHAnsi" w:hAnsiTheme="minorHAnsi"/>
          <w:snapToGrid w:val="0"/>
        </w:rPr>
        <w:t xml:space="preserve">KN024 enrolled patients with metastatic NSCLC only; whereas Study 1624 and KN042 included both metastatic and locally advanced subjects (16% in Study 1624 and 11% in KN042). </w:t>
      </w:r>
    </w:p>
    <w:p w14:paraId="2ED2B057" w14:textId="77777777" w:rsidR="007805A7" w:rsidRPr="00942872" w:rsidRDefault="007805A7" w:rsidP="000D035D">
      <w:pPr>
        <w:numPr>
          <w:ilvl w:val="1"/>
          <w:numId w:val="10"/>
        </w:numPr>
        <w:spacing w:after="120"/>
        <w:ind w:left="1134" w:hanging="392"/>
        <w:rPr>
          <w:rFonts w:asciiTheme="minorHAnsi" w:hAnsiTheme="minorHAnsi"/>
          <w:snapToGrid w:val="0"/>
        </w:rPr>
      </w:pPr>
      <w:r w:rsidRPr="00942872">
        <w:rPr>
          <w:rFonts w:asciiTheme="minorHAnsi" w:hAnsiTheme="minorHAnsi"/>
          <w:snapToGrid w:val="0"/>
        </w:rPr>
        <w:t xml:space="preserve">There were more patients with squamous NSCLC (44%) in Study 1624 than in KN024 (18%) and KN042 (37%). </w:t>
      </w:r>
    </w:p>
    <w:p w14:paraId="63C3BE9D" w14:textId="77777777" w:rsidR="007805A7" w:rsidRPr="00942872" w:rsidRDefault="007805A7" w:rsidP="000D035D">
      <w:pPr>
        <w:numPr>
          <w:ilvl w:val="1"/>
          <w:numId w:val="10"/>
        </w:numPr>
        <w:spacing w:after="120"/>
        <w:ind w:left="1134" w:hanging="392"/>
        <w:rPr>
          <w:rFonts w:asciiTheme="minorHAnsi" w:hAnsiTheme="minorHAnsi"/>
          <w:snapToGrid w:val="0"/>
        </w:rPr>
      </w:pPr>
      <w:r w:rsidRPr="00942872">
        <w:rPr>
          <w:rFonts w:asciiTheme="minorHAnsi" w:hAnsiTheme="minorHAnsi"/>
          <w:snapToGrid w:val="0"/>
        </w:rPr>
        <w:t>Study 1624 had more male patients (85%) compared with KN024 (61%) and KN042 (70%).</w:t>
      </w:r>
    </w:p>
    <w:p w14:paraId="67747209" w14:textId="77777777" w:rsidR="007805A7" w:rsidRPr="00942872" w:rsidRDefault="007805A7" w:rsidP="000D035D">
      <w:pPr>
        <w:numPr>
          <w:ilvl w:val="1"/>
          <w:numId w:val="10"/>
        </w:numPr>
        <w:spacing w:after="120"/>
        <w:ind w:left="1134" w:hanging="392"/>
        <w:rPr>
          <w:rFonts w:asciiTheme="minorHAnsi" w:hAnsiTheme="minorHAnsi"/>
          <w:snapToGrid w:val="0"/>
        </w:rPr>
      </w:pPr>
      <w:r w:rsidRPr="00942872">
        <w:rPr>
          <w:rFonts w:asciiTheme="minorHAnsi" w:hAnsiTheme="minorHAnsi"/>
          <w:snapToGrid w:val="0"/>
        </w:rPr>
        <w:t>The proportion of patients with brain metastases was higher in Study 1624 (12%) than in KN024 (9%) and KN042 (6%).</w:t>
      </w:r>
    </w:p>
    <w:p w14:paraId="7947BDC6" w14:textId="77777777" w:rsidR="007805A7" w:rsidRPr="00942872" w:rsidRDefault="00753D65" w:rsidP="000D035D">
      <w:pPr>
        <w:numPr>
          <w:ilvl w:val="1"/>
          <w:numId w:val="10"/>
        </w:numPr>
        <w:spacing w:after="120"/>
        <w:ind w:left="1134" w:hanging="392"/>
        <w:rPr>
          <w:rFonts w:asciiTheme="minorHAnsi" w:hAnsiTheme="minorHAnsi"/>
          <w:snapToGrid w:val="0"/>
        </w:rPr>
      </w:pPr>
      <w:r w:rsidRPr="00942872">
        <w:rPr>
          <w:rFonts w:asciiTheme="minorHAnsi" w:hAnsiTheme="minorHAnsi"/>
          <w:snapToGrid w:val="0"/>
        </w:rPr>
        <w:t xml:space="preserve">Never smokers were excluded from </w:t>
      </w:r>
      <w:r w:rsidR="007805A7" w:rsidRPr="00942872">
        <w:rPr>
          <w:rFonts w:asciiTheme="minorHAnsi" w:hAnsiTheme="minorHAnsi"/>
          <w:snapToGrid w:val="0"/>
        </w:rPr>
        <w:t xml:space="preserve">Study 1624 </w:t>
      </w:r>
      <w:r w:rsidRPr="00942872">
        <w:rPr>
          <w:rFonts w:asciiTheme="minorHAnsi" w:hAnsiTheme="minorHAnsi"/>
          <w:snapToGrid w:val="0"/>
        </w:rPr>
        <w:t xml:space="preserve">but </w:t>
      </w:r>
      <w:r w:rsidR="007805A7" w:rsidRPr="00942872">
        <w:rPr>
          <w:rFonts w:asciiTheme="minorHAnsi" w:hAnsiTheme="minorHAnsi"/>
          <w:snapToGrid w:val="0"/>
        </w:rPr>
        <w:t>included in the two pembrolizumab trials (</w:t>
      </w:r>
      <w:r w:rsidR="00DE502E" w:rsidRPr="00942872">
        <w:rPr>
          <w:rFonts w:asciiTheme="minorHAnsi" w:hAnsiTheme="minorHAnsi"/>
          <w:snapToGrid w:val="0"/>
        </w:rPr>
        <w:t>3</w:t>
      </w:r>
      <w:r w:rsidR="007805A7" w:rsidRPr="00942872">
        <w:rPr>
          <w:rFonts w:asciiTheme="minorHAnsi" w:hAnsiTheme="minorHAnsi"/>
          <w:snapToGrid w:val="0"/>
        </w:rPr>
        <w:t xml:space="preserve">% </w:t>
      </w:r>
      <w:r w:rsidRPr="00942872">
        <w:rPr>
          <w:rFonts w:asciiTheme="minorHAnsi" w:hAnsiTheme="minorHAnsi"/>
          <w:snapToGrid w:val="0"/>
        </w:rPr>
        <w:t xml:space="preserve">in the </w:t>
      </w:r>
      <w:r w:rsidR="00DE502E" w:rsidRPr="00942872">
        <w:rPr>
          <w:rFonts w:asciiTheme="minorHAnsi" w:hAnsiTheme="minorHAnsi"/>
          <w:snapToGrid w:val="0"/>
        </w:rPr>
        <w:t>pembrolizumab vs. 13</w:t>
      </w:r>
      <w:r w:rsidRPr="00942872">
        <w:rPr>
          <w:rFonts w:asciiTheme="minorHAnsi" w:hAnsiTheme="minorHAnsi"/>
          <w:snapToGrid w:val="0"/>
        </w:rPr>
        <w:t>%</w:t>
      </w:r>
      <w:r w:rsidR="00DE502E" w:rsidRPr="00942872">
        <w:rPr>
          <w:rFonts w:asciiTheme="minorHAnsi" w:hAnsiTheme="minorHAnsi"/>
          <w:snapToGrid w:val="0"/>
        </w:rPr>
        <w:t xml:space="preserve"> </w:t>
      </w:r>
      <w:r w:rsidRPr="00942872">
        <w:rPr>
          <w:rFonts w:asciiTheme="minorHAnsi" w:hAnsiTheme="minorHAnsi"/>
          <w:snapToGrid w:val="0"/>
        </w:rPr>
        <w:t>in the</w:t>
      </w:r>
      <w:r w:rsidR="00DE502E" w:rsidRPr="00942872">
        <w:rPr>
          <w:rFonts w:asciiTheme="minorHAnsi" w:hAnsiTheme="minorHAnsi"/>
          <w:snapToGrid w:val="0"/>
        </w:rPr>
        <w:t xml:space="preserve"> chemotherapy arm </w:t>
      </w:r>
      <w:r w:rsidR="007805A7" w:rsidRPr="00942872">
        <w:rPr>
          <w:rFonts w:asciiTheme="minorHAnsi" w:hAnsiTheme="minorHAnsi"/>
          <w:snapToGrid w:val="0"/>
        </w:rPr>
        <w:t xml:space="preserve">in KN024 and </w:t>
      </w:r>
      <w:r w:rsidRPr="00942872">
        <w:rPr>
          <w:rFonts w:asciiTheme="minorHAnsi" w:hAnsiTheme="minorHAnsi"/>
          <w:snapToGrid w:val="0"/>
        </w:rPr>
        <w:t>22</w:t>
      </w:r>
      <w:r w:rsidR="007805A7" w:rsidRPr="00942872">
        <w:rPr>
          <w:rFonts w:asciiTheme="minorHAnsi" w:hAnsiTheme="minorHAnsi"/>
          <w:snapToGrid w:val="0"/>
        </w:rPr>
        <w:t xml:space="preserve">% </w:t>
      </w:r>
      <w:r w:rsidR="00C647A5" w:rsidRPr="00942872">
        <w:rPr>
          <w:rFonts w:asciiTheme="minorHAnsi" w:hAnsiTheme="minorHAnsi"/>
          <w:snapToGrid w:val="0"/>
        </w:rPr>
        <w:t xml:space="preserve">across both arms </w:t>
      </w:r>
      <w:r w:rsidR="007805A7" w:rsidRPr="00942872">
        <w:rPr>
          <w:rFonts w:asciiTheme="minorHAnsi" w:hAnsiTheme="minorHAnsi"/>
          <w:snapToGrid w:val="0"/>
        </w:rPr>
        <w:t xml:space="preserve">in KN042). </w:t>
      </w:r>
    </w:p>
    <w:p w14:paraId="50485475" w14:textId="77777777" w:rsidR="007805A7" w:rsidRPr="00942872" w:rsidRDefault="007805A7" w:rsidP="000D035D">
      <w:pPr>
        <w:numPr>
          <w:ilvl w:val="1"/>
          <w:numId w:val="10"/>
        </w:numPr>
        <w:spacing w:after="120"/>
        <w:ind w:left="1134" w:hanging="391"/>
        <w:rPr>
          <w:rFonts w:asciiTheme="minorHAnsi" w:hAnsiTheme="minorHAnsi"/>
          <w:snapToGrid w:val="0"/>
        </w:rPr>
      </w:pPr>
      <w:r w:rsidRPr="00942872">
        <w:rPr>
          <w:rFonts w:asciiTheme="minorHAnsi" w:hAnsiTheme="minorHAnsi"/>
          <w:snapToGrid w:val="0"/>
        </w:rPr>
        <w:t>Study 1624 included more patients from Europe (78%) compared with KN024 (52%) or KN042 (23%). A lower proportion of patients were enrolled from Asia in Study 1624 (11%) than in KN042 (31% East Asia</w:t>
      </w:r>
      <w:r w:rsidR="00503304" w:rsidRPr="00942872">
        <w:rPr>
          <w:rStyle w:val="FootnoteReference"/>
          <w:rFonts w:asciiTheme="minorHAnsi" w:hAnsiTheme="minorHAnsi"/>
          <w:snapToGrid w:val="0"/>
        </w:rPr>
        <w:footnoteReference w:id="7"/>
      </w:r>
      <w:r w:rsidRPr="00942872">
        <w:rPr>
          <w:rFonts w:asciiTheme="minorHAnsi" w:hAnsiTheme="minorHAnsi"/>
          <w:snapToGrid w:val="0"/>
        </w:rPr>
        <w:t>).</w:t>
      </w:r>
    </w:p>
    <w:p w14:paraId="01DCEC57" w14:textId="77777777" w:rsidR="00503304" w:rsidRPr="00942872" w:rsidRDefault="00503304" w:rsidP="000D035D">
      <w:pPr>
        <w:numPr>
          <w:ilvl w:val="1"/>
          <w:numId w:val="10"/>
        </w:numPr>
        <w:spacing w:after="120"/>
        <w:ind w:left="1134" w:hanging="391"/>
        <w:rPr>
          <w:rFonts w:asciiTheme="minorHAnsi" w:hAnsiTheme="minorHAnsi"/>
          <w:snapToGrid w:val="0"/>
        </w:rPr>
      </w:pPr>
      <w:r w:rsidRPr="00942872">
        <w:rPr>
          <w:rFonts w:asciiTheme="minorHAnsi" w:hAnsiTheme="minorHAnsi"/>
          <w:snapToGrid w:val="0"/>
        </w:rPr>
        <w:t>The proportion of patients receiving later-line PD-</w:t>
      </w:r>
      <w:r w:rsidR="00753D65" w:rsidRPr="00942872">
        <w:rPr>
          <w:rFonts w:asciiTheme="minorHAnsi" w:hAnsiTheme="minorHAnsi"/>
          <w:snapToGrid w:val="0"/>
        </w:rPr>
        <w:t>(L)</w:t>
      </w:r>
      <w:r w:rsidRPr="00942872">
        <w:rPr>
          <w:rFonts w:asciiTheme="minorHAnsi" w:hAnsiTheme="minorHAnsi"/>
          <w:snapToGrid w:val="0"/>
        </w:rPr>
        <w:t>1 inhibitors following first-line chemotherapy was higher in Study 1624 and KN024 (43% and 44% respectively) than in the KN042 ITT population (20%)</w:t>
      </w:r>
      <w:r w:rsidR="00753D65" w:rsidRPr="00942872">
        <w:rPr>
          <w:rStyle w:val="FootnoteReference"/>
          <w:rFonts w:asciiTheme="minorHAnsi" w:hAnsiTheme="minorHAnsi"/>
          <w:snapToGrid w:val="0"/>
        </w:rPr>
        <w:footnoteReference w:id="8"/>
      </w:r>
      <w:r w:rsidRPr="00942872">
        <w:rPr>
          <w:rFonts w:asciiTheme="minorHAnsi" w:hAnsiTheme="minorHAnsi"/>
          <w:snapToGrid w:val="0"/>
        </w:rPr>
        <w:t xml:space="preserve">. </w:t>
      </w:r>
    </w:p>
    <w:p w14:paraId="1363854C" w14:textId="77777777" w:rsidR="0086596B" w:rsidRPr="00942872" w:rsidRDefault="0086596B" w:rsidP="000D035D">
      <w:pPr>
        <w:numPr>
          <w:ilvl w:val="1"/>
          <w:numId w:val="10"/>
        </w:numPr>
        <w:spacing w:after="120"/>
        <w:ind w:left="1134" w:hanging="391"/>
        <w:rPr>
          <w:rFonts w:asciiTheme="minorHAnsi" w:hAnsiTheme="minorHAnsi"/>
          <w:snapToGrid w:val="0"/>
        </w:rPr>
      </w:pPr>
      <w:r w:rsidRPr="00942872">
        <w:rPr>
          <w:rFonts w:asciiTheme="minorHAnsi" w:hAnsiTheme="minorHAnsi"/>
          <w:snapToGrid w:val="0"/>
        </w:rPr>
        <w:t xml:space="preserve">Around one-third (32%) of patients who </w:t>
      </w:r>
      <w:r w:rsidR="004958BB" w:rsidRPr="00942872">
        <w:rPr>
          <w:rFonts w:asciiTheme="minorHAnsi" w:hAnsiTheme="minorHAnsi"/>
          <w:snapToGrid w:val="0"/>
        </w:rPr>
        <w:t xml:space="preserve">had progressive disease after </w:t>
      </w:r>
      <w:r w:rsidRPr="00942872">
        <w:rPr>
          <w:rFonts w:asciiTheme="minorHAnsi" w:hAnsiTheme="minorHAnsi"/>
          <w:snapToGrid w:val="0"/>
        </w:rPr>
        <w:t>first-line cemiplimab were treated with cemiplimab in combination with chemotherapy in Study 1624</w:t>
      </w:r>
      <w:r w:rsidR="00D94244" w:rsidRPr="00942872">
        <w:rPr>
          <w:rFonts w:asciiTheme="minorHAnsi" w:hAnsiTheme="minorHAnsi"/>
          <w:snapToGrid w:val="0"/>
        </w:rPr>
        <w:t xml:space="preserve">; but relevant data </w:t>
      </w:r>
      <w:r w:rsidR="005962FD" w:rsidRPr="00942872">
        <w:rPr>
          <w:rFonts w:asciiTheme="minorHAnsi" w:hAnsiTheme="minorHAnsi"/>
          <w:snapToGrid w:val="0"/>
        </w:rPr>
        <w:t>on use of pembrolizumab, as continu</w:t>
      </w:r>
      <w:r w:rsidR="00D217ED" w:rsidRPr="00942872">
        <w:rPr>
          <w:rFonts w:asciiTheme="minorHAnsi" w:hAnsiTheme="minorHAnsi"/>
          <w:snapToGrid w:val="0"/>
        </w:rPr>
        <w:t>ed treatment or as retreatment,</w:t>
      </w:r>
      <w:r w:rsidR="005962FD" w:rsidRPr="00942872">
        <w:rPr>
          <w:rFonts w:asciiTheme="minorHAnsi" w:hAnsiTheme="minorHAnsi"/>
          <w:snapToGrid w:val="0"/>
        </w:rPr>
        <w:t xml:space="preserve"> in patients who had disease progression in pembrolizumab trials were not available</w:t>
      </w:r>
      <w:r w:rsidRPr="00942872">
        <w:rPr>
          <w:rFonts w:asciiTheme="minorHAnsi" w:hAnsiTheme="minorHAnsi"/>
          <w:snapToGrid w:val="0"/>
        </w:rPr>
        <w:t>.</w:t>
      </w:r>
    </w:p>
    <w:p w14:paraId="6BFD7738" w14:textId="77777777" w:rsidR="00C47C86" w:rsidRPr="00942872" w:rsidRDefault="007805A7" w:rsidP="00F84175">
      <w:pPr>
        <w:pStyle w:val="3-BodyText"/>
      </w:pPr>
      <w:bookmarkStart w:id="18" w:name="_Ref87957796"/>
      <w:r w:rsidRPr="00942872">
        <w:t xml:space="preserve">The </w:t>
      </w:r>
      <w:r w:rsidR="00B9560B" w:rsidRPr="00942872">
        <w:t>above heterogeneities across</w:t>
      </w:r>
      <w:r w:rsidRPr="00942872">
        <w:t xml:space="preserve"> the trials affected the transitivity assumption underpinning the ITC between cemiplimab and pembrolizumab. The higher proportion</w:t>
      </w:r>
      <w:r w:rsidR="007015C9" w:rsidRPr="00942872">
        <w:t>s</w:t>
      </w:r>
      <w:r w:rsidRPr="00942872">
        <w:t xml:space="preserve"> of male</w:t>
      </w:r>
      <w:r w:rsidR="007015C9" w:rsidRPr="00942872">
        <w:t>s</w:t>
      </w:r>
      <w:r w:rsidR="0082784B" w:rsidRPr="00942872">
        <w:t xml:space="preserve"> and </w:t>
      </w:r>
      <w:r w:rsidR="007015C9" w:rsidRPr="00942872">
        <w:t>patients with squamous histology</w:t>
      </w:r>
      <w:r w:rsidRPr="00942872">
        <w:t xml:space="preserve"> in the cemiplimab Study 1624 could have biased the ITC results in favour of cemiplimab</w:t>
      </w:r>
      <w:r w:rsidR="0082784B" w:rsidRPr="005467E8">
        <w:t>, while the ESC noted some differences may bias against cemiplimab.</w:t>
      </w:r>
      <w:r w:rsidR="0082784B" w:rsidRPr="00942872">
        <w:t xml:space="preserve"> </w:t>
      </w:r>
      <w:r w:rsidR="007015C9" w:rsidRPr="00942872">
        <w:t xml:space="preserve">The </w:t>
      </w:r>
      <w:r w:rsidR="00B9560B" w:rsidRPr="00942872">
        <w:t>effect</w:t>
      </w:r>
      <w:r w:rsidR="002D2D7D" w:rsidRPr="00942872">
        <w:t xml:space="preserve">s </w:t>
      </w:r>
      <w:r w:rsidR="007015C9" w:rsidRPr="00942872">
        <w:t xml:space="preserve">of the different distribution of </w:t>
      </w:r>
      <w:r w:rsidR="002D2D7D" w:rsidRPr="00942872">
        <w:t xml:space="preserve">smoking history and geographic region, as well as </w:t>
      </w:r>
      <w:r w:rsidR="002F7416" w:rsidRPr="00942872">
        <w:t xml:space="preserve">the incomparable </w:t>
      </w:r>
      <w:r w:rsidR="00B9560B" w:rsidRPr="00942872">
        <w:t xml:space="preserve">extent of </w:t>
      </w:r>
      <w:r w:rsidR="002F7416" w:rsidRPr="00942872">
        <w:t xml:space="preserve">use of PD-(L)1 inhibitor after disease progression </w:t>
      </w:r>
      <w:r w:rsidR="00B9560B" w:rsidRPr="00942872">
        <w:t xml:space="preserve">in both treatment arms </w:t>
      </w:r>
      <w:r w:rsidR="002F7416" w:rsidRPr="00942872">
        <w:t>across cemiplimab and pembrolizumab trials cannot be reliably determined, given the inconsistency in the results of subgroup analyses across the PD-1 inhibitor trials or the absence of evidence on</w:t>
      </w:r>
      <w:r w:rsidR="00B9560B" w:rsidRPr="00942872">
        <w:t xml:space="preserve"> the treatment effect of PD-</w:t>
      </w:r>
      <w:r w:rsidR="002F7416" w:rsidRPr="00942872">
        <w:t xml:space="preserve">1 </w:t>
      </w:r>
      <w:r w:rsidR="00B9560B" w:rsidRPr="00942872">
        <w:t xml:space="preserve">agents </w:t>
      </w:r>
      <w:r w:rsidR="002F7416" w:rsidRPr="00942872">
        <w:t>in subgroups of interest.</w:t>
      </w:r>
      <w:bookmarkEnd w:id="18"/>
      <w:r w:rsidR="00003A3E" w:rsidRPr="00942872">
        <w:t xml:space="preserve"> </w:t>
      </w:r>
    </w:p>
    <w:p w14:paraId="75D3A28A" w14:textId="77777777" w:rsidR="007805A7" w:rsidRPr="00942872" w:rsidRDefault="007805A7" w:rsidP="00024042">
      <w:pPr>
        <w:pStyle w:val="4-SubsectionHeading"/>
      </w:pPr>
      <w:bookmarkStart w:id="19" w:name="_Toc82597629"/>
      <w:r w:rsidRPr="00942872">
        <w:t>Comparative harms</w:t>
      </w:r>
      <w:bookmarkEnd w:id="19"/>
    </w:p>
    <w:p w14:paraId="530F8A6F" w14:textId="77777777" w:rsidR="007805A7" w:rsidRPr="00942872" w:rsidRDefault="007805A7" w:rsidP="007805A7">
      <w:pPr>
        <w:pStyle w:val="3-BodyText"/>
      </w:pPr>
      <w:r w:rsidRPr="00942872">
        <w:t>The results of ITC for safety outcomes are presented below.</w:t>
      </w:r>
    </w:p>
    <w:p w14:paraId="163E995F" w14:textId="77777777" w:rsidR="007805A7" w:rsidRPr="00942872" w:rsidRDefault="007805A7" w:rsidP="007805A7">
      <w:pPr>
        <w:pStyle w:val="TableFigureHeading"/>
      </w:pPr>
      <w:bookmarkStart w:id="20" w:name="_Ref84595423"/>
      <w:r w:rsidRPr="00942872">
        <w:t xml:space="preserve">Table </w:t>
      </w:r>
      <w:r w:rsidR="002177FE">
        <w:rPr>
          <w:noProof/>
        </w:rPr>
        <w:t>7</w:t>
      </w:r>
      <w:bookmarkEnd w:id="20"/>
      <w:r w:rsidRPr="00942872">
        <w:t>: Summary of results of the indirect comparison of safety outcomes</w:t>
      </w:r>
      <w:r w:rsidR="00410064" w:rsidRPr="00942872">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Summary of results of the indirect comparison of safety outcomes "/>
      </w:tblPr>
      <w:tblGrid>
        <w:gridCol w:w="1696"/>
        <w:gridCol w:w="1418"/>
        <w:gridCol w:w="1396"/>
        <w:gridCol w:w="1297"/>
        <w:gridCol w:w="1055"/>
        <w:gridCol w:w="1101"/>
        <w:gridCol w:w="1246"/>
      </w:tblGrid>
      <w:tr w:rsidR="007805A7" w:rsidRPr="00942872" w14:paraId="04AC3C6E" w14:textId="77777777" w:rsidTr="00816960">
        <w:trPr>
          <w:tblHeader/>
        </w:trPr>
        <w:tc>
          <w:tcPr>
            <w:tcW w:w="1696" w:type="dxa"/>
          </w:tcPr>
          <w:p w14:paraId="7A8E8B34" w14:textId="77777777" w:rsidR="007805A7" w:rsidRPr="00942872" w:rsidRDefault="007805A7" w:rsidP="00A95F72">
            <w:pPr>
              <w:pStyle w:val="SubmTableHeading"/>
              <w:spacing w:after="0"/>
              <w:rPr>
                <w:sz w:val="20"/>
                <w:szCs w:val="20"/>
              </w:rPr>
            </w:pPr>
          </w:p>
        </w:tc>
        <w:tc>
          <w:tcPr>
            <w:tcW w:w="1418" w:type="dxa"/>
            <w:shd w:val="clear" w:color="auto" w:fill="auto"/>
          </w:tcPr>
          <w:p w14:paraId="497F44D9" w14:textId="77777777" w:rsidR="007805A7" w:rsidRPr="00942872" w:rsidRDefault="007805A7" w:rsidP="00A95F72">
            <w:pPr>
              <w:pStyle w:val="SubmTableHeading"/>
              <w:spacing w:after="0"/>
              <w:rPr>
                <w:sz w:val="20"/>
                <w:szCs w:val="20"/>
              </w:rPr>
            </w:pPr>
            <w:r w:rsidRPr="00942872">
              <w:rPr>
                <w:sz w:val="20"/>
                <w:szCs w:val="20"/>
              </w:rPr>
              <w:t>Trial ID</w:t>
            </w:r>
          </w:p>
        </w:tc>
        <w:tc>
          <w:tcPr>
            <w:tcW w:w="1396" w:type="dxa"/>
            <w:shd w:val="clear" w:color="auto" w:fill="auto"/>
          </w:tcPr>
          <w:p w14:paraId="32811585" w14:textId="77777777" w:rsidR="007805A7" w:rsidRPr="00942872" w:rsidRDefault="007805A7" w:rsidP="00A95F72">
            <w:pPr>
              <w:pStyle w:val="SubmTableHeading"/>
              <w:spacing w:after="0"/>
              <w:jc w:val="center"/>
              <w:rPr>
                <w:sz w:val="20"/>
                <w:szCs w:val="20"/>
              </w:rPr>
            </w:pPr>
            <w:r w:rsidRPr="00942872">
              <w:rPr>
                <w:sz w:val="20"/>
                <w:szCs w:val="20"/>
              </w:rPr>
              <w:t>PD</w:t>
            </w:r>
            <w:r w:rsidRPr="00942872">
              <w:rPr>
                <w:sz w:val="20"/>
                <w:szCs w:val="20"/>
              </w:rPr>
              <w:noBreakHyphen/>
              <w:t xml:space="preserve">1 inhibitor </w:t>
            </w:r>
            <w:r w:rsidRPr="00942872">
              <w:rPr>
                <w:sz w:val="20"/>
                <w:szCs w:val="20"/>
              </w:rPr>
              <w:br/>
            </w:r>
            <w:r w:rsidRPr="00942872">
              <w:rPr>
                <w:iCs/>
                <w:sz w:val="20"/>
                <w:szCs w:val="20"/>
              </w:rPr>
              <w:t>n</w:t>
            </w:r>
            <w:r w:rsidRPr="00942872">
              <w:rPr>
                <w:sz w:val="20"/>
                <w:szCs w:val="20"/>
              </w:rPr>
              <w:t>/</w:t>
            </w:r>
            <w:r w:rsidRPr="00942872">
              <w:rPr>
                <w:iCs/>
                <w:sz w:val="20"/>
                <w:szCs w:val="20"/>
              </w:rPr>
              <w:t>N</w:t>
            </w:r>
            <w:r w:rsidRPr="00942872">
              <w:rPr>
                <w:sz w:val="20"/>
                <w:szCs w:val="20"/>
              </w:rPr>
              <w:t xml:space="preserve"> (%)</w:t>
            </w:r>
          </w:p>
        </w:tc>
        <w:tc>
          <w:tcPr>
            <w:tcW w:w="1297" w:type="dxa"/>
            <w:shd w:val="clear" w:color="auto" w:fill="auto"/>
          </w:tcPr>
          <w:p w14:paraId="1D235D3F" w14:textId="77777777" w:rsidR="007805A7" w:rsidRPr="00942872" w:rsidRDefault="007805A7" w:rsidP="00A95F72">
            <w:pPr>
              <w:pStyle w:val="SubmTableHeading"/>
              <w:spacing w:after="0"/>
              <w:ind w:left="-57" w:right="-57"/>
              <w:jc w:val="center"/>
              <w:rPr>
                <w:sz w:val="20"/>
                <w:szCs w:val="20"/>
              </w:rPr>
            </w:pPr>
            <w:r w:rsidRPr="00942872">
              <w:rPr>
                <w:sz w:val="20"/>
                <w:szCs w:val="20"/>
              </w:rPr>
              <w:t xml:space="preserve">Chemotherapy </w:t>
            </w:r>
            <w:r w:rsidRPr="00942872">
              <w:rPr>
                <w:sz w:val="20"/>
                <w:szCs w:val="20"/>
              </w:rPr>
              <w:br/>
            </w:r>
            <w:r w:rsidRPr="00942872">
              <w:rPr>
                <w:iCs/>
                <w:sz w:val="20"/>
                <w:szCs w:val="20"/>
              </w:rPr>
              <w:t>n</w:t>
            </w:r>
            <w:r w:rsidRPr="00942872">
              <w:rPr>
                <w:sz w:val="20"/>
                <w:szCs w:val="20"/>
              </w:rPr>
              <w:t>/</w:t>
            </w:r>
            <w:r w:rsidRPr="00942872">
              <w:rPr>
                <w:iCs/>
                <w:sz w:val="20"/>
                <w:szCs w:val="20"/>
              </w:rPr>
              <w:t>N</w:t>
            </w:r>
            <w:r w:rsidRPr="00942872">
              <w:rPr>
                <w:sz w:val="20"/>
                <w:szCs w:val="20"/>
              </w:rPr>
              <w:t xml:space="preserve"> (%)</w:t>
            </w:r>
          </w:p>
        </w:tc>
        <w:tc>
          <w:tcPr>
            <w:tcW w:w="1055" w:type="dxa"/>
            <w:shd w:val="clear" w:color="auto" w:fill="auto"/>
          </w:tcPr>
          <w:p w14:paraId="70BCE9C3" w14:textId="77777777" w:rsidR="007805A7" w:rsidRPr="00942872" w:rsidRDefault="007805A7" w:rsidP="00A95F72">
            <w:pPr>
              <w:pStyle w:val="SubmTableHeading"/>
              <w:spacing w:after="0"/>
              <w:jc w:val="center"/>
              <w:rPr>
                <w:sz w:val="20"/>
                <w:szCs w:val="20"/>
              </w:rPr>
            </w:pPr>
            <w:r w:rsidRPr="00942872">
              <w:rPr>
                <w:sz w:val="20"/>
                <w:szCs w:val="20"/>
              </w:rPr>
              <w:t xml:space="preserve">RR </w:t>
            </w:r>
            <w:r w:rsidR="001A241F" w:rsidRPr="00942872">
              <w:rPr>
                <w:sz w:val="20"/>
                <w:szCs w:val="20"/>
              </w:rPr>
              <w:t>[</w:t>
            </w:r>
            <w:r w:rsidR="00CD6233" w:rsidRPr="00942872">
              <w:rPr>
                <w:sz w:val="20"/>
                <w:szCs w:val="20"/>
              </w:rPr>
              <w:t>95%CI]</w:t>
            </w:r>
          </w:p>
        </w:tc>
        <w:tc>
          <w:tcPr>
            <w:tcW w:w="1101" w:type="dxa"/>
          </w:tcPr>
          <w:p w14:paraId="1A60E0AB" w14:textId="77777777" w:rsidR="007805A7" w:rsidRPr="00942872" w:rsidRDefault="007805A7" w:rsidP="00A95F72">
            <w:pPr>
              <w:pStyle w:val="SubmTableHeading"/>
              <w:spacing w:after="0"/>
              <w:jc w:val="center"/>
              <w:rPr>
                <w:sz w:val="20"/>
                <w:szCs w:val="20"/>
              </w:rPr>
            </w:pPr>
            <w:r w:rsidRPr="00942872">
              <w:rPr>
                <w:sz w:val="20"/>
                <w:szCs w:val="20"/>
              </w:rPr>
              <w:t xml:space="preserve">OR </w:t>
            </w:r>
            <w:r w:rsidR="001A241F" w:rsidRPr="00942872">
              <w:rPr>
                <w:sz w:val="20"/>
                <w:szCs w:val="20"/>
              </w:rPr>
              <w:t>[</w:t>
            </w:r>
            <w:r w:rsidR="00CD6233" w:rsidRPr="00942872">
              <w:rPr>
                <w:sz w:val="20"/>
                <w:szCs w:val="20"/>
              </w:rPr>
              <w:t>95%CI]</w:t>
            </w:r>
          </w:p>
        </w:tc>
        <w:tc>
          <w:tcPr>
            <w:tcW w:w="1246" w:type="dxa"/>
            <w:shd w:val="clear" w:color="auto" w:fill="auto"/>
          </w:tcPr>
          <w:p w14:paraId="1197B94B" w14:textId="77777777" w:rsidR="007805A7" w:rsidRPr="00942872" w:rsidRDefault="00CD6233" w:rsidP="00A95F72">
            <w:pPr>
              <w:pStyle w:val="SubmTableHeading"/>
              <w:spacing w:after="0"/>
              <w:jc w:val="center"/>
              <w:rPr>
                <w:sz w:val="20"/>
                <w:szCs w:val="20"/>
              </w:rPr>
            </w:pPr>
            <w:r w:rsidRPr="00942872">
              <w:rPr>
                <w:sz w:val="20"/>
                <w:szCs w:val="20"/>
              </w:rPr>
              <w:t xml:space="preserve">RD </w:t>
            </w:r>
            <w:r w:rsidRPr="00942872">
              <w:rPr>
                <w:sz w:val="20"/>
                <w:szCs w:val="20"/>
              </w:rPr>
              <w:br/>
              <w:t>[95%CI]</w:t>
            </w:r>
          </w:p>
        </w:tc>
      </w:tr>
      <w:tr w:rsidR="007805A7" w:rsidRPr="00942872" w14:paraId="603614FF" w14:textId="77777777" w:rsidTr="00816960">
        <w:trPr>
          <w:trHeight w:val="54"/>
        </w:trPr>
        <w:tc>
          <w:tcPr>
            <w:tcW w:w="9209" w:type="dxa"/>
            <w:gridSpan w:val="7"/>
          </w:tcPr>
          <w:p w14:paraId="5E96F4B1" w14:textId="77777777" w:rsidR="007805A7" w:rsidRPr="00942872" w:rsidRDefault="007805A7" w:rsidP="00A95F72">
            <w:pPr>
              <w:rPr>
                <w:rFonts w:ascii="Arial Narrow" w:hAnsi="Arial Narrow" w:cstheme="minorHAnsi"/>
                <w:b/>
                <w:sz w:val="20"/>
                <w:szCs w:val="20"/>
              </w:rPr>
            </w:pPr>
            <w:r w:rsidRPr="00942872">
              <w:rPr>
                <w:rFonts w:ascii="Arial Narrow" w:hAnsi="Arial Narrow" w:cstheme="minorHAnsi"/>
                <w:b/>
                <w:sz w:val="20"/>
                <w:szCs w:val="20"/>
              </w:rPr>
              <w:t>Treatment-related adverse events</w:t>
            </w:r>
          </w:p>
        </w:tc>
      </w:tr>
      <w:tr w:rsidR="007805A7" w:rsidRPr="00942872" w14:paraId="404C8EF2" w14:textId="77777777" w:rsidTr="00816960">
        <w:trPr>
          <w:trHeight w:val="443"/>
        </w:trPr>
        <w:tc>
          <w:tcPr>
            <w:tcW w:w="1696" w:type="dxa"/>
          </w:tcPr>
          <w:p w14:paraId="15D06DA8"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Cemiplimab vs. chemotherapy</w:t>
            </w:r>
          </w:p>
        </w:tc>
        <w:tc>
          <w:tcPr>
            <w:tcW w:w="1418" w:type="dxa"/>
            <w:shd w:val="clear" w:color="auto" w:fill="auto"/>
          </w:tcPr>
          <w:p w14:paraId="780B7289"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1624</w:t>
            </w:r>
          </w:p>
        </w:tc>
        <w:tc>
          <w:tcPr>
            <w:tcW w:w="1396" w:type="dxa"/>
            <w:shd w:val="clear" w:color="auto" w:fill="auto"/>
          </w:tcPr>
          <w:p w14:paraId="6A35EDEC"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204/355 (57.5%)</w:t>
            </w:r>
          </w:p>
        </w:tc>
        <w:tc>
          <w:tcPr>
            <w:tcW w:w="1297" w:type="dxa"/>
            <w:shd w:val="clear" w:color="auto" w:fill="auto"/>
          </w:tcPr>
          <w:p w14:paraId="31F57630"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303/342 (88.6%)</w:t>
            </w:r>
          </w:p>
        </w:tc>
        <w:tc>
          <w:tcPr>
            <w:tcW w:w="1055" w:type="dxa"/>
            <w:shd w:val="clear" w:color="auto" w:fill="auto"/>
          </w:tcPr>
          <w:p w14:paraId="30C3E827"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0.65 </w:t>
            </w:r>
            <w:r w:rsidR="001A241F" w:rsidRPr="00942872">
              <w:rPr>
                <w:rFonts w:ascii="Arial Narrow" w:hAnsi="Arial Narrow" w:cstheme="minorHAnsi"/>
                <w:sz w:val="20"/>
                <w:szCs w:val="20"/>
              </w:rPr>
              <w:t>[</w:t>
            </w:r>
            <w:r w:rsidRPr="00942872">
              <w:rPr>
                <w:rFonts w:ascii="Arial Narrow" w:hAnsi="Arial Narrow" w:cstheme="minorHAnsi"/>
                <w:sz w:val="20"/>
                <w:szCs w:val="20"/>
              </w:rPr>
              <w:t>0.59, 0.71</w:t>
            </w:r>
            <w:r w:rsidR="001A241F" w:rsidRPr="00942872">
              <w:rPr>
                <w:rFonts w:ascii="Arial Narrow" w:hAnsi="Arial Narrow" w:cstheme="minorHAnsi"/>
                <w:sz w:val="20"/>
                <w:szCs w:val="20"/>
              </w:rPr>
              <w:t>]</w:t>
            </w:r>
          </w:p>
        </w:tc>
        <w:tc>
          <w:tcPr>
            <w:tcW w:w="1101" w:type="dxa"/>
          </w:tcPr>
          <w:p w14:paraId="66ADFC67"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0.17 </w:t>
            </w:r>
            <w:r w:rsidR="001A241F" w:rsidRPr="00942872">
              <w:rPr>
                <w:rFonts w:ascii="Arial Narrow" w:hAnsi="Arial Narrow" w:cstheme="minorHAnsi"/>
                <w:sz w:val="20"/>
                <w:szCs w:val="20"/>
              </w:rPr>
              <w:t>[</w:t>
            </w:r>
            <w:r w:rsidRPr="00942872">
              <w:rPr>
                <w:rFonts w:ascii="Arial Narrow" w:hAnsi="Arial Narrow" w:cstheme="minorHAnsi"/>
                <w:sz w:val="20"/>
                <w:szCs w:val="20"/>
              </w:rPr>
              <w:t>0.12, 0.26</w:t>
            </w:r>
            <w:r w:rsidR="001A241F" w:rsidRPr="00942872">
              <w:rPr>
                <w:rFonts w:ascii="Arial Narrow" w:hAnsi="Arial Narrow" w:cstheme="minorHAnsi"/>
                <w:sz w:val="20"/>
                <w:szCs w:val="20"/>
              </w:rPr>
              <w:t>]</w:t>
            </w:r>
          </w:p>
        </w:tc>
        <w:tc>
          <w:tcPr>
            <w:tcW w:w="1246" w:type="dxa"/>
            <w:shd w:val="clear" w:color="auto" w:fill="auto"/>
          </w:tcPr>
          <w:p w14:paraId="3BB8EC43" w14:textId="77777777" w:rsidR="007805A7" w:rsidRPr="00942872" w:rsidRDefault="001A241F" w:rsidP="00A95F72">
            <w:pPr>
              <w:jc w:val="center"/>
              <w:rPr>
                <w:rFonts w:ascii="Arial Narrow" w:hAnsi="Arial Narrow" w:cstheme="minorHAnsi"/>
                <w:sz w:val="20"/>
                <w:szCs w:val="20"/>
              </w:rPr>
            </w:pPr>
            <w:r w:rsidRPr="00942872">
              <w:rPr>
                <w:rFonts w:ascii="Arial Narrow" w:hAnsi="Arial Narrow" w:cstheme="minorHAnsi"/>
                <w:sz w:val="20"/>
                <w:szCs w:val="20"/>
              </w:rPr>
              <w:noBreakHyphen/>
              <w:t>0.31 [</w:t>
            </w:r>
            <w:r w:rsidRPr="00942872">
              <w:rPr>
                <w:rFonts w:ascii="Arial Narrow" w:hAnsi="Arial Narrow" w:cstheme="minorHAnsi"/>
                <w:sz w:val="20"/>
                <w:szCs w:val="20"/>
              </w:rPr>
              <w:noBreakHyphen/>
              <w:t>0.37, </w:t>
            </w:r>
            <w:r w:rsidRPr="00942872">
              <w:rPr>
                <w:rFonts w:ascii="Arial Narrow" w:hAnsi="Arial Narrow" w:cstheme="minorHAnsi"/>
                <w:sz w:val="20"/>
                <w:szCs w:val="20"/>
              </w:rPr>
              <w:noBreakHyphen/>
              <w:t>0.25]</w:t>
            </w:r>
          </w:p>
        </w:tc>
      </w:tr>
      <w:tr w:rsidR="007805A7" w:rsidRPr="00942872" w14:paraId="63E9DBDA" w14:textId="77777777" w:rsidTr="00816960">
        <w:tc>
          <w:tcPr>
            <w:tcW w:w="1696" w:type="dxa"/>
            <w:vMerge w:val="restart"/>
          </w:tcPr>
          <w:p w14:paraId="5414B420"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Pembrolizumab vs. chemotherapy</w:t>
            </w:r>
          </w:p>
        </w:tc>
        <w:tc>
          <w:tcPr>
            <w:tcW w:w="1418" w:type="dxa"/>
            <w:shd w:val="clear" w:color="auto" w:fill="auto"/>
          </w:tcPr>
          <w:p w14:paraId="394F2424" w14:textId="77777777" w:rsidR="007805A7" w:rsidRPr="00942872" w:rsidRDefault="004C46D9" w:rsidP="00A95F72">
            <w:pPr>
              <w:jc w:val="left"/>
              <w:rPr>
                <w:rFonts w:ascii="Arial Narrow" w:hAnsi="Arial Narrow" w:cstheme="minorHAnsi"/>
                <w:sz w:val="20"/>
                <w:szCs w:val="20"/>
              </w:rPr>
            </w:pPr>
            <w:r w:rsidRPr="00942872">
              <w:rPr>
                <w:rFonts w:ascii="Arial Narrow" w:hAnsi="Arial Narrow" w:cstheme="minorHAnsi"/>
                <w:sz w:val="20"/>
                <w:szCs w:val="20"/>
              </w:rPr>
              <w:t>KN024</w:t>
            </w:r>
          </w:p>
        </w:tc>
        <w:tc>
          <w:tcPr>
            <w:tcW w:w="1396" w:type="dxa"/>
            <w:shd w:val="clear" w:color="auto" w:fill="auto"/>
          </w:tcPr>
          <w:p w14:paraId="2C2A3DDD"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113/154 (73.4%)</w:t>
            </w:r>
          </w:p>
        </w:tc>
        <w:tc>
          <w:tcPr>
            <w:tcW w:w="1297" w:type="dxa"/>
            <w:shd w:val="clear" w:color="auto" w:fill="auto"/>
          </w:tcPr>
          <w:p w14:paraId="6B941762"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135/150 (90.0%)</w:t>
            </w:r>
          </w:p>
        </w:tc>
        <w:tc>
          <w:tcPr>
            <w:tcW w:w="1055" w:type="dxa"/>
            <w:shd w:val="clear" w:color="auto" w:fill="auto"/>
          </w:tcPr>
          <w:p w14:paraId="2B51EB1C"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0.82 </w:t>
            </w:r>
            <w:r w:rsidR="001A241F" w:rsidRPr="00942872">
              <w:rPr>
                <w:rFonts w:ascii="Arial Narrow" w:hAnsi="Arial Narrow"/>
                <w:sz w:val="20"/>
                <w:szCs w:val="20"/>
              </w:rPr>
              <w:t>[</w:t>
            </w:r>
            <w:r w:rsidRPr="00942872">
              <w:rPr>
                <w:rFonts w:ascii="Arial Narrow" w:hAnsi="Arial Narrow"/>
                <w:sz w:val="20"/>
                <w:szCs w:val="20"/>
              </w:rPr>
              <w:t>0.73, 0.91</w:t>
            </w:r>
            <w:r w:rsidR="001A241F" w:rsidRPr="00942872">
              <w:rPr>
                <w:rFonts w:ascii="Arial Narrow" w:hAnsi="Arial Narrow"/>
                <w:sz w:val="20"/>
                <w:szCs w:val="20"/>
              </w:rPr>
              <w:t>]</w:t>
            </w:r>
          </w:p>
        </w:tc>
        <w:tc>
          <w:tcPr>
            <w:tcW w:w="1101" w:type="dxa"/>
          </w:tcPr>
          <w:p w14:paraId="00B56938"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0.31 </w:t>
            </w:r>
            <w:r w:rsidR="001A241F" w:rsidRPr="00942872">
              <w:rPr>
                <w:rFonts w:ascii="Arial Narrow" w:hAnsi="Arial Narrow"/>
                <w:sz w:val="20"/>
                <w:szCs w:val="20"/>
              </w:rPr>
              <w:t>[</w:t>
            </w:r>
            <w:r w:rsidRPr="00942872">
              <w:rPr>
                <w:rFonts w:ascii="Arial Narrow" w:hAnsi="Arial Narrow"/>
                <w:sz w:val="20"/>
                <w:szCs w:val="20"/>
              </w:rPr>
              <w:t>0.16, 0.58</w:t>
            </w:r>
            <w:r w:rsidR="001A241F" w:rsidRPr="00942872">
              <w:rPr>
                <w:rFonts w:ascii="Arial Narrow" w:hAnsi="Arial Narrow"/>
                <w:sz w:val="20"/>
                <w:szCs w:val="20"/>
              </w:rPr>
              <w:t>]</w:t>
            </w:r>
          </w:p>
        </w:tc>
        <w:tc>
          <w:tcPr>
            <w:tcW w:w="1246" w:type="dxa"/>
            <w:shd w:val="clear" w:color="auto" w:fill="auto"/>
          </w:tcPr>
          <w:p w14:paraId="4A9226DD" w14:textId="77777777" w:rsidR="007805A7" w:rsidRPr="00942872" w:rsidRDefault="001A241F" w:rsidP="00A95F72">
            <w:pPr>
              <w:jc w:val="center"/>
              <w:rPr>
                <w:rFonts w:ascii="Arial Narrow" w:hAnsi="Arial Narrow" w:cstheme="minorHAnsi"/>
                <w:sz w:val="20"/>
                <w:szCs w:val="20"/>
              </w:rPr>
            </w:pPr>
            <w:r w:rsidRPr="00942872">
              <w:rPr>
                <w:rFonts w:ascii="Arial Narrow" w:hAnsi="Arial Narrow"/>
                <w:sz w:val="20"/>
                <w:szCs w:val="20"/>
              </w:rPr>
              <w:noBreakHyphen/>
              <w:t>0.17 [</w:t>
            </w:r>
            <w:r w:rsidRPr="00942872">
              <w:rPr>
                <w:rFonts w:ascii="Arial Narrow" w:hAnsi="Arial Narrow"/>
                <w:sz w:val="20"/>
                <w:szCs w:val="20"/>
              </w:rPr>
              <w:noBreakHyphen/>
              <w:t>0.25, </w:t>
            </w:r>
            <w:r w:rsidRPr="00942872">
              <w:rPr>
                <w:rFonts w:ascii="Arial Narrow" w:hAnsi="Arial Narrow"/>
                <w:sz w:val="20"/>
                <w:szCs w:val="20"/>
              </w:rPr>
              <w:noBreakHyphen/>
              <w:t>0.08]</w:t>
            </w:r>
          </w:p>
        </w:tc>
      </w:tr>
      <w:tr w:rsidR="007805A7" w:rsidRPr="00942872" w14:paraId="39F6093B" w14:textId="77777777" w:rsidTr="00816960">
        <w:tc>
          <w:tcPr>
            <w:tcW w:w="1696" w:type="dxa"/>
            <w:vMerge/>
          </w:tcPr>
          <w:p w14:paraId="1DA43142" w14:textId="77777777" w:rsidR="007805A7" w:rsidRPr="00942872" w:rsidRDefault="007805A7" w:rsidP="00A95F72">
            <w:pPr>
              <w:jc w:val="left"/>
              <w:rPr>
                <w:rFonts w:ascii="Arial Narrow" w:hAnsi="Arial Narrow" w:cstheme="minorHAnsi"/>
                <w:sz w:val="20"/>
                <w:szCs w:val="20"/>
              </w:rPr>
            </w:pPr>
          </w:p>
        </w:tc>
        <w:tc>
          <w:tcPr>
            <w:tcW w:w="1418" w:type="dxa"/>
            <w:shd w:val="clear" w:color="auto" w:fill="auto"/>
          </w:tcPr>
          <w:p w14:paraId="3F027C81" w14:textId="77777777" w:rsidR="007805A7" w:rsidRPr="00942872" w:rsidRDefault="004C46D9" w:rsidP="00A95F72">
            <w:pPr>
              <w:jc w:val="left"/>
              <w:rPr>
                <w:rFonts w:ascii="Arial Narrow" w:hAnsi="Arial Narrow" w:cstheme="minorHAnsi"/>
                <w:sz w:val="20"/>
                <w:szCs w:val="20"/>
              </w:rPr>
            </w:pPr>
            <w:r w:rsidRPr="00942872">
              <w:rPr>
                <w:rFonts w:ascii="Arial Narrow" w:hAnsi="Arial Narrow" w:cstheme="minorHAnsi"/>
                <w:sz w:val="20"/>
                <w:szCs w:val="20"/>
              </w:rPr>
              <w:t>KN042</w:t>
            </w:r>
          </w:p>
        </w:tc>
        <w:tc>
          <w:tcPr>
            <w:tcW w:w="1396" w:type="dxa"/>
            <w:shd w:val="clear" w:color="auto" w:fill="auto"/>
          </w:tcPr>
          <w:p w14:paraId="5D6F3E4C"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399/636 (62.7%)</w:t>
            </w:r>
          </w:p>
        </w:tc>
        <w:tc>
          <w:tcPr>
            <w:tcW w:w="1297" w:type="dxa"/>
            <w:shd w:val="clear" w:color="auto" w:fill="auto"/>
          </w:tcPr>
          <w:p w14:paraId="0FB5D6DC"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553/615 (89.9%)</w:t>
            </w:r>
          </w:p>
        </w:tc>
        <w:tc>
          <w:tcPr>
            <w:tcW w:w="1055" w:type="dxa"/>
            <w:shd w:val="clear" w:color="auto" w:fill="auto"/>
          </w:tcPr>
          <w:p w14:paraId="4E0062F4"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0.70 </w:t>
            </w:r>
            <w:r w:rsidR="001A241F" w:rsidRPr="00942872">
              <w:rPr>
                <w:rFonts w:ascii="Arial Narrow" w:hAnsi="Arial Narrow"/>
                <w:sz w:val="20"/>
                <w:szCs w:val="20"/>
              </w:rPr>
              <w:t>[</w:t>
            </w:r>
            <w:r w:rsidRPr="00942872">
              <w:rPr>
                <w:rFonts w:ascii="Arial Narrow" w:hAnsi="Arial Narrow"/>
                <w:sz w:val="20"/>
                <w:szCs w:val="20"/>
              </w:rPr>
              <w:t>0.65, 0.74</w:t>
            </w:r>
            <w:r w:rsidR="001A241F" w:rsidRPr="00942872">
              <w:rPr>
                <w:rFonts w:ascii="Arial Narrow" w:hAnsi="Arial Narrow"/>
                <w:sz w:val="20"/>
                <w:szCs w:val="20"/>
              </w:rPr>
              <w:t>]</w:t>
            </w:r>
          </w:p>
        </w:tc>
        <w:tc>
          <w:tcPr>
            <w:tcW w:w="1101" w:type="dxa"/>
          </w:tcPr>
          <w:p w14:paraId="7FE10AD8"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0.19 </w:t>
            </w:r>
            <w:r w:rsidR="001A241F" w:rsidRPr="00942872">
              <w:rPr>
                <w:rFonts w:ascii="Arial Narrow" w:hAnsi="Arial Narrow"/>
                <w:sz w:val="20"/>
                <w:szCs w:val="20"/>
              </w:rPr>
              <w:t>[</w:t>
            </w:r>
            <w:r w:rsidRPr="00942872">
              <w:rPr>
                <w:rFonts w:ascii="Arial Narrow" w:hAnsi="Arial Narrow"/>
                <w:sz w:val="20"/>
                <w:szCs w:val="20"/>
              </w:rPr>
              <w:t>0.14, 0.26</w:t>
            </w:r>
            <w:r w:rsidR="001A241F" w:rsidRPr="00942872">
              <w:rPr>
                <w:rFonts w:ascii="Arial Narrow" w:hAnsi="Arial Narrow"/>
                <w:sz w:val="20"/>
                <w:szCs w:val="20"/>
              </w:rPr>
              <w:t>]</w:t>
            </w:r>
          </w:p>
        </w:tc>
        <w:tc>
          <w:tcPr>
            <w:tcW w:w="1246" w:type="dxa"/>
            <w:shd w:val="clear" w:color="auto" w:fill="auto"/>
          </w:tcPr>
          <w:p w14:paraId="776A095C" w14:textId="77777777" w:rsidR="007805A7" w:rsidRPr="00942872" w:rsidRDefault="001A241F" w:rsidP="00A95F72">
            <w:pPr>
              <w:jc w:val="center"/>
              <w:rPr>
                <w:rFonts w:ascii="Arial Narrow" w:hAnsi="Arial Narrow" w:cstheme="minorHAnsi"/>
                <w:sz w:val="20"/>
                <w:szCs w:val="20"/>
              </w:rPr>
            </w:pPr>
            <w:r w:rsidRPr="00942872">
              <w:rPr>
                <w:rFonts w:ascii="Arial Narrow" w:hAnsi="Arial Narrow"/>
                <w:sz w:val="20"/>
                <w:szCs w:val="20"/>
              </w:rPr>
              <w:noBreakHyphen/>
              <w:t>0.27 [</w:t>
            </w:r>
            <w:r w:rsidRPr="00942872">
              <w:rPr>
                <w:rFonts w:ascii="Arial Narrow" w:hAnsi="Arial Narrow"/>
                <w:sz w:val="20"/>
                <w:szCs w:val="20"/>
              </w:rPr>
              <w:noBreakHyphen/>
              <w:t>0.32, </w:t>
            </w:r>
            <w:r w:rsidRPr="00942872">
              <w:rPr>
                <w:rFonts w:ascii="Arial Narrow" w:hAnsi="Arial Narrow"/>
                <w:sz w:val="20"/>
                <w:szCs w:val="20"/>
              </w:rPr>
              <w:noBreakHyphen/>
              <w:t>0.23]</w:t>
            </w:r>
          </w:p>
        </w:tc>
      </w:tr>
      <w:tr w:rsidR="007805A7" w:rsidRPr="00942872" w14:paraId="584EDE5F" w14:textId="77777777" w:rsidTr="00816960">
        <w:trPr>
          <w:trHeight w:val="185"/>
        </w:trPr>
        <w:tc>
          <w:tcPr>
            <w:tcW w:w="1696" w:type="dxa"/>
            <w:vMerge/>
            <w:tcBorders>
              <w:bottom w:val="single" w:sz="4" w:space="0" w:color="auto"/>
            </w:tcBorders>
          </w:tcPr>
          <w:p w14:paraId="2ECCEB2F" w14:textId="77777777" w:rsidR="007805A7" w:rsidRPr="00942872" w:rsidRDefault="007805A7" w:rsidP="00A95F72">
            <w:pPr>
              <w:jc w:val="left"/>
              <w:rPr>
                <w:rFonts w:ascii="Arial Narrow" w:hAnsi="Arial Narrow" w:cstheme="minorHAnsi"/>
                <w:sz w:val="20"/>
                <w:szCs w:val="20"/>
              </w:rPr>
            </w:pPr>
          </w:p>
        </w:tc>
        <w:tc>
          <w:tcPr>
            <w:tcW w:w="1418" w:type="dxa"/>
            <w:tcBorders>
              <w:bottom w:val="single" w:sz="4" w:space="0" w:color="auto"/>
            </w:tcBorders>
            <w:shd w:val="clear" w:color="auto" w:fill="auto"/>
          </w:tcPr>
          <w:p w14:paraId="0667403F" w14:textId="77777777" w:rsidR="007805A7" w:rsidRPr="00942872" w:rsidRDefault="007805A7" w:rsidP="00A95F72">
            <w:pPr>
              <w:jc w:val="left"/>
              <w:rPr>
                <w:rFonts w:ascii="Arial Narrow" w:hAnsi="Arial Narrow" w:cstheme="minorHAnsi"/>
                <w:sz w:val="20"/>
                <w:szCs w:val="20"/>
                <w:vertAlign w:val="superscript"/>
              </w:rPr>
            </w:pPr>
            <w:r w:rsidRPr="00942872">
              <w:rPr>
                <w:rFonts w:ascii="Arial Narrow" w:hAnsi="Arial Narrow" w:cstheme="minorHAnsi"/>
                <w:sz w:val="20"/>
                <w:szCs w:val="20"/>
              </w:rPr>
              <w:t xml:space="preserve">KN meta-analysis, </w:t>
            </w:r>
            <w:r w:rsidRPr="00942872">
              <w:rPr>
                <w:rFonts w:ascii="Arial Narrow" w:hAnsi="Arial Narrow" w:cstheme="minorHAnsi"/>
                <w:iCs/>
                <w:sz w:val="20"/>
                <w:szCs w:val="20"/>
              </w:rPr>
              <w:t>k</w:t>
            </w:r>
            <w:r w:rsidRPr="00942872">
              <w:rPr>
                <w:rFonts w:ascii="Arial Narrow" w:hAnsi="Arial Narrow" w:cstheme="minorHAnsi"/>
                <w:sz w:val="20"/>
                <w:szCs w:val="20"/>
              </w:rPr>
              <w:t> = 2</w:t>
            </w:r>
          </w:p>
        </w:tc>
        <w:tc>
          <w:tcPr>
            <w:tcW w:w="2693" w:type="dxa"/>
            <w:gridSpan w:val="2"/>
            <w:tcBorders>
              <w:bottom w:val="single" w:sz="4" w:space="0" w:color="auto"/>
            </w:tcBorders>
            <w:shd w:val="clear" w:color="auto" w:fill="auto"/>
          </w:tcPr>
          <w:p w14:paraId="42186004"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w:t>
            </w:r>
          </w:p>
        </w:tc>
        <w:tc>
          <w:tcPr>
            <w:tcW w:w="1055" w:type="dxa"/>
            <w:tcBorders>
              <w:bottom w:val="single" w:sz="4" w:space="0" w:color="auto"/>
            </w:tcBorders>
            <w:shd w:val="clear" w:color="auto" w:fill="auto"/>
          </w:tcPr>
          <w:p w14:paraId="3C285CF5" w14:textId="77777777" w:rsidR="007805A7" w:rsidRPr="00942872" w:rsidRDefault="001A241F" w:rsidP="00A95F72">
            <w:pPr>
              <w:jc w:val="center"/>
              <w:rPr>
                <w:rFonts w:ascii="Arial Narrow" w:hAnsi="Arial Narrow"/>
                <w:sz w:val="20"/>
                <w:szCs w:val="20"/>
              </w:rPr>
            </w:pPr>
            <w:r w:rsidRPr="00942872">
              <w:rPr>
                <w:rFonts w:ascii="Arial Narrow" w:hAnsi="Arial Narrow"/>
                <w:sz w:val="20"/>
                <w:szCs w:val="20"/>
              </w:rPr>
              <w:t>0.75 [0.64, 0.87]</w:t>
            </w:r>
          </w:p>
        </w:tc>
        <w:tc>
          <w:tcPr>
            <w:tcW w:w="1101" w:type="dxa"/>
            <w:tcBorders>
              <w:bottom w:val="single" w:sz="4" w:space="0" w:color="auto"/>
            </w:tcBorders>
          </w:tcPr>
          <w:p w14:paraId="7383053B" w14:textId="77777777" w:rsidR="007805A7" w:rsidRPr="00942872" w:rsidRDefault="007805A7" w:rsidP="00A95F72">
            <w:pPr>
              <w:jc w:val="center"/>
              <w:rPr>
                <w:rFonts w:ascii="Arial Narrow" w:hAnsi="Arial Narrow"/>
                <w:sz w:val="20"/>
                <w:szCs w:val="20"/>
              </w:rPr>
            </w:pPr>
            <w:r w:rsidRPr="00942872">
              <w:rPr>
                <w:rFonts w:ascii="Arial Narrow" w:hAnsi="Arial Narrow"/>
                <w:sz w:val="20"/>
                <w:szCs w:val="20"/>
              </w:rPr>
              <w:t xml:space="preserve">0.22 </w:t>
            </w:r>
            <w:r w:rsidR="001A241F" w:rsidRPr="00942872">
              <w:rPr>
                <w:rFonts w:ascii="Arial Narrow" w:hAnsi="Arial Narrow"/>
                <w:sz w:val="20"/>
                <w:szCs w:val="20"/>
              </w:rPr>
              <w:t>[</w:t>
            </w:r>
            <w:r w:rsidRPr="00942872">
              <w:rPr>
                <w:rFonts w:ascii="Arial Narrow" w:hAnsi="Arial Narrow"/>
                <w:sz w:val="20"/>
                <w:szCs w:val="20"/>
              </w:rPr>
              <w:t>0.14, 0.34</w:t>
            </w:r>
            <w:r w:rsidR="001A241F" w:rsidRPr="00942872">
              <w:rPr>
                <w:rFonts w:ascii="Arial Narrow" w:hAnsi="Arial Narrow"/>
                <w:sz w:val="20"/>
                <w:szCs w:val="20"/>
              </w:rPr>
              <w:t>]</w:t>
            </w:r>
          </w:p>
        </w:tc>
        <w:tc>
          <w:tcPr>
            <w:tcW w:w="1246" w:type="dxa"/>
            <w:tcBorders>
              <w:bottom w:val="single" w:sz="4" w:space="0" w:color="auto"/>
            </w:tcBorders>
            <w:shd w:val="clear" w:color="auto" w:fill="auto"/>
          </w:tcPr>
          <w:p w14:paraId="046CADA9" w14:textId="77777777" w:rsidR="007805A7" w:rsidRPr="00942872" w:rsidRDefault="007805A7" w:rsidP="00A95F72">
            <w:pPr>
              <w:jc w:val="center"/>
              <w:rPr>
                <w:rFonts w:ascii="Arial Narrow" w:hAnsi="Arial Narrow"/>
                <w:sz w:val="20"/>
                <w:szCs w:val="20"/>
              </w:rPr>
            </w:pPr>
            <w:r w:rsidRPr="00942872">
              <w:rPr>
                <w:rFonts w:ascii="Arial Narrow" w:hAnsi="Arial Narrow"/>
                <w:sz w:val="20"/>
                <w:szCs w:val="20"/>
              </w:rPr>
              <w:noBreakHyphen/>
              <w:t xml:space="preserve">0.23 </w:t>
            </w:r>
            <w:r w:rsidR="001A241F" w:rsidRPr="00942872">
              <w:rPr>
                <w:rFonts w:ascii="Arial Narrow" w:hAnsi="Arial Narrow"/>
                <w:sz w:val="20"/>
                <w:szCs w:val="20"/>
              </w:rPr>
              <w:t>[</w:t>
            </w:r>
            <w:r w:rsidRPr="00942872">
              <w:rPr>
                <w:rFonts w:ascii="Arial Narrow" w:hAnsi="Arial Narrow"/>
                <w:sz w:val="20"/>
                <w:szCs w:val="20"/>
              </w:rPr>
              <w:noBreakHyphen/>
              <w:t>0.33, </w:t>
            </w:r>
            <w:r w:rsidRPr="00942872">
              <w:rPr>
                <w:rFonts w:ascii="Arial Narrow" w:hAnsi="Arial Narrow"/>
                <w:sz w:val="20"/>
                <w:szCs w:val="20"/>
              </w:rPr>
              <w:noBreakHyphen/>
              <w:t>0.12</w:t>
            </w:r>
            <w:r w:rsidR="001A241F" w:rsidRPr="00942872">
              <w:rPr>
                <w:rFonts w:ascii="Arial Narrow" w:hAnsi="Arial Narrow"/>
                <w:sz w:val="20"/>
                <w:szCs w:val="20"/>
              </w:rPr>
              <w:t>]</w:t>
            </w:r>
          </w:p>
        </w:tc>
      </w:tr>
      <w:tr w:rsidR="007805A7" w:rsidRPr="00942872" w14:paraId="38C4D93D" w14:textId="77777777" w:rsidTr="00816960">
        <w:trPr>
          <w:trHeight w:val="274"/>
        </w:trPr>
        <w:tc>
          <w:tcPr>
            <w:tcW w:w="1696" w:type="dxa"/>
            <w:shd w:val="clear" w:color="auto" w:fill="D9D9D9" w:themeFill="background1" w:themeFillShade="D9"/>
          </w:tcPr>
          <w:p w14:paraId="64B5C245"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 xml:space="preserve">ITC cemiplimab vs. pembrolizumab </w:t>
            </w:r>
          </w:p>
        </w:tc>
        <w:tc>
          <w:tcPr>
            <w:tcW w:w="1418" w:type="dxa"/>
            <w:shd w:val="clear" w:color="auto" w:fill="D9D9D9" w:themeFill="background1" w:themeFillShade="D9"/>
          </w:tcPr>
          <w:p w14:paraId="2BEAB027" w14:textId="77777777" w:rsidR="007805A7" w:rsidRPr="00942872" w:rsidRDefault="007805A7" w:rsidP="00410064">
            <w:pPr>
              <w:ind w:right="-57"/>
              <w:jc w:val="left"/>
              <w:rPr>
                <w:rFonts w:ascii="Arial Narrow" w:hAnsi="Arial Narrow" w:cstheme="minorHAnsi"/>
                <w:bCs/>
                <w:sz w:val="20"/>
                <w:szCs w:val="20"/>
              </w:rPr>
            </w:pPr>
            <w:r w:rsidRPr="00942872">
              <w:rPr>
                <w:rFonts w:ascii="Arial Narrow" w:hAnsi="Arial Narrow" w:cstheme="minorHAnsi"/>
                <w:bCs/>
                <w:sz w:val="20"/>
                <w:szCs w:val="20"/>
              </w:rPr>
              <w:t>1624 vs. KN meta</w:t>
            </w:r>
            <w:r w:rsidRPr="00942872">
              <w:rPr>
                <w:rFonts w:ascii="Arial Narrow" w:hAnsi="Arial Narrow" w:cstheme="minorHAnsi"/>
                <w:bCs/>
                <w:sz w:val="20"/>
                <w:szCs w:val="20"/>
              </w:rPr>
              <w:noBreakHyphen/>
              <w:t>analysis</w:t>
            </w:r>
          </w:p>
        </w:tc>
        <w:tc>
          <w:tcPr>
            <w:tcW w:w="2693" w:type="dxa"/>
            <w:gridSpan w:val="2"/>
            <w:shd w:val="clear" w:color="auto" w:fill="D9D9D9" w:themeFill="background1" w:themeFillShade="D9"/>
          </w:tcPr>
          <w:p w14:paraId="65748EE6" w14:textId="77777777" w:rsidR="007805A7" w:rsidRPr="00942872" w:rsidRDefault="007805A7" w:rsidP="00A95F72">
            <w:pPr>
              <w:jc w:val="center"/>
              <w:rPr>
                <w:rFonts w:ascii="Arial Narrow" w:hAnsi="Arial Narrow" w:cstheme="minorHAnsi"/>
                <w:bCs/>
                <w:sz w:val="20"/>
                <w:szCs w:val="20"/>
                <w:highlight w:val="yellow"/>
              </w:rPr>
            </w:pPr>
            <w:r w:rsidRPr="00942872">
              <w:rPr>
                <w:rFonts w:ascii="Arial Narrow" w:hAnsi="Arial Narrow" w:cstheme="minorHAnsi"/>
                <w:sz w:val="20"/>
                <w:szCs w:val="20"/>
              </w:rPr>
              <w:t>–</w:t>
            </w:r>
          </w:p>
        </w:tc>
        <w:tc>
          <w:tcPr>
            <w:tcW w:w="1055" w:type="dxa"/>
            <w:shd w:val="clear" w:color="auto" w:fill="D9D9D9" w:themeFill="background1" w:themeFillShade="D9"/>
          </w:tcPr>
          <w:p w14:paraId="439AF960" w14:textId="77777777" w:rsidR="007805A7" w:rsidRPr="00942872" w:rsidRDefault="001A241F" w:rsidP="00A95F72">
            <w:pPr>
              <w:jc w:val="center"/>
              <w:rPr>
                <w:rFonts w:ascii="Arial Narrow" w:hAnsi="Arial Narrow" w:cstheme="minorHAnsi"/>
                <w:bCs/>
                <w:sz w:val="20"/>
                <w:szCs w:val="20"/>
                <w:highlight w:val="yellow"/>
              </w:rPr>
            </w:pPr>
            <w:r w:rsidRPr="00942872">
              <w:rPr>
                <w:rFonts w:ascii="Arial Narrow" w:hAnsi="Arial Narrow" w:cstheme="minorHAnsi"/>
                <w:bCs/>
                <w:sz w:val="20"/>
                <w:szCs w:val="20"/>
              </w:rPr>
              <w:t>0.86 [0.72, 1.04]</w:t>
            </w:r>
          </w:p>
        </w:tc>
        <w:tc>
          <w:tcPr>
            <w:tcW w:w="1101" w:type="dxa"/>
            <w:shd w:val="clear" w:color="auto" w:fill="D9D9D9" w:themeFill="background1" w:themeFillShade="D9"/>
          </w:tcPr>
          <w:p w14:paraId="2B5DC054" w14:textId="77777777" w:rsidR="007805A7" w:rsidRPr="00942872" w:rsidRDefault="007805A7" w:rsidP="00A95F72">
            <w:pPr>
              <w:jc w:val="center"/>
              <w:rPr>
                <w:rFonts w:ascii="Arial Narrow" w:hAnsi="Arial Narrow" w:cstheme="minorHAnsi"/>
                <w:bCs/>
                <w:sz w:val="20"/>
                <w:szCs w:val="20"/>
                <w:highlight w:val="yellow"/>
              </w:rPr>
            </w:pPr>
            <w:r w:rsidRPr="00942872">
              <w:rPr>
                <w:rFonts w:ascii="Arial Narrow" w:hAnsi="Arial Narrow" w:cstheme="minorHAnsi"/>
                <w:bCs/>
                <w:sz w:val="20"/>
                <w:szCs w:val="20"/>
              </w:rPr>
              <w:t xml:space="preserve">0.79 </w:t>
            </w:r>
            <w:r w:rsidR="001A241F" w:rsidRPr="00942872">
              <w:rPr>
                <w:rFonts w:ascii="Arial Narrow" w:hAnsi="Arial Narrow" w:cstheme="minorHAnsi"/>
                <w:bCs/>
                <w:sz w:val="20"/>
                <w:szCs w:val="20"/>
              </w:rPr>
              <w:t>[0.44, 1.43]</w:t>
            </w:r>
          </w:p>
        </w:tc>
        <w:tc>
          <w:tcPr>
            <w:tcW w:w="1246" w:type="dxa"/>
            <w:shd w:val="clear" w:color="auto" w:fill="D9D9D9" w:themeFill="background1" w:themeFillShade="D9"/>
          </w:tcPr>
          <w:p w14:paraId="46A811EF" w14:textId="77777777" w:rsidR="007805A7" w:rsidRPr="00942872" w:rsidRDefault="007805A7" w:rsidP="00A95F72">
            <w:pPr>
              <w:jc w:val="center"/>
              <w:rPr>
                <w:rFonts w:ascii="Arial Narrow" w:hAnsi="Arial Narrow" w:cstheme="minorHAnsi"/>
                <w:bCs/>
                <w:sz w:val="20"/>
                <w:szCs w:val="20"/>
                <w:highlight w:val="yellow"/>
              </w:rPr>
            </w:pPr>
            <w:r w:rsidRPr="00942872">
              <w:rPr>
                <w:rFonts w:ascii="Arial Narrow" w:hAnsi="Arial Narrow" w:cstheme="minorHAnsi"/>
                <w:bCs/>
                <w:sz w:val="20"/>
                <w:szCs w:val="20"/>
              </w:rPr>
              <w:noBreakHyphen/>
              <w:t xml:space="preserve">0.08 </w:t>
            </w:r>
            <w:r w:rsidR="001A241F" w:rsidRPr="00942872">
              <w:rPr>
                <w:rFonts w:ascii="Arial Narrow" w:hAnsi="Arial Narrow" w:cstheme="minorHAnsi"/>
                <w:bCs/>
                <w:sz w:val="20"/>
                <w:szCs w:val="20"/>
              </w:rPr>
              <w:t>[</w:t>
            </w:r>
            <w:r w:rsidR="001A241F" w:rsidRPr="00942872">
              <w:rPr>
                <w:rFonts w:ascii="Arial Narrow" w:hAnsi="Arial Narrow" w:cstheme="minorHAnsi"/>
                <w:bCs/>
                <w:sz w:val="20"/>
                <w:szCs w:val="20"/>
              </w:rPr>
              <w:noBreakHyphen/>
              <w:t>0.20, 0.04]</w:t>
            </w:r>
          </w:p>
        </w:tc>
      </w:tr>
      <w:tr w:rsidR="007805A7" w:rsidRPr="00942872" w14:paraId="0137130F" w14:textId="77777777" w:rsidTr="00816960">
        <w:trPr>
          <w:trHeight w:val="54"/>
        </w:trPr>
        <w:tc>
          <w:tcPr>
            <w:tcW w:w="9209" w:type="dxa"/>
            <w:gridSpan w:val="7"/>
          </w:tcPr>
          <w:p w14:paraId="72CEC3B6" w14:textId="77777777" w:rsidR="007805A7" w:rsidRPr="00942872" w:rsidRDefault="007805A7" w:rsidP="00A95F72">
            <w:pPr>
              <w:rPr>
                <w:rFonts w:ascii="Arial Narrow" w:hAnsi="Arial Narrow" w:cstheme="minorHAnsi"/>
                <w:b/>
                <w:sz w:val="20"/>
                <w:szCs w:val="20"/>
              </w:rPr>
            </w:pPr>
            <w:r w:rsidRPr="00942872">
              <w:rPr>
                <w:rFonts w:ascii="Arial Narrow" w:hAnsi="Arial Narrow" w:cstheme="minorHAnsi"/>
                <w:b/>
                <w:sz w:val="20"/>
                <w:szCs w:val="20"/>
              </w:rPr>
              <w:t>Grade 3-5 treatment-related adverse events</w:t>
            </w:r>
          </w:p>
        </w:tc>
      </w:tr>
      <w:tr w:rsidR="007805A7" w:rsidRPr="00942872" w14:paraId="30BE4FD5" w14:textId="77777777" w:rsidTr="00816960">
        <w:trPr>
          <w:trHeight w:val="443"/>
        </w:trPr>
        <w:tc>
          <w:tcPr>
            <w:tcW w:w="1696" w:type="dxa"/>
          </w:tcPr>
          <w:p w14:paraId="38E2D654"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Cemiplimab vs. chemotherapy</w:t>
            </w:r>
          </w:p>
        </w:tc>
        <w:tc>
          <w:tcPr>
            <w:tcW w:w="1418" w:type="dxa"/>
            <w:shd w:val="clear" w:color="auto" w:fill="auto"/>
          </w:tcPr>
          <w:p w14:paraId="714530FA"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1624</w:t>
            </w:r>
          </w:p>
        </w:tc>
        <w:tc>
          <w:tcPr>
            <w:tcW w:w="1396" w:type="dxa"/>
            <w:shd w:val="clear" w:color="auto" w:fill="auto"/>
          </w:tcPr>
          <w:p w14:paraId="0674D1AC"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50/355</w:t>
            </w:r>
            <w:r w:rsidRPr="00942872">
              <w:rPr>
                <w:rFonts w:ascii="Arial Narrow" w:hAnsi="Arial Narrow"/>
                <w:sz w:val="20"/>
                <w:szCs w:val="20"/>
              </w:rPr>
              <w:br/>
              <w:t xml:space="preserve"> (14.1%)</w:t>
            </w:r>
          </w:p>
        </w:tc>
        <w:tc>
          <w:tcPr>
            <w:tcW w:w="1297" w:type="dxa"/>
            <w:shd w:val="clear" w:color="auto" w:fill="auto"/>
          </w:tcPr>
          <w:p w14:paraId="4A9C67DC"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134/342 </w:t>
            </w:r>
            <w:r w:rsidRPr="00942872">
              <w:rPr>
                <w:rFonts w:ascii="Arial Narrow" w:hAnsi="Arial Narrow"/>
                <w:sz w:val="20"/>
                <w:szCs w:val="20"/>
              </w:rPr>
              <w:br/>
              <w:t>(39.2%)</w:t>
            </w:r>
          </w:p>
        </w:tc>
        <w:tc>
          <w:tcPr>
            <w:tcW w:w="1055" w:type="dxa"/>
            <w:shd w:val="clear" w:color="auto" w:fill="auto"/>
          </w:tcPr>
          <w:p w14:paraId="6D493B7C"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0.36 </w:t>
            </w:r>
            <w:r w:rsidR="001A241F" w:rsidRPr="00942872">
              <w:rPr>
                <w:rFonts w:ascii="Arial Narrow" w:hAnsi="Arial Narrow"/>
                <w:sz w:val="20"/>
                <w:szCs w:val="20"/>
              </w:rPr>
              <w:t>[</w:t>
            </w:r>
            <w:r w:rsidRPr="00942872">
              <w:rPr>
                <w:rFonts w:ascii="Arial Narrow" w:hAnsi="Arial Narrow"/>
                <w:sz w:val="20"/>
                <w:szCs w:val="20"/>
              </w:rPr>
              <w:t>0.27, 0.48</w:t>
            </w:r>
            <w:r w:rsidR="001A241F" w:rsidRPr="00942872">
              <w:rPr>
                <w:rFonts w:ascii="Arial Narrow" w:hAnsi="Arial Narrow"/>
                <w:sz w:val="20"/>
                <w:szCs w:val="20"/>
              </w:rPr>
              <w:t>]</w:t>
            </w:r>
          </w:p>
        </w:tc>
        <w:tc>
          <w:tcPr>
            <w:tcW w:w="1101" w:type="dxa"/>
          </w:tcPr>
          <w:p w14:paraId="2D7BF8B6"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0.25 </w:t>
            </w:r>
            <w:r w:rsidR="001A241F" w:rsidRPr="00942872">
              <w:rPr>
                <w:rFonts w:ascii="Arial Narrow" w:hAnsi="Arial Narrow"/>
                <w:sz w:val="20"/>
                <w:szCs w:val="20"/>
              </w:rPr>
              <w:t>[</w:t>
            </w:r>
            <w:r w:rsidRPr="00942872">
              <w:rPr>
                <w:rFonts w:ascii="Arial Narrow" w:hAnsi="Arial Narrow"/>
                <w:sz w:val="20"/>
                <w:szCs w:val="20"/>
              </w:rPr>
              <w:t>0.18, 0.37</w:t>
            </w:r>
            <w:r w:rsidR="001A241F" w:rsidRPr="00942872">
              <w:rPr>
                <w:rFonts w:ascii="Arial Narrow" w:hAnsi="Arial Narrow"/>
                <w:sz w:val="20"/>
                <w:szCs w:val="20"/>
              </w:rPr>
              <w:t>]</w:t>
            </w:r>
          </w:p>
        </w:tc>
        <w:tc>
          <w:tcPr>
            <w:tcW w:w="1246" w:type="dxa"/>
            <w:shd w:val="clear" w:color="auto" w:fill="auto"/>
          </w:tcPr>
          <w:p w14:paraId="080130EB" w14:textId="77777777" w:rsidR="007805A7" w:rsidRPr="00942872" w:rsidRDefault="001A241F" w:rsidP="00A95F72">
            <w:pPr>
              <w:jc w:val="center"/>
              <w:rPr>
                <w:rFonts w:ascii="Arial Narrow" w:hAnsi="Arial Narrow" w:cstheme="minorHAnsi"/>
                <w:sz w:val="20"/>
                <w:szCs w:val="20"/>
              </w:rPr>
            </w:pPr>
            <w:r w:rsidRPr="00942872">
              <w:rPr>
                <w:rFonts w:ascii="Arial Narrow" w:hAnsi="Arial Narrow"/>
                <w:sz w:val="20"/>
                <w:szCs w:val="20"/>
              </w:rPr>
              <w:noBreakHyphen/>
              <w:t>0.25 [</w:t>
            </w:r>
            <w:r w:rsidRPr="00942872">
              <w:rPr>
                <w:rFonts w:ascii="Arial Narrow" w:hAnsi="Arial Narrow"/>
                <w:sz w:val="20"/>
                <w:szCs w:val="20"/>
              </w:rPr>
              <w:noBreakHyphen/>
              <w:t>0.31, </w:t>
            </w:r>
            <w:r w:rsidRPr="00942872">
              <w:rPr>
                <w:rFonts w:ascii="Arial Narrow" w:hAnsi="Arial Narrow"/>
                <w:sz w:val="20"/>
                <w:szCs w:val="20"/>
              </w:rPr>
              <w:noBreakHyphen/>
              <w:t>0.19]</w:t>
            </w:r>
          </w:p>
        </w:tc>
      </w:tr>
      <w:tr w:rsidR="007805A7" w:rsidRPr="00942872" w14:paraId="11820A9F" w14:textId="77777777" w:rsidTr="00816960">
        <w:tc>
          <w:tcPr>
            <w:tcW w:w="1696" w:type="dxa"/>
            <w:vMerge w:val="restart"/>
          </w:tcPr>
          <w:p w14:paraId="10097B85"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Pembrolizumab vs. chemotherapy</w:t>
            </w:r>
          </w:p>
        </w:tc>
        <w:tc>
          <w:tcPr>
            <w:tcW w:w="1418" w:type="dxa"/>
            <w:shd w:val="clear" w:color="auto" w:fill="auto"/>
          </w:tcPr>
          <w:p w14:paraId="56D44853" w14:textId="77777777" w:rsidR="007805A7" w:rsidRPr="00942872" w:rsidRDefault="004C46D9" w:rsidP="00A95F72">
            <w:pPr>
              <w:jc w:val="left"/>
              <w:rPr>
                <w:rFonts w:ascii="Arial Narrow" w:hAnsi="Arial Narrow" w:cstheme="minorHAnsi"/>
                <w:sz w:val="20"/>
                <w:szCs w:val="20"/>
              </w:rPr>
            </w:pPr>
            <w:r w:rsidRPr="00942872">
              <w:rPr>
                <w:rFonts w:ascii="Arial Narrow" w:hAnsi="Arial Narrow" w:cstheme="minorHAnsi"/>
                <w:sz w:val="20"/>
                <w:szCs w:val="20"/>
              </w:rPr>
              <w:t>KN024</w:t>
            </w:r>
          </w:p>
        </w:tc>
        <w:tc>
          <w:tcPr>
            <w:tcW w:w="1396" w:type="dxa"/>
            <w:shd w:val="clear" w:color="auto" w:fill="auto"/>
          </w:tcPr>
          <w:p w14:paraId="28E77C09"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41/154 </w:t>
            </w:r>
            <w:r w:rsidRPr="00942872">
              <w:rPr>
                <w:rFonts w:ascii="Arial Narrow" w:hAnsi="Arial Narrow"/>
                <w:sz w:val="20"/>
                <w:szCs w:val="20"/>
              </w:rPr>
              <w:br/>
              <w:t>(26.6%)</w:t>
            </w:r>
          </w:p>
        </w:tc>
        <w:tc>
          <w:tcPr>
            <w:tcW w:w="1297" w:type="dxa"/>
            <w:shd w:val="clear" w:color="auto" w:fill="auto"/>
          </w:tcPr>
          <w:p w14:paraId="538E1D9D"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80/150 </w:t>
            </w:r>
            <w:r w:rsidRPr="00942872">
              <w:rPr>
                <w:rFonts w:ascii="Arial Narrow" w:hAnsi="Arial Narrow"/>
                <w:sz w:val="20"/>
                <w:szCs w:val="20"/>
              </w:rPr>
              <w:br/>
              <w:t>(53.3%)</w:t>
            </w:r>
          </w:p>
        </w:tc>
        <w:tc>
          <w:tcPr>
            <w:tcW w:w="1055" w:type="dxa"/>
            <w:shd w:val="clear" w:color="auto" w:fill="auto"/>
          </w:tcPr>
          <w:p w14:paraId="0E1300A8"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0.50 </w:t>
            </w:r>
            <w:r w:rsidR="001A241F" w:rsidRPr="00942872">
              <w:rPr>
                <w:rFonts w:ascii="Arial Narrow" w:hAnsi="Arial Narrow"/>
                <w:sz w:val="20"/>
                <w:szCs w:val="20"/>
              </w:rPr>
              <w:t>[</w:t>
            </w:r>
            <w:r w:rsidRPr="00942872">
              <w:rPr>
                <w:rFonts w:ascii="Arial Narrow" w:hAnsi="Arial Narrow"/>
                <w:sz w:val="20"/>
                <w:szCs w:val="20"/>
              </w:rPr>
              <w:t>0.37, 0.68</w:t>
            </w:r>
            <w:r w:rsidR="001A241F" w:rsidRPr="00942872">
              <w:rPr>
                <w:rFonts w:ascii="Arial Narrow" w:hAnsi="Arial Narrow"/>
                <w:sz w:val="20"/>
                <w:szCs w:val="20"/>
              </w:rPr>
              <w:t>]</w:t>
            </w:r>
          </w:p>
        </w:tc>
        <w:tc>
          <w:tcPr>
            <w:tcW w:w="1101" w:type="dxa"/>
          </w:tcPr>
          <w:p w14:paraId="0A0CE0BC"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0.32 </w:t>
            </w:r>
            <w:r w:rsidR="001A241F" w:rsidRPr="00942872">
              <w:rPr>
                <w:rFonts w:ascii="Arial Narrow" w:hAnsi="Arial Narrow"/>
                <w:sz w:val="20"/>
                <w:szCs w:val="20"/>
              </w:rPr>
              <w:t>[</w:t>
            </w:r>
            <w:r w:rsidRPr="00942872">
              <w:rPr>
                <w:rFonts w:ascii="Arial Narrow" w:hAnsi="Arial Narrow"/>
                <w:sz w:val="20"/>
                <w:szCs w:val="20"/>
              </w:rPr>
              <w:t>0.20, 0.51</w:t>
            </w:r>
            <w:r w:rsidR="001A241F" w:rsidRPr="00942872">
              <w:rPr>
                <w:rFonts w:ascii="Arial Narrow" w:hAnsi="Arial Narrow"/>
                <w:sz w:val="20"/>
                <w:szCs w:val="20"/>
              </w:rPr>
              <w:t>]</w:t>
            </w:r>
          </w:p>
        </w:tc>
        <w:tc>
          <w:tcPr>
            <w:tcW w:w="1246" w:type="dxa"/>
            <w:shd w:val="clear" w:color="auto" w:fill="auto"/>
          </w:tcPr>
          <w:p w14:paraId="2B164C83" w14:textId="77777777" w:rsidR="007805A7" w:rsidRPr="00942872" w:rsidRDefault="001A241F" w:rsidP="00A95F72">
            <w:pPr>
              <w:jc w:val="center"/>
              <w:rPr>
                <w:rFonts w:ascii="Arial Narrow" w:hAnsi="Arial Narrow" w:cstheme="minorHAnsi"/>
                <w:sz w:val="20"/>
                <w:szCs w:val="20"/>
              </w:rPr>
            </w:pPr>
            <w:r w:rsidRPr="00942872">
              <w:rPr>
                <w:rFonts w:ascii="Arial Narrow" w:hAnsi="Arial Narrow"/>
                <w:sz w:val="20"/>
                <w:szCs w:val="20"/>
              </w:rPr>
              <w:noBreakHyphen/>
              <w:t>0.27 [</w:t>
            </w:r>
            <w:r w:rsidRPr="00942872">
              <w:rPr>
                <w:rFonts w:ascii="Arial Narrow" w:hAnsi="Arial Narrow"/>
                <w:sz w:val="20"/>
                <w:szCs w:val="20"/>
              </w:rPr>
              <w:noBreakHyphen/>
              <w:t>0.37, </w:t>
            </w:r>
            <w:r w:rsidRPr="00942872">
              <w:rPr>
                <w:rFonts w:ascii="Arial Narrow" w:hAnsi="Arial Narrow"/>
                <w:sz w:val="20"/>
                <w:szCs w:val="20"/>
              </w:rPr>
              <w:noBreakHyphen/>
              <w:t>0.16]</w:t>
            </w:r>
          </w:p>
        </w:tc>
      </w:tr>
      <w:tr w:rsidR="007805A7" w:rsidRPr="00942872" w14:paraId="65D0D12C" w14:textId="77777777" w:rsidTr="00816960">
        <w:tc>
          <w:tcPr>
            <w:tcW w:w="1696" w:type="dxa"/>
            <w:vMerge/>
          </w:tcPr>
          <w:p w14:paraId="44DE1EBF" w14:textId="77777777" w:rsidR="007805A7" w:rsidRPr="00942872" w:rsidRDefault="007805A7" w:rsidP="00A95F72">
            <w:pPr>
              <w:jc w:val="left"/>
              <w:rPr>
                <w:rFonts w:ascii="Arial Narrow" w:hAnsi="Arial Narrow" w:cstheme="minorHAnsi"/>
                <w:sz w:val="20"/>
                <w:szCs w:val="20"/>
              </w:rPr>
            </w:pPr>
          </w:p>
        </w:tc>
        <w:tc>
          <w:tcPr>
            <w:tcW w:w="1418" w:type="dxa"/>
            <w:shd w:val="clear" w:color="auto" w:fill="auto"/>
          </w:tcPr>
          <w:p w14:paraId="184E6CF1" w14:textId="77777777" w:rsidR="007805A7" w:rsidRPr="00942872" w:rsidRDefault="004C46D9" w:rsidP="00A95F72">
            <w:pPr>
              <w:jc w:val="left"/>
              <w:rPr>
                <w:rFonts w:ascii="Arial Narrow" w:hAnsi="Arial Narrow" w:cstheme="minorHAnsi"/>
                <w:sz w:val="20"/>
                <w:szCs w:val="20"/>
              </w:rPr>
            </w:pPr>
            <w:r w:rsidRPr="00942872">
              <w:rPr>
                <w:rFonts w:ascii="Arial Narrow" w:hAnsi="Arial Narrow" w:cstheme="minorHAnsi"/>
                <w:sz w:val="20"/>
                <w:szCs w:val="20"/>
              </w:rPr>
              <w:t>KN042</w:t>
            </w:r>
          </w:p>
        </w:tc>
        <w:tc>
          <w:tcPr>
            <w:tcW w:w="1396" w:type="dxa"/>
            <w:shd w:val="clear" w:color="auto" w:fill="auto"/>
          </w:tcPr>
          <w:p w14:paraId="13B60E14"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113/636 </w:t>
            </w:r>
            <w:r w:rsidRPr="00942872">
              <w:rPr>
                <w:rFonts w:ascii="Arial Narrow" w:hAnsi="Arial Narrow"/>
                <w:sz w:val="20"/>
                <w:szCs w:val="20"/>
              </w:rPr>
              <w:br/>
              <w:t>(17.8%)</w:t>
            </w:r>
          </w:p>
        </w:tc>
        <w:tc>
          <w:tcPr>
            <w:tcW w:w="1297" w:type="dxa"/>
            <w:shd w:val="clear" w:color="auto" w:fill="auto"/>
          </w:tcPr>
          <w:p w14:paraId="4A46D567"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252/615 </w:t>
            </w:r>
            <w:r w:rsidRPr="00942872">
              <w:rPr>
                <w:rFonts w:ascii="Arial Narrow" w:hAnsi="Arial Narrow"/>
                <w:sz w:val="20"/>
                <w:szCs w:val="20"/>
              </w:rPr>
              <w:br/>
              <w:t>(41.0%)</w:t>
            </w:r>
          </w:p>
        </w:tc>
        <w:tc>
          <w:tcPr>
            <w:tcW w:w="1055" w:type="dxa"/>
            <w:shd w:val="clear" w:color="auto" w:fill="auto"/>
          </w:tcPr>
          <w:p w14:paraId="1A75BCD8"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0.43 </w:t>
            </w:r>
            <w:r w:rsidR="001A241F" w:rsidRPr="00942872">
              <w:rPr>
                <w:rFonts w:ascii="Arial Narrow" w:hAnsi="Arial Narrow"/>
                <w:sz w:val="20"/>
                <w:szCs w:val="20"/>
              </w:rPr>
              <w:t>[</w:t>
            </w:r>
            <w:r w:rsidRPr="00942872">
              <w:rPr>
                <w:rFonts w:ascii="Arial Narrow" w:hAnsi="Arial Narrow"/>
                <w:sz w:val="20"/>
                <w:szCs w:val="20"/>
              </w:rPr>
              <w:t>0.36, 0.53</w:t>
            </w:r>
            <w:r w:rsidR="001A241F" w:rsidRPr="00942872">
              <w:rPr>
                <w:rFonts w:ascii="Arial Narrow" w:hAnsi="Arial Narrow"/>
                <w:sz w:val="20"/>
                <w:szCs w:val="20"/>
              </w:rPr>
              <w:t>]</w:t>
            </w:r>
          </w:p>
        </w:tc>
        <w:tc>
          <w:tcPr>
            <w:tcW w:w="1101" w:type="dxa"/>
          </w:tcPr>
          <w:p w14:paraId="31DA5794"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0.31 </w:t>
            </w:r>
            <w:r w:rsidR="001A241F" w:rsidRPr="00942872">
              <w:rPr>
                <w:rFonts w:ascii="Arial Narrow" w:hAnsi="Arial Narrow"/>
                <w:sz w:val="20"/>
                <w:szCs w:val="20"/>
              </w:rPr>
              <w:t>[</w:t>
            </w:r>
            <w:r w:rsidRPr="00942872">
              <w:rPr>
                <w:rFonts w:ascii="Arial Narrow" w:hAnsi="Arial Narrow"/>
                <w:sz w:val="20"/>
                <w:szCs w:val="20"/>
              </w:rPr>
              <w:t>0.24, 0.40</w:t>
            </w:r>
            <w:r w:rsidR="001A241F" w:rsidRPr="00942872">
              <w:rPr>
                <w:rFonts w:ascii="Arial Narrow" w:hAnsi="Arial Narrow"/>
                <w:sz w:val="20"/>
                <w:szCs w:val="20"/>
              </w:rPr>
              <w:t>]</w:t>
            </w:r>
          </w:p>
        </w:tc>
        <w:tc>
          <w:tcPr>
            <w:tcW w:w="1246" w:type="dxa"/>
            <w:shd w:val="clear" w:color="auto" w:fill="auto"/>
          </w:tcPr>
          <w:p w14:paraId="205E8995" w14:textId="77777777" w:rsidR="007805A7" w:rsidRPr="00942872" w:rsidRDefault="001A241F" w:rsidP="00A95F72">
            <w:pPr>
              <w:jc w:val="center"/>
              <w:rPr>
                <w:rFonts w:ascii="Arial Narrow" w:hAnsi="Arial Narrow" w:cstheme="minorHAnsi"/>
                <w:sz w:val="20"/>
                <w:szCs w:val="20"/>
              </w:rPr>
            </w:pPr>
            <w:r w:rsidRPr="00942872">
              <w:rPr>
                <w:rFonts w:ascii="Arial Narrow" w:hAnsi="Arial Narrow"/>
                <w:sz w:val="20"/>
                <w:szCs w:val="20"/>
              </w:rPr>
              <w:noBreakHyphen/>
              <w:t>0.23 [</w:t>
            </w:r>
            <w:r w:rsidRPr="00942872">
              <w:rPr>
                <w:rFonts w:ascii="Arial Narrow" w:hAnsi="Arial Narrow"/>
                <w:sz w:val="20"/>
                <w:szCs w:val="20"/>
              </w:rPr>
              <w:noBreakHyphen/>
              <w:t>0.28, </w:t>
            </w:r>
            <w:r w:rsidRPr="00942872">
              <w:rPr>
                <w:rFonts w:ascii="Arial Narrow" w:hAnsi="Arial Narrow"/>
                <w:sz w:val="20"/>
                <w:szCs w:val="20"/>
              </w:rPr>
              <w:noBreakHyphen/>
              <w:t>0.18]</w:t>
            </w:r>
          </w:p>
        </w:tc>
      </w:tr>
      <w:tr w:rsidR="007805A7" w:rsidRPr="00942872" w14:paraId="2670FF6F" w14:textId="77777777" w:rsidTr="00816960">
        <w:trPr>
          <w:trHeight w:val="185"/>
        </w:trPr>
        <w:tc>
          <w:tcPr>
            <w:tcW w:w="1696" w:type="dxa"/>
            <w:vMerge/>
            <w:tcBorders>
              <w:bottom w:val="single" w:sz="4" w:space="0" w:color="auto"/>
            </w:tcBorders>
          </w:tcPr>
          <w:p w14:paraId="16F58018" w14:textId="77777777" w:rsidR="007805A7" w:rsidRPr="00942872" w:rsidRDefault="007805A7" w:rsidP="00A95F72">
            <w:pPr>
              <w:jc w:val="left"/>
              <w:rPr>
                <w:rFonts w:ascii="Arial Narrow" w:hAnsi="Arial Narrow" w:cstheme="minorHAnsi"/>
                <w:sz w:val="20"/>
                <w:szCs w:val="20"/>
              </w:rPr>
            </w:pPr>
          </w:p>
        </w:tc>
        <w:tc>
          <w:tcPr>
            <w:tcW w:w="1418" w:type="dxa"/>
            <w:tcBorders>
              <w:bottom w:val="single" w:sz="4" w:space="0" w:color="auto"/>
            </w:tcBorders>
            <w:shd w:val="clear" w:color="auto" w:fill="auto"/>
          </w:tcPr>
          <w:p w14:paraId="633FDCE7" w14:textId="77777777" w:rsidR="007805A7" w:rsidRPr="00942872" w:rsidRDefault="007805A7" w:rsidP="00A95F72">
            <w:pPr>
              <w:jc w:val="left"/>
              <w:rPr>
                <w:rFonts w:ascii="Arial Narrow" w:hAnsi="Arial Narrow" w:cstheme="minorHAnsi"/>
                <w:sz w:val="20"/>
                <w:szCs w:val="20"/>
                <w:vertAlign w:val="superscript"/>
              </w:rPr>
            </w:pPr>
            <w:r w:rsidRPr="00942872">
              <w:rPr>
                <w:rFonts w:ascii="Arial Narrow" w:hAnsi="Arial Narrow" w:cstheme="minorHAnsi"/>
                <w:sz w:val="20"/>
                <w:szCs w:val="20"/>
              </w:rPr>
              <w:t xml:space="preserve">KN meta-analysis, </w:t>
            </w:r>
            <w:r w:rsidRPr="00942872">
              <w:rPr>
                <w:rFonts w:ascii="Arial Narrow" w:hAnsi="Arial Narrow" w:cstheme="minorHAnsi"/>
                <w:iCs/>
                <w:sz w:val="20"/>
                <w:szCs w:val="20"/>
              </w:rPr>
              <w:t>k</w:t>
            </w:r>
            <w:r w:rsidRPr="00942872">
              <w:rPr>
                <w:rFonts w:ascii="Arial Narrow" w:hAnsi="Arial Narrow" w:cstheme="minorHAnsi"/>
                <w:sz w:val="20"/>
                <w:szCs w:val="20"/>
              </w:rPr>
              <w:t> = 2</w:t>
            </w:r>
          </w:p>
        </w:tc>
        <w:tc>
          <w:tcPr>
            <w:tcW w:w="2693" w:type="dxa"/>
            <w:gridSpan w:val="2"/>
            <w:tcBorders>
              <w:bottom w:val="single" w:sz="4" w:space="0" w:color="auto"/>
            </w:tcBorders>
            <w:shd w:val="clear" w:color="auto" w:fill="auto"/>
          </w:tcPr>
          <w:p w14:paraId="240A6F00"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w:t>
            </w:r>
          </w:p>
        </w:tc>
        <w:tc>
          <w:tcPr>
            <w:tcW w:w="1055" w:type="dxa"/>
            <w:tcBorders>
              <w:bottom w:val="single" w:sz="4" w:space="0" w:color="auto"/>
            </w:tcBorders>
            <w:shd w:val="clear" w:color="auto" w:fill="auto"/>
          </w:tcPr>
          <w:p w14:paraId="3F5107C0" w14:textId="77777777" w:rsidR="007805A7" w:rsidRPr="00942872" w:rsidRDefault="001A241F" w:rsidP="00A95F72">
            <w:pPr>
              <w:jc w:val="center"/>
              <w:rPr>
                <w:rFonts w:ascii="Arial Narrow" w:hAnsi="Arial Narrow"/>
                <w:sz w:val="20"/>
                <w:szCs w:val="20"/>
              </w:rPr>
            </w:pPr>
            <w:r w:rsidRPr="00942872">
              <w:rPr>
                <w:rFonts w:ascii="Arial Narrow" w:hAnsi="Arial Narrow"/>
                <w:sz w:val="20"/>
                <w:szCs w:val="20"/>
              </w:rPr>
              <w:t>0.45 [0.38, 0.53]</w:t>
            </w:r>
          </w:p>
        </w:tc>
        <w:tc>
          <w:tcPr>
            <w:tcW w:w="1101" w:type="dxa"/>
            <w:tcBorders>
              <w:bottom w:val="single" w:sz="4" w:space="0" w:color="auto"/>
            </w:tcBorders>
          </w:tcPr>
          <w:p w14:paraId="22A325CC" w14:textId="77777777" w:rsidR="007805A7" w:rsidRPr="00942872" w:rsidRDefault="007805A7" w:rsidP="00A95F72">
            <w:pPr>
              <w:jc w:val="center"/>
              <w:rPr>
                <w:rFonts w:ascii="Arial Narrow" w:hAnsi="Arial Narrow"/>
                <w:sz w:val="20"/>
                <w:szCs w:val="20"/>
              </w:rPr>
            </w:pPr>
            <w:r w:rsidRPr="00942872">
              <w:rPr>
                <w:rFonts w:ascii="Arial Narrow" w:hAnsi="Arial Narrow"/>
                <w:sz w:val="20"/>
                <w:szCs w:val="20"/>
              </w:rPr>
              <w:t xml:space="preserve">0.31 </w:t>
            </w:r>
            <w:r w:rsidR="001A241F" w:rsidRPr="00942872">
              <w:rPr>
                <w:rFonts w:ascii="Arial Narrow" w:hAnsi="Arial Narrow"/>
                <w:sz w:val="20"/>
                <w:szCs w:val="20"/>
              </w:rPr>
              <w:t>[</w:t>
            </w:r>
            <w:r w:rsidRPr="00942872">
              <w:rPr>
                <w:rFonts w:ascii="Arial Narrow" w:hAnsi="Arial Narrow"/>
                <w:sz w:val="20"/>
                <w:szCs w:val="20"/>
              </w:rPr>
              <w:t>0.25, 0.39</w:t>
            </w:r>
            <w:r w:rsidR="001A241F" w:rsidRPr="00942872">
              <w:rPr>
                <w:rFonts w:ascii="Arial Narrow" w:hAnsi="Arial Narrow"/>
                <w:sz w:val="20"/>
                <w:szCs w:val="20"/>
              </w:rPr>
              <w:t>]</w:t>
            </w:r>
          </w:p>
        </w:tc>
        <w:tc>
          <w:tcPr>
            <w:tcW w:w="1246" w:type="dxa"/>
            <w:tcBorders>
              <w:bottom w:val="single" w:sz="4" w:space="0" w:color="auto"/>
            </w:tcBorders>
            <w:shd w:val="clear" w:color="auto" w:fill="auto"/>
          </w:tcPr>
          <w:p w14:paraId="67EDBCCD" w14:textId="77777777" w:rsidR="007805A7" w:rsidRPr="00942872" w:rsidRDefault="007805A7" w:rsidP="00A95F72">
            <w:pPr>
              <w:jc w:val="center"/>
              <w:rPr>
                <w:rFonts w:ascii="Arial Narrow" w:hAnsi="Arial Narrow"/>
                <w:sz w:val="20"/>
                <w:szCs w:val="20"/>
              </w:rPr>
            </w:pPr>
            <w:r w:rsidRPr="00942872">
              <w:rPr>
                <w:rFonts w:ascii="Arial Narrow" w:hAnsi="Arial Narrow"/>
                <w:sz w:val="20"/>
                <w:szCs w:val="20"/>
              </w:rPr>
              <w:noBreakHyphen/>
              <w:t xml:space="preserve">0.24 </w:t>
            </w:r>
            <w:r w:rsidR="001A241F" w:rsidRPr="00942872">
              <w:rPr>
                <w:rFonts w:ascii="Arial Narrow" w:hAnsi="Arial Narrow"/>
                <w:sz w:val="20"/>
                <w:szCs w:val="20"/>
              </w:rPr>
              <w:t>[</w:t>
            </w:r>
            <w:r w:rsidRPr="00942872">
              <w:rPr>
                <w:rFonts w:ascii="Arial Narrow" w:hAnsi="Arial Narrow"/>
                <w:sz w:val="20"/>
                <w:szCs w:val="20"/>
              </w:rPr>
              <w:noBreakHyphen/>
              <w:t>0.28, </w:t>
            </w:r>
            <w:r w:rsidRPr="00942872">
              <w:rPr>
                <w:rFonts w:ascii="Arial Narrow" w:hAnsi="Arial Narrow"/>
                <w:sz w:val="20"/>
                <w:szCs w:val="20"/>
              </w:rPr>
              <w:noBreakHyphen/>
              <w:t>0.19</w:t>
            </w:r>
            <w:r w:rsidR="001A241F" w:rsidRPr="00942872">
              <w:rPr>
                <w:rFonts w:ascii="Arial Narrow" w:hAnsi="Arial Narrow"/>
                <w:sz w:val="20"/>
                <w:szCs w:val="20"/>
              </w:rPr>
              <w:t>]</w:t>
            </w:r>
          </w:p>
        </w:tc>
      </w:tr>
      <w:tr w:rsidR="007805A7" w:rsidRPr="00942872" w14:paraId="552413DF" w14:textId="77777777" w:rsidTr="00816960">
        <w:trPr>
          <w:trHeight w:val="274"/>
        </w:trPr>
        <w:tc>
          <w:tcPr>
            <w:tcW w:w="1696" w:type="dxa"/>
            <w:shd w:val="clear" w:color="auto" w:fill="D9D9D9" w:themeFill="background1" w:themeFillShade="D9"/>
          </w:tcPr>
          <w:p w14:paraId="5803FB92"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 xml:space="preserve">ITC cemiplimab vs. pembrolizumab </w:t>
            </w:r>
          </w:p>
        </w:tc>
        <w:tc>
          <w:tcPr>
            <w:tcW w:w="1418" w:type="dxa"/>
            <w:shd w:val="clear" w:color="auto" w:fill="D9D9D9" w:themeFill="background1" w:themeFillShade="D9"/>
          </w:tcPr>
          <w:p w14:paraId="2BD6FD5C" w14:textId="77777777" w:rsidR="007805A7" w:rsidRPr="00942872" w:rsidRDefault="007805A7" w:rsidP="00410064">
            <w:pPr>
              <w:ind w:right="-57"/>
              <w:jc w:val="left"/>
              <w:rPr>
                <w:rFonts w:ascii="Arial Narrow" w:hAnsi="Arial Narrow" w:cstheme="minorHAnsi"/>
                <w:bCs/>
                <w:sz w:val="20"/>
                <w:szCs w:val="20"/>
              </w:rPr>
            </w:pPr>
            <w:r w:rsidRPr="00942872">
              <w:rPr>
                <w:rFonts w:ascii="Arial Narrow" w:hAnsi="Arial Narrow" w:cstheme="minorHAnsi"/>
                <w:bCs/>
                <w:sz w:val="20"/>
                <w:szCs w:val="20"/>
              </w:rPr>
              <w:t>1624 vs. KN meta</w:t>
            </w:r>
            <w:r w:rsidRPr="00942872">
              <w:rPr>
                <w:rFonts w:ascii="Arial Narrow" w:hAnsi="Arial Narrow" w:cstheme="minorHAnsi"/>
                <w:bCs/>
                <w:sz w:val="20"/>
                <w:szCs w:val="20"/>
              </w:rPr>
              <w:noBreakHyphen/>
              <w:t>analysis</w:t>
            </w:r>
          </w:p>
        </w:tc>
        <w:tc>
          <w:tcPr>
            <w:tcW w:w="2693" w:type="dxa"/>
            <w:gridSpan w:val="2"/>
            <w:shd w:val="clear" w:color="auto" w:fill="D9D9D9" w:themeFill="background1" w:themeFillShade="D9"/>
          </w:tcPr>
          <w:p w14:paraId="71C28CC8" w14:textId="77777777" w:rsidR="007805A7" w:rsidRPr="00942872" w:rsidRDefault="007805A7" w:rsidP="00A95F72">
            <w:pPr>
              <w:jc w:val="center"/>
              <w:rPr>
                <w:rFonts w:ascii="Arial Narrow" w:hAnsi="Arial Narrow" w:cstheme="minorHAnsi"/>
                <w:bCs/>
                <w:sz w:val="20"/>
                <w:szCs w:val="20"/>
                <w:highlight w:val="yellow"/>
              </w:rPr>
            </w:pPr>
            <w:r w:rsidRPr="00942872">
              <w:rPr>
                <w:rFonts w:ascii="Arial Narrow" w:hAnsi="Arial Narrow" w:cstheme="minorHAnsi"/>
                <w:sz w:val="20"/>
                <w:szCs w:val="20"/>
              </w:rPr>
              <w:t>–</w:t>
            </w:r>
          </w:p>
        </w:tc>
        <w:tc>
          <w:tcPr>
            <w:tcW w:w="1055" w:type="dxa"/>
            <w:shd w:val="clear" w:color="auto" w:fill="D9D9D9" w:themeFill="background1" w:themeFillShade="D9"/>
          </w:tcPr>
          <w:p w14:paraId="4F9FD71B" w14:textId="77777777" w:rsidR="007805A7" w:rsidRPr="00942872" w:rsidRDefault="001A241F" w:rsidP="00A95F72">
            <w:pPr>
              <w:jc w:val="center"/>
              <w:rPr>
                <w:rFonts w:ascii="Arial Narrow" w:hAnsi="Arial Narrow" w:cstheme="minorHAnsi"/>
                <w:bCs/>
                <w:sz w:val="20"/>
                <w:szCs w:val="20"/>
                <w:highlight w:val="yellow"/>
              </w:rPr>
            </w:pPr>
            <w:r w:rsidRPr="00942872">
              <w:rPr>
                <w:rFonts w:ascii="Arial Narrow" w:hAnsi="Arial Narrow"/>
                <w:bCs/>
                <w:sz w:val="20"/>
                <w:szCs w:val="20"/>
              </w:rPr>
              <w:t>0.80 [0.57, 1.11]</w:t>
            </w:r>
          </w:p>
        </w:tc>
        <w:tc>
          <w:tcPr>
            <w:tcW w:w="1101" w:type="dxa"/>
            <w:shd w:val="clear" w:color="auto" w:fill="D9D9D9" w:themeFill="background1" w:themeFillShade="D9"/>
          </w:tcPr>
          <w:p w14:paraId="420C09CA" w14:textId="77777777" w:rsidR="007805A7" w:rsidRPr="00942872" w:rsidRDefault="007805A7" w:rsidP="00A95F72">
            <w:pPr>
              <w:jc w:val="center"/>
              <w:rPr>
                <w:rFonts w:ascii="Arial Narrow" w:hAnsi="Arial Narrow" w:cstheme="minorHAnsi"/>
                <w:bCs/>
                <w:sz w:val="20"/>
                <w:szCs w:val="20"/>
                <w:highlight w:val="yellow"/>
              </w:rPr>
            </w:pPr>
            <w:r w:rsidRPr="00942872">
              <w:rPr>
                <w:rFonts w:ascii="Arial Narrow" w:hAnsi="Arial Narrow"/>
                <w:bCs/>
                <w:sz w:val="20"/>
                <w:szCs w:val="20"/>
              </w:rPr>
              <w:t xml:space="preserve">0.82 </w:t>
            </w:r>
            <w:r w:rsidR="001A241F" w:rsidRPr="00942872">
              <w:rPr>
                <w:rFonts w:ascii="Arial Narrow" w:hAnsi="Arial Narrow"/>
                <w:bCs/>
                <w:sz w:val="20"/>
                <w:szCs w:val="20"/>
              </w:rPr>
              <w:t>[</w:t>
            </w:r>
            <w:r w:rsidRPr="00942872">
              <w:rPr>
                <w:rFonts w:ascii="Arial Narrow" w:hAnsi="Arial Narrow"/>
                <w:bCs/>
                <w:sz w:val="20"/>
                <w:szCs w:val="20"/>
              </w:rPr>
              <w:t>0.53, 1.26</w:t>
            </w:r>
            <w:r w:rsidR="001A241F" w:rsidRPr="00942872">
              <w:rPr>
                <w:rFonts w:ascii="Arial Narrow" w:hAnsi="Arial Narrow"/>
                <w:bCs/>
                <w:sz w:val="20"/>
                <w:szCs w:val="20"/>
              </w:rPr>
              <w:t>]</w:t>
            </w:r>
          </w:p>
        </w:tc>
        <w:tc>
          <w:tcPr>
            <w:tcW w:w="1246" w:type="dxa"/>
            <w:shd w:val="clear" w:color="auto" w:fill="D9D9D9" w:themeFill="background1" w:themeFillShade="D9"/>
          </w:tcPr>
          <w:p w14:paraId="62E06232" w14:textId="77777777" w:rsidR="007805A7" w:rsidRPr="00942872" w:rsidRDefault="007805A7" w:rsidP="00A95F72">
            <w:pPr>
              <w:jc w:val="center"/>
              <w:rPr>
                <w:rFonts w:ascii="Arial Narrow" w:hAnsi="Arial Narrow" w:cstheme="minorHAnsi"/>
                <w:bCs/>
                <w:sz w:val="20"/>
                <w:szCs w:val="20"/>
                <w:highlight w:val="yellow"/>
              </w:rPr>
            </w:pPr>
            <w:r w:rsidRPr="00942872">
              <w:rPr>
                <w:rFonts w:ascii="Arial Narrow" w:hAnsi="Arial Narrow"/>
                <w:bCs/>
                <w:sz w:val="20"/>
                <w:szCs w:val="20"/>
              </w:rPr>
              <w:noBreakHyphen/>
              <w:t xml:space="preserve">0.01 </w:t>
            </w:r>
            <w:r w:rsidR="001A241F" w:rsidRPr="00942872">
              <w:rPr>
                <w:rFonts w:ascii="Arial Narrow" w:hAnsi="Arial Narrow"/>
                <w:bCs/>
                <w:sz w:val="20"/>
                <w:szCs w:val="20"/>
              </w:rPr>
              <w:t>[</w:t>
            </w:r>
            <w:r w:rsidRPr="00942872">
              <w:rPr>
                <w:rFonts w:ascii="Arial Narrow" w:hAnsi="Arial Narrow"/>
                <w:bCs/>
                <w:sz w:val="20"/>
                <w:szCs w:val="20"/>
              </w:rPr>
              <w:noBreakHyphen/>
              <w:t>0.09, 0.06</w:t>
            </w:r>
            <w:r w:rsidR="001A241F" w:rsidRPr="00942872">
              <w:rPr>
                <w:rFonts w:ascii="Arial Narrow" w:hAnsi="Arial Narrow"/>
                <w:bCs/>
                <w:sz w:val="20"/>
                <w:szCs w:val="20"/>
              </w:rPr>
              <w:t>]</w:t>
            </w:r>
          </w:p>
        </w:tc>
      </w:tr>
      <w:tr w:rsidR="007805A7" w:rsidRPr="00942872" w14:paraId="00CA433E" w14:textId="77777777" w:rsidTr="00816960">
        <w:trPr>
          <w:trHeight w:val="54"/>
        </w:trPr>
        <w:tc>
          <w:tcPr>
            <w:tcW w:w="9209" w:type="dxa"/>
            <w:gridSpan w:val="7"/>
          </w:tcPr>
          <w:p w14:paraId="641B2794" w14:textId="77777777" w:rsidR="007805A7" w:rsidRPr="00942872" w:rsidRDefault="007805A7" w:rsidP="00815130">
            <w:pPr>
              <w:keepNext/>
              <w:rPr>
                <w:rFonts w:ascii="Arial Narrow" w:hAnsi="Arial Narrow" w:cstheme="minorHAnsi"/>
                <w:b/>
                <w:sz w:val="20"/>
                <w:szCs w:val="20"/>
              </w:rPr>
            </w:pPr>
            <w:r w:rsidRPr="00942872">
              <w:rPr>
                <w:rFonts w:ascii="Arial Narrow" w:hAnsi="Arial Narrow" w:cstheme="minorHAnsi"/>
                <w:b/>
                <w:sz w:val="20"/>
                <w:szCs w:val="20"/>
              </w:rPr>
              <w:t>Treatment-related adverse events leading to treatment discontinuation</w:t>
            </w:r>
          </w:p>
        </w:tc>
      </w:tr>
      <w:tr w:rsidR="007805A7" w:rsidRPr="00942872" w14:paraId="4A77A3B5" w14:textId="77777777" w:rsidTr="00816960">
        <w:trPr>
          <w:trHeight w:val="443"/>
        </w:trPr>
        <w:tc>
          <w:tcPr>
            <w:tcW w:w="1696" w:type="dxa"/>
          </w:tcPr>
          <w:p w14:paraId="6A825945"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Cemiplimab vs. chemotherapy</w:t>
            </w:r>
          </w:p>
        </w:tc>
        <w:tc>
          <w:tcPr>
            <w:tcW w:w="1418" w:type="dxa"/>
            <w:shd w:val="clear" w:color="auto" w:fill="auto"/>
          </w:tcPr>
          <w:p w14:paraId="25A78B4E"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1624</w:t>
            </w:r>
          </w:p>
        </w:tc>
        <w:tc>
          <w:tcPr>
            <w:tcW w:w="1396" w:type="dxa"/>
            <w:shd w:val="clear" w:color="auto" w:fill="auto"/>
          </w:tcPr>
          <w:p w14:paraId="2797E91C"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18/355 </w:t>
            </w:r>
            <w:r w:rsidRPr="00942872">
              <w:rPr>
                <w:rFonts w:ascii="Arial Narrow" w:hAnsi="Arial Narrow"/>
                <w:sz w:val="20"/>
                <w:szCs w:val="20"/>
              </w:rPr>
              <w:br/>
              <w:t>(5.1%)</w:t>
            </w:r>
          </w:p>
        </w:tc>
        <w:tc>
          <w:tcPr>
            <w:tcW w:w="1297" w:type="dxa"/>
            <w:shd w:val="clear" w:color="auto" w:fill="auto"/>
          </w:tcPr>
          <w:p w14:paraId="09D68C60"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12/342 </w:t>
            </w:r>
            <w:r w:rsidRPr="00942872">
              <w:rPr>
                <w:rFonts w:ascii="Arial Narrow" w:hAnsi="Arial Narrow"/>
                <w:sz w:val="20"/>
                <w:szCs w:val="20"/>
              </w:rPr>
              <w:br/>
              <w:t>(3.5%)</w:t>
            </w:r>
          </w:p>
        </w:tc>
        <w:tc>
          <w:tcPr>
            <w:tcW w:w="1055" w:type="dxa"/>
            <w:shd w:val="clear" w:color="auto" w:fill="auto"/>
          </w:tcPr>
          <w:p w14:paraId="06D3F101"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1.45 </w:t>
            </w:r>
            <w:r w:rsidR="001A241F" w:rsidRPr="00942872">
              <w:rPr>
                <w:rFonts w:ascii="Arial Narrow" w:hAnsi="Arial Narrow"/>
                <w:sz w:val="20"/>
                <w:szCs w:val="20"/>
              </w:rPr>
              <w:t>[</w:t>
            </w:r>
            <w:r w:rsidRPr="00942872">
              <w:rPr>
                <w:rFonts w:ascii="Arial Narrow" w:hAnsi="Arial Narrow"/>
                <w:sz w:val="20"/>
                <w:szCs w:val="20"/>
              </w:rPr>
              <w:t>0.71, 2.95</w:t>
            </w:r>
            <w:r w:rsidR="001A241F" w:rsidRPr="00942872">
              <w:rPr>
                <w:rFonts w:ascii="Arial Narrow" w:hAnsi="Arial Narrow"/>
                <w:sz w:val="20"/>
                <w:szCs w:val="20"/>
              </w:rPr>
              <w:t>]</w:t>
            </w:r>
          </w:p>
        </w:tc>
        <w:tc>
          <w:tcPr>
            <w:tcW w:w="1101" w:type="dxa"/>
          </w:tcPr>
          <w:p w14:paraId="0BD17AB3"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1.47 </w:t>
            </w:r>
            <w:r w:rsidR="001A241F" w:rsidRPr="00942872">
              <w:rPr>
                <w:rFonts w:ascii="Arial Narrow" w:hAnsi="Arial Narrow"/>
                <w:sz w:val="20"/>
                <w:szCs w:val="20"/>
              </w:rPr>
              <w:t>[</w:t>
            </w:r>
            <w:r w:rsidRPr="00942872">
              <w:rPr>
                <w:rFonts w:ascii="Arial Narrow" w:hAnsi="Arial Narrow"/>
                <w:sz w:val="20"/>
                <w:szCs w:val="20"/>
              </w:rPr>
              <w:t>0.70, 3.10</w:t>
            </w:r>
            <w:r w:rsidR="001A241F" w:rsidRPr="00942872">
              <w:rPr>
                <w:rFonts w:ascii="Arial Narrow" w:hAnsi="Arial Narrow"/>
                <w:sz w:val="20"/>
                <w:szCs w:val="20"/>
              </w:rPr>
              <w:t>]</w:t>
            </w:r>
          </w:p>
        </w:tc>
        <w:tc>
          <w:tcPr>
            <w:tcW w:w="1246" w:type="dxa"/>
            <w:shd w:val="clear" w:color="auto" w:fill="auto"/>
          </w:tcPr>
          <w:p w14:paraId="7E5CD581"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0.02 </w:t>
            </w:r>
            <w:r w:rsidR="001A241F" w:rsidRPr="00942872">
              <w:rPr>
                <w:rFonts w:ascii="Arial Narrow" w:hAnsi="Arial Narrow"/>
                <w:sz w:val="20"/>
                <w:szCs w:val="20"/>
              </w:rPr>
              <w:t>[</w:t>
            </w:r>
            <w:r w:rsidR="001A241F" w:rsidRPr="00942872">
              <w:rPr>
                <w:rFonts w:ascii="Arial Narrow" w:hAnsi="Arial Narrow"/>
                <w:sz w:val="20"/>
                <w:szCs w:val="20"/>
              </w:rPr>
              <w:noBreakHyphen/>
              <w:t>0.01, 0.05]</w:t>
            </w:r>
          </w:p>
        </w:tc>
      </w:tr>
      <w:tr w:rsidR="007805A7" w:rsidRPr="00942872" w14:paraId="75DF904E" w14:textId="77777777" w:rsidTr="00816960">
        <w:tc>
          <w:tcPr>
            <w:tcW w:w="1696" w:type="dxa"/>
            <w:vMerge w:val="restart"/>
          </w:tcPr>
          <w:p w14:paraId="6AD03BAE"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Pembrolizumab vs. chemotherapy</w:t>
            </w:r>
          </w:p>
        </w:tc>
        <w:tc>
          <w:tcPr>
            <w:tcW w:w="1418" w:type="dxa"/>
            <w:shd w:val="clear" w:color="auto" w:fill="auto"/>
          </w:tcPr>
          <w:p w14:paraId="518E75C0" w14:textId="77777777" w:rsidR="007805A7" w:rsidRPr="00942872" w:rsidRDefault="004C46D9" w:rsidP="00A95F72">
            <w:pPr>
              <w:jc w:val="left"/>
              <w:rPr>
                <w:rFonts w:ascii="Arial Narrow" w:hAnsi="Arial Narrow" w:cstheme="minorHAnsi"/>
                <w:sz w:val="20"/>
                <w:szCs w:val="20"/>
              </w:rPr>
            </w:pPr>
            <w:r w:rsidRPr="00942872">
              <w:rPr>
                <w:rFonts w:ascii="Arial Narrow" w:hAnsi="Arial Narrow" w:cstheme="minorHAnsi"/>
                <w:sz w:val="20"/>
                <w:szCs w:val="20"/>
              </w:rPr>
              <w:t>KN024</w:t>
            </w:r>
          </w:p>
        </w:tc>
        <w:tc>
          <w:tcPr>
            <w:tcW w:w="1396" w:type="dxa"/>
            <w:shd w:val="clear" w:color="auto" w:fill="auto"/>
          </w:tcPr>
          <w:p w14:paraId="6148242F"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11/154 </w:t>
            </w:r>
            <w:r w:rsidRPr="00942872">
              <w:rPr>
                <w:rFonts w:ascii="Arial Narrow" w:hAnsi="Arial Narrow"/>
                <w:sz w:val="20"/>
                <w:szCs w:val="20"/>
              </w:rPr>
              <w:br/>
              <w:t>(7.1%)</w:t>
            </w:r>
          </w:p>
        </w:tc>
        <w:tc>
          <w:tcPr>
            <w:tcW w:w="1297" w:type="dxa"/>
            <w:shd w:val="clear" w:color="auto" w:fill="auto"/>
          </w:tcPr>
          <w:p w14:paraId="27A10C52"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16/150 </w:t>
            </w:r>
            <w:r w:rsidRPr="00942872">
              <w:rPr>
                <w:rFonts w:ascii="Arial Narrow" w:hAnsi="Arial Narrow"/>
                <w:sz w:val="20"/>
                <w:szCs w:val="20"/>
              </w:rPr>
              <w:br/>
              <w:t>(10.7%)</w:t>
            </w:r>
          </w:p>
        </w:tc>
        <w:tc>
          <w:tcPr>
            <w:tcW w:w="1055" w:type="dxa"/>
            <w:shd w:val="clear" w:color="auto" w:fill="auto"/>
          </w:tcPr>
          <w:p w14:paraId="6862792F"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0.67 </w:t>
            </w:r>
            <w:r w:rsidR="001A241F" w:rsidRPr="00942872">
              <w:rPr>
                <w:rFonts w:ascii="Arial Narrow" w:hAnsi="Arial Narrow"/>
                <w:sz w:val="20"/>
                <w:szCs w:val="20"/>
              </w:rPr>
              <w:t>[</w:t>
            </w:r>
            <w:r w:rsidRPr="00942872">
              <w:rPr>
                <w:rFonts w:ascii="Arial Narrow" w:hAnsi="Arial Narrow"/>
                <w:sz w:val="20"/>
                <w:szCs w:val="20"/>
              </w:rPr>
              <w:t>0.32, 1.40</w:t>
            </w:r>
            <w:r w:rsidR="001A241F" w:rsidRPr="00942872">
              <w:rPr>
                <w:rFonts w:ascii="Arial Narrow" w:hAnsi="Arial Narrow"/>
                <w:sz w:val="20"/>
                <w:szCs w:val="20"/>
              </w:rPr>
              <w:t>]</w:t>
            </w:r>
          </w:p>
        </w:tc>
        <w:tc>
          <w:tcPr>
            <w:tcW w:w="1101" w:type="dxa"/>
          </w:tcPr>
          <w:p w14:paraId="24CFE049"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0.64 </w:t>
            </w:r>
            <w:r w:rsidR="001A241F" w:rsidRPr="00942872">
              <w:rPr>
                <w:rFonts w:ascii="Arial Narrow" w:hAnsi="Arial Narrow"/>
                <w:sz w:val="20"/>
                <w:szCs w:val="20"/>
              </w:rPr>
              <w:t>[</w:t>
            </w:r>
            <w:r w:rsidRPr="00942872">
              <w:rPr>
                <w:rFonts w:ascii="Arial Narrow" w:hAnsi="Arial Narrow"/>
                <w:sz w:val="20"/>
                <w:szCs w:val="20"/>
              </w:rPr>
              <w:t>0.29, 1.44</w:t>
            </w:r>
            <w:r w:rsidR="001A241F" w:rsidRPr="00942872">
              <w:rPr>
                <w:rFonts w:ascii="Arial Narrow" w:hAnsi="Arial Narrow"/>
                <w:sz w:val="20"/>
                <w:szCs w:val="20"/>
              </w:rPr>
              <w:t>]</w:t>
            </w:r>
          </w:p>
        </w:tc>
        <w:tc>
          <w:tcPr>
            <w:tcW w:w="1246" w:type="dxa"/>
            <w:shd w:val="clear" w:color="auto" w:fill="auto"/>
          </w:tcPr>
          <w:p w14:paraId="55DC0CB0"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noBreakHyphen/>
              <w:t xml:space="preserve">0.04 </w:t>
            </w:r>
            <w:r w:rsidR="001A241F" w:rsidRPr="00942872">
              <w:rPr>
                <w:rFonts w:ascii="Arial Narrow" w:hAnsi="Arial Narrow"/>
                <w:sz w:val="20"/>
                <w:szCs w:val="20"/>
              </w:rPr>
              <w:t>[</w:t>
            </w:r>
            <w:r w:rsidR="001A241F" w:rsidRPr="00942872">
              <w:rPr>
                <w:rFonts w:ascii="Arial Narrow" w:hAnsi="Arial Narrow"/>
                <w:sz w:val="20"/>
                <w:szCs w:val="20"/>
              </w:rPr>
              <w:noBreakHyphen/>
              <w:t>0.10, 0.03]</w:t>
            </w:r>
          </w:p>
        </w:tc>
      </w:tr>
      <w:tr w:rsidR="007805A7" w:rsidRPr="00942872" w14:paraId="69CE177D" w14:textId="77777777" w:rsidTr="00816960">
        <w:tc>
          <w:tcPr>
            <w:tcW w:w="1696" w:type="dxa"/>
            <w:vMerge/>
          </w:tcPr>
          <w:p w14:paraId="1CAFEE68" w14:textId="77777777" w:rsidR="007805A7" w:rsidRPr="00942872" w:rsidRDefault="007805A7" w:rsidP="00A95F72">
            <w:pPr>
              <w:jc w:val="left"/>
              <w:rPr>
                <w:rFonts w:ascii="Arial Narrow" w:hAnsi="Arial Narrow" w:cstheme="minorHAnsi"/>
                <w:sz w:val="20"/>
                <w:szCs w:val="20"/>
              </w:rPr>
            </w:pPr>
          </w:p>
        </w:tc>
        <w:tc>
          <w:tcPr>
            <w:tcW w:w="1418" w:type="dxa"/>
            <w:shd w:val="clear" w:color="auto" w:fill="auto"/>
          </w:tcPr>
          <w:p w14:paraId="2459DF2E" w14:textId="77777777" w:rsidR="007805A7" w:rsidRPr="00942872" w:rsidRDefault="004C46D9" w:rsidP="00A95F72">
            <w:pPr>
              <w:jc w:val="left"/>
              <w:rPr>
                <w:rFonts w:ascii="Arial Narrow" w:hAnsi="Arial Narrow" w:cstheme="minorHAnsi"/>
                <w:sz w:val="20"/>
                <w:szCs w:val="20"/>
              </w:rPr>
            </w:pPr>
            <w:r w:rsidRPr="00942872">
              <w:rPr>
                <w:rFonts w:ascii="Arial Narrow" w:hAnsi="Arial Narrow" w:cstheme="minorHAnsi"/>
                <w:sz w:val="20"/>
                <w:szCs w:val="20"/>
              </w:rPr>
              <w:t>KN042</w:t>
            </w:r>
          </w:p>
        </w:tc>
        <w:tc>
          <w:tcPr>
            <w:tcW w:w="1396" w:type="dxa"/>
            <w:shd w:val="clear" w:color="auto" w:fill="auto"/>
          </w:tcPr>
          <w:p w14:paraId="26D3A18F"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57/636 </w:t>
            </w:r>
            <w:r w:rsidRPr="00942872">
              <w:rPr>
                <w:rFonts w:ascii="Arial Narrow" w:hAnsi="Arial Narrow"/>
                <w:sz w:val="20"/>
                <w:szCs w:val="20"/>
              </w:rPr>
              <w:br/>
              <w:t>(9.0%)</w:t>
            </w:r>
          </w:p>
        </w:tc>
        <w:tc>
          <w:tcPr>
            <w:tcW w:w="1297" w:type="dxa"/>
            <w:shd w:val="clear" w:color="auto" w:fill="auto"/>
          </w:tcPr>
          <w:p w14:paraId="1FE9A71E"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58/615 </w:t>
            </w:r>
            <w:r w:rsidRPr="00942872">
              <w:rPr>
                <w:rFonts w:ascii="Arial Narrow" w:hAnsi="Arial Narrow"/>
                <w:sz w:val="20"/>
                <w:szCs w:val="20"/>
              </w:rPr>
              <w:br/>
              <w:t>(9.4%)</w:t>
            </w:r>
          </w:p>
        </w:tc>
        <w:tc>
          <w:tcPr>
            <w:tcW w:w="1055" w:type="dxa"/>
            <w:shd w:val="clear" w:color="auto" w:fill="auto"/>
          </w:tcPr>
          <w:p w14:paraId="61BCFE44"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0.95 </w:t>
            </w:r>
            <w:r w:rsidRPr="00942872">
              <w:rPr>
                <w:rFonts w:ascii="Arial Narrow" w:hAnsi="Arial Narrow"/>
                <w:sz w:val="20"/>
                <w:szCs w:val="20"/>
              </w:rPr>
              <w:br/>
            </w:r>
            <w:r w:rsidR="001A241F" w:rsidRPr="00942872">
              <w:rPr>
                <w:rFonts w:ascii="Arial Narrow" w:hAnsi="Arial Narrow"/>
                <w:sz w:val="20"/>
                <w:szCs w:val="20"/>
              </w:rPr>
              <w:t>[0.67, 1.35]</w:t>
            </w:r>
          </w:p>
        </w:tc>
        <w:tc>
          <w:tcPr>
            <w:tcW w:w="1101" w:type="dxa"/>
          </w:tcPr>
          <w:p w14:paraId="2A7364C6"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0.95 </w:t>
            </w:r>
            <w:r w:rsidR="001A241F" w:rsidRPr="00942872">
              <w:rPr>
                <w:rFonts w:ascii="Arial Narrow" w:hAnsi="Arial Narrow"/>
                <w:sz w:val="20"/>
                <w:szCs w:val="20"/>
              </w:rPr>
              <w:t>[</w:t>
            </w:r>
            <w:r w:rsidRPr="00942872">
              <w:rPr>
                <w:rFonts w:ascii="Arial Narrow" w:hAnsi="Arial Narrow"/>
                <w:sz w:val="20"/>
                <w:szCs w:val="20"/>
              </w:rPr>
              <w:t>0.64, 1.39</w:t>
            </w:r>
            <w:r w:rsidR="001A241F" w:rsidRPr="00942872">
              <w:rPr>
                <w:rFonts w:ascii="Arial Narrow" w:hAnsi="Arial Narrow"/>
                <w:sz w:val="20"/>
                <w:szCs w:val="20"/>
              </w:rPr>
              <w:t>]</w:t>
            </w:r>
          </w:p>
        </w:tc>
        <w:tc>
          <w:tcPr>
            <w:tcW w:w="1246" w:type="dxa"/>
            <w:shd w:val="clear" w:color="auto" w:fill="auto"/>
          </w:tcPr>
          <w:p w14:paraId="27EDD340"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0.00 </w:t>
            </w:r>
            <w:r w:rsidR="001A241F" w:rsidRPr="00942872">
              <w:rPr>
                <w:rFonts w:ascii="Arial Narrow" w:hAnsi="Arial Narrow"/>
                <w:sz w:val="20"/>
                <w:szCs w:val="20"/>
              </w:rPr>
              <w:t>[</w:t>
            </w:r>
            <w:r w:rsidR="001A241F" w:rsidRPr="00942872">
              <w:rPr>
                <w:rFonts w:ascii="Arial Narrow" w:hAnsi="Arial Narrow"/>
                <w:sz w:val="20"/>
                <w:szCs w:val="20"/>
              </w:rPr>
              <w:noBreakHyphen/>
              <w:t>0.04, 0.03]</w:t>
            </w:r>
          </w:p>
        </w:tc>
      </w:tr>
      <w:tr w:rsidR="007805A7" w:rsidRPr="00942872" w14:paraId="034F98A7" w14:textId="77777777" w:rsidTr="00816960">
        <w:trPr>
          <w:trHeight w:val="185"/>
        </w:trPr>
        <w:tc>
          <w:tcPr>
            <w:tcW w:w="1696" w:type="dxa"/>
            <w:vMerge/>
            <w:tcBorders>
              <w:bottom w:val="single" w:sz="4" w:space="0" w:color="auto"/>
            </w:tcBorders>
          </w:tcPr>
          <w:p w14:paraId="2267FD10" w14:textId="77777777" w:rsidR="007805A7" w:rsidRPr="00942872" w:rsidRDefault="007805A7" w:rsidP="00A95F72">
            <w:pPr>
              <w:jc w:val="left"/>
              <w:rPr>
                <w:rFonts w:ascii="Arial Narrow" w:hAnsi="Arial Narrow" w:cstheme="minorHAnsi"/>
                <w:sz w:val="20"/>
                <w:szCs w:val="20"/>
              </w:rPr>
            </w:pPr>
          </w:p>
        </w:tc>
        <w:tc>
          <w:tcPr>
            <w:tcW w:w="1418" w:type="dxa"/>
            <w:tcBorders>
              <w:bottom w:val="single" w:sz="4" w:space="0" w:color="auto"/>
            </w:tcBorders>
            <w:shd w:val="clear" w:color="auto" w:fill="auto"/>
          </w:tcPr>
          <w:p w14:paraId="0A6422D0" w14:textId="77777777" w:rsidR="007805A7" w:rsidRPr="00942872" w:rsidRDefault="007805A7" w:rsidP="00A95F72">
            <w:pPr>
              <w:jc w:val="left"/>
              <w:rPr>
                <w:rFonts w:ascii="Arial Narrow" w:hAnsi="Arial Narrow" w:cstheme="minorHAnsi"/>
                <w:sz w:val="20"/>
                <w:szCs w:val="20"/>
                <w:vertAlign w:val="superscript"/>
              </w:rPr>
            </w:pPr>
            <w:r w:rsidRPr="00942872">
              <w:rPr>
                <w:rFonts w:ascii="Arial Narrow" w:hAnsi="Arial Narrow" w:cstheme="minorHAnsi"/>
                <w:sz w:val="20"/>
                <w:szCs w:val="20"/>
              </w:rPr>
              <w:t xml:space="preserve">KN meta-analysis, </w:t>
            </w:r>
            <w:r w:rsidRPr="00942872">
              <w:rPr>
                <w:rFonts w:ascii="Arial Narrow" w:hAnsi="Arial Narrow" w:cstheme="minorHAnsi"/>
                <w:iCs/>
                <w:sz w:val="20"/>
                <w:szCs w:val="20"/>
              </w:rPr>
              <w:t>k</w:t>
            </w:r>
            <w:r w:rsidRPr="00942872">
              <w:rPr>
                <w:rFonts w:ascii="Arial Narrow" w:hAnsi="Arial Narrow" w:cstheme="minorHAnsi"/>
                <w:sz w:val="20"/>
                <w:szCs w:val="20"/>
              </w:rPr>
              <w:t> = 2</w:t>
            </w:r>
          </w:p>
        </w:tc>
        <w:tc>
          <w:tcPr>
            <w:tcW w:w="2693" w:type="dxa"/>
            <w:gridSpan w:val="2"/>
            <w:tcBorders>
              <w:bottom w:val="single" w:sz="4" w:space="0" w:color="auto"/>
            </w:tcBorders>
            <w:shd w:val="clear" w:color="auto" w:fill="auto"/>
          </w:tcPr>
          <w:p w14:paraId="3E982A6D"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w:t>
            </w:r>
          </w:p>
        </w:tc>
        <w:tc>
          <w:tcPr>
            <w:tcW w:w="1055" w:type="dxa"/>
            <w:tcBorders>
              <w:bottom w:val="single" w:sz="4" w:space="0" w:color="auto"/>
            </w:tcBorders>
            <w:shd w:val="clear" w:color="auto" w:fill="auto"/>
          </w:tcPr>
          <w:p w14:paraId="6EA07F85" w14:textId="77777777" w:rsidR="007805A7" w:rsidRPr="00942872" w:rsidRDefault="001A241F" w:rsidP="00A95F72">
            <w:pPr>
              <w:jc w:val="center"/>
              <w:rPr>
                <w:rFonts w:ascii="Arial Narrow" w:hAnsi="Arial Narrow"/>
                <w:sz w:val="20"/>
                <w:szCs w:val="20"/>
              </w:rPr>
            </w:pPr>
            <w:r w:rsidRPr="00942872">
              <w:rPr>
                <w:rFonts w:ascii="Arial Narrow" w:hAnsi="Arial Narrow"/>
                <w:sz w:val="20"/>
                <w:szCs w:val="20"/>
              </w:rPr>
              <w:t>0.89 [0.65, 1.22]</w:t>
            </w:r>
          </w:p>
        </w:tc>
        <w:tc>
          <w:tcPr>
            <w:tcW w:w="1101" w:type="dxa"/>
            <w:tcBorders>
              <w:bottom w:val="single" w:sz="4" w:space="0" w:color="auto"/>
            </w:tcBorders>
          </w:tcPr>
          <w:p w14:paraId="1E490F0C" w14:textId="77777777" w:rsidR="007805A7" w:rsidRPr="00942872" w:rsidRDefault="007805A7" w:rsidP="00A95F72">
            <w:pPr>
              <w:jc w:val="center"/>
              <w:rPr>
                <w:rFonts w:ascii="Arial Narrow" w:hAnsi="Arial Narrow"/>
                <w:sz w:val="20"/>
                <w:szCs w:val="20"/>
              </w:rPr>
            </w:pPr>
            <w:r w:rsidRPr="00942872">
              <w:rPr>
                <w:rFonts w:ascii="Arial Narrow" w:hAnsi="Arial Narrow"/>
                <w:sz w:val="20"/>
                <w:szCs w:val="20"/>
              </w:rPr>
              <w:t xml:space="preserve">0.88 </w:t>
            </w:r>
            <w:r w:rsidR="001A241F" w:rsidRPr="00942872">
              <w:rPr>
                <w:rFonts w:ascii="Arial Narrow" w:hAnsi="Arial Narrow"/>
                <w:sz w:val="20"/>
                <w:szCs w:val="20"/>
              </w:rPr>
              <w:t>[</w:t>
            </w:r>
            <w:r w:rsidRPr="00942872">
              <w:rPr>
                <w:rFonts w:ascii="Arial Narrow" w:hAnsi="Arial Narrow"/>
                <w:sz w:val="20"/>
                <w:szCs w:val="20"/>
              </w:rPr>
              <w:t>0.62, 1.24</w:t>
            </w:r>
            <w:r w:rsidR="001A241F" w:rsidRPr="00942872">
              <w:rPr>
                <w:rFonts w:ascii="Arial Narrow" w:hAnsi="Arial Narrow"/>
                <w:sz w:val="20"/>
                <w:szCs w:val="20"/>
              </w:rPr>
              <w:t>]</w:t>
            </w:r>
          </w:p>
        </w:tc>
        <w:tc>
          <w:tcPr>
            <w:tcW w:w="1246" w:type="dxa"/>
            <w:tcBorders>
              <w:bottom w:val="single" w:sz="4" w:space="0" w:color="auto"/>
            </w:tcBorders>
            <w:shd w:val="clear" w:color="auto" w:fill="auto"/>
          </w:tcPr>
          <w:p w14:paraId="73D31167" w14:textId="77777777" w:rsidR="007805A7" w:rsidRPr="00942872" w:rsidRDefault="007805A7" w:rsidP="00A95F72">
            <w:pPr>
              <w:jc w:val="center"/>
              <w:rPr>
                <w:rFonts w:ascii="Arial Narrow" w:hAnsi="Arial Narrow"/>
                <w:sz w:val="20"/>
                <w:szCs w:val="20"/>
              </w:rPr>
            </w:pPr>
            <w:r w:rsidRPr="00942872">
              <w:rPr>
                <w:rFonts w:ascii="Arial Narrow" w:hAnsi="Arial Narrow"/>
                <w:sz w:val="20"/>
                <w:szCs w:val="20"/>
              </w:rPr>
              <w:noBreakHyphen/>
              <w:t xml:space="preserve">0.01 </w:t>
            </w:r>
            <w:r w:rsidR="001A241F" w:rsidRPr="00942872">
              <w:rPr>
                <w:rFonts w:ascii="Arial Narrow" w:hAnsi="Arial Narrow"/>
                <w:sz w:val="20"/>
                <w:szCs w:val="20"/>
              </w:rPr>
              <w:t>[</w:t>
            </w:r>
            <w:r w:rsidR="001A241F" w:rsidRPr="00942872">
              <w:rPr>
                <w:rFonts w:ascii="Arial Narrow" w:hAnsi="Arial Narrow"/>
                <w:sz w:val="20"/>
                <w:szCs w:val="20"/>
              </w:rPr>
              <w:noBreakHyphen/>
              <w:t>0.04, 0.02]</w:t>
            </w:r>
          </w:p>
        </w:tc>
      </w:tr>
      <w:tr w:rsidR="007805A7" w:rsidRPr="00942872" w14:paraId="561A111D" w14:textId="77777777" w:rsidTr="00816960">
        <w:trPr>
          <w:trHeight w:val="274"/>
        </w:trPr>
        <w:tc>
          <w:tcPr>
            <w:tcW w:w="1696" w:type="dxa"/>
            <w:shd w:val="clear" w:color="auto" w:fill="D9D9D9" w:themeFill="background1" w:themeFillShade="D9"/>
          </w:tcPr>
          <w:p w14:paraId="1F9FF871"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 xml:space="preserve">ITC cemiplimab vs. pembrolizumab </w:t>
            </w:r>
          </w:p>
        </w:tc>
        <w:tc>
          <w:tcPr>
            <w:tcW w:w="1418" w:type="dxa"/>
            <w:shd w:val="clear" w:color="auto" w:fill="D9D9D9" w:themeFill="background1" w:themeFillShade="D9"/>
          </w:tcPr>
          <w:p w14:paraId="570ABC40" w14:textId="77777777" w:rsidR="007805A7" w:rsidRPr="00942872" w:rsidRDefault="007805A7" w:rsidP="00410064">
            <w:pPr>
              <w:ind w:right="-57"/>
              <w:jc w:val="left"/>
              <w:rPr>
                <w:rFonts w:ascii="Arial Narrow" w:hAnsi="Arial Narrow" w:cstheme="minorHAnsi"/>
                <w:bCs/>
                <w:sz w:val="20"/>
                <w:szCs w:val="20"/>
              </w:rPr>
            </w:pPr>
            <w:r w:rsidRPr="00942872">
              <w:rPr>
                <w:rFonts w:ascii="Arial Narrow" w:hAnsi="Arial Narrow" w:cstheme="minorHAnsi"/>
                <w:bCs/>
                <w:sz w:val="20"/>
                <w:szCs w:val="20"/>
              </w:rPr>
              <w:t>1624 vs. KN meta</w:t>
            </w:r>
            <w:r w:rsidRPr="00942872">
              <w:rPr>
                <w:rFonts w:ascii="Arial Narrow" w:hAnsi="Arial Narrow" w:cstheme="minorHAnsi"/>
                <w:bCs/>
                <w:sz w:val="20"/>
                <w:szCs w:val="20"/>
              </w:rPr>
              <w:noBreakHyphen/>
              <w:t>analysis</w:t>
            </w:r>
          </w:p>
        </w:tc>
        <w:tc>
          <w:tcPr>
            <w:tcW w:w="2693" w:type="dxa"/>
            <w:gridSpan w:val="2"/>
            <w:shd w:val="clear" w:color="auto" w:fill="D9D9D9" w:themeFill="background1" w:themeFillShade="D9"/>
          </w:tcPr>
          <w:p w14:paraId="51E4D2BE" w14:textId="77777777" w:rsidR="007805A7" w:rsidRPr="00942872" w:rsidRDefault="007805A7" w:rsidP="00A95F72">
            <w:pPr>
              <w:jc w:val="center"/>
              <w:rPr>
                <w:rFonts w:ascii="Arial Narrow" w:hAnsi="Arial Narrow" w:cstheme="minorHAnsi"/>
                <w:bCs/>
                <w:sz w:val="20"/>
                <w:szCs w:val="20"/>
                <w:highlight w:val="yellow"/>
              </w:rPr>
            </w:pPr>
            <w:r w:rsidRPr="00942872">
              <w:rPr>
                <w:rFonts w:ascii="Arial Narrow" w:hAnsi="Arial Narrow" w:cstheme="minorHAnsi"/>
                <w:sz w:val="20"/>
                <w:szCs w:val="20"/>
              </w:rPr>
              <w:t>–</w:t>
            </w:r>
          </w:p>
        </w:tc>
        <w:tc>
          <w:tcPr>
            <w:tcW w:w="1055" w:type="dxa"/>
            <w:shd w:val="clear" w:color="auto" w:fill="D9D9D9" w:themeFill="background1" w:themeFillShade="D9"/>
          </w:tcPr>
          <w:p w14:paraId="5275A7A7" w14:textId="77777777" w:rsidR="007805A7" w:rsidRPr="00942872" w:rsidRDefault="001A241F" w:rsidP="00A95F72">
            <w:pPr>
              <w:jc w:val="center"/>
              <w:rPr>
                <w:rFonts w:ascii="Arial Narrow" w:hAnsi="Arial Narrow" w:cstheme="minorHAnsi"/>
                <w:bCs/>
                <w:sz w:val="20"/>
                <w:szCs w:val="20"/>
                <w:highlight w:val="yellow"/>
              </w:rPr>
            </w:pPr>
            <w:r w:rsidRPr="00942872">
              <w:rPr>
                <w:rFonts w:ascii="Arial Narrow" w:hAnsi="Arial Narrow"/>
                <w:bCs/>
                <w:sz w:val="20"/>
                <w:szCs w:val="20"/>
              </w:rPr>
              <w:t>1.62 [0.74, 3.55]</w:t>
            </w:r>
          </w:p>
        </w:tc>
        <w:tc>
          <w:tcPr>
            <w:tcW w:w="1101" w:type="dxa"/>
            <w:shd w:val="clear" w:color="auto" w:fill="D9D9D9" w:themeFill="background1" w:themeFillShade="D9"/>
          </w:tcPr>
          <w:p w14:paraId="06AD8957" w14:textId="77777777" w:rsidR="007805A7" w:rsidRPr="00942872" w:rsidRDefault="007805A7" w:rsidP="00A95F72">
            <w:pPr>
              <w:jc w:val="center"/>
              <w:rPr>
                <w:rFonts w:ascii="Arial Narrow" w:hAnsi="Arial Narrow" w:cstheme="minorHAnsi"/>
                <w:bCs/>
                <w:sz w:val="20"/>
                <w:szCs w:val="20"/>
                <w:highlight w:val="yellow"/>
              </w:rPr>
            </w:pPr>
            <w:r w:rsidRPr="00942872">
              <w:rPr>
                <w:rFonts w:ascii="Arial Narrow" w:hAnsi="Arial Narrow"/>
                <w:bCs/>
                <w:sz w:val="20"/>
                <w:szCs w:val="20"/>
              </w:rPr>
              <w:t xml:space="preserve">1.67 </w:t>
            </w:r>
            <w:r w:rsidR="001A241F" w:rsidRPr="00942872">
              <w:rPr>
                <w:rFonts w:ascii="Arial Narrow" w:hAnsi="Arial Narrow"/>
                <w:bCs/>
                <w:sz w:val="20"/>
                <w:szCs w:val="20"/>
              </w:rPr>
              <w:t>[</w:t>
            </w:r>
            <w:r w:rsidRPr="00942872">
              <w:rPr>
                <w:rFonts w:ascii="Arial Narrow" w:hAnsi="Arial Narrow"/>
                <w:bCs/>
                <w:sz w:val="20"/>
                <w:szCs w:val="20"/>
              </w:rPr>
              <w:t>0.73, 3.80</w:t>
            </w:r>
            <w:r w:rsidR="001A241F" w:rsidRPr="00942872">
              <w:rPr>
                <w:rFonts w:ascii="Arial Narrow" w:hAnsi="Arial Narrow"/>
                <w:bCs/>
                <w:sz w:val="20"/>
                <w:szCs w:val="20"/>
              </w:rPr>
              <w:t>]</w:t>
            </w:r>
          </w:p>
        </w:tc>
        <w:tc>
          <w:tcPr>
            <w:tcW w:w="1246" w:type="dxa"/>
            <w:shd w:val="clear" w:color="auto" w:fill="D9D9D9" w:themeFill="background1" w:themeFillShade="D9"/>
          </w:tcPr>
          <w:p w14:paraId="4A7A6FA6" w14:textId="77777777" w:rsidR="007805A7" w:rsidRPr="00942872" w:rsidRDefault="007805A7" w:rsidP="00A95F72">
            <w:pPr>
              <w:jc w:val="center"/>
              <w:rPr>
                <w:rFonts w:ascii="Arial Narrow" w:hAnsi="Arial Narrow" w:cstheme="minorHAnsi"/>
                <w:bCs/>
                <w:sz w:val="20"/>
                <w:szCs w:val="20"/>
                <w:highlight w:val="yellow"/>
              </w:rPr>
            </w:pPr>
            <w:r w:rsidRPr="00942872">
              <w:rPr>
                <w:rFonts w:ascii="Arial Narrow" w:hAnsi="Arial Narrow"/>
                <w:bCs/>
                <w:sz w:val="20"/>
                <w:szCs w:val="20"/>
              </w:rPr>
              <w:t xml:space="preserve">0.03 </w:t>
            </w:r>
            <w:r w:rsidR="001A241F" w:rsidRPr="00942872">
              <w:rPr>
                <w:rFonts w:ascii="Arial Narrow" w:hAnsi="Arial Narrow"/>
                <w:bCs/>
                <w:sz w:val="20"/>
                <w:szCs w:val="20"/>
              </w:rPr>
              <w:t>[</w:t>
            </w:r>
            <w:r w:rsidR="001A241F" w:rsidRPr="00942872">
              <w:rPr>
                <w:rFonts w:ascii="Arial Narrow" w:hAnsi="Arial Narrow"/>
                <w:bCs/>
                <w:sz w:val="20"/>
                <w:szCs w:val="20"/>
              </w:rPr>
              <w:noBreakHyphen/>
              <w:t>0.02, 0.07]</w:t>
            </w:r>
          </w:p>
        </w:tc>
      </w:tr>
      <w:tr w:rsidR="007805A7" w:rsidRPr="00942872" w14:paraId="082C1C22" w14:textId="77777777" w:rsidTr="00816960">
        <w:trPr>
          <w:trHeight w:val="54"/>
        </w:trPr>
        <w:tc>
          <w:tcPr>
            <w:tcW w:w="9209" w:type="dxa"/>
            <w:gridSpan w:val="7"/>
          </w:tcPr>
          <w:p w14:paraId="410F6F42" w14:textId="77777777" w:rsidR="007805A7" w:rsidRPr="00942872" w:rsidRDefault="007805A7" w:rsidP="00A95F72">
            <w:pPr>
              <w:rPr>
                <w:rFonts w:ascii="Arial Narrow" w:hAnsi="Arial Narrow" w:cstheme="minorHAnsi"/>
                <w:b/>
                <w:sz w:val="20"/>
                <w:szCs w:val="20"/>
              </w:rPr>
            </w:pPr>
            <w:r w:rsidRPr="00942872">
              <w:rPr>
                <w:rFonts w:ascii="Arial Narrow" w:hAnsi="Arial Narrow" w:cstheme="minorHAnsi"/>
                <w:b/>
                <w:sz w:val="20"/>
                <w:szCs w:val="20"/>
              </w:rPr>
              <w:t>Treatment-related adverse events leading to death</w:t>
            </w:r>
          </w:p>
        </w:tc>
      </w:tr>
      <w:tr w:rsidR="007805A7" w:rsidRPr="00942872" w14:paraId="4D09F294" w14:textId="77777777" w:rsidTr="00816960">
        <w:trPr>
          <w:trHeight w:val="443"/>
        </w:trPr>
        <w:tc>
          <w:tcPr>
            <w:tcW w:w="1696" w:type="dxa"/>
          </w:tcPr>
          <w:p w14:paraId="1F400012"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Cemiplimab vs. chemotherapy</w:t>
            </w:r>
          </w:p>
        </w:tc>
        <w:tc>
          <w:tcPr>
            <w:tcW w:w="1418" w:type="dxa"/>
            <w:shd w:val="clear" w:color="auto" w:fill="auto"/>
          </w:tcPr>
          <w:p w14:paraId="754F8375"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1624</w:t>
            </w:r>
          </w:p>
        </w:tc>
        <w:tc>
          <w:tcPr>
            <w:tcW w:w="1396" w:type="dxa"/>
            <w:shd w:val="clear" w:color="auto" w:fill="auto"/>
          </w:tcPr>
          <w:p w14:paraId="0673264E"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9/355 </w:t>
            </w:r>
            <w:r w:rsidRPr="00942872">
              <w:rPr>
                <w:rFonts w:ascii="Arial Narrow" w:hAnsi="Arial Narrow" w:cstheme="minorHAnsi"/>
                <w:sz w:val="20"/>
                <w:szCs w:val="20"/>
              </w:rPr>
              <w:br/>
              <w:t>(2.5%)</w:t>
            </w:r>
          </w:p>
        </w:tc>
        <w:tc>
          <w:tcPr>
            <w:tcW w:w="1297" w:type="dxa"/>
            <w:shd w:val="clear" w:color="auto" w:fill="auto"/>
          </w:tcPr>
          <w:p w14:paraId="0A912920"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7/342 </w:t>
            </w:r>
            <w:r w:rsidRPr="00942872">
              <w:rPr>
                <w:rFonts w:ascii="Arial Narrow" w:hAnsi="Arial Narrow" w:cstheme="minorHAnsi"/>
                <w:sz w:val="20"/>
                <w:szCs w:val="20"/>
              </w:rPr>
              <w:br/>
              <w:t>(2.0%)</w:t>
            </w:r>
          </w:p>
        </w:tc>
        <w:tc>
          <w:tcPr>
            <w:tcW w:w="1055" w:type="dxa"/>
            <w:shd w:val="clear" w:color="auto" w:fill="auto"/>
          </w:tcPr>
          <w:p w14:paraId="7DE3593C"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1.24 </w:t>
            </w:r>
            <w:r w:rsidR="001A241F" w:rsidRPr="00942872">
              <w:rPr>
                <w:rFonts w:ascii="Arial Narrow" w:hAnsi="Arial Narrow" w:cstheme="minorHAnsi"/>
                <w:sz w:val="20"/>
                <w:szCs w:val="20"/>
              </w:rPr>
              <w:t>[</w:t>
            </w:r>
            <w:r w:rsidRPr="00942872">
              <w:rPr>
                <w:rFonts w:ascii="Arial Narrow" w:hAnsi="Arial Narrow" w:cstheme="minorHAnsi"/>
                <w:sz w:val="20"/>
                <w:szCs w:val="20"/>
              </w:rPr>
              <w:t>0.47, 3.29</w:t>
            </w:r>
            <w:r w:rsidR="001A241F" w:rsidRPr="00942872">
              <w:rPr>
                <w:rFonts w:ascii="Arial Narrow" w:hAnsi="Arial Narrow" w:cstheme="minorHAnsi"/>
                <w:sz w:val="20"/>
                <w:szCs w:val="20"/>
              </w:rPr>
              <w:t>]</w:t>
            </w:r>
          </w:p>
        </w:tc>
        <w:tc>
          <w:tcPr>
            <w:tcW w:w="1101" w:type="dxa"/>
          </w:tcPr>
          <w:p w14:paraId="15E33DDF"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1.24 </w:t>
            </w:r>
            <w:r w:rsidR="001A241F" w:rsidRPr="00942872">
              <w:rPr>
                <w:rFonts w:ascii="Arial Narrow" w:hAnsi="Arial Narrow" w:cstheme="minorHAnsi"/>
                <w:sz w:val="20"/>
                <w:szCs w:val="20"/>
              </w:rPr>
              <w:t>[</w:t>
            </w:r>
            <w:r w:rsidRPr="00942872">
              <w:rPr>
                <w:rFonts w:ascii="Arial Narrow" w:hAnsi="Arial Narrow" w:cstheme="minorHAnsi"/>
                <w:sz w:val="20"/>
                <w:szCs w:val="20"/>
              </w:rPr>
              <w:t>0.46, 3.38</w:t>
            </w:r>
            <w:r w:rsidR="001A241F" w:rsidRPr="00942872">
              <w:rPr>
                <w:rFonts w:ascii="Arial Narrow" w:hAnsi="Arial Narrow" w:cstheme="minorHAnsi"/>
                <w:sz w:val="20"/>
                <w:szCs w:val="20"/>
              </w:rPr>
              <w:t>]</w:t>
            </w:r>
          </w:p>
        </w:tc>
        <w:tc>
          <w:tcPr>
            <w:tcW w:w="1246" w:type="dxa"/>
            <w:shd w:val="clear" w:color="auto" w:fill="auto"/>
          </w:tcPr>
          <w:p w14:paraId="49C95D37"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0.00 </w:t>
            </w:r>
            <w:r w:rsidR="001A241F" w:rsidRPr="00942872">
              <w:rPr>
                <w:rFonts w:ascii="Arial Narrow" w:hAnsi="Arial Narrow" w:cstheme="minorHAnsi"/>
                <w:sz w:val="20"/>
                <w:szCs w:val="20"/>
              </w:rPr>
              <w:t>[</w:t>
            </w:r>
            <w:r w:rsidRPr="00942872">
              <w:rPr>
                <w:rFonts w:ascii="Arial Narrow" w:hAnsi="Arial Narrow" w:cstheme="minorHAnsi"/>
                <w:sz w:val="20"/>
                <w:szCs w:val="20"/>
              </w:rPr>
              <w:noBreakHyphen/>
              <w:t>0.02, </w:t>
            </w:r>
            <w:r w:rsidRPr="00942872">
              <w:rPr>
                <w:rFonts w:ascii="Arial Narrow" w:hAnsi="Arial Narrow" w:cstheme="minorHAnsi"/>
                <w:sz w:val="20"/>
                <w:szCs w:val="20"/>
              </w:rPr>
              <w:noBreakHyphen/>
            </w:r>
            <w:r w:rsidR="001A241F" w:rsidRPr="00942872">
              <w:rPr>
                <w:rFonts w:ascii="Arial Narrow" w:hAnsi="Arial Narrow" w:cstheme="minorHAnsi"/>
                <w:sz w:val="20"/>
                <w:szCs w:val="20"/>
              </w:rPr>
              <w:t>0.03]</w:t>
            </w:r>
          </w:p>
        </w:tc>
      </w:tr>
      <w:tr w:rsidR="007805A7" w:rsidRPr="00942872" w14:paraId="5BF51694" w14:textId="77777777" w:rsidTr="00816960">
        <w:tc>
          <w:tcPr>
            <w:tcW w:w="1696" w:type="dxa"/>
            <w:vMerge w:val="restart"/>
          </w:tcPr>
          <w:p w14:paraId="11ABEB50"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Pembrolizumab vs. chemotherapy</w:t>
            </w:r>
          </w:p>
        </w:tc>
        <w:tc>
          <w:tcPr>
            <w:tcW w:w="1418" w:type="dxa"/>
            <w:shd w:val="clear" w:color="auto" w:fill="auto"/>
          </w:tcPr>
          <w:p w14:paraId="0B6F23D9" w14:textId="77777777" w:rsidR="007805A7" w:rsidRPr="00942872" w:rsidRDefault="004C46D9" w:rsidP="00A95F72">
            <w:pPr>
              <w:jc w:val="left"/>
              <w:rPr>
                <w:rFonts w:ascii="Arial Narrow" w:hAnsi="Arial Narrow" w:cstheme="minorHAnsi"/>
                <w:sz w:val="20"/>
                <w:szCs w:val="20"/>
              </w:rPr>
            </w:pPr>
            <w:r w:rsidRPr="00942872">
              <w:rPr>
                <w:rFonts w:ascii="Arial Narrow" w:hAnsi="Arial Narrow" w:cstheme="minorHAnsi"/>
                <w:sz w:val="20"/>
                <w:szCs w:val="20"/>
              </w:rPr>
              <w:t>KN024</w:t>
            </w:r>
          </w:p>
        </w:tc>
        <w:tc>
          <w:tcPr>
            <w:tcW w:w="1396" w:type="dxa"/>
            <w:shd w:val="clear" w:color="auto" w:fill="auto"/>
          </w:tcPr>
          <w:p w14:paraId="41BEEFC2"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1/154 </w:t>
            </w:r>
            <w:r w:rsidRPr="00942872">
              <w:rPr>
                <w:rFonts w:ascii="Arial Narrow" w:hAnsi="Arial Narrow"/>
                <w:sz w:val="20"/>
                <w:szCs w:val="20"/>
              </w:rPr>
              <w:br/>
              <w:t>(0.6%)</w:t>
            </w:r>
          </w:p>
        </w:tc>
        <w:tc>
          <w:tcPr>
            <w:tcW w:w="1297" w:type="dxa"/>
            <w:shd w:val="clear" w:color="auto" w:fill="auto"/>
          </w:tcPr>
          <w:p w14:paraId="5500BA98"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3/150 </w:t>
            </w:r>
            <w:r w:rsidRPr="00942872">
              <w:rPr>
                <w:rFonts w:ascii="Arial Narrow" w:hAnsi="Arial Narrow"/>
                <w:sz w:val="20"/>
                <w:szCs w:val="20"/>
              </w:rPr>
              <w:br/>
              <w:t>(2.0%)</w:t>
            </w:r>
          </w:p>
        </w:tc>
        <w:tc>
          <w:tcPr>
            <w:tcW w:w="1055" w:type="dxa"/>
            <w:shd w:val="clear" w:color="auto" w:fill="auto"/>
          </w:tcPr>
          <w:p w14:paraId="1803403F"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0.32 </w:t>
            </w:r>
            <w:r w:rsidR="001A241F" w:rsidRPr="00942872">
              <w:rPr>
                <w:rFonts w:ascii="Arial Narrow" w:hAnsi="Arial Narrow"/>
                <w:sz w:val="20"/>
                <w:szCs w:val="20"/>
              </w:rPr>
              <w:t>[</w:t>
            </w:r>
            <w:r w:rsidRPr="00942872">
              <w:rPr>
                <w:rFonts w:ascii="Arial Narrow" w:hAnsi="Arial Narrow"/>
                <w:sz w:val="20"/>
                <w:szCs w:val="20"/>
              </w:rPr>
              <w:t>0.03, 3.09</w:t>
            </w:r>
            <w:r w:rsidR="001A241F" w:rsidRPr="00942872">
              <w:rPr>
                <w:rFonts w:ascii="Arial Narrow" w:hAnsi="Arial Narrow"/>
                <w:sz w:val="20"/>
                <w:szCs w:val="20"/>
              </w:rPr>
              <w:t>]</w:t>
            </w:r>
          </w:p>
        </w:tc>
        <w:tc>
          <w:tcPr>
            <w:tcW w:w="1101" w:type="dxa"/>
          </w:tcPr>
          <w:p w14:paraId="4FC4815C"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0.32 </w:t>
            </w:r>
            <w:r w:rsidR="001A241F" w:rsidRPr="00942872">
              <w:rPr>
                <w:rFonts w:ascii="Arial Narrow" w:hAnsi="Arial Narrow"/>
                <w:sz w:val="20"/>
                <w:szCs w:val="20"/>
              </w:rPr>
              <w:t>[</w:t>
            </w:r>
            <w:r w:rsidRPr="00942872">
              <w:rPr>
                <w:rFonts w:ascii="Arial Narrow" w:hAnsi="Arial Narrow"/>
                <w:sz w:val="20"/>
                <w:szCs w:val="20"/>
              </w:rPr>
              <w:t>0.03, 3.11</w:t>
            </w:r>
            <w:r w:rsidR="001A241F" w:rsidRPr="00942872">
              <w:rPr>
                <w:rFonts w:ascii="Arial Narrow" w:hAnsi="Arial Narrow"/>
                <w:sz w:val="20"/>
                <w:szCs w:val="20"/>
              </w:rPr>
              <w:t>]</w:t>
            </w:r>
          </w:p>
        </w:tc>
        <w:tc>
          <w:tcPr>
            <w:tcW w:w="1246" w:type="dxa"/>
            <w:shd w:val="clear" w:color="auto" w:fill="auto"/>
          </w:tcPr>
          <w:p w14:paraId="40A38368"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noBreakHyphen/>
              <w:t xml:space="preserve">0.01 </w:t>
            </w:r>
            <w:r w:rsidR="001A241F" w:rsidRPr="00942872">
              <w:rPr>
                <w:rFonts w:ascii="Arial Narrow" w:hAnsi="Arial Narrow"/>
                <w:sz w:val="20"/>
                <w:szCs w:val="20"/>
              </w:rPr>
              <w:t>[</w:t>
            </w:r>
            <w:r w:rsidR="001A241F" w:rsidRPr="00942872">
              <w:rPr>
                <w:rFonts w:ascii="Arial Narrow" w:hAnsi="Arial Narrow"/>
                <w:sz w:val="20"/>
                <w:szCs w:val="20"/>
              </w:rPr>
              <w:noBreakHyphen/>
              <w:t>0.04, 0.01]</w:t>
            </w:r>
          </w:p>
        </w:tc>
      </w:tr>
      <w:tr w:rsidR="007805A7" w:rsidRPr="00942872" w14:paraId="544C495B" w14:textId="77777777" w:rsidTr="00816960">
        <w:tc>
          <w:tcPr>
            <w:tcW w:w="1696" w:type="dxa"/>
            <w:vMerge/>
          </w:tcPr>
          <w:p w14:paraId="647017E3" w14:textId="77777777" w:rsidR="007805A7" w:rsidRPr="00942872" w:rsidRDefault="007805A7" w:rsidP="00A95F72">
            <w:pPr>
              <w:jc w:val="left"/>
              <w:rPr>
                <w:rFonts w:ascii="Arial Narrow" w:hAnsi="Arial Narrow" w:cstheme="minorHAnsi"/>
                <w:sz w:val="20"/>
                <w:szCs w:val="20"/>
              </w:rPr>
            </w:pPr>
          </w:p>
        </w:tc>
        <w:tc>
          <w:tcPr>
            <w:tcW w:w="1418" w:type="dxa"/>
            <w:shd w:val="clear" w:color="auto" w:fill="auto"/>
          </w:tcPr>
          <w:p w14:paraId="3B513D6D" w14:textId="77777777" w:rsidR="007805A7" w:rsidRPr="00942872" w:rsidRDefault="004C46D9" w:rsidP="00A95F72">
            <w:pPr>
              <w:jc w:val="left"/>
              <w:rPr>
                <w:rFonts w:ascii="Arial Narrow" w:hAnsi="Arial Narrow" w:cstheme="minorHAnsi"/>
                <w:sz w:val="20"/>
                <w:szCs w:val="20"/>
              </w:rPr>
            </w:pPr>
            <w:r w:rsidRPr="00942872">
              <w:rPr>
                <w:rFonts w:ascii="Arial Narrow" w:hAnsi="Arial Narrow" w:cstheme="minorHAnsi"/>
                <w:sz w:val="20"/>
                <w:szCs w:val="20"/>
              </w:rPr>
              <w:t>KN042</w:t>
            </w:r>
          </w:p>
        </w:tc>
        <w:tc>
          <w:tcPr>
            <w:tcW w:w="1396" w:type="dxa"/>
            <w:shd w:val="clear" w:color="auto" w:fill="auto"/>
          </w:tcPr>
          <w:p w14:paraId="36AE4FE5"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13/636 </w:t>
            </w:r>
            <w:r w:rsidRPr="00942872">
              <w:rPr>
                <w:rFonts w:ascii="Arial Narrow" w:hAnsi="Arial Narrow"/>
                <w:sz w:val="20"/>
                <w:szCs w:val="20"/>
              </w:rPr>
              <w:br/>
              <w:t>(2.0%)</w:t>
            </w:r>
          </w:p>
        </w:tc>
        <w:tc>
          <w:tcPr>
            <w:tcW w:w="1297" w:type="dxa"/>
            <w:shd w:val="clear" w:color="auto" w:fill="auto"/>
          </w:tcPr>
          <w:p w14:paraId="583BE11A"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14/615 </w:t>
            </w:r>
            <w:r w:rsidRPr="00942872">
              <w:rPr>
                <w:rFonts w:ascii="Arial Narrow" w:hAnsi="Arial Narrow"/>
                <w:sz w:val="20"/>
                <w:szCs w:val="20"/>
              </w:rPr>
              <w:br/>
              <w:t>(2.3%)</w:t>
            </w:r>
          </w:p>
        </w:tc>
        <w:tc>
          <w:tcPr>
            <w:tcW w:w="1055" w:type="dxa"/>
            <w:shd w:val="clear" w:color="auto" w:fill="auto"/>
          </w:tcPr>
          <w:p w14:paraId="0C378547"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0.90 </w:t>
            </w:r>
            <w:r w:rsidR="001A241F" w:rsidRPr="00942872">
              <w:rPr>
                <w:rFonts w:ascii="Arial Narrow" w:hAnsi="Arial Narrow"/>
                <w:sz w:val="20"/>
                <w:szCs w:val="20"/>
              </w:rPr>
              <w:t>[</w:t>
            </w:r>
            <w:r w:rsidRPr="00942872">
              <w:rPr>
                <w:rFonts w:ascii="Arial Narrow" w:hAnsi="Arial Narrow"/>
                <w:sz w:val="20"/>
                <w:szCs w:val="20"/>
              </w:rPr>
              <w:t>0.43, 1.89</w:t>
            </w:r>
            <w:r w:rsidR="001A241F" w:rsidRPr="00942872">
              <w:rPr>
                <w:rFonts w:ascii="Arial Narrow" w:hAnsi="Arial Narrow"/>
                <w:sz w:val="20"/>
                <w:szCs w:val="20"/>
              </w:rPr>
              <w:t>]</w:t>
            </w:r>
          </w:p>
        </w:tc>
        <w:tc>
          <w:tcPr>
            <w:tcW w:w="1101" w:type="dxa"/>
          </w:tcPr>
          <w:p w14:paraId="4900BEAC"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0.90 </w:t>
            </w:r>
            <w:r w:rsidR="001A241F" w:rsidRPr="00942872">
              <w:rPr>
                <w:rFonts w:ascii="Arial Narrow" w:hAnsi="Arial Narrow"/>
                <w:sz w:val="20"/>
                <w:szCs w:val="20"/>
              </w:rPr>
              <w:t>[</w:t>
            </w:r>
            <w:r w:rsidRPr="00942872">
              <w:rPr>
                <w:rFonts w:ascii="Arial Narrow" w:hAnsi="Arial Narrow"/>
                <w:sz w:val="20"/>
                <w:szCs w:val="20"/>
              </w:rPr>
              <w:t>0.42, 1.92</w:t>
            </w:r>
            <w:r w:rsidR="001A241F" w:rsidRPr="00942872">
              <w:rPr>
                <w:rFonts w:ascii="Arial Narrow" w:hAnsi="Arial Narrow"/>
                <w:sz w:val="20"/>
                <w:szCs w:val="20"/>
              </w:rPr>
              <w:t>]</w:t>
            </w:r>
          </w:p>
        </w:tc>
        <w:tc>
          <w:tcPr>
            <w:tcW w:w="1246" w:type="dxa"/>
            <w:shd w:val="clear" w:color="auto" w:fill="auto"/>
          </w:tcPr>
          <w:p w14:paraId="3C9FAA12"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sz w:val="20"/>
                <w:szCs w:val="20"/>
              </w:rPr>
              <w:t xml:space="preserve">0.00 </w:t>
            </w:r>
            <w:r w:rsidR="001A241F" w:rsidRPr="00942872">
              <w:rPr>
                <w:rFonts w:ascii="Arial Narrow" w:hAnsi="Arial Narrow"/>
                <w:sz w:val="20"/>
                <w:szCs w:val="20"/>
              </w:rPr>
              <w:t>[</w:t>
            </w:r>
            <w:r w:rsidR="001A241F" w:rsidRPr="00942872">
              <w:rPr>
                <w:rFonts w:ascii="Arial Narrow" w:hAnsi="Arial Narrow"/>
                <w:sz w:val="20"/>
                <w:szCs w:val="20"/>
              </w:rPr>
              <w:noBreakHyphen/>
              <w:t>0.02, 0.01]</w:t>
            </w:r>
          </w:p>
        </w:tc>
      </w:tr>
      <w:tr w:rsidR="007805A7" w:rsidRPr="00942872" w14:paraId="64CB2862" w14:textId="77777777" w:rsidTr="00816960">
        <w:trPr>
          <w:trHeight w:val="185"/>
        </w:trPr>
        <w:tc>
          <w:tcPr>
            <w:tcW w:w="1696" w:type="dxa"/>
            <w:vMerge/>
            <w:tcBorders>
              <w:bottom w:val="single" w:sz="4" w:space="0" w:color="auto"/>
            </w:tcBorders>
          </w:tcPr>
          <w:p w14:paraId="0DA71994" w14:textId="77777777" w:rsidR="007805A7" w:rsidRPr="00942872" w:rsidRDefault="007805A7" w:rsidP="00A95F72">
            <w:pPr>
              <w:jc w:val="left"/>
              <w:rPr>
                <w:rFonts w:ascii="Arial Narrow" w:hAnsi="Arial Narrow" w:cstheme="minorHAnsi"/>
                <w:sz w:val="20"/>
                <w:szCs w:val="20"/>
              </w:rPr>
            </w:pPr>
          </w:p>
        </w:tc>
        <w:tc>
          <w:tcPr>
            <w:tcW w:w="1418" w:type="dxa"/>
            <w:tcBorders>
              <w:bottom w:val="single" w:sz="4" w:space="0" w:color="auto"/>
            </w:tcBorders>
            <w:shd w:val="clear" w:color="auto" w:fill="auto"/>
          </w:tcPr>
          <w:p w14:paraId="5E8CFD5C" w14:textId="77777777" w:rsidR="007805A7" w:rsidRPr="00942872" w:rsidRDefault="007805A7" w:rsidP="00A95F72">
            <w:pPr>
              <w:jc w:val="left"/>
              <w:rPr>
                <w:rFonts w:ascii="Arial Narrow" w:hAnsi="Arial Narrow" w:cstheme="minorHAnsi"/>
                <w:sz w:val="20"/>
                <w:szCs w:val="20"/>
                <w:vertAlign w:val="superscript"/>
              </w:rPr>
            </w:pPr>
            <w:r w:rsidRPr="00942872">
              <w:rPr>
                <w:rFonts w:ascii="Arial Narrow" w:hAnsi="Arial Narrow" w:cstheme="minorHAnsi"/>
                <w:sz w:val="20"/>
                <w:szCs w:val="20"/>
              </w:rPr>
              <w:t xml:space="preserve">KN meta-analysis, </w:t>
            </w:r>
            <w:r w:rsidRPr="00942872">
              <w:rPr>
                <w:rFonts w:ascii="Arial Narrow" w:hAnsi="Arial Narrow" w:cstheme="minorHAnsi"/>
                <w:iCs/>
                <w:sz w:val="20"/>
                <w:szCs w:val="20"/>
              </w:rPr>
              <w:t>k</w:t>
            </w:r>
            <w:r w:rsidRPr="00942872">
              <w:rPr>
                <w:rFonts w:ascii="Arial Narrow" w:hAnsi="Arial Narrow" w:cstheme="minorHAnsi"/>
                <w:sz w:val="20"/>
                <w:szCs w:val="20"/>
              </w:rPr>
              <w:t> = 2</w:t>
            </w:r>
          </w:p>
        </w:tc>
        <w:tc>
          <w:tcPr>
            <w:tcW w:w="2693" w:type="dxa"/>
            <w:gridSpan w:val="2"/>
            <w:tcBorders>
              <w:bottom w:val="single" w:sz="4" w:space="0" w:color="auto"/>
            </w:tcBorders>
            <w:shd w:val="clear" w:color="auto" w:fill="auto"/>
          </w:tcPr>
          <w:p w14:paraId="61E08DE8"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w:t>
            </w:r>
          </w:p>
        </w:tc>
        <w:tc>
          <w:tcPr>
            <w:tcW w:w="1055" w:type="dxa"/>
            <w:tcBorders>
              <w:bottom w:val="single" w:sz="4" w:space="0" w:color="auto"/>
            </w:tcBorders>
            <w:shd w:val="clear" w:color="auto" w:fill="auto"/>
          </w:tcPr>
          <w:p w14:paraId="7EB0F52A" w14:textId="77777777" w:rsidR="007805A7" w:rsidRPr="00942872" w:rsidRDefault="007805A7" w:rsidP="00A95F72">
            <w:pPr>
              <w:jc w:val="center"/>
              <w:rPr>
                <w:rFonts w:ascii="Arial Narrow" w:hAnsi="Arial Narrow"/>
                <w:sz w:val="20"/>
                <w:szCs w:val="20"/>
              </w:rPr>
            </w:pPr>
            <w:r w:rsidRPr="00942872">
              <w:rPr>
                <w:rFonts w:ascii="Arial Narrow" w:hAnsi="Arial Narrow"/>
                <w:bCs/>
                <w:sz w:val="20"/>
                <w:szCs w:val="20"/>
              </w:rPr>
              <w:t xml:space="preserve">0.81 </w:t>
            </w:r>
            <w:r w:rsidR="001A241F" w:rsidRPr="00942872">
              <w:rPr>
                <w:rFonts w:ascii="Arial Narrow" w:hAnsi="Arial Narrow"/>
                <w:bCs/>
                <w:sz w:val="20"/>
                <w:szCs w:val="20"/>
              </w:rPr>
              <w:t>[</w:t>
            </w:r>
            <w:r w:rsidRPr="00942872">
              <w:rPr>
                <w:rFonts w:ascii="Arial Narrow" w:hAnsi="Arial Narrow"/>
                <w:bCs/>
                <w:sz w:val="20"/>
                <w:szCs w:val="20"/>
              </w:rPr>
              <w:t>0.40, 1.65</w:t>
            </w:r>
            <w:r w:rsidR="001A241F" w:rsidRPr="00942872">
              <w:rPr>
                <w:rFonts w:ascii="Arial Narrow" w:hAnsi="Arial Narrow"/>
                <w:bCs/>
                <w:sz w:val="20"/>
                <w:szCs w:val="20"/>
              </w:rPr>
              <w:t>]</w:t>
            </w:r>
          </w:p>
        </w:tc>
        <w:tc>
          <w:tcPr>
            <w:tcW w:w="1101" w:type="dxa"/>
            <w:tcBorders>
              <w:bottom w:val="single" w:sz="4" w:space="0" w:color="auto"/>
            </w:tcBorders>
          </w:tcPr>
          <w:p w14:paraId="65BA3E12" w14:textId="77777777" w:rsidR="007805A7" w:rsidRPr="00942872" w:rsidRDefault="007805A7" w:rsidP="00A95F72">
            <w:pPr>
              <w:jc w:val="center"/>
              <w:rPr>
                <w:rFonts w:ascii="Arial Narrow" w:hAnsi="Arial Narrow"/>
                <w:sz w:val="20"/>
                <w:szCs w:val="20"/>
              </w:rPr>
            </w:pPr>
            <w:r w:rsidRPr="00942872">
              <w:rPr>
                <w:rFonts w:ascii="Arial Narrow" w:hAnsi="Arial Narrow"/>
                <w:bCs/>
                <w:sz w:val="20"/>
                <w:szCs w:val="20"/>
              </w:rPr>
              <w:t xml:space="preserve">0.81 </w:t>
            </w:r>
            <w:r w:rsidR="001A241F" w:rsidRPr="00942872">
              <w:rPr>
                <w:rFonts w:ascii="Arial Narrow" w:hAnsi="Arial Narrow"/>
                <w:bCs/>
                <w:sz w:val="20"/>
                <w:szCs w:val="20"/>
              </w:rPr>
              <w:t>[</w:t>
            </w:r>
            <w:r w:rsidRPr="00942872">
              <w:rPr>
                <w:rFonts w:ascii="Arial Narrow" w:hAnsi="Arial Narrow"/>
                <w:bCs/>
                <w:sz w:val="20"/>
                <w:szCs w:val="20"/>
              </w:rPr>
              <w:t>0.39, 1.66</w:t>
            </w:r>
            <w:r w:rsidR="001A241F" w:rsidRPr="00942872">
              <w:rPr>
                <w:rFonts w:ascii="Arial Narrow" w:hAnsi="Arial Narrow"/>
                <w:bCs/>
                <w:sz w:val="20"/>
                <w:szCs w:val="20"/>
              </w:rPr>
              <w:t>]</w:t>
            </w:r>
          </w:p>
        </w:tc>
        <w:tc>
          <w:tcPr>
            <w:tcW w:w="1246" w:type="dxa"/>
            <w:tcBorders>
              <w:bottom w:val="single" w:sz="4" w:space="0" w:color="auto"/>
            </w:tcBorders>
            <w:shd w:val="clear" w:color="auto" w:fill="auto"/>
          </w:tcPr>
          <w:p w14:paraId="34EC3572" w14:textId="77777777" w:rsidR="007805A7" w:rsidRPr="00942872" w:rsidRDefault="007805A7" w:rsidP="00A95F72">
            <w:pPr>
              <w:jc w:val="center"/>
              <w:rPr>
                <w:rFonts w:ascii="Arial Narrow" w:hAnsi="Arial Narrow"/>
                <w:sz w:val="20"/>
                <w:szCs w:val="20"/>
              </w:rPr>
            </w:pPr>
            <w:r w:rsidRPr="00942872">
              <w:rPr>
                <w:rFonts w:ascii="Arial Narrow" w:hAnsi="Arial Narrow"/>
                <w:bCs/>
                <w:sz w:val="20"/>
                <w:szCs w:val="20"/>
              </w:rPr>
              <w:noBreakHyphen/>
              <w:t xml:space="preserve">0.01 </w:t>
            </w:r>
            <w:r w:rsidR="001A241F" w:rsidRPr="00942872">
              <w:rPr>
                <w:rFonts w:ascii="Arial Narrow" w:hAnsi="Arial Narrow"/>
                <w:bCs/>
                <w:sz w:val="20"/>
                <w:szCs w:val="20"/>
              </w:rPr>
              <w:t>[</w:t>
            </w:r>
            <w:r w:rsidRPr="00942872">
              <w:rPr>
                <w:rFonts w:ascii="Arial Narrow" w:hAnsi="Arial Narrow"/>
                <w:bCs/>
                <w:sz w:val="20"/>
                <w:szCs w:val="20"/>
              </w:rPr>
              <w:noBreakHyphen/>
              <w:t>0.02, 0.01</w:t>
            </w:r>
            <w:r w:rsidR="001A241F" w:rsidRPr="00942872">
              <w:rPr>
                <w:rFonts w:ascii="Arial Narrow" w:hAnsi="Arial Narrow"/>
                <w:bCs/>
                <w:sz w:val="20"/>
                <w:szCs w:val="20"/>
              </w:rPr>
              <w:t>]</w:t>
            </w:r>
          </w:p>
        </w:tc>
      </w:tr>
      <w:tr w:rsidR="007805A7" w:rsidRPr="00942872" w14:paraId="1603BD1D" w14:textId="77777777" w:rsidTr="00816960">
        <w:trPr>
          <w:trHeight w:val="274"/>
        </w:trPr>
        <w:tc>
          <w:tcPr>
            <w:tcW w:w="1696" w:type="dxa"/>
            <w:shd w:val="clear" w:color="auto" w:fill="D9D9D9" w:themeFill="background1" w:themeFillShade="D9"/>
          </w:tcPr>
          <w:p w14:paraId="60D92CDD"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 xml:space="preserve">ITC cemiplimab vs. pembrolizumab </w:t>
            </w:r>
          </w:p>
        </w:tc>
        <w:tc>
          <w:tcPr>
            <w:tcW w:w="1418" w:type="dxa"/>
            <w:shd w:val="clear" w:color="auto" w:fill="D9D9D9" w:themeFill="background1" w:themeFillShade="D9"/>
          </w:tcPr>
          <w:p w14:paraId="069AFE65" w14:textId="77777777" w:rsidR="007805A7" w:rsidRPr="00942872" w:rsidRDefault="007805A7" w:rsidP="00410064">
            <w:pPr>
              <w:ind w:right="-57"/>
              <w:jc w:val="left"/>
              <w:rPr>
                <w:rFonts w:ascii="Arial Narrow" w:hAnsi="Arial Narrow" w:cstheme="minorHAnsi"/>
                <w:bCs/>
                <w:sz w:val="20"/>
                <w:szCs w:val="20"/>
              </w:rPr>
            </w:pPr>
            <w:r w:rsidRPr="00942872">
              <w:rPr>
                <w:rFonts w:ascii="Arial Narrow" w:hAnsi="Arial Narrow" w:cstheme="minorHAnsi"/>
                <w:bCs/>
                <w:sz w:val="20"/>
                <w:szCs w:val="20"/>
              </w:rPr>
              <w:t>1624 vs. KN meta</w:t>
            </w:r>
            <w:r w:rsidRPr="00942872">
              <w:rPr>
                <w:rFonts w:ascii="Arial Narrow" w:hAnsi="Arial Narrow" w:cstheme="minorHAnsi"/>
                <w:bCs/>
                <w:sz w:val="20"/>
                <w:szCs w:val="20"/>
              </w:rPr>
              <w:noBreakHyphen/>
              <w:t>analysis</w:t>
            </w:r>
          </w:p>
        </w:tc>
        <w:tc>
          <w:tcPr>
            <w:tcW w:w="2693" w:type="dxa"/>
            <w:gridSpan w:val="2"/>
            <w:shd w:val="clear" w:color="auto" w:fill="D9D9D9" w:themeFill="background1" w:themeFillShade="D9"/>
          </w:tcPr>
          <w:p w14:paraId="031E0F95" w14:textId="77777777" w:rsidR="007805A7" w:rsidRPr="00942872" w:rsidRDefault="007805A7" w:rsidP="00A95F72">
            <w:pPr>
              <w:jc w:val="center"/>
              <w:rPr>
                <w:rFonts w:ascii="Arial Narrow" w:hAnsi="Arial Narrow" w:cstheme="minorHAnsi"/>
                <w:bCs/>
                <w:sz w:val="20"/>
                <w:szCs w:val="20"/>
                <w:highlight w:val="yellow"/>
              </w:rPr>
            </w:pPr>
            <w:r w:rsidRPr="00942872">
              <w:rPr>
                <w:rFonts w:ascii="Arial Narrow" w:hAnsi="Arial Narrow" w:cstheme="minorHAnsi"/>
                <w:sz w:val="20"/>
                <w:szCs w:val="20"/>
              </w:rPr>
              <w:t>–</w:t>
            </w:r>
          </w:p>
        </w:tc>
        <w:tc>
          <w:tcPr>
            <w:tcW w:w="1055" w:type="dxa"/>
            <w:shd w:val="clear" w:color="auto" w:fill="D9D9D9" w:themeFill="background1" w:themeFillShade="D9"/>
          </w:tcPr>
          <w:p w14:paraId="33488505" w14:textId="77777777" w:rsidR="007805A7" w:rsidRPr="00942872" w:rsidRDefault="001A241F" w:rsidP="00A95F72">
            <w:pPr>
              <w:jc w:val="center"/>
              <w:rPr>
                <w:rFonts w:ascii="Arial Narrow" w:hAnsi="Arial Narrow" w:cstheme="minorHAnsi"/>
                <w:bCs/>
                <w:sz w:val="20"/>
                <w:szCs w:val="20"/>
                <w:highlight w:val="yellow"/>
              </w:rPr>
            </w:pPr>
            <w:r w:rsidRPr="00942872">
              <w:rPr>
                <w:rFonts w:ascii="Arial Narrow" w:hAnsi="Arial Narrow" w:cstheme="minorHAnsi"/>
                <w:bCs/>
                <w:sz w:val="20"/>
                <w:szCs w:val="20"/>
              </w:rPr>
              <w:t>1.53 [</w:t>
            </w:r>
            <w:r w:rsidR="007805A7" w:rsidRPr="00942872">
              <w:rPr>
                <w:rFonts w:ascii="Arial Narrow" w:hAnsi="Arial Narrow" w:cstheme="minorHAnsi"/>
                <w:bCs/>
                <w:sz w:val="20"/>
                <w:szCs w:val="20"/>
              </w:rPr>
              <w:t>0.46, 5.11</w:t>
            </w:r>
            <w:r w:rsidRPr="00942872">
              <w:rPr>
                <w:rFonts w:ascii="Arial Narrow" w:hAnsi="Arial Narrow" w:cstheme="minorHAnsi"/>
                <w:bCs/>
                <w:sz w:val="20"/>
                <w:szCs w:val="20"/>
              </w:rPr>
              <w:t>]</w:t>
            </w:r>
          </w:p>
        </w:tc>
        <w:tc>
          <w:tcPr>
            <w:tcW w:w="1101" w:type="dxa"/>
            <w:shd w:val="clear" w:color="auto" w:fill="D9D9D9" w:themeFill="background1" w:themeFillShade="D9"/>
          </w:tcPr>
          <w:p w14:paraId="0023EC03" w14:textId="77777777" w:rsidR="007805A7" w:rsidRPr="00942872" w:rsidRDefault="007805A7" w:rsidP="00A95F72">
            <w:pPr>
              <w:jc w:val="center"/>
              <w:rPr>
                <w:rFonts w:ascii="Arial Narrow" w:hAnsi="Arial Narrow" w:cstheme="minorHAnsi"/>
                <w:bCs/>
                <w:sz w:val="20"/>
                <w:szCs w:val="20"/>
                <w:highlight w:val="yellow"/>
              </w:rPr>
            </w:pPr>
            <w:r w:rsidRPr="00942872">
              <w:rPr>
                <w:rFonts w:ascii="Arial Narrow" w:hAnsi="Arial Narrow" w:cstheme="minorHAnsi"/>
                <w:bCs/>
                <w:sz w:val="20"/>
                <w:szCs w:val="20"/>
              </w:rPr>
              <w:t xml:space="preserve">1.54 </w:t>
            </w:r>
            <w:r w:rsidR="001A241F" w:rsidRPr="00942872">
              <w:rPr>
                <w:rFonts w:ascii="Arial Narrow" w:hAnsi="Arial Narrow" w:cstheme="minorHAnsi"/>
                <w:bCs/>
                <w:sz w:val="20"/>
                <w:szCs w:val="20"/>
              </w:rPr>
              <w:t>[</w:t>
            </w:r>
            <w:r w:rsidRPr="00942872">
              <w:rPr>
                <w:rFonts w:ascii="Arial Narrow" w:hAnsi="Arial Narrow" w:cstheme="minorHAnsi"/>
                <w:bCs/>
                <w:sz w:val="20"/>
                <w:szCs w:val="20"/>
              </w:rPr>
              <w:t>0.45, 5.28</w:t>
            </w:r>
            <w:r w:rsidR="001A241F" w:rsidRPr="00942872">
              <w:rPr>
                <w:rFonts w:ascii="Arial Narrow" w:hAnsi="Arial Narrow" w:cstheme="minorHAnsi"/>
                <w:bCs/>
                <w:sz w:val="20"/>
                <w:szCs w:val="20"/>
              </w:rPr>
              <w:t>]</w:t>
            </w:r>
          </w:p>
        </w:tc>
        <w:tc>
          <w:tcPr>
            <w:tcW w:w="1246" w:type="dxa"/>
            <w:shd w:val="clear" w:color="auto" w:fill="D9D9D9" w:themeFill="background1" w:themeFillShade="D9"/>
          </w:tcPr>
          <w:p w14:paraId="7D21D560" w14:textId="77777777" w:rsidR="007805A7" w:rsidRPr="00942872" w:rsidRDefault="007805A7" w:rsidP="00A95F72">
            <w:pPr>
              <w:jc w:val="center"/>
              <w:rPr>
                <w:rFonts w:ascii="Arial Narrow" w:hAnsi="Arial Narrow" w:cstheme="minorHAnsi"/>
                <w:bCs/>
                <w:sz w:val="20"/>
                <w:szCs w:val="20"/>
                <w:highlight w:val="yellow"/>
              </w:rPr>
            </w:pPr>
            <w:r w:rsidRPr="00942872">
              <w:rPr>
                <w:rFonts w:ascii="Arial Narrow" w:hAnsi="Arial Narrow" w:cstheme="minorHAnsi"/>
                <w:bCs/>
                <w:sz w:val="20"/>
                <w:szCs w:val="20"/>
              </w:rPr>
              <w:t xml:space="preserve">0.01 </w:t>
            </w:r>
            <w:r w:rsidR="001A241F" w:rsidRPr="00942872">
              <w:rPr>
                <w:rFonts w:ascii="Arial Narrow" w:hAnsi="Arial Narrow" w:cstheme="minorHAnsi"/>
                <w:bCs/>
                <w:sz w:val="20"/>
                <w:szCs w:val="20"/>
              </w:rPr>
              <w:t>[</w:t>
            </w:r>
            <w:r w:rsidRPr="00942872">
              <w:rPr>
                <w:rFonts w:ascii="Arial Narrow" w:hAnsi="Arial Narrow" w:cstheme="minorHAnsi"/>
                <w:bCs/>
                <w:sz w:val="20"/>
                <w:szCs w:val="20"/>
              </w:rPr>
              <w:noBreakHyphen/>
              <w:t>0.01, 0.04</w:t>
            </w:r>
            <w:r w:rsidR="001A241F" w:rsidRPr="00942872">
              <w:rPr>
                <w:rFonts w:ascii="Arial Narrow" w:hAnsi="Arial Narrow" w:cstheme="minorHAnsi"/>
                <w:bCs/>
                <w:sz w:val="20"/>
                <w:szCs w:val="20"/>
              </w:rPr>
              <w:t>]</w:t>
            </w:r>
          </w:p>
        </w:tc>
      </w:tr>
      <w:tr w:rsidR="007805A7" w:rsidRPr="00942872" w14:paraId="080BB3EB" w14:textId="77777777" w:rsidTr="00816960">
        <w:trPr>
          <w:trHeight w:val="54"/>
        </w:trPr>
        <w:tc>
          <w:tcPr>
            <w:tcW w:w="9209" w:type="dxa"/>
            <w:gridSpan w:val="7"/>
          </w:tcPr>
          <w:p w14:paraId="287ABF5A" w14:textId="77777777" w:rsidR="007805A7" w:rsidRPr="00942872" w:rsidRDefault="007805A7" w:rsidP="00A95F72">
            <w:pPr>
              <w:rPr>
                <w:rFonts w:ascii="Arial Narrow" w:hAnsi="Arial Narrow" w:cstheme="minorHAnsi"/>
                <w:b/>
                <w:sz w:val="20"/>
                <w:szCs w:val="20"/>
              </w:rPr>
            </w:pPr>
            <w:r w:rsidRPr="00942872">
              <w:rPr>
                <w:rFonts w:ascii="Arial Narrow" w:hAnsi="Arial Narrow" w:cstheme="minorHAnsi"/>
                <w:b/>
                <w:sz w:val="20"/>
                <w:szCs w:val="20"/>
              </w:rPr>
              <w:t>Immune-related adverse events</w:t>
            </w:r>
          </w:p>
        </w:tc>
      </w:tr>
      <w:tr w:rsidR="007805A7" w:rsidRPr="00942872" w14:paraId="565FB8D2" w14:textId="77777777" w:rsidTr="00816960">
        <w:trPr>
          <w:trHeight w:val="443"/>
        </w:trPr>
        <w:tc>
          <w:tcPr>
            <w:tcW w:w="1696" w:type="dxa"/>
          </w:tcPr>
          <w:p w14:paraId="4401F824"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Cemiplimab vs. chemotherapy</w:t>
            </w:r>
          </w:p>
        </w:tc>
        <w:tc>
          <w:tcPr>
            <w:tcW w:w="1418" w:type="dxa"/>
            <w:shd w:val="clear" w:color="auto" w:fill="auto"/>
          </w:tcPr>
          <w:p w14:paraId="1A9958A5"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1624</w:t>
            </w:r>
          </w:p>
        </w:tc>
        <w:tc>
          <w:tcPr>
            <w:tcW w:w="1396" w:type="dxa"/>
            <w:shd w:val="clear" w:color="auto" w:fill="auto"/>
          </w:tcPr>
          <w:p w14:paraId="07EA6412"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62/355 </w:t>
            </w:r>
            <w:r w:rsidRPr="00942872">
              <w:rPr>
                <w:rFonts w:ascii="Arial Narrow" w:hAnsi="Arial Narrow" w:cstheme="minorHAnsi"/>
                <w:sz w:val="20"/>
                <w:szCs w:val="20"/>
              </w:rPr>
              <w:br/>
              <w:t>(17.5%)</w:t>
            </w:r>
          </w:p>
        </w:tc>
        <w:tc>
          <w:tcPr>
            <w:tcW w:w="1297" w:type="dxa"/>
            <w:shd w:val="clear" w:color="auto" w:fill="auto"/>
          </w:tcPr>
          <w:p w14:paraId="460DCDDF"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8/342 </w:t>
            </w:r>
            <w:r w:rsidRPr="00942872">
              <w:rPr>
                <w:rFonts w:ascii="Arial Narrow" w:hAnsi="Arial Narrow" w:cstheme="minorHAnsi"/>
                <w:sz w:val="20"/>
                <w:szCs w:val="20"/>
              </w:rPr>
              <w:br/>
              <w:t>(2.3%</w:t>
            </w:r>
            <w:r w:rsidR="001A241F" w:rsidRPr="00942872">
              <w:rPr>
                <w:rFonts w:ascii="Arial Narrow" w:hAnsi="Arial Narrow" w:cstheme="minorHAnsi"/>
                <w:sz w:val="20"/>
                <w:szCs w:val="20"/>
              </w:rPr>
              <w:t>)</w:t>
            </w:r>
          </w:p>
        </w:tc>
        <w:tc>
          <w:tcPr>
            <w:tcW w:w="1055" w:type="dxa"/>
            <w:shd w:val="clear" w:color="auto" w:fill="auto"/>
          </w:tcPr>
          <w:p w14:paraId="1A9FBADB" w14:textId="77777777" w:rsidR="007805A7" w:rsidRPr="00942872" w:rsidRDefault="007805A7"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 xml:space="preserve">7.47 </w:t>
            </w:r>
            <w:r w:rsidR="001A241F" w:rsidRPr="00942872">
              <w:rPr>
                <w:rFonts w:ascii="Arial Narrow" w:hAnsi="Arial Narrow" w:cstheme="minorHAnsi"/>
                <w:sz w:val="20"/>
                <w:szCs w:val="20"/>
              </w:rPr>
              <w:t>[</w:t>
            </w:r>
            <w:r w:rsidRPr="00942872">
              <w:rPr>
                <w:rFonts w:ascii="Arial Narrow" w:hAnsi="Arial Narrow" w:cstheme="minorHAnsi"/>
                <w:sz w:val="20"/>
                <w:szCs w:val="20"/>
              </w:rPr>
              <w:t>3.63, 15.36</w:t>
            </w:r>
            <w:r w:rsidR="001A241F" w:rsidRPr="00942872">
              <w:rPr>
                <w:rFonts w:ascii="Arial Narrow" w:hAnsi="Arial Narrow" w:cstheme="minorHAnsi"/>
                <w:sz w:val="20"/>
                <w:szCs w:val="20"/>
              </w:rPr>
              <w:t>]</w:t>
            </w:r>
          </w:p>
        </w:tc>
        <w:tc>
          <w:tcPr>
            <w:tcW w:w="1101" w:type="dxa"/>
          </w:tcPr>
          <w:p w14:paraId="7CD02B09" w14:textId="77777777" w:rsidR="007805A7" w:rsidRPr="00942872" w:rsidRDefault="007805A7"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 xml:space="preserve">8.83 </w:t>
            </w:r>
            <w:r w:rsidR="001A241F" w:rsidRPr="00942872">
              <w:rPr>
                <w:rFonts w:ascii="Arial Narrow" w:hAnsi="Arial Narrow" w:cstheme="minorHAnsi"/>
                <w:sz w:val="20"/>
                <w:szCs w:val="20"/>
              </w:rPr>
              <w:t>[</w:t>
            </w:r>
            <w:r w:rsidRPr="00942872">
              <w:rPr>
                <w:rFonts w:ascii="Arial Narrow" w:hAnsi="Arial Narrow" w:cstheme="minorHAnsi"/>
                <w:sz w:val="20"/>
                <w:szCs w:val="20"/>
              </w:rPr>
              <w:t>4.16, 18.76</w:t>
            </w:r>
            <w:r w:rsidR="001A241F" w:rsidRPr="00942872">
              <w:rPr>
                <w:rFonts w:ascii="Arial Narrow" w:hAnsi="Arial Narrow" w:cstheme="minorHAnsi"/>
                <w:sz w:val="20"/>
                <w:szCs w:val="20"/>
              </w:rPr>
              <w:t>]</w:t>
            </w:r>
          </w:p>
        </w:tc>
        <w:tc>
          <w:tcPr>
            <w:tcW w:w="1246" w:type="dxa"/>
            <w:shd w:val="clear" w:color="auto" w:fill="auto"/>
          </w:tcPr>
          <w:p w14:paraId="59100369" w14:textId="77777777" w:rsidR="007805A7" w:rsidRPr="00942872" w:rsidRDefault="001A241F"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0.15 [0.11, 0.19]</w:t>
            </w:r>
          </w:p>
        </w:tc>
      </w:tr>
      <w:tr w:rsidR="007805A7" w:rsidRPr="00942872" w14:paraId="2B1D031E" w14:textId="77777777" w:rsidTr="00816960">
        <w:tc>
          <w:tcPr>
            <w:tcW w:w="1696" w:type="dxa"/>
            <w:vMerge w:val="restart"/>
          </w:tcPr>
          <w:p w14:paraId="31423CC9"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Pembrolizumab vs. chemotherapy</w:t>
            </w:r>
          </w:p>
        </w:tc>
        <w:tc>
          <w:tcPr>
            <w:tcW w:w="1418" w:type="dxa"/>
            <w:shd w:val="clear" w:color="auto" w:fill="auto"/>
          </w:tcPr>
          <w:p w14:paraId="5522C575" w14:textId="77777777" w:rsidR="007805A7" w:rsidRPr="00942872" w:rsidRDefault="004C46D9" w:rsidP="00A95F72">
            <w:pPr>
              <w:jc w:val="left"/>
              <w:rPr>
                <w:rFonts w:ascii="Arial Narrow" w:hAnsi="Arial Narrow" w:cstheme="minorHAnsi"/>
                <w:sz w:val="20"/>
                <w:szCs w:val="20"/>
              </w:rPr>
            </w:pPr>
            <w:r w:rsidRPr="00942872">
              <w:rPr>
                <w:rFonts w:ascii="Arial Narrow" w:hAnsi="Arial Narrow" w:cstheme="minorHAnsi"/>
                <w:sz w:val="20"/>
                <w:szCs w:val="20"/>
              </w:rPr>
              <w:t>KN024</w:t>
            </w:r>
          </w:p>
        </w:tc>
        <w:tc>
          <w:tcPr>
            <w:tcW w:w="1396" w:type="dxa"/>
            <w:shd w:val="clear" w:color="auto" w:fill="auto"/>
          </w:tcPr>
          <w:p w14:paraId="31FDFC8F"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45/154 </w:t>
            </w:r>
            <w:r w:rsidRPr="00942872">
              <w:rPr>
                <w:rFonts w:ascii="Arial Narrow" w:hAnsi="Arial Narrow" w:cstheme="minorHAnsi"/>
                <w:sz w:val="20"/>
                <w:szCs w:val="20"/>
              </w:rPr>
              <w:br/>
              <w:t>(29.2%)</w:t>
            </w:r>
          </w:p>
        </w:tc>
        <w:tc>
          <w:tcPr>
            <w:tcW w:w="1297" w:type="dxa"/>
            <w:shd w:val="clear" w:color="auto" w:fill="auto"/>
          </w:tcPr>
          <w:p w14:paraId="77CED8BB"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7/150 </w:t>
            </w:r>
            <w:r w:rsidRPr="00942872">
              <w:rPr>
                <w:rFonts w:ascii="Arial Narrow" w:hAnsi="Arial Narrow" w:cstheme="minorHAnsi"/>
                <w:sz w:val="20"/>
                <w:szCs w:val="20"/>
              </w:rPr>
              <w:br/>
              <w:t>(4.7%</w:t>
            </w:r>
            <w:r w:rsidR="001A241F" w:rsidRPr="00942872">
              <w:rPr>
                <w:rFonts w:ascii="Arial Narrow" w:hAnsi="Arial Narrow" w:cstheme="minorHAnsi"/>
                <w:sz w:val="20"/>
                <w:szCs w:val="20"/>
              </w:rPr>
              <w:t>)</w:t>
            </w:r>
          </w:p>
        </w:tc>
        <w:tc>
          <w:tcPr>
            <w:tcW w:w="1055" w:type="dxa"/>
            <w:shd w:val="clear" w:color="auto" w:fill="auto"/>
          </w:tcPr>
          <w:p w14:paraId="555D7585" w14:textId="77777777" w:rsidR="007805A7" w:rsidRPr="00942872" w:rsidRDefault="007805A7"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 xml:space="preserve">6.26 </w:t>
            </w:r>
            <w:r w:rsidR="001A241F" w:rsidRPr="00942872">
              <w:rPr>
                <w:rFonts w:ascii="Arial Narrow" w:hAnsi="Arial Narrow" w:cstheme="minorHAnsi"/>
                <w:sz w:val="20"/>
                <w:szCs w:val="20"/>
              </w:rPr>
              <w:t>[</w:t>
            </w:r>
            <w:r w:rsidRPr="00942872">
              <w:rPr>
                <w:rFonts w:ascii="Arial Narrow" w:hAnsi="Arial Narrow" w:cstheme="minorHAnsi"/>
                <w:sz w:val="20"/>
                <w:szCs w:val="20"/>
              </w:rPr>
              <w:t>2.92, 13.44</w:t>
            </w:r>
            <w:r w:rsidR="001A241F" w:rsidRPr="00942872">
              <w:rPr>
                <w:rFonts w:ascii="Arial Narrow" w:hAnsi="Arial Narrow" w:cstheme="minorHAnsi"/>
                <w:sz w:val="20"/>
                <w:szCs w:val="20"/>
              </w:rPr>
              <w:t>]</w:t>
            </w:r>
          </w:p>
        </w:tc>
        <w:tc>
          <w:tcPr>
            <w:tcW w:w="1101" w:type="dxa"/>
          </w:tcPr>
          <w:p w14:paraId="7D724541" w14:textId="77777777" w:rsidR="007805A7" w:rsidRPr="00942872" w:rsidRDefault="007805A7"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 xml:space="preserve">8.43 </w:t>
            </w:r>
            <w:r w:rsidR="001A241F" w:rsidRPr="00942872">
              <w:rPr>
                <w:rFonts w:ascii="Arial Narrow" w:hAnsi="Arial Narrow" w:cstheme="minorHAnsi"/>
                <w:sz w:val="20"/>
                <w:szCs w:val="20"/>
              </w:rPr>
              <w:t>[</w:t>
            </w:r>
            <w:r w:rsidRPr="00942872">
              <w:rPr>
                <w:rFonts w:ascii="Arial Narrow" w:hAnsi="Arial Narrow" w:cstheme="minorHAnsi"/>
                <w:sz w:val="20"/>
                <w:szCs w:val="20"/>
              </w:rPr>
              <w:t>3.66, 19.43</w:t>
            </w:r>
            <w:r w:rsidR="001A241F" w:rsidRPr="00942872">
              <w:rPr>
                <w:rFonts w:ascii="Arial Narrow" w:hAnsi="Arial Narrow" w:cstheme="minorHAnsi"/>
                <w:sz w:val="20"/>
                <w:szCs w:val="20"/>
              </w:rPr>
              <w:t>]</w:t>
            </w:r>
          </w:p>
        </w:tc>
        <w:tc>
          <w:tcPr>
            <w:tcW w:w="1246" w:type="dxa"/>
            <w:shd w:val="clear" w:color="auto" w:fill="auto"/>
          </w:tcPr>
          <w:p w14:paraId="23D7DBEE" w14:textId="77777777" w:rsidR="007805A7" w:rsidRPr="00942872" w:rsidRDefault="001A241F"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0.25 [0.17, 0.32]</w:t>
            </w:r>
          </w:p>
        </w:tc>
      </w:tr>
      <w:tr w:rsidR="007805A7" w:rsidRPr="00942872" w14:paraId="028429C6" w14:textId="77777777" w:rsidTr="00816960">
        <w:tc>
          <w:tcPr>
            <w:tcW w:w="1696" w:type="dxa"/>
            <w:vMerge/>
          </w:tcPr>
          <w:p w14:paraId="130D5E95" w14:textId="77777777" w:rsidR="007805A7" w:rsidRPr="00942872" w:rsidRDefault="007805A7" w:rsidP="00A95F72">
            <w:pPr>
              <w:jc w:val="left"/>
              <w:rPr>
                <w:rFonts w:ascii="Arial Narrow" w:hAnsi="Arial Narrow" w:cstheme="minorHAnsi"/>
                <w:sz w:val="20"/>
                <w:szCs w:val="20"/>
              </w:rPr>
            </w:pPr>
          </w:p>
        </w:tc>
        <w:tc>
          <w:tcPr>
            <w:tcW w:w="1418" w:type="dxa"/>
            <w:shd w:val="clear" w:color="auto" w:fill="auto"/>
          </w:tcPr>
          <w:p w14:paraId="02F234F4" w14:textId="77777777" w:rsidR="007805A7" w:rsidRPr="00942872" w:rsidRDefault="004C46D9" w:rsidP="00A95F72">
            <w:pPr>
              <w:jc w:val="left"/>
              <w:rPr>
                <w:rFonts w:ascii="Arial Narrow" w:hAnsi="Arial Narrow" w:cstheme="minorHAnsi"/>
                <w:sz w:val="20"/>
                <w:szCs w:val="20"/>
              </w:rPr>
            </w:pPr>
            <w:r w:rsidRPr="00942872">
              <w:rPr>
                <w:rFonts w:ascii="Arial Narrow" w:hAnsi="Arial Narrow" w:cstheme="minorHAnsi"/>
                <w:sz w:val="20"/>
                <w:szCs w:val="20"/>
              </w:rPr>
              <w:t>KN042</w:t>
            </w:r>
          </w:p>
        </w:tc>
        <w:tc>
          <w:tcPr>
            <w:tcW w:w="1396" w:type="dxa"/>
            <w:shd w:val="clear" w:color="auto" w:fill="auto"/>
          </w:tcPr>
          <w:p w14:paraId="20E6184F"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177/636 </w:t>
            </w:r>
            <w:r w:rsidRPr="00942872">
              <w:rPr>
                <w:rFonts w:ascii="Arial Narrow" w:hAnsi="Arial Narrow" w:cstheme="minorHAnsi"/>
                <w:sz w:val="20"/>
                <w:szCs w:val="20"/>
              </w:rPr>
              <w:br/>
              <w:t>(27.8%)</w:t>
            </w:r>
          </w:p>
        </w:tc>
        <w:tc>
          <w:tcPr>
            <w:tcW w:w="1297" w:type="dxa"/>
            <w:shd w:val="clear" w:color="auto" w:fill="auto"/>
          </w:tcPr>
          <w:p w14:paraId="363F53DC"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44/615 </w:t>
            </w:r>
            <w:r w:rsidRPr="00942872">
              <w:rPr>
                <w:rFonts w:ascii="Arial Narrow" w:hAnsi="Arial Narrow" w:cstheme="minorHAnsi"/>
                <w:sz w:val="20"/>
                <w:szCs w:val="20"/>
              </w:rPr>
              <w:br/>
              <w:t>(7.2%)</w:t>
            </w:r>
          </w:p>
        </w:tc>
        <w:tc>
          <w:tcPr>
            <w:tcW w:w="1055" w:type="dxa"/>
            <w:shd w:val="clear" w:color="auto" w:fill="auto"/>
          </w:tcPr>
          <w:p w14:paraId="36810281" w14:textId="77777777" w:rsidR="007805A7" w:rsidRPr="00942872" w:rsidRDefault="007805A7"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 xml:space="preserve">3.89 </w:t>
            </w:r>
            <w:r w:rsidR="001A241F" w:rsidRPr="00942872">
              <w:rPr>
                <w:rFonts w:ascii="Arial Narrow" w:hAnsi="Arial Narrow" w:cstheme="minorHAnsi"/>
                <w:sz w:val="20"/>
                <w:szCs w:val="20"/>
              </w:rPr>
              <w:t>[</w:t>
            </w:r>
            <w:r w:rsidRPr="00942872">
              <w:rPr>
                <w:rFonts w:ascii="Arial Narrow" w:hAnsi="Arial Narrow" w:cstheme="minorHAnsi"/>
                <w:sz w:val="20"/>
                <w:szCs w:val="20"/>
              </w:rPr>
              <w:t>2.85, 5.31</w:t>
            </w:r>
            <w:r w:rsidR="001A241F" w:rsidRPr="00942872">
              <w:rPr>
                <w:rFonts w:ascii="Arial Narrow" w:hAnsi="Arial Narrow" w:cstheme="minorHAnsi"/>
                <w:sz w:val="20"/>
                <w:szCs w:val="20"/>
              </w:rPr>
              <w:t>]</w:t>
            </w:r>
          </w:p>
        </w:tc>
        <w:tc>
          <w:tcPr>
            <w:tcW w:w="1101" w:type="dxa"/>
          </w:tcPr>
          <w:p w14:paraId="0E49D1B4" w14:textId="77777777" w:rsidR="007805A7" w:rsidRPr="00942872" w:rsidRDefault="007805A7"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 xml:space="preserve">5.00 </w:t>
            </w:r>
            <w:r w:rsidR="001A241F" w:rsidRPr="00942872">
              <w:rPr>
                <w:rFonts w:ascii="Arial Narrow" w:hAnsi="Arial Narrow" w:cstheme="minorHAnsi"/>
                <w:sz w:val="20"/>
                <w:szCs w:val="20"/>
              </w:rPr>
              <w:t>[</w:t>
            </w:r>
            <w:r w:rsidRPr="00942872">
              <w:rPr>
                <w:rFonts w:ascii="Arial Narrow" w:hAnsi="Arial Narrow" w:cstheme="minorHAnsi"/>
                <w:sz w:val="20"/>
                <w:szCs w:val="20"/>
              </w:rPr>
              <w:t>3.52, 7.12</w:t>
            </w:r>
            <w:r w:rsidR="001A241F" w:rsidRPr="00942872">
              <w:rPr>
                <w:rFonts w:ascii="Arial Narrow" w:hAnsi="Arial Narrow" w:cstheme="minorHAnsi"/>
                <w:sz w:val="20"/>
                <w:szCs w:val="20"/>
              </w:rPr>
              <w:t>]</w:t>
            </w:r>
          </w:p>
        </w:tc>
        <w:tc>
          <w:tcPr>
            <w:tcW w:w="1246" w:type="dxa"/>
            <w:shd w:val="clear" w:color="auto" w:fill="auto"/>
          </w:tcPr>
          <w:p w14:paraId="40FE9AC4" w14:textId="77777777" w:rsidR="007805A7" w:rsidRPr="00942872" w:rsidRDefault="001A241F"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0.21 [0.17, 0.25]</w:t>
            </w:r>
          </w:p>
        </w:tc>
      </w:tr>
      <w:tr w:rsidR="007805A7" w:rsidRPr="00942872" w14:paraId="1767E4E6" w14:textId="77777777" w:rsidTr="00816960">
        <w:trPr>
          <w:trHeight w:val="185"/>
        </w:trPr>
        <w:tc>
          <w:tcPr>
            <w:tcW w:w="1696" w:type="dxa"/>
            <w:vMerge/>
            <w:tcBorders>
              <w:bottom w:val="single" w:sz="4" w:space="0" w:color="auto"/>
            </w:tcBorders>
          </w:tcPr>
          <w:p w14:paraId="234338DE" w14:textId="77777777" w:rsidR="007805A7" w:rsidRPr="00942872" w:rsidRDefault="007805A7" w:rsidP="00A95F72">
            <w:pPr>
              <w:jc w:val="left"/>
              <w:rPr>
                <w:rFonts w:ascii="Arial Narrow" w:hAnsi="Arial Narrow" w:cstheme="minorHAnsi"/>
                <w:sz w:val="20"/>
                <w:szCs w:val="20"/>
              </w:rPr>
            </w:pPr>
          </w:p>
        </w:tc>
        <w:tc>
          <w:tcPr>
            <w:tcW w:w="1418" w:type="dxa"/>
            <w:tcBorders>
              <w:bottom w:val="single" w:sz="4" w:space="0" w:color="auto"/>
            </w:tcBorders>
            <w:shd w:val="clear" w:color="auto" w:fill="auto"/>
          </w:tcPr>
          <w:p w14:paraId="64E96F5F" w14:textId="77777777" w:rsidR="007805A7" w:rsidRPr="00942872" w:rsidRDefault="007805A7" w:rsidP="00A95F72">
            <w:pPr>
              <w:jc w:val="left"/>
              <w:rPr>
                <w:rFonts w:ascii="Arial Narrow" w:hAnsi="Arial Narrow" w:cstheme="minorHAnsi"/>
                <w:sz w:val="20"/>
                <w:szCs w:val="20"/>
                <w:vertAlign w:val="superscript"/>
              </w:rPr>
            </w:pPr>
            <w:r w:rsidRPr="00942872">
              <w:rPr>
                <w:rFonts w:ascii="Arial Narrow" w:hAnsi="Arial Narrow" w:cstheme="minorHAnsi"/>
                <w:sz w:val="20"/>
                <w:szCs w:val="20"/>
              </w:rPr>
              <w:t xml:space="preserve">KN meta-analysis, </w:t>
            </w:r>
            <w:r w:rsidRPr="00942872">
              <w:rPr>
                <w:rFonts w:ascii="Arial Narrow" w:hAnsi="Arial Narrow" w:cstheme="minorHAnsi"/>
                <w:iCs/>
                <w:sz w:val="20"/>
                <w:szCs w:val="20"/>
              </w:rPr>
              <w:t>k</w:t>
            </w:r>
            <w:r w:rsidRPr="00942872">
              <w:rPr>
                <w:rFonts w:ascii="Arial Narrow" w:hAnsi="Arial Narrow" w:cstheme="minorHAnsi"/>
                <w:sz w:val="20"/>
                <w:szCs w:val="20"/>
              </w:rPr>
              <w:t> = 2</w:t>
            </w:r>
          </w:p>
        </w:tc>
        <w:tc>
          <w:tcPr>
            <w:tcW w:w="2693" w:type="dxa"/>
            <w:gridSpan w:val="2"/>
            <w:tcBorders>
              <w:bottom w:val="single" w:sz="4" w:space="0" w:color="auto"/>
            </w:tcBorders>
            <w:shd w:val="clear" w:color="auto" w:fill="auto"/>
          </w:tcPr>
          <w:p w14:paraId="6A626E5E"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w:t>
            </w:r>
          </w:p>
        </w:tc>
        <w:tc>
          <w:tcPr>
            <w:tcW w:w="1055" w:type="dxa"/>
            <w:tcBorders>
              <w:bottom w:val="single" w:sz="4" w:space="0" w:color="auto"/>
            </w:tcBorders>
            <w:shd w:val="clear" w:color="auto" w:fill="auto"/>
          </w:tcPr>
          <w:p w14:paraId="5D310AB3" w14:textId="77777777" w:rsidR="007805A7" w:rsidRPr="00942872" w:rsidRDefault="001A241F" w:rsidP="00A95F72">
            <w:pPr>
              <w:ind w:left="-57" w:right="-57"/>
              <w:jc w:val="center"/>
              <w:rPr>
                <w:rFonts w:ascii="Arial Narrow" w:hAnsi="Arial Narrow"/>
                <w:sz w:val="20"/>
                <w:szCs w:val="20"/>
              </w:rPr>
            </w:pPr>
            <w:r w:rsidRPr="00942872">
              <w:rPr>
                <w:rFonts w:ascii="Arial Narrow" w:hAnsi="Arial Narrow" w:cstheme="minorHAnsi"/>
                <w:sz w:val="20"/>
                <w:szCs w:val="20"/>
              </w:rPr>
              <w:t>4.32 [2.93, 6.38]</w:t>
            </w:r>
          </w:p>
        </w:tc>
        <w:tc>
          <w:tcPr>
            <w:tcW w:w="1101" w:type="dxa"/>
            <w:tcBorders>
              <w:bottom w:val="single" w:sz="4" w:space="0" w:color="auto"/>
            </w:tcBorders>
          </w:tcPr>
          <w:p w14:paraId="3D746D36" w14:textId="77777777" w:rsidR="007805A7" w:rsidRPr="00942872" w:rsidRDefault="007805A7" w:rsidP="00A95F72">
            <w:pPr>
              <w:ind w:left="-57" w:right="-57"/>
              <w:jc w:val="center"/>
              <w:rPr>
                <w:rFonts w:ascii="Arial Narrow" w:hAnsi="Arial Narrow"/>
                <w:sz w:val="20"/>
                <w:szCs w:val="20"/>
              </w:rPr>
            </w:pPr>
            <w:r w:rsidRPr="00942872">
              <w:rPr>
                <w:rFonts w:ascii="Arial Narrow" w:hAnsi="Arial Narrow" w:cstheme="minorHAnsi"/>
                <w:sz w:val="20"/>
                <w:szCs w:val="20"/>
              </w:rPr>
              <w:t xml:space="preserve">5.63 </w:t>
            </w:r>
            <w:r w:rsidR="001A241F" w:rsidRPr="00942872">
              <w:rPr>
                <w:rFonts w:ascii="Arial Narrow" w:hAnsi="Arial Narrow" w:cstheme="minorHAnsi"/>
                <w:sz w:val="20"/>
                <w:szCs w:val="20"/>
              </w:rPr>
              <w:t>[</w:t>
            </w:r>
            <w:r w:rsidRPr="00942872">
              <w:rPr>
                <w:rFonts w:ascii="Arial Narrow" w:hAnsi="Arial Narrow" w:cstheme="minorHAnsi"/>
                <w:sz w:val="20"/>
                <w:szCs w:val="20"/>
              </w:rPr>
              <w:t>3.67, 8.66</w:t>
            </w:r>
            <w:r w:rsidR="001A241F" w:rsidRPr="00942872">
              <w:rPr>
                <w:rFonts w:ascii="Arial Narrow" w:hAnsi="Arial Narrow" w:cstheme="minorHAnsi"/>
                <w:sz w:val="20"/>
                <w:szCs w:val="20"/>
              </w:rPr>
              <w:t>]</w:t>
            </w:r>
          </w:p>
        </w:tc>
        <w:tc>
          <w:tcPr>
            <w:tcW w:w="1246" w:type="dxa"/>
            <w:tcBorders>
              <w:bottom w:val="single" w:sz="4" w:space="0" w:color="auto"/>
            </w:tcBorders>
            <w:shd w:val="clear" w:color="auto" w:fill="auto"/>
          </w:tcPr>
          <w:p w14:paraId="368E97F2" w14:textId="77777777" w:rsidR="007805A7" w:rsidRPr="00942872" w:rsidRDefault="007805A7" w:rsidP="00A95F72">
            <w:pPr>
              <w:ind w:left="-57" w:right="-57"/>
              <w:jc w:val="center"/>
              <w:rPr>
                <w:rFonts w:ascii="Arial Narrow" w:hAnsi="Arial Narrow"/>
                <w:sz w:val="20"/>
                <w:szCs w:val="20"/>
              </w:rPr>
            </w:pPr>
            <w:r w:rsidRPr="00942872">
              <w:rPr>
                <w:rFonts w:ascii="Arial Narrow" w:hAnsi="Arial Narrow" w:cstheme="minorHAnsi"/>
                <w:sz w:val="20"/>
                <w:szCs w:val="20"/>
              </w:rPr>
              <w:t xml:space="preserve">0.21 </w:t>
            </w:r>
            <w:r w:rsidR="001A241F" w:rsidRPr="00942872">
              <w:rPr>
                <w:rFonts w:ascii="Arial Narrow" w:hAnsi="Arial Narrow" w:cstheme="minorHAnsi"/>
                <w:sz w:val="20"/>
                <w:szCs w:val="20"/>
              </w:rPr>
              <w:t>[</w:t>
            </w:r>
            <w:r w:rsidRPr="00942872">
              <w:rPr>
                <w:rFonts w:ascii="Arial Narrow" w:hAnsi="Arial Narrow" w:cstheme="minorHAnsi"/>
                <w:sz w:val="20"/>
                <w:szCs w:val="20"/>
              </w:rPr>
              <w:t>0.18, 0.25</w:t>
            </w:r>
            <w:r w:rsidR="001A241F" w:rsidRPr="00942872">
              <w:rPr>
                <w:rFonts w:ascii="Arial Narrow" w:hAnsi="Arial Narrow" w:cstheme="minorHAnsi"/>
                <w:sz w:val="20"/>
                <w:szCs w:val="20"/>
              </w:rPr>
              <w:t>]</w:t>
            </w:r>
          </w:p>
        </w:tc>
      </w:tr>
      <w:tr w:rsidR="007805A7" w:rsidRPr="00942872" w14:paraId="7181239D" w14:textId="77777777" w:rsidTr="00816960">
        <w:trPr>
          <w:trHeight w:val="274"/>
        </w:trPr>
        <w:tc>
          <w:tcPr>
            <w:tcW w:w="1696" w:type="dxa"/>
            <w:shd w:val="clear" w:color="auto" w:fill="D9D9D9" w:themeFill="background1" w:themeFillShade="D9"/>
          </w:tcPr>
          <w:p w14:paraId="07C5180F"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 xml:space="preserve">ITC cemiplimab vs. pembrolizumab </w:t>
            </w:r>
          </w:p>
        </w:tc>
        <w:tc>
          <w:tcPr>
            <w:tcW w:w="1418" w:type="dxa"/>
            <w:shd w:val="clear" w:color="auto" w:fill="D9D9D9" w:themeFill="background1" w:themeFillShade="D9"/>
          </w:tcPr>
          <w:p w14:paraId="2F38BC62" w14:textId="77777777" w:rsidR="007805A7" w:rsidRPr="00942872" w:rsidRDefault="007805A7" w:rsidP="00410064">
            <w:pPr>
              <w:ind w:right="-57"/>
              <w:jc w:val="left"/>
              <w:rPr>
                <w:rFonts w:ascii="Arial Narrow" w:hAnsi="Arial Narrow" w:cstheme="minorHAnsi"/>
                <w:bCs/>
                <w:sz w:val="20"/>
                <w:szCs w:val="20"/>
              </w:rPr>
            </w:pPr>
            <w:r w:rsidRPr="00942872">
              <w:rPr>
                <w:rFonts w:ascii="Arial Narrow" w:hAnsi="Arial Narrow" w:cstheme="minorHAnsi"/>
                <w:bCs/>
                <w:sz w:val="20"/>
                <w:szCs w:val="20"/>
              </w:rPr>
              <w:t>1624 vs. KN meta</w:t>
            </w:r>
            <w:r w:rsidRPr="00942872">
              <w:rPr>
                <w:rFonts w:ascii="Arial Narrow" w:hAnsi="Arial Narrow" w:cstheme="minorHAnsi"/>
                <w:bCs/>
                <w:sz w:val="20"/>
                <w:szCs w:val="20"/>
              </w:rPr>
              <w:noBreakHyphen/>
              <w:t>analysis</w:t>
            </w:r>
          </w:p>
        </w:tc>
        <w:tc>
          <w:tcPr>
            <w:tcW w:w="2693" w:type="dxa"/>
            <w:gridSpan w:val="2"/>
            <w:shd w:val="clear" w:color="auto" w:fill="D9D9D9" w:themeFill="background1" w:themeFillShade="D9"/>
          </w:tcPr>
          <w:p w14:paraId="2E9FD9A3" w14:textId="77777777" w:rsidR="007805A7" w:rsidRPr="00942872" w:rsidRDefault="007805A7" w:rsidP="00A95F72">
            <w:pPr>
              <w:jc w:val="center"/>
              <w:rPr>
                <w:rFonts w:ascii="Arial Narrow" w:hAnsi="Arial Narrow" w:cstheme="minorHAnsi"/>
                <w:bCs/>
                <w:sz w:val="20"/>
                <w:szCs w:val="20"/>
                <w:highlight w:val="yellow"/>
              </w:rPr>
            </w:pPr>
            <w:r w:rsidRPr="00942872">
              <w:rPr>
                <w:rFonts w:ascii="Arial Narrow" w:hAnsi="Arial Narrow" w:cstheme="minorHAnsi"/>
                <w:sz w:val="20"/>
                <w:szCs w:val="20"/>
              </w:rPr>
              <w:t>–</w:t>
            </w:r>
          </w:p>
        </w:tc>
        <w:tc>
          <w:tcPr>
            <w:tcW w:w="1055" w:type="dxa"/>
            <w:shd w:val="clear" w:color="auto" w:fill="D9D9D9" w:themeFill="background1" w:themeFillShade="D9"/>
          </w:tcPr>
          <w:p w14:paraId="456D1A7B" w14:textId="77777777" w:rsidR="007805A7" w:rsidRPr="00942872" w:rsidRDefault="001A241F" w:rsidP="00A95F72">
            <w:pPr>
              <w:ind w:left="-57" w:right="-57"/>
              <w:jc w:val="center"/>
              <w:rPr>
                <w:rFonts w:ascii="Arial Narrow" w:hAnsi="Arial Narrow" w:cstheme="minorHAnsi"/>
                <w:bCs/>
                <w:sz w:val="20"/>
                <w:szCs w:val="20"/>
                <w:highlight w:val="yellow"/>
              </w:rPr>
            </w:pPr>
            <w:r w:rsidRPr="00942872">
              <w:rPr>
                <w:rFonts w:ascii="Arial Narrow" w:hAnsi="Arial Narrow" w:cstheme="minorHAnsi"/>
                <w:bCs/>
                <w:sz w:val="20"/>
                <w:szCs w:val="20"/>
              </w:rPr>
              <w:t>1.73 [0.76, 3.92]</w:t>
            </w:r>
          </w:p>
        </w:tc>
        <w:tc>
          <w:tcPr>
            <w:tcW w:w="1101" w:type="dxa"/>
            <w:shd w:val="clear" w:color="auto" w:fill="D9D9D9" w:themeFill="background1" w:themeFillShade="D9"/>
          </w:tcPr>
          <w:p w14:paraId="059DB97A" w14:textId="77777777" w:rsidR="007805A7" w:rsidRPr="00942872" w:rsidRDefault="007805A7" w:rsidP="00A95F72">
            <w:pPr>
              <w:ind w:left="-57" w:right="-57"/>
              <w:jc w:val="center"/>
              <w:rPr>
                <w:rFonts w:ascii="Arial Narrow" w:hAnsi="Arial Narrow" w:cstheme="minorHAnsi"/>
                <w:bCs/>
                <w:sz w:val="20"/>
                <w:szCs w:val="20"/>
                <w:highlight w:val="yellow"/>
              </w:rPr>
            </w:pPr>
            <w:r w:rsidRPr="00942872">
              <w:rPr>
                <w:rFonts w:ascii="Arial Narrow" w:hAnsi="Arial Narrow" w:cstheme="minorHAnsi"/>
                <w:bCs/>
                <w:sz w:val="20"/>
                <w:szCs w:val="20"/>
              </w:rPr>
              <w:t xml:space="preserve">1.57 </w:t>
            </w:r>
            <w:r w:rsidR="001A241F" w:rsidRPr="00942872">
              <w:rPr>
                <w:rFonts w:ascii="Arial Narrow" w:hAnsi="Arial Narrow" w:cstheme="minorHAnsi"/>
                <w:bCs/>
                <w:sz w:val="20"/>
                <w:szCs w:val="20"/>
              </w:rPr>
              <w:t>[</w:t>
            </w:r>
            <w:r w:rsidRPr="00942872">
              <w:rPr>
                <w:rFonts w:ascii="Arial Narrow" w:hAnsi="Arial Narrow" w:cstheme="minorHAnsi"/>
                <w:bCs/>
                <w:sz w:val="20"/>
                <w:szCs w:val="20"/>
              </w:rPr>
              <w:t>0.66, 3.73</w:t>
            </w:r>
            <w:r w:rsidR="001A241F" w:rsidRPr="00942872">
              <w:rPr>
                <w:rFonts w:ascii="Arial Narrow" w:hAnsi="Arial Narrow" w:cstheme="minorHAnsi"/>
                <w:bCs/>
                <w:sz w:val="20"/>
                <w:szCs w:val="20"/>
              </w:rPr>
              <w:t>]</w:t>
            </w:r>
          </w:p>
        </w:tc>
        <w:tc>
          <w:tcPr>
            <w:tcW w:w="1246" w:type="dxa"/>
            <w:shd w:val="clear" w:color="auto" w:fill="D9D9D9" w:themeFill="background1" w:themeFillShade="D9"/>
          </w:tcPr>
          <w:p w14:paraId="0EE13A2A" w14:textId="77777777" w:rsidR="007805A7" w:rsidRPr="00942872" w:rsidRDefault="007805A7" w:rsidP="00A95F72">
            <w:pPr>
              <w:ind w:left="-57" w:right="-57"/>
              <w:jc w:val="center"/>
              <w:rPr>
                <w:rFonts w:ascii="Arial Narrow" w:hAnsi="Arial Narrow" w:cstheme="minorHAnsi"/>
                <w:bCs/>
                <w:sz w:val="20"/>
                <w:szCs w:val="20"/>
                <w:highlight w:val="yellow"/>
              </w:rPr>
            </w:pPr>
            <w:r w:rsidRPr="00942872">
              <w:rPr>
                <w:rFonts w:ascii="Arial Narrow" w:hAnsi="Arial Narrow" w:cstheme="minorHAnsi"/>
                <w:bCs/>
                <w:sz w:val="20"/>
                <w:szCs w:val="20"/>
              </w:rPr>
              <w:noBreakHyphen/>
              <w:t xml:space="preserve">0.06 </w:t>
            </w:r>
            <w:r w:rsidR="001A241F" w:rsidRPr="00942872">
              <w:rPr>
                <w:rFonts w:ascii="Arial Narrow" w:hAnsi="Arial Narrow" w:cstheme="minorHAnsi"/>
                <w:bCs/>
                <w:sz w:val="20"/>
                <w:szCs w:val="20"/>
              </w:rPr>
              <w:t>[</w:t>
            </w:r>
            <w:r w:rsidRPr="00942872">
              <w:rPr>
                <w:rFonts w:ascii="Arial Narrow" w:hAnsi="Arial Narrow" w:cstheme="minorHAnsi"/>
                <w:bCs/>
                <w:sz w:val="20"/>
                <w:szCs w:val="20"/>
              </w:rPr>
              <w:noBreakHyphen/>
              <w:t>0.11, </w:t>
            </w:r>
            <w:r w:rsidRPr="00942872">
              <w:rPr>
                <w:rFonts w:ascii="Arial Narrow" w:hAnsi="Arial Narrow" w:cstheme="minorHAnsi"/>
                <w:bCs/>
                <w:sz w:val="20"/>
                <w:szCs w:val="20"/>
              </w:rPr>
              <w:noBreakHyphen/>
              <w:t>0.01</w:t>
            </w:r>
            <w:r w:rsidR="001A241F" w:rsidRPr="00942872">
              <w:rPr>
                <w:rFonts w:ascii="Arial Narrow" w:hAnsi="Arial Narrow" w:cstheme="minorHAnsi"/>
                <w:bCs/>
                <w:sz w:val="20"/>
                <w:szCs w:val="20"/>
              </w:rPr>
              <w:t>]</w:t>
            </w:r>
          </w:p>
        </w:tc>
      </w:tr>
      <w:tr w:rsidR="007805A7" w:rsidRPr="00942872" w14:paraId="7319B914" w14:textId="77777777" w:rsidTr="00816960">
        <w:trPr>
          <w:trHeight w:val="54"/>
        </w:trPr>
        <w:tc>
          <w:tcPr>
            <w:tcW w:w="9209" w:type="dxa"/>
            <w:gridSpan w:val="7"/>
          </w:tcPr>
          <w:p w14:paraId="02402D62" w14:textId="77777777" w:rsidR="007805A7" w:rsidRPr="00942872" w:rsidRDefault="007805A7" w:rsidP="00A95F72">
            <w:pPr>
              <w:rPr>
                <w:rFonts w:ascii="Arial Narrow" w:hAnsi="Arial Narrow" w:cstheme="minorHAnsi"/>
                <w:b/>
                <w:sz w:val="20"/>
                <w:szCs w:val="20"/>
              </w:rPr>
            </w:pPr>
            <w:r w:rsidRPr="00942872">
              <w:rPr>
                <w:rFonts w:ascii="Arial Narrow" w:hAnsi="Arial Narrow" w:cstheme="minorHAnsi"/>
                <w:b/>
                <w:sz w:val="20"/>
                <w:szCs w:val="20"/>
              </w:rPr>
              <w:t>Grade 3-5 immune-related adverse events</w:t>
            </w:r>
          </w:p>
        </w:tc>
      </w:tr>
      <w:tr w:rsidR="007805A7" w:rsidRPr="00942872" w14:paraId="20C4ACF6" w14:textId="77777777" w:rsidTr="00816960">
        <w:trPr>
          <w:trHeight w:val="443"/>
        </w:trPr>
        <w:tc>
          <w:tcPr>
            <w:tcW w:w="1696" w:type="dxa"/>
          </w:tcPr>
          <w:p w14:paraId="3CDE221D"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Cemiplimab vs. chemotherapy</w:t>
            </w:r>
          </w:p>
        </w:tc>
        <w:tc>
          <w:tcPr>
            <w:tcW w:w="1418" w:type="dxa"/>
            <w:shd w:val="clear" w:color="auto" w:fill="auto"/>
          </w:tcPr>
          <w:p w14:paraId="30CF8808"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1624</w:t>
            </w:r>
          </w:p>
        </w:tc>
        <w:tc>
          <w:tcPr>
            <w:tcW w:w="1396" w:type="dxa"/>
            <w:shd w:val="clear" w:color="auto" w:fill="auto"/>
          </w:tcPr>
          <w:p w14:paraId="24A2580D"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13/355 </w:t>
            </w:r>
            <w:r w:rsidRPr="00942872">
              <w:rPr>
                <w:rFonts w:ascii="Arial Narrow" w:hAnsi="Arial Narrow" w:cstheme="minorHAnsi"/>
                <w:sz w:val="20"/>
                <w:szCs w:val="20"/>
              </w:rPr>
              <w:br/>
              <w:t>(3.7%)</w:t>
            </w:r>
          </w:p>
        </w:tc>
        <w:tc>
          <w:tcPr>
            <w:tcW w:w="1297" w:type="dxa"/>
            <w:shd w:val="clear" w:color="auto" w:fill="auto"/>
          </w:tcPr>
          <w:p w14:paraId="0318A698"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1/342 </w:t>
            </w:r>
            <w:r w:rsidRPr="00942872">
              <w:rPr>
                <w:rFonts w:ascii="Arial Narrow" w:hAnsi="Arial Narrow" w:cstheme="minorHAnsi"/>
                <w:sz w:val="20"/>
                <w:szCs w:val="20"/>
              </w:rPr>
              <w:br/>
              <w:t>(0.3%)</w:t>
            </w:r>
          </w:p>
        </w:tc>
        <w:tc>
          <w:tcPr>
            <w:tcW w:w="1055" w:type="dxa"/>
            <w:shd w:val="clear" w:color="auto" w:fill="auto"/>
          </w:tcPr>
          <w:p w14:paraId="63BBCDB6" w14:textId="77777777" w:rsidR="007805A7" w:rsidRPr="00942872" w:rsidRDefault="007805A7"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 xml:space="preserve">12.52 </w:t>
            </w:r>
            <w:r w:rsidR="001A241F" w:rsidRPr="00942872">
              <w:rPr>
                <w:rFonts w:ascii="Arial Narrow" w:hAnsi="Arial Narrow" w:cstheme="minorHAnsi"/>
                <w:sz w:val="20"/>
                <w:szCs w:val="20"/>
              </w:rPr>
              <w:t>[</w:t>
            </w:r>
            <w:r w:rsidRPr="00942872">
              <w:rPr>
                <w:rFonts w:ascii="Arial Narrow" w:hAnsi="Arial Narrow" w:cstheme="minorHAnsi"/>
                <w:sz w:val="20"/>
                <w:szCs w:val="20"/>
              </w:rPr>
              <w:t>1.65, 95.22</w:t>
            </w:r>
            <w:r w:rsidR="001A241F" w:rsidRPr="00942872">
              <w:rPr>
                <w:rFonts w:ascii="Arial Narrow" w:hAnsi="Arial Narrow" w:cstheme="minorHAnsi"/>
                <w:sz w:val="20"/>
                <w:szCs w:val="20"/>
              </w:rPr>
              <w:t>]</w:t>
            </w:r>
          </w:p>
        </w:tc>
        <w:tc>
          <w:tcPr>
            <w:tcW w:w="1101" w:type="dxa"/>
          </w:tcPr>
          <w:p w14:paraId="36CFBDAD" w14:textId="77777777" w:rsidR="007805A7" w:rsidRPr="00942872" w:rsidRDefault="007805A7"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 xml:space="preserve">12.96 </w:t>
            </w:r>
            <w:r w:rsidR="001A241F" w:rsidRPr="00942872">
              <w:rPr>
                <w:rFonts w:ascii="Arial Narrow" w:hAnsi="Arial Narrow" w:cstheme="minorHAnsi"/>
                <w:sz w:val="20"/>
                <w:szCs w:val="20"/>
              </w:rPr>
              <w:t>[</w:t>
            </w:r>
            <w:r w:rsidRPr="00942872">
              <w:rPr>
                <w:rFonts w:ascii="Arial Narrow" w:hAnsi="Arial Narrow" w:cstheme="minorHAnsi"/>
                <w:sz w:val="20"/>
                <w:szCs w:val="20"/>
              </w:rPr>
              <w:t>1.69, 99.64</w:t>
            </w:r>
            <w:r w:rsidR="001A241F" w:rsidRPr="00942872">
              <w:rPr>
                <w:rFonts w:ascii="Arial Narrow" w:hAnsi="Arial Narrow" w:cstheme="minorHAnsi"/>
                <w:sz w:val="20"/>
                <w:szCs w:val="20"/>
              </w:rPr>
              <w:t>]</w:t>
            </w:r>
          </w:p>
        </w:tc>
        <w:tc>
          <w:tcPr>
            <w:tcW w:w="1246" w:type="dxa"/>
            <w:shd w:val="clear" w:color="auto" w:fill="auto"/>
          </w:tcPr>
          <w:p w14:paraId="5AAC584F" w14:textId="77777777" w:rsidR="007805A7" w:rsidRPr="00942872" w:rsidRDefault="001A241F"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0.03 [</w:t>
            </w:r>
            <w:r w:rsidR="0001357A" w:rsidRPr="00942872">
              <w:rPr>
                <w:rFonts w:ascii="Arial Narrow" w:hAnsi="Arial Narrow" w:cstheme="minorHAnsi"/>
                <w:sz w:val="20"/>
                <w:szCs w:val="20"/>
              </w:rPr>
              <w:t>0.01, 0.05]</w:t>
            </w:r>
          </w:p>
        </w:tc>
      </w:tr>
      <w:tr w:rsidR="007805A7" w:rsidRPr="00942872" w14:paraId="63502949" w14:textId="77777777" w:rsidTr="00816960">
        <w:tc>
          <w:tcPr>
            <w:tcW w:w="1696" w:type="dxa"/>
            <w:vMerge w:val="restart"/>
          </w:tcPr>
          <w:p w14:paraId="342C202D"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Pembrolizumab vs. chemotherapy</w:t>
            </w:r>
          </w:p>
        </w:tc>
        <w:tc>
          <w:tcPr>
            <w:tcW w:w="1418" w:type="dxa"/>
            <w:shd w:val="clear" w:color="auto" w:fill="auto"/>
          </w:tcPr>
          <w:p w14:paraId="1BDB2AC7" w14:textId="77777777" w:rsidR="007805A7" w:rsidRPr="00942872" w:rsidRDefault="004C46D9" w:rsidP="00A95F72">
            <w:pPr>
              <w:jc w:val="left"/>
              <w:rPr>
                <w:rFonts w:ascii="Arial Narrow" w:hAnsi="Arial Narrow" w:cstheme="minorHAnsi"/>
                <w:sz w:val="20"/>
                <w:szCs w:val="20"/>
              </w:rPr>
            </w:pPr>
            <w:r w:rsidRPr="00942872">
              <w:rPr>
                <w:rFonts w:ascii="Arial Narrow" w:hAnsi="Arial Narrow" w:cstheme="minorHAnsi"/>
                <w:sz w:val="20"/>
                <w:szCs w:val="20"/>
              </w:rPr>
              <w:t>KN024</w:t>
            </w:r>
          </w:p>
        </w:tc>
        <w:tc>
          <w:tcPr>
            <w:tcW w:w="1396" w:type="dxa"/>
            <w:shd w:val="clear" w:color="auto" w:fill="auto"/>
          </w:tcPr>
          <w:p w14:paraId="4204D242"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15/154 </w:t>
            </w:r>
            <w:r w:rsidRPr="00942872">
              <w:rPr>
                <w:rFonts w:ascii="Arial Narrow" w:hAnsi="Arial Narrow" w:cstheme="minorHAnsi"/>
                <w:sz w:val="20"/>
                <w:szCs w:val="20"/>
              </w:rPr>
              <w:br/>
              <w:t>(9.7%)</w:t>
            </w:r>
          </w:p>
        </w:tc>
        <w:tc>
          <w:tcPr>
            <w:tcW w:w="1297" w:type="dxa"/>
            <w:shd w:val="clear" w:color="auto" w:fill="auto"/>
          </w:tcPr>
          <w:p w14:paraId="4E031022"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1/150 </w:t>
            </w:r>
            <w:r w:rsidRPr="00942872">
              <w:rPr>
                <w:rFonts w:ascii="Arial Narrow" w:hAnsi="Arial Narrow" w:cstheme="minorHAnsi"/>
                <w:sz w:val="20"/>
                <w:szCs w:val="20"/>
              </w:rPr>
              <w:br/>
              <w:t>(0.7%)</w:t>
            </w:r>
          </w:p>
        </w:tc>
        <w:tc>
          <w:tcPr>
            <w:tcW w:w="1055" w:type="dxa"/>
            <w:shd w:val="clear" w:color="auto" w:fill="auto"/>
          </w:tcPr>
          <w:p w14:paraId="668EC03E" w14:textId="77777777" w:rsidR="007805A7" w:rsidRPr="00942872" w:rsidRDefault="007805A7" w:rsidP="00A95F72">
            <w:pPr>
              <w:ind w:left="-113" w:right="-113"/>
              <w:jc w:val="center"/>
              <w:rPr>
                <w:rFonts w:ascii="Arial Narrow" w:hAnsi="Arial Narrow" w:cstheme="minorHAnsi"/>
                <w:sz w:val="20"/>
                <w:szCs w:val="20"/>
              </w:rPr>
            </w:pPr>
            <w:r w:rsidRPr="00942872">
              <w:rPr>
                <w:rFonts w:ascii="Arial Narrow" w:hAnsi="Arial Narrow" w:cstheme="minorHAnsi"/>
                <w:sz w:val="20"/>
                <w:szCs w:val="20"/>
              </w:rPr>
              <w:t xml:space="preserve">14.61 </w:t>
            </w:r>
            <w:r w:rsidR="001A241F" w:rsidRPr="00942872">
              <w:rPr>
                <w:rFonts w:ascii="Arial Narrow" w:hAnsi="Arial Narrow" w:cstheme="minorHAnsi"/>
                <w:sz w:val="20"/>
                <w:szCs w:val="20"/>
              </w:rPr>
              <w:t>[</w:t>
            </w:r>
            <w:r w:rsidRPr="00942872">
              <w:rPr>
                <w:rFonts w:ascii="Arial Narrow" w:hAnsi="Arial Narrow" w:cstheme="minorHAnsi"/>
                <w:sz w:val="20"/>
                <w:szCs w:val="20"/>
              </w:rPr>
              <w:t>1.95, 109.23</w:t>
            </w:r>
            <w:r w:rsidR="001A241F" w:rsidRPr="00942872">
              <w:rPr>
                <w:rFonts w:ascii="Arial Narrow" w:hAnsi="Arial Narrow" w:cstheme="minorHAnsi"/>
                <w:sz w:val="20"/>
                <w:szCs w:val="20"/>
              </w:rPr>
              <w:t>]</w:t>
            </w:r>
          </w:p>
        </w:tc>
        <w:tc>
          <w:tcPr>
            <w:tcW w:w="1101" w:type="dxa"/>
          </w:tcPr>
          <w:p w14:paraId="0D71E6D7" w14:textId="77777777" w:rsidR="007805A7" w:rsidRPr="00942872" w:rsidRDefault="007805A7" w:rsidP="00A95F72">
            <w:pPr>
              <w:ind w:left="-113" w:right="-113"/>
              <w:jc w:val="center"/>
              <w:rPr>
                <w:rFonts w:ascii="Arial Narrow" w:hAnsi="Arial Narrow" w:cstheme="minorHAnsi"/>
                <w:sz w:val="20"/>
                <w:szCs w:val="20"/>
              </w:rPr>
            </w:pPr>
            <w:r w:rsidRPr="00942872">
              <w:rPr>
                <w:rFonts w:ascii="Arial Narrow" w:hAnsi="Arial Narrow" w:cstheme="minorHAnsi"/>
                <w:sz w:val="20"/>
                <w:szCs w:val="20"/>
              </w:rPr>
              <w:t xml:space="preserve">16.08 </w:t>
            </w:r>
            <w:r w:rsidR="001A241F" w:rsidRPr="00942872">
              <w:rPr>
                <w:rFonts w:ascii="Arial Narrow" w:hAnsi="Arial Narrow" w:cstheme="minorHAnsi"/>
                <w:sz w:val="20"/>
                <w:szCs w:val="20"/>
              </w:rPr>
              <w:t>[</w:t>
            </w:r>
            <w:r w:rsidRPr="00942872">
              <w:rPr>
                <w:rFonts w:ascii="Arial Narrow" w:hAnsi="Arial Narrow" w:cstheme="minorHAnsi"/>
                <w:sz w:val="20"/>
                <w:szCs w:val="20"/>
              </w:rPr>
              <w:t>2.10, 123.34</w:t>
            </w:r>
            <w:r w:rsidR="001A241F" w:rsidRPr="00942872">
              <w:rPr>
                <w:rFonts w:ascii="Arial Narrow" w:hAnsi="Arial Narrow" w:cstheme="minorHAnsi"/>
                <w:sz w:val="20"/>
                <w:szCs w:val="20"/>
              </w:rPr>
              <w:t>]</w:t>
            </w:r>
          </w:p>
        </w:tc>
        <w:tc>
          <w:tcPr>
            <w:tcW w:w="1246" w:type="dxa"/>
            <w:shd w:val="clear" w:color="auto" w:fill="auto"/>
          </w:tcPr>
          <w:p w14:paraId="65B17130" w14:textId="77777777" w:rsidR="007805A7" w:rsidRPr="00942872" w:rsidRDefault="001A241F"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0.09 [</w:t>
            </w:r>
            <w:r w:rsidR="0001357A" w:rsidRPr="00942872">
              <w:rPr>
                <w:rFonts w:ascii="Arial Narrow" w:hAnsi="Arial Narrow" w:cstheme="minorHAnsi"/>
                <w:sz w:val="20"/>
                <w:szCs w:val="20"/>
              </w:rPr>
              <w:t>0.04, 0.14]</w:t>
            </w:r>
          </w:p>
        </w:tc>
      </w:tr>
      <w:tr w:rsidR="007805A7" w:rsidRPr="00942872" w14:paraId="1BF4B530" w14:textId="77777777" w:rsidTr="00816960">
        <w:tc>
          <w:tcPr>
            <w:tcW w:w="1696" w:type="dxa"/>
            <w:vMerge/>
          </w:tcPr>
          <w:p w14:paraId="154CB01C" w14:textId="77777777" w:rsidR="007805A7" w:rsidRPr="00942872" w:rsidRDefault="007805A7" w:rsidP="00A95F72">
            <w:pPr>
              <w:jc w:val="left"/>
              <w:rPr>
                <w:rFonts w:ascii="Arial Narrow" w:hAnsi="Arial Narrow" w:cstheme="minorHAnsi"/>
                <w:sz w:val="20"/>
                <w:szCs w:val="20"/>
              </w:rPr>
            </w:pPr>
          </w:p>
        </w:tc>
        <w:tc>
          <w:tcPr>
            <w:tcW w:w="1418" w:type="dxa"/>
            <w:shd w:val="clear" w:color="auto" w:fill="auto"/>
          </w:tcPr>
          <w:p w14:paraId="3A0CECCD" w14:textId="77777777" w:rsidR="007805A7" w:rsidRPr="00942872" w:rsidRDefault="004C46D9" w:rsidP="00A95F72">
            <w:pPr>
              <w:jc w:val="left"/>
              <w:rPr>
                <w:rFonts w:ascii="Arial Narrow" w:hAnsi="Arial Narrow" w:cstheme="minorHAnsi"/>
                <w:sz w:val="20"/>
                <w:szCs w:val="20"/>
              </w:rPr>
            </w:pPr>
            <w:r w:rsidRPr="00942872">
              <w:rPr>
                <w:rFonts w:ascii="Arial Narrow" w:hAnsi="Arial Narrow" w:cstheme="minorHAnsi"/>
                <w:sz w:val="20"/>
                <w:szCs w:val="20"/>
              </w:rPr>
              <w:t>KN042</w:t>
            </w:r>
          </w:p>
        </w:tc>
        <w:tc>
          <w:tcPr>
            <w:tcW w:w="1396" w:type="dxa"/>
            <w:shd w:val="clear" w:color="auto" w:fill="auto"/>
          </w:tcPr>
          <w:p w14:paraId="1CE54B04"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51/636 </w:t>
            </w:r>
            <w:r w:rsidRPr="00942872">
              <w:rPr>
                <w:rFonts w:ascii="Arial Narrow" w:hAnsi="Arial Narrow" w:cstheme="minorHAnsi"/>
                <w:sz w:val="20"/>
                <w:szCs w:val="20"/>
              </w:rPr>
              <w:br/>
              <w:t>(8.0%)</w:t>
            </w:r>
          </w:p>
        </w:tc>
        <w:tc>
          <w:tcPr>
            <w:tcW w:w="1297" w:type="dxa"/>
            <w:shd w:val="clear" w:color="auto" w:fill="auto"/>
          </w:tcPr>
          <w:p w14:paraId="237BAA6D"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 xml:space="preserve">9/615 </w:t>
            </w:r>
            <w:r w:rsidRPr="00942872">
              <w:rPr>
                <w:rFonts w:ascii="Arial Narrow" w:hAnsi="Arial Narrow" w:cstheme="minorHAnsi"/>
                <w:sz w:val="20"/>
                <w:szCs w:val="20"/>
              </w:rPr>
              <w:br/>
              <w:t>(1.5%)</w:t>
            </w:r>
          </w:p>
        </w:tc>
        <w:tc>
          <w:tcPr>
            <w:tcW w:w="1055" w:type="dxa"/>
            <w:shd w:val="clear" w:color="auto" w:fill="auto"/>
          </w:tcPr>
          <w:p w14:paraId="5A45E67F" w14:textId="77777777" w:rsidR="007805A7" w:rsidRPr="00942872" w:rsidRDefault="007805A7"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 xml:space="preserve">5.48 </w:t>
            </w:r>
            <w:r w:rsidR="001A241F" w:rsidRPr="00942872">
              <w:rPr>
                <w:rFonts w:ascii="Arial Narrow" w:hAnsi="Arial Narrow" w:cstheme="minorHAnsi"/>
                <w:sz w:val="20"/>
                <w:szCs w:val="20"/>
              </w:rPr>
              <w:t>[</w:t>
            </w:r>
            <w:r w:rsidRPr="00942872">
              <w:rPr>
                <w:rFonts w:ascii="Arial Narrow" w:hAnsi="Arial Narrow" w:cstheme="minorHAnsi"/>
                <w:sz w:val="20"/>
                <w:szCs w:val="20"/>
              </w:rPr>
              <w:t>2.72, 11.03</w:t>
            </w:r>
            <w:r w:rsidR="001A241F" w:rsidRPr="00942872">
              <w:rPr>
                <w:rFonts w:ascii="Arial Narrow" w:hAnsi="Arial Narrow" w:cstheme="minorHAnsi"/>
                <w:sz w:val="20"/>
                <w:szCs w:val="20"/>
              </w:rPr>
              <w:t>]</w:t>
            </w:r>
          </w:p>
        </w:tc>
        <w:tc>
          <w:tcPr>
            <w:tcW w:w="1101" w:type="dxa"/>
          </w:tcPr>
          <w:p w14:paraId="46A87A3E" w14:textId="77777777" w:rsidR="007805A7" w:rsidRPr="00942872" w:rsidRDefault="007805A7"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 xml:space="preserve">5.87 </w:t>
            </w:r>
            <w:r w:rsidR="001A241F" w:rsidRPr="00942872">
              <w:rPr>
                <w:rFonts w:ascii="Arial Narrow" w:hAnsi="Arial Narrow" w:cstheme="minorHAnsi"/>
                <w:sz w:val="20"/>
                <w:szCs w:val="20"/>
              </w:rPr>
              <w:t>[</w:t>
            </w:r>
            <w:r w:rsidRPr="00942872">
              <w:rPr>
                <w:rFonts w:ascii="Arial Narrow" w:hAnsi="Arial Narrow" w:cstheme="minorHAnsi"/>
                <w:sz w:val="20"/>
                <w:szCs w:val="20"/>
              </w:rPr>
              <w:t>2.86, 12.03</w:t>
            </w:r>
            <w:r w:rsidR="001A241F" w:rsidRPr="00942872">
              <w:rPr>
                <w:rFonts w:ascii="Arial Narrow" w:hAnsi="Arial Narrow" w:cstheme="minorHAnsi"/>
                <w:sz w:val="20"/>
                <w:szCs w:val="20"/>
              </w:rPr>
              <w:t>]</w:t>
            </w:r>
          </w:p>
        </w:tc>
        <w:tc>
          <w:tcPr>
            <w:tcW w:w="1246" w:type="dxa"/>
            <w:shd w:val="clear" w:color="auto" w:fill="auto"/>
          </w:tcPr>
          <w:p w14:paraId="486669C6" w14:textId="77777777" w:rsidR="007805A7" w:rsidRPr="00942872" w:rsidRDefault="001A241F" w:rsidP="00A95F72">
            <w:pPr>
              <w:ind w:left="-57" w:right="-57"/>
              <w:jc w:val="center"/>
              <w:rPr>
                <w:rFonts w:ascii="Arial Narrow" w:hAnsi="Arial Narrow" w:cstheme="minorHAnsi"/>
                <w:sz w:val="20"/>
                <w:szCs w:val="20"/>
              </w:rPr>
            </w:pPr>
            <w:r w:rsidRPr="00942872">
              <w:rPr>
                <w:rFonts w:ascii="Arial Narrow" w:hAnsi="Arial Narrow" w:cstheme="minorHAnsi"/>
                <w:sz w:val="20"/>
                <w:szCs w:val="20"/>
              </w:rPr>
              <w:t>0.07 [</w:t>
            </w:r>
            <w:r w:rsidR="0001357A" w:rsidRPr="00942872">
              <w:rPr>
                <w:rFonts w:ascii="Arial Narrow" w:hAnsi="Arial Narrow" w:cstheme="minorHAnsi"/>
                <w:sz w:val="20"/>
                <w:szCs w:val="20"/>
              </w:rPr>
              <w:t>0.04, 0.09]</w:t>
            </w:r>
          </w:p>
        </w:tc>
      </w:tr>
      <w:tr w:rsidR="007805A7" w:rsidRPr="00942872" w14:paraId="56B7DEE0" w14:textId="77777777" w:rsidTr="00816960">
        <w:trPr>
          <w:trHeight w:val="185"/>
        </w:trPr>
        <w:tc>
          <w:tcPr>
            <w:tcW w:w="1696" w:type="dxa"/>
            <w:vMerge/>
            <w:tcBorders>
              <w:bottom w:val="single" w:sz="4" w:space="0" w:color="auto"/>
            </w:tcBorders>
          </w:tcPr>
          <w:p w14:paraId="15D7A744" w14:textId="77777777" w:rsidR="007805A7" w:rsidRPr="00942872" w:rsidRDefault="007805A7" w:rsidP="00A95F72">
            <w:pPr>
              <w:jc w:val="left"/>
              <w:rPr>
                <w:rFonts w:ascii="Arial Narrow" w:hAnsi="Arial Narrow" w:cstheme="minorHAnsi"/>
                <w:sz w:val="20"/>
                <w:szCs w:val="20"/>
              </w:rPr>
            </w:pPr>
          </w:p>
        </w:tc>
        <w:tc>
          <w:tcPr>
            <w:tcW w:w="1418" w:type="dxa"/>
            <w:tcBorders>
              <w:bottom w:val="single" w:sz="4" w:space="0" w:color="auto"/>
            </w:tcBorders>
            <w:shd w:val="clear" w:color="auto" w:fill="auto"/>
          </w:tcPr>
          <w:p w14:paraId="0D38915B" w14:textId="77777777" w:rsidR="007805A7" w:rsidRPr="00942872" w:rsidRDefault="007805A7" w:rsidP="00A95F72">
            <w:pPr>
              <w:jc w:val="left"/>
              <w:rPr>
                <w:rFonts w:ascii="Arial Narrow" w:hAnsi="Arial Narrow" w:cstheme="minorHAnsi"/>
                <w:sz w:val="20"/>
                <w:szCs w:val="20"/>
                <w:vertAlign w:val="superscript"/>
              </w:rPr>
            </w:pPr>
            <w:r w:rsidRPr="00942872">
              <w:rPr>
                <w:rFonts w:ascii="Arial Narrow" w:hAnsi="Arial Narrow" w:cstheme="minorHAnsi"/>
                <w:sz w:val="20"/>
                <w:szCs w:val="20"/>
              </w:rPr>
              <w:t xml:space="preserve">KN meta-analysis, </w:t>
            </w:r>
            <w:r w:rsidRPr="00942872">
              <w:rPr>
                <w:rFonts w:ascii="Arial Narrow" w:hAnsi="Arial Narrow" w:cstheme="minorHAnsi"/>
                <w:iCs/>
                <w:sz w:val="20"/>
                <w:szCs w:val="20"/>
              </w:rPr>
              <w:t>k</w:t>
            </w:r>
            <w:r w:rsidRPr="00942872">
              <w:rPr>
                <w:rFonts w:ascii="Arial Narrow" w:hAnsi="Arial Narrow" w:cstheme="minorHAnsi"/>
                <w:sz w:val="20"/>
                <w:szCs w:val="20"/>
              </w:rPr>
              <w:t> = 2</w:t>
            </w:r>
          </w:p>
        </w:tc>
        <w:tc>
          <w:tcPr>
            <w:tcW w:w="2693" w:type="dxa"/>
            <w:gridSpan w:val="2"/>
            <w:tcBorders>
              <w:bottom w:val="single" w:sz="4" w:space="0" w:color="auto"/>
            </w:tcBorders>
            <w:shd w:val="clear" w:color="auto" w:fill="auto"/>
          </w:tcPr>
          <w:p w14:paraId="4E2D05A2" w14:textId="77777777" w:rsidR="007805A7" w:rsidRPr="00942872" w:rsidRDefault="007805A7" w:rsidP="00A95F72">
            <w:pPr>
              <w:jc w:val="center"/>
              <w:rPr>
                <w:rFonts w:ascii="Arial Narrow" w:hAnsi="Arial Narrow" w:cstheme="minorHAnsi"/>
                <w:sz w:val="20"/>
                <w:szCs w:val="20"/>
              </w:rPr>
            </w:pPr>
            <w:r w:rsidRPr="00942872">
              <w:rPr>
                <w:rFonts w:ascii="Arial Narrow" w:hAnsi="Arial Narrow" w:cstheme="minorHAnsi"/>
                <w:sz w:val="20"/>
                <w:szCs w:val="20"/>
              </w:rPr>
              <w:t>–</w:t>
            </w:r>
          </w:p>
        </w:tc>
        <w:tc>
          <w:tcPr>
            <w:tcW w:w="1055" w:type="dxa"/>
            <w:tcBorders>
              <w:bottom w:val="single" w:sz="4" w:space="0" w:color="auto"/>
            </w:tcBorders>
            <w:shd w:val="clear" w:color="auto" w:fill="auto"/>
          </w:tcPr>
          <w:p w14:paraId="303DECD2" w14:textId="77777777" w:rsidR="007805A7" w:rsidRPr="00942872" w:rsidRDefault="001A241F" w:rsidP="00A95F72">
            <w:pPr>
              <w:ind w:left="-57" w:right="-57"/>
              <w:jc w:val="center"/>
              <w:rPr>
                <w:rFonts w:ascii="Arial Narrow" w:hAnsi="Arial Narrow"/>
                <w:sz w:val="20"/>
                <w:szCs w:val="20"/>
              </w:rPr>
            </w:pPr>
            <w:r w:rsidRPr="00942872">
              <w:rPr>
                <w:rFonts w:ascii="Arial Narrow" w:hAnsi="Arial Narrow" w:cstheme="minorHAnsi"/>
                <w:sz w:val="20"/>
                <w:szCs w:val="20"/>
              </w:rPr>
              <w:t>6.09 [</w:t>
            </w:r>
            <w:r w:rsidR="0001357A" w:rsidRPr="00942872">
              <w:rPr>
                <w:rFonts w:ascii="Arial Narrow" w:hAnsi="Arial Narrow" w:cstheme="minorHAnsi"/>
                <w:sz w:val="20"/>
                <w:szCs w:val="20"/>
              </w:rPr>
              <w:t>3.15, 11.80]</w:t>
            </w:r>
          </w:p>
        </w:tc>
        <w:tc>
          <w:tcPr>
            <w:tcW w:w="1101" w:type="dxa"/>
            <w:tcBorders>
              <w:bottom w:val="single" w:sz="4" w:space="0" w:color="auto"/>
            </w:tcBorders>
          </w:tcPr>
          <w:p w14:paraId="52B30D61" w14:textId="77777777" w:rsidR="007805A7" w:rsidRPr="00942872" w:rsidRDefault="007805A7" w:rsidP="00A95F72">
            <w:pPr>
              <w:ind w:left="-57" w:right="-57"/>
              <w:jc w:val="center"/>
              <w:rPr>
                <w:rFonts w:ascii="Arial Narrow" w:hAnsi="Arial Narrow"/>
                <w:sz w:val="20"/>
                <w:szCs w:val="20"/>
              </w:rPr>
            </w:pPr>
            <w:r w:rsidRPr="00942872">
              <w:rPr>
                <w:rFonts w:ascii="Arial Narrow" w:hAnsi="Arial Narrow" w:cstheme="minorHAnsi"/>
                <w:sz w:val="20"/>
                <w:szCs w:val="20"/>
              </w:rPr>
              <w:t xml:space="preserve">6.56 </w:t>
            </w:r>
            <w:r w:rsidR="001A241F" w:rsidRPr="00942872">
              <w:rPr>
                <w:rFonts w:ascii="Arial Narrow" w:hAnsi="Arial Narrow" w:cstheme="minorHAnsi"/>
                <w:sz w:val="20"/>
                <w:szCs w:val="20"/>
              </w:rPr>
              <w:t>[</w:t>
            </w:r>
            <w:r w:rsidRPr="00942872">
              <w:rPr>
                <w:rFonts w:ascii="Arial Narrow" w:hAnsi="Arial Narrow" w:cstheme="minorHAnsi"/>
                <w:sz w:val="20"/>
                <w:szCs w:val="20"/>
              </w:rPr>
              <w:t>3.33, 12.91</w:t>
            </w:r>
            <w:r w:rsidR="001A241F" w:rsidRPr="00942872">
              <w:rPr>
                <w:rFonts w:ascii="Arial Narrow" w:hAnsi="Arial Narrow" w:cstheme="minorHAnsi"/>
                <w:sz w:val="20"/>
                <w:szCs w:val="20"/>
              </w:rPr>
              <w:t>]</w:t>
            </w:r>
          </w:p>
        </w:tc>
        <w:tc>
          <w:tcPr>
            <w:tcW w:w="1246" w:type="dxa"/>
            <w:tcBorders>
              <w:bottom w:val="single" w:sz="4" w:space="0" w:color="auto"/>
            </w:tcBorders>
            <w:shd w:val="clear" w:color="auto" w:fill="auto"/>
          </w:tcPr>
          <w:p w14:paraId="3A151AF4" w14:textId="77777777" w:rsidR="007805A7" w:rsidRPr="00942872" w:rsidRDefault="007805A7" w:rsidP="00A95F72">
            <w:pPr>
              <w:ind w:left="-57" w:right="-57"/>
              <w:jc w:val="center"/>
              <w:rPr>
                <w:rFonts w:ascii="Arial Narrow" w:hAnsi="Arial Narrow"/>
                <w:sz w:val="20"/>
                <w:szCs w:val="20"/>
              </w:rPr>
            </w:pPr>
            <w:r w:rsidRPr="00942872">
              <w:rPr>
                <w:rFonts w:ascii="Arial Narrow" w:hAnsi="Arial Narrow" w:cstheme="minorHAnsi"/>
                <w:sz w:val="20"/>
                <w:szCs w:val="20"/>
              </w:rPr>
              <w:t xml:space="preserve">0.07 </w:t>
            </w:r>
            <w:r w:rsidR="001A241F" w:rsidRPr="00942872">
              <w:rPr>
                <w:rFonts w:ascii="Arial Narrow" w:hAnsi="Arial Narrow" w:cstheme="minorHAnsi"/>
                <w:sz w:val="20"/>
                <w:szCs w:val="20"/>
              </w:rPr>
              <w:t>[</w:t>
            </w:r>
            <w:r w:rsidRPr="00942872">
              <w:rPr>
                <w:rFonts w:ascii="Arial Narrow" w:hAnsi="Arial Narrow" w:cstheme="minorHAnsi"/>
                <w:sz w:val="20"/>
                <w:szCs w:val="20"/>
              </w:rPr>
              <w:t>0.05, 0.09</w:t>
            </w:r>
            <w:r w:rsidR="0001357A" w:rsidRPr="00942872">
              <w:rPr>
                <w:rFonts w:ascii="Arial Narrow" w:hAnsi="Arial Narrow" w:cstheme="minorHAnsi"/>
                <w:sz w:val="20"/>
                <w:szCs w:val="20"/>
              </w:rPr>
              <w:t>]</w:t>
            </w:r>
          </w:p>
        </w:tc>
      </w:tr>
      <w:tr w:rsidR="007805A7" w:rsidRPr="00942872" w14:paraId="0684D60A" w14:textId="77777777" w:rsidTr="00816960">
        <w:trPr>
          <w:trHeight w:val="274"/>
        </w:trPr>
        <w:tc>
          <w:tcPr>
            <w:tcW w:w="1696" w:type="dxa"/>
            <w:shd w:val="clear" w:color="auto" w:fill="D9D9D9" w:themeFill="background1" w:themeFillShade="D9"/>
          </w:tcPr>
          <w:p w14:paraId="66EE2837" w14:textId="77777777" w:rsidR="007805A7" w:rsidRPr="00942872" w:rsidRDefault="007805A7" w:rsidP="00A95F72">
            <w:pPr>
              <w:jc w:val="left"/>
              <w:rPr>
                <w:rFonts w:ascii="Arial Narrow" w:hAnsi="Arial Narrow" w:cstheme="minorHAnsi"/>
                <w:sz w:val="20"/>
                <w:szCs w:val="20"/>
              </w:rPr>
            </w:pPr>
            <w:r w:rsidRPr="00942872">
              <w:rPr>
                <w:rFonts w:ascii="Arial Narrow" w:hAnsi="Arial Narrow" w:cstheme="minorHAnsi"/>
                <w:sz w:val="20"/>
                <w:szCs w:val="20"/>
              </w:rPr>
              <w:t xml:space="preserve">ITC cemiplimab vs. pembrolizumab </w:t>
            </w:r>
          </w:p>
        </w:tc>
        <w:tc>
          <w:tcPr>
            <w:tcW w:w="1418" w:type="dxa"/>
            <w:shd w:val="clear" w:color="auto" w:fill="D9D9D9" w:themeFill="background1" w:themeFillShade="D9"/>
          </w:tcPr>
          <w:p w14:paraId="5989B4F3" w14:textId="77777777" w:rsidR="007805A7" w:rsidRPr="00942872" w:rsidRDefault="007805A7" w:rsidP="00410064">
            <w:pPr>
              <w:ind w:right="-57"/>
              <w:jc w:val="left"/>
              <w:rPr>
                <w:rFonts w:ascii="Arial Narrow" w:hAnsi="Arial Narrow" w:cstheme="minorHAnsi"/>
                <w:bCs/>
                <w:sz w:val="20"/>
                <w:szCs w:val="20"/>
              </w:rPr>
            </w:pPr>
            <w:r w:rsidRPr="00942872">
              <w:rPr>
                <w:rFonts w:ascii="Arial Narrow" w:hAnsi="Arial Narrow" w:cstheme="minorHAnsi"/>
                <w:bCs/>
                <w:sz w:val="20"/>
                <w:szCs w:val="20"/>
              </w:rPr>
              <w:t>1624 vs. KN meta</w:t>
            </w:r>
            <w:r w:rsidRPr="00942872">
              <w:rPr>
                <w:rFonts w:ascii="Arial Narrow" w:hAnsi="Arial Narrow" w:cstheme="minorHAnsi"/>
                <w:bCs/>
                <w:sz w:val="20"/>
                <w:szCs w:val="20"/>
              </w:rPr>
              <w:noBreakHyphen/>
              <w:t>analysis</w:t>
            </w:r>
          </w:p>
        </w:tc>
        <w:tc>
          <w:tcPr>
            <w:tcW w:w="2693" w:type="dxa"/>
            <w:gridSpan w:val="2"/>
            <w:shd w:val="clear" w:color="auto" w:fill="D9D9D9" w:themeFill="background1" w:themeFillShade="D9"/>
          </w:tcPr>
          <w:p w14:paraId="12EFA87E" w14:textId="77777777" w:rsidR="007805A7" w:rsidRPr="00942872" w:rsidRDefault="007805A7" w:rsidP="00A95F72">
            <w:pPr>
              <w:jc w:val="center"/>
              <w:rPr>
                <w:rFonts w:ascii="Arial Narrow" w:hAnsi="Arial Narrow" w:cstheme="minorHAnsi"/>
                <w:bCs/>
                <w:sz w:val="20"/>
                <w:szCs w:val="20"/>
                <w:highlight w:val="yellow"/>
              </w:rPr>
            </w:pPr>
            <w:r w:rsidRPr="00942872">
              <w:rPr>
                <w:rFonts w:ascii="Arial Narrow" w:hAnsi="Arial Narrow" w:cstheme="minorHAnsi"/>
                <w:sz w:val="20"/>
                <w:szCs w:val="20"/>
              </w:rPr>
              <w:t>–</w:t>
            </w:r>
          </w:p>
        </w:tc>
        <w:tc>
          <w:tcPr>
            <w:tcW w:w="1055" w:type="dxa"/>
            <w:shd w:val="clear" w:color="auto" w:fill="D9D9D9" w:themeFill="background1" w:themeFillShade="D9"/>
          </w:tcPr>
          <w:p w14:paraId="0F1FB7ED" w14:textId="77777777" w:rsidR="007805A7" w:rsidRPr="00942872" w:rsidRDefault="001A241F" w:rsidP="00A95F72">
            <w:pPr>
              <w:ind w:left="-57" w:right="-57"/>
              <w:jc w:val="center"/>
              <w:rPr>
                <w:rFonts w:ascii="Arial Narrow" w:hAnsi="Arial Narrow" w:cstheme="minorHAnsi"/>
                <w:bCs/>
                <w:sz w:val="20"/>
                <w:szCs w:val="20"/>
                <w:highlight w:val="yellow"/>
              </w:rPr>
            </w:pPr>
            <w:r w:rsidRPr="00942872">
              <w:rPr>
                <w:rFonts w:ascii="Arial Narrow" w:hAnsi="Arial Narrow" w:cstheme="minorHAnsi"/>
                <w:bCs/>
                <w:sz w:val="20"/>
                <w:szCs w:val="20"/>
              </w:rPr>
              <w:t>2.06 [</w:t>
            </w:r>
            <w:r w:rsidR="0001357A" w:rsidRPr="00942872">
              <w:rPr>
                <w:rFonts w:ascii="Arial Narrow" w:hAnsi="Arial Narrow" w:cstheme="minorHAnsi"/>
                <w:bCs/>
                <w:sz w:val="20"/>
                <w:szCs w:val="20"/>
              </w:rPr>
              <w:t>0.24, 17.36]</w:t>
            </w:r>
          </w:p>
        </w:tc>
        <w:tc>
          <w:tcPr>
            <w:tcW w:w="1101" w:type="dxa"/>
            <w:shd w:val="clear" w:color="auto" w:fill="D9D9D9" w:themeFill="background1" w:themeFillShade="D9"/>
          </w:tcPr>
          <w:p w14:paraId="4EDFC3E2" w14:textId="77777777" w:rsidR="007805A7" w:rsidRPr="00942872" w:rsidRDefault="007805A7" w:rsidP="00A95F72">
            <w:pPr>
              <w:ind w:left="-57" w:right="-57"/>
              <w:jc w:val="center"/>
              <w:rPr>
                <w:rFonts w:ascii="Arial Narrow" w:hAnsi="Arial Narrow" w:cstheme="minorHAnsi"/>
                <w:bCs/>
                <w:sz w:val="20"/>
                <w:szCs w:val="20"/>
                <w:highlight w:val="yellow"/>
              </w:rPr>
            </w:pPr>
            <w:r w:rsidRPr="00942872">
              <w:rPr>
                <w:rFonts w:ascii="Arial Narrow" w:hAnsi="Arial Narrow" w:cstheme="minorHAnsi"/>
                <w:bCs/>
                <w:sz w:val="20"/>
                <w:szCs w:val="20"/>
              </w:rPr>
              <w:t xml:space="preserve">1.98 </w:t>
            </w:r>
            <w:r w:rsidR="001A241F" w:rsidRPr="00942872">
              <w:rPr>
                <w:rFonts w:ascii="Arial Narrow" w:hAnsi="Arial Narrow" w:cstheme="minorHAnsi"/>
                <w:bCs/>
                <w:sz w:val="20"/>
                <w:szCs w:val="20"/>
              </w:rPr>
              <w:t>[</w:t>
            </w:r>
            <w:r w:rsidRPr="00942872">
              <w:rPr>
                <w:rFonts w:ascii="Arial Narrow" w:hAnsi="Arial Narrow" w:cstheme="minorHAnsi"/>
                <w:bCs/>
                <w:sz w:val="20"/>
                <w:szCs w:val="20"/>
              </w:rPr>
              <w:t>0.23, 16.95</w:t>
            </w:r>
            <w:r w:rsidR="001A241F" w:rsidRPr="00942872">
              <w:rPr>
                <w:rFonts w:ascii="Arial Narrow" w:hAnsi="Arial Narrow" w:cstheme="minorHAnsi"/>
                <w:bCs/>
                <w:sz w:val="20"/>
                <w:szCs w:val="20"/>
              </w:rPr>
              <w:t>]</w:t>
            </w:r>
          </w:p>
        </w:tc>
        <w:tc>
          <w:tcPr>
            <w:tcW w:w="1246" w:type="dxa"/>
            <w:shd w:val="clear" w:color="auto" w:fill="D9D9D9" w:themeFill="background1" w:themeFillShade="D9"/>
          </w:tcPr>
          <w:p w14:paraId="796A8532" w14:textId="77777777" w:rsidR="007805A7" w:rsidRPr="00942872" w:rsidRDefault="007805A7" w:rsidP="00A95F72">
            <w:pPr>
              <w:ind w:left="-57" w:right="-57"/>
              <w:jc w:val="center"/>
              <w:rPr>
                <w:rFonts w:ascii="Arial Narrow" w:hAnsi="Arial Narrow" w:cstheme="minorHAnsi"/>
                <w:bCs/>
                <w:sz w:val="20"/>
                <w:szCs w:val="20"/>
                <w:highlight w:val="yellow"/>
              </w:rPr>
            </w:pPr>
            <w:r w:rsidRPr="00942872">
              <w:rPr>
                <w:rFonts w:ascii="Arial Narrow" w:hAnsi="Arial Narrow" w:cstheme="minorHAnsi"/>
                <w:bCs/>
                <w:sz w:val="20"/>
                <w:szCs w:val="20"/>
              </w:rPr>
              <w:noBreakHyphen/>
              <w:t xml:space="preserve">0.04 </w:t>
            </w:r>
            <w:r w:rsidR="001A241F" w:rsidRPr="00942872">
              <w:rPr>
                <w:rFonts w:ascii="Arial Narrow" w:hAnsi="Arial Narrow" w:cstheme="minorHAnsi"/>
                <w:bCs/>
                <w:sz w:val="20"/>
                <w:szCs w:val="20"/>
              </w:rPr>
              <w:t>[</w:t>
            </w:r>
            <w:r w:rsidRPr="00942872">
              <w:rPr>
                <w:rFonts w:ascii="Arial Narrow" w:hAnsi="Arial Narrow" w:cstheme="minorHAnsi"/>
                <w:bCs/>
                <w:sz w:val="20"/>
                <w:szCs w:val="20"/>
              </w:rPr>
              <w:noBreakHyphen/>
              <w:t>0.06, </w:t>
            </w:r>
            <w:r w:rsidRPr="00942872">
              <w:rPr>
                <w:rFonts w:ascii="Arial Narrow" w:hAnsi="Arial Narrow" w:cstheme="minorHAnsi"/>
                <w:bCs/>
                <w:sz w:val="20"/>
                <w:szCs w:val="20"/>
              </w:rPr>
              <w:noBreakHyphen/>
              <w:t>0.01</w:t>
            </w:r>
            <w:r w:rsidR="001A241F" w:rsidRPr="00942872">
              <w:rPr>
                <w:rFonts w:ascii="Arial Narrow" w:hAnsi="Arial Narrow" w:cstheme="minorHAnsi"/>
                <w:bCs/>
                <w:sz w:val="20"/>
                <w:szCs w:val="20"/>
              </w:rPr>
              <w:t>]</w:t>
            </w:r>
          </w:p>
        </w:tc>
      </w:tr>
    </w:tbl>
    <w:p w14:paraId="3113EF50" w14:textId="77777777" w:rsidR="007805A7" w:rsidRPr="00815130" w:rsidRDefault="007805A7" w:rsidP="00815130">
      <w:pPr>
        <w:pStyle w:val="TableFooter"/>
      </w:pPr>
      <w:r w:rsidRPr="00815130">
        <w:t>Source: Table 2.6-20 to Table 2.6-25, pp106-120 of the submission</w:t>
      </w:r>
    </w:p>
    <w:p w14:paraId="64D093F2" w14:textId="77777777" w:rsidR="007805A7" w:rsidRPr="00815130" w:rsidRDefault="007805A7" w:rsidP="00815130">
      <w:pPr>
        <w:pStyle w:val="TableFooter"/>
      </w:pPr>
      <w:r w:rsidRPr="00815130">
        <w:t>CI = confidence interval; HR = hazard ratio; ITC = indirect treatment comparison; k = number of studies contributing to the pooled estimate of effect; OR = odds ratio; PD</w:t>
      </w:r>
      <w:r w:rsidRPr="00815130">
        <w:noBreakHyphen/>
        <w:t>L1 = programmed cell death ligand 1; RD = risk difference; RR = relative risk;</w:t>
      </w:r>
    </w:p>
    <w:p w14:paraId="30C89A7C" w14:textId="77777777" w:rsidR="007805A7" w:rsidRPr="00815130" w:rsidRDefault="007805A7" w:rsidP="00815130">
      <w:pPr>
        <w:pStyle w:val="TableFooter"/>
      </w:pPr>
      <w:r w:rsidRPr="00815130">
        <w:t xml:space="preserve">Notes: </w:t>
      </w:r>
      <w:r w:rsidR="009A7ECF" w:rsidRPr="00815130">
        <w:t xml:space="preserve">ITC for safety used all subjects as treated </w:t>
      </w:r>
      <w:r w:rsidR="00410064" w:rsidRPr="00815130">
        <w:t xml:space="preserve">populations </w:t>
      </w:r>
      <w:r w:rsidR="009A7ECF" w:rsidRPr="00815130">
        <w:t>from</w:t>
      </w:r>
      <w:r w:rsidR="00410064" w:rsidRPr="00815130">
        <w:t xml:space="preserve"> Study 1624, KN024 and KN042. </w:t>
      </w:r>
      <w:r w:rsidRPr="00815130">
        <w:t xml:space="preserve">A RR and OR &lt;1 or RD &lt;0 favours cemiplimab. </w:t>
      </w:r>
      <w:r w:rsidR="0091227B" w:rsidRPr="00815130">
        <w:t>R</w:t>
      </w:r>
      <w:r w:rsidRPr="00815130">
        <w:t xml:space="preserve">esults </w:t>
      </w:r>
      <w:r w:rsidR="0091227B" w:rsidRPr="00815130">
        <w:t xml:space="preserve">of </w:t>
      </w:r>
      <w:r w:rsidRPr="00815130">
        <w:t xml:space="preserve">the primary </w:t>
      </w:r>
      <w:r w:rsidR="00A95F72" w:rsidRPr="00815130">
        <w:t>ITCs</w:t>
      </w:r>
      <w:r w:rsidR="007A7F8D" w:rsidRPr="00815130">
        <w:t xml:space="preserve"> are shaded</w:t>
      </w:r>
      <w:r w:rsidRPr="00815130">
        <w:t>.</w:t>
      </w:r>
    </w:p>
    <w:p w14:paraId="1ADB4C49" w14:textId="77777777" w:rsidR="007805A7" w:rsidRPr="00942872" w:rsidRDefault="007805A7" w:rsidP="007805A7"/>
    <w:p w14:paraId="6A0A39B3" w14:textId="77777777" w:rsidR="007805A7" w:rsidRPr="00942872" w:rsidRDefault="007805A7" w:rsidP="00815130">
      <w:pPr>
        <w:pStyle w:val="3-BodyText"/>
      </w:pPr>
      <w:r w:rsidRPr="00942872">
        <w:t>The wide 95% CIs for most of the indirect estimates of treatment effects suggest that the ITC of AEs was statistically underpowered. Clinically meaningful worsening of treatment-related AEs resulting in treatment discontinuation, treatment-related fatal AEs, irAEs (relative measures) and Grade 3-4 irAEs (relative measures), from treatment with cemiplimab compared with pembrolizumab, could not be ruled out based on the 95% CIs from indirect comparisons.</w:t>
      </w:r>
    </w:p>
    <w:p w14:paraId="2554762D" w14:textId="77777777" w:rsidR="007805A7" w:rsidRPr="00942872" w:rsidRDefault="007805A7" w:rsidP="009D6A69">
      <w:pPr>
        <w:pStyle w:val="3-BodyText"/>
      </w:pPr>
      <w:r w:rsidRPr="00942872">
        <w:t xml:space="preserve">The </w:t>
      </w:r>
      <w:r w:rsidR="0091227B" w:rsidRPr="00942872">
        <w:t xml:space="preserve">type of </w:t>
      </w:r>
      <w:r w:rsidR="00C647A5" w:rsidRPr="00942872">
        <w:t xml:space="preserve">common </w:t>
      </w:r>
      <w:r w:rsidRPr="00942872">
        <w:t>AE</w:t>
      </w:r>
      <w:r w:rsidR="0091227B" w:rsidRPr="00942872">
        <w:t>s</w:t>
      </w:r>
      <w:r w:rsidRPr="00942872">
        <w:t xml:space="preserve"> reported in Study 1624</w:t>
      </w:r>
      <w:r w:rsidR="004D77D8" w:rsidRPr="00942872">
        <w:t>, e.g.</w:t>
      </w:r>
      <w:r w:rsidR="00465D6A" w:rsidRPr="00942872">
        <w:t xml:space="preserve"> </w:t>
      </w:r>
      <w:r w:rsidR="00A061E0" w:rsidRPr="00942872">
        <w:t xml:space="preserve">irAEs, </w:t>
      </w:r>
      <w:r w:rsidR="00465D6A" w:rsidRPr="00942872">
        <w:t>anaemia</w:t>
      </w:r>
      <w:r w:rsidR="00A061E0" w:rsidRPr="00942872">
        <w:t xml:space="preserve"> and fatigue</w:t>
      </w:r>
      <w:r w:rsidR="008677A3" w:rsidRPr="00942872">
        <w:t xml:space="preserve"> </w:t>
      </w:r>
      <w:r w:rsidR="004D77D8" w:rsidRPr="00942872">
        <w:t xml:space="preserve">in the cemiplimab arm and </w:t>
      </w:r>
      <w:r w:rsidR="00A061E0" w:rsidRPr="00942872">
        <w:t xml:space="preserve">myelosuppression, </w:t>
      </w:r>
      <w:r w:rsidR="00465D6A" w:rsidRPr="00942872">
        <w:t>nausea</w:t>
      </w:r>
      <w:r w:rsidR="00A061E0" w:rsidRPr="00942872">
        <w:t xml:space="preserve"> and alopecia</w:t>
      </w:r>
      <w:r w:rsidR="00465D6A" w:rsidRPr="00942872">
        <w:t xml:space="preserve"> </w:t>
      </w:r>
      <w:r w:rsidR="009D6A69" w:rsidRPr="00942872">
        <w:t xml:space="preserve">in the </w:t>
      </w:r>
      <w:r w:rsidR="00A061E0" w:rsidRPr="00942872">
        <w:t xml:space="preserve">comparator </w:t>
      </w:r>
      <w:r w:rsidR="009D6A69" w:rsidRPr="00942872">
        <w:t>chemotherapy</w:t>
      </w:r>
      <w:r w:rsidR="00A061E0" w:rsidRPr="00942872">
        <w:t xml:space="preserve"> arm</w:t>
      </w:r>
      <w:r w:rsidR="009D6A69" w:rsidRPr="00942872">
        <w:t xml:space="preserve">, </w:t>
      </w:r>
      <w:r w:rsidRPr="00942872">
        <w:t>were in line with the known safety profiles of PD-(L)1 agents and platinum-based chemotherapies.</w:t>
      </w:r>
    </w:p>
    <w:p w14:paraId="34465046" w14:textId="77777777" w:rsidR="007805A7" w:rsidRPr="00942872" w:rsidRDefault="007805A7" w:rsidP="007805A7">
      <w:pPr>
        <w:pStyle w:val="4-SubsectionHeading"/>
      </w:pPr>
      <w:bookmarkStart w:id="21" w:name="_Toc82597630"/>
      <w:r w:rsidRPr="00942872">
        <w:t>Clinical claim</w:t>
      </w:r>
      <w:bookmarkEnd w:id="21"/>
    </w:p>
    <w:p w14:paraId="0882628D" w14:textId="77777777" w:rsidR="007805A7" w:rsidRPr="00942872" w:rsidRDefault="007805A7" w:rsidP="007805A7">
      <w:pPr>
        <w:pStyle w:val="3-BodyText"/>
      </w:pPr>
      <w:r w:rsidRPr="00942872">
        <w:t>The submission described cemiplimab monotherapy as non-inferior to pembrolizumab in terms of effectiveness and safety</w:t>
      </w:r>
      <w:r w:rsidR="0043555E" w:rsidRPr="005467E8">
        <w:t>, based on</w:t>
      </w:r>
      <w:r w:rsidR="00937402" w:rsidRPr="005467E8">
        <w:t xml:space="preserve"> the ITC </w:t>
      </w:r>
      <w:r w:rsidR="003211F8" w:rsidRPr="005467E8">
        <w:t>presented in the submission</w:t>
      </w:r>
      <w:r w:rsidR="000C672D" w:rsidRPr="005467E8">
        <w:t xml:space="preserve">. </w:t>
      </w:r>
      <w:r w:rsidR="0043555E" w:rsidRPr="005467E8">
        <w:t>The evaluation identified two key concerns about the evidence supporting the clinical claims</w:t>
      </w:r>
      <w:r w:rsidR="000C672D" w:rsidRPr="00942872">
        <w:t>:</w:t>
      </w:r>
    </w:p>
    <w:p w14:paraId="0D0B7BE4" w14:textId="77777777" w:rsidR="007805A7" w:rsidRPr="00942872" w:rsidRDefault="007805A7" w:rsidP="000D035D">
      <w:pPr>
        <w:pStyle w:val="ListParagraph"/>
        <w:numPr>
          <w:ilvl w:val="1"/>
          <w:numId w:val="10"/>
        </w:numPr>
        <w:spacing w:after="0"/>
        <w:ind w:left="1134" w:hanging="392"/>
      </w:pPr>
      <w:r w:rsidRPr="00942872">
        <w:t>There were transitivity issues</w:t>
      </w:r>
      <w:r w:rsidR="0007627B">
        <w:t xml:space="preserve"> due to</w:t>
      </w:r>
      <w:r w:rsidRPr="00942872">
        <w:t xml:space="preserve"> the incomparability of the clinical trials in terms of patient gender, smoking history, region of patient enrolment, NSCLC histology, brain metastases, switching from first-line chemotherapy to second-line PD-(L)1 inhibitors</w:t>
      </w:r>
      <w:r w:rsidR="0086596B" w:rsidRPr="00942872">
        <w:t xml:space="preserve"> and continued treatment with PD-(L)1 inhibitors after disease progression</w:t>
      </w:r>
      <w:r w:rsidRPr="00942872">
        <w:t>. Compared with comparator trials, Study 1624 recruited more males</w:t>
      </w:r>
      <w:r w:rsidR="0030720E" w:rsidRPr="00942872">
        <w:t>, more patients with squamous histology and</w:t>
      </w:r>
      <w:r w:rsidRPr="00942872">
        <w:t xml:space="preserve"> more patients with brain metastases. The impacts of the other observed heterogeneities in patient baseline risks and treatments cannot be reliably assessed based on the available evidence.</w:t>
      </w:r>
    </w:p>
    <w:p w14:paraId="0C9C83F1" w14:textId="77777777" w:rsidR="007805A7" w:rsidRPr="00942872" w:rsidRDefault="007805A7" w:rsidP="000D035D">
      <w:pPr>
        <w:pStyle w:val="ListParagraph"/>
        <w:numPr>
          <w:ilvl w:val="1"/>
          <w:numId w:val="10"/>
        </w:numPr>
        <w:spacing w:after="0"/>
        <w:ind w:left="1134" w:hanging="392"/>
      </w:pPr>
      <w:r w:rsidRPr="00942872">
        <w:t xml:space="preserve">The non-inferiority </w:t>
      </w:r>
      <w:r w:rsidR="00FE7D55" w:rsidRPr="00942872">
        <w:t xml:space="preserve">criteria </w:t>
      </w:r>
      <w:r w:rsidRPr="00942872">
        <w:t>used in the submission, i.e. OS hazard ratio of 1.04 [0.70, 1.54], has not been accepted by the PBAC; nor was it adequately justified in the submission. Clinically meaningful worsening of most of the endpoints assessed, including OS, PFS, treatment-related AEs resulting in treatment discontinuation, treatment-related fatal AEs, irAEs (relative measures) and Grade 3-4 irAEs (relative measures), from treatment with cemiplimab compared with pembrolizumab, could not be ruled out based on the 95% CIs from indirect comparisons.</w:t>
      </w:r>
    </w:p>
    <w:p w14:paraId="6B7E6B2C" w14:textId="77777777" w:rsidR="00D90D19" w:rsidRPr="005467E8" w:rsidRDefault="00D90D19" w:rsidP="00910C0F">
      <w:pPr>
        <w:pStyle w:val="3-BodyText"/>
      </w:pPr>
      <w:bookmarkStart w:id="22" w:name="_Ref87960588"/>
      <w:r w:rsidRPr="005467E8">
        <w:t xml:space="preserve">The ESC considered that the submission’s claim </w:t>
      </w:r>
      <w:r w:rsidR="00943D8D" w:rsidRPr="005467E8">
        <w:t>that cemiplimab is non-inferior to pembrolizumab in terms of efficacy and safety w</w:t>
      </w:r>
      <w:r w:rsidRPr="005467E8">
        <w:t>as</w:t>
      </w:r>
      <w:r w:rsidR="00C05030" w:rsidRPr="005467E8">
        <w:t xml:space="preserve"> like</w:t>
      </w:r>
      <w:r w:rsidR="00942872" w:rsidRPr="005467E8">
        <w:t>l</w:t>
      </w:r>
      <w:r w:rsidR="00C05030" w:rsidRPr="005467E8">
        <w:t>y to be</w:t>
      </w:r>
      <w:r w:rsidRPr="005467E8">
        <w:t xml:space="preserve"> reasonable</w:t>
      </w:r>
      <w:r w:rsidR="004831CA" w:rsidRPr="005467E8">
        <w:t>,</w:t>
      </w:r>
      <w:r w:rsidRPr="005467E8">
        <w:t xml:space="preserve"> in the context of the evidence available.  Further discussion is provided below:</w:t>
      </w:r>
      <w:bookmarkEnd w:id="22"/>
    </w:p>
    <w:p w14:paraId="6BE260C8" w14:textId="77777777" w:rsidR="00E05EF7" w:rsidRPr="005467E8" w:rsidRDefault="00E05EF7" w:rsidP="000D035D">
      <w:pPr>
        <w:pStyle w:val="ListParagraph"/>
        <w:numPr>
          <w:ilvl w:val="1"/>
          <w:numId w:val="10"/>
        </w:numPr>
        <w:spacing w:after="0"/>
        <w:ind w:left="1134" w:hanging="392"/>
      </w:pPr>
      <w:r w:rsidRPr="005467E8">
        <w:t>The ESC noted similarities between cemiplimab and pembrolizumab in terms of being within the same therapeutic class, and that the overall design of their respective pivotal studies were similar.</w:t>
      </w:r>
    </w:p>
    <w:p w14:paraId="66A7C4C7" w14:textId="77777777" w:rsidR="001D44CF" w:rsidRPr="005467E8" w:rsidRDefault="0043555E" w:rsidP="009066D8">
      <w:pPr>
        <w:pStyle w:val="ListParagraph"/>
        <w:numPr>
          <w:ilvl w:val="0"/>
          <w:numId w:val="10"/>
        </w:numPr>
        <w:spacing w:after="0"/>
        <w:ind w:left="1134"/>
      </w:pPr>
      <w:r w:rsidRPr="005467E8">
        <w:t>With regard to transitivity issues, t</w:t>
      </w:r>
      <w:r w:rsidR="001D44CF" w:rsidRPr="005467E8">
        <w:t xml:space="preserve">he ESC noted there were some </w:t>
      </w:r>
      <w:r w:rsidR="00E05EF7" w:rsidRPr="005467E8">
        <w:t>variations</w:t>
      </w:r>
      <w:r w:rsidR="001D44CF" w:rsidRPr="005467E8">
        <w:t xml:space="preserve"> between subjects in Study 1624 (cemiplimab), and KN024 and KN042 (pembrolizumab) trials involved in the indirect comparison as described in paragraph </w:t>
      </w:r>
      <w:r w:rsidR="002177FE">
        <w:t>6.29</w:t>
      </w:r>
      <w:r w:rsidR="001D44CF" w:rsidRPr="005467E8">
        <w:t xml:space="preserve">. The ESC considered these differences might have </w:t>
      </w:r>
      <w:r w:rsidR="003F7ACF">
        <w:t>resulted in</w:t>
      </w:r>
      <w:r w:rsidR="003F7ACF" w:rsidRPr="005467E8">
        <w:t xml:space="preserve"> </w:t>
      </w:r>
      <w:r w:rsidR="001D44CF" w:rsidRPr="005467E8">
        <w:t xml:space="preserve">heterogeneity of comparative treatment effects of cemiplimab relative to pembrolizumab; but there was potential for bias in both directions, for example smoking status may bias towards cemiplimab but brain metastases may bias towards pembrolizumab. </w:t>
      </w:r>
      <w:r w:rsidR="00931169">
        <w:t xml:space="preserve">The PBAC noted Study </w:t>
      </w:r>
      <w:r w:rsidR="009066D8" w:rsidRPr="009066D8">
        <w:t>1624 included a higher proportion of patie</w:t>
      </w:r>
      <w:r w:rsidR="00931169">
        <w:t xml:space="preserve">nts with brain metastases (12% </w:t>
      </w:r>
      <w:r w:rsidR="009066D8" w:rsidRPr="009066D8">
        <w:t>vs 9% in</w:t>
      </w:r>
      <w:r w:rsidR="00931169">
        <w:t xml:space="preserve"> KN024, 6% in KN042); however, </w:t>
      </w:r>
      <w:r w:rsidR="009066D8" w:rsidRPr="009066D8">
        <w:t>the PBAC considered the direction of bias was uncertain as this would increase t</w:t>
      </w:r>
      <w:r w:rsidR="00931169">
        <w:t xml:space="preserve">he HR compared to chemotherapy </w:t>
      </w:r>
      <w:r w:rsidR="009066D8" w:rsidRPr="009066D8">
        <w:t>w</w:t>
      </w:r>
      <w:r w:rsidR="00931169">
        <w:t xml:space="preserve">hich may bias in favour of cemiplimab but the presence of brain metastases is a poor prognostic factor which may bias against cemiplimab.  </w:t>
      </w:r>
    </w:p>
    <w:p w14:paraId="4D34E454" w14:textId="77777777" w:rsidR="00DC0EF5" w:rsidRDefault="0043555E" w:rsidP="00C170DC">
      <w:pPr>
        <w:pStyle w:val="ListParagraph"/>
        <w:numPr>
          <w:ilvl w:val="1"/>
          <w:numId w:val="10"/>
        </w:numPr>
        <w:ind w:left="1134" w:hanging="392"/>
      </w:pPr>
      <w:r w:rsidRPr="005467E8">
        <w:t xml:space="preserve">With regard to the non-inferiority criteria, the ESC considered that the non-inferiority threshold </w:t>
      </w:r>
      <w:r w:rsidR="00CE1513" w:rsidRPr="005467E8">
        <w:t xml:space="preserve">nominated by the submission </w:t>
      </w:r>
      <w:r w:rsidRPr="005467E8">
        <w:t>was not well supported.</w:t>
      </w:r>
      <w:r w:rsidRPr="00942872">
        <w:t xml:space="preserve">  </w:t>
      </w:r>
      <w:r w:rsidR="00D90D19" w:rsidRPr="005467E8">
        <w:t xml:space="preserve">The ESC also noted that some uncertainty remains due to wide confidence intervals (see </w:t>
      </w:r>
      <w:r w:rsidR="002177FE" w:rsidRPr="00942872">
        <w:t xml:space="preserve">Table </w:t>
      </w:r>
      <w:r w:rsidR="002177FE">
        <w:rPr>
          <w:noProof/>
        </w:rPr>
        <w:t>6</w:t>
      </w:r>
      <w:r w:rsidR="00D90D19" w:rsidRPr="005467E8">
        <w:t xml:space="preserve">, </w:t>
      </w:r>
      <w:r w:rsidR="002177FE" w:rsidRPr="00942872">
        <w:t xml:space="preserve">Table </w:t>
      </w:r>
      <w:r w:rsidR="002177FE">
        <w:rPr>
          <w:noProof/>
        </w:rPr>
        <w:t>7</w:t>
      </w:r>
      <w:r w:rsidR="00D90D19" w:rsidRPr="005467E8">
        <w:t>).</w:t>
      </w:r>
    </w:p>
    <w:p w14:paraId="012842C9" w14:textId="77777777" w:rsidR="008E2C89" w:rsidRPr="008E2C89" w:rsidRDefault="008E2C89" w:rsidP="008E2C89">
      <w:pPr>
        <w:widowControl w:val="0"/>
        <w:numPr>
          <w:ilvl w:val="1"/>
          <w:numId w:val="1"/>
        </w:numPr>
        <w:spacing w:after="120"/>
        <w:rPr>
          <w:rFonts w:asciiTheme="minorHAnsi" w:hAnsiTheme="minorHAnsi"/>
          <w:snapToGrid w:val="0"/>
          <w:szCs w:val="20"/>
        </w:rPr>
      </w:pPr>
      <w:bookmarkStart w:id="23" w:name="_Hlk76376200"/>
      <w:r w:rsidRPr="008E2C89">
        <w:rPr>
          <w:rFonts w:asciiTheme="minorHAnsi" w:hAnsiTheme="minorHAnsi"/>
          <w:iCs/>
          <w:snapToGrid w:val="0"/>
        </w:rPr>
        <w:t>The</w:t>
      </w:r>
      <w:r w:rsidRPr="008E2C89">
        <w:rPr>
          <w:rFonts w:asciiTheme="minorHAnsi" w:hAnsiTheme="minorHAnsi"/>
          <w:snapToGrid w:val="0"/>
          <w:szCs w:val="20"/>
        </w:rPr>
        <w:t xml:space="preserve"> PBAC </w:t>
      </w:r>
      <w:r w:rsidR="0007627B">
        <w:rPr>
          <w:rFonts w:asciiTheme="minorHAnsi" w:hAnsiTheme="minorHAnsi"/>
          <w:snapToGrid w:val="0"/>
          <w:szCs w:val="20"/>
        </w:rPr>
        <w:t xml:space="preserve">agreed with the ESC and </w:t>
      </w:r>
      <w:r w:rsidRPr="008E2C89">
        <w:rPr>
          <w:rFonts w:asciiTheme="minorHAnsi" w:hAnsiTheme="minorHAnsi"/>
          <w:snapToGrid w:val="0"/>
          <w:szCs w:val="20"/>
        </w:rPr>
        <w:t>considered that the claim of non-inferior comparative effectiveness</w:t>
      </w:r>
      <w:r w:rsidR="0007627B">
        <w:rPr>
          <w:rFonts w:asciiTheme="minorHAnsi" w:hAnsiTheme="minorHAnsi"/>
          <w:snapToGrid w:val="0"/>
          <w:szCs w:val="20"/>
        </w:rPr>
        <w:t xml:space="preserve"> and safety </w:t>
      </w:r>
      <w:r w:rsidRPr="008E2C89">
        <w:rPr>
          <w:rFonts w:asciiTheme="minorHAnsi" w:hAnsiTheme="minorHAnsi"/>
          <w:snapToGrid w:val="0"/>
          <w:szCs w:val="20"/>
        </w:rPr>
        <w:t>was reasonable.</w:t>
      </w:r>
    </w:p>
    <w:p w14:paraId="0096CB73" w14:textId="77777777" w:rsidR="007805A7" w:rsidRPr="00942872" w:rsidRDefault="007805A7" w:rsidP="007805A7">
      <w:pPr>
        <w:pStyle w:val="4-SubsectionHeading"/>
      </w:pPr>
      <w:bookmarkStart w:id="24" w:name="_Toc82597631"/>
      <w:bookmarkEnd w:id="23"/>
      <w:r w:rsidRPr="00942872">
        <w:t>Economic analysis</w:t>
      </w:r>
      <w:bookmarkEnd w:id="24"/>
      <w:r w:rsidRPr="00942872">
        <w:t xml:space="preserve"> </w:t>
      </w:r>
    </w:p>
    <w:p w14:paraId="3407B79F" w14:textId="77777777" w:rsidR="007805A7" w:rsidRPr="00942872" w:rsidRDefault="007805A7" w:rsidP="007805A7">
      <w:pPr>
        <w:pStyle w:val="3-BodyText"/>
      </w:pPr>
      <w:bookmarkStart w:id="25" w:name="_Ref87949089"/>
      <w:r w:rsidRPr="00942872">
        <w:t xml:space="preserve">The submission presented a CMA on the basis of the claimed non-inferiority of cemiplimab to pembrolizumab. The equi-effective doses were estimated as cemiplimab 350 mg Q3W administered as an IV infusion over 30 minutes and pembrolizumab 200 mg Q3W or 400 mg Q6W administered as an IV infusion over 30 minutes, assuming </w:t>
      </w:r>
      <w:r w:rsidR="002A1839">
        <w:t xml:space="preserve">the </w:t>
      </w:r>
      <w:r w:rsidRPr="00942872">
        <w:t xml:space="preserve">same treatment durations and dose intensities. </w:t>
      </w:r>
      <w:r w:rsidR="0026633E" w:rsidRPr="00942872">
        <w:rPr>
          <w:iCs/>
        </w:rPr>
        <w:t>I</w:t>
      </w:r>
      <w:r w:rsidR="00B435A9" w:rsidRPr="00942872">
        <w:rPr>
          <w:iCs/>
        </w:rPr>
        <w:t>n Study 1624, 25.1% of patients had dose delays of cemiplimab. Dosing intensity data were missing from the KN studies. Dose reductions were not allowed in either study</w:t>
      </w:r>
      <w:r w:rsidRPr="00942872">
        <w:t>.</w:t>
      </w:r>
      <w:r w:rsidR="00B435A9" w:rsidRPr="00942872">
        <w:t xml:space="preserve"> </w:t>
      </w:r>
      <w:r w:rsidR="00B435A9" w:rsidRPr="00942872">
        <w:rPr>
          <w:iCs/>
        </w:rPr>
        <w:t xml:space="preserve">The median treatment durations were similar between cemiplimab (6.8 </w:t>
      </w:r>
      <w:r w:rsidR="00D114F0" w:rsidRPr="00942872">
        <w:rPr>
          <w:iCs/>
        </w:rPr>
        <w:t>months</w:t>
      </w:r>
      <w:r w:rsidR="00B435A9" w:rsidRPr="00942872">
        <w:rPr>
          <w:iCs/>
        </w:rPr>
        <w:t xml:space="preserve"> in St</w:t>
      </w:r>
      <w:r w:rsidR="00FE7D55" w:rsidRPr="00942872">
        <w:rPr>
          <w:iCs/>
        </w:rPr>
        <w:t>ud</w:t>
      </w:r>
      <w:r w:rsidR="00B435A9" w:rsidRPr="00942872">
        <w:rPr>
          <w:iCs/>
        </w:rPr>
        <w:t xml:space="preserve">y 1624) and pembrolizumab (7 </w:t>
      </w:r>
      <w:r w:rsidR="00D114F0" w:rsidRPr="00942872">
        <w:rPr>
          <w:iCs/>
        </w:rPr>
        <w:t>months</w:t>
      </w:r>
      <w:r w:rsidR="00B435A9" w:rsidRPr="00942872">
        <w:rPr>
          <w:iCs/>
        </w:rPr>
        <w:t xml:space="preserve"> in KN024, 6.6 </w:t>
      </w:r>
      <w:r w:rsidR="00D114F0" w:rsidRPr="00942872">
        <w:rPr>
          <w:iCs/>
        </w:rPr>
        <w:t>months</w:t>
      </w:r>
      <w:r w:rsidR="00B435A9" w:rsidRPr="00942872">
        <w:rPr>
          <w:iCs/>
        </w:rPr>
        <w:t xml:space="preserve"> in KN042).</w:t>
      </w:r>
      <w:bookmarkEnd w:id="25"/>
    </w:p>
    <w:p w14:paraId="271C209F" w14:textId="77777777" w:rsidR="004831CA" w:rsidRPr="005467E8" w:rsidRDefault="007805A7" w:rsidP="00910C0F">
      <w:pPr>
        <w:pStyle w:val="3-BodyText"/>
      </w:pPr>
      <w:r w:rsidRPr="00942872">
        <w:t>As pembrolizumab may be administered in either the 200</w:t>
      </w:r>
      <w:r w:rsidR="00D01A43" w:rsidRPr="00942872">
        <w:t> </w:t>
      </w:r>
      <w:r w:rsidRPr="00942872">
        <w:t>mg Q3W dose or 400</w:t>
      </w:r>
      <w:r w:rsidR="00D01A43" w:rsidRPr="00942872">
        <w:t> </w:t>
      </w:r>
      <w:r w:rsidRPr="00942872">
        <w:t>mg Q6W dose, whereas cemiplimab must be administered in the 350</w:t>
      </w:r>
      <w:r w:rsidR="00D01A43" w:rsidRPr="00942872">
        <w:t> </w:t>
      </w:r>
      <w:r w:rsidRPr="00942872">
        <w:t xml:space="preserve">mg Q3W dose, pembrolizumab treatments may incur fewer administrations collectively. This was considered in the CMA. </w:t>
      </w:r>
      <w:r w:rsidRPr="00942872">
        <w:rPr>
          <w:iCs/>
        </w:rPr>
        <w:t>The submission used the PBS and RPBS items processed from September 2020 to March 2021 to estimate the proportion of 200</w:t>
      </w:r>
      <w:r w:rsidR="00D01A43" w:rsidRPr="00942872">
        <w:rPr>
          <w:iCs/>
        </w:rPr>
        <w:t> </w:t>
      </w:r>
      <w:r w:rsidRPr="00942872">
        <w:rPr>
          <w:iCs/>
        </w:rPr>
        <w:t>mg vs 400</w:t>
      </w:r>
      <w:r w:rsidR="00D01A43" w:rsidRPr="00942872">
        <w:rPr>
          <w:iCs/>
        </w:rPr>
        <w:t> </w:t>
      </w:r>
      <w:r w:rsidRPr="00942872">
        <w:rPr>
          <w:iCs/>
        </w:rPr>
        <w:t>mg scripts for pembrolizumab, which provided the 94%:6% ratio. As the 200</w:t>
      </w:r>
      <w:r w:rsidR="00D01A43" w:rsidRPr="00942872">
        <w:rPr>
          <w:iCs/>
        </w:rPr>
        <w:t> </w:t>
      </w:r>
      <w:r w:rsidRPr="00942872">
        <w:rPr>
          <w:iCs/>
        </w:rPr>
        <w:t>mg dose is given every 3 weeks, and the 400</w:t>
      </w:r>
      <w:r w:rsidR="00D01A43" w:rsidRPr="00942872">
        <w:rPr>
          <w:iCs/>
        </w:rPr>
        <w:t> </w:t>
      </w:r>
      <w:r w:rsidRPr="00942872">
        <w:rPr>
          <w:iCs/>
        </w:rPr>
        <w:t>mg dose given every 6 weeks, patients who receive the 400</w:t>
      </w:r>
      <w:r w:rsidR="00D01A43" w:rsidRPr="00942872">
        <w:rPr>
          <w:iCs/>
        </w:rPr>
        <w:t> </w:t>
      </w:r>
      <w:r w:rsidRPr="00942872">
        <w:rPr>
          <w:iCs/>
        </w:rPr>
        <w:t>mg dose incur half the IV administration costs of patients receiving 3-weekly dosing.</w:t>
      </w:r>
      <w:r w:rsidR="004831CA" w:rsidRPr="00942872">
        <w:rPr>
          <w:iCs/>
        </w:rPr>
        <w:t xml:space="preserve"> </w:t>
      </w:r>
      <w:r w:rsidR="00AF507F">
        <w:rPr>
          <w:iCs/>
        </w:rPr>
        <w:t xml:space="preserve">The PBAC considered cemiplimab (given every 3 weeks) was unlikely to substitute for pembrolizumab every 6 weeks to a significant extent.  </w:t>
      </w:r>
    </w:p>
    <w:p w14:paraId="7D1C3462" w14:textId="77777777" w:rsidR="007805A7" w:rsidRPr="00942872" w:rsidRDefault="007805A7" w:rsidP="007805A7">
      <w:pPr>
        <w:pStyle w:val="3-BodyText"/>
      </w:pPr>
      <w:r w:rsidRPr="00942872">
        <w:rPr>
          <w:iCs/>
        </w:rPr>
        <w:t>The results of the CMA are summarised below.</w:t>
      </w:r>
      <w:r w:rsidR="00B23084" w:rsidRPr="00942872">
        <w:rPr>
          <w:iCs/>
        </w:rPr>
        <w:t xml:space="preserve"> </w:t>
      </w:r>
      <w:r w:rsidR="007A4FE6" w:rsidRPr="005467E8">
        <w:rPr>
          <w:iCs/>
        </w:rPr>
        <w:t xml:space="preserve">The ESC considered that the submission’s approach to the CMA was reasonable. </w:t>
      </w:r>
    </w:p>
    <w:p w14:paraId="3E129A23" w14:textId="77777777" w:rsidR="007805A7" w:rsidRPr="00942872" w:rsidRDefault="007805A7" w:rsidP="00393BE8">
      <w:pPr>
        <w:pStyle w:val="TableFigureHeading"/>
        <w:keepLines/>
      </w:pPr>
      <w:r w:rsidRPr="00942872">
        <w:t xml:space="preserve">Table </w:t>
      </w:r>
      <w:r w:rsidR="002177FE">
        <w:rPr>
          <w:noProof/>
        </w:rPr>
        <w:t>8</w:t>
      </w:r>
      <w:r w:rsidRPr="00942872">
        <w:t>: Cost minimisation analysis: cemiplimab versus pembrolizumab</w:t>
      </w:r>
    </w:p>
    <w:tbl>
      <w:tblPr>
        <w:tblW w:w="5000" w:type="pct"/>
        <w:tblLook w:val="04A0" w:firstRow="1" w:lastRow="0" w:firstColumn="1" w:lastColumn="0" w:noHBand="0" w:noVBand="1"/>
        <w:tblCaption w:val="Table 8: Cost minimisation analysis: cemiplimab versus pembrolizumab"/>
      </w:tblPr>
      <w:tblGrid>
        <w:gridCol w:w="2503"/>
        <w:gridCol w:w="572"/>
        <w:gridCol w:w="946"/>
        <w:gridCol w:w="581"/>
        <w:gridCol w:w="572"/>
        <w:gridCol w:w="946"/>
        <w:gridCol w:w="707"/>
        <w:gridCol w:w="572"/>
        <w:gridCol w:w="1037"/>
        <w:gridCol w:w="581"/>
      </w:tblGrid>
      <w:tr w:rsidR="007805A7" w:rsidRPr="00942872" w14:paraId="263273DE" w14:textId="77777777" w:rsidTr="00B23084">
        <w:trPr>
          <w:tblHeader/>
        </w:trPr>
        <w:tc>
          <w:tcPr>
            <w:tcW w:w="1180"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AAFFC9D" w14:textId="77777777" w:rsidR="007805A7" w:rsidRPr="00942872" w:rsidRDefault="007805A7" w:rsidP="00393BE8">
            <w:pPr>
              <w:keepNext/>
              <w:keepLines/>
              <w:jc w:val="left"/>
              <w:rPr>
                <w:rFonts w:ascii="Arial Narrow" w:hAnsi="Arial Narrow" w:cstheme="minorHAnsi"/>
                <w:b/>
                <w:bCs/>
                <w:color w:val="000000"/>
                <w:sz w:val="20"/>
                <w:szCs w:val="20"/>
              </w:rPr>
            </w:pPr>
            <w:r w:rsidRPr="00942872">
              <w:rPr>
                <w:rFonts w:ascii="Arial Narrow" w:hAnsi="Arial Narrow" w:cstheme="minorHAnsi"/>
                <w:b/>
                <w:bCs/>
                <w:color w:val="000000"/>
                <w:sz w:val="20"/>
                <w:szCs w:val="20"/>
              </w:rPr>
              <w:t>Variable</w:t>
            </w:r>
          </w:p>
        </w:tc>
        <w:tc>
          <w:tcPr>
            <w:tcW w:w="1164" w:type="pct"/>
            <w:gridSpan w:val="3"/>
            <w:tcBorders>
              <w:top w:val="single" w:sz="4" w:space="0" w:color="auto"/>
              <w:left w:val="single" w:sz="4" w:space="0" w:color="auto"/>
              <w:bottom w:val="single" w:sz="4" w:space="0" w:color="auto"/>
              <w:right w:val="single" w:sz="4" w:space="0" w:color="auto"/>
            </w:tcBorders>
            <w:shd w:val="clear" w:color="000000" w:fill="auto"/>
            <w:vAlign w:val="center"/>
            <w:hideMark/>
          </w:tcPr>
          <w:p w14:paraId="7C7B134F" w14:textId="77777777" w:rsidR="007805A7" w:rsidRPr="00942872" w:rsidRDefault="007805A7" w:rsidP="00393BE8">
            <w:pPr>
              <w:keepNext/>
              <w:keepLines/>
              <w:jc w:val="center"/>
              <w:rPr>
                <w:rFonts w:ascii="Arial Narrow" w:hAnsi="Arial Narrow" w:cstheme="minorHAnsi"/>
                <w:b/>
                <w:bCs/>
                <w:color w:val="000000"/>
                <w:sz w:val="20"/>
                <w:szCs w:val="20"/>
              </w:rPr>
            </w:pPr>
            <w:r w:rsidRPr="00942872">
              <w:rPr>
                <w:rFonts w:ascii="Arial Narrow" w:hAnsi="Arial Narrow" w:cstheme="minorHAnsi"/>
                <w:b/>
                <w:bCs/>
                <w:color w:val="000000"/>
                <w:sz w:val="20"/>
                <w:szCs w:val="20"/>
              </w:rPr>
              <w:t>Cemiplimab 350 mg</w:t>
            </w:r>
          </w:p>
        </w:tc>
        <w:tc>
          <w:tcPr>
            <w:tcW w:w="1442" w:type="pct"/>
            <w:gridSpan w:val="3"/>
            <w:tcBorders>
              <w:top w:val="single" w:sz="4" w:space="0" w:color="auto"/>
              <w:left w:val="single" w:sz="4" w:space="0" w:color="auto"/>
              <w:bottom w:val="single" w:sz="4" w:space="0" w:color="auto"/>
              <w:right w:val="single" w:sz="4" w:space="0" w:color="auto"/>
            </w:tcBorders>
            <w:shd w:val="clear" w:color="000000" w:fill="auto"/>
            <w:vAlign w:val="center"/>
            <w:hideMark/>
          </w:tcPr>
          <w:p w14:paraId="18A0BCB5" w14:textId="77777777" w:rsidR="007805A7" w:rsidRPr="00942872" w:rsidRDefault="007805A7" w:rsidP="00393BE8">
            <w:pPr>
              <w:keepNext/>
              <w:keepLines/>
              <w:jc w:val="center"/>
              <w:rPr>
                <w:rFonts w:ascii="Arial Narrow" w:hAnsi="Arial Narrow" w:cstheme="minorHAnsi"/>
                <w:b/>
                <w:bCs/>
                <w:color w:val="000000"/>
                <w:sz w:val="20"/>
                <w:szCs w:val="20"/>
              </w:rPr>
            </w:pPr>
            <w:r w:rsidRPr="00942872">
              <w:rPr>
                <w:rFonts w:ascii="Arial Narrow" w:hAnsi="Arial Narrow" w:cstheme="minorHAnsi"/>
                <w:b/>
                <w:bCs/>
                <w:color w:val="000000"/>
                <w:sz w:val="20"/>
                <w:szCs w:val="20"/>
              </w:rPr>
              <w:t>Pembrolizumab 200 mg</w:t>
            </w:r>
          </w:p>
        </w:tc>
        <w:tc>
          <w:tcPr>
            <w:tcW w:w="1214" w:type="pct"/>
            <w:gridSpan w:val="3"/>
            <w:tcBorders>
              <w:top w:val="single" w:sz="4" w:space="0" w:color="auto"/>
              <w:left w:val="single" w:sz="4" w:space="0" w:color="auto"/>
              <w:bottom w:val="single" w:sz="4" w:space="0" w:color="auto"/>
              <w:right w:val="single" w:sz="4" w:space="0" w:color="auto"/>
            </w:tcBorders>
            <w:shd w:val="clear" w:color="000000" w:fill="auto"/>
            <w:vAlign w:val="center"/>
            <w:hideMark/>
          </w:tcPr>
          <w:p w14:paraId="69741ABB" w14:textId="77777777" w:rsidR="007805A7" w:rsidRPr="00942872" w:rsidRDefault="007805A7" w:rsidP="00393BE8">
            <w:pPr>
              <w:keepNext/>
              <w:keepLines/>
              <w:jc w:val="center"/>
              <w:rPr>
                <w:rFonts w:ascii="Arial Narrow" w:hAnsi="Arial Narrow" w:cstheme="minorHAnsi"/>
                <w:b/>
                <w:bCs/>
                <w:color w:val="000000"/>
                <w:sz w:val="20"/>
                <w:szCs w:val="20"/>
              </w:rPr>
            </w:pPr>
            <w:r w:rsidRPr="00942872">
              <w:rPr>
                <w:rFonts w:ascii="Arial Narrow" w:hAnsi="Arial Narrow" w:cstheme="minorHAnsi"/>
                <w:b/>
                <w:bCs/>
                <w:color w:val="000000"/>
                <w:sz w:val="20"/>
                <w:szCs w:val="20"/>
              </w:rPr>
              <w:t>Pembrolizumab 400 mg</w:t>
            </w:r>
          </w:p>
        </w:tc>
      </w:tr>
      <w:tr w:rsidR="007805A7" w:rsidRPr="00942872" w14:paraId="59962396" w14:textId="77777777" w:rsidTr="00B23084">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7893CFC1" w14:textId="77777777" w:rsidR="007805A7" w:rsidRPr="00942872" w:rsidRDefault="007805A7" w:rsidP="00393BE8">
            <w:pPr>
              <w:keepNext/>
              <w:keepLines/>
              <w:jc w:val="left"/>
              <w:rPr>
                <w:rFonts w:ascii="Arial Narrow" w:eastAsiaTheme="minorHAnsi" w:hAnsi="Arial Narrow" w:cstheme="minorHAnsi"/>
                <w:b/>
                <w:bCs/>
                <w:sz w:val="20"/>
                <w:szCs w:val="20"/>
              </w:rPr>
            </w:pPr>
            <w:r w:rsidRPr="00942872">
              <w:rPr>
                <w:rFonts w:ascii="Arial Narrow" w:eastAsiaTheme="minorHAnsi" w:hAnsi="Arial Narrow" w:cstheme="minorHAnsi"/>
                <w:b/>
                <w:bCs/>
                <w:sz w:val="20"/>
                <w:szCs w:val="20"/>
              </w:rPr>
              <w:t>Drug cost (published ex</w:t>
            </w:r>
            <w:r w:rsidRPr="00942872">
              <w:rPr>
                <w:rFonts w:ascii="Arial Narrow" w:eastAsiaTheme="minorHAnsi" w:hAnsi="Arial Narrow" w:cstheme="minorHAnsi"/>
                <w:b/>
                <w:bCs/>
                <w:sz w:val="20"/>
                <w:szCs w:val="20"/>
              </w:rPr>
              <w:noBreakHyphen/>
              <w:t>manufacturer price) per administration</w:t>
            </w:r>
          </w:p>
        </w:tc>
      </w:tr>
      <w:tr w:rsidR="007805A7" w:rsidRPr="00942872" w14:paraId="61B63F71" w14:textId="77777777" w:rsidTr="00B23084">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010B9" w14:textId="77777777" w:rsidR="007805A7" w:rsidRPr="00942872" w:rsidRDefault="007805A7" w:rsidP="00393BE8">
            <w:pPr>
              <w:keepNext/>
              <w:keepLines/>
              <w:ind w:firstLineChars="100" w:firstLine="200"/>
              <w:rPr>
                <w:rFonts w:ascii="Arial Narrow" w:hAnsi="Arial Narrow" w:cstheme="minorHAnsi"/>
                <w:color w:val="000000"/>
                <w:sz w:val="20"/>
                <w:szCs w:val="20"/>
              </w:rPr>
            </w:pPr>
            <w:r w:rsidRPr="00942872">
              <w:rPr>
                <w:rFonts w:ascii="Arial Narrow" w:hAnsi="Arial Narrow" w:cstheme="minorHAnsi"/>
                <w:color w:val="000000"/>
                <w:sz w:val="20"/>
                <w:szCs w:val="20"/>
              </w:rPr>
              <w:t>Dose per administration</w:t>
            </w:r>
          </w:p>
        </w:tc>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EE843E"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350 mg</w:t>
            </w:r>
          </w:p>
        </w:tc>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53FBE4"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200 mg</w:t>
            </w:r>
          </w:p>
        </w:tc>
        <w:tc>
          <w:tcPr>
            <w:tcW w:w="121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EF32A9A"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400 mg</w:t>
            </w:r>
          </w:p>
        </w:tc>
      </w:tr>
      <w:tr w:rsidR="007805A7" w:rsidRPr="00942872" w14:paraId="620799A8" w14:textId="77777777" w:rsidTr="00B23084">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CC8AA" w14:textId="77777777" w:rsidR="007805A7" w:rsidRPr="00942872" w:rsidRDefault="007805A7" w:rsidP="00393BE8">
            <w:pPr>
              <w:keepNext/>
              <w:keepLines/>
              <w:ind w:firstLineChars="100" w:firstLine="200"/>
              <w:rPr>
                <w:rFonts w:ascii="Arial Narrow" w:hAnsi="Arial Narrow" w:cstheme="minorHAnsi"/>
                <w:color w:val="000000"/>
                <w:sz w:val="20"/>
                <w:szCs w:val="20"/>
              </w:rPr>
            </w:pPr>
            <w:r w:rsidRPr="00942872">
              <w:rPr>
                <w:rFonts w:ascii="Arial Narrow" w:hAnsi="Arial Narrow" w:cstheme="minorHAnsi"/>
                <w:color w:val="000000"/>
                <w:sz w:val="20"/>
                <w:szCs w:val="20"/>
              </w:rPr>
              <w:t>Vials</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AE9D7" w14:textId="77777777" w:rsidR="007805A7" w:rsidRPr="00942872" w:rsidRDefault="007805A7" w:rsidP="00393BE8">
            <w:pPr>
              <w:keepNext/>
              <w:keepLines/>
              <w:jc w:val="center"/>
              <w:rPr>
                <w:rFonts w:ascii="Arial Narrow" w:hAnsi="Arial Narrow" w:cstheme="minorHAnsi"/>
                <w:b/>
                <w:bCs/>
                <w:color w:val="000000"/>
                <w:sz w:val="20"/>
                <w:szCs w:val="20"/>
              </w:rPr>
            </w:pPr>
            <w:r w:rsidRPr="00942872">
              <w:rPr>
                <w:rFonts w:ascii="Arial Narrow" w:hAnsi="Arial Narrow" w:cstheme="minorHAnsi"/>
                <w:b/>
                <w:bCs/>
                <w:color w:val="000000"/>
                <w:sz w:val="20"/>
                <w:szCs w:val="20"/>
              </w:rPr>
              <w:t>Unit (mg)</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9ACE8" w14:textId="77777777" w:rsidR="007805A7" w:rsidRPr="00942872" w:rsidRDefault="007805A7" w:rsidP="00393BE8">
            <w:pPr>
              <w:keepNext/>
              <w:keepLines/>
              <w:jc w:val="center"/>
              <w:rPr>
                <w:rFonts w:ascii="Arial Narrow" w:hAnsi="Arial Narrow" w:cstheme="minorHAnsi"/>
                <w:b/>
                <w:bCs/>
                <w:color w:val="000000"/>
                <w:sz w:val="20"/>
                <w:szCs w:val="20"/>
              </w:rPr>
            </w:pPr>
            <w:r w:rsidRPr="00942872">
              <w:rPr>
                <w:rFonts w:ascii="Arial Narrow" w:hAnsi="Arial Narrow" w:cstheme="minorHAnsi"/>
                <w:b/>
                <w:bCs/>
                <w:color w:val="000000"/>
                <w:sz w:val="20"/>
                <w:szCs w:val="20"/>
              </w:rPr>
              <w:t>AEMP</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B04EA" w14:textId="77777777" w:rsidR="007805A7" w:rsidRPr="00942872" w:rsidRDefault="007805A7" w:rsidP="00393BE8">
            <w:pPr>
              <w:keepNext/>
              <w:keepLines/>
              <w:jc w:val="center"/>
              <w:rPr>
                <w:rFonts w:ascii="Arial Narrow" w:hAnsi="Arial Narrow" w:cstheme="minorHAnsi"/>
                <w:b/>
                <w:bCs/>
                <w:color w:val="000000"/>
                <w:sz w:val="20"/>
                <w:szCs w:val="20"/>
              </w:rPr>
            </w:pPr>
            <w:r w:rsidRPr="00942872">
              <w:rPr>
                <w:rFonts w:ascii="Arial Narrow" w:hAnsi="Arial Narrow" w:cstheme="minorHAnsi"/>
                <w:b/>
                <w:bCs/>
                <w:color w:val="000000"/>
                <w:sz w:val="20"/>
                <w:szCs w:val="20"/>
              </w:rPr>
              <w:t># vials</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86D89" w14:textId="77777777" w:rsidR="007805A7" w:rsidRPr="00942872" w:rsidRDefault="007805A7" w:rsidP="00393BE8">
            <w:pPr>
              <w:keepNext/>
              <w:keepLines/>
              <w:jc w:val="center"/>
              <w:rPr>
                <w:rFonts w:ascii="Arial Narrow" w:hAnsi="Arial Narrow" w:cstheme="minorHAnsi"/>
                <w:b/>
                <w:bCs/>
                <w:color w:val="000000"/>
                <w:sz w:val="20"/>
                <w:szCs w:val="20"/>
              </w:rPr>
            </w:pPr>
            <w:r w:rsidRPr="00942872">
              <w:rPr>
                <w:rFonts w:ascii="Arial Narrow" w:hAnsi="Arial Narrow" w:cstheme="minorHAnsi"/>
                <w:b/>
                <w:bCs/>
                <w:color w:val="000000"/>
                <w:sz w:val="20"/>
                <w:szCs w:val="20"/>
              </w:rPr>
              <w:t>Unit (mg)</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EE328" w14:textId="77777777" w:rsidR="007805A7" w:rsidRPr="00942872" w:rsidRDefault="007805A7" w:rsidP="00393BE8">
            <w:pPr>
              <w:keepNext/>
              <w:keepLines/>
              <w:jc w:val="center"/>
              <w:rPr>
                <w:rFonts w:ascii="Arial Narrow" w:hAnsi="Arial Narrow" w:cstheme="minorHAnsi"/>
                <w:b/>
                <w:bCs/>
                <w:color w:val="000000"/>
                <w:sz w:val="20"/>
                <w:szCs w:val="20"/>
              </w:rPr>
            </w:pPr>
            <w:r w:rsidRPr="00942872">
              <w:rPr>
                <w:rFonts w:ascii="Arial Narrow" w:hAnsi="Arial Narrow" w:cstheme="minorHAnsi"/>
                <w:b/>
                <w:bCs/>
                <w:color w:val="000000"/>
                <w:sz w:val="20"/>
                <w:szCs w:val="20"/>
              </w:rPr>
              <w:t>AEMP</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D4CD2" w14:textId="77777777" w:rsidR="007805A7" w:rsidRPr="00942872" w:rsidRDefault="007805A7" w:rsidP="00393BE8">
            <w:pPr>
              <w:keepNext/>
              <w:keepLines/>
              <w:jc w:val="center"/>
              <w:rPr>
                <w:rFonts w:ascii="Arial Narrow" w:hAnsi="Arial Narrow" w:cstheme="minorHAnsi"/>
                <w:b/>
                <w:bCs/>
                <w:color w:val="000000"/>
                <w:sz w:val="20"/>
                <w:szCs w:val="20"/>
              </w:rPr>
            </w:pPr>
            <w:r w:rsidRPr="00942872">
              <w:rPr>
                <w:rFonts w:ascii="Arial Narrow" w:hAnsi="Arial Narrow" w:cstheme="minorHAnsi"/>
                <w:b/>
                <w:bCs/>
                <w:color w:val="000000"/>
                <w:sz w:val="20"/>
                <w:szCs w:val="20"/>
              </w:rPr>
              <w:t># vials</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90594" w14:textId="77777777" w:rsidR="007805A7" w:rsidRPr="00942872" w:rsidRDefault="007805A7" w:rsidP="00393BE8">
            <w:pPr>
              <w:keepNext/>
              <w:keepLines/>
              <w:jc w:val="center"/>
              <w:rPr>
                <w:rFonts w:ascii="Arial Narrow" w:hAnsi="Arial Narrow" w:cstheme="minorHAnsi"/>
                <w:b/>
                <w:bCs/>
                <w:color w:val="000000"/>
                <w:sz w:val="20"/>
                <w:szCs w:val="20"/>
              </w:rPr>
            </w:pPr>
            <w:r w:rsidRPr="00942872">
              <w:rPr>
                <w:rFonts w:ascii="Arial Narrow" w:hAnsi="Arial Narrow" w:cstheme="minorHAnsi"/>
                <w:b/>
                <w:bCs/>
                <w:color w:val="000000"/>
                <w:sz w:val="20"/>
                <w:szCs w:val="20"/>
              </w:rPr>
              <w:t>Unit (mg)</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7F12E" w14:textId="77777777" w:rsidR="007805A7" w:rsidRPr="00942872" w:rsidRDefault="007805A7" w:rsidP="00393BE8">
            <w:pPr>
              <w:keepNext/>
              <w:keepLines/>
              <w:jc w:val="center"/>
              <w:rPr>
                <w:rFonts w:ascii="Arial Narrow" w:hAnsi="Arial Narrow" w:cstheme="minorHAnsi"/>
                <w:b/>
                <w:bCs/>
                <w:color w:val="000000"/>
                <w:sz w:val="20"/>
                <w:szCs w:val="20"/>
              </w:rPr>
            </w:pPr>
            <w:r w:rsidRPr="00942872">
              <w:rPr>
                <w:rFonts w:ascii="Arial Narrow" w:hAnsi="Arial Narrow" w:cstheme="minorHAnsi"/>
                <w:b/>
                <w:bCs/>
                <w:color w:val="000000"/>
                <w:sz w:val="20"/>
                <w:szCs w:val="20"/>
              </w:rPr>
              <w:t>AEMP</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C59A2" w14:textId="77777777" w:rsidR="007805A7" w:rsidRPr="00942872" w:rsidRDefault="007805A7" w:rsidP="00393BE8">
            <w:pPr>
              <w:keepNext/>
              <w:keepLines/>
              <w:jc w:val="center"/>
              <w:rPr>
                <w:rFonts w:ascii="Arial Narrow" w:hAnsi="Arial Narrow" w:cstheme="minorHAnsi"/>
                <w:b/>
                <w:bCs/>
                <w:color w:val="000000"/>
                <w:sz w:val="20"/>
                <w:szCs w:val="20"/>
              </w:rPr>
            </w:pPr>
            <w:r w:rsidRPr="00942872">
              <w:rPr>
                <w:rFonts w:ascii="Arial Narrow" w:hAnsi="Arial Narrow" w:cstheme="minorHAnsi"/>
                <w:b/>
                <w:bCs/>
                <w:color w:val="000000"/>
                <w:sz w:val="20"/>
                <w:szCs w:val="20"/>
              </w:rPr>
              <w:t># vials</w:t>
            </w:r>
          </w:p>
        </w:tc>
      </w:tr>
      <w:tr w:rsidR="007805A7" w:rsidRPr="00942872" w14:paraId="62A5BA3A" w14:textId="77777777" w:rsidTr="00B23084">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9E9AF8" w14:textId="77777777" w:rsidR="007805A7" w:rsidRPr="00942872" w:rsidRDefault="007805A7" w:rsidP="00393BE8">
            <w:pPr>
              <w:keepNext/>
              <w:keepLines/>
              <w:ind w:firstLineChars="100" w:firstLine="200"/>
              <w:rPr>
                <w:rFonts w:ascii="Arial Narrow" w:hAnsi="Arial Narrow" w:cstheme="minorHAnsi"/>
                <w:color w:val="000000"/>
                <w:sz w:val="20"/>
                <w:szCs w:val="20"/>
              </w:rPr>
            </w:pPr>
            <w:r w:rsidRPr="00942872">
              <w:rPr>
                <w:rFonts w:ascii="Arial Narrow" w:hAnsi="Arial Narrow" w:cstheme="minorHAnsi"/>
                <w:color w:val="000000"/>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C0D3C"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350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49B46"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$7,643.93</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5BC86"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5E3054"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100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0E394"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$3,823.75</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76F2C"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0AC9F"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100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B2E1A"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$3,823.75</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442DC"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1</w:t>
            </w:r>
          </w:p>
        </w:tc>
      </w:tr>
      <w:tr w:rsidR="007805A7" w:rsidRPr="00942872" w14:paraId="2FE3BB4C" w14:textId="77777777" w:rsidTr="00B23084">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627C7" w14:textId="77777777" w:rsidR="007805A7" w:rsidRPr="00942872" w:rsidRDefault="007805A7" w:rsidP="00393BE8">
            <w:pPr>
              <w:keepNext/>
              <w:keepLines/>
              <w:ind w:firstLineChars="100" w:firstLine="200"/>
              <w:rPr>
                <w:rFonts w:ascii="Arial Narrow" w:hAnsi="Arial Narrow" w:cstheme="minorHAnsi"/>
                <w:color w:val="000000"/>
                <w:sz w:val="20"/>
                <w:szCs w:val="20"/>
              </w:rPr>
            </w:pPr>
            <w:r w:rsidRPr="00942872">
              <w:rPr>
                <w:rFonts w:ascii="Arial Narrow" w:hAnsi="Arial Narrow" w:cstheme="minorHAnsi"/>
                <w:color w:val="000000"/>
                <w:sz w:val="20"/>
                <w:szCs w:val="20"/>
              </w:rPr>
              <w:t>List AEMP per administration</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B591"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350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23EF6"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$7,643.93</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6418D"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1</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DA46D"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200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9BA25"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$7,647.50</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70166"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2</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D655F"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400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6B3A6"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$15,295.00</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69B61"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4</w:t>
            </w:r>
          </w:p>
        </w:tc>
      </w:tr>
      <w:tr w:rsidR="007805A7" w:rsidRPr="00942872" w14:paraId="4A477B6D" w14:textId="77777777" w:rsidTr="00B23084">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E952208" w14:textId="77777777" w:rsidR="007805A7" w:rsidRPr="00942872" w:rsidRDefault="007805A7" w:rsidP="00393BE8">
            <w:pPr>
              <w:keepNext/>
              <w:keepLines/>
              <w:jc w:val="left"/>
              <w:rPr>
                <w:rFonts w:ascii="Arial Narrow" w:eastAsiaTheme="minorHAnsi" w:hAnsi="Arial Narrow" w:cstheme="minorHAnsi"/>
                <w:b/>
                <w:bCs/>
                <w:sz w:val="20"/>
                <w:szCs w:val="20"/>
              </w:rPr>
            </w:pPr>
            <w:r w:rsidRPr="00942872">
              <w:rPr>
                <w:rFonts w:ascii="Arial Narrow" w:eastAsiaTheme="minorHAnsi" w:hAnsi="Arial Narrow" w:cstheme="minorHAnsi"/>
                <w:b/>
                <w:bCs/>
                <w:sz w:val="20"/>
                <w:szCs w:val="20"/>
              </w:rPr>
              <w:t>Equi</w:t>
            </w:r>
            <w:r w:rsidRPr="00942872">
              <w:rPr>
                <w:rFonts w:ascii="Arial Narrow" w:eastAsiaTheme="minorHAnsi" w:hAnsi="Arial Narrow" w:cstheme="minorHAnsi"/>
                <w:b/>
                <w:bCs/>
                <w:sz w:val="20"/>
                <w:szCs w:val="20"/>
              </w:rPr>
              <w:noBreakHyphen/>
              <w:t>effective dose</w:t>
            </w:r>
          </w:p>
        </w:tc>
      </w:tr>
      <w:tr w:rsidR="007805A7" w:rsidRPr="00942872" w14:paraId="73FC7A01" w14:textId="77777777" w:rsidTr="00B23084">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6DB5E" w14:textId="77777777" w:rsidR="007805A7" w:rsidRPr="00942872" w:rsidRDefault="007805A7" w:rsidP="00393BE8">
            <w:pPr>
              <w:keepNext/>
              <w:keepLines/>
              <w:ind w:firstLineChars="50" w:firstLine="100"/>
              <w:rPr>
                <w:rFonts w:ascii="Arial Narrow" w:hAnsi="Arial Narrow" w:cstheme="minorHAnsi"/>
                <w:color w:val="000000"/>
                <w:sz w:val="20"/>
                <w:szCs w:val="20"/>
              </w:rPr>
            </w:pPr>
            <w:r w:rsidRPr="00942872">
              <w:rPr>
                <w:rFonts w:ascii="Arial Narrow" w:hAnsi="Arial Narrow" w:cstheme="minorHAnsi"/>
                <w:color w:val="000000"/>
                <w:sz w:val="20"/>
                <w:szCs w:val="20"/>
              </w:rPr>
              <w:t>Administrations per Q3W cycle</w:t>
            </w:r>
          </w:p>
        </w:tc>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2A65AA"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1</w:t>
            </w:r>
          </w:p>
        </w:tc>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8AED4B"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1</w:t>
            </w:r>
          </w:p>
        </w:tc>
        <w:tc>
          <w:tcPr>
            <w:tcW w:w="121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BE3B79"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0.5</w:t>
            </w:r>
          </w:p>
        </w:tc>
      </w:tr>
      <w:tr w:rsidR="007805A7" w:rsidRPr="00942872" w14:paraId="6B840213" w14:textId="77777777" w:rsidTr="00B23084">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16B87" w14:textId="77777777" w:rsidR="007805A7" w:rsidRPr="00942872" w:rsidRDefault="007805A7" w:rsidP="00393BE8">
            <w:pPr>
              <w:keepNext/>
              <w:keepLines/>
              <w:ind w:firstLineChars="50" w:firstLine="100"/>
              <w:rPr>
                <w:rFonts w:ascii="Arial Narrow" w:hAnsi="Arial Narrow" w:cstheme="minorHAnsi"/>
                <w:color w:val="000000"/>
                <w:sz w:val="20"/>
                <w:szCs w:val="20"/>
                <w:vertAlign w:val="superscript"/>
              </w:rPr>
            </w:pPr>
            <w:r w:rsidRPr="00942872">
              <w:rPr>
                <w:rFonts w:ascii="Arial Narrow" w:hAnsi="Arial Narrow" w:cstheme="minorHAnsi"/>
                <w:color w:val="000000"/>
                <w:sz w:val="20"/>
                <w:szCs w:val="20"/>
              </w:rPr>
              <w:t>Equi</w:t>
            </w:r>
            <w:r w:rsidRPr="00942872">
              <w:rPr>
                <w:rFonts w:ascii="Arial Narrow" w:hAnsi="Arial Narrow" w:cstheme="minorHAnsi"/>
                <w:color w:val="000000"/>
                <w:sz w:val="20"/>
                <w:szCs w:val="20"/>
              </w:rPr>
              <w:noBreakHyphen/>
              <w:t>effective dose per Q3W cycle</w:t>
            </w:r>
          </w:p>
        </w:tc>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E6FAEC"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350 mg</w:t>
            </w:r>
          </w:p>
        </w:tc>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52A9F"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200 mg</w:t>
            </w:r>
          </w:p>
        </w:tc>
        <w:tc>
          <w:tcPr>
            <w:tcW w:w="121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B0C50A" w14:textId="77777777" w:rsidR="007805A7" w:rsidRPr="00942872" w:rsidRDefault="00E93B6C"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200 </w:t>
            </w:r>
            <w:r w:rsidR="007805A7" w:rsidRPr="00942872">
              <w:rPr>
                <w:rFonts w:ascii="Arial Narrow" w:hAnsi="Arial Narrow" w:cstheme="minorHAnsi"/>
                <w:color w:val="000000"/>
                <w:sz w:val="20"/>
                <w:szCs w:val="20"/>
              </w:rPr>
              <w:t>mg</w:t>
            </w:r>
          </w:p>
        </w:tc>
      </w:tr>
      <w:tr w:rsidR="004B0EED" w:rsidRPr="00942872" w14:paraId="2428F299" w14:textId="77777777" w:rsidTr="00B23084">
        <w:tc>
          <w:tcPr>
            <w:tcW w:w="1"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250786E" w14:textId="77777777" w:rsidR="004B0EED" w:rsidRPr="00942872" w:rsidRDefault="004B0EED" w:rsidP="00393BE8">
            <w:pPr>
              <w:keepNext/>
              <w:keepLines/>
              <w:rPr>
                <w:rFonts w:ascii="Arial Narrow" w:hAnsi="Arial Narrow" w:cstheme="minorHAnsi"/>
                <w:color w:val="000000"/>
                <w:sz w:val="20"/>
                <w:szCs w:val="20"/>
              </w:rPr>
            </w:pPr>
            <w:r w:rsidRPr="00942872">
              <w:rPr>
                <w:rFonts w:ascii="Arial Narrow" w:eastAsiaTheme="minorHAnsi" w:hAnsi="Arial Narrow" w:cstheme="minorHAnsi"/>
                <w:b/>
                <w:bCs/>
                <w:sz w:val="20"/>
                <w:szCs w:val="20"/>
              </w:rPr>
              <w:t>Drug cost (ex</w:t>
            </w:r>
            <w:r w:rsidRPr="00942872">
              <w:rPr>
                <w:rFonts w:ascii="Arial Narrow" w:eastAsiaTheme="minorHAnsi" w:hAnsi="Arial Narrow" w:cstheme="minorHAnsi"/>
                <w:b/>
                <w:bCs/>
                <w:sz w:val="20"/>
                <w:szCs w:val="20"/>
              </w:rPr>
              <w:noBreakHyphen/>
              <w:t>manufacturer price) per Q3W cycle at equi</w:t>
            </w:r>
            <w:r w:rsidRPr="00942872">
              <w:rPr>
                <w:rFonts w:ascii="Arial Narrow" w:eastAsiaTheme="minorHAnsi" w:hAnsi="Arial Narrow" w:cstheme="minorHAnsi"/>
                <w:b/>
                <w:bCs/>
                <w:sz w:val="20"/>
                <w:szCs w:val="20"/>
              </w:rPr>
              <w:noBreakHyphen/>
              <w:t>effective dose</w:t>
            </w:r>
          </w:p>
        </w:tc>
      </w:tr>
      <w:tr w:rsidR="007805A7" w:rsidRPr="00942872" w14:paraId="2DC961E1" w14:textId="77777777" w:rsidTr="00B23084">
        <w:tc>
          <w:tcPr>
            <w:tcW w:w="1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EF9ADE" w14:textId="77777777" w:rsidR="007805A7" w:rsidRPr="00942872" w:rsidRDefault="007805A7" w:rsidP="00393BE8">
            <w:pPr>
              <w:keepNext/>
              <w:keepLines/>
              <w:ind w:firstLineChars="50" w:firstLine="100"/>
              <w:rPr>
                <w:rFonts w:ascii="Arial Narrow" w:hAnsi="Arial Narrow" w:cstheme="minorHAnsi"/>
                <w:color w:val="000000"/>
                <w:sz w:val="20"/>
                <w:szCs w:val="20"/>
              </w:rPr>
            </w:pPr>
            <w:r w:rsidRPr="00942872">
              <w:rPr>
                <w:rFonts w:ascii="Arial Narrow" w:hAnsi="Arial Narrow" w:cstheme="minorHAnsi"/>
                <w:color w:val="000000"/>
                <w:sz w:val="20"/>
                <w:szCs w:val="20"/>
              </w:rPr>
              <w:t>Total drug cost per Q3W cycle</w:t>
            </w:r>
          </w:p>
        </w:tc>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1514D5"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$7,643.93</w:t>
            </w:r>
          </w:p>
        </w:tc>
        <w:tc>
          <w:tcPr>
            <w:tcW w:w="144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CD1594"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$7,647.50</w:t>
            </w:r>
          </w:p>
        </w:tc>
        <w:tc>
          <w:tcPr>
            <w:tcW w:w="121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C1C5AE"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$7,647.50</w:t>
            </w:r>
          </w:p>
        </w:tc>
      </w:tr>
      <w:tr w:rsidR="007805A7" w:rsidRPr="00942872" w14:paraId="605F9731" w14:textId="77777777" w:rsidTr="00B23084">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1BCBB06" w14:textId="77777777" w:rsidR="007805A7" w:rsidRPr="00942872" w:rsidRDefault="007805A7" w:rsidP="00393BE8">
            <w:pPr>
              <w:keepNext/>
              <w:keepLines/>
              <w:jc w:val="left"/>
              <w:rPr>
                <w:rFonts w:ascii="Arial Narrow" w:eastAsiaTheme="minorHAnsi" w:hAnsi="Arial Narrow" w:cstheme="minorHAnsi"/>
                <w:b/>
                <w:bCs/>
                <w:sz w:val="20"/>
                <w:szCs w:val="20"/>
              </w:rPr>
            </w:pPr>
            <w:r w:rsidRPr="00942872">
              <w:rPr>
                <w:rFonts w:ascii="Arial Narrow" w:eastAsiaTheme="minorHAnsi" w:hAnsi="Arial Narrow" w:cstheme="minorHAnsi"/>
                <w:b/>
                <w:bCs/>
                <w:sz w:val="20"/>
                <w:szCs w:val="20"/>
              </w:rPr>
              <w:t>Administration cost</w:t>
            </w:r>
          </w:p>
        </w:tc>
      </w:tr>
      <w:tr w:rsidR="007805A7" w:rsidRPr="00942872" w14:paraId="25D78C63" w14:textId="77777777" w:rsidTr="00B23084">
        <w:tc>
          <w:tcPr>
            <w:tcW w:w="1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0D9D" w14:textId="77777777" w:rsidR="007805A7" w:rsidRPr="00942872" w:rsidRDefault="007805A7" w:rsidP="00393BE8">
            <w:pPr>
              <w:keepNext/>
              <w:keepLines/>
              <w:ind w:left="142"/>
              <w:rPr>
                <w:rFonts w:ascii="Arial Narrow" w:hAnsi="Arial Narrow" w:cstheme="minorHAnsi"/>
                <w:color w:val="000000"/>
                <w:sz w:val="20"/>
                <w:szCs w:val="20"/>
              </w:rPr>
            </w:pPr>
            <w:r w:rsidRPr="00942872">
              <w:rPr>
                <w:rFonts w:ascii="Arial Narrow" w:hAnsi="Arial Narrow" w:cstheme="minorHAnsi"/>
                <w:color w:val="000000"/>
                <w:sz w:val="20"/>
                <w:szCs w:val="20"/>
              </w:rPr>
              <w:t>Number of IV administrations per Q3W cycle</w:t>
            </w:r>
          </w:p>
        </w:tc>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6F1F91"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1</w:t>
            </w:r>
          </w:p>
        </w:tc>
        <w:tc>
          <w:tcPr>
            <w:tcW w:w="144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1AEE37"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1</w:t>
            </w:r>
          </w:p>
        </w:tc>
        <w:tc>
          <w:tcPr>
            <w:tcW w:w="121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31AD70"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0.5</w:t>
            </w:r>
          </w:p>
        </w:tc>
      </w:tr>
      <w:tr w:rsidR="007805A7" w:rsidRPr="00942872" w14:paraId="67B0C2EF" w14:textId="77777777" w:rsidTr="00B23084">
        <w:tc>
          <w:tcPr>
            <w:tcW w:w="1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17E9E" w14:textId="77777777" w:rsidR="007805A7" w:rsidRPr="00942872" w:rsidRDefault="007805A7" w:rsidP="00393BE8">
            <w:pPr>
              <w:keepNext/>
              <w:keepLines/>
              <w:ind w:firstLineChars="50" w:firstLine="100"/>
              <w:rPr>
                <w:rFonts w:ascii="Arial Narrow" w:hAnsi="Arial Narrow" w:cstheme="minorHAnsi"/>
                <w:color w:val="000000"/>
                <w:sz w:val="20"/>
                <w:szCs w:val="20"/>
              </w:rPr>
            </w:pPr>
            <w:r w:rsidRPr="00942872">
              <w:rPr>
                <w:rFonts w:ascii="Arial Narrow" w:hAnsi="Arial Narrow" w:cstheme="minorHAnsi"/>
                <w:color w:val="000000"/>
                <w:sz w:val="20"/>
                <w:szCs w:val="20"/>
              </w:rPr>
              <w:t>Cost per administration</w:t>
            </w:r>
          </w:p>
          <w:p w14:paraId="5AD34645" w14:textId="77777777" w:rsidR="007805A7" w:rsidRPr="00942872" w:rsidRDefault="001B6716" w:rsidP="00393BE8">
            <w:pPr>
              <w:keepNext/>
              <w:keepLines/>
              <w:ind w:firstLineChars="50" w:firstLine="100"/>
              <w:rPr>
                <w:rFonts w:ascii="Arial Narrow" w:hAnsi="Arial Narrow" w:cstheme="minorHAnsi"/>
                <w:color w:val="000000"/>
                <w:sz w:val="20"/>
                <w:szCs w:val="20"/>
              </w:rPr>
            </w:pPr>
            <w:r w:rsidRPr="00942872">
              <w:rPr>
                <w:rFonts w:ascii="Arial Narrow" w:hAnsi="Arial Narrow" w:cstheme="minorHAnsi"/>
                <w:color w:val="000000"/>
                <w:sz w:val="20"/>
                <w:szCs w:val="20"/>
              </w:rPr>
              <w:t>(MBS Item 13950)</w:t>
            </w:r>
          </w:p>
        </w:tc>
        <w:tc>
          <w:tcPr>
            <w:tcW w:w="382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B9ADB"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$111.40 </w:t>
            </w:r>
          </w:p>
        </w:tc>
      </w:tr>
      <w:tr w:rsidR="007805A7" w:rsidRPr="00942872" w14:paraId="245BFCDC" w14:textId="77777777" w:rsidTr="00B23084">
        <w:tc>
          <w:tcPr>
            <w:tcW w:w="1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342F0" w14:textId="77777777" w:rsidR="007805A7" w:rsidRPr="00942872" w:rsidRDefault="007805A7" w:rsidP="00393BE8">
            <w:pPr>
              <w:keepNext/>
              <w:keepLines/>
              <w:ind w:left="142"/>
              <w:rPr>
                <w:rFonts w:ascii="Arial Narrow" w:hAnsi="Arial Narrow" w:cstheme="minorHAnsi"/>
                <w:color w:val="000000"/>
                <w:sz w:val="20"/>
                <w:szCs w:val="20"/>
              </w:rPr>
            </w:pPr>
            <w:r w:rsidRPr="00942872">
              <w:rPr>
                <w:rFonts w:ascii="Arial Narrow" w:hAnsi="Arial Narrow" w:cstheme="minorHAnsi"/>
                <w:color w:val="000000"/>
                <w:sz w:val="20"/>
                <w:szCs w:val="20"/>
              </w:rPr>
              <w:t>Total administration cost per Q3W cycle</w:t>
            </w:r>
          </w:p>
        </w:tc>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9BAB2E"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$111.40</w:t>
            </w:r>
          </w:p>
        </w:tc>
        <w:tc>
          <w:tcPr>
            <w:tcW w:w="144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02F42E"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$111.40</w:t>
            </w:r>
          </w:p>
        </w:tc>
        <w:tc>
          <w:tcPr>
            <w:tcW w:w="121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5E6BD7"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$55.70</w:t>
            </w:r>
          </w:p>
        </w:tc>
      </w:tr>
      <w:tr w:rsidR="007805A7" w:rsidRPr="00942872" w14:paraId="3F31297F" w14:textId="77777777" w:rsidTr="00B23084">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8005105" w14:textId="77777777" w:rsidR="007805A7" w:rsidRPr="00942872" w:rsidRDefault="007805A7" w:rsidP="00393BE8">
            <w:pPr>
              <w:keepNext/>
              <w:keepLines/>
              <w:jc w:val="left"/>
              <w:rPr>
                <w:rFonts w:ascii="Arial Narrow" w:eastAsiaTheme="minorHAnsi" w:hAnsi="Arial Narrow" w:cstheme="minorHAnsi"/>
                <w:b/>
                <w:bCs/>
                <w:sz w:val="20"/>
                <w:szCs w:val="20"/>
              </w:rPr>
            </w:pPr>
            <w:r w:rsidRPr="00942872">
              <w:rPr>
                <w:rFonts w:ascii="Arial Narrow" w:eastAsiaTheme="minorHAnsi" w:hAnsi="Arial Narrow" w:cstheme="minorHAnsi"/>
                <w:b/>
                <w:bCs/>
                <w:sz w:val="20"/>
                <w:szCs w:val="20"/>
              </w:rPr>
              <w:t>Total cost (cost</w:t>
            </w:r>
            <w:r w:rsidRPr="00942872">
              <w:rPr>
                <w:rFonts w:ascii="Arial Narrow" w:eastAsiaTheme="minorHAnsi" w:hAnsi="Arial Narrow" w:cstheme="minorHAnsi"/>
                <w:b/>
                <w:bCs/>
                <w:sz w:val="20"/>
                <w:szCs w:val="20"/>
              </w:rPr>
              <w:noBreakHyphen/>
              <w:t>minimisation)</w:t>
            </w:r>
          </w:p>
        </w:tc>
      </w:tr>
      <w:tr w:rsidR="007805A7" w:rsidRPr="00942872" w14:paraId="0E920609" w14:textId="77777777" w:rsidTr="00B23084">
        <w:tc>
          <w:tcPr>
            <w:tcW w:w="1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1D091" w14:textId="77777777" w:rsidR="007805A7" w:rsidRPr="00942872" w:rsidRDefault="007805A7" w:rsidP="00393BE8">
            <w:pPr>
              <w:keepNext/>
              <w:keepLines/>
              <w:ind w:left="142"/>
              <w:rPr>
                <w:rFonts w:ascii="Arial Narrow" w:hAnsi="Arial Narrow" w:cstheme="minorHAnsi"/>
                <w:color w:val="000000"/>
                <w:sz w:val="20"/>
                <w:szCs w:val="20"/>
              </w:rPr>
            </w:pPr>
            <w:r w:rsidRPr="00942872">
              <w:rPr>
                <w:rFonts w:ascii="Arial Narrow" w:hAnsi="Arial Narrow" w:cstheme="minorHAnsi"/>
                <w:color w:val="000000"/>
                <w:sz w:val="20"/>
                <w:szCs w:val="20"/>
              </w:rPr>
              <w:t>Total drug and administration cost per Q3W cycle</w:t>
            </w:r>
          </w:p>
        </w:tc>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7B25F1" w14:textId="77777777" w:rsidR="007805A7" w:rsidRPr="00942872" w:rsidRDefault="007805A7" w:rsidP="00393BE8">
            <w:pPr>
              <w:keepNext/>
              <w:keepLines/>
              <w:jc w:val="center"/>
              <w:rPr>
                <w:rFonts w:ascii="Arial Narrow" w:hAnsi="Arial Narrow" w:cstheme="minorHAnsi"/>
                <w:b/>
                <w:bCs/>
                <w:color w:val="000000"/>
                <w:sz w:val="20"/>
                <w:szCs w:val="20"/>
              </w:rPr>
            </w:pPr>
            <w:r w:rsidRPr="00942872">
              <w:rPr>
                <w:rFonts w:ascii="Arial Narrow" w:hAnsi="Arial Narrow" w:cstheme="minorHAnsi"/>
                <w:b/>
                <w:bCs/>
                <w:color w:val="000000"/>
                <w:sz w:val="20"/>
                <w:szCs w:val="20"/>
              </w:rPr>
              <w:t>$7,755.33</w:t>
            </w:r>
          </w:p>
        </w:tc>
        <w:tc>
          <w:tcPr>
            <w:tcW w:w="144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6B4B2B"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$7,758.90</w:t>
            </w:r>
          </w:p>
        </w:tc>
        <w:tc>
          <w:tcPr>
            <w:tcW w:w="121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2F886F"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$7,703.20</w:t>
            </w:r>
          </w:p>
        </w:tc>
      </w:tr>
      <w:tr w:rsidR="007805A7" w:rsidRPr="00942872" w14:paraId="111529AD" w14:textId="77777777" w:rsidTr="00B23084">
        <w:tc>
          <w:tcPr>
            <w:tcW w:w="11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FE367A" w14:textId="77777777" w:rsidR="007805A7" w:rsidRPr="00942872" w:rsidRDefault="007805A7" w:rsidP="00393BE8">
            <w:pPr>
              <w:keepNext/>
              <w:keepLines/>
              <w:ind w:left="142"/>
              <w:rPr>
                <w:rFonts w:ascii="Arial Narrow" w:hAnsi="Arial Narrow" w:cstheme="minorHAnsi"/>
                <w:color w:val="000000"/>
                <w:sz w:val="20"/>
                <w:szCs w:val="20"/>
              </w:rPr>
            </w:pPr>
            <w:r w:rsidRPr="00942872">
              <w:rPr>
                <w:rFonts w:ascii="Arial Narrow" w:hAnsi="Arial Narrow" w:cstheme="minorHAnsi"/>
                <w:color w:val="000000"/>
                <w:sz w:val="20"/>
                <w:szCs w:val="20"/>
              </w:rPr>
              <w:t xml:space="preserve">Weighted proportion of use of pembrolizumab 200 mg and 400 mg </w:t>
            </w:r>
            <w:r w:rsidR="001B6716" w:rsidRPr="00942872">
              <w:rPr>
                <w:rFonts w:ascii="Arial Narrow" w:hAnsi="Arial Narrow" w:cstheme="minorHAnsi"/>
                <w:color w:val="000000"/>
                <w:sz w:val="20"/>
                <w:szCs w:val="20"/>
                <w:vertAlign w:val="superscript"/>
              </w:rPr>
              <w:t>a</w:t>
            </w:r>
          </w:p>
        </w:tc>
        <w:tc>
          <w:tcPr>
            <w:tcW w:w="1164" w:type="pct"/>
            <w:gridSpan w:val="3"/>
            <w:tcBorders>
              <w:top w:val="single" w:sz="4" w:space="0" w:color="auto"/>
              <w:left w:val="single" w:sz="4" w:space="0" w:color="auto"/>
              <w:bottom w:val="single" w:sz="4" w:space="0" w:color="auto"/>
              <w:right w:val="single" w:sz="4" w:space="0" w:color="auto"/>
            </w:tcBorders>
            <w:shd w:val="clear" w:color="000000" w:fill="auto"/>
            <w:vAlign w:val="center"/>
            <w:hideMark/>
          </w:tcPr>
          <w:p w14:paraId="3D7CAA6E" w14:textId="77777777" w:rsidR="007805A7" w:rsidRPr="00942872" w:rsidRDefault="00B23084"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w:t>
            </w:r>
          </w:p>
        </w:tc>
        <w:tc>
          <w:tcPr>
            <w:tcW w:w="144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2A31C11"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 94%</w:t>
            </w:r>
          </w:p>
        </w:tc>
        <w:tc>
          <w:tcPr>
            <w:tcW w:w="121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678BDC5"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 6% </w:t>
            </w:r>
          </w:p>
        </w:tc>
      </w:tr>
      <w:tr w:rsidR="007805A7" w:rsidRPr="00942872" w14:paraId="0C299B63" w14:textId="77777777" w:rsidTr="00B23084">
        <w:tc>
          <w:tcPr>
            <w:tcW w:w="11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EC961B" w14:textId="77777777" w:rsidR="007805A7" w:rsidRPr="00942872" w:rsidRDefault="007805A7" w:rsidP="00393BE8">
            <w:pPr>
              <w:keepNext/>
              <w:keepLines/>
              <w:ind w:left="142"/>
              <w:rPr>
                <w:rFonts w:ascii="Arial Narrow" w:hAnsi="Arial Narrow" w:cstheme="minorHAnsi"/>
                <w:color w:val="000000"/>
                <w:sz w:val="20"/>
                <w:szCs w:val="20"/>
              </w:rPr>
            </w:pPr>
            <w:r w:rsidRPr="00942872">
              <w:rPr>
                <w:rFonts w:ascii="Arial Narrow" w:hAnsi="Arial Narrow" w:cstheme="minorHAnsi"/>
                <w:color w:val="000000"/>
                <w:sz w:val="20"/>
                <w:szCs w:val="20"/>
              </w:rPr>
              <w:t>Weighted price of pembrolizumab across strengths and administration cost</w:t>
            </w:r>
          </w:p>
        </w:tc>
        <w:tc>
          <w:tcPr>
            <w:tcW w:w="1164" w:type="pct"/>
            <w:gridSpan w:val="3"/>
            <w:tcBorders>
              <w:top w:val="single" w:sz="4" w:space="0" w:color="auto"/>
              <w:left w:val="single" w:sz="4" w:space="0" w:color="auto"/>
              <w:bottom w:val="single" w:sz="4" w:space="0" w:color="auto"/>
              <w:right w:val="single" w:sz="4" w:space="0" w:color="auto"/>
            </w:tcBorders>
            <w:shd w:val="clear" w:color="000000" w:fill="auto"/>
            <w:vAlign w:val="center"/>
            <w:hideMark/>
          </w:tcPr>
          <w:p w14:paraId="564775DB" w14:textId="77777777" w:rsidR="007805A7" w:rsidRPr="00942872" w:rsidRDefault="00B23084"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w:t>
            </w:r>
          </w:p>
        </w:tc>
        <w:tc>
          <w:tcPr>
            <w:tcW w:w="265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E8129B4" w14:textId="77777777" w:rsidR="007805A7" w:rsidRPr="00942872" w:rsidRDefault="007805A7" w:rsidP="00393BE8">
            <w:pPr>
              <w:keepNext/>
              <w:keepLines/>
              <w:jc w:val="center"/>
              <w:rPr>
                <w:rFonts w:ascii="Arial Narrow" w:hAnsi="Arial Narrow" w:cstheme="minorHAnsi"/>
                <w:b/>
                <w:bCs/>
                <w:color w:val="000000"/>
                <w:sz w:val="20"/>
                <w:szCs w:val="20"/>
              </w:rPr>
            </w:pPr>
            <w:r w:rsidRPr="00942872">
              <w:rPr>
                <w:rFonts w:ascii="Arial Narrow" w:hAnsi="Arial Narrow" w:cstheme="minorHAnsi"/>
                <w:b/>
                <w:bCs/>
                <w:color w:val="000000"/>
                <w:sz w:val="20"/>
                <w:szCs w:val="20"/>
              </w:rPr>
              <w:t>$</w:t>
            </w:r>
            <w:r w:rsidRPr="004C391C">
              <w:rPr>
                <w:rFonts w:ascii="Arial Narrow" w:hAnsi="Arial Narrow" w:cstheme="minorHAnsi"/>
                <w:b/>
                <w:bCs/>
                <w:color w:val="000000"/>
                <w:sz w:val="20"/>
                <w:szCs w:val="20"/>
              </w:rPr>
              <w:t>7,755.33</w:t>
            </w:r>
          </w:p>
        </w:tc>
      </w:tr>
      <w:tr w:rsidR="007805A7" w:rsidRPr="00942872" w14:paraId="51C84EB0" w14:textId="77777777" w:rsidTr="00B23084">
        <w:tc>
          <w:tcPr>
            <w:tcW w:w="11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3AD2E6" w14:textId="77777777" w:rsidR="007805A7" w:rsidRPr="00942872" w:rsidRDefault="007805A7" w:rsidP="00393BE8">
            <w:pPr>
              <w:keepNext/>
              <w:keepLines/>
              <w:jc w:val="left"/>
              <w:rPr>
                <w:rFonts w:ascii="Arial Narrow" w:eastAsiaTheme="minorHAnsi" w:hAnsi="Arial Narrow" w:cstheme="minorHAnsi"/>
                <w:b/>
                <w:bCs/>
                <w:sz w:val="20"/>
                <w:szCs w:val="20"/>
              </w:rPr>
            </w:pPr>
            <w:r w:rsidRPr="00942872">
              <w:rPr>
                <w:rFonts w:ascii="Arial Narrow" w:eastAsiaTheme="minorHAnsi" w:hAnsi="Arial Narrow" w:cstheme="minorHAnsi"/>
                <w:b/>
                <w:bCs/>
                <w:sz w:val="20"/>
                <w:szCs w:val="20"/>
              </w:rPr>
              <w:t>Total incremental cost per Q3W cycle (cemiplimab versus pembrolizumab)</w:t>
            </w:r>
          </w:p>
        </w:tc>
        <w:tc>
          <w:tcPr>
            <w:tcW w:w="382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72B9824A" w14:textId="77777777" w:rsidR="007805A7" w:rsidRPr="00942872" w:rsidRDefault="007805A7" w:rsidP="00393BE8">
            <w:pPr>
              <w:keepNext/>
              <w:keepLines/>
              <w:jc w:val="center"/>
              <w:rPr>
                <w:rFonts w:ascii="Arial Narrow" w:hAnsi="Arial Narrow" w:cstheme="minorHAnsi"/>
                <w:color w:val="000000"/>
                <w:sz w:val="20"/>
                <w:szCs w:val="20"/>
              </w:rPr>
            </w:pPr>
            <w:r w:rsidRPr="00942872">
              <w:rPr>
                <w:rFonts w:ascii="Arial Narrow" w:hAnsi="Arial Narrow" w:cstheme="minorHAnsi"/>
                <w:color w:val="000000"/>
                <w:sz w:val="20"/>
                <w:szCs w:val="20"/>
              </w:rPr>
              <w:t>$0.00</w:t>
            </w:r>
          </w:p>
        </w:tc>
      </w:tr>
    </w:tbl>
    <w:p w14:paraId="0C7F8EE1" w14:textId="77777777" w:rsidR="007805A7" w:rsidRPr="00942872" w:rsidRDefault="007805A7" w:rsidP="00393BE8">
      <w:pPr>
        <w:pStyle w:val="TableFigureFooter"/>
        <w:keepNext/>
        <w:keepLines/>
        <w:rPr>
          <w:rFonts w:eastAsiaTheme="minorHAnsi"/>
          <w:lang w:eastAsia="en-US"/>
        </w:rPr>
      </w:pPr>
      <w:r w:rsidRPr="00942872">
        <w:rPr>
          <w:rFonts w:eastAsiaTheme="minorHAnsi"/>
          <w:lang w:eastAsia="en-US"/>
        </w:rPr>
        <w:t>Source: Table 3.4-1, pp 123-124 of the submission.</w:t>
      </w:r>
    </w:p>
    <w:p w14:paraId="14991885" w14:textId="77777777" w:rsidR="007805A7" w:rsidRPr="00942872" w:rsidRDefault="007805A7" w:rsidP="00393BE8">
      <w:pPr>
        <w:pStyle w:val="TableFigureFooter"/>
        <w:keepNext/>
        <w:keepLines/>
        <w:rPr>
          <w:rFonts w:eastAsiaTheme="minorHAnsi"/>
          <w:lang w:eastAsia="en-US"/>
        </w:rPr>
      </w:pPr>
      <w:r w:rsidRPr="00942872">
        <w:rPr>
          <w:rFonts w:eastAsiaTheme="minorHAnsi"/>
          <w:lang w:eastAsia="en-US"/>
        </w:rPr>
        <w:t>AEMP = approved ex</w:t>
      </w:r>
      <w:r w:rsidRPr="00942872">
        <w:rPr>
          <w:rFonts w:eastAsiaTheme="minorHAnsi"/>
          <w:lang w:eastAsia="en-US"/>
        </w:rPr>
        <w:noBreakHyphen/>
        <w:t>manufacturer price; MBS = Medical Benefits Scheme; Q3W = every 3 weeks; Q6W = every 6 weeks.</w:t>
      </w:r>
    </w:p>
    <w:p w14:paraId="504E646E" w14:textId="77777777" w:rsidR="00CD5488" w:rsidRPr="00942872" w:rsidRDefault="001B6716" w:rsidP="00393BE8">
      <w:pPr>
        <w:pStyle w:val="TableFigureFooter"/>
        <w:keepNext/>
        <w:keepLines/>
      </w:pPr>
      <w:r w:rsidRPr="00942872">
        <w:t>a</w:t>
      </w:r>
      <w:r w:rsidR="007805A7" w:rsidRPr="00942872">
        <w:t>. Sourced from Services data from Medicare Australia, from September 2020</w:t>
      </w:r>
    </w:p>
    <w:p w14:paraId="6A6FC00D" w14:textId="77777777" w:rsidR="00A050CF" w:rsidRPr="00942872" w:rsidRDefault="00A050CF" w:rsidP="00A050CF">
      <w:pPr>
        <w:pStyle w:val="3-BodyText"/>
      </w:pPr>
      <w:bookmarkStart w:id="26" w:name="_Toc22897646"/>
      <w:r w:rsidRPr="00942872">
        <w:t>An ex-manufacturer price of $7</w:t>
      </w:r>
      <w:r w:rsidR="00A7137C" w:rsidRPr="00942872">
        <w:t>,</w:t>
      </w:r>
      <w:r w:rsidRPr="00942872">
        <w:t>643.93 for a 350</w:t>
      </w:r>
      <w:r w:rsidR="00943AD5" w:rsidRPr="00942872">
        <w:t xml:space="preserve"> </w:t>
      </w:r>
      <w:r w:rsidRPr="00942872">
        <w:t>mg cemiplimab vial will provide the same cost per administration to pembrolizumab</w:t>
      </w:r>
      <w:r w:rsidR="002C6EF3" w:rsidRPr="00942872">
        <w:t>, at its PBS-listed price</w:t>
      </w:r>
      <w:r w:rsidRPr="00942872">
        <w:t>. The submission calculated the weighted dispensed price for maximum amount (DPMA) as $</w:t>
      </w:r>
      <w:r w:rsidRPr="004C391C">
        <w:t>7</w:t>
      </w:r>
      <w:r w:rsidR="002C6EF3" w:rsidRPr="004C391C">
        <w:t>,</w:t>
      </w:r>
      <w:r w:rsidRPr="004C391C">
        <w:t>822.62</w:t>
      </w:r>
      <w:r w:rsidRPr="00942872">
        <w:t xml:space="preserve"> using the June 2021 efficient funding of chemotherapy (EFC) mark-ups and fees and a public/private hospital split of 37%/63% (based on the public and private hospitals split of pembrolizumab scripts in the calendar year of 2020). </w:t>
      </w:r>
    </w:p>
    <w:p w14:paraId="5C27A8BC" w14:textId="1C1F37F7" w:rsidR="00505059" w:rsidRDefault="00AB3FDD" w:rsidP="00024042">
      <w:pPr>
        <w:pStyle w:val="3-BodyText"/>
      </w:pPr>
      <w:r w:rsidRPr="00942872">
        <w:t xml:space="preserve">The submission stated that the PD-L1 test (MBS item 72814) is conducted once for every new patient diagnosed with NSCLC to determine choice of therapy and the PBS listing of cemiplimab is not expected to change clinical practice or increase utilisation of the test. However, given the proposed PBS listing of cemiplimab requires patients to have a PD-L1 TPS ≥ 50% and the current PBS listing of pembrolizumab does not specify this requirement, </w:t>
      </w:r>
      <w:r w:rsidR="002A1839">
        <w:t xml:space="preserve">the evaluation considered </w:t>
      </w:r>
      <w:r w:rsidRPr="00942872">
        <w:t>it may be appropriate to incorporate the cost of PD-L1 testing into the CMA</w:t>
      </w:r>
      <w:r w:rsidR="00186ACC" w:rsidRPr="00942872">
        <w:t>.</w:t>
      </w:r>
      <w:bookmarkStart w:id="27" w:name="_Hlk82077987"/>
      <w:r w:rsidR="00186ACC" w:rsidRPr="00942872">
        <w:t xml:space="preserve"> This would best be achieved by reducing the cost per patient of cemiplimab by the cost of PD-L1 testing per patient treated with cemiplimab. This is a function of the unit cost of testing and the proportion of those tested who receive cemiplimab, which in turn is a function of those tested with a PD-L1 TPS ≥ 50% and, of those, the proportion who do not proceed to cemiplimab treatment for other reasons</w:t>
      </w:r>
      <w:r w:rsidRPr="00942872">
        <w:t>.</w:t>
      </w:r>
      <w:bookmarkEnd w:id="27"/>
      <w:r w:rsidRPr="00942872">
        <w:t xml:space="preserve"> </w:t>
      </w:r>
      <w:r w:rsidR="00170792" w:rsidRPr="005467E8">
        <w:t>The PSCR disagreed with the proposed inclusion of MBS tests in the cost</w:t>
      </w:r>
      <w:r w:rsidR="00170792" w:rsidRPr="005467E8">
        <w:noBreakHyphen/>
        <w:t xml:space="preserve">minimisation analysis, on the grounds that the test would be </w:t>
      </w:r>
      <w:r w:rsidR="003A63AF" w:rsidRPr="005467E8">
        <w:t>use</w:t>
      </w:r>
      <w:r w:rsidR="003F0160" w:rsidRPr="005467E8">
        <w:t>d</w:t>
      </w:r>
      <w:r w:rsidR="00170792" w:rsidRPr="005467E8">
        <w:t xml:space="preserve"> for treatment assessment regardless of whether cemiplimab were listed or not. </w:t>
      </w:r>
      <w:r w:rsidR="003A63AF" w:rsidRPr="005467E8">
        <w:t>T</w:t>
      </w:r>
      <w:r w:rsidR="00170792" w:rsidRPr="005467E8">
        <w:t xml:space="preserve">he PSCR </w:t>
      </w:r>
      <w:r w:rsidR="003A63AF" w:rsidRPr="005467E8">
        <w:t>indicated t</w:t>
      </w:r>
      <w:r w:rsidR="00170792" w:rsidRPr="005467E8">
        <w:t>hat PD-L1 testing is used to guide appropriate usage of all PD</w:t>
      </w:r>
      <w:r w:rsidR="002A1839">
        <w:t>-</w:t>
      </w:r>
      <w:r w:rsidR="00170792" w:rsidRPr="005467E8">
        <w:t>(L)1 inhibitors (pembrolizumab, atezolizumab and nivolumab), as either combination or monotherapy based on PD-L1 expression level (TPS ≥50% or &lt;50%)</w:t>
      </w:r>
      <w:r w:rsidR="003A63AF" w:rsidRPr="005467E8">
        <w:t>, despite the revision to the PBS listing for pembrolizumab described above</w:t>
      </w:r>
      <w:r w:rsidR="00170792" w:rsidRPr="00942872">
        <w:t>.</w:t>
      </w:r>
      <w:r w:rsidR="007F51B6" w:rsidRPr="00942872">
        <w:t xml:space="preserve"> </w:t>
      </w:r>
      <w:r w:rsidR="007F51B6" w:rsidRPr="005467E8">
        <w:t xml:space="preserve">The </w:t>
      </w:r>
      <w:r w:rsidR="00293B70">
        <w:t xml:space="preserve">PBAC agreed with the </w:t>
      </w:r>
      <w:r w:rsidR="007F51B6" w:rsidRPr="005467E8">
        <w:t xml:space="preserve">ESC </w:t>
      </w:r>
      <w:r w:rsidR="00293B70">
        <w:t xml:space="preserve">that </w:t>
      </w:r>
      <w:r w:rsidR="007F51B6" w:rsidRPr="005467E8">
        <w:t xml:space="preserve">it </w:t>
      </w:r>
      <w:r w:rsidR="00A57D9C" w:rsidRPr="005467E8">
        <w:t xml:space="preserve">was </w:t>
      </w:r>
      <w:r w:rsidR="007F51B6" w:rsidRPr="005467E8">
        <w:t>reasonable to exclude the costs of PD-L1 testing from the CMA because the test is routinely used in this pati</w:t>
      </w:r>
      <w:r w:rsidR="000B0F63" w:rsidRPr="005467E8">
        <w:t xml:space="preserve">ent group in clinical practice, </w:t>
      </w:r>
      <w:r w:rsidR="007F51B6" w:rsidRPr="005467E8">
        <w:t>to inform the treatment decision for whether the main comparator, pembrolizumab, is used as monotherapy or in combination with chemotherapy.</w:t>
      </w:r>
      <w:r w:rsidR="003F0160" w:rsidRPr="005467E8">
        <w:t xml:space="preserve"> The </w:t>
      </w:r>
      <w:r w:rsidR="00293B70">
        <w:t xml:space="preserve">PBAC </w:t>
      </w:r>
      <w:r w:rsidR="003F0160" w:rsidRPr="005467E8">
        <w:t>considered the listing of cemiplimab for patien</w:t>
      </w:r>
      <w:r w:rsidR="00DB1CCC" w:rsidRPr="005467E8">
        <w:t>t</w:t>
      </w:r>
      <w:r w:rsidR="003F0160" w:rsidRPr="005467E8">
        <w:t>s with PD-L1 TPS ≥</w:t>
      </w:r>
      <w:r w:rsidR="00DB1CCC" w:rsidRPr="005467E8">
        <w:t xml:space="preserve"> 50% wa</w:t>
      </w:r>
      <w:r w:rsidR="003F0160" w:rsidRPr="005467E8">
        <w:t xml:space="preserve">s unlikely to change the utilisation of the test.  </w:t>
      </w:r>
    </w:p>
    <w:p w14:paraId="7881115B" w14:textId="77777777" w:rsidR="002A1839" w:rsidRDefault="002A1839" w:rsidP="00024042">
      <w:pPr>
        <w:pStyle w:val="3-BodyText"/>
      </w:pPr>
      <w:r>
        <w:t xml:space="preserve">The PBAC noted the CMA above was based on the published price of </w:t>
      </w:r>
      <w:r w:rsidR="0007627B">
        <w:t xml:space="preserve">pembrolizumab and the price of cemiplimab would be determined using </w:t>
      </w:r>
      <w:r>
        <w:t>the effective price</w:t>
      </w:r>
      <w:r w:rsidR="0007627B">
        <w:t xml:space="preserve"> of pembrolizumab in this indication</w:t>
      </w:r>
      <w:r>
        <w:t xml:space="preserve">.  </w:t>
      </w:r>
    </w:p>
    <w:p w14:paraId="0A83C0D4" w14:textId="77777777" w:rsidR="00C25D9C" w:rsidRPr="00942872" w:rsidRDefault="00C25D9C" w:rsidP="00BB732D">
      <w:pPr>
        <w:pStyle w:val="4-SubsectionHeading"/>
      </w:pPr>
      <w:bookmarkStart w:id="28" w:name="_Toc82597632"/>
      <w:r w:rsidRPr="00942872">
        <w:t>Drug co</w:t>
      </w:r>
      <w:r w:rsidR="000043EC" w:rsidRPr="00942872">
        <w:t>st/patient/</w:t>
      </w:r>
      <w:r w:rsidRPr="00942872">
        <w:t>course</w:t>
      </w:r>
      <w:bookmarkEnd w:id="26"/>
      <w:bookmarkEnd w:id="28"/>
    </w:p>
    <w:p w14:paraId="7B8946B9" w14:textId="77777777" w:rsidR="00A050CF" w:rsidRPr="00942872" w:rsidRDefault="00882D3A" w:rsidP="00A050CF">
      <w:pPr>
        <w:pStyle w:val="3-BodyText"/>
        <w:rPr>
          <w:iCs/>
        </w:rPr>
      </w:pPr>
      <w:bookmarkStart w:id="29" w:name="_Toc22897647"/>
      <w:r>
        <w:rPr>
          <w:iCs/>
        </w:rPr>
        <w:t>Based on a</w:t>
      </w:r>
      <w:r w:rsidRPr="00942872">
        <w:rPr>
          <w:iCs/>
        </w:rPr>
        <w:t xml:space="preserve"> published DPMA of $7,826.22</w:t>
      </w:r>
      <w:r>
        <w:rPr>
          <w:iCs/>
        </w:rPr>
        <w:t xml:space="preserve">, the </w:t>
      </w:r>
      <w:r w:rsidR="00923537" w:rsidRPr="00942872">
        <w:rPr>
          <w:iCs/>
        </w:rPr>
        <w:t>mean</w:t>
      </w:r>
      <w:r w:rsidR="00A050CF" w:rsidRPr="00942872">
        <w:rPr>
          <w:iCs/>
        </w:rPr>
        <w:t xml:space="preserve"> cost </w:t>
      </w:r>
      <w:r>
        <w:rPr>
          <w:iCs/>
        </w:rPr>
        <w:t xml:space="preserve">per patient </w:t>
      </w:r>
      <w:r w:rsidR="00A050CF" w:rsidRPr="00942872">
        <w:rPr>
          <w:iCs/>
        </w:rPr>
        <w:t>is $</w:t>
      </w:r>
      <w:r w:rsidR="00923537" w:rsidRPr="00942872">
        <w:rPr>
          <w:iCs/>
        </w:rPr>
        <w:t>85,892</w:t>
      </w:r>
      <w:r>
        <w:rPr>
          <w:iCs/>
        </w:rPr>
        <w:t>. This is</w:t>
      </w:r>
      <w:r w:rsidR="00A050CF" w:rsidRPr="00942872">
        <w:rPr>
          <w:iCs/>
        </w:rPr>
        <w:t xml:space="preserve"> based on the </w:t>
      </w:r>
      <w:r w:rsidR="00923537" w:rsidRPr="00942872">
        <w:rPr>
          <w:iCs/>
        </w:rPr>
        <w:t>mean</w:t>
      </w:r>
      <w:r w:rsidR="00A050CF" w:rsidRPr="00942872">
        <w:rPr>
          <w:iCs/>
        </w:rPr>
        <w:t xml:space="preserve"> duration of treatment of </w:t>
      </w:r>
      <w:r w:rsidR="00923537" w:rsidRPr="00942872">
        <w:rPr>
          <w:iCs/>
        </w:rPr>
        <w:t>32.94 weeks</w:t>
      </w:r>
      <w:r w:rsidR="00A050CF" w:rsidRPr="00942872">
        <w:rPr>
          <w:iCs/>
        </w:rPr>
        <w:t xml:space="preserve"> observed from Study 1624, noting that at the data cut-off of study 1624, 39% of patients were continuing on cemiplimab treatment. </w:t>
      </w:r>
    </w:p>
    <w:p w14:paraId="5C6B32DF" w14:textId="77777777" w:rsidR="00B60939" w:rsidRPr="00942872" w:rsidRDefault="00B60939" w:rsidP="002B05A1">
      <w:pPr>
        <w:pStyle w:val="4-SubsectionHeading"/>
      </w:pPr>
      <w:bookmarkStart w:id="30" w:name="_Toc82597633"/>
      <w:r w:rsidRPr="00942872">
        <w:t>Estimated PBS usage &amp; financial implications</w:t>
      </w:r>
      <w:bookmarkEnd w:id="29"/>
      <w:bookmarkEnd w:id="30"/>
    </w:p>
    <w:p w14:paraId="178B8508" w14:textId="77777777" w:rsidR="00A050CF" w:rsidRPr="00942872" w:rsidRDefault="00A050CF" w:rsidP="00A050CF">
      <w:pPr>
        <w:pStyle w:val="3-BodyText"/>
      </w:pPr>
      <w:r w:rsidRPr="00942872">
        <w:t xml:space="preserve">This submission </w:t>
      </w:r>
      <w:r w:rsidR="00327FF0" w:rsidRPr="00942872">
        <w:t>was</w:t>
      </w:r>
      <w:r w:rsidRPr="00942872">
        <w:t xml:space="preserve"> not considered by DUSC</w:t>
      </w:r>
      <w:r w:rsidRPr="00942872">
        <w:rPr>
          <w:color w:val="0070C0"/>
        </w:rPr>
        <w:t xml:space="preserve">. </w:t>
      </w:r>
      <w:r w:rsidRPr="00942872">
        <w:t>The submission took a market share approach to estimating the PBS usage of cemiplimab and financial implications. The key inputs for financial estimates are summarised below.</w:t>
      </w:r>
    </w:p>
    <w:p w14:paraId="5E7B4C96" w14:textId="77777777" w:rsidR="00A050CF" w:rsidRPr="00942872" w:rsidRDefault="00A050CF" w:rsidP="00393BE8">
      <w:pPr>
        <w:pStyle w:val="TableFigureHeading"/>
        <w:keepLines/>
        <w:rPr>
          <w:color w:val="000000" w:themeColor="text1"/>
        </w:rPr>
      </w:pPr>
      <w:r w:rsidRPr="00942872">
        <w:t xml:space="preserve">Table </w:t>
      </w:r>
      <w:r w:rsidR="002177FE">
        <w:rPr>
          <w:noProof/>
        </w:rPr>
        <w:t>9</w:t>
      </w:r>
      <w:r w:rsidRPr="00942872">
        <w:t xml:space="preserve">: </w:t>
      </w:r>
      <w:r w:rsidRPr="00942872">
        <w:rPr>
          <w:rStyle w:val="CommentReference"/>
          <w:b/>
        </w:rPr>
        <w:t>Key inputs for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Key inputs for financial estimates"/>
      </w:tblPr>
      <w:tblGrid>
        <w:gridCol w:w="1680"/>
        <w:gridCol w:w="3629"/>
        <w:gridCol w:w="3708"/>
      </w:tblGrid>
      <w:tr w:rsidR="00A050CF" w:rsidRPr="00942872" w14:paraId="77430921" w14:textId="77777777" w:rsidTr="004B2B41">
        <w:trPr>
          <w:tblHeader/>
        </w:trPr>
        <w:tc>
          <w:tcPr>
            <w:tcW w:w="0" w:type="auto"/>
            <w:shd w:val="clear" w:color="auto" w:fill="auto"/>
            <w:vAlign w:val="center"/>
          </w:tcPr>
          <w:p w14:paraId="3B35F7AD" w14:textId="77777777" w:rsidR="00A050CF" w:rsidRPr="00942872" w:rsidRDefault="00A050CF" w:rsidP="00393BE8">
            <w:pPr>
              <w:pStyle w:val="In-tableHeading"/>
              <w:keepLines/>
              <w:rPr>
                <w:lang w:val="en-AU"/>
              </w:rPr>
            </w:pPr>
            <w:r w:rsidRPr="00942872">
              <w:rPr>
                <w:lang w:val="en-AU"/>
              </w:rPr>
              <w:t>Parameter</w:t>
            </w:r>
          </w:p>
        </w:tc>
        <w:tc>
          <w:tcPr>
            <w:tcW w:w="0" w:type="auto"/>
            <w:shd w:val="clear" w:color="auto" w:fill="auto"/>
            <w:vAlign w:val="center"/>
          </w:tcPr>
          <w:p w14:paraId="206B71E1" w14:textId="77777777" w:rsidR="00A050CF" w:rsidRPr="00942872" w:rsidRDefault="00A050CF" w:rsidP="00393BE8">
            <w:pPr>
              <w:pStyle w:val="In-tableHeading"/>
              <w:keepLines/>
              <w:rPr>
                <w:lang w:val="en-AU"/>
              </w:rPr>
            </w:pPr>
            <w:r w:rsidRPr="00942872">
              <w:rPr>
                <w:lang w:val="en-AU"/>
              </w:rPr>
              <w:t>Value applied and source</w:t>
            </w:r>
          </w:p>
        </w:tc>
        <w:tc>
          <w:tcPr>
            <w:tcW w:w="0" w:type="auto"/>
            <w:shd w:val="clear" w:color="auto" w:fill="auto"/>
            <w:vAlign w:val="center"/>
          </w:tcPr>
          <w:p w14:paraId="54FC89E5" w14:textId="77777777" w:rsidR="00A050CF" w:rsidRPr="00942872" w:rsidRDefault="00A050CF" w:rsidP="00393BE8">
            <w:pPr>
              <w:pStyle w:val="In-tableHeading"/>
              <w:keepLines/>
              <w:rPr>
                <w:lang w:val="en-AU"/>
              </w:rPr>
            </w:pPr>
            <w:r w:rsidRPr="00942872">
              <w:rPr>
                <w:lang w:val="en-AU"/>
              </w:rPr>
              <w:t>Comment</w:t>
            </w:r>
          </w:p>
        </w:tc>
      </w:tr>
      <w:tr w:rsidR="00A050CF" w:rsidRPr="00942872" w14:paraId="5D27EA58" w14:textId="77777777" w:rsidTr="004B2B41">
        <w:tc>
          <w:tcPr>
            <w:tcW w:w="0" w:type="auto"/>
            <w:shd w:val="clear" w:color="auto" w:fill="auto"/>
            <w:vAlign w:val="center"/>
          </w:tcPr>
          <w:p w14:paraId="61C22941" w14:textId="77777777" w:rsidR="00A050CF" w:rsidRPr="00942872" w:rsidRDefault="00A050CF" w:rsidP="00393BE8">
            <w:pPr>
              <w:pStyle w:val="TableText0"/>
              <w:keepLines/>
            </w:pPr>
            <w:r w:rsidRPr="00942872">
              <w:t>Predicted annual growth rate of pembrolizumab scripts for the treatment of Stage IV NSCLC patients</w:t>
            </w:r>
          </w:p>
        </w:tc>
        <w:tc>
          <w:tcPr>
            <w:tcW w:w="0" w:type="auto"/>
            <w:shd w:val="clear" w:color="auto" w:fill="auto"/>
            <w:vAlign w:val="center"/>
          </w:tcPr>
          <w:p w14:paraId="70B57C99" w14:textId="77777777" w:rsidR="00A050CF" w:rsidRPr="00942872" w:rsidRDefault="009E694E" w:rsidP="00393BE8">
            <w:pPr>
              <w:pStyle w:val="TableText0"/>
              <w:keepLines/>
            </w:pPr>
            <w:r w:rsidRPr="00942872">
              <w:t xml:space="preserve">Pembrolizumab had a rapidly expanding market share, from 2% in 2018 to 51% in 2020. The submission used </w:t>
            </w:r>
            <w:r w:rsidR="00A050CF" w:rsidRPr="00942872">
              <w:t xml:space="preserve">Excel trendline equations to forecast annual growth rate based on historical Services Australia data for pembrolizumab (November 2018 to March 2021). </w:t>
            </w:r>
            <w:r w:rsidR="00CD1B78" w:rsidRPr="00942872">
              <w:t>It calculated that pembrolizumab’s annual market growth would be 37% in 2021, and 13% in 2026, based on the linear equations performed in Excel.</w:t>
            </w:r>
          </w:p>
          <w:p w14:paraId="7D79FF8D" w14:textId="77777777" w:rsidR="009E694E" w:rsidRPr="00942872" w:rsidRDefault="009E694E" w:rsidP="00393BE8">
            <w:pPr>
              <w:pStyle w:val="TableText0"/>
              <w:keepLines/>
            </w:pPr>
          </w:p>
        </w:tc>
        <w:tc>
          <w:tcPr>
            <w:tcW w:w="0" w:type="auto"/>
            <w:shd w:val="clear" w:color="auto" w:fill="auto"/>
            <w:vAlign w:val="center"/>
          </w:tcPr>
          <w:p w14:paraId="4C4DBBBC" w14:textId="77777777" w:rsidR="00A050CF" w:rsidRPr="00942872" w:rsidRDefault="00A050CF" w:rsidP="00393BE8">
            <w:pPr>
              <w:pStyle w:val="TableText0"/>
              <w:keepLines/>
            </w:pPr>
            <w:r w:rsidRPr="00942872">
              <w:t>Including data when pembrolizumab was first PBS listed may overestimate the market growth rate, as at that time, the usage of first line pembrolizumab was not stable</w:t>
            </w:r>
            <w:r w:rsidR="009E694E" w:rsidRPr="00942872">
              <w:t>.</w:t>
            </w:r>
            <w:r w:rsidR="007B0A2A" w:rsidRPr="00942872">
              <w:t xml:space="preserve"> Pembrolizumab was first listed in Nov 2018 as monotherapy for TPS ≥50% patients only. In July 2019, pembrolizumab was approved for use in all pati</w:t>
            </w:r>
            <w:r w:rsidR="00602648" w:rsidRPr="00942872">
              <w:t>ents, regardless of TPS status</w:t>
            </w:r>
            <w:r w:rsidR="007B0A2A" w:rsidRPr="00942872">
              <w:t>. This progression in restrictions opened up pembrolizumab use to a wider target population,</w:t>
            </w:r>
            <w:r w:rsidR="00FF5E55" w:rsidRPr="00942872">
              <w:t xml:space="preserve"> which, combined with a shift </w:t>
            </w:r>
            <w:r w:rsidR="007D483A" w:rsidRPr="00942872">
              <w:t>in treatment preference</w:t>
            </w:r>
            <w:r w:rsidR="00712254" w:rsidRPr="00942872">
              <w:t xml:space="preserve"> to</w:t>
            </w:r>
            <w:r w:rsidR="00FF5E55" w:rsidRPr="00942872">
              <w:t xml:space="preserve"> first-line immunotherapy, </w:t>
            </w:r>
            <w:r w:rsidR="00AD0A14" w:rsidRPr="00942872">
              <w:t>manifest</w:t>
            </w:r>
            <w:r w:rsidR="009E694E" w:rsidRPr="00942872">
              <w:t xml:space="preserve"> in its rapidly increased market share over this period.</w:t>
            </w:r>
            <w:r w:rsidR="009A3FE7" w:rsidRPr="00942872">
              <w:t xml:space="preserve"> </w:t>
            </w:r>
          </w:p>
        </w:tc>
      </w:tr>
      <w:tr w:rsidR="00A050CF" w:rsidRPr="00942872" w14:paraId="04FB6024" w14:textId="77777777" w:rsidTr="004B2B41">
        <w:tc>
          <w:tcPr>
            <w:tcW w:w="0" w:type="auto"/>
            <w:shd w:val="clear" w:color="auto" w:fill="auto"/>
            <w:vAlign w:val="center"/>
          </w:tcPr>
          <w:p w14:paraId="5F562402" w14:textId="77777777" w:rsidR="00A050CF" w:rsidRPr="00942872" w:rsidRDefault="00A050CF" w:rsidP="00393BE8">
            <w:pPr>
              <w:pStyle w:val="TableText0"/>
              <w:keepLines/>
            </w:pPr>
            <w:r w:rsidRPr="00942872">
              <w:t>Proportion of Stage IV NSCLC patients with PD</w:t>
            </w:r>
            <w:r w:rsidRPr="00942872">
              <w:noBreakHyphen/>
              <w:t>L1 TPS ≥ 50%</w:t>
            </w:r>
          </w:p>
        </w:tc>
        <w:tc>
          <w:tcPr>
            <w:tcW w:w="0" w:type="auto"/>
            <w:shd w:val="clear" w:color="auto" w:fill="auto"/>
            <w:vAlign w:val="center"/>
          </w:tcPr>
          <w:p w14:paraId="06B04C1A" w14:textId="77777777" w:rsidR="00A050CF" w:rsidRPr="00942872" w:rsidRDefault="00697FF9" w:rsidP="00393BE8">
            <w:pPr>
              <w:pStyle w:val="TableText0"/>
              <w:keepLines/>
            </w:pPr>
            <w:r w:rsidRPr="00942872">
              <w:t>13.5%, which is reflective of the w</w:t>
            </w:r>
            <w:r w:rsidR="00A050CF" w:rsidRPr="00942872">
              <w:t>eighted proportions of use outlined in</w:t>
            </w:r>
            <w:r w:rsidRPr="00942872">
              <w:t xml:space="preserve"> Table 2, p4 of the</w:t>
            </w:r>
            <w:r w:rsidR="00A050CF" w:rsidRPr="00942872">
              <w:t xml:space="preserve"> Pembrolizumab NSCLC PSD, July 2019</w:t>
            </w:r>
            <w:r w:rsidRPr="00942872">
              <w:t>.</w:t>
            </w:r>
            <w:r w:rsidR="00A050CF" w:rsidRPr="00942872">
              <w:t xml:space="preserve"> </w:t>
            </w:r>
          </w:p>
        </w:tc>
        <w:tc>
          <w:tcPr>
            <w:tcW w:w="0" w:type="auto"/>
            <w:shd w:val="clear" w:color="auto" w:fill="auto"/>
            <w:vAlign w:val="center"/>
          </w:tcPr>
          <w:p w14:paraId="34644016" w14:textId="77777777" w:rsidR="005E2951" w:rsidRPr="00942872" w:rsidRDefault="00A050CF" w:rsidP="00393BE8">
            <w:pPr>
              <w:pStyle w:val="TableText0"/>
              <w:keepLines/>
            </w:pPr>
            <w:r w:rsidRPr="00942872">
              <w:rPr>
                <w:iCs/>
              </w:rPr>
              <w:t xml:space="preserve">The EXPRESS study, a global, multi-centre retrospective observational study of locally advanced and metastatic NSCLC, reported that among 1,064 patients who were negative for both </w:t>
            </w:r>
            <w:r w:rsidRPr="00942872">
              <w:t>EGFR</w:t>
            </w:r>
            <w:r w:rsidRPr="00942872">
              <w:rPr>
                <w:iCs/>
              </w:rPr>
              <w:t xml:space="preserve"> mutation and </w:t>
            </w:r>
            <w:r w:rsidRPr="00942872">
              <w:t>ALK</w:t>
            </w:r>
            <w:r w:rsidRPr="00942872">
              <w:rPr>
                <w:iCs/>
              </w:rPr>
              <w:t xml:space="preserve"> alteration, the percentage with PD-L1 TPS ≥ 50% was 27%</w:t>
            </w:r>
            <w:r w:rsidRPr="00942872">
              <w:rPr>
                <w:rStyle w:val="FootnoteReference"/>
                <w:iCs/>
              </w:rPr>
              <w:footnoteReference w:id="9"/>
            </w:r>
            <w:r w:rsidR="00763334" w:rsidRPr="00942872">
              <w:rPr>
                <w:iCs/>
              </w:rPr>
              <w:t xml:space="preserve">. </w:t>
            </w:r>
            <w:r w:rsidR="005E2951" w:rsidRPr="00942872">
              <w:rPr>
                <w:iCs/>
              </w:rPr>
              <w:t xml:space="preserve">A sensitivity </w:t>
            </w:r>
            <w:r w:rsidR="008677A3" w:rsidRPr="00942872">
              <w:rPr>
                <w:iCs/>
              </w:rPr>
              <w:t>analysis</w:t>
            </w:r>
            <w:r w:rsidR="005E2951" w:rsidRPr="00942872">
              <w:rPr>
                <w:iCs/>
              </w:rPr>
              <w:t xml:space="preserve"> was performed by the submission, assuming 28.5% of patients </w:t>
            </w:r>
            <w:r w:rsidR="00A44F19" w:rsidRPr="00942872">
              <w:rPr>
                <w:iCs/>
              </w:rPr>
              <w:t>would receive pembrolizumab monotherapy</w:t>
            </w:r>
            <w:r w:rsidR="005E2951" w:rsidRPr="00942872">
              <w:rPr>
                <w:iCs/>
              </w:rPr>
              <w:t>.</w:t>
            </w:r>
          </w:p>
        </w:tc>
      </w:tr>
      <w:tr w:rsidR="00A050CF" w:rsidRPr="00942872" w14:paraId="7CEB348C" w14:textId="77777777" w:rsidTr="004B2B41">
        <w:tc>
          <w:tcPr>
            <w:tcW w:w="0" w:type="auto"/>
            <w:shd w:val="clear" w:color="auto" w:fill="auto"/>
            <w:vAlign w:val="center"/>
          </w:tcPr>
          <w:p w14:paraId="3AA3F7E1" w14:textId="77777777" w:rsidR="00A050CF" w:rsidRPr="00942872" w:rsidRDefault="00A050CF" w:rsidP="00393BE8">
            <w:pPr>
              <w:pStyle w:val="TableText0"/>
              <w:keepLines/>
            </w:pPr>
            <w:r w:rsidRPr="00942872">
              <w:t>Market share</w:t>
            </w:r>
          </w:p>
        </w:tc>
        <w:tc>
          <w:tcPr>
            <w:tcW w:w="0" w:type="auto"/>
            <w:shd w:val="clear" w:color="auto" w:fill="auto"/>
            <w:vAlign w:val="center"/>
          </w:tcPr>
          <w:p w14:paraId="3F69526C" w14:textId="77777777" w:rsidR="00A050CF" w:rsidRPr="00942872" w:rsidRDefault="00F55A86" w:rsidP="00393BE8">
            <w:pPr>
              <w:pStyle w:val="TableText0"/>
              <w:keepLines/>
            </w:pPr>
            <w:r>
              <w:rPr>
                <w:noProof/>
                <w:color w:val="000000"/>
                <w:highlight w:val="black"/>
              </w:rPr>
              <w:t>''''</w:t>
            </w:r>
            <w:r w:rsidR="00A050CF" w:rsidRPr="00942872">
              <w:t xml:space="preserve">% in Year 1 increasing to </w:t>
            </w:r>
            <w:r>
              <w:rPr>
                <w:noProof/>
                <w:color w:val="000000"/>
                <w:highlight w:val="black"/>
              </w:rPr>
              <w:t>''''''</w:t>
            </w:r>
            <w:r w:rsidR="00A050CF" w:rsidRPr="00942872">
              <w:t xml:space="preserve">% in Year 6. Based on </w:t>
            </w:r>
            <w:r w:rsidR="00441956" w:rsidRPr="00942872">
              <w:t xml:space="preserve">initial uptake of pembrolizumab in 2018, and the submission’s own estimation of uptake. </w:t>
            </w:r>
          </w:p>
        </w:tc>
        <w:tc>
          <w:tcPr>
            <w:tcW w:w="0" w:type="auto"/>
            <w:shd w:val="clear" w:color="auto" w:fill="auto"/>
            <w:vAlign w:val="center"/>
          </w:tcPr>
          <w:p w14:paraId="468BD15A" w14:textId="77777777" w:rsidR="00A050CF" w:rsidRPr="00942872" w:rsidRDefault="00A050CF" w:rsidP="00393BE8">
            <w:pPr>
              <w:pStyle w:val="TableText0"/>
              <w:keepLines/>
            </w:pPr>
            <w:r w:rsidRPr="00942872">
              <w:t>Uncertain.</w:t>
            </w:r>
          </w:p>
        </w:tc>
      </w:tr>
    </w:tbl>
    <w:p w14:paraId="664BCA4E" w14:textId="77777777" w:rsidR="00A050CF" w:rsidRPr="00942872" w:rsidRDefault="00A050CF" w:rsidP="00393BE8">
      <w:pPr>
        <w:pStyle w:val="TableFigureFooter"/>
        <w:keepNext/>
        <w:keepLines/>
      </w:pPr>
      <w:r w:rsidRPr="00942872">
        <w:t>Source: Table 4.1-1, pp 125-126 of the submission.</w:t>
      </w:r>
    </w:p>
    <w:p w14:paraId="049CFE76" w14:textId="77777777" w:rsidR="00A050CF" w:rsidRPr="00942872" w:rsidRDefault="00A050CF" w:rsidP="00393BE8">
      <w:pPr>
        <w:pStyle w:val="TableFigureFooter"/>
        <w:keepNext/>
        <w:keepLines/>
      </w:pPr>
      <w:r w:rsidRPr="00942872">
        <w:t xml:space="preserve">ALK = anaplastic lymphoma kinase; EGFR = epidermal growth factor receptor; MBS = Medicare Benefits Schedule; NSCLC = non-small cell lung cancer; </w:t>
      </w:r>
      <w:r w:rsidR="00817EE3" w:rsidRPr="00942872">
        <w:t xml:space="preserve">PBAC = Pharmaceutical Benefits Advisory Committee; </w:t>
      </w:r>
      <w:r w:rsidRPr="00942872">
        <w:t>PBS = Pharmaceutical Benefits Scheme; PD-L1 = programmed death ligand 1; PSD = Public Summary Document; RPBS = Repatriation Pharmaceutical Benefits Scheme; TPS = tumour proportion score.</w:t>
      </w:r>
    </w:p>
    <w:p w14:paraId="15DAAC78" w14:textId="77777777" w:rsidR="00A050CF" w:rsidRPr="00942872" w:rsidRDefault="00A050CF" w:rsidP="008770F9">
      <w:pPr>
        <w:pStyle w:val="3-BodyText"/>
      </w:pPr>
      <w:r w:rsidRPr="00942872">
        <w:t>The estimated use of cemiplimab and financial implications are summarised below.</w:t>
      </w:r>
      <w:r w:rsidR="008770F9" w:rsidRPr="00942872">
        <w:t xml:space="preserve"> </w:t>
      </w:r>
    </w:p>
    <w:p w14:paraId="01172288" w14:textId="77777777" w:rsidR="00A050CF" w:rsidRPr="00942872" w:rsidRDefault="00A050CF" w:rsidP="00A050CF">
      <w:pPr>
        <w:pStyle w:val="TableFigureHeading"/>
      </w:pPr>
      <w:r w:rsidRPr="00942872">
        <w:t xml:space="preserve">Table </w:t>
      </w:r>
      <w:r w:rsidR="002177FE">
        <w:rPr>
          <w:noProof/>
        </w:rPr>
        <w:t>10</w:t>
      </w:r>
      <w:r w:rsidRPr="00942872">
        <w:t xml:space="preserve">: </w:t>
      </w:r>
      <w:r w:rsidRPr="00942872">
        <w:rPr>
          <w:rStyle w:val="CommentReference"/>
          <w:b/>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Estimated use and financial implications"/>
      </w:tblPr>
      <w:tblGrid>
        <w:gridCol w:w="2012"/>
        <w:gridCol w:w="1167"/>
        <w:gridCol w:w="1167"/>
        <w:gridCol w:w="1167"/>
        <w:gridCol w:w="1167"/>
        <w:gridCol w:w="1167"/>
        <w:gridCol w:w="1170"/>
      </w:tblGrid>
      <w:tr w:rsidR="00A050CF" w:rsidRPr="00942872" w14:paraId="3C08A22F" w14:textId="77777777" w:rsidTr="00364A12">
        <w:trPr>
          <w:tblHeader/>
        </w:trPr>
        <w:tc>
          <w:tcPr>
            <w:tcW w:w="1116" w:type="pct"/>
            <w:shd w:val="clear" w:color="auto" w:fill="auto"/>
            <w:vAlign w:val="center"/>
          </w:tcPr>
          <w:p w14:paraId="6F9471F4" w14:textId="77777777" w:rsidR="00A050CF" w:rsidRPr="00942872" w:rsidRDefault="00A050CF" w:rsidP="008C6CBE">
            <w:pPr>
              <w:pStyle w:val="In-tableHeading"/>
              <w:keepNext w:val="0"/>
              <w:jc w:val="center"/>
              <w:rPr>
                <w:lang w:val="en-AU"/>
              </w:rPr>
            </w:pPr>
          </w:p>
        </w:tc>
        <w:tc>
          <w:tcPr>
            <w:tcW w:w="647" w:type="pct"/>
            <w:shd w:val="clear" w:color="auto" w:fill="auto"/>
            <w:vAlign w:val="center"/>
          </w:tcPr>
          <w:p w14:paraId="2CE48079" w14:textId="77777777" w:rsidR="00A050CF" w:rsidRPr="00942872" w:rsidRDefault="00A050CF" w:rsidP="008C6CBE">
            <w:pPr>
              <w:pStyle w:val="In-tableHeading"/>
              <w:keepNext w:val="0"/>
              <w:jc w:val="center"/>
              <w:rPr>
                <w:lang w:val="en-AU"/>
              </w:rPr>
            </w:pPr>
            <w:r w:rsidRPr="00942872">
              <w:rPr>
                <w:lang w:val="en-AU"/>
              </w:rPr>
              <w:t>Year 1</w:t>
            </w:r>
          </w:p>
        </w:tc>
        <w:tc>
          <w:tcPr>
            <w:tcW w:w="647" w:type="pct"/>
            <w:shd w:val="clear" w:color="auto" w:fill="auto"/>
            <w:vAlign w:val="center"/>
          </w:tcPr>
          <w:p w14:paraId="55217773" w14:textId="77777777" w:rsidR="00A050CF" w:rsidRPr="00942872" w:rsidRDefault="00A050CF" w:rsidP="008C6CBE">
            <w:pPr>
              <w:pStyle w:val="In-tableHeading"/>
              <w:keepNext w:val="0"/>
              <w:jc w:val="center"/>
              <w:rPr>
                <w:lang w:val="en-AU"/>
              </w:rPr>
            </w:pPr>
            <w:r w:rsidRPr="00942872">
              <w:rPr>
                <w:lang w:val="en-AU"/>
              </w:rPr>
              <w:t>Year 2</w:t>
            </w:r>
          </w:p>
        </w:tc>
        <w:tc>
          <w:tcPr>
            <w:tcW w:w="647" w:type="pct"/>
            <w:shd w:val="clear" w:color="auto" w:fill="auto"/>
            <w:vAlign w:val="center"/>
          </w:tcPr>
          <w:p w14:paraId="7FF05A47" w14:textId="77777777" w:rsidR="00A050CF" w:rsidRPr="00942872" w:rsidRDefault="00A050CF" w:rsidP="008C6CBE">
            <w:pPr>
              <w:pStyle w:val="In-tableHeading"/>
              <w:keepNext w:val="0"/>
              <w:jc w:val="center"/>
              <w:rPr>
                <w:lang w:val="en-AU"/>
              </w:rPr>
            </w:pPr>
            <w:r w:rsidRPr="00942872">
              <w:rPr>
                <w:lang w:val="en-AU"/>
              </w:rPr>
              <w:t>Year 3</w:t>
            </w:r>
          </w:p>
        </w:tc>
        <w:tc>
          <w:tcPr>
            <w:tcW w:w="647" w:type="pct"/>
            <w:shd w:val="clear" w:color="auto" w:fill="auto"/>
            <w:vAlign w:val="center"/>
          </w:tcPr>
          <w:p w14:paraId="42C45E63" w14:textId="77777777" w:rsidR="00A050CF" w:rsidRPr="00942872" w:rsidRDefault="00A050CF" w:rsidP="008C6CBE">
            <w:pPr>
              <w:pStyle w:val="In-tableHeading"/>
              <w:keepNext w:val="0"/>
              <w:jc w:val="center"/>
              <w:rPr>
                <w:lang w:val="en-AU"/>
              </w:rPr>
            </w:pPr>
            <w:r w:rsidRPr="00942872">
              <w:rPr>
                <w:lang w:val="en-AU"/>
              </w:rPr>
              <w:t>Year 4</w:t>
            </w:r>
          </w:p>
        </w:tc>
        <w:tc>
          <w:tcPr>
            <w:tcW w:w="647" w:type="pct"/>
            <w:shd w:val="clear" w:color="auto" w:fill="auto"/>
            <w:vAlign w:val="center"/>
          </w:tcPr>
          <w:p w14:paraId="0265DAE7" w14:textId="77777777" w:rsidR="00A050CF" w:rsidRPr="00942872" w:rsidRDefault="00A050CF" w:rsidP="008C6CBE">
            <w:pPr>
              <w:pStyle w:val="In-tableHeading"/>
              <w:keepNext w:val="0"/>
              <w:jc w:val="center"/>
              <w:rPr>
                <w:lang w:val="en-AU"/>
              </w:rPr>
            </w:pPr>
            <w:r w:rsidRPr="00942872">
              <w:rPr>
                <w:lang w:val="en-AU"/>
              </w:rPr>
              <w:t>Year 5</w:t>
            </w:r>
          </w:p>
        </w:tc>
        <w:tc>
          <w:tcPr>
            <w:tcW w:w="649" w:type="pct"/>
          </w:tcPr>
          <w:p w14:paraId="188B88B7" w14:textId="77777777" w:rsidR="00A050CF" w:rsidRPr="00942872" w:rsidRDefault="00A050CF" w:rsidP="008C6CBE">
            <w:pPr>
              <w:pStyle w:val="In-tableHeading"/>
              <w:keepNext w:val="0"/>
              <w:jc w:val="center"/>
              <w:rPr>
                <w:lang w:val="en-AU"/>
              </w:rPr>
            </w:pPr>
            <w:r w:rsidRPr="00942872">
              <w:rPr>
                <w:lang w:val="en-AU"/>
              </w:rPr>
              <w:t>Year 6</w:t>
            </w:r>
          </w:p>
        </w:tc>
      </w:tr>
      <w:tr w:rsidR="00A050CF" w:rsidRPr="00942872" w14:paraId="45696B44" w14:textId="77777777" w:rsidTr="00364A12">
        <w:tc>
          <w:tcPr>
            <w:tcW w:w="5000" w:type="pct"/>
            <w:gridSpan w:val="7"/>
            <w:shd w:val="clear" w:color="auto" w:fill="auto"/>
            <w:vAlign w:val="center"/>
          </w:tcPr>
          <w:p w14:paraId="3242BD6A" w14:textId="77777777" w:rsidR="00A050CF" w:rsidRPr="00942872" w:rsidRDefault="00A050CF" w:rsidP="008C6CBE">
            <w:pPr>
              <w:pStyle w:val="In-tableHeading"/>
              <w:keepNext w:val="0"/>
              <w:rPr>
                <w:bCs/>
                <w:color w:val="000000"/>
                <w:lang w:val="en-AU"/>
              </w:rPr>
            </w:pPr>
            <w:r w:rsidRPr="00942872">
              <w:rPr>
                <w:bCs/>
                <w:color w:val="000000"/>
                <w:lang w:val="en-AU"/>
              </w:rPr>
              <w:t>Estimated extent of use</w:t>
            </w:r>
          </w:p>
        </w:tc>
      </w:tr>
      <w:tr w:rsidR="00A050CF" w:rsidRPr="00942872" w14:paraId="78B8ED50" w14:textId="77777777" w:rsidTr="00364A12">
        <w:tc>
          <w:tcPr>
            <w:tcW w:w="1116" w:type="pct"/>
            <w:shd w:val="clear" w:color="auto" w:fill="auto"/>
            <w:vAlign w:val="center"/>
          </w:tcPr>
          <w:p w14:paraId="7844EEC9" w14:textId="77777777" w:rsidR="00A050CF" w:rsidRPr="00942872" w:rsidRDefault="00A050CF" w:rsidP="008C6CBE">
            <w:pPr>
              <w:pStyle w:val="TableText0"/>
              <w:keepNext w:val="0"/>
              <w:rPr>
                <w:rFonts w:ascii="Times" w:hAnsi="Times"/>
              </w:rPr>
            </w:pPr>
            <w:r w:rsidRPr="00942872">
              <w:t>Number of scripts dispensed</w:t>
            </w:r>
          </w:p>
        </w:tc>
        <w:tc>
          <w:tcPr>
            <w:tcW w:w="647" w:type="pct"/>
            <w:shd w:val="clear" w:color="auto" w:fill="auto"/>
            <w:vAlign w:val="center"/>
          </w:tcPr>
          <w:p w14:paraId="0789821E" w14:textId="77777777" w:rsidR="00A050CF" w:rsidRPr="00F55A86" w:rsidRDefault="00F55A86" w:rsidP="008C6CBE">
            <w:pPr>
              <w:pStyle w:val="TableText0"/>
              <w:keepNext w:val="0"/>
              <w:jc w:val="center"/>
              <w:rPr>
                <w:color w:val="000000"/>
              </w:rPr>
            </w:pPr>
            <w:r>
              <w:rPr>
                <w:noProof/>
                <w:color w:val="000000"/>
                <w:sz w:val="18"/>
                <w:szCs w:val="18"/>
                <w:highlight w:val="black"/>
              </w:rPr>
              <w:t>'''''''''</w:t>
            </w:r>
            <w:r w:rsidR="006B51D7">
              <w:rPr>
                <w:vertAlign w:val="superscript"/>
              </w:rPr>
              <w:t>1</w:t>
            </w:r>
          </w:p>
        </w:tc>
        <w:tc>
          <w:tcPr>
            <w:tcW w:w="647" w:type="pct"/>
            <w:shd w:val="clear" w:color="auto" w:fill="auto"/>
            <w:vAlign w:val="center"/>
          </w:tcPr>
          <w:p w14:paraId="41517E5B" w14:textId="77777777" w:rsidR="00A050CF" w:rsidRPr="00F55A86" w:rsidRDefault="00F55A86" w:rsidP="008C6CBE">
            <w:pPr>
              <w:pStyle w:val="TableText0"/>
              <w:keepNext w:val="0"/>
              <w:jc w:val="center"/>
              <w:rPr>
                <w:color w:val="000000"/>
              </w:rPr>
            </w:pPr>
            <w:r>
              <w:rPr>
                <w:noProof/>
                <w:color w:val="000000"/>
                <w:sz w:val="18"/>
                <w:szCs w:val="18"/>
                <w:highlight w:val="black"/>
              </w:rPr>
              <w:t>'''''''''</w:t>
            </w:r>
            <w:r w:rsidR="006B51D7">
              <w:rPr>
                <w:vertAlign w:val="superscript"/>
              </w:rPr>
              <w:t>1</w:t>
            </w:r>
          </w:p>
        </w:tc>
        <w:tc>
          <w:tcPr>
            <w:tcW w:w="647" w:type="pct"/>
            <w:shd w:val="clear" w:color="auto" w:fill="auto"/>
            <w:vAlign w:val="center"/>
          </w:tcPr>
          <w:p w14:paraId="6E695182" w14:textId="77777777" w:rsidR="00A050CF" w:rsidRPr="00F55A86" w:rsidRDefault="00F55A86" w:rsidP="008C6CBE">
            <w:pPr>
              <w:pStyle w:val="TableText0"/>
              <w:keepNext w:val="0"/>
              <w:jc w:val="center"/>
              <w:rPr>
                <w:color w:val="000000"/>
              </w:rPr>
            </w:pPr>
            <w:r>
              <w:rPr>
                <w:noProof/>
                <w:color w:val="000000"/>
                <w:sz w:val="18"/>
                <w:szCs w:val="18"/>
                <w:highlight w:val="black"/>
              </w:rPr>
              <w:t>'''''''''</w:t>
            </w:r>
            <w:r w:rsidR="006B51D7">
              <w:rPr>
                <w:vertAlign w:val="superscript"/>
              </w:rPr>
              <w:t>2</w:t>
            </w:r>
          </w:p>
        </w:tc>
        <w:tc>
          <w:tcPr>
            <w:tcW w:w="647" w:type="pct"/>
            <w:shd w:val="clear" w:color="auto" w:fill="auto"/>
            <w:vAlign w:val="center"/>
          </w:tcPr>
          <w:p w14:paraId="5968CA02" w14:textId="77777777" w:rsidR="00A050CF" w:rsidRPr="00F55A86" w:rsidRDefault="00F55A86" w:rsidP="008C6CBE">
            <w:pPr>
              <w:pStyle w:val="TableText0"/>
              <w:keepNext w:val="0"/>
              <w:jc w:val="center"/>
              <w:rPr>
                <w:color w:val="000000"/>
              </w:rPr>
            </w:pPr>
            <w:r>
              <w:rPr>
                <w:noProof/>
                <w:color w:val="000000"/>
                <w:sz w:val="18"/>
                <w:szCs w:val="18"/>
                <w:highlight w:val="black"/>
              </w:rPr>
              <w:t>''''''''''''</w:t>
            </w:r>
            <w:r w:rsidR="006B51D7">
              <w:rPr>
                <w:vertAlign w:val="superscript"/>
              </w:rPr>
              <w:t>2</w:t>
            </w:r>
          </w:p>
        </w:tc>
        <w:tc>
          <w:tcPr>
            <w:tcW w:w="647" w:type="pct"/>
            <w:shd w:val="clear" w:color="auto" w:fill="auto"/>
            <w:vAlign w:val="center"/>
          </w:tcPr>
          <w:p w14:paraId="241A8A37" w14:textId="77777777" w:rsidR="00A050CF" w:rsidRPr="00F55A86" w:rsidRDefault="00F55A86" w:rsidP="008C6CBE">
            <w:pPr>
              <w:pStyle w:val="TableText0"/>
              <w:keepNext w:val="0"/>
              <w:jc w:val="center"/>
              <w:rPr>
                <w:color w:val="000000"/>
              </w:rPr>
            </w:pPr>
            <w:r>
              <w:rPr>
                <w:noProof/>
                <w:color w:val="000000"/>
                <w:sz w:val="18"/>
                <w:szCs w:val="18"/>
                <w:highlight w:val="black"/>
              </w:rPr>
              <w:t>''''''''''''</w:t>
            </w:r>
            <w:r w:rsidR="006B51D7">
              <w:rPr>
                <w:vertAlign w:val="superscript"/>
              </w:rPr>
              <w:t>2</w:t>
            </w:r>
          </w:p>
        </w:tc>
        <w:tc>
          <w:tcPr>
            <w:tcW w:w="649" w:type="pct"/>
            <w:shd w:val="clear" w:color="auto" w:fill="auto"/>
            <w:vAlign w:val="center"/>
          </w:tcPr>
          <w:p w14:paraId="29353181" w14:textId="77777777" w:rsidR="00A050CF" w:rsidRPr="00F55A86" w:rsidRDefault="00F55A86" w:rsidP="008C6CBE">
            <w:pPr>
              <w:pStyle w:val="TableText0"/>
              <w:keepNext w:val="0"/>
              <w:jc w:val="center"/>
              <w:rPr>
                <w:color w:val="000000"/>
              </w:rPr>
            </w:pPr>
            <w:r>
              <w:rPr>
                <w:noProof/>
                <w:color w:val="000000"/>
                <w:sz w:val="18"/>
                <w:szCs w:val="18"/>
                <w:highlight w:val="black"/>
              </w:rPr>
              <w:t>''''''''''''</w:t>
            </w:r>
            <w:r w:rsidR="006B51D7">
              <w:rPr>
                <w:vertAlign w:val="superscript"/>
              </w:rPr>
              <w:t>2</w:t>
            </w:r>
          </w:p>
        </w:tc>
      </w:tr>
      <w:tr w:rsidR="00A050CF" w:rsidRPr="00942872" w14:paraId="4B62A658" w14:textId="77777777" w:rsidTr="00364A12">
        <w:tc>
          <w:tcPr>
            <w:tcW w:w="5000" w:type="pct"/>
            <w:gridSpan w:val="7"/>
            <w:shd w:val="clear" w:color="auto" w:fill="auto"/>
            <w:vAlign w:val="center"/>
          </w:tcPr>
          <w:p w14:paraId="697512E4" w14:textId="77777777" w:rsidR="00A050CF" w:rsidRPr="00942872" w:rsidRDefault="00A050CF" w:rsidP="008C6CBE">
            <w:pPr>
              <w:pStyle w:val="In-tableHeading"/>
              <w:keepNext w:val="0"/>
              <w:rPr>
                <w:lang w:val="en-AU"/>
              </w:rPr>
            </w:pPr>
            <w:r w:rsidRPr="00942872">
              <w:rPr>
                <w:lang w:val="en-AU"/>
              </w:rPr>
              <w:t>Estimated financial implications of cemiplimab</w:t>
            </w:r>
          </w:p>
        </w:tc>
      </w:tr>
      <w:tr w:rsidR="00A050CF" w:rsidRPr="00942872" w14:paraId="63D1BE5B" w14:textId="77777777" w:rsidTr="00364A12">
        <w:tc>
          <w:tcPr>
            <w:tcW w:w="1116" w:type="pct"/>
            <w:shd w:val="clear" w:color="auto" w:fill="auto"/>
            <w:vAlign w:val="center"/>
          </w:tcPr>
          <w:p w14:paraId="22945EEE" w14:textId="77777777" w:rsidR="00A050CF" w:rsidRPr="00942872" w:rsidRDefault="00A050CF" w:rsidP="008C6CBE">
            <w:pPr>
              <w:pStyle w:val="TableText0"/>
              <w:keepNext w:val="0"/>
              <w:rPr>
                <w:sz w:val="19"/>
                <w:szCs w:val="19"/>
              </w:rPr>
            </w:pPr>
            <w:r w:rsidRPr="00942872">
              <w:rPr>
                <w:sz w:val="19"/>
                <w:szCs w:val="19"/>
              </w:rPr>
              <w:t>Cost to PBS/RPBS less copayments</w:t>
            </w:r>
          </w:p>
        </w:tc>
        <w:tc>
          <w:tcPr>
            <w:tcW w:w="647" w:type="pct"/>
            <w:shd w:val="clear" w:color="auto" w:fill="auto"/>
            <w:vAlign w:val="center"/>
          </w:tcPr>
          <w:p w14:paraId="310A8596" w14:textId="77777777" w:rsidR="00A050CF" w:rsidRPr="00F55A86" w:rsidRDefault="00F55A86" w:rsidP="008C6CBE">
            <w:pPr>
              <w:pStyle w:val="TableText0"/>
              <w:keepNext w:val="0"/>
              <w:jc w:val="center"/>
            </w:pPr>
            <w:r>
              <w:rPr>
                <w:noProof/>
                <w:color w:val="000000"/>
                <w:sz w:val="18"/>
                <w:szCs w:val="18"/>
                <w:highlight w:val="black"/>
              </w:rPr>
              <w:t>''''''''''''''''''''''''</w:t>
            </w:r>
            <w:r w:rsidR="003F1856">
              <w:rPr>
                <w:vertAlign w:val="superscript"/>
              </w:rPr>
              <w:t>3</w:t>
            </w:r>
          </w:p>
        </w:tc>
        <w:tc>
          <w:tcPr>
            <w:tcW w:w="647" w:type="pct"/>
            <w:shd w:val="clear" w:color="auto" w:fill="auto"/>
            <w:vAlign w:val="center"/>
          </w:tcPr>
          <w:p w14:paraId="7BB39D03" w14:textId="77777777" w:rsidR="00A050CF" w:rsidRPr="00F55A86" w:rsidRDefault="00F55A86" w:rsidP="008C6CBE">
            <w:pPr>
              <w:pStyle w:val="TableText0"/>
              <w:keepNext w:val="0"/>
              <w:jc w:val="center"/>
            </w:pPr>
            <w:r>
              <w:rPr>
                <w:noProof/>
                <w:color w:val="000000"/>
                <w:sz w:val="18"/>
                <w:szCs w:val="18"/>
                <w:highlight w:val="black"/>
              </w:rPr>
              <w:t>'''''''''''''''''''''''''''''</w:t>
            </w:r>
            <w:r w:rsidR="003F1856">
              <w:rPr>
                <w:vertAlign w:val="superscript"/>
              </w:rPr>
              <w:t>3</w:t>
            </w:r>
          </w:p>
        </w:tc>
        <w:tc>
          <w:tcPr>
            <w:tcW w:w="647" w:type="pct"/>
            <w:shd w:val="clear" w:color="auto" w:fill="auto"/>
            <w:vAlign w:val="center"/>
          </w:tcPr>
          <w:p w14:paraId="349B6DE8" w14:textId="77777777" w:rsidR="00A050CF" w:rsidRPr="00F55A86" w:rsidRDefault="00F55A86" w:rsidP="008C6CBE">
            <w:pPr>
              <w:pStyle w:val="TableText0"/>
              <w:keepNext w:val="0"/>
              <w:jc w:val="center"/>
            </w:pPr>
            <w:r>
              <w:rPr>
                <w:noProof/>
                <w:color w:val="000000"/>
                <w:sz w:val="18"/>
                <w:szCs w:val="18"/>
                <w:highlight w:val="black"/>
              </w:rPr>
              <w:t>''''''''''''''''''''''''''</w:t>
            </w:r>
            <w:r w:rsidR="003F1856">
              <w:rPr>
                <w:vertAlign w:val="superscript"/>
              </w:rPr>
              <w:t>3</w:t>
            </w:r>
          </w:p>
        </w:tc>
        <w:tc>
          <w:tcPr>
            <w:tcW w:w="647" w:type="pct"/>
            <w:shd w:val="clear" w:color="auto" w:fill="auto"/>
            <w:vAlign w:val="center"/>
          </w:tcPr>
          <w:p w14:paraId="49D433D3" w14:textId="77777777" w:rsidR="00A050CF" w:rsidRPr="00F55A86" w:rsidRDefault="00F55A86" w:rsidP="008C6CBE">
            <w:pPr>
              <w:pStyle w:val="TableText0"/>
              <w:keepNext w:val="0"/>
              <w:jc w:val="center"/>
            </w:pPr>
            <w:r>
              <w:rPr>
                <w:noProof/>
                <w:color w:val="000000"/>
                <w:sz w:val="18"/>
                <w:szCs w:val="18"/>
                <w:highlight w:val="black"/>
              </w:rPr>
              <w:t>'''''''''''''''''''''''''</w:t>
            </w:r>
            <w:r w:rsidR="003F1856">
              <w:rPr>
                <w:vertAlign w:val="superscript"/>
              </w:rPr>
              <w:t>3</w:t>
            </w:r>
          </w:p>
        </w:tc>
        <w:tc>
          <w:tcPr>
            <w:tcW w:w="647" w:type="pct"/>
            <w:shd w:val="clear" w:color="auto" w:fill="auto"/>
            <w:vAlign w:val="center"/>
          </w:tcPr>
          <w:p w14:paraId="6CD4F79F" w14:textId="77777777" w:rsidR="00A050CF" w:rsidRPr="00F55A86" w:rsidRDefault="00F55A86" w:rsidP="008C6CBE">
            <w:pPr>
              <w:pStyle w:val="TableText0"/>
              <w:keepNext w:val="0"/>
              <w:jc w:val="center"/>
            </w:pPr>
            <w:r>
              <w:rPr>
                <w:noProof/>
                <w:color w:val="000000"/>
                <w:sz w:val="18"/>
                <w:szCs w:val="18"/>
                <w:highlight w:val="black"/>
              </w:rPr>
              <w:t>'''''''''''''''''''''''''''''''</w:t>
            </w:r>
            <w:r w:rsidR="003F1856">
              <w:rPr>
                <w:vertAlign w:val="superscript"/>
              </w:rPr>
              <w:t>4</w:t>
            </w:r>
          </w:p>
        </w:tc>
        <w:tc>
          <w:tcPr>
            <w:tcW w:w="649" w:type="pct"/>
            <w:shd w:val="clear" w:color="auto" w:fill="auto"/>
            <w:vAlign w:val="center"/>
          </w:tcPr>
          <w:p w14:paraId="412C8406" w14:textId="77777777" w:rsidR="00A050CF" w:rsidRPr="00F55A86" w:rsidRDefault="00F55A86" w:rsidP="008C6CBE">
            <w:pPr>
              <w:pStyle w:val="TableText0"/>
              <w:keepNext w:val="0"/>
              <w:jc w:val="center"/>
            </w:pPr>
            <w:r>
              <w:rPr>
                <w:noProof/>
                <w:color w:val="000000"/>
                <w:sz w:val="18"/>
                <w:szCs w:val="18"/>
                <w:highlight w:val="black"/>
              </w:rPr>
              <w:t>'''''''''''''''''''''''''''</w:t>
            </w:r>
            <w:r w:rsidR="003F1856">
              <w:rPr>
                <w:vertAlign w:val="superscript"/>
              </w:rPr>
              <w:t>4</w:t>
            </w:r>
          </w:p>
        </w:tc>
      </w:tr>
      <w:tr w:rsidR="00A050CF" w:rsidRPr="00942872" w14:paraId="6212AAB6" w14:textId="77777777" w:rsidTr="00364A12">
        <w:tc>
          <w:tcPr>
            <w:tcW w:w="5000" w:type="pct"/>
            <w:gridSpan w:val="7"/>
            <w:shd w:val="clear" w:color="auto" w:fill="auto"/>
            <w:vAlign w:val="center"/>
          </w:tcPr>
          <w:p w14:paraId="0080A3A5" w14:textId="77777777" w:rsidR="00A050CF" w:rsidRPr="00942872" w:rsidRDefault="00A050CF" w:rsidP="008C6CBE">
            <w:pPr>
              <w:pStyle w:val="TableText0"/>
              <w:keepNext w:val="0"/>
              <w:rPr>
                <w:b/>
              </w:rPr>
            </w:pPr>
            <w:r w:rsidRPr="00942872">
              <w:rPr>
                <w:b/>
              </w:rPr>
              <w:t>Estimated financial implications for pembrolizumab</w:t>
            </w:r>
          </w:p>
        </w:tc>
      </w:tr>
      <w:tr w:rsidR="00A050CF" w:rsidRPr="00942872" w14:paraId="3DAB091C" w14:textId="77777777" w:rsidTr="00364A12">
        <w:tc>
          <w:tcPr>
            <w:tcW w:w="1116" w:type="pct"/>
            <w:shd w:val="clear" w:color="auto" w:fill="auto"/>
            <w:vAlign w:val="center"/>
          </w:tcPr>
          <w:p w14:paraId="012BE3AF" w14:textId="77777777" w:rsidR="00A050CF" w:rsidRPr="00942872" w:rsidRDefault="00A050CF" w:rsidP="008C6CBE">
            <w:pPr>
              <w:pStyle w:val="TableText0"/>
              <w:keepNext w:val="0"/>
              <w:rPr>
                <w:sz w:val="19"/>
                <w:szCs w:val="19"/>
              </w:rPr>
            </w:pPr>
            <w:r w:rsidRPr="00942872">
              <w:rPr>
                <w:sz w:val="19"/>
                <w:szCs w:val="19"/>
              </w:rPr>
              <w:t>Cost to PBS/RPBS less copayments</w:t>
            </w:r>
          </w:p>
        </w:tc>
        <w:tc>
          <w:tcPr>
            <w:tcW w:w="647" w:type="pct"/>
            <w:shd w:val="clear" w:color="auto" w:fill="auto"/>
            <w:vAlign w:val="center"/>
          </w:tcPr>
          <w:p w14:paraId="0BCA6E2B" w14:textId="77777777" w:rsidR="00A050CF" w:rsidRPr="00942872" w:rsidRDefault="00A050CF" w:rsidP="008C6CBE">
            <w:pPr>
              <w:pStyle w:val="TableText0"/>
              <w:keepNext w:val="0"/>
              <w:jc w:val="center"/>
            </w:pPr>
            <w:r w:rsidRPr="00942872">
              <w:rPr>
                <w:rFonts w:cs="Calibri"/>
                <w:sz w:val="18"/>
                <w:szCs w:val="18"/>
              </w:rPr>
              <w:noBreakHyphen/>
            </w:r>
            <w:r w:rsidR="00F55A86">
              <w:rPr>
                <w:rFonts w:cs="Calibri"/>
                <w:noProof/>
                <w:color w:val="000000"/>
                <w:sz w:val="18"/>
                <w:szCs w:val="18"/>
                <w:highlight w:val="black"/>
              </w:rPr>
              <w:t>''''''''''''''''''''''''''''</w:t>
            </w:r>
            <w:r w:rsidR="003F1856">
              <w:rPr>
                <w:vertAlign w:val="superscript"/>
              </w:rPr>
              <w:t>3</w:t>
            </w:r>
          </w:p>
        </w:tc>
        <w:tc>
          <w:tcPr>
            <w:tcW w:w="647" w:type="pct"/>
            <w:shd w:val="clear" w:color="auto" w:fill="auto"/>
            <w:vAlign w:val="center"/>
          </w:tcPr>
          <w:p w14:paraId="6FF126EF" w14:textId="77777777" w:rsidR="00A050CF" w:rsidRPr="00942872" w:rsidRDefault="00A050CF" w:rsidP="008C6CBE">
            <w:pPr>
              <w:pStyle w:val="TableText0"/>
              <w:keepNext w:val="0"/>
              <w:jc w:val="center"/>
            </w:pPr>
            <w:r w:rsidRPr="00942872">
              <w:rPr>
                <w:rFonts w:cs="Calibri"/>
                <w:sz w:val="18"/>
                <w:szCs w:val="18"/>
              </w:rPr>
              <w:noBreakHyphen/>
            </w:r>
            <w:r w:rsidR="00F55A86">
              <w:rPr>
                <w:rFonts w:cs="Calibri"/>
                <w:noProof/>
                <w:color w:val="000000"/>
                <w:sz w:val="18"/>
                <w:szCs w:val="18"/>
                <w:highlight w:val="black"/>
              </w:rPr>
              <w:t>''''''''''''''''''''''''</w:t>
            </w:r>
            <w:r w:rsidR="003F1856">
              <w:rPr>
                <w:vertAlign w:val="superscript"/>
              </w:rPr>
              <w:t>3</w:t>
            </w:r>
          </w:p>
        </w:tc>
        <w:tc>
          <w:tcPr>
            <w:tcW w:w="647" w:type="pct"/>
            <w:shd w:val="clear" w:color="auto" w:fill="auto"/>
            <w:vAlign w:val="center"/>
          </w:tcPr>
          <w:p w14:paraId="116F96D3" w14:textId="77777777" w:rsidR="00A050CF" w:rsidRPr="00942872" w:rsidRDefault="00A050CF" w:rsidP="008C6CBE">
            <w:pPr>
              <w:pStyle w:val="TableText0"/>
              <w:keepNext w:val="0"/>
              <w:jc w:val="center"/>
            </w:pPr>
            <w:r w:rsidRPr="00942872">
              <w:rPr>
                <w:rFonts w:cs="Calibri"/>
                <w:sz w:val="18"/>
                <w:szCs w:val="18"/>
              </w:rPr>
              <w:noBreakHyphen/>
            </w:r>
            <w:r w:rsidR="00F55A86">
              <w:rPr>
                <w:rFonts w:cs="Calibri"/>
                <w:noProof/>
                <w:color w:val="000000"/>
                <w:sz w:val="18"/>
                <w:szCs w:val="18"/>
                <w:highlight w:val="black"/>
              </w:rPr>
              <w:t>''''''''''''''''''''''''</w:t>
            </w:r>
            <w:r w:rsidR="003F1856">
              <w:rPr>
                <w:vertAlign w:val="superscript"/>
              </w:rPr>
              <w:t>3</w:t>
            </w:r>
          </w:p>
        </w:tc>
        <w:tc>
          <w:tcPr>
            <w:tcW w:w="647" w:type="pct"/>
            <w:shd w:val="clear" w:color="auto" w:fill="auto"/>
            <w:vAlign w:val="center"/>
          </w:tcPr>
          <w:p w14:paraId="00F9DF6B" w14:textId="77777777" w:rsidR="00A050CF" w:rsidRPr="00942872" w:rsidRDefault="00A050CF" w:rsidP="008C6CBE">
            <w:pPr>
              <w:pStyle w:val="TableText0"/>
              <w:keepNext w:val="0"/>
              <w:jc w:val="center"/>
            </w:pPr>
            <w:r w:rsidRPr="00942872">
              <w:rPr>
                <w:rFonts w:cs="Calibri"/>
                <w:sz w:val="18"/>
                <w:szCs w:val="18"/>
              </w:rPr>
              <w:noBreakHyphen/>
            </w:r>
            <w:r w:rsidR="00F55A86">
              <w:rPr>
                <w:rFonts w:cs="Calibri"/>
                <w:noProof/>
                <w:color w:val="000000"/>
                <w:sz w:val="18"/>
                <w:szCs w:val="18"/>
                <w:highlight w:val="black"/>
              </w:rPr>
              <w:t>'''''''''''''''''''''''''''''</w:t>
            </w:r>
            <w:r w:rsidR="003F1856">
              <w:rPr>
                <w:vertAlign w:val="superscript"/>
              </w:rPr>
              <w:t>3</w:t>
            </w:r>
          </w:p>
        </w:tc>
        <w:tc>
          <w:tcPr>
            <w:tcW w:w="647" w:type="pct"/>
            <w:shd w:val="clear" w:color="auto" w:fill="auto"/>
            <w:vAlign w:val="center"/>
          </w:tcPr>
          <w:p w14:paraId="0CFCB948" w14:textId="77777777" w:rsidR="00A050CF" w:rsidRPr="00942872" w:rsidRDefault="00A050CF" w:rsidP="008C6CBE">
            <w:pPr>
              <w:pStyle w:val="TableText0"/>
              <w:keepNext w:val="0"/>
              <w:jc w:val="center"/>
            </w:pPr>
            <w:r w:rsidRPr="00942872">
              <w:rPr>
                <w:rFonts w:cs="Calibri"/>
                <w:sz w:val="18"/>
                <w:szCs w:val="18"/>
              </w:rPr>
              <w:noBreakHyphen/>
            </w:r>
            <w:r w:rsidR="00F55A86">
              <w:rPr>
                <w:rFonts w:cs="Calibri"/>
                <w:noProof/>
                <w:color w:val="000000"/>
                <w:sz w:val="18"/>
                <w:szCs w:val="18"/>
                <w:highlight w:val="black"/>
              </w:rPr>
              <w:t>'''''''''''''''''''''''''''''''</w:t>
            </w:r>
            <w:r w:rsidR="003F1856">
              <w:rPr>
                <w:vertAlign w:val="superscript"/>
              </w:rPr>
              <w:t>4</w:t>
            </w:r>
          </w:p>
        </w:tc>
        <w:tc>
          <w:tcPr>
            <w:tcW w:w="649" w:type="pct"/>
            <w:shd w:val="clear" w:color="auto" w:fill="auto"/>
            <w:vAlign w:val="center"/>
          </w:tcPr>
          <w:p w14:paraId="565CB57B" w14:textId="77777777" w:rsidR="00A050CF" w:rsidRPr="00942872" w:rsidRDefault="00A050CF" w:rsidP="008C6CBE">
            <w:pPr>
              <w:pStyle w:val="TableText0"/>
              <w:keepNext w:val="0"/>
              <w:jc w:val="center"/>
            </w:pPr>
            <w:r w:rsidRPr="00942872">
              <w:rPr>
                <w:rFonts w:cs="Calibri"/>
                <w:sz w:val="18"/>
                <w:szCs w:val="18"/>
              </w:rPr>
              <w:noBreakHyphen/>
            </w:r>
            <w:r w:rsidR="00F55A86">
              <w:rPr>
                <w:rFonts w:cs="Calibri"/>
                <w:noProof/>
                <w:color w:val="000000"/>
                <w:sz w:val="18"/>
                <w:szCs w:val="18"/>
                <w:highlight w:val="black"/>
              </w:rPr>
              <w:t>''''''''''''''''''''''''''''''''</w:t>
            </w:r>
            <w:r w:rsidR="003F1856">
              <w:rPr>
                <w:vertAlign w:val="superscript"/>
              </w:rPr>
              <w:t>4</w:t>
            </w:r>
          </w:p>
        </w:tc>
      </w:tr>
      <w:tr w:rsidR="00A050CF" w:rsidRPr="00942872" w14:paraId="619C3EC0" w14:textId="77777777" w:rsidTr="00364A12">
        <w:tc>
          <w:tcPr>
            <w:tcW w:w="5000" w:type="pct"/>
            <w:gridSpan w:val="7"/>
            <w:shd w:val="clear" w:color="auto" w:fill="auto"/>
            <w:vAlign w:val="center"/>
          </w:tcPr>
          <w:p w14:paraId="65895C06" w14:textId="77777777" w:rsidR="00A050CF" w:rsidRPr="00942872" w:rsidRDefault="00A050CF" w:rsidP="008C6CBE">
            <w:pPr>
              <w:pStyle w:val="In-tableHeading"/>
              <w:keepNext w:val="0"/>
              <w:rPr>
                <w:lang w:val="en-AU"/>
              </w:rPr>
            </w:pPr>
            <w:r w:rsidRPr="00942872">
              <w:rPr>
                <w:lang w:val="en-AU"/>
              </w:rPr>
              <w:t>Net financial implications</w:t>
            </w:r>
            <w:r w:rsidRPr="00942872">
              <w:rPr>
                <w:color w:val="4BACC6" w:themeColor="accent5"/>
                <w:lang w:val="en-AU"/>
              </w:rPr>
              <w:t xml:space="preserve"> </w:t>
            </w:r>
          </w:p>
        </w:tc>
      </w:tr>
      <w:tr w:rsidR="00A050CF" w:rsidRPr="00942872" w14:paraId="4D28653A" w14:textId="77777777" w:rsidTr="00364A12">
        <w:tc>
          <w:tcPr>
            <w:tcW w:w="1116" w:type="pct"/>
            <w:shd w:val="clear" w:color="auto" w:fill="auto"/>
            <w:vAlign w:val="center"/>
          </w:tcPr>
          <w:p w14:paraId="42202D28" w14:textId="77777777" w:rsidR="00A050CF" w:rsidRPr="00942872" w:rsidRDefault="00A050CF" w:rsidP="008C6CBE">
            <w:pPr>
              <w:pStyle w:val="TableText0"/>
              <w:keepNext w:val="0"/>
              <w:rPr>
                <w:sz w:val="19"/>
                <w:szCs w:val="19"/>
              </w:rPr>
            </w:pPr>
            <w:r w:rsidRPr="00942872">
              <w:rPr>
                <w:sz w:val="19"/>
                <w:szCs w:val="19"/>
              </w:rPr>
              <w:t>Net cost to PBS/RPBS</w:t>
            </w:r>
          </w:p>
        </w:tc>
        <w:tc>
          <w:tcPr>
            <w:tcW w:w="647" w:type="pct"/>
            <w:shd w:val="clear" w:color="auto" w:fill="auto"/>
            <w:vAlign w:val="center"/>
          </w:tcPr>
          <w:p w14:paraId="67713677" w14:textId="77777777" w:rsidR="00A050CF" w:rsidRPr="00942872" w:rsidRDefault="00A050CF" w:rsidP="008C6CBE">
            <w:pPr>
              <w:pStyle w:val="TableText0"/>
              <w:keepNext w:val="0"/>
              <w:jc w:val="center"/>
            </w:pPr>
            <w:r w:rsidRPr="00942872">
              <w:rPr>
                <w:bCs w:val="0"/>
                <w:sz w:val="18"/>
                <w:szCs w:val="18"/>
              </w:rPr>
              <w:noBreakHyphen/>
            </w:r>
            <w:r w:rsidR="00F55A86">
              <w:rPr>
                <w:bCs w:val="0"/>
                <w:noProof/>
                <w:color w:val="000000"/>
                <w:sz w:val="18"/>
                <w:szCs w:val="18"/>
                <w:highlight w:val="black"/>
              </w:rPr>
              <w:t>''''''''''''</w:t>
            </w:r>
            <w:r w:rsidR="003F1856">
              <w:rPr>
                <w:vertAlign w:val="superscript"/>
              </w:rPr>
              <w:t>3</w:t>
            </w:r>
          </w:p>
        </w:tc>
        <w:tc>
          <w:tcPr>
            <w:tcW w:w="647" w:type="pct"/>
            <w:shd w:val="clear" w:color="auto" w:fill="auto"/>
            <w:vAlign w:val="center"/>
          </w:tcPr>
          <w:p w14:paraId="7D435263" w14:textId="77777777" w:rsidR="00A050CF" w:rsidRPr="00942872" w:rsidRDefault="00A050CF" w:rsidP="008C6CBE">
            <w:pPr>
              <w:pStyle w:val="TableText0"/>
              <w:keepNext w:val="0"/>
              <w:jc w:val="center"/>
            </w:pPr>
            <w:r w:rsidRPr="00942872">
              <w:rPr>
                <w:bCs w:val="0"/>
                <w:sz w:val="18"/>
                <w:szCs w:val="18"/>
              </w:rPr>
              <w:noBreakHyphen/>
            </w:r>
            <w:r w:rsidR="00F55A86">
              <w:rPr>
                <w:bCs w:val="0"/>
                <w:noProof/>
                <w:color w:val="000000"/>
                <w:sz w:val="18"/>
                <w:szCs w:val="18"/>
                <w:highlight w:val="black"/>
              </w:rPr>
              <w:t>'''''''''''''</w:t>
            </w:r>
            <w:r w:rsidR="003F1856">
              <w:rPr>
                <w:vertAlign w:val="superscript"/>
              </w:rPr>
              <w:t>3</w:t>
            </w:r>
          </w:p>
        </w:tc>
        <w:tc>
          <w:tcPr>
            <w:tcW w:w="647" w:type="pct"/>
            <w:shd w:val="clear" w:color="auto" w:fill="auto"/>
            <w:vAlign w:val="center"/>
          </w:tcPr>
          <w:p w14:paraId="1ABC9408" w14:textId="77777777" w:rsidR="00A050CF" w:rsidRPr="00942872" w:rsidRDefault="00A050CF" w:rsidP="008C6CBE">
            <w:pPr>
              <w:pStyle w:val="TableText0"/>
              <w:keepNext w:val="0"/>
              <w:jc w:val="center"/>
            </w:pPr>
            <w:r w:rsidRPr="00942872">
              <w:rPr>
                <w:bCs w:val="0"/>
                <w:sz w:val="18"/>
                <w:szCs w:val="18"/>
              </w:rPr>
              <w:noBreakHyphen/>
            </w:r>
            <w:r w:rsidR="00F55A86">
              <w:rPr>
                <w:bCs w:val="0"/>
                <w:noProof/>
                <w:color w:val="000000"/>
                <w:sz w:val="18"/>
                <w:szCs w:val="18"/>
                <w:highlight w:val="black"/>
              </w:rPr>
              <w:t>'''''''''''''''''</w:t>
            </w:r>
            <w:r w:rsidR="003F1856">
              <w:rPr>
                <w:vertAlign w:val="superscript"/>
              </w:rPr>
              <w:t>3</w:t>
            </w:r>
          </w:p>
        </w:tc>
        <w:tc>
          <w:tcPr>
            <w:tcW w:w="647" w:type="pct"/>
            <w:shd w:val="clear" w:color="auto" w:fill="auto"/>
            <w:vAlign w:val="center"/>
          </w:tcPr>
          <w:p w14:paraId="4F87B851" w14:textId="77777777" w:rsidR="00A050CF" w:rsidRPr="00942872" w:rsidRDefault="00A050CF" w:rsidP="008C6CBE">
            <w:pPr>
              <w:pStyle w:val="TableText0"/>
              <w:keepNext w:val="0"/>
              <w:jc w:val="center"/>
            </w:pPr>
            <w:r w:rsidRPr="00942872">
              <w:rPr>
                <w:bCs w:val="0"/>
                <w:sz w:val="18"/>
                <w:szCs w:val="18"/>
              </w:rPr>
              <w:noBreakHyphen/>
            </w:r>
            <w:r w:rsidR="00F55A86">
              <w:rPr>
                <w:bCs w:val="0"/>
                <w:noProof/>
                <w:color w:val="000000"/>
                <w:sz w:val="18"/>
                <w:szCs w:val="18"/>
                <w:highlight w:val="black"/>
              </w:rPr>
              <w:t>'''''''''''''''''</w:t>
            </w:r>
            <w:r w:rsidR="003F1856">
              <w:rPr>
                <w:vertAlign w:val="superscript"/>
              </w:rPr>
              <w:t>3</w:t>
            </w:r>
          </w:p>
        </w:tc>
        <w:tc>
          <w:tcPr>
            <w:tcW w:w="647" w:type="pct"/>
            <w:shd w:val="clear" w:color="auto" w:fill="auto"/>
            <w:vAlign w:val="center"/>
          </w:tcPr>
          <w:p w14:paraId="24B6EB39" w14:textId="77777777" w:rsidR="00A050CF" w:rsidRPr="00942872" w:rsidRDefault="00A050CF" w:rsidP="008C6CBE">
            <w:pPr>
              <w:pStyle w:val="TableText0"/>
              <w:keepNext w:val="0"/>
              <w:jc w:val="center"/>
            </w:pPr>
            <w:r w:rsidRPr="00942872">
              <w:rPr>
                <w:bCs w:val="0"/>
                <w:sz w:val="18"/>
                <w:szCs w:val="18"/>
              </w:rPr>
              <w:noBreakHyphen/>
            </w:r>
            <w:r w:rsidR="00F55A86">
              <w:rPr>
                <w:bCs w:val="0"/>
                <w:noProof/>
                <w:color w:val="000000"/>
                <w:sz w:val="18"/>
                <w:szCs w:val="18"/>
                <w:highlight w:val="black"/>
              </w:rPr>
              <w:t>'''''''''''''''''</w:t>
            </w:r>
            <w:r w:rsidR="003F1856">
              <w:rPr>
                <w:vertAlign w:val="superscript"/>
              </w:rPr>
              <w:t>3</w:t>
            </w:r>
          </w:p>
        </w:tc>
        <w:tc>
          <w:tcPr>
            <w:tcW w:w="649" w:type="pct"/>
            <w:shd w:val="clear" w:color="auto" w:fill="auto"/>
            <w:vAlign w:val="center"/>
          </w:tcPr>
          <w:p w14:paraId="186A9D7C" w14:textId="77777777" w:rsidR="00A050CF" w:rsidRPr="00942872" w:rsidRDefault="00A050CF" w:rsidP="008C6CBE">
            <w:pPr>
              <w:pStyle w:val="TableText0"/>
              <w:keepNext w:val="0"/>
              <w:jc w:val="center"/>
            </w:pPr>
            <w:r w:rsidRPr="00942872">
              <w:rPr>
                <w:bCs w:val="0"/>
                <w:sz w:val="18"/>
                <w:szCs w:val="18"/>
              </w:rPr>
              <w:noBreakHyphen/>
            </w:r>
            <w:r w:rsidR="00F55A86">
              <w:rPr>
                <w:bCs w:val="0"/>
                <w:noProof/>
                <w:color w:val="000000"/>
                <w:sz w:val="18"/>
                <w:szCs w:val="18"/>
                <w:highlight w:val="black"/>
              </w:rPr>
              <w:t>''''''''''''''''</w:t>
            </w:r>
            <w:r w:rsidR="003F1856">
              <w:rPr>
                <w:vertAlign w:val="superscript"/>
              </w:rPr>
              <w:t>3</w:t>
            </w:r>
          </w:p>
        </w:tc>
      </w:tr>
      <w:tr w:rsidR="00A050CF" w:rsidRPr="00942872" w14:paraId="12352E88" w14:textId="77777777" w:rsidTr="00364A12">
        <w:tc>
          <w:tcPr>
            <w:tcW w:w="1116" w:type="pct"/>
            <w:shd w:val="clear" w:color="auto" w:fill="auto"/>
            <w:vAlign w:val="center"/>
          </w:tcPr>
          <w:p w14:paraId="21C05157" w14:textId="77777777" w:rsidR="00A050CF" w:rsidRPr="00942872" w:rsidRDefault="00A050CF" w:rsidP="008C6CBE">
            <w:pPr>
              <w:pStyle w:val="TableText0"/>
              <w:keepNext w:val="0"/>
              <w:rPr>
                <w:rFonts w:ascii="Times" w:hAnsi="Times"/>
              </w:rPr>
            </w:pPr>
            <w:r w:rsidRPr="00942872">
              <w:rPr>
                <w:sz w:val="19"/>
                <w:szCs w:val="19"/>
              </w:rPr>
              <w:t>Net cost to MBS</w:t>
            </w:r>
          </w:p>
        </w:tc>
        <w:tc>
          <w:tcPr>
            <w:tcW w:w="647" w:type="pct"/>
            <w:shd w:val="clear" w:color="auto" w:fill="auto"/>
            <w:vAlign w:val="center"/>
          </w:tcPr>
          <w:p w14:paraId="69FD4654" w14:textId="77777777" w:rsidR="00A050CF" w:rsidRPr="00942872" w:rsidRDefault="00F55A86" w:rsidP="008C6CBE">
            <w:pPr>
              <w:pStyle w:val="TableText0"/>
              <w:keepNext w:val="0"/>
              <w:jc w:val="center"/>
            </w:pPr>
            <w:r>
              <w:rPr>
                <w:bCs w:val="0"/>
                <w:noProof/>
                <w:color w:val="000000"/>
                <w:highlight w:val="black"/>
              </w:rPr>
              <w:t>'''''''''''</w:t>
            </w:r>
            <w:r w:rsidR="003F1856">
              <w:rPr>
                <w:vertAlign w:val="superscript"/>
              </w:rPr>
              <w:t>3</w:t>
            </w:r>
          </w:p>
        </w:tc>
        <w:tc>
          <w:tcPr>
            <w:tcW w:w="647" w:type="pct"/>
            <w:shd w:val="clear" w:color="auto" w:fill="auto"/>
            <w:vAlign w:val="center"/>
          </w:tcPr>
          <w:p w14:paraId="347FE88C" w14:textId="77777777" w:rsidR="00A050CF" w:rsidRPr="00942872" w:rsidRDefault="00F55A86" w:rsidP="008C6CBE">
            <w:pPr>
              <w:pStyle w:val="TableText0"/>
              <w:keepNext w:val="0"/>
              <w:jc w:val="center"/>
            </w:pPr>
            <w:r>
              <w:rPr>
                <w:bCs w:val="0"/>
                <w:noProof/>
                <w:color w:val="000000"/>
                <w:highlight w:val="black"/>
              </w:rPr>
              <w:t>'''''''''''</w:t>
            </w:r>
            <w:r w:rsidR="003F1856">
              <w:rPr>
                <w:vertAlign w:val="superscript"/>
              </w:rPr>
              <w:t>3</w:t>
            </w:r>
          </w:p>
        </w:tc>
        <w:tc>
          <w:tcPr>
            <w:tcW w:w="647" w:type="pct"/>
            <w:shd w:val="clear" w:color="auto" w:fill="auto"/>
            <w:vAlign w:val="center"/>
          </w:tcPr>
          <w:p w14:paraId="2A090925" w14:textId="77777777" w:rsidR="00A050CF" w:rsidRPr="00942872" w:rsidRDefault="00F55A86" w:rsidP="008C6CBE">
            <w:pPr>
              <w:pStyle w:val="TableText0"/>
              <w:keepNext w:val="0"/>
              <w:jc w:val="center"/>
            </w:pPr>
            <w:r>
              <w:rPr>
                <w:bCs w:val="0"/>
                <w:noProof/>
                <w:color w:val="000000"/>
                <w:highlight w:val="black"/>
              </w:rPr>
              <w:t>''''''''''''''''''</w:t>
            </w:r>
            <w:r w:rsidR="003F1856">
              <w:rPr>
                <w:vertAlign w:val="superscript"/>
              </w:rPr>
              <w:t>3</w:t>
            </w:r>
          </w:p>
        </w:tc>
        <w:tc>
          <w:tcPr>
            <w:tcW w:w="647" w:type="pct"/>
            <w:shd w:val="clear" w:color="auto" w:fill="auto"/>
            <w:vAlign w:val="center"/>
          </w:tcPr>
          <w:p w14:paraId="37B09274" w14:textId="77777777" w:rsidR="00A050CF" w:rsidRPr="00942872" w:rsidRDefault="00F55A86" w:rsidP="008C6CBE">
            <w:pPr>
              <w:pStyle w:val="TableText0"/>
              <w:keepNext w:val="0"/>
              <w:jc w:val="center"/>
            </w:pPr>
            <w:r>
              <w:rPr>
                <w:bCs w:val="0"/>
                <w:noProof/>
                <w:color w:val="000000"/>
                <w:highlight w:val="black"/>
              </w:rPr>
              <w:t>'''''''''''''''</w:t>
            </w:r>
            <w:r w:rsidR="003F1856">
              <w:rPr>
                <w:vertAlign w:val="superscript"/>
              </w:rPr>
              <w:t>3</w:t>
            </w:r>
          </w:p>
        </w:tc>
        <w:tc>
          <w:tcPr>
            <w:tcW w:w="647" w:type="pct"/>
            <w:shd w:val="clear" w:color="auto" w:fill="auto"/>
            <w:vAlign w:val="center"/>
          </w:tcPr>
          <w:p w14:paraId="0BEF46F5" w14:textId="77777777" w:rsidR="00A050CF" w:rsidRPr="00942872" w:rsidRDefault="00F55A86" w:rsidP="008C6CBE">
            <w:pPr>
              <w:pStyle w:val="TableText0"/>
              <w:keepNext w:val="0"/>
              <w:jc w:val="center"/>
            </w:pPr>
            <w:r>
              <w:rPr>
                <w:bCs w:val="0"/>
                <w:noProof/>
                <w:color w:val="000000"/>
                <w:highlight w:val="black"/>
              </w:rPr>
              <w:t>'''''''''''''''</w:t>
            </w:r>
            <w:r w:rsidR="003F1856">
              <w:rPr>
                <w:vertAlign w:val="superscript"/>
              </w:rPr>
              <w:t>3</w:t>
            </w:r>
          </w:p>
        </w:tc>
        <w:tc>
          <w:tcPr>
            <w:tcW w:w="649" w:type="pct"/>
            <w:shd w:val="clear" w:color="auto" w:fill="auto"/>
            <w:vAlign w:val="center"/>
          </w:tcPr>
          <w:p w14:paraId="7581DE2C" w14:textId="77777777" w:rsidR="00A050CF" w:rsidRPr="00942872" w:rsidRDefault="00F55A86" w:rsidP="008C6CBE">
            <w:pPr>
              <w:pStyle w:val="TableText0"/>
              <w:keepNext w:val="0"/>
              <w:jc w:val="center"/>
            </w:pPr>
            <w:r>
              <w:rPr>
                <w:bCs w:val="0"/>
                <w:noProof/>
                <w:color w:val="000000"/>
                <w:highlight w:val="black"/>
              </w:rPr>
              <w:t>''''''''''''''''''</w:t>
            </w:r>
            <w:r w:rsidR="003F1856">
              <w:rPr>
                <w:vertAlign w:val="superscript"/>
              </w:rPr>
              <w:t>3</w:t>
            </w:r>
          </w:p>
        </w:tc>
      </w:tr>
      <w:tr w:rsidR="00A050CF" w:rsidRPr="00942872" w14:paraId="6EF71EB6" w14:textId="77777777" w:rsidTr="00364A12">
        <w:tc>
          <w:tcPr>
            <w:tcW w:w="1116" w:type="pct"/>
            <w:shd w:val="clear" w:color="auto" w:fill="auto"/>
            <w:vAlign w:val="center"/>
          </w:tcPr>
          <w:p w14:paraId="1D46C44A" w14:textId="77777777" w:rsidR="00A050CF" w:rsidRPr="00942872" w:rsidRDefault="00A050CF" w:rsidP="008C6CBE">
            <w:pPr>
              <w:pStyle w:val="TableText0"/>
              <w:keepNext w:val="0"/>
              <w:rPr>
                <w:sz w:val="19"/>
                <w:szCs w:val="19"/>
              </w:rPr>
            </w:pPr>
            <w:r w:rsidRPr="00942872">
              <w:rPr>
                <w:sz w:val="19"/>
                <w:szCs w:val="19"/>
              </w:rPr>
              <w:t>Net cost to PBS/RPBS/MBS</w:t>
            </w:r>
          </w:p>
        </w:tc>
        <w:tc>
          <w:tcPr>
            <w:tcW w:w="647" w:type="pct"/>
            <w:shd w:val="clear" w:color="auto" w:fill="auto"/>
            <w:vAlign w:val="center"/>
          </w:tcPr>
          <w:p w14:paraId="3EE51D28" w14:textId="77777777" w:rsidR="00A050CF" w:rsidRPr="00942872" w:rsidRDefault="00A050CF" w:rsidP="008C6CBE">
            <w:pPr>
              <w:pStyle w:val="TableText0"/>
              <w:keepNext w:val="0"/>
              <w:jc w:val="center"/>
            </w:pPr>
            <w:r w:rsidRPr="00942872">
              <w:rPr>
                <w:sz w:val="18"/>
                <w:szCs w:val="18"/>
              </w:rPr>
              <w:noBreakHyphen/>
            </w:r>
            <w:r w:rsidR="00F55A86">
              <w:rPr>
                <w:noProof/>
                <w:color w:val="000000"/>
                <w:sz w:val="18"/>
                <w:szCs w:val="18"/>
                <w:highlight w:val="black"/>
              </w:rPr>
              <w:t>''''''''''''</w:t>
            </w:r>
            <w:r w:rsidR="003F1856">
              <w:rPr>
                <w:vertAlign w:val="superscript"/>
              </w:rPr>
              <w:t>3</w:t>
            </w:r>
          </w:p>
        </w:tc>
        <w:tc>
          <w:tcPr>
            <w:tcW w:w="647" w:type="pct"/>
            <w:shd w:val="clear" w:color="auto" w:fill="auto"/>
            <w:vAlign w:val="center"/>
          </w:tcPr>
          <w:p w14:paraId="769C4BF0" w14:textId="77777777" w:rsidR="00A050CF" w:rsidRPr="00942872" w:rsidRDefault="00A050CF" w:rsidP="008C6CBE">
            <w:pPr>
              <w:pStyle w:val="TableText0"/>
              <w:keepNext w:val="0"/>
              <w:jc w:val="center"/>
            </w:pPr>
            <w:r w:rsidRPr="00942872">
              <w:rPr>
                <w:sz w:val="18"/>
                <w:szCs w:val="18"/>
              </w:rPr>
              <w:noBreakHyphen/>
            </w:r>
            <w:r w:rsidR="00F55A86">
              <w:rPr>
                <w:noProof/>
                <w:color w:val="000000"/>
                <w:sz w:val="18"/>
                <w:szCs w:val="18"/>
                <w:highlight w:val="black"/>
              </w:rPr>
              <w:t>''''''''''''</w:t>
            </w:r>
            <w:r w:rsidR="003F1856">
              <w:rPr>
                <w:vertAlign w:val="superscript"/>
              </w:rPr>
              <w:t>3</w:t>
            </w:r>
          </w:p>
        </w:tc>
        <w:tc>
          <w:tcPr>
            <w:tcW w:w="647" w:type="pct"/>
            <w:shd w:val="clear" w:color="auto" w:fill="auto"/>
            <w:vAlign w:val="center"/>
          </w:tcPr>
          <w:p w14:paraId="651A302B" w14:textId="77777777" w:rsidR="00A050CF" w:rsidRPr="00942872" w:rsidRDefault="00A050CF" w:rsidP="008C6CBE">
            <w:pPr>
              <w:pStyle w:val="TableText0"/>
              <w:keepNext w:val="0"/>
              <w:jc w:val="center"/>
            </w:pPr>
            <w:r w:rsidRPr="00942872">
              <w:rPr>
                <w:sz w:val="18"/>
                <w:szCs w:val="18"/>
              </w:rPr>
              <w:noBreakHyphen/>
            </w:r>
            <w:r w:rsidR="00F55A86">
              <w:rPr>
                <w:noProof/>
                <w:color w:val="000000"/>
                <w:sz w:val="18"/>
                <w:szCs w:val="18"/>
                <w:highlight w:val="black"/>
              </w:rPr>
              <w:t>''''''''''''</w:t>
            </w:r>
            <w:r w:rsidR="003F1856">
              <w:rPr>
                <w:vertAlign w:val="superscript"/>
              </w:rPr>
              <w:t>3</w:t>
            </w:r>
          </w:p>
        </w:tc>
        <w:tc>
          <w:tcPr>
            <w:tcW w:w="647" w:type="pct"/>
            <w:shd w:val="clear" w:color="auto" w:fill="auto"/>
            <w:vAlign w:val="center"/>
          </w:tcPr>
          <w:p w14:paraId="38B6D6BC" w14:textId="77777777" w:rsidR="00A050CF" w:rsidRPr="00942872" w:rsidRDefault="00A050CF" w:rsidP="008C6CBE">
            <w:pPr>
              <w:pStyle w:val="TableText0"/>
              <w:keepNext w:val="0"/>
              <w:jc w:val="center"/>
            </w:pPr>
            <w:r w:rsidRPr="00942872">
              <w:rPr>
                <w:sz w:val="18"/>
                <w:szCs w:val="18"/>
              </w:rPr>
              <w:noBreakHyphen/>
            </w:r>
            <w:r w:rsidR="00F55A86">
              <w:rPr>
                <w:noProof/>
                <w:color w:val="000000"/>
                <w:sz w:val="18"/>
                <w:szCs w:val="18"/>
                <w:highlight w:val="black"/>
              </w:rPr>
              <w:t>'''''''''''''''</w:t>
            </w:r>
            <w:r w:rsidR="003F1856">
              <w:rPr>
                <w:vertAlign w:val="superscript"/>
              </w:rPr>
              <w:t>3</w:t>
            </w:r>
          </w:p>
        </w:tc>
        <w:tc>
          <w:tcPr>
            <w:tcW w:w="647" w:type="pct"/>
            <w:shd w:val="clear" w:color="auto" w:fill="auto"/>
            <w:vAlign w:val="center"/>
          </w:tcPr>
          <w:p w14:paraId="5958C077" w14:textId="77777777" w:rsidR="00A050CF" w:rsidRPr="00942872" w:rsidRDefault="00A050CF" w:rsidP="008C6CBE">
            <w:pPr>
              <w:pStyle w:val="TableText0"/>
              <w:keepNext w:val="0"/>
              <w:jc w:val="center"/>
            </w:pPr>
            <w:r w:rsidRPr="00942872">
              <w:rPr>
                <w:sz w:val="18"/>
                <w:szCs w:val="18"/>
              </w:rPr>
              <w:noBreakHyphen/>
            </w:r>
            <w:r w:rsidR="00F55A86">
              <w:rPr>
                <w:noProof/>
                <w:color w:val="000000"/>
                <w:sz w:val="18"/>
                <w:szCs w:val="18"/>
                <w:highlight w:val="black"/>
              </w:rPr>
              <w:t>'''''''''''''''</w:t>
            </w:r>
            <w:r w:rsidR="003F1856">
              <w:rPr>
                <w:vertAlign w:val="superscript"/>
              </w:rPr>
              <w:t>3</w:t>
            </w:r>
          </w:p>
        </w:tc>
        <w:tc>
          <w:tcPr>
            <w:tcW w:w="649" w:type="pct"/>
            <w:shd w:val="clear" w:color="auto" w:fill="auto"/>
            <w:vAlign w:val="center"/>
          </w:tcPr>
          <w:p w14:paraId="3CDC6AB9" w14:textId="77777777" w:rsidR="00A050CF" w:rsidRPr="00942872" w:rsidRDefault="00A050CF" w:rsidP="008C6CBE">
            <w:pPr>
              <w:pStyle w:val="TableText0"/>
              <w:keepNext w:val="0"/>
              <w:jc w:val="center"/>
            </w:pPr>
            <w:r w:rsidRPr="00942872">
              <w:rPr>
                <w:sz w:val="18"/>
                <w:szCs w:val="18"/>
              </w:rPr>
              <w:noBreakHyphen/>
            </w:r>
            <w:r w:rsidR="00F55A86">
              <w:rPr>
                <w:noProof/>
                <w:color w:val="000000"/>
                <w:sz w:val="18"/>
                <w:szCs w:val="18"/>
                <w:highlight w:val="black"/>
              </w:rPr>
              <w:t>'''''''''''''''''</w:t>
            </w:r>
            <w:r w:rsidR="003F1856">
              <w:rPr>
                <w:vertAlign w:val="superscript"/>
              </w:rPr>
              <w:t>3</w:t>
            </w:r>
          </w:p>
        </w:tc>
      </w:tr>
    </w:tbl>
    <w:p w14:paraId="19620E5A" w14:textId="77777777" w:rsidR="00A050CF" w:rsidRDefault="00A050CF" w:rsidP="00A050CF">
      <w:pPr>
        <w:pStyle w:val="TableFigureFooter"/>
      </w:pPr>
      <w:r w:rsidRPr="00942872">
        <w:t xml:space="preserve">Source: Table 4.2-10, p133, </w:t>
      </w:r>
      <w:r w:rsidR="00DE05EB" w:rsidRPr="00942872">
        <w:t xml:space="preserve">Table 4.3-5, </w:t>
      </w:r>
      <w:r w:rsidRPr="00942872">
        <w:t>Table 4.4-1, p136, Tables 4.5-2,</w:t>
      </w:r>
      <w:r w:rsidR="00DE05EB" w:rsidRPr="00942872">
        <w:t xml:space="preserve"> and</w:t>
      </w:r>
      <w:r w:rsidRPr="00942872">
        <w:t xml:space="preserve"> 4.5-3, p137 of the submission</w:t>
      </w:r>
      <w:r w:rsidR="00DE05EB" w:rsidRPr="00942872">
        <w:t>.</w:t>
      </w:r>
    </w:p>
    <w:p w14:paraId="61CD4B44" w14:textId="77777777" w:rsidR="006B51D7" w:rsidRPr="003F1856" w:rsidRDefault="006B51D7" w:rsidP="00A050CF">
      <w:pPr>
        <w:pStyle w:val="TableFigureFooter"/>
        <w:rPr>
          <w:i/>
        </w:rPr>
      </w:pPr>
      <w:r w:rsidRPr="003F1856">
        <w:rPr>
          <w:i/>
        </w:rPr>
        <w:t>The redacted values correspond to the following ranges:</w:t>
      </w:r>
    </w:p>
    <w:p w14:paraId="1BCD4EDD" w14:textId="77777777" w:rsidR="006B51D7" w:rsidRPr="003F1856" w:rsidRDefault="006B51D7" w:rsidP="00A050CF">
      <w:pPr>
        <w:pStyle w:val="TableFigureFooter"/>
        <w:rPr>
          <w:i/>
        </w:rPr>
      </w:pPr>
      <w:r w:rsidRPr="003F1856">
        <w:rPr>
          <w:i/>
          <w:vertAlign w:val="superscript"/>
        </w:rPr>
        <w:t>1</w:t>
      </w:r>
      <w:r w:rsidRPr="003F1856">
        <w:rPr>
          <w:i/>
        </w:rPr>
        <w:t xml:space="preserve"> &lt; 500</w:t>
      </w:r>
    </w:p>
    <w:p w14:paraId="2E5741FD" w14:textId="77777777" w:rsidR="006B51D7" w:rsidRPr="003F1856" w:rsidRDefault="006B51D7" w:rsidP="00A050CF">
      <w:pPr>
        <w:pStyle w:val="TableFigureFooter"/>
        <w:rPr>
          <w:i/>
        </w:rPr>
      </w:pPr>
      <w:r w:rsidRPr="003F1856">
        <w:rPr>
          <w:i/>
          <w:vertAlign w:val="superscript"/>
        </w:rPr>
        <w:t>2</w:t>
      </w:r>
      <w:r w:rsidRPr="003F1856">
        <w:rPr>
          <w:i/>
        </w:rPr>
        <w:t xml:space="preserve"> 500 to &lt; 5,000</w:t>
      </w:r>
    </w:p>
    <w:p w14:paraId="648B483F" w14:textId="77777777" w:rsidR="003F1856" w:rsidRPr="003F1856" w:rsidRDefault="003F1856" w:rsidP="00A050CF">
      <w:pPr>
        <w:pStyle w:val="TableFigureFooter"/>
        <w:rPr>
          <w:i/>
        </w:rPr>
      </w:pPr>
      <w:r w:rsidRPr="003F1856">
        <w:rPr>
          <w:i/>
          <w:vertAlign w:val="superscript"/>
        </w:rPr>
        <w:t>3</w:t>
      </w:r>
      <w:r w:rsidRPr="003F1856">
        <w:rPr>
          <w:i/>
        </w:rPr>
        <w:t xml:space="preserve"> $0 to &lt; $10 million</w:t>
      </w:r>
    </w:p>
    <w:p w14:paraId="4E5F81B6" w14:textId="77777777" w:rsidR="003F1856" w:rsidRPr="003F1856" w:rsidRDefault="003F1856" w:rsidP="00A050CF">
      <w:pPr>
        <w:pStyle w:val="TableFigureFooter"/>
        <w:rPr>
          <w:b/>
          <w:i/>
          <w:color w:val="000000" w:themeColor="text1"/>
          <w:sz w:val="20"/>
        </w:rPr>
      </w:pPr>
      <w:r w:rsidRPr="003F1856">
        <w:rPr>
          <w:i/>
          <w:vertAlign w:val="superscript"/>
        </w:rPr>
        <w:t>4</w:t>
      </w:r>
      <w:r w:rsidRPr="003F1856">
        <w:rPr>
          <w:i/>
        </w:rPr>
        <w:t xml:space="preserve"> $10 million to &lt; $20 million</w:t>
      </w:r>
    </w:p>
    <w:p w14:paraId="41000161" w14:textId="77777777" w:rsidR="00211D2A" w:rsidRPr="002772D6" w:rsidDel="00F44724" w:rsidRDefault="00211D2A" w:rsidP="00B07E51">
      <w:pPr>
        <w:pStyle w:val="3-BodyText"/>
      </w:pPr>
      <w:bookmarkStart w:id="31" w:name="_Ref87861337"/>
      <w:r w:rsidRPr="002772D6" w:rsidDel="00F44724">
        <w:t>The PBAC considered that the estimated proportion of Stage IV NSCLC patients with PD L1 TPS ≥ 50%</w:t>
      </w:r>
      <w:r w:rsidR="00882D3A">
        <w:t xml:space="preserve"> </w:t>
      </w:r>
      <w:r w:rsidRPr="002772D6" w:rsidDel="00F44724">
        <w:t xml:space="preserve">assumed by the submission (13.5%), may be an underestimate and is likely closer to 30% (see Table 9).  </w:t>
      </w:r>
      <w:r w:rsidR="00D1284F">
        <w:t xml:space="preserve">The PBAC noted </w:t>
      </w:r>
      <w:r w:rsidRPr="002772D6" w:rsidDel="00F44724">
        <w:t xml:space="preserve">the submission had assumed market share between </w:t>
      </w:r>
      <w:r w:rsidR="00F55A86">
        <w:rPr>
          <w:noProof/>
          <w:color w:val="000000"/>
          <w:highlight w:val="black"/>
        </w:rPr>
        <w:t>'''</w:t>
      </w:r>
      <w:r w:rsidRPr="002772D6" w:rsidDel="00F44724">
        <w:t xml:space="preserve">% and </w:t>
      </w:r>
      <w:r w:rsidR="00F55A86">
        <w:rPr>
          <w:noProof/>
          <w:color w:val="000000"/>
          <w:highlight w:val="black"/>
        </w:rPr>
        <w:t>'''''</w:t>
      </w:r>
      <w:r w:rsidRPr="002772D6" w:rsidDel="00F44724">
        <w:t xml:space="preserve">% over the first six years of listing, which the PBAC considered was a likely overestimate given </w:t>
      </w:r>
      <w:r w:rsidR="005143CB">
        <w:t xml:space="preserve">there are </w:t>
      </w:r>
      <w:r w:rsidRPr="002772D6" w:rsidDel="00F44724">
        <w:t xml:space="preserve">five </w:t>
      </w:r>
      <w:r w:rsidR="00387F72">
        <w:t xml:space="preserve">well-established </w:t>
      </w:r>
      <w:r w:rsidRPr="002772D6" w:rsidDel="00F44724">
        <w:t xml:space="preserve">drugs </w:t>
      </w:r>
      <w:r w:rsidR="005143CB">
        <w:t xml:space="preserve">currently </w:t>
      </w:r>
      <w:r w:rsidRPr="002772D6" w:rsidDel="00F44724">
        <w:t xml:space="preserve">PBS listed for </w:t>
      </w:r>
      <w:r w:rsidR="00387F72">
        <w:t xml:space="preserve">the </w:t>
      </w:r>
      <w:r w:rsidRPr="002772D6" w:rsidDel="00F44724">
        <w:t>treatment of NSCLC</w:t>
      </w:r>
      <w:r w:rsidR="00387F72">
        <w:t>.</w:t>
      </w:r>
      <w:r w:rsidRPr="002772D6" w:rsidDel="00F44724">
        <w:t xml:space="preserve"> </w:t>
      </w:r>
      <w:bookmarkEnd w:id="31"/>
    </w:p>
    <w:p w14:paraId="3841AD0C" w14:textId="77777777" w:rsidR="00A050CF" w:rsidRPr="00942872" w:rsidRDefault="00A050CF" w:rsidP="00A050CF">
      <w:pPr>
        <w:pStyle w:val="4-SubsectionHeading"/>
      </w:pPr>
      <w:bookmarkStart w:id="32" w:name="_Toc82597634"/>
      <w:r w:rsidRPr="00942872">
        <w:t>Quality Use of Medicines</w:t>
      </w:r>
      <w:bookmarkEnd w:id="32"/>
    </w:p>
    <w:p w14:paraId="4A9871C9" w14:textId="77777777" w:rsidR="00A050CF" w:rsidRPr="00942872" w:rsidRDefault="00A050CF" w:rsidP="00A050CF">
      <w:pPr>
        <w:pStyle w:val="3-BodyText"/>
      </w:pPr>
      <w:r w:rsidRPr="00942872">
        <w:t>The submission stated that support materials for clinicians and patients will be provided, to explain the benefits and risks associated with cemiplimab treatment for patients with metastatic NSCLC, to help patients better understand their diagnosis, and provide information on treatment with cemiplimab, including potential side effects.</w:t>
      </w:r>
    </w:p>
    <w:p w14:paraId="55521059" w14:textId="77777777" w:rsidR="00A050CF" w:rsidRPr="00942872" w:rsidRDefault="00A050CF" w:rsidP="00A050CF">
      <w:pPr>
        <w:pStyle w:val="4-SubsectionHeading"/>
      </w:pPr>
      <w:bookmarkStart w:id="33" w:name="_Toc82597635"/>
      <w:r w:rsidRPr="00942872">
        <w:t>Financial Management – Risk Sharing Arrangements</w:t>
      </w:r>
      <w:bookmarkEnd w:id="33"/>
    </w:p>
    <w:p w14:paraId="484A087D" w14:textId="74B2C742" w:rsidR="00576972" w:rsidRDefault="00B23084" w:rsidP="007F51B6">
      <w:pPr>
        <w:pStyle w:val="3-BodyText"/>
      </w:pPr>
      <w:r w:rsidRPr="00942872">
        <w:t xml:space="preserve">The </w:t>
      </w:r>
      <w:r w:rsidR="00914F4F">
        <w:t xml:space="preserve">evaluation noted the </w:t>
      </w:r>
      <w:r w:rsidRPr="00942872">
        <w:t xml:space="preserve">PBAC may wish to consider </w:t>
      </w:r>
      <w:r w:rsidR="00BC0564" w:rsidRPr="00942872">
        <w:t>whether it would be appropriate for cemiplimab to join</w:t>
      </w:r>
      <w:r w:rsidRPr="00942872">
        <w:t xml:space="preserve"> the current RSA</w:t>
      </w:r>
      <w:r w:rsidR="00366155" w:rsidRPr="00942872">
        <w:t xml:space="preserve"> </w:t>
      </w:r>
      <w:r w:rsidRPr="00942872">
        <w:t xml:space="preserve">applying to </w:t>
      </w:r>
      <w:r w:rsidR="007F4041" w:rsidRPr="00942872">
        <w:t xml:space="preserve">atezolizumab, durvalumab, ipilimumab, nivolumab and pembrolizumab </w:t>
      </w:r>
      <w:r w:rsidRPr="00942872">
        <w:t xml:space="preserve">for </w:t>
      </w:r>
      <w:r w:rsidR="007F4041" w:rsidRPr="00942872">
        <w:t xml:space="preserve">the </w:t>
      </w:r>
      <w:r w:rsidRPr="00942872">
        <w:t>treatment of NSCLC if cemiplimab for the proposed indication is recommended.</w:t>
      </w:r>
      <w:r w:rsidR="00BC0564" w:rsidRPr="00942872">
        <w:t xml:space="preserve"> </w:t>
      </w:r>
      <w:r w:rsidR="007F51B6" w:rsidRPr="005467E8">
        <w:t>The PSCR stated th</w:t>
      </w:r>
      <w:r w:rsidR="00A57D9C" w:rsidRPr="005467E8">
        <w:t xml:space="preserve">e sponsor is amenable </w:t>
      </w:r>
      <w:r w:rsidR="007F51B6" w:rsidRPr="005467E8">
        <w:t>to join</w:t>
      </w:r>
      <w:r w:rsidR="00A57D9C" w:rsidRPr="005467E8">
        <w:t>ing</w:t>
      </w:r>
      <w:r w:rsidR="007F51B6" w:rsidRPr="005467E8">
        <w:t xml:space="preserve"> the current RSA applying to PD (L)1s for the treatment of NSCLC.</w:t>
      </w:r>
    </w:p>
    <w:p w14:paraId="5B347B4D" w14:textId="77777777" w:rsidR="00BA23CA" w:rsidRPr="00BA23CA" w:rsidRDefault="00BA23CA" w:rsidP="00BA23CA">
      <w:pPr>
        <w:ind w:firstLine="709"/>
        <w:rPr>
          <w:rFonts w:asciiTheme="minorHAnsi" w:hAnsiTheme="minorHAnsi"/>
          <w:i/>
        </w:rPr>
      </w:pPr>
      <w:r w:rsidRPr="00BA23CA">
        <w:rPr>
          <w:rFonts w:asciiTheme="minorHAnsi" w:hAnsiTheme="minorHAnsi"/>
          <w:i/>
        </w:rPr>
        <w:t>For more detail on PBAC’s view, see section 7 PBAC outcome.</w:t>
      </w:r>
    </w:p>
    <w:p w14:paraId="076B154A" w14:textId="77777777" w:rsidR="00054384" w:rsidRPr="006C3C8E" w:rsidRDefault="00054384" w:rsidP="00054384">
      <w:pPr>
        <w:pStyle w:val="2-SectionHeading"/>
      </w:pPr>
      <w:bookmarkStart w:id="34" w:name="_Hlk76381249"/>
      <w:bookmarkStart w:id="35" w:name="_Hlk76377955"/>
      <w:r w:rsidRPr="006C3C8E">
        <w:t>PBAC Outcome</w:t>
      </w:r>
    </w:p>
    <w:p w14:paraId="321C62F8" w14:textId="77777777" w:rsidR="00730ADF" w:rsidRDefault="00FB7BD2" w:rsidP="00F80A3D">
      <w:pPr>
        <w:pStyle w:val="3-BodyText"/>
      </w:pPr>
      <w:r w:rsidRPr="006C3C8E">
        <w:t>The PBAC recommended the Section 100 (Efficient Funding of Chemotherapy</w:t>
      </w:r>
      <w:r w:rsidR="00054A4E">
        <w:t>)</w:t>
      </w:r>
      <w:r w:rsidRPr="006C3C8E">
        <w:t xml:space="preserve"> Authority Required (Streamlined) listing of cemiplimab </w:t>
      </w:r>
      <w:r w:rsidR="00F80A3D">
        <w:t xml:space="preserve">for the </w:t>
      </w:r>
      <w:r w:rsidR="00730ADF" w:rsidRPr="006C3C8E">
        <w:t xml:space="preserve">treatment of </w:t>
      </w:r>
      <w:r w:rsidR="00E54BF4">
        <w:t xml:space="preserve">previously untreated </w:t>
      </w:r>
      <w:r w:rsidR="00730ADF" w:rsidRPr="006C3C8E">
        <w:t xml:space="preserve">metastatic non-small cell lung cancer (NSCLC), in patients with </w:t>
      </w:r>
      <w:r w:rsidR="00F80A3D">
        <w:t xml:space="preserve">a </w:t>
      </w:r>
      <w:r w:rsidR="00730ADF" w:rsidRPr="006C3C8E">
        <w:t>programmed cell death ligand 1 (PD-L1) tumour proportion score (TPS) ≥50%</w:t>
      </w:r>
      <w:r w:rsidR="00542315">
        <w:t xml:space="preserve">. </w:t>
      </w:r>
      <w:r w:rsidR="00F80A3D" w:rsidRPr="00F80A3D">
        <w:rPr>
          <w:rFonts w:ascii="Calibri" w:hAnsi="Calibri"/>
          <w:snapToGrid/>
        </w:rPr>
        <w:t>The PBAC’s recommendation for listing was based on, among other matters, its assessment</w:t>
      </w:r>
      <w:r w:rsidR="00F80A3D">
        <w:rPr>
          <w:rFonts w:ascii="Calibri" w:hAnsi="Calibri"/>
          <w:snapToGrid/>
        </w:rPr>
        <w:t xml:space="preserve"> </w:t>
      </w:r>
      <w:r w:rsidR="00F80A3D" w:rsidRPr="00F80A3D">
        <w:rPr>
          <w:rFonts w:ascii="Calibri" w:hAnsi="Calibri"/>
          <w:snapToGrid/>
        </w:rPr>
        <w:t xml:space="preserve">that </w:t>
      </w:r>
      <w:r w:rsidR="00F80A3D">
        <w:rPr>
          <w:rFonts w:ascii="Calibri" w:hAnsi="Calibri"/>
          <w:snapToGrid/>
        </w:rPr>
        <w:t>the cost-effectiveness of cemiplimab</w:t>
      </w:r>
      <w:r w:rsidR="00F80A3D" w:rsidRPr="00F80A3D">
        <w:rPr>
          <w:rFonts w:ascii="Calibri" w:hAnsi="Calibri"/>
          <w:snapToGrid/>
        </w:rPr>
        <w:t xml:space="preserve"> would be acceptable if it </w:t>
      </w:r>
      <w:r w:rsidR="00F80A3D">
        <w:rPr>
          <w:rFonts w:ascii="Calibri" w:hAnsi="Calibri"/>
          <w:snapToGrid/>
        </w:rPr>
        <w:t>were cost-minimised against pembrolizumab</w:t>
      </w:r>
      <w:r w:rsidR="00F80A3D" w:rsidRPr="00F80A3D">
        <w:rPr>
          <w:rFonts w:ascii="Calibri" w:hAnsi="Calibri"/>
          <w:snapToGrid/>
        </w:rPr>
        <w:t>.</w:t>
      </w:r>
    </w:p>
    <w:p w14:paraId="060D8895" w14:textId="77777777" w:rsidR="006724A7" w:rsidRPr="006C3C8E" w:rsidRDefault="006724A7" w:rsidP="00F80A3D">
      <w:pPr>
        <w:pStyle w:val="3-BodyText"/>
      </w:pPr>
      <w:r w:rsidRPr="0087043D">
        <w:t>The PBAC did not consider there to be an unmet cli</w:t>
      </w:r>
      <w:r>
        <w:t>nical need for cemiplimab</w:t>
      </w:r>
      <w:r w:rsidRPr="0087043D">
        <w:t xml:space="preserve">, as there are currently </w:t>
      </w:r>
      <w:r w:rsidR="00325728">
        <w:t xml:space="preserve">a number of other </w:t>
      </w:r>
      <w:r w:rsidRPr="0087043D">
        <w:t>PBS listed immunotherapies to treat patients with stage IV NSCLC</w:t>
      </w:r>
      <w:r>
        <w:t xml:space="preserve">. However, the PBAC noted the consumer comments regarding the value of additional treatment options for </w:t>
      </w:r>
      <w:r w:rsidR="00542315">
        <w:t xml:space="preserve">patients with </w:t>
      </w:r>
      <w:r>
        <w:t>NSCLC.</w:t>
      </w:r>
    </w:p>
    <w:p w14:paraId="503D705A" w14:textId="77777777" w:rsidR="00E565BA" w:rsidRPr="005605A4" w:rsidRDefault="00E565BA" w:rsidP="00E565BA">
      <w:pPr>
        <w:pStyle w:val="3-BodyText"/>
      </w:pPr>
      <w:r w:rsidRPr="006C3C8E">
        <w:rPr>
          <w:rFonts w:cs="Calibri"/>
        </w:rPr>
        <w:t>The</w:t>
      </w:r>
      <w:r w:rsidRPr="006C3C8E">
        <w:rPr>
          <w:bCs/>
        </w:rPr>
        <w:t xml:space="preserve"> PBAC </w:t>
      </w:r>
      <w:r>
        <w:rPr>
          <w:bCs/>
        </w:rPr>
        <w:t>advised</w:t>
      </w:r>
      <w:r w:rsidRPr="006C3C8E">
        <w:rPr>
          <w:bCs/>
        </w:rPr>
        <w:t xml:space="preserve"> that the equi-effective doses are</w:t>
      </w:r>
      <w:r w:rsidR="006724A7">
        <w:rPr>
          <w:bCs/>
        </w:rPr>
        <w:t xml:space="preserve"> </w:t>
      </w:r>
      <w:r w:rsidRPr="006C3C8E">
        <w:t>cemiplimab 350 mg Q3W and pembrolizumab 200 mg Q3W</w:t>
      </w:r>
      <w:r w:rsidR="00F80A3D">
        <w:t xml:space="preserve">. </w:t>
      </w:r>
      <w:r w:rsidR="00F44724">
        <w:t>The PBAC noted the CMA</w:t>
      </w:r>
      <w:r w:rsidR="00542315">
        <w:t xml:space="preserve"> presented in the submission</w:t>
      </w:r>
      <w:r w:rsidR="00F44724">
        <w:t xml:space="preserve"> </w:t>
      </w:r>
      <w:r w:rsidR="00B95350">
        <w:t>was conducted over one 3</w:t>
      </w:r>
      <w:r w:rsidR="005E1866">
        <w:t>-</w:t>
      </w:r>
      <w:r w:rsidR="00B95350">
        <w:t xml:space="preserve">week treatment cycle which </w:t>
      </w:r>
      <w:r w:rsidR="00F44724">
        <w:t>assumed the same treatment duration and dose</w:t>
      </w:r>
      <w:r w:rsidR="00B95350">
        <w:t xml:space="preserve"> intensity</w:t>
      </w:r>
      <w:r w:rsidR="00542315">
        <w:t xml:space="preserve"> for cemiplimab and pembrolizumab. </w:t>
      </w:r>
      <w:r w:rsidR="00542315" w:rsidRPr="00EE1DB3">
        <w:t>T</w:t>
      </w:r>
      <w:r w:rsidR="00B95350" w:rsidRPr="00EE1DB3">
        <w:t xml:space="preserve">he PBAC </w:t>
      </w:r>
      <w:r w:rsidR="00645318" w:rsidRPr="00EE1DB3">
        <w:t xml:space="preserve">considered this was </w:t>
      </w:r>
      <w:r w:rsidR="00F44724" w:rsidRPr="00EE1DB3">
        <w:t xml:space="preserve">reasonable </w:t>
      </w:r>
      <w:r w:rsidR="00645318" w:rsidRPr="00EE1DB3">
        <w:t>given the</w:t>
      </w:r>
      <w:r w:rsidR="00A81E5F" w:rsidRPr="00EE1DB3">
        <w:t xml:space="preserve"> </w:t>
      </w:r>
      <w:r w:rsidR="00645318" w:rsidRPr="00EE1DB3">
        <w:t xml:space="preserve">similar median treatment durations </w:t>
      </w:r>
      <w:r w:rsidR="00A81E5F" w:rsidRPr="00EE1DB3">
        <w:t xml:space="preserve">(see paragraph </w:t>
      </w:r>
      <w:r w:rsidR="002177FE">
        <w:t>6.37</w:t>
      </w:r>
      <w:r w:rsidR="00A81E5F" w:rsidRPr="00EE1DB3">
        <w:t>)</w:t>
      </w:r>
      <w:r w:rsidR="00275B05">
        <w:t xml:space="preserve"> and likely similar dose intensities</w:t>
      </w:r>
      <w:r w:rsidR="00512EA9" w:rsidRPr="00EE1DB3">
        <w:t>.</w:t>
      </w:r>
      <w:r w:rsidR="00512EA9">
        <w:t xml:space="preserve"> </w:t>
      </w:r>
      <w:r w:rsidR="00F44724">
        <w:t>The PBAC noted pembrolizumab could be administered as 200</w:t>
      </w:r>
      <w:r w:rsidR="005E1866">
        <w:t> </w:t>
      </w:r>
      <w:r w:rsidR="00F44724">
        <w:t>mg Q3W or 400</w:t>
      </w:r>
      <w:r w:rsidR="005E1866">
        <w:t> </w:t>
      </w:r>
      <w:r w:rsidR="00F44724">
        <w:t>mg Q6W</w:t>
      </w:r>
      <w:r w:rsidR="00A81E5F">
        <w:t xml:space="preserve"> </w:t>
      </w:r>
      <w:r w:rsidR="00D02D71">
        <w:t>but considered that, given the small proportion of use of the Q6W regimen and its advice that cemiplimab Q3W was unlikely to replace pembrolizumab Q6W to a significant extent, it was reasonable to base the CMA on the pembrolizumab Q3W dose regimen.</w:t>
      </w:r>
    </w:p>
    <w:p w14:paraId="600C1DAF" w14:textId="77777777" w:rsidR="00B465D9" w:rsidRPr="006A6DCF" w:rsidRDefault="00B465D9" w:rsidP="00B465D9">
      <w:pPr>
        <w:pStyle w:val="3-BodyText"/>
        <w:rPr>
          <w:snapToGrid/>
        </w:rPr>
      </w:pPr>
      <w:r w:rsidRPr="006A6DCF">
        <w:rPr>
          <w:snapToGrid/>
        </w:rPr>
        <w:t xml:space="preserve">The PBAC considered that the nomination of </w:t>
      </w:r>
      <w:r>
        <w:rPr>
          <w:snapToGrid/>
        </w:rPr>
        <w:t>pe</w:t>
      </w:r>
      <w:r w:rsidRPr="006A6DCF">
        <w:rPr>
          <w:snapToGrid/>
        </w:rPr>
        <w:t>mbrolizumab monotherapy as the main comparator</w:t>
      </w:r>
      <w:r>
        <w:rPr>
          <w:snapToGrid/>
        </w:rPr>
        <w:t xml:space="preserve"> was appropriate, noting </w:t>
      </w:r>
      <w:r w:rsidRPr="006A6DCF">
        <w:rPr>
          <w:snapToGrid/>
        </w:rPr>
        <w:t>that pembrolizumab is the only immunotherapy that can be used as monotherapy for the proposed PBS population</w:t>
      </w:r>
      <w:r>
        <w:rPr>
          <w:snapToGrid/>
        </w:rPr>
        <w:t>.</w:t>
      </w:r>
    </w:p>
    <w:p w14:paraId="4BDBBF7B" w14:textId="77777777" w:rsidR="000D2EC4" w:rsidRDefault="000D2EC4" w:rsidP="000D2EC4">
      <w:pPr>
        <w:pStyle w:val="ListParagraph"/>
        <w:widowControl w:val="0"/>
        <w:numPr>
          <w:ilvl w:val="1"/>
          <w:numId w:val="1"/>
        </w:numPr>
        <w:spacing w:after="160"/>
      </w:pPr>
      <w:r w:rsidRPr="00244205">
        <w:t xml:space="preserve">The PBAC considered the restriction </w:t>
      </w:r>
      <w:r>
        <w:t>text</w:t>
      </w:r>
      <w:r w:rsidRPr="00244205">
        <w:t xml:space="preserve"> in paragraph </w:t>
      </w:r>
      <w:r w:rsidR="002177FE">
        <w:t>3.1</w:t>
      </w:r>
      <w:r w:rsidR="00011F2C">
        <w:t xml:space="preserve"> </w:t>
      </w:r>
      <w:r w:rsidRPr="00244205">
        <w:t>was appropriate with the following amendments:</w:t>
      </w:r>
    </w:p>
    <w:p w14:paraId="484DA3A8" w14:textId="77777777" w:rsidR="00275B05" w:rsidRDefault="00275B05" w:rsidP="000C23E1">
      <w:pPr>
        <w:pStyle w:val="ListBullet"/>
        <w:tabs>
          <w:tab w:val="clear" w:pos="360"/>
          <w:tab w:val="num" w:pos="426"/>
        </w:tabs>
        <w:spacing w:after="120"/>
        <w:ind w:left="1134" w:hanging="425"/>
        <w:contextualSpacing w:val="0"/>
      </w:pPr>
      <w:r>
        <w:t>Amendment of the clinical criteria:  “</w:t>
      </w:r>
      <w:r w:rsidRPr="00275B05">
        <w:t>The condition must express programmed cell death ligand 1 (PD L1) with a tumour score of at</w:t>
      </w:r>
      <w:r>
        <w:t xml:space="preserve"> least 50% in the tumour sample” to “</w:t>
      </w:r>
      <w:r w:rsidRPr="00275B05">
        <w:t xml:space="preserve">The condition must express programmed cell death ligand 1 (PD L1) with a tumour </w:t>
      </w:r>
      <w:r>
        <w:t xml:space="preserve">proportion </w:t>
      </w:r>
      <w:r w:rsidRPr="00275B05">
        <w:t xml:space="preserve">score </w:t>
      </w:r>
      <w:r w:rsidR="000C23E1">
        <w:t xml:space="preserve">(TPS) </w:t>
      </w:r>
      <w:r w:rsidRPr="00275B05">
        <w:t>of at</w:t>
      </w:r>
      <w:r>
        <w:t xml:space="preserve"> least 50% in the tumour sample” to more accurately </w:t>
      </w:r>
      <w:r w:rsidR="000C23E1">
        <w:t>reflect the proposed TGA indication.</w:t>
      </w:r>
    </w:p>
    <w:p w14:paraId="658C32EE" w14:textId="77777777" w:rsidR="00011F2C" w:rsidRPr="00011F2C" w:rsidRDefault="00011F2C" w:rsidP="000C23E1">
      <w:pPr>
        <w:pStyle w:val="ListBullet"/>
        <w:tabs>
          <w:tab w:val="clear" w:pos="360"/>
          <w:tab w:val="num" w:pos="1080"/>
        </w:tabs>
        <w:spacing w:after="120"/>
        <w:ind w:left="1077" w:hanging="357"/>
      </w:pPr>
      <w:r>
        <w:t xml:space="preserve">Addition of the following clinical criteria, as proposed by the Secretariat and agreed </w:t>
      </w:r>
      <w:r w:rsidR="00B63C80">
        <w:t xml:space="preserve">to </w:t>
      </w:r>
      <w:r>
        <w:t xml:space="preserve">in the PSCR (see paragraph </w:t>
      </w:r>
      <w:r w:rsidR="002177FE">
        <w:t>3.5</w:t>
      </w:r>
      <w:r>
        <w:t>): “</w:t>
      </w:r>
      <w:r w:rsidRPr="00011F2C">
        <w:t>The treatment must be the sole PBS-subsidised systemic anti-cancer therapy for this condition</w:t>
      </w:r>
      <w:r>
        <w:t>”.</w:t>
      </w:r>
    </w:p>
    <w:p w14:paraId="4E8AB891" w14:textId="77777777" w:rsidR="000D2EC4" w:rsidRPr="0030121F" w:rsidRDefault="000D2EC4" w:rsidP="000D035D">
      <w:pPr>
        <w:pStyle w:val="3-BodyText"/>
        <w:numPr>
          <w:ilvl w:val="0"/>
          <w:numId w:val="15"/>
        </w:numPr>
        <w:rPr>
          <w:lang w:val="en-GB"/>
        </w:rPr>
      </w:pPr>
      <w:r>
        <w:t xml:space="preserve">The PBAC agreed with the sponsor’s request to delete the following notes from the requested restriction: “A </w:t>
      </w:r>
      <w:r w:rsidRPr="0030121F">
        <w:t>patient may only qualify for PBS subsidised treatment under this restriction once</w:t>
      </w:r>
      <w:r>
        <w:t>.”; and “</w:t>
      </w:r>
      <w:r w:rsidRPr="0030121F">
        <w:t>Following completion of the initial PBS subsidised course, further applications for treatment will be assessed under the continuing treatment restriction.</w:t>
      </w:r>
      <w:r>
        <w:t>”</w:t>
      </w:r>
      <w:r w:rsidR="0092610A">
        <w:t xml:space="preserve"> The PBAC noted these criteria were specifically associated with grandfather</w:t>
      </w:r>
      <w:r w:rsidR="005E1866">
        <w:t>ing</w:t>
      </w:r>
      <w:r w:rsidR="0092610A">
        <w:t xml:space="preserve"> criteria for pembrolizumab and </w:t>
      </w:r>
      <w:r w:rsidR="00A7450E">
        <w:t>grandfather</w:t>
      </w:r>
      <w:r w:rsidR="005E1866">
        <w:t>ing</w:t>
      </w:r>
      <w:r w:rsidR="00A7450E">
        <w:t xml:space="preserve"> criteria w</w:t>
      </w:r>
      <w:r w:rsidR="005E1866">
        <w:t>ere</w:t>
      </w:r>
      <w:r w:rsidR="00A7450E">
        <w:t xml:space="preserve"> not </w:t>
      </w:r>
      <w:r w:rsidR="0092610A">
        <w:t>requested for cemiplimab.</w:t>
      </w:r>
    </w:p>
    <w:p w14:paraId="3AD75FED" w14:textId="77777777" w:rsidR="000D2EC4" w:rsidRPr="00F14876" w:rsidRDefault="000D2EC4" w:rsidP="000D035D">
      <w:pPr>
        <w:pStyle w:val="3-BodyText"/>
        <w:numPr>
          <w:ilvl w:val="0"/>
          <w:numId w:val="15"/>
        </w:numPr>
        <w:rPr>
          <w:lang w:val="en-GB"/>
        </w:rPr>
      </w:pPr>
      <w:r>
        <w:t xml:space="preserve">The PBAC advised it was appropriate to </w:t>
      </w:r>
      <w:r w:rsidRPr="000065AB">
        <w:t xml:space="preserve">clarify </w:t>
      </w:r>
      <w:r>
        <w:t>the</w:t>
      </w:r>
      <w:r w:rsidRPr="000065AB">
        <w:t xml:space="preserve"> maximum treatment duration </w:t>
      </w:r>
      <w:r>
        <w:t>for cemiplimab</w:t>
      </w:r>
      <w:r w:rsidRPr="000065AB">
        <w:t xml:space="preserve"> </w:t>
      </w:r>
      <w:r>
        <w:t>as follows</w:t>
      </w:r>
      <w:r w:rsidRPr="000065AB">
        <w:t>: “The treatment must not exceed a total of 35 cycles or up to 24 months of treatment under both initial and continuing treatment restrictions</w:t>
      </w:r>
      <w:r w:rsidR="0099370E">
        <w:t>, whichever comes first</w:t>
      </w:r>
      <w:r w:rsidRPr="000065AB">
        <w:t>”. Th</w:t>
      </w:r>
      <w:r>
        <w:t>e PBAC noted that this</w:t>
      </w:r>
      <w:r w:rsidRPr="000065AB">
        <w:t xml:space="preserve"> change </w:t>
      </w:r>
      <w:r>
        <w:t>is</w:t>
      </w:r>
      <w:r w:rsidRPr="000065AB">
        <w:t xml:space="preserve"> required to flow on to the relevant </w:t>
      </w:r>
      <w:r w:rsidR="00F30370">
        <w:t xml:space="preserve">NSCLC </w:t>
      </w:r>
      <w:r w:rsidRPr="000065AB">
        <w:t>restriction criteria for pembrolizumab.</w:t>
      </w:r>
    </w:p>
    <w:p w14:paraId="7387EB59" w14:textId="77777777" w:rsidR="00F14876" w:rsidRPr="00296797" w:rsidRDefault="00F14876" w:rsidP="000D035D">
      <w:pPr>
        <w:pStyle w:val="3-BodyText"/>
        <w:numPr>
          <w:ilvl w:val="0"/>
          <w:numId w:val="15"/>
        </w:numPr>
        <w:rPr>
          <w:lang w:val="en-GB"/>
        </w:rPr>
      </w:pPr>
      <w:r>
        <w:t>The PBAC advised the population criteria limiting to patients aged 18 years or older could be removed for consistency with other immune checkpoint inhibitors.</w:t>
      </w:r>
    </w:p>
    <w:p w14:paraId="405CB6E2" w14:textId="77777777" w:rsidR="00645318" w:rsidRPr="006E31B8" w:rsidRDefault="00434727" w:rsidP="00645318">
      <w:pPr>
        <w:pStyle w:val="3-BodyText"/>
        <w:rPr>
          <w:bCs/>
        </w:rPr>
      </w:pPr>
      <w:r w:rsidRPr="00434727">
        <w:rPr>
          <w:bCs/>
          <w:snapToGrid/>
        </w:rPr>
        <w:t xml:space="preserve">The submission was based on an indirect treatment comparison of one </w:t>
      </w:r>
      <w:r>
        <w:rPr>
          <w:bCs/>
          <w:snapToGrid/>
        </w:rPr>
        <w:t xml:space="preserve">randomised </w:t>
      </w:r>
      <w:r w:rsidRPr="00434727">
        <w:rPr>
          <w:bCs/>
          <w:snapToGrid/>
        </w:rPr>
        <w:t xml:space="preserve">cemiplimab trial (Study 1624), which compared cemiplimab monotherapy with platinum-based chemotherapy; and two </w:t>
      </w:r>
      <w:r>
        <w:rPr>
          <w:bCs/>
          <w:snapToGrid/>
        </w:rPr>
        <w:t xml:space="preserve">randomised </w:t>
      </w:r>
      <w:r w:rsidRPr="00434727">
        <w:rPr>
          <w:bCs/>
          <w:snapToGrid/>
        </w:rPr>
        <w:t xml:space="preserve">pembrolizumab trials (KN024 </w:t>
      </w:r>
      <w:r w:rsidRPr="006E31B8">
        <w:rPr>
          <w:bCs/>
          <w:snapToGrid/>
        </w:rPr>
        <w:t>and KN042), which compared pembrolizumab monotherapy with platinum-based chemotherapy.</w:t>
      </w:r>
      <w:r w:rsidR="00645318" w:rsidRPr="006E31B8">
        <w:t xml:space="preserve"> </w:t>
      </w:r>
      <w:r w:rsidR="006E31B8">
        <w:t xml:space="preserve">The PBAC noted </w:t>
      </w:r>
      <w:r w:rsidR="00080418">
        <w:t xml:space="preserve">heterogeneity between the trials </w:t>
      </w:r>
      <w:r w:rsidR="00827340">
        <w:t>affected</w:t>
      </w:r>
      <w:r w:rsidR="00080418">
        <w:t xml:space="preserve"> the transitivity assumptions which </w:t>
      </w:r>
      <w:r w:rsidR="006E31B8">
        <w:t>may</w:t>
      </w:r>
      <w:r w:rsidR="00080418">
        <w:t xml:space="preserve"> impact </w:t>
      </w:r>
      <w:r w:rsidR="006D3532">
        <w:t>interpretation of</w:t>
      </w:r>
      <w:r w:rsidR="006E31B8">
        <w:t xml:space="preserve"> the indirect comparison </w:t>
      </w:r>
      <w:r w:rsidR="006D3532">
        <w:t>(see paragraph</w:t>
      </w:r>
      <w:r w:rsidR="00151A39">
        <w:t xml:space="preserve">s </w:t>
      </w:r>
      <w:r w:rsidR="002177FE">
        <w:t>6.29</w:t>
      </w:r>
      <w:r w:rsidR="00151A39">
        <w:t xml:space="preserve"> and </w:t>
      </w:r>
      <w:r w:rsidR="002177FE">
        <w:t>6.30</w:t>
      </w:r>
      <w:r w:rsidR="006D3532">
        <w:t xml:space="preserve">). </w:t>
      </w:r>
      <w:r w:rsidR="00080418">
        <w:t xml:space="preserve">Specifically, the PBAC noted a higher proportion of patients in the cemiplimab trials had squamous histology, </w:t>
      </w:r>
      <w:r w:rsidR="00C043AF">
        <w:t>were male, and were European, all of which may have favoured cemiplimab.</w:t>
      </w:r>
    </w:p>
    <w:p w14:paraId="3FE0D830" w14:textId="77777777" w:rsidR="00F44724" w:rsidRPr="00645318" w:rsidRDefault="00645318" w:rsidP="00645318">
      <w:pPr>
        <w:pStyle w:val="3-BodyText"/>
        <w:rPr>
          <w:bCs/>
        </w:rPr>
      </w:pPr>
      <w:r w:rsidRPr="006E31B8">
        <w:t>T</w:t>
      </w:r>
      <w:r w:rsidR="00F44724" w:rsidRPr="006E31B8">
        <w:t>he PBAC noted the results of the indirect comparison for OS suggested no significant diffe</w:t>
      </w:r>
      <w:r w:rsidR="00F44724" w:rsidRPr="007C77EA">
        <w:t xml:space="preserve">rence in the treatment effect of cemiplimab versus chemotherapy compared with pembrolizumab versus chemotherapy </w:t>
      </w:r>
      <w:r w:rsidR="00FE4803">
        <w:t>[</w:t>
      </w:r>
      <w:r w:rsidR="00C043AF">
        <w:t>OS HR</w:t>
      </w:r>
      <w:r w:rsidR="00F44724" w:rsidRPr="007C77EA">
        <w:t>: 1.01 </w:t>
      </w:r>
      <w:r w:rsidR="00FE4803">
        <w:t xml:space="preserve">(95%CI: </w:t>
      </w:r>
      <w:r w:rsidR="00F44724" w:rsidRPr="007C77EA">
        <w:t>0.74, 1.37</w:t>
      </w:r>
      <w:r w:rsidR="00FE4803">
        <w:t>)</w:t>
      </w:r>
      <w:r w:rsidR="00F44724" w:rsidRPr="007C77EA">
        <w:t xml:space="preserve">], however the confidence intervals for the indirect comparison were wide. </w:t>
      </w:r>
      <w:r w:rsidR="00C043AF">
        <w:t xml:space="preserve">The PBAC noted the indirect comparison of OS using the cemiplimab mITT-1 population (i.e., patients with PD-L1 TPS </w:t>
      </w:r>
      <w:r w:rsidR="00C043AF">
        <w:rPr>
          <w:rFonts w:cstheme="minorHAnsi"/>
        </w:rPr>
        <w:t>≥</w:t>
      </w:r>
      <w:r w:rsidR="00C043AF">
        <w:t xml:space="preserve"> 50%) also suggested no significant difference, although the point estimate </w:t>
      </w:r>
      <w:r w:rsidR="00FE4803">
        <w:t xml:space="preserve">for this comparison </w:t>
      </w:r>
      <w:r w:rsidR="00C043AF">
        <w:t>favoured cemiplimab</w:t>
      </w:r>
      <w:r w:rsidR="00FE4803">
        <w:t xml:space="preserve"> [</w:t>
      </w:r>
      <w:r w:rsidR="00C043AF">
        <w:t>OS HR:</w:t>
      </w:r>
      <w:r w:rsidR="00FE4803">
        <w:t xml:space="preserve"> 0.84 (95%CI; 0.59, 1.20)]</w:t>
      </w:r>
      <w:r w:rsidR="00C043AF">
        <w:t>.</w:t>
      </w:r>
    </w:p>
    <w:p w14:paraId="2FD28C58" w14:textId="77777777" w:rsidR="006C3C8E" w:rsidRPr="00354301" w:rsidRDefault="00354301" w:rsidP="00354301">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PBAC noted the submission’s claim that </w:t>
      </w:r>
      <w:r w:rsidR="006C3C8E" w:rsidRPr="00354301">
        <w:rPr>
          <w:rFonts w:asciiTheme="minorHAnsi" w:hAnsiTheme="minorHAnsi"/>
          <w:bCs/>
          <w:snapToGrid w:val="0"/>
        </w:rPr>
        <w:t>cemiplimab is non-inferior to pembrolizumab in terms of comparative efficacy</w:t>
      </w:r>
      <w:r w:rsidR="00C170DC">
        <w:rPr>
          <w:rFonts w:asciiTheme="minorHAnsi" w:hAnsiTheme="minorHAnsi"/>
          <w:bCs/>
          <w:snapToGrid w:val="0"/>
        </w:rPr>
        <w:t>.</w:t>
      </w:r>
      <w:r w:rsidR="006C3C8E" w:rsidRPr="00354301">
        <w:rPr>
          <w:rFonts w:asciiTheme="minorHAnsi" w:hAnsiTheme="minorHAnsi"/>
          <w:bCs/>
          <w:snapToGrid w:val="0"/>
        </w:rPr>
        <w:t xml:space="preserve"> </w:t>
      </w:r>
      <w:r w:rsidR="00C170DC">
        <w:rPr>
          <w:rFonts w:asciiTheme="minorHAnsi" w:hAnsiTheme="minorHAnsi"/>
          <w:bCs/>
          <w:snapToGrid w:val="0"/>
        </w:rPr>
        <w:t>The PBAC acknowledged that</w:t>
      </w:r>
      <w:r w:rsidRPr="00354301">
        <w:rPr>
          <w:rFonts w:asciiTheme="minorHAnsi" w:hAnsiTheme="minorHAnsi"/>
          <w:bCs/>
          <w:snapToGrid w:val="0"/>
        </w:rPr>
        <w:t xml:space="preserve"> </w:t>
      </w:r>
      <w:r>
        <w:rPr>
          <w:rFonts w:asciiTheme="minorHAnsi" w:hAnsiTheme="minorHAnsi"/>
          <w:bCs/>
          <w:snapToGrid w:val="0"/>
        </w:rPr>
        <w:t xml:space="preserve">some </w:t>
      </w:r>
      <w:r w:rsidR="006C3C8E" w:rsidRPr="00354301">
        <w:rPr>
          <w:rFonts w:eastAsia="Calibri"/>
          <w:iCs/>
        </w:rPr>
        <w:t xml:space="preserve">uncertainty remained with respect </w:t>
      </w:r>
      <w:r w:rsidRPr="00354301">
        <w:rPr>
          <w:rFonts w:eastAsia="Calibri"/>
          <w:iCs/>
        </w:rPr>
        <w:t xml:space="preserve">to </w:t>
      </w:r>
      <w:r w:rsidR="00730ADF" w:rsidRPr="00354301">
        <w:rPr>
          <w:rFonts w:eastAsia="Calibri"/>
          <w:iCs/>
        </w:rPr>
        <w:t xml:space="preserve">the </w:t>
      </w:r>
      <w:r w:rsidR="00352826" w:rsidRPr="00354301">
        <w:rPr>
          <w:rFonts w:eastAsia="Calibri"/>
          <w:iCs/>
        </w:rPr>
        <w:t xml:space="preserve">indirect comparison between cemiplimab and pembrolizumab </w:t>
      </w:r>
      <w:r w:rsidR="006C3C8E" w:rsidRPr="00354301">
        <w:rPr>
          <w:rFonts w:eastAsia="Calibri"/>
          <w:iCs/>
        </w:rPr>
        <w:t>due to transitivity issues and wide confidence intervals</w:t>
      </w:r>
      <w:r w:rsidRPr="00354301">
        <w:rPr>
          <w:rFonts w:eastAsia="Calibri"/>
          <w:iCs/>
        </w:rPr>
        <w:t>,</w:t>
      </w:r>
      <w:r>
        <w:rPr>
          <w:rFonts w:eastAsia="Calibri"/>
          <w:iCs/>
        </w:rPr>
        <w:t xml:space="preserve"> </w:t>
      </w:r>
      <w:r w:rsidR="00C170DC">
        <w:t xml:space="preserve">but </w:t>
      </w:r>
      <w:r w:rsidR="00FE4803">
        <w:t>considered</w:t>
      </w:r>
      <w:r w:rsidR="00C170DC">
        <w:t xml:space="preserve"> that, overall,</w:t>
      </w:r>
      <w:r>
        <w:t xml:space="preserve"> a conclusion of </w:t>
      </w:r>
      <w:r w:rsidR="00FE4803">
        <w:t xml:space="preserve">non-inferior </w:t>
      </w:r>
      <w:r>
        <w:t>efficacy is supported for cemiplimab compared with pembrolizum</w:t>
      </w:r>
      <w:r w:rsidR="007233C9">
        <w:t>a</w:t>
      </w:r>
      <w:r>
        <w:t>b in the proposed indication.</w:t>
      </w:r>
    </w:p>
    <w:p w14:paraId="3B5EDCD1" w14:textId="77777777" w:rsidR="00FE4803" w:rsidRPr="00940F72" w:rsidRDefault="00FE4803" w:rsidP="00FE4803">
      <w:pPr>
        <w:pStyle w:val="3-BodyText"/>
        <w:rPr>
          <w:bCs/>
        </w:rPr>
      </w:pPr>
      <w:r>
        <w:rPr>
          <w:szCs w:val="20"/>
        </w:rPr>
        <w:t>T</w:t>
      </w:r>
      <w:r>
        <w:t>he PBAC noted that wide confidence intervals made an indirect comparison of safety outcomes difficult to interpret (see Table 7). However, the PBAC considered that based on the k</w:t>
      </w:r>
      <w:r w:rsidRPr="00167843">
        <w:t xml:space="preserve">nown </w:t>
      </w:r>
      <w:r>
        <w:t>safety profiles of PD</w:t>
      </w:r>
      <w:r>
        <w:noBreakHyphen/>
      </w:r>
      <w:r w:rsidRPr="00167843">
        <w:t xml:space="preserve">L1 inhibitors, </w:t>
      </w:r>
      <w:r>
        <w:t xml:space="preserve">the </w:t>
      </w:r>
      <w:r w:rsidRPr="00167843">
        <w:t xml:space="preserve">toxicities are likely to be </w:t>
      </w:r>
      <w:r w:rsidR="005E1866">
        <w:t>similar</w:t>
      </w:r>
      <w:r>
        <w:t xml:space="preserve">, thus supporting a conclusion of </w:t>
      </w:r>
      <w:r w:rsidR="00C170DC">
        <w:t xml:space="preserve">non-inferior </w:t>
      </w:r>
      <w:r>
        <w:t>safety for cemiplimab and pembrolizumab as claimed by the submission</w:t>
      </w:r>
      <w:r w:rsidR="007B4B40">
        <w:t>.</w:t>
      </w:r>
    </w:p>
    <w:p w14:paraId="414A1764" w14:textId="77777777" w:rsidR="00354301" w:rsidRPr="0095345B" w:rsidRDefault="00354301" w:rsidP="0095345B">
      <w:pPr>
        <w:pStyle w:val="3-BodyText"/>
        <w:rPr>
          <w:rFonts w:ascii="Calibri" w:hAnsi="Calibri"/>
          <w:bCs/>
          <w:snapToGrid/>
        </w:rPr>
      </w:pPr>
      <w:r w:rsidRPr="00940F72">
        <w:t xml:space="preserve">The PBAC </w:t>
      </w:r>
      <w:r w:rsidR="000714C3">
        <w:t xml:space="preserve">noted uncertainty regarding some of the key assumptions used to determine the </w:t>
      </w:r>
      <w:r w:rsidRPr="00940F72">
        <w:t xml:space="preserve">projected utilisation </w:t>
      </w:r>
      <w:r w:rsidR="000714C3">
        <w:t xml:space="preserve">of cemiplimab (see paragraph </w:t>
      </w:r>
      <w:r w:rsidR="002177FE">
        <w:t>6.46</w:t>
      </w:r>
      <w:r w:rsidR="000714C3">
        <w:t>).</w:t>
      </w:r>
      <w:r w:rsidR="005A7332">
        <w:t xml:space="preserve"> </w:t>
      </w:r>
      <w:r w:rsidR="00791F3C">
        <w:t xml:space="preserve">However, </w:t>
      </w:r>
      <w:r w:rsidR="00791F3C">
        <w:rPr>
          <w:rFonts w:ascii="Calibri" w:hAnsi="Calibri"/>
          <w:bCs/>
          <w:snapToGrid/>
        </w:rPr>
        <w:t>t</w:t>
      </w:r>
      <w:r w:rsidR="0095345B" w:rsidRPr="0095345B">
        <w:rPr>
          <w:rFonts w:ascii="Calibri" w:hAnsi="Calibri"/>
          <w:bCs/>
          <w:snapToGrid/>
        </w:rPr>
        <w:t>he PBAC considered that, at a price cost-min</w:t>
      </w:r>
      <w:r w:rsidR="0095345B">
        <w:rPr>
          <w:rFonts w:ascii="Calibri" w:hAnsi="Calibri"/>
          <w:bCs/>
          <w:snapToGrid/>
        </w:rPr>
        <w:t xml:space="preserve">imised to </w:t>
      </w:r>
      <w:r w:rsidR="00791F3C">
        <w:rPr>
          <w:rFonts w:ascii="Calibri" w:hAnsi="Calibri"/>
          <w:bCs/>
          <w:snapToGrid/>
        </w:rPr>
        <w:t xml:space="preserve">the effective price of </w:t>
      </w:r>
      <w:r w:rsidR="0095345B">
        <w:rPr>
          <w:rFonts w:ascii="Calibri" w:hAnsi="Calibri"/>
          <w:bCs/>
          <w:snapToGrid/>
        </w:rPr>
        <w:t>pembrolizumab, the listing of cemiplimab</w:t>
      </w:r>
      <w:r w:rsidR="0095345B" w:rsidRPr="0095345B">
        <w:rPr>
          <w:rFonts w:ascii="Calibri" w:hAnsi="Calibri"/>
          <w:bCs/>
          <w:snapToGrid/>
        </w:rPr>
        <w:t xml:space="preserve"> on the PBS for patients with NSCLC would be expected to result in no additional cost to the PBS/RPBS.</w:t>
      </w:r>
    </w:p>
    <w:p w14:paraId="52702C85" w14:textId="77777777" w:rsidR="00730ADF" w:rsidRPr="00EC7F2A" w:rsidRDefault="00730ADF" w:rsidP="00DC1FF4">
      <w:pPr>
        <w:widowControl w:val="0"/>
        <w:numPr>
          <w:ilvl w:val="1"/>
          <w:numId w:val="1"/>
        </w:numPr>
        <w:spacing w:after="120"/>
      </w:pPr>
      <w:r w:rsidRPr="00DC1FF4">
        <w:rPr>
          <w:iCs/>
        </w:rPr>
        <w:t xml:space="preserve">The PBAC </w:t>
      </w:r>
      <w:r w:rsidR="00791F3C">
        <w:rPr>
          <w:iCs/>
        </w:rPr>
        <w:t xml:space="preserve">advised that </w:t>
      </w:r>
      <w:r w:rsidR="00BA4F33" w:rsidRPr="00DC1FF4">
        <w:rPr>
          <w:iCs/>
        </w:rPr>
        <w:t>cemiplimab</w:t>
      </w:r>
      <w:r w:rsidRPr="00DC1FF4">
        <w:rPr>
          <w:iCs/>
        </w:rPr>
        <w:t xml:space="preserve"> </w:t>
      </w:r>
      <w:r w:rsidR="00791F3C">
        <w:rPr>
          <w:iCs/>
        </w:rPr>
        <w:t xml:space="preserve">would need to </w:t>
      </w:r>
      <w:r w:rsidRPr="00DC1FF4">
        <w:rPr>
          <w:iCs/>
        </w:rPr>
        <w:t xml:space="preserve">join the </w:t>
      </w:r>
      <w:r w:rsidR="00DC1FF4" w:rsidRPr="00942872">
        <w:t>current RSA applying to atezolizumab, durvalumab, ipilimumab, nivolumab and pembrolizumab for the treatment of NSCLC</w:t>
      </w:r>
      <w:r w:rsidR="00F466D5">
        <w:t xml:space="preserve">. The PBAC </w:t>
      </w:r>
      <w:r w:rsidR="007C6EFC">
        <w:t xml:space="preserve">considered that, because the </w:t>
      </w:r>
      <w:r w:rsidR="00F466D5">
        <w:t>recommendation to list cemiplimab was on the basis of cost-minimisation and sequential use</w:t>
      </w:r>
      <w:r w:rsidR="0099370E">
        <w:t xml:space="preserve"> of the medicines in the RSA</w:t>
      </w:r>
      <w:r w:rsidR="00F466D5">
        <w:t xml:space="preserve"> is not permitted, </w:t>
      </w:r>
      <w:r w:rsidR="0095345B">
        <w:t>no increase in expenditure caps</w:t>
      </w:r>
      <w:r w:rsidR="00F466D5">
        <w:rPr>
          <w:iCs/>
        </w:rPr>
        <w:t xml:space="preserve"> was required.</w:t>
      </w:r>
    </w:p>
    <w:p w14:paraId="3468D850" w14:textId="77777777" w:rsidR="00730ADF" w:rsidRPr="00940F72" w:rsidRDefault="00730ADF" w:rsidP="00730ADF">
      <w:pPr>
        <w:widowControl w:val="0"/>
        <w:numPr>
          <w:ilvl w:val="1"/>
          <w:numId w:val="1"/>
        </w:numPr>
        <w:spacing w:after="120"/>
        <w:rPr>
          <w:rFonts w:asciiTheme="minorHAnsi" w:hAnsiTheme="minorHAnsi"/>
          <w:bCs/>
          <w:snapToGrid w:val="0"/>
        </w:rPr>
      </w:pPr>
      <w:r w:rsidRPr="00940F72">
        <w:t xml:space="preserve">The PBAC noted that its recommendation was on a cost-minimisation basis and advised that, because </w:t>
      </w:r>
      <w:r w:rsidR="00DC1FF4">
        <w:t>cemiplimab</w:t>
      </w:r>
      <w:r w:rsidRPr="00940F72">
        <w:t xml:space="preserve"> is not expected to provide a substantial</w:t>
      </w:r>
      <w:r w:rsidRPr="00940F72">
        <w:rPr>
          <w:bCs/>
        </w:rPr>
        <w:t xml:space="preserve"> and clinically relevant improvement in efficacy, or reduction of toxicity, over </w:t>
      </w:r>
      <w:r w:rsidR="00DC1FF4">
        <w:rPr>
          <w:bCs/>
        </w:rPr>
        <w:t>pembrolizumab</w:t>
      </w:r>
      <w:r w:rsidRPr="00940F72">
        <w:rPr>
          <w:bCs/>
        </w:rPr>
        <w:t xml:space="preserve">, or not expected to address a high and urgent unmet clinical need given the presence of an alternative therapy, the criteria prescribed by the </w:t>
      </w:r>
      <w:r w:rsidRPr="00940F72">
        <w:rPr>
          <w:bCs/>
          <w:i/>
        </w:rPr>
        <w:t>National Health (Pharmaceuticals and Vaccines – Cost Recovery) Regulations 2009</w:t>
      </w:r>
      <w:r w:rsidRPr="00940F72">
        <w:rPr>
          <w:bCs/>
        </w:rPr>
        <w:t xml:space="preserve"> for Pricing Pathway A were not met.</w:t>
      </w:r>
    </w:p>
    <w:p w14:paraId="353F416A" w14:textId="77777777" w:rsidR="00730ADF" w:rsidRPr="00940F72" w:rsidRDefault="00730ADF" w:rsidP="00730ADF">
      <w:pPr>
        <w:keepNext/>
        <w:keepLines/>
        <w:widowControl w:val="0"/>
        <w:numPr>
          <w:ilvl w:val="1"/>
          <w:numId w:val="1"/>
        </w:numPr>
        <w:spacing w:after="120"/>
        <w:rPr>
          <w:rFonts w:asciiTheme="minorHAnsi" w:hAnsiTheme="minorHAnsi"/>
          <w:bCs/>
          <w:snapToGrid w:val="0"/>
        </w:rPr>
      </w:pPr>
      <w:bookmarkStart w:id="36" w:name="_Hlk78030167"/>
      <w:r w:rsidRPr="00940F72">
        <w:rPr>
          <w:rFonts w:asciiTheme="minorHAnsi" w:hAnsiTheme="minorHAnsi"/>
          <w:bCs/>
          <w:snapToGrid w:val="0"/>
        </w:rPr>
        <w:t xml:space="preserve">The PBAC advised that </w:t>
      </w:r>
      <w:r w:rsidR="00DC1FF4">
        <w:rPr>
          <w:rFonts w:asciiTheme="minorHAnsi" w:hAnsiTheme="minorHAnsi"/>
          <w:bCs/>
          <w:snapToGrid w:val="0"/>
        </w:rPr>
        <w:t>cemiplimab</w:t>
      </w:r>
      <w:r w:rsidRPr="00940F72">
        <w:rPr>
          <w:rFonts w:asciiTheme="minorHAnsi" w:hAnsiTheme="minorHAnsi"/>
          <w:bCs/>
          <w:snapToGrid w:val="0"/>
        </w:rPr>
        <w:t xml:space="preserve"> is not suitable for prescribing by nurse practitioners.</w:t>
      </w:r>
    </w:p>
    <w:p w14:paraId="56BD5CDE" w14:textId="77777777" w:rsidR="00730ADF" w:rsidRPr="00940F72" w:rsidRDefault="00730ADF" w:rsidP="00730ADF">
      <w:pPr>
        <w:widowControl w:val="0"/>
        <w:numPr>
          <w:ilvl w:val="1"/>
          <w:numId w:val="1"/>
        </w:numPr>
        <w:spacing w:after="120"/>
        <w:rPr>
          <w:rFonts w:asciiTheme="minorHAnsi" w:hAnsiTheme="minorHAnsi"/>
          <w:bCs/>
          <w:snapToGrid w:val="0"/>
        </w:rPr>
      </w:pPr>
      <w:r w:rsidRPr="00940F72">
        <w:rPr>
          <w:rFonts w:asciiTheme="minorHAnsi" w:hAnsiTheme="minorHAnsi"/>
          <w:bCs/>
          <w:snapToGrid w:val="0"/>
        </w:rPr>
        <w:t xml:space="preserve">The PBAC recommended that </w:t>
      </w:r>
      <w:r w:rsidR="00DC1FF4">
        <w:rPr>
          <w:rFonts w:asciiTheme="minorHAnsi" w:hAnsiTheme="minorHAnsi"/>
          <w:bCs/>
          <w:snapToGrid w:val="0"/>
        </w:rPr>
        <w:t>cemiplimab</w:t>
      </w:r>
      <w:r w:rsidRPr="00940F72">
        <w:rPr>
          <w:rFonts w:asciiTheme="minorHAnsi" w:hAnsiTheme="minorHAnsi"/>
          <w:bCs/>
          <w:snapToGrid w:val="0"/>
        </w:rPr>
        <w:t xml:space="preserve"> should not be treated as interchangeable with any other drugs.</w:t>
      </w:r>
    </w:p>
    <w:bookmarkEnd w:id="36"/>
    <w:p w14:paraId="39A096ED" w14:textId="77777777" w:rsidR="00730ADF" w:rsidRPr="00940F72" w:rsidRDefault="00730ADF" w:rsidP="00730ADF">
      <w:pPr>
        <w:widowControl w:val="0"/>
        <w:numPr>
          <w:ilvl w:val="1"/>
          <w:numId w:val="1"/>
        </w:numPr>
        <w:spacing w:after="120"/>
        <w:rPr>
          <w:rFonts w:asciiTheme="minorHAnsi" w:hAnsiTheme="minorHAnsi"/>
          <w:bCs/>
          <w:snapToGrid w:val="0"/>
        </w:rPr>
      </w:pPr>
      <w:r w:rsidRPr="00940F72">
        <w:rPr>
          <w:rFonts w:asciiTheme="minorHAnsi" w:hAnsiTheme="minorHAnsi"/>
          <w:bCs/>
          <w:snapToGrid w:val="0"/>
        </w:rPr>
        <w:t>The PBAC noted that this submission is not eligible for an Independent Review as it received a positive recommendation.</w:t>
      </w:r>
    </w:p>
    <w:p w14:paraId="60CAD99D" w14:textId="77777777" w:rsidR="00054384" w:rsidRPr="00525B39" w:rsidRDefault="00054384" w:rsidP="00054384">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610B3BDE" w14:textId="77777777" w:rsidR="006C3487" w:rsidRDefault="00054384" w:rsidP="00C360C2">
      <w:pPr>
        <w:rPr>
          <w:rFonts w:asciiTheme="minorHAnsi" w:hAnsiTheme="minorHAnsi"/>
          <w:bCs/>
          <w:snapToGrid w:val="0"/>
          <w:lang w:val="en-GB"/>
        </w:rPr>
      </w:pPr>
      <w:r w:rsidRPr="00525B39">
        <w:rPr>
          <w:rFonts w:asciiTheme="minorHAnsi" w:hAnsiTheme="minorHAnsi"/>
          <w:bCs/>
          <w:snapToGrid w:val="0"/>
          <w:lang w:val="en-GB"/>
        </w:rPr>
        <w:t>Recommended</w:t>
      </w:r>
    </w:p>
    <w:p w14:paraId="070499B4" w14:textId="77777777" w:rsidR="00C360C2" w:rsidRPr="00C360C2" w:rsidRDefault="00C360C2" w:rsidP="00C360C2">
      <w:pPr>
        <w:rPr>
          <w:rFonts w:asciiTheme="minorHAnsi" w:hAnsiTheme="minorHAnsi"/>
          <w:bCs/>
          <w:snapToGrid w:val="0"/>
          <w:lang w:val="en-GB"/>
        </w:rPr>
      </w:pPr>
    </w:p>
    <w:bookmarkEnd w:id="34"/>
    <w:p w14:paraId="56895100" w14:textId="77777777" w:rsidR="00054384" w:rsidRPr="00054384" w:rsidRDefault="00054384" w:rsidP="00054384">
      <w:pPr>
        <w:pStyle w:val="2-SectionHeading"/>
      </w:pPr>
      <w:r w:rsidRPr="00054384">
        <w:t>Recommended listing</w:t>
      </w:r>
    </w:p>
    <w:p w14:paraId="6CF55932" w14:textId="77777777" w:rsidR="00054384" w:rsidRPr="000D2EC4" w:rsidRDefault="000D2EC4" w:rsidP="000D2EC4">
      <w:pPr>
        <w:widowControl w:val="0"/>
        <w:numPr>
          <w:ilvl w:val="1"/>
          <w:numId w:val="1"/>
        </w:numPr>
        <w:spacing w:after="120"/>
        <w:contextualSpacing/>
        <w:rPr>
          <w:rFonts w:asciiTheme="minorHAnsi" w:hAnsiTheme="minorHAnsi"/>
          <w:bCs/>
          <w:snapToGrid w:val="0"/>
        </w:rPr>
      </w:pPr>
      <w:r w:rsidRPr="000D2EC4">
        <w:rPr>
          <w:rFonts w:asciiTheme="minorHAnsi" w:hAnsiTheme="minorHAnsi"/>
          <w:bCs/>
          <w:snapToGrid w:val="0"/>
        </w:rPr>
        <w:t>A</w:t>
      </w:r>
      <w:r w:rsidR="00054384" w:rsidRPr="000D2EC4">
        <w:rPr>
          <w:rFonts w:asciiTheme="minorHAnsi" w:hAnsiTheme="minorHAnsi"/>
          <w:bCs/>
          <w:snapToGrid w:val="0"/>
        </w:rPr>
        <w:t>dd new item:</w:t>
      </w:r>
    </w:p>
    <w:tbl>
      <w:tblPr>
        <w:tblW w:w="9075" w:type="dxa"/>
        <w:tblLayout w:type="fixed"/>
        <w:tblLook w:val="04A0" w:firstRow="1" w:lastRow="0" w:firstColumn="1" w:lastColumn="0" w:noHBand="0" w:noVBand="1"/>
      </w:tblPr>
      <w:tblGrid>
        <w:gridCol w:w="2269"/>
        <w:gridCol w:w="1561"/>
        <w:gridCol w:w="1228"/>
        <w:gridCol w:w="1228"/>
        <w:gridCol w:w="1229"/>
        <w:gridCol w:w="1560"/>
      </w:tblGrid>
      <w:tr w:rsidR="0001046D" w:rsidRPr="0001046D" w14:paraId="2BD8F122" w14:textId="77777777" w:rsidTr="00B07E51">
        <w:trPr>
          <w:trHeight w:val="20"/>
        </w:trPr>
        <w:tc>
          <w:tcPr>
            <w:tcW w:w="3830" w:type="dxa"/>
            <w:gridSpan w:val="2"/>
            <w:tcBorders>
              <w:top w:val="nil"/>
              <w:left w:val="nil"/>
              <w:bottom w:val="single" w:sz="4" w:space="0" w:color="auto"/>
              <w:right w:val="nil"/>
            </w:tcBorders>
            <w:hideMark/>
          </w:tcPr>
          <w:p w14:paraId="1B6BB818" w14:textId="77777777" w:rsidR="0001046D" w:rsidRPr="0001046D" w:rsidRDefault="0001046D" w:rsidP="00B07E51">
            <w:pPr>
              <w:pStyle w:val="SubmTableHeading"/>
              <w:rPr>
                <w:sz w:val="20"/>
                <w:szCs w:val="20"/>
                <w:lang w:eastAsia="en-AU"/>
              </w:rPr>
            </w:pPr>
            <w:r w:rsidRPr="0001046D">
              <w:rPr>
                <w:sz w:val="20"/>
                <w:szCs w:val="20"/>
                <w:lang w:eastAsia="en-AU"/>
              </w:rPr>
              <w:t>Name, Restriction,</w:t>
            </w:r>
          </w:p>
          <w:p w14:paraId="0E823DF9" w14:textId="77777777" w:rsidR="0001046D" w:rsidRPr="0001046D" w:rsidRDefault="0001046D" w:rsidP="00B07E51">
            <w:pPr>
              <w:pStyle w:val="SubmTableHeading"/>
              <w:rPr>
                <w:sz w:val="20"/>
                <w:szCs w:val="20"/>
                <w:lang w:eastAsia="en-AU"/>
              </w:rPr>
            </w:pPr>
            <w:r w:rsidRPr="0001046D">
              <w:rPr>
                <w:sz w:val="20"/>
                <w:szCs w:val="20"/>
                <w:lang w:eastAsia="en-AU"/>
              </w:rPr>
              <w:t>Manner of administration and form</w:t>
            </w:r>
          </w:p>
        </w:tc>
        <w:tc>
          <w:tcPr>
            <w:tcW w:w="1228" w:type="dxa"/>
            <w:tcBorders>
              <w:top w:val="nil"/>
              <w:left w:val="nil"/>
              <w:bottom w:val="single" w:sz="4" w:space="0" w:color="auto"/>
              <w:right w:val="nil"/>
            </w:tcBorders>
            <w:hideMark/>
          </w:tcPr>
          <w:p w14:paraId="35903759" w14:textId="77777777" w:rsidR="0001046D" w:rsidRPr="0001046D" w:rsidRDefault="0001046D" w:rsidP="00B07E51">
            <w:pPr>
              <w:pStyle w:val="SubmTableHeading"/>
              <w:rPr>
                <w:sz w:val="20"/>
                <w:szCs w:val="20"/>
                <w:lang w:eastAsia="en-AU"/>
              </w:rPr>
            </w:pPr>
            <w:r w:rsidRPr="0001046D">
              <w:rPr>
                <w:sz w:val="20"/>
                <w:szCs w:val="20"/>
                <w:lang w:eastAsia="en-AU"/>
              </w:rPr>
              <w:t>Max.</w:t>
            </w:r>
          </w:p>
          <w:p w14:paraId="78A82C84" w14:textId="77777777" w:rsidR="0001046D" w:rsidRPr="0001046D" w:rsidRDefault="0001046D" w:rsidP="00B07E51">
            <w:pPr>
              <w:pStyle w:val="SubmTableHeading"/>
              <w:rPr>
                <w:sz w:val="20"/>
                <w:szCs w:val="20"/>
                <w:lang w:eastAsia="en-AU"/>
              </w:rPr>
            </w:pPr>
            <w:r w:rsidRPr="0001046D">
              <w:rPr>
                <w:sz w:val="20"/>
                <w:szCs w:val="20"/>
                <w:lang w:eastAsia="en-AU"/>
              </w:rPr>
              <w:t>Amt</w:t>
            </w:r>
          </w:p>
        </w:tc>
        <w:tc>
          <w:tcPr>
            <w:tcW w:w="1228" w:type="dxa"/>
            <w:tcBorders>
              <w:top w:val="nil"/>
              <w:left w:val="nil"/>
              <w:bottom w:val="single" w:sz="4" w:space="0" w:color="auto"/>
              <w:right w:val="nil"/>
            </w:tcBorders>
            <w:hideMark/>
          </w:tcPr>
          <w:p w14:paraId="66C0C654" w14:textId="77777777" w:rsidR="0001046D" w:rsidRPr="0001046D" w:rsidRDefault="0001046D" w:rsidP="00B07E51">
            <w:pPr>
              <w:pStyle w:val="SubmTableHeading"/>
              <w:rPr>
                <w:sz w:val="20"/>
                <w:szCs w:val="20"/>
                <w:lang w:eastAsia="en-AU"/>
              </w:rPr>
            </w:pPr>
            <w:r w:rsidRPr="0001046D">
              <w:rPr>
                <w:sz w:val="20"/>
                <w:szCs w:val="20"/>
                <w:lang w:eastAsia="en-AU"/>
              </w:rPr>
              <w:t>№. of</w:t>
            </w:r>
          </w:p>
          <w:p w14:paraId="0C856075" w14:textId="77777777" w:rsidR="0001046D" w:rsidRPr="0001046D" w:rsidRDefault="0001046D" w:rsidP="00B07E51">
            <w:pPr>
              <w:pStyle w:val="SubmTableHeading"/>
              <w:rPr>
                <w:sz w:val="20"/>
                <w:szCs w:val="20"/>
                <w:lang w:eastAsia="en-AU"/>
              </w:rPr>
            </w:pPr>
            <w:r w:rsidRPr="0001046D">
              <w:rPr>
                <w:sz w:val="20"/>
                <w:szCs w:val="20"/>
                <w:lang w:eastAsia="en-AU"/>
              </w:rPr>
              <w:t>Rpts</w:t>
            </w:r>
          </w:p>
        </w:tc>
        <w:tc>
          <w:tcPr>
            <w:tcW w:w="1229" w:type="dxa"/>
            <w:tcBorders>
              <w:top w:val="nil"/>
              <w:left w:val="nil"/>
              <w:bottom w:val="single" w:sz="4" w:space="0" w:color="auto"/>
              <w:right w:val="nil"/>
            </w:tcBorders>
            <w:hideMark/>
          </w:tcPr>
          <w:p w14:paraId="73D2171B" w14:textId="77777777" w:rsidR="0001046D" w:rsidRPr="0001046D" w:rsidRDefault="0001046D" w:rsidP="00B07E51">
            <w:pPr>
              <w:pStyle w:val="SubmTableHeading"/>
              <w:rPr>
                <w:sz w:val="20"/>
                <w:szCs w:val="20"/>
                <w:lang w:eastAsia="en-AU"/>
              </w:rPr>
            </w:pPr>
            <w:r w:rsidRPr="0001046D">
              <w:rPr>
                <w:sz w:val="20"/>
                <w:szCs w:val="20"/>
                <w:lang w:eastAsia="en-AU"/>
              </w:rPr>
              <w:t xml:space="preserve">Proprietary Name </w:t>
            </w:r>
          </w:p>
        </w:tc>
        <w:tc>
          <w:tcPr>
            <w:tcW w:w="1560" w:type="dxa"/>
            <w:tcBorders>
              <w:top w:val="nil"/>
              <w:left w:val="nil"/>
              <w:bottom w:val="single" w:sz="4" w:space="0" w:color="auto"/>
              <w:right w:val="nil"/>
            </w:tcBorders>
            <w:hideMark/>
          </w:tcPr>
          <w:p w14:paraId="5DCD6643" w14:textId="77777777" w:rsidR="0001046D" w:rsidRPr="0001046D" w:rsidRDefault="0001046D" w:rsidP="00B07E51">
            <w:pPr>
              <w:pStyle w:val="SubmTableHeading"/>
              <w:rPr>
                <w:sz w:val="20"/>
                <w:szCs w:val="20"/>
                <w:lang w:eastAsia="en-AU"/>
              </w:rPr>
            </w:pPr>
            <w:r w:rsidRPr="0001046D">
              <w:rPr>
                <w:sz w:val="20"/>
                <w:szCs w:val="20"/>
                <w:lang w:eastAsia="en-AU"/>
              </w:rPr>
              <w:t>Manufacturer</w:t>
            </w:r>
          </w:p>
        </w:tc>
      </w:tr>
      <w:tr w:rsidR="0001046D" w:rsidRPr="0001046D" w14:paraId="5418605B" w14:textId="77777777" w:rsidTr="00B07E51">
        <w:trPr>
          <w:trHeight w:val="20"/>
        </w:trPr>
        <w:tc>
          <w:tcPr>
            <w:tcW w:w="3830" w:type="dxa"/>
            <w:gridSpan w:val="2"/>
            <w:tcBorders>
              <w:top w:val="single" w:sz="4" w:space="0" w:color="auto"/>
              <w:left w:val="nil"/>
              <w:bottom w:val="single" w:sz="4" w:space="0" w:color="auto"/>
              <w:right w:val="nil"/>
            </w:tcBorders>
          </w:tcPr>
          <w:p w14:paraId="3CA76232" w14:textId="77777777" w:rsidR="0001046D" w:rsidRPr="0001046D" w:rsidRDefault="0001046D" w:rsidP="00B07E51">
            <w:pPr>
              <w:pStyle w:val="SubmTableTxt"/>
              <w:keepNext/>
              <w:rPr>
                <w:rFonts w:cs="Times New Roman"/>
                <w:sz w:val="20"/>
                <w:szCs w:val="20"/>
                <w:lang w:eastAsia="en-AU"/>
              </w:rPr>
            </w:pPr>
            <w:r w:rsidRPr="0001046D">
              <w:rPr>
                <w:sz w:val="20"/>
                <w:szCs w:val="20"/>
                <w:lang w:eastAsia="en-AU"/>
              </w:rPr>
              <w:t>CEMIPLIMAB</w:t>
            </w:r>
            <w:r w:rsidRPr="0001046D">
              <w:rPr>
                <w:sz w:val="20"/>
                <w:szCs w:val="20"/>
                <w:lang w:eastAsia="en-AU"/>
              </w:rPr>
              <w:br/>
              <w:t>350 mg/7 mL injection, 10 mL vial</w:t>
            </w:r>
            <w:r w:rsidRPr="0001046D">
              <w:rPr>
                <w:rFonts w:cs="Times New Roman"/>
                <w:sz w:val="20"/>
                <w:szCs w:val="20"/>
                <w:lang w:eastAsia="en-AU"/>
              </w:rPr>
              <w:t xml:space="preserve"> solution for infusion, 1 x 10 mL vial</w:t>
            </w:r>
          </w:p>
        </w:tc>
        <w:tc>
          <w:tcPr>
            <w:tcW w:w="1228" w:type="dxa"/>
            <w:tcBorders>
              <w:top w:val="single" w:sz="4" w:space="0" w:color="auto"/>
              <w:left w:val="nil"/>
              <w:bottom w:val="single" w:sz="4" w:space="0" w:color="auto"/>
              <w:right w:val="nil"/>
            </w:tcBorders>
            <w:hideMark/>
          </w:tcPr>
          <w:p w14:paraId="7C6EDE85" w14:textId="77777777" w:rsidR="0001046D" w:rsidRPr="0001046D" w:rsidRDefault="0001046D" w:rsidP="00B07E51">
            <w:pPr>
              <w:pStyle w:val="SubmTableTxt"/>
              <w:keepNext/>
              <w:rPr>
                <w:rFonts w:cs="Times New Roman"/>
                <w:sz w:val="20"/>
                <w:szCs w:val="20"/>
                <w:lang w:eastAsia="en-AU"/>
              </w:rPr>
            </w:pPr>
            <w:r w:rsidRPr="0001046D">
              <w:rPr>
                <w:rFonts w:cs="Times New Roman"/>
                <w:sz w:val="20"/>
                <w:szCs w:val="20"/>
                <w:lang w:eastAsia="en-AU"/>
              </w:rPr>
              <w:t>350 mg</w:t>
            </w:r>
          </w:p>
        </w:tc>
        <w:tc>
          <w:tcPr>
            <w:tcW w:w="1228" w:type="dxa"/>
            <w:tcBorders>
              <w:top w:val="single" w:sz="4" w:space="0" w:color="auto"/>
              <w:left w:val="nil"/>
              <w:bottom w:val="single" w:sz="4" w:space="0" w:color="auto"/>
              <w:right w:val="nil"/>
            </w:tcBorders>
            <w:hideMark/>
          </w:tcPr>
          <w:p w14:paraId="445B83A9" w14:textId="77777777" w:rsidR="0001046D" w:rsidRPr="0001046D" w:rsidRDefault="0001046D" w:rsidP="00B07E51">
            <w:pPr>
              <w:pStyle w:val="SubmTableTxt"/>
              <w:keepNext/>
              <w:rPr>
                <w:rFonts w:cs="Times New Roman"/>
                <w:sz w:val="20"/>
                <w:szCs w:val="20"/>
                <w:lang w:eastAsia="en-AU"/>
              </w:rPr>
            </w:pPr>
            <w:r w:rsidRPr="0001046D">
              <w:rPr>
                <w:rFonts w:cs="Times New Roman"/>
                <w:sz w:val="20"/>
                <w:szCs w:val="20"/>
                <w:lang w:eastAsia="en-AU"/>
              </w:rPr>
              <w:t>6</w:t>
            </w:r>
          </w:p>
        </w:tc>
        <w:tc>
          <w:tcPr>
            <w:tcW w:w="1229" w:type="dxa"/>
            <w:tcBorders>
              <w:top w:val="single" w:sz="4" w:space="0" w:color="auto"/>
              <w:left w:val="nil"/>
              <w:bottom w:val="single" w:sz="4" w:space="0" w:color="auto"/>
              <w:right w:val="nil"/>
            </w:tcBorders>
            <w:hideMark/>
          </w:tcPr>
          <w:p w14:paraId="05D6C13E" w14:textId="77777777" w:rsidR="0001046D" w:rsidRPr="0001046D" w:rsidRDefault="0001046D" w:rsidP="00B07E51">
            <w:pPr>
              <w:pStyle w:val="SubmTableTxt"/>
              <w:keepNext/>
              <w:rPr>
                <w:rFonts w:cs="Times New Roman"/>
                <w:sz w:val="20"/>
                <w:szCs w:val="20"/>
                <w:lang w:eastAsia="en-AU"/>
              </w:rPr>
            </w:pPr>
            <w:r w:rsidRPr="0001046D">
              <w:rPr>
                <w:rFonts w:cs="Times New Roman"/>
                <w:sz w:val="20"/>
                <w:szCs w:val="20"/>
                <w:lang w:eastAsia="en-AU"/>
              </w:rPr>
              <w:t>Libtayo</w:t>
            </w:r>
            <w:r w:rsidRPr="0001046D">
              <w:rPr>
                <w:rFonts w:cs="Times New Roman"/>
                <w:sz w:val="20"/>
                <w:szCs w:val="20"/>
                <w:vertAlign w:val="superscript"/>
                <w:lang w:eastAsia="en-AU"/>
              </w:rPr>
              <w:t>®</w:t>
            </w:r>
          </w:p>
        </w:tc>
        <w:tc>
          <w:tcPr>
            <w:tcW w:w="1560" w:type="dxa"/>
            <w:tcBorders>
              <w:top w:val="single" w:sz="4" w:space="0" w:color="auto"/>
              <w:left w:val="nil"/>
              <w:bottom w:val="single" w:sz="4" w:space="0" w:color="auto"/>
              <w:right w:val="nil"/>
            </w:tcBorders>
            <w:hideMark/>
          </w:tcPr>
          <w:p w14:paraId="1AC008A5" w14:textId="77777777" w:rsidR="0001046D" w:rsidRPr="0001046D" w:rsidRDefault="0001046D" w:rsidP="00B07E51">
            <w:pPr>
              <w:pStyle w:val="SubmTableTxt"/>
              <w:keepNext/>
              <w:rPr>
                <w:rFonts w:cs="Times New Roman"/>
                <w:sz w:val="20"/>
                <w:szCs w:val="20"/>
                <w:lang w:eastAsia="en-AU"/>
              </w:rPr>
            </w:pPr>
            <w:r w:rsidRPr="0001046D">
              <w:rPr>
                <w:rFonts w:cs="Times New Roman"/>
                <w:sz w:val="20"/>
                <w:szCs w:val="20"/>
                <w:lang w:eastAsia="en-AU"/>
              </w:rPr>
              <w:t>sanofi</w:t>
            </w:r>
            <w:r w:rsidRPr="0001046D">
              <w:rPr>
                <w:rFonts w:cs="Times New Roman"/>
                <w:sz w:val="20"/>
                <w:szCs w:val="20"/>
                <w:lang w:eastAsia="en-AU"/>
              </w:rPr>
              <w:noBreakHyphen/>
              <w:t>aventis Australia Pty Ltd</w:t>
            </w:r>
          </w:p>
        </w:tc>
      </w:tr>
      <w:tr w:rsidR="0001046D" w:rsidRPr="0001046D" w14:paraId="4A193C4B"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hideMark/>
          </w:tcPr>
          <w:p w14:paraId="463568A9" w14:textId="77777777" w:rsidR="0001046D" w:rsidRPr="0001046D" w:rsidRDefault="0001046D" w:rsidP="00B07E51">
            <w:pPr>
              <w:keepNext/>
              <w:rPr>
                <w:rFonts w:ascii="Arial Narrow" w:hAnsi="Arial Narrow"/>
                <w:b/>
                <w:sz w:val="20"/>
                <w:szCs w:val="20"/>
              </w:rPr>
            </w:pPr>
            <w:r w:rsidRPr="0001046D">
              <w:rPr>
                <w:rFonts w:ascii="Arial Narrow" w:hAnsi="Arial Narrow"/>
                <w:b/>
                <w:sz w:val="20"/>
                <w:szCs w:val="20"/>
              </w:rPr>
              <w:t>Category / Program:</w:t>
            </w:r>
          </w:p>
        </w:tc>
        <w:tc>
          <w:tcPr>
            <w:tcW w:w="6806" w:type="dxa"/>
            <w:gridSpan w:val="5"/>
            <w:tcBorders>
              <w:top w:val="single" w:sz="4" w:space="0" w:color="auto"/>
              <w:left w:val="single" w:sz="4" w:space="0" w:color="auto"/>
              <w:bottom w:val="single" w:sz="4" w:space="0" w:color="auto"/>
              <w:right w:val="single" w:sz="4" w:space="0" w:color="auto"/>
            </w:tcBorders>
            <w:hideMark/>
          </w:tcPr>
          <w:p w14:paraId="09FD00ED" w14:textId="77777777" w:rsidR="0001046D" w:rsidRPr="0001046D" w:rsidRDefault="0001046D" w:rsidP="0001046D">
            <w:pPr>
              <w:keepNext/>
              <w:jc w:val="left"/>
              <w:rPr>
                <w:rFonts w:ascii="Arial Narrow" w:hAnsi="Arial Narrow"/>
                <w:sz w:val="20"/>
                <w:szCs w:val="20"/>
              </w:rPr>
            </w:pPr>
            <w:r w:rsidRPr="0001046D">
              <w:rPr>
                <w:rFonts w:ascii="Arial Narrow" w:hAnsi="Arial Narrow"/>
                <w:sz w:val="20"/>
                <w:szCs w:val="20"/>
              </w:rPr>
              <w:t xml:space="preserve">Section 100 – Efficient Funding of Chemotherapy </w:t>
            </w:r>
            <w:r w:rsidRPr="0001046D">
              <w:rPr>
                <w:rFonts w:ascii="Arial Narrow" w:hAnsi="Arial Narrow"/>
                <w:sz w:val="20"/>
                <w:szCs w:val="20"/>
              </w:rPr>
              <w:br/>
              <w:t>Chemotherapy Items for Public Hospital Use</w:t>
            </w:r>
            <w:r w:rsidRPr="0001046D">
              <w:rPr>
                <w:rFonts w:ascii="Arial Narrow" w:hAnsi="Arial Narrow"/>
                <w:sz w:val="20"/>
                <w:szCs w:val="20"/>
              </w:rPr>
              <w:br/>
              <w:t>Chemotherapy Items for Private Hospital Use</w:t>
            </w:r>
          </w:p>
        </w:tc>
      </w:tr>
      <w:tr w:rsidR="0001046D" w:rsidRPr="0001046D" w14:paraId="69BBD2F4"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hideMark/>
          </w:tcPr>
          <w:p w14:paraId="452AEBED" w14:textId="77777777" w:rsidR="0001046D" w:rsidRPr="0001046D" w:rsidRDefault="0001046D" w:rsidP="00B07E51">
            <w:pPr>
              <w:keepNext/>
              <w:rPr>
                <w:rFonts w:ascii="Arial Narrow" w:hAnsi="Arial Narrow"/>
                <w:b/>
                <w:sz w:val="20"/>
                <w:szCs w:val="20"/>
              </w:rPr>
            </w:pPr>
            <w:r w:rsidRPr="0001046D">
              <w:rPr>
                <w:rFonts w:ascii="Arial Narrow" w:hAnsi="Arial Narrow"/>
                <w:b/>
                <w:sz w:val="20"/>
                <w:szCs w:val="20"/>
              </w:rPr>
              <w:t>Prescriber type:</w:t>
            </w:r>
          </w:p>
        </w:tc>
        <w:tc>
          <w:tcPr>
            <w:tcW w:w="6806" w:type="dxa"/>
            <w:gridSpan w:val="5"/>
            <w:tcBorders>
              <w:top w:val="single" w:sz="4" w:space="0" w:color="auto"/>
              <w:left w:val="single" w:sz="4" w:space="0" w:color="auto"/>
              <w:bottom w:val="single" w:sz="4" w:space="0" w:color="auto"/>
              <w:right w:val="single" w:sz="4" w:space="0" w:color="auto"/>
            </w:tcBorders>
            <w:hideMark/>
          </w:tcPr>
          <w:p w14:paraId="1AA9C568" w14:textId="77777777" w:rsidR="0001046D" w:rsidRPr="0001046D" w:rsidRDefault="0001046D" w:rsidP="00B07E51">
            <w:pPr>
              <w:keepNext/>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Check1"/>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 xml:space="preserve">Dental  </w:t>
            </w:r>
            <w:r w:rsidRPr="0001046D">
              <w:rPr>
                <w:rFonts w:ascii="Arial Narrow" w:hAnsi="Arial Narrow"/>
                <w:color w:val="2B579A"/>
                <w:sz w:val="20"/>
                <w:szCs w:val="20"/>
                <w:shd w:val="clear" w:color="auto" w:fill="E6E6E6"/>
              </w:rPr>
              <w:fldChar w:fldCharType="begin">
                <w:ffData>
                  <w:name w:val=""/>
                  <w:enabled/>
                  <w:calcOnExit w:val="0"/>
                  <w:checkBox>
                    <w:sizeAuto/>
                    <w:default w:val="1"/>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 xml:space="preserve">Medical Practitioners  </w:t>
            </w:r>
            <w:r w:rsidRPr="0001046D">
              <w:rPr>
                <w:rFonts w:ascii="Arial Narrow" w:hAnsi="Arial Narrow"/>
                <w:color w:val="2B579A"/>
                <w:sz w:val="20"/>
                <w:szCs w:val="20"/>
                <w:shd w:val="clear" w:color="auto" w:fill="E6E6E6"/>
              </w:rPr>
              <w:fldChar w:fldCharType="begin">
                <w:ffData>
                  <w:name w:val="Check3"/>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 xml:space="preserve">Nurse practitioners  </w:t>
            </w:r>
            <w:r w:rsidRPr="0001046D">
              <w:rPr>
                <w:rFonts w:ascii="Arial Narrow" w:hAnsi="Arial Narrow"/>
                <w:color w:val="2B579A"/>
                <w:sz w:val="20"/>
                <w:szCs w:val="20"/>
                <w:shd w:val="clear" w:color="auto" w:fill="E6E6E6"/>
              </w:rPr>
              <w:fldChar w:fldCharType="begin">
                <w:ffData>
                  <w:name w:val=""/>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Optometrists</w:t>
            </w:r>
          </w:p>
          <w:p w14:paraId="7E06E63E" w14:textId="77777777" w:rsidR="0001046D" w:rsidRPr="0001046D" w:rsidRDefault="0001046D" w:rsidP="00B07E51">
            <w:pPr>
              <w:keepNext/>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Check5"/>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Midwives</w:t>
            </w:r>
          </w:p>
        </w:tc>
      </w:tr>
      <w:tr w:rsidR="0001046D" w:rsidRPr="0001046D" w14:paraId="60107B66"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hideMark/>
          </w:tcPr>
          <w:p w14:paraId="6598D359" w14:textId="77777777" w:rsidR="0001046D" w:rsidRPr="0001046D" w:rsidRDefault="0001046D" w:rsidP="00B07E51">
            <w:pPr>
              <w:keepNext/>
              <w:rPr>
                <w:rFonts w:ascii="Arial Narrow" w:hAnsi="Arial Narrow"/>
                <w:b/>
                <w:sz w:val="20"/>
                <w:szCs w:val="20"/>
              </w:rPr>
            </w:pPr>
            <w:r w:rsidRPr="0001046D">
              <w:rPr>
                <w:rFonts w:ascii="Arial Narrow" w:hAnsi="Arial Narrow"/>
                <w:b/>
                <w:sz w:val="20"/>
                <w:szCs w:val="20"/>
              </w:rPr>
              <w:t>Severity:</w:t>
            </w:r>
          </w:p>
        </w:tc>
        <w:tc>
          <w:tcPr>
            <w:tcW w:w="6806" w:type="dxa"/>
            <w:gridSpan w:val="5"/>
            <w:tcBorders>
              <w:top w:val="single" w:sz="4" w:space="0" w:color="auto"/>
              <w:left w:val="single" w:sz="4" w:space="0" w:color="auto"/>
              <w:bottom w:val="single" w:sz="4" w:space="0" w:color="auto"/>
              <w:right w:val="single" w:sz="4" w:space="0" w:color="auto"/>
            </w:tcBorders>
            <w:hideMark/>
          </w:tcPr>
          <w:p w14:paraId="32F0EF13" w14:textId="77777777" w:rsidR="0001046D" w:rsidRPr="0001046D" w:rsidRDefault="0001046D" w:rsidP="00B07E51">
            <w:pPr>
              <w:keepNext/>
              <w:rPr>
                <w:rFonts w:ascii="Arial Narrow" w:hAnsi="Arial Narrow"/>
                <w:sz w:val="20"/>
                <w:szCs w:val="20"/>
              </w:rPr>
            </w:pPr>
            <w:r w:rsidRPr="0001046D">
              <w:rPr>
                <w:rFonts w:ascii="Arial Narrow" w:hAnsi="Arial Narrow"/>
                <w:sz w:val="20"/>
                <w:szCs w:val="20"/>
              </w:rPr>
              <w:t>Stage IV (metastatic)</w:t>
            </w:r>
          </w:p>
        </w:tc>
      </w:tr>
      <w:tr w:rsidR="0001046D" w:rsidRPr="0001046D" w14:paraId="7B730C67"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hideMark/>
          </w:tcPr>
          <w:p w14:paraId="735AED8A" w14:textId="77777777" w:rsidR="0001046D" w:rsidRPr="0001046D" w:rsidRDefault="0001046D" w:rsidP="00B07E51">
            <w:pPr>
              <w:keepNext/>
              <w:rPr>
                <w:rFonts w:ascii="Arial Narrow" w:hAnsi="Arial Narrow"/>
                <w:b/>
                <w:sz w:val="20"/>
                <w:szCs w:val="20"/>
              </w:rPr>
            </w:pPr>
            <w:r w:rsidRPr="0001046D">
              <w:rPr>
                <w:rFonts w:ascii="Arial Narrow" w:hAnsi="Arial Narrow"/>
                <w:b/>
                <w:sz w:val="20"/>
                <w:szCs w:val="20"/>
              </w:rPr>
              <w:t>Condition:</w:t>
            </w:r>
          </w:p>
        </w:tc>
        <w:tc>
          <w:tcPr>
            <w:tcW w:w="6806" w:type="dxa"/>
            <w:gridSpan w:val="5"/>
            <w:tcBorders>
              <w:top w:val="single" w:sz="4" w:space="0" w:color="auto"/>
              <w:left w:val="single" w:sz="4" w:space="0" w:color="auto"/>
              <w:bottom w:val="single" w:sz="4" w:space="0" w:color="auto"/>
              <w:right w:val="single" w:sz="4" w:space="0" w:color="auto"/>
            </w:tcBorders>
            <w:hideMark/>
          </w:tcPr>
          <w:p w14:paraId="0257C025" w14:textId="77777777" w:rsidR="0001046D" w:rsidRPr="0001046D" w:rsidRDefault="0001046D" w:rsidP="00B07E51">
            <w:pPr>
              <w:keepNext/>
              <w:rPr>
                <w:rFonts w:ascii="Arial Narrow" w:hAnsi="Arial Narrow"/>
                <w:sz w:val="20"/>
                <w:szCs w:val="20"/>
              </w:rPr>
            </w:pPr>
            <w:r w:rsidRPr="0001046D">
              <w:rPr>
                <w:rFonts w:ascii="Arial Narrow" w:hAnsi="Arial Narrow"/>
                <w:sz w:val="20"/>
                <w:szCs w:val="20"/>
              </w:rPr>
              <w:t>Non</w:t>
            </w:r>
            <w:r w:rsidRPr="0001046D">
              <w:rPr>
                <w:rFonts w:ascii="Arial Narrow" w:hAnsi="Arial Narrow"/>
                <w:sz w:val="20"/>
                <w:szCs w:val="20"/>
              </w:rPr>
              <w:noBreakHyphen/>
              <w:t>small cell lung cancer (NSCLC)</w:t>
            </w:r>
          </w:p>
        </w:tc>
      </w:tr>
      <w:tr w:rsidR="0001046D" w:rsidRPr="0001046D" w14:paraId="0B628ADC"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hideMark/>
          </w:tcPr>
          <w:p w14:paraId="07AFB7C5" w14:textId="77777777" w:rsidR="0001046D" w:rsidRPr="0001046D" w:rsidRDefault="0001046D" w:rsidP="00B07E51">
            <w:pPr>
              <w:keepNext/>
              <w:rPr>
                <w:rFonts w:ascii="Arial Narrow" w:hAnsi="Arial Narrow"/>
                <w:b/>
                <w:sz w:val="20"/>
                <w:szCs w:val="20"/>
              </w:rPr>
            </w:pPr>
            <w:r w:rsidRPr="0001046D">
              <w:rPr>
                <w:rFonts w:ascii="Arial Narrow" w:hAnsi="Arial Narrow"/>
                <w:b/>
                <w:sz w:val="20"/>
                <w:szCs w:val="20"/>
              </w:rPr>
              <w:t>PBS Indication:</w:t>
            </w:r>
          </w:p>
        </w:tc>
        <w:tc>
          <w:tcPr>
            <w:tcW w:w="6806" w:type="dxa"/>
            <w:gridSpan w:val="5"/>
            <w:tcBorders>
              <w:top w:val="single" w:sz="4" w:space="0" w:color="auto"/>
              <w:left w:val="single" w:sz="4" w:space="0" w:color="auto"/>
              <w:bottom w:val="single" w:sz="4" w:space="0" w:color="auto"/>
              <w:right w:val="single" w:sz="4" w:space="0" w:color="auto"/>
            </w:tcBorders>
            <w:hideMark/>
          </w:tcPr>
          <w:p w14:paraId="7B29BDC8" w14:textId="77777777" w:rsidR="0001046D" w:rsidRPr="0001046D" w:rsidRDefault="0001046D" w:rsidP="00B07E51">
            <w:pPr>
              <w:keepNext/>
              <w:rPr>
                <w:rFonts w:ascii="Arial Narrow" w:hAnsi="Arial Narrow"/>
                <w:sz w:val="20"/>
                <w:szCs w:val="20"/>
              </w:rPr>
            </w:pPr>
            <w:r w:rsidRPr="0001046D">
              <w:rPr>
                <w:rFonts w:ascii="Arial Narrow" w:hAnsi="Arial Narrow"/>
                <w:sz w:val="20"/>
                <w:szCs w:val="20"/>
              </w:rPr>
              <w:t>Stage IV (metastatic) NSCLC</w:t>
            </w:r>
          </w:p>
        </w:tc>
      </w:tr>
      <w:tr w:rsidR="0001046D" w:rsidRPr="0001046D" w14:paraId="615E16A5"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14:paraId="5E75CE4C" w14:textId="77777777" w:rsidR="0001046D" w:rsidRPr="0001046D" w:rsidRDefault="0001046D" w:rsidP="00B07E51">
            <w:pPr>
              <w:keepNext/>
              <w:rPr>
                <w:rFonts w:ascii="Arial Narrow" w:hAnsi="Arial Narrow"/>
                <w:b/>
                <w:sz w:val="20"/>
                <w:szCs w:val="20"/>
              </w:rPr>
            </w:pPr>
            <w:r w:rsidRPr="0001046D">
              <w:rPr>
                <w:rFonts w:ascii="Arial Narrow" w:hAnsi="Arial Narrow"/>
                <w:b/>
                <w:sz w:val="20"/>
                <w:szCs w:val="20"/>
              </w:rPr>
              <w:t>Treatment phase:</w:t>
            </w:r>
          </w:p>
        </w:tc>
        <w:tc>
          <w:tcPr>
            <w:tcW w:w="680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78122C" w14:textId="77777777" w:rsidR="0001046D" w:rsidRPr="0001046D" w:rsidRDefault="0001046D" w:rsidP="00B07E51">
            <w:pPr>
              <w:keepNext/>
              <w:rPr>
                <w:rFonts w:ascii="Arial Narrow" w:hAnsi="Arial Narrow"/>
                <w:sz w:val="20"/>
                <w:szCs w:val="20"/>
              </w:rPr>
            </w:pPr>
            <w:r w:rsidRPr="0001046D">
              <w:rPr>
                <w:rFonts w:ascii="Arial Narrow" w:hAnsi="Arial Narrow"/>
                <w:sz w:val="20"/>
                <w:szCs w:val="20"/>
              </w:rPr>
              <w:t>Initial treatment – 3 weekly treatment regimen</w:t>
            </w:r>
          </w:p>
        </w:tc>
      </w:tr>
      <w:tr w:rsidR="0001046D" w:rsidRPr="0001046D" w14:paraId="6A4ACAA6"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tcPr>
          <w:p w14:paraId="7197B106" w14:textId="77777777" w:rsidR="0001046D" w:rsidRPr="0001046D" w:rsidRDefault="0001046D" w:rsidP="005E1866">
            <w:pPr>
              <w:keepNext/>
              <w:rPr>
                <w:rFonts w:ascii="Arial Narrow" w:hAnsi="Arial Narrow"/>
                <w:sz w:val="20"/>
                <w:szCs w:val="20"/>
              </w:rPr>
            </w:pPr>
            <w:r w:rsidRPr="0001046D">
              <w:rPr>
                <w:rFonts w:ascii="Arial Narrow" w:hAnsi="Arial Narrow"/>
                <w:b/>
                <w:sz w:val="20"/>
                <w:szCs w:val="20"/>
              </w:rPr>
              <w:t>Restriction:</w:t>
            </w:r>
          </w:p>
        </w:tc>
        <w:tc>
          <w:tcPr>
            <w:tcW w:w="6806" w:type="dxa"/>
            <w:gridSpan w:val="5"/>
            <w:tcBorders>
              <w:top w:val="single" w:sz="4" w:space="0" w:color="auto"/>
              <w:left w:val="single" w:sz="4" w:space="0" w:color="auto"/>
              <w:bottom w:val="single" w:sz="4" w:space="0" w:color="auto"/>
              <w:right w:val="single" w:sz="4" w:space="0" w:color="auto"/>
            </w:tcBorders>
            <w:hideMark/>
          </w:tcPr>
          <w:p w14:paraId="636F2166" w14:textId="77777777" w:rsidR="0001046D" w:rsidRPr="0001046D" w:rsidRDefault="0001046D" w:rsidP="00B07E51">
            <w:pPr>
              <w:keepNext/>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Check1"/>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Restricted benefit</w:t>
            </w:r>
          </w:p>
          <w:p w14:paraId="39612763" w14:textId="77777777" w:rsidR="0001046D" w:rsidRPr="0001046D" w:rsidRDefault="0001046D" w:rsidP="00B07E51">
            <w:pPr>
              <w:keepNext/>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 xml:space="preserve">Authority Required </w:t>
            </w:r>
            <w:r w:rsidRPr="0001046D">
              <w:rPr>
                <w:rFonts w:ascii="Arial Narrow" w:hAnsi="Arial Narrow"/>
                <w:sz w:val="20"/>
                <w:szCs w:val="20"/>
              </w:rPr>
              <w:noBreakHyphen/>
              <w:t xml:space="preserve"> In Writing</w:t>
            </w:r>
          </w:p>
          <w:p w14:paraId="5F30D8EE" w14:textId="77777777" w:rsidR="0001046D" w:rsidRPr="0001046D" w:rsidRDefault="0001046D" w:rsidP="00B07E51">
            <w:pPr>
              <w:keepNext/>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Check3"/>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 xml:space="preserve">Authority Required </w:t>
            </w:r>
            <w:r w:rsidRPr="0001046D">
              <w:rPr>
                <w:rFonts w:ascii="Arial Narrow" w:hAnsi="Arial Narrow"/>
                <w:sz w:val="20"/>
                <w:szCs w:val="20"/>
              </w:rPr>
              <w:noBreakHyphen/>
              <w:t xml:space="preserve"> Telephone</w:t>
            </w:r>
          </w:p>
          <w:p w14:paraId="6FFF05BD" w14:textId="77777777" w:rsidR="0001046D" w:rsidRPr="0001046D" w:rsidRDefault="0001046D" w:rsidP="00B07E51">
            <w:pPr>
              <w:keepNext/>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Authority Required – Emergency</w:t>
            </w:r>
          </w:p>
          <w:p w14:paraId="258C175A" w14:textId="77777777" w:rsidR="0001046D" w:rsidRPr="0001046D" w:rsidRDefault="0001046D" w:rsidP="00B07E51">
            <w:pPr>
              <w:keepNext/>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Check5"/>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 xml:space="preserve">Authority Required </w:t>
            </w:r>
            <w:r w:rsidRPr="0001046D">
              <w:rPr>
                <w:rFonts w:ascii="Arial Narrow" w:hAnsi="Arial Narrow"/>
                <w:sz w:val="20"/>
                <w:szCs w:val="20"/>
              </w:rPr>
              <w:noBreakHyphen/>
              <w:t xml:space="preserve"> Electronic</w:t>
            </w:r>
          </w:p>
          <w:p w14:paraId="0A689C8F" w14:textId="77777777" w:rsidR="0001046D" w:rsidRPr="0001046D" w:rsidRDefault="0001046D" w:rsidP="00B07E51">
            <w:pPr>
              <w:keepNext/>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Check5"/>
                  <w:enabled/>
                  <w:calcOnExit w:val="0"/>
                  <w:checkBox>
                    <w:sizeAuto/>
                    <w:default w:val="1"/>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Streamlined</w:t>
            </w:r>
          </w:p>
        </w:tc>
      </w:tr>
      <w:tr w:rsidR="0001046D" w:rsidRPr="0001046D" w14:paraId="0C5E2D69"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tcPr>
          <w:p w14:paraId="524D450E" w14:textId="77777777" w:rsidR="0001046D" w:rsidRPr="0001046D" w:rsidRDefault="0001046D" w:rsidP="005E1866">
            <w:pPr>
              <w:keepNext/>
              <w:rPr>
                <w:rFonts w:ascii="Arial Narrow" w:hAnsi="Arial Narrow"/>
                <w:sz w:val="20"/>
                <w:szCs w:val="20"/>
              </w:rPr>
            </w:pPr>
            <w:r w:rsidRPr="0001046D">
              <w:rPr>
                <w:rFonts w:ascii="Arial Narrow" w:hAnsi="Arial Narrow"/>
                <w:b/>
                <w:sz w:val="20"/>
                <w:szCs w:val="20"/>
              </w:rPr>
              <w:t>Clinical criteria:</w:t>
            </w:r>
          </w:p>
        </w:tc>
        <w:tc>
          <w:tcPr>
            <w:tcW w:w="6806" w:type="dxa"/>
            <w:gridSpan w:val="5"/>
            <w:tcBorders>
              <w:top w:val="single" w:sz="4" w:space="0" w:color="auto"/>
              <w:left w:val="single" w:sz="4" w:space="0" w:color="auto"/>
              <w:bottom w:val="single" w:sz="4" w:space="0" w:color="auto"/>
              <w:right w:val="single" w:sz="4" w:space="0" w:color="auto"/>
            </w:tcBorders>
            <w:hideMark/>
          </w:tcPr>
          <w:p w14:paraId="795F0280" w14:textId="77777777" w:rsidR="0001046D" w:rsidRPr="0001046D" w:rsidRDefault="0001046D" w:rsidP="000D035D">
            <w:pPr>
              <w:keepNext/>
              <w:numPr>
                <w:ilvl w:val="0"/>
                <w:numId w:val="6"/>
              </w:numPr>
              <w:contextualSpacing/>
              <w:jc w:val="left"/>
              <w:rPr>
                <w:rFonts w:ascii="Arial Narrow" w:hAnsi="Arial Narrow" w:cs="Calibri"/>
                <w:bCs/>
                <w:sz w:val="20"/>
                <w:szCs w:val="20"/>
              </w:rPr>
            </w:pPr>
            <w:r w:rsidRPr="0001046D">
              <w:rPr>
                <w:rFonts w:ascii="Arial Narrow" w:hAnsi="Arial Narrow" w:cs="Calibri"/>
                <w:bCs/>
                <w:sz w:val="20"/>
                <w:szCs w:val="20"/>
              </w:rPr>
              <w:t xml:space="preserve">Patient must not have previously been treated for this condition in the metastatic setting, </w:t>
            </w:r>
            <w:r w:rsidRPr="0001046D">
              <w:rPr>
                <w:rFonts w:ascii="Arial Narrow" w:hAnsi="Arial Narrow" w:cs="Calibri"/>
                <w:b/>
                <w:sz w:val="20"/>
                <w:szCs w:val="20"/>
              </w:rPr>
              <w:t>AND</w:t>
            </w:r>
          </w:p>
          <w:p w14:paraId="4CEFCF3A" w14:textId="77777777" w:rsidR="0001046D" w:rsidRPr="0001046D" w:rsidRDefault="0001046D" w:rsidP="000D035D">
            <w:pPr>
              <w:keepNext/>
              <w:numPr>
                <w:ilvl w:val="0"/>
                <w:numId w:val="6"/>
              </w:numPr>
              <w:contextualSpacing/>
              <w:jc w:val="left"/>
              <w:rPr>
                <w:rFonts w:ascii="Arial Narrow" w:hAnsi="Arial Narrow" w:cs="Calibri"/>
                <w:bCs/>
                <w:sz w:val="20"/>
                <w:szCs w:val="20"/>
              </w:rPr>
            </w:pPr>
            <w:r w:rsidRPr="0001046D">
              <w:rPr>
                <w:rFonts w:ascii="Arial Narrow" w:hAnsi="Arial Narrow" w:cs="Calibri"/>
                <w:bCs/>
                <w:sz w:val="20"/>
                <w:szCs w:val="20"/>
              </w:rPr>
              <w:t>Patient must not have received prior treatment with a programmed cell death</w:t>
            </w:r>
            <w:r w:rsidRPr="0001046D">
              <w:rPr>
                <w:rFonts w:ascii="Arial Narrow" w:hAnsi="Arial Narrow" w:cs="Calibri"/>
                <w:bCs/>
                <w:sz w:val="20"/>
                <w:szCs w:val="20"/>
              </w:rPr>
              <w:noBreakHyphen/>
              <w:t>1 (PD</w:t>
            </w:r>
            <w:r w:rsidRPr="0001046D">
              <w:rPr>
                <w:rFonts w:ascii="Arial Narrow" w:hAnsi="Arial Narrow" w:cs="Calibri"/>
                <w:bCs/>
                <w:sz w:val="20"/>
                <w:szCs w:val="20"/>
              </w:rPr>
              <w:noBreakHyphen/>
              <w:t>1) inhibitor or a programmed cell death ligand</w:t>
            </w:r>
            <w:r w:rsidRPr="0001046D">
              <w:rPr>
                <w:rFonts w:ascii="Arial Narrow" w:hAnsi="Arial Narrow" w:cs="Calibri"/>
                <w:bCs/>
                <w:sz w:val="20"/>
                <w:szCs w:val="20"/>
              </w:rPr>
              <w:noBreakHyphen/>
              <w:t>1 (PD</w:t>
            </w:r>
            <w:r w:rsidRPr="0001046D">
              <w:rPr>
                <w:rFonts w:ascii="Arial Narrow" w:hAnsi="Arial Narrow" w:cs="Calibri"/>
                <w:bCs/>
                <w:sz w:val="20"/>
                <w:szCs w:val="20"/>
              </w:rPr>
              <w:noBreakHyphen/>
              <w:t>L1) inhibitor for non</w:t>
            </w:r>
            <w:r w:rsidRPr="0001046D">
              <w:rPr>
                <w:rFonts w:ascii="Arial Narrow" w:hAnsi="Arial Narrow" w:cs="Calibri"/>
                <w:bCs/>
                <w:sz w:val="20"/>
                <w:szCs w:val="20"/>
              </w:rPr>
              <w:noBreakHyphen/>
              <w:t xml:space="preserve">small cell lung cancer, </w:t>
            </w:r>
            <w:r w:rsidRPr="0001046D">
              <w:rPr>
                <w:rFonts w:ascii="Arial Narrow" w:hAnsi="Arial Narrow" w:cs="Calibri"/>
                <w:b/>
                <w:sz w:val="20"/>
                <w:szCs w:val="20"/>
              </w:rPr>
              <w:t>AND</w:t>
            </w:r>
          </w:p>
          <w:p w14:paraId="26EDBF1C" w14:textId="77777777" w:rsidR="0001046D" w:rsidRPr="0001046D" w:rsidRDefault="0001046D" w:rsidP="000D035D">
            <w:pPr>
              <w:keepNext/>
              <w:numPr>
                <w:ilvl w:val="0"/>
                <w:numId w:val="6"/>
              </w:numPr>
              <w:contextualSpacing/>
              <w:jc w:val="left"/>
              <w:rPr>
                <w:rFonts w:ascii="Arial Narrow" w:hAnsi="Arial Narrow" w:cs="Calibri"/>
                <w:bCs/>
                <w:sz w:val="20"/>
                <w:szCs w:val="20"/>
              </w:rPr>
            </w:pPr>
            <w:r w:rsidRPr="0001046D">
              <w:rPr>
                <w:rFonts w:ascii="Arial Narrow" w:hAnsi="Arial Narrow" w:cs="Calibri"/>
                <w:bCs/>
                <w:sz w:val="20"/>
                <w:szCs w:val="20"/>
              </w:rPr>
              <w:t xml:space="preserve">Patient must have a WHO performance status of 0 or 1, </w:t>
            </w:r>
            <w:r w:rsidRPr="0001046D">
              <w:rPr>
                <w:rFonts w:ascii="Arial Narrow" w:hAnsi="Arial Narrow" w:cs="Calibri"/>
                <w:b/>
                <w:sz w:val="20"/>
                <w:szCs w:val="20"/>
              </w:rPr>
              <w:t>AND</w:t>
            </w:r>
          </w:p>
          <w:p w14:paraId="09C96340" w14:textId="77777777" w:rsidR="0001046D" w:rsidRPr="0001046D" w:rsidRDefault="0001046D" w:rsidP="000D035D">
            <w:pPr>
              <w:keepNext/>
              <w:numPr>
                <w:ilvl w:val="0"/>
                <w:numId w:val="6"/>
              </w:numPr>
              <w:contextualSpacing/>
              <w:jc w:val="left"/>
              <w:rPr>
                <w:rFonts w:ascii="Arial Narrow" w:hAnsi="Arial Narrow" w:cs="Calibri"/>
                <w:bCs/>
                <w:sz w:val="20"/>
                <w:szCs w:val="20"/>
              </w:rPr>
            </w:pPr>
            <w:r w:rsidRPr="0001046D">
              <w:rPr>
                <w:rFonts w:ascii="Arial Narrow" w:hAnsi="Arial Narrow"/>
                <w:sz w:val="20"/>
                <w:szCs w:val="20"/>
              </w:rPr>
              <w:t>The condition must express programmed cell death ligand 1 (PD</w:t>
            </w:r>
            <w:r w:rsidRPr="0001046D">
              <w:rPr>
                <w:rFonts w:ascii="Arial Narrow" w:hAnsi="Arial Narrow"/>
                <w:sz w:val="20"/>
                <w:szCs w:val="20"/>
              </w:rPr>
              <w:noBreakHyphen/>
              <w:t xml:space="preserve">L1) with a tumour </w:t>
            </w:r>
            <w:r w:rsidR="008D41A4">
              <w:rPr>
                <w:rFonts w:ascii="Arial Narrow" w:hAnsi="Arial Narrow"/>
                <w:sz w:val="20"/>
                <w:szCs w:val="20"/>
              </w:rPr>
              <w:t xml:space="preserve">proportion </w:t>
            </w:r>
            <w:r w:rsidRPr="0001046D">
              <w:rPr>
                <w:rFonts w:ascii="Arial Narrow" w:hAnsi="Arial Narrow"/>
                <w:sz w:val="20"/>
                <w:szCs w:val="20"/>
              </w:rPr>
              <w:t>score</w:t>
            </w:r>
            <w:r w:rsidR="008D41A4">
              <w:rPr>
                <w:rFonts w:ascii="Arial Narrow" w:hAnsi="Arial Narrow"/>
                <w:sz w:val="20"/>
                <w:szCs w:val="20"/>
              </w:rPr>
              <w:t xml:space="preserve"> (TPS)</w:t>
            </w:r>
            <w:r w:rsidRPr="0001046D">
              <w:rPr>
                <w:rFonts w:ascii="Arial Narrow" w:hAnsi="Arial Narrow"/>
                <w:sz w:val="20"/>
                <w:szCs w:val="20"/>
              </w:rPr>
              <w:t xml:space="preserve"> of at least 50% in the tumour sample, </w:t>
            </w:r>
            <w:r w:rsidRPr="0001046D">
              <w:rPr>
                <w:rFonts w:ascii="Arial Narrow" w:hAnsi="Arial Narrow"/>
                <w:b/>
                <w:bCs/>
                <w:sz w:val="20"/>
                <w:szCs w:val="20"/>
              </w:rPr>
              <w:t>AND</w:t>
            </w:r>
          </w:p>
          <w:p w14:paraId="0DF14C12" w14:textId="77777777" w:rsidR="0001046D" w:rsidRPr="0001046D" w:rsidRDefault="0001046D" w:rsidP="000D035D">
            <w:pPr>
              <w:keepNext/>
              <w:numPr>
                <w:ilvl w:val="0"/>
                <w:numId w:val="6"/>
              </w:numPr>
              <w:contextualSpacing/>
              <w:jc w:val="left"/>
              <w:rPr>
                <w:rFonts w:ascii="Arial Narrow" w:hAnsi="Arial Narrow" w:cs="Calibri"/>
                <w:bCs/>
                <w:sz w:val="20"/>
                <w:szCs w:val="20"/>
              </w:rPr>
            </w:pPr>
            <w:r w:rsidRPr="0001046D">
              <w:rPr>
                <w:rFonts w:ascii="Arial Narrow" w:hAnsi="Arial Narrow" w:cs="Calibri"/>
                <w:bCs/>
                <w:sz w:val="20"/>
                <w:szCs w:val="20"/>
              </w:rPr>
              <w:t>The condition must not have evidence of an activating epidermal growth factor receptor (EGFR) gene or an anaplastic lymphoma kinase (ALK) gene rearrangement or a c</w:t>
            </w:r>
            <w:r w:rsidRPr="0001046D">
              <w:rPr>
                <w:rFonts w:ascii="Arial Narrow" w:hAnsi="Arial Narrow" w:cs="Calibri"/>
                <w:bCs/>
                <w:sz w:val="20"/>
                <w:szCs w:val="20"/>
              </w:rPr>
              <w:noBreakHyphen/>
              <w:t>ROS proto</w:t>
            </w:r>
            <w:r w:rsidRPr="0001046D">
              <w:rPr>
                <w:rFonts w:ascii="Arial Narrow" w:hAnsi="Arial Narrow" w:cs="Calibri"/>
                <w:bCs/>
                <w:sz w:val="20"/>
                <w:szCs w:val="20"/>
              </w:rPr>
              <w:noBreakHyphen/>
              <w:t xml:space="preserve">oncogene 1 (ROS1) gene arrangement in tumour material, </w:t>
            </w:r>
            <w:r w:rsidRPr="0001046D">
              <w:rPr>
                <w:rFonts w:ascii="Arial Narrow" w:hAnsi="Arial Narrow" w:cs="Calibri"/>
                <w:b/>
                <w:sz w:val="20"/>
                <w:szCs w:val="20"/>
              </w:rPr>
              <w:t>AND</w:t>
            </w:r>
          </w:p>
          <w:p w14:paraId="7CFFFC64" w14:textId="77777777" w:rsidR="0001046D" w:rsidRPr="0001046D" w:rsidRDefault="0001046D" w:rsidP="000D035D">
            <w:pPr>
              <w:keepNext/>
              <w:numPr>
                <w:ilvl w:val="0"/>
                <w:numId w:val="6"/>
              </w:numPr>
              <w:contextualSpacing/>
              <w:jc w:val="left"/>
              <w:rPr>
                <w:rFonts w:ascii="Arial Narrow" w:hAnsi="Arial Narrow" w:cs="Calibri"/>
                <w:bCs/>
                <w:sz w:val="20"/>
                <w:szCs w:val="20"/>
              </w:rPr>
            </w:pPr>
            <w:r w:rsidRPr="0001046D">
              <w:rPr>
                <w:rFonts w:ascii="Arial Narrow" w:hAnsi="Arial Narrow" w:cs="Calibri"/>
                <w:bCs/>
                <w:sz w:val="20"/>
                <w:szCs w:val="20"/>
              </w:rPr>
              <w:t>The treatment must be the sole PBS-subsidised systemic anti-cancer therapy for this condition</w:t>
            </w:r>
            <w:r w:rsidRPr="0001046D" w:rsidDel="00C05030">
              <w:rPr>
                <w:rFonts w:ascii="Arial Narrow" w:hAnsi="Arial Narrow" w:cs="Calibri"/>
                <w:bCs/>
                <w:i/>
                <w:sz w:val="20"/>
                <w:szCs w:val="20"/>
              </w:rPr>
              <w:t xml:space="preserve"> </w:t>
            </w:r>
            <w:r w:rsidRPr="0001046D">
              <w:rPr>
                <w:rFonts w:ascii="Arial Narrow" w:hAnsi="Arial Narrow" w:cs="Calibri"/>
                <w:b/>
                <w:bCs/>
                <w:sz w:val="20"/>
                <w:szCs w:val="20"/>
              </w:rPr>
              <w:t>AND</w:t>
            </w:r>
          </w:p>
          <w:p w14:paraId="03828ED4" w14:textId="77777777" w:rsidR="0001046D" w:rsidRPr="0001046D" w:rsidRDefault="0001046D" w:rsidP="000D035D">
            <w:pPr>
              <w:keepNext/>
              <w:numPr>
                <w:ilvl w:val="0"/>
                <w:numId w:val="6"/>
              </w:numPr>
              <w:contextualSpacing/>
              <w:jc w:val="left"/>
              <w:rPr>
                <w:rFonts w:ascii="Arial Narrow" w:hAnsi="Arial Narrow" w:cs="Calibri"/>
                <w:bCs/>
                <w:sz w:val="20"/>
                <w:szCs w:val="20"/>
              </w:rPr>
            </w:pPr>
            <w:r w:rsidRPr="0001046D">
              <w:rPr>
                <w:rFonts w:ascii="Arial Narrow" w:hAnsi="Arial Narrow" w:cs="Calibri"/>
                <w:bCs/>
                <w:sz w:val="20"/>
                <w:szCs w:val="20"/>
              </w:rPr>
              <w:t>The treatment must not exceed a total of 7 doses under this restriction.</w:t>
            </w:r>
          </w:p>
          <w:p w14:paraId="42AE104A" w14:textId="77777777" w:rsidR="0001046D" w:rsidRPr="0001046D" w:rsidRDefault="0001046D" w:rsidP="00B07E51">
            <w:pPr>
              <w:keepNext/>
              <w:ind w:left="360"/>
              <w:contextualSpacing/>
              <w:rPr>
                <w:rFonts w:ascii="Arial Narrow" w:hAnsi="Arial Narrow" w:cs="Calibri"/>
                <w:bCs/>
                <w:sz w:val="20"/>
                <w:szCs w:val="20"/>
              </w:rPr>
            </w:pPr>
          </w:p>
          <w:p w14:paraId="2AB3C658" w14:textId="77777777" w:rsidR="0001046D" w:rsidRPr="0001046D" w:rsidRDefault="0001046D" w:rsidP="00B07E51">
            <w:pPr>
              <w:keepNext/>
              <w:rPr>
                <w:rFonts w:ascii="Arial Narrow" w:hAnsi="Arial Narrow" w:cs="Calibri"/>
                <w:bCs/>
                <w:sz w:val="20"/>
                <w:szCs w:val="20"/>
                <w:u w:val="single"/>
              </w:rPr>
            </w:pPr>
            <w:r w:rsidRPr="0001046D">
              <w:rPr>
                <w:rFonts w:ascii="Arial Narrow" w:hAnsi="Arial Narrow" w:cs="Calibri"/>
                <w:bCs/>
                <w:sz w:val="20"/>
                <w:szCs w:val="20"/>
                <w:u w:val="single"/>
              </w:rPr>
              <w:t>Note</w:t>
            </w:r>
          </w:p>
          <w:p w14:paraId="4DCCE12E" w14:textId="77777777" w:rsidR="0001046D" w:rsidRPr="0001046D" w:rsidRDefault="0001046D" w:rsidP="00B07E51">
            <w:pPr>
              <w:keepNext/>
              <w:rPr>
                <w:rFonts w:ascii="Arial Narrow" w:hAnsi="Arial Narrow" w:cs="Calibri"/>
                <w:bCs/>
                <w:sz w:val="20"/>
                <w:szCs w:val="20"/>
              </w:rPr>
            </w:pPr>
            <w:r w:rsidRPr="0001046D">
              <w:rPr>
                <w:rFonts w:ascii="Arial Narrow" w:hAnsi="Arial Narrow" w:cs="Calibri"/>
                <w:bCs/>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p w14:paraId="47E778ED" w14:textId="77777777" w:rsidR="0001046D" w:rsidRPr="0001046D" w:rsidRDefault="0001046D" w:rsidP="00B07E51">
            <w:pPr>
              <w:keepNext/>
              <w:rPr>
                <w:rFonts w:ascii="Arial Narrow" w:hAnsi="Arial Narrow" w:cs="Calibri"/>
                <w:bCs/>
                <w:sz w:val="20"/>
                <w:szCs w:val="20"/>
              </w:rPr>
            </w:pPr>
          </w:p>
          <w:p w14:paraId="1617066C" w14:textId="77777777" w:rsidR="0001046D" w:rsidRPr="0001046D" w:rsidRDefault="0001046D" w:rsidP="00B07E51">
            <w:pPr>
              <w:keepNext/>
              <w:rPr>
                <w:rFonts w:ascii="Arial Narrow" w:hAnsi="Arial Narrow" w:cs="Calibri"/>
                <w:bCs/>
                <w:sz w:val="20"/>
                <w:szCs w:val="20"/>
              </w:rPr>
            </w:pPr>
          </w:p>
        </w:tc>
      </w:tr>
    </w:tbl>
    <w:p w14:paraId="1400D643" w14:textId="77777777" w:rsidR="0001046D" w:rsidRPr="005467E8" w:rsidRDefault="0001046D" w:rsidP="0001046D">
      <w:pPr>
        <w:rPr>
          <w:rFonts w:ascii="Arial Narrow" w:hAnsi="Arial Narrow"/>
          <w:sz w:val="18"/>
          <w:szCs w:val="18"/>
          <w:highlight w:val="yellow"/>
        </w:rPr>
      </w:pPr>
    </w:p>
    <w:p w14:paraId="7F2875E5" w14:textId="77777777" w:rsidR="0001046D" w:rsidRPr="005467E8" w:rsidRDefault="0001046D" w:rsidP="0001046D">
      <w:pPr>
        <w:pStyle w:val="SubmTableCaption"/>
        <w:spacing w:before="120"/>
        <w:rPr>
          <w:highlight w:val="yellow"/>
        </w:rPr>
      </w:pPr>
    </w:p>
    <w:tbl>
      <w:tblPr>
        <w:tblW w:w="9075" w:type="dxa"/>
        <w:tblLayout w:type="fixed"/>
        <w:tblLook w:val="04A0" w:firstRow="1" w:lastRow="0" w:firstColumn="1" w:lastColumn="0" w:noHBand="0" w:noVBand="1"/>
      </w:tblPr>
      <w:tblGrid>
        <w:gridCol w:w="2269"/>
        <w:gridCol w:w="1561"/>
        <w:gridCol w:w="1228"/>
        <w:gridCol w:w="1228"/>
        <w:gridCol w:w="1229"/>
        <w:gridCol w:w="1560"/>
      </w:tblGrid>
      <w:tr w:rsidR="0001046D" w:rsidRPr="0001046D" w14:paraId="5129FAE8" w14:textId="77777777" w:rsidTr="00B07E51">
        <w:trPr>
          <w:trHeight w:val="20"/>
        </w:trPr>
        <w:tc>
          <w:tcPr>
            <w:tcW w:w="3830" w:type="dxa"/>
            <w:gridSpan w:val="2"/>
            <w:tcBorders>
              <w:top w:val="nil"/>
              <w:left w:val="nil"/>
              <w:bottom w:val="single" w:sz="4" w:space="0" w:color="auto"/>
              <w:right w:val="nil"/>
            </w:tcBorders>
            <w:hideMark/>
          </w:tcPr>
          <w:p w14:paraId="4E3FBCD0" w14:textId="77777777" w:rsidR="0001046D" w:rsidRPr="0001046D" w:rsidRDefault="0001046D" w:rsidP="00B07E51">
            <w:pPr>
              <w:pStyle w:val="SubmTableHeading"/>
              <w:rPr>
                <w:sz w:val="20"/>
                <w:szCs w:val="20"/>
                <w:lang w:eastAsia="en-AU"/>
              </w:rPr>
            </w:pPr>
            <w:r w:rsidRPr="0001046D">
              <w:rPr>
                <w:sz w:val="20"/>
                <w:szCs w:val="20"/>
                <w:lang w:eastAsia="en-AU"/>
              </w:rPr>
              <w:t>Name, Restriction,</w:t>
            </w:r>
          </w:p>
          <w:p w14:paraId="7E3B63AE" w14:textId="77777777" w:rsidR="0001046D" w:rsidRPr="0001046D" w:rsidRDefault="0001046D" w:rsidP="00B07E51">
            <w:pPr>
              <w:pStyle w:val="SubmTableHeading"/>
              <w:rPr>
                <w:sz w:val="20"/>
                <w:szCs w:val="20"/>
                <w:lang w:eastAsia="en-AU"/>
              </w:rPr>
            </w:pPr>
            <w:r w:rsidRPr="0001046D">
              <w:rPr>
                <w:sz w:val="20"/>
                <w:szCs w:val="20"/>
                <w:lang w:eastAsia="en-AU"/>
              </w:rPr>
              <w:t>Manner of administration and form</w:t>
            </w:r>
          </w:p>
        </w:tc>
        <w:tc>
          <w:tcPr>
            <w:tcW w:w="1228" w:type="dxa"/>
            <w:tcBorders>
              <w:top w:val="nil"/>
              <w:left w:val="nil"/>
              <w:bottom w:val="single" w:sz="4" w:space="0" w:color="auto"/>
              <w:right w:val="nil"/>
            </w:tcBorders>
            <w:hideMark/>
          </w:tcPr>
          <w:p w14:paraId="476C0E89" w14:textId="77777777" w:rsidR="0001046D" w:rsidRPr="0001046D" w:rsidRDefault="0001046D" w:rsidP="00B07E51">
            <w:pPr>
              <w:pStyle w:val="SubmTableHeading"/>
              <w:rPr>
                <w:sz w:val="20"/>
                <w:szCs w:val="20"/>
                <w:lang w:eastAsia="en-AU"/>
              </w:rPr>
            </w:pPr>
            <w:r w:rsidRPr="0001046D">
              <w:rPr>
                <w:sz w:val="20"/>
                <w:szCs w:val="20"/>
                <w:lang w:eastAsia="en-AU"/>
              </w:rPr>
              <w:t>Max.</w:t>
            </w:r>
          </w:p>
          <w:p w14:paraId="17766F38" w14:textId="77777777" w:rsidR="0001046D" w:rsidRPr="0001046D" w:rsidRDefault="0001046D" w:rsidP="00B07E51">
            <w:pPr>
              <w:pStyle w:val="SubmTableHeading"/>
              <w:rPr>
                <w:sz w:val="20"/>
                <w:szCs w:val="20"/>
                <w:lang w:eastAsia="en-AU"/>
              </w:rPr>
            </w:pPr>
            <w:r w:rsidRPr="0001046D">
              <w:rPr>
                <w:sz w:val="20"/>
                <w:szCs w:val="20"/>
                <w:lang w:eastAsia="en-AU"/>
              </w:rPr>
              <w:t>Amt</w:t>
            </w:r>
          </w:p>
        </w:tc>
        <w:tc>
          <w:tcPr>
            <w:tcW w:w="1228" w:type="dxa"/>
            <w:tcBorders>
              <w:top w:val="nil"/>
              <w:left w:val="nil"/>
              <w:bottom w:val="single" w:sz="4" w:space="0" w:color="auto"/>
              <w:right w:val="nil"/>
            </w:tcBorders>
            <w:hideMark/>
          </w:tcPr>
          <w:p w14:paraId="35957BD4" w14:textId="77777777" w:rsidR="0001046D" w:rsidRPr="0001046D" w:rsidRDefault="0001046D" w:rsidP="00B07E51">
            <w:pPr>
              <w:pStyle w:val="SubmTableHeading"/>
              <w:rPr>
                <w:sz w:val="20"/>
                <w:szCs w:val="20"/>
                <w:lang w:eastAsia="en-AU"/>
              </w:rPr>
            </w:pPr>
            <w:r w:rsidRPr="0001046D">
              <w:rPr>
                <w:sz w:val="20"/>
                <w:szCs w:val="20"/>
                <w:lang w:eastAsia="en-AU"/>
              </w:rPr>
              <w:t>№. of</w:t>
            </w:r>
          </w:p>
          <w:p w14:paraId="42BC4E9B" w14:textId="77777777" w:rsidR="0001046D" w:rsidRPr="0001046D" w:rsidRDefault="0001046D" w:rsidP="00B07E51">
            <w:pPr>
              <w:pStyle w:val="SubmTableHeading"/>
              <w:rPr>
                <w:sz w:val="20"/>
                <w:szCs w:val="20"/>
                <w:lang w:eastAsia="en-AU"/>
              </w:rPr>
            </w:pPr>
            <w:r w:rsidRPr="0001046D">
              <w:rPr>
                <w:sz w:val="20"/>
                <w:szCs w:val="20"/>
                <w:lang w:eastAsia="en-AU"/>
              </w:rPr>
              <w:t>Rpts</w:t>
            </w:r>
          </w:p>
        </w:tc>
        <w:tc>
          <w:tcPr>
            <w:tcW w:w="1229" w:type="dxa"/>
            <w:tcBorders>
              <w:top w:val="nil"/>
              <w:left w:val="nil"/>
              <w:bottom w:val="single" w:sz="4" w:space="0" w:color="auto"/>
              <w:right w:val="nil"/>
            </w:tcBorders>
            <w:hideMark/>
          </w:tcPr>
          <w:p w14:paraId="4D205AF0" w14:textId="77777777" w:rsidR="0001046D" w:rsidRPr="0001046D" w:rsidRDefault="0001046D" w:rsidP="00B07E51">
            <w:pPr>
              <w:pStyle w:val="SubmTableHeading"/>
              <w:rPr>
                <w:sz w:val="20"/>
                <w:szCs w:val="20"/>
                <w:lang w:eastAsia="en-AU"/>
              </w:rPr>
            </w:pPr>
            <w:r w:rsidRPr="0001046D">
              <w:rPr>
                <w:sz w:val="20"/>
                <w:szCs w:val="20"/>
                <w:lang w:eastAsia="en-AU"/>
              </w:rPr>
              <w:t xml:space="preserve">Proprietary Name </w:t>
            </w:r>
          </w:p>
        </w:tc>
        <w:tc>
          <w:tcPr>
            <w:tcW w:w="1560" w:type="dxa"/>
            <w:tcBorders>
              <w:top w:val="nil"/>
              <w:left w:val="nil"/>
              <w:bottom w:val="single" w:sz="4" w:space="0" w:color="auto"/>
              <w:right w:val="nil"/>
            </w:tcBorders>
            <w:hideMark/>
          </w:tcPr>
          <w:p w14:paraId="6D4D7FBA" w14:textId="77777777" w:rsidR="0001046D" w:rsidRPr="0001046D" w:rsidRDefault="0001046D" w:rsidP="00B07E51">
            <w:pPr>
              <w:pStyle w:val="SubmTableHeading"/>
              <w:rPr>
                <w:sz w:val="20"/>
                <w:szCs w:val="20"/>
                <w:lang w:eastAsia="en-AU"/>
              </w:rPr>
            </w:pPr>
            <w:r w:rsidRPr="0001046D">
              <w:rPr>
                <w:sz w:val="20"/>
                <w:szCs w:val="20"/>
                <w:lang w:eastAsia="en-AU"/>
              </w:rPr>
              <w:t>Manufacturer</w:t>
            </w:r>
          </w:p>
        </w:tc>
      </w:tr>
      <w:tr w:rsidR="0001046D" w:rsidRPr="0001046D" w14:paraId="0955E32E" w14:textId="77777777" w:rsidTr="00B07E51">
        <w:trPr>
          <w:trHeight w:val="20"/>
        </w:trPr>
        <w:tc>
          <w:tcPr>
            <w:tcW w:w="3830" w:type="dxa"/>
            <w:gridSpan w:val="2"/>
            <w:tcBorders>
              <w:top w:val="single" w:sz="4" w:space="0" w:color="auto"/>
              <w:left w:val="nil"/>
              <w:bottom w:val="single" w:sz="4" w:space="0" w:color="auto"/>
              <w:right w:val="nil"/>
            </w:tcBorders>
          </w:tcPr>
          <w:p w14:paraId="528B6554" w14:textId="77777777" w:rsidR="0001046D" w:rsidRPr="0001046D" w:rsidRDefault="0001046D" w:rsidP="00B07E51">
            <w:pPr>
              <w:pStyle w:val="SubmTableTxt"/>
              <w:keepNext/>
              <w:rPr>
                <w:rFonts w:cs="Times New Roman"/>
                <w:sz w:val="20"/>
                <w:szCs w:val="20"/>
                <w:lang w:eastAsia="en-AU"/>
              </w:rPr>
            </w:pPr>
            <w:r w:rsidRPr="0001046D">
              <w:rPr>
                <w:sz w:val="20"/>
                <w:szCs w:val="20"/>
                <w:lang w:eastAsia="en-AU"/>
              </w:rPr>
              <w:t>CEMIPLIMAB</w:t>
            </w:r>
            <w:r w:rsidRPr="0001046D">
              <w:rPr>
                <w:sz w:val="20"/>
                <w:szCs w:val="20"/>
                <w:lang w:eastAsia="en-AU"/>
              </w:rPr>
              <w:br/>
              <w:t>350 mg/7 mL injection, 10 mL vial</w:t>
            </w:r>
            <w:r w:rsidRPr="0001046D">
              <w:rPr>
                <w:rFonts w:cs="Times New Roman"/>
                <w:sz w:val="20"/>
                <w:szCs w:val="20"/>
                <w:lang w:eastAsia="en-AU"/>
              </w:rPr>
              <w:t xml:space="preserve"> solution for infusion, 1 x 10 mL vial</w:t>
            </w:r>
          </w:p>
        </w:tc>
        <w:tc>
          <w:tcPr>
            <w:tcW w:w="1228" w:type="dxa"/>
            <w:tcBorders>
              <w:top w:val="single" w:sz="4" w:space="0" w:color="auto"/>
              <w:left w:val="nil"/>
              <w:bottom w:val="single" w:sz="4" w:space="0" w:color="auto"/>
              <w:right w:val="nil"/>
            </w:tcBorders>
            <w:hideMark/>
          </w:tcPr>
          <w:p w14:paraId="48BB398E" w14:textId="77777777" w:rsidR="0001046D" w:rsidRPr="0001046D" w:rsidRDefault="0001046D" w:rsidP="00B07E51">
            <w:pPr>
              <w:pStyle w:val="SubmTableTxt"/>
              <w:keepNext/>
              <w:rPr>
                <w:rFonts w:cs="Times New Roman"/>
                <w:sz w:val="20"/>
                <w:szCs w:val="20"/>
                <w:lang w:eastAsia="en-AU"/>
              </w:rPr>
            </w:pPr>
            <w:r w:rsidRPr="0001046D">
              <w:rPr>
                <w:rFonts w:cs="Times New Roman"/>
                <w:sz w:val="20"/>
                <w:szCs w:val="20"/>
                <w:lang w:eastAsia="en-AU"/>
              </w:rPr>
              <w:t>350 mg</w:t>
            </w:r>
          </w:p>
        </w:tc>
        <w:tc>
          <w:tcPr>
            <w:tcW w:w="1228" w:type="dxa"/>
            <w:tcBorders>
              <w:top w:val="single" w:sz="4" w:space="0" w:color="auto"/>
              <w:left w:val="nil"/>
              <w:bottom w:val="single" w:sz="4" w:space="0" w:color="auto"/>
              <w:right w:val="nil"/>
            </w:tcBorders>
            <w:hideMark/>
          </w:tcPr>
          <w:p w14:paraId="519BE7F5" w14:textId="77777777" w:rsidR="0001046D" w:rsidRPr="0001046D" w:rsidRDefault="0001046D" w:rsidP="00B07E51">
            <w:pPr>
              <w:pStyle w:val="SubmTableTxt"/>
              <w:keepNext/>
              <w:rPr>
                <w:rFonts w:cs="Times New Roman"/>
                <w:sz w:val="20"/>
                <w:szCs w:val="20"/>
                <w:lang w:eastAsia="en-AU"/>
              </w:rPr>
            </w:pPr>
            <w:r w:rsidRPr="0001046D">
              <w:rPr>
                <w:rFonts w:cs="Times New Roman"/>
                <w:sz w:val="20"/>
                <w:szCs w:val="20"/>
                <w:lang w:eastAsia="en-AU"/>
              </w:rPr>
              <w:t>6</w:t>
            </w:r>
          </w:p>
        </w:tc>
        <w:tc>
          <w:tcPr>
            <w:tcW w:w="1229" w:type="dxa"/>
            <w:tcBorders>
              <w:top w:val="single" w:sz="4" w:space="0" w:color="auto"/>
              <w:left w:val="nil"/>
              <w:bottom w:val="single" w:sz="4" w:space="0" w:color="auto"/>
              <w:right w:val="nil"/>
            </w:tcBorders>
            <w:hideMark/>
          </w:tcPr>
          <w:p w14:paraId="651E8701" w14:textId="77777777" w:rsidR="0001046D" w:rsidRPr="0001046D" w:rsidRDefault="0001046D" w:rsidP="00B07E51">
            <w:pPr>
              <w:pStyle w:val="SubmTableTxt"/>
              <w:keepNext/>
              <w:rPr>
                <w:rFonts w:cs="Times New Roman"/>
                <w:sz w:val="20"/>
                <w:szCs w:val="20"/>
                <w:lang w:eastAsia="en-AU"/>
              </w:rPr>
            </w:pPr>
            <w:r w:rsidRPr="0001046D">
              <w:rPr>
                <w:rFonts w:cs="Times New Roman"/>
                <w:sz w:val="20"/>
                <w:szCs w:val="20"/>
                <w:lang w:eastAsia="en-AU"/>
              </w:rPr>
              <w:t>Libtayo</w:t>
            </w:r>
            <w:r w:rsidRPr="0001046D">
              <w:rPr>
                <w:rFonts w:cs="Times New Roman"/>
                <w:sz w:val="20"/>
                <w:szCs w:val="20"/>
                <w:vertAlign w:val="superscript"/>
                <w:lang w:eastAsia="en-AU"/>
              </w:rPr>
              <w:t>®</w:t>
            </w:r>
          </w:p>
        </w:tc>
        <w:tc>
          <w:tcPr>
            <w:tcW w:w="1560" w:type="dxa"/>
            <w:tcBorders>
              <w:top w:val="single" w:sz="4" w:space="0" w:color="auto"/>
              <w:left w:val="nil"/>
              <w:bottom w:val="single" w:sz="4" w:space="0" w:color="auto"/>
              <w:right w:val="nil"/>
            </w:tcBorders>
            <w:hideMark/>
          </w:tcPr>
          <w:p w14:paraId="5F2E2BDF" w14:textId="77777777" w:rsidR="0001046D" w:rsidRPr="0001046D" w:rsidRDefault="0001046D" w:rsidP="00B07E51">
            <w:pPr>
              <w:pStyle w:val="SubmTableTxt"/>
              <w:keepNext/>
              <w:rPr>
                <w:rFonts w:cs="Times New Roman"/>
                <w:sz w:val="20"/>
                <w:szCs w:val="20"/>
                <w:lang w:eastAsia="en-AU"/>
              </w:rPr>
            </w:pPr>
            <w:r w:rsidRPr="0001046D">
              <w:rPr>
                <w:rFonts w:cs="Times New Roman"/>
                <w:sz w:val="20"/>
                <w:szCs w:val="20"/>
                <w:lang w:eastAsia="en-AU"/>
              </w:rPr>
              <w:t>sanofi</w:t>
            </w:r>
            <w:r w:rsidRPr="0001046D">
              <w:rPr>
                <w:rFonts w:cs="Times New Roman"/>
                <w:sz w:val="20"/>
                <w:szCs w:val="20"/>
                <w:lang w:eastAsia="en-AU"/>
              </w:rPr>
              <w:noBreakHyphen/>
              <w:t>aventis Australia Pty Ltd</w:t>
            </w:r>
          </w:p>
        </w:tc>
      </w:tr>
      <w:tr w:rsidR="0001046D" w:rsidRPr="0001046D" w14:paraId="05DC2D09"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hideMark/>
          </w:tcPr>
          <w:p w14:paraId="3EF91508" w14:textId="77777777" w:rsidR="0001046D" w:rsidRPr="0001046D" w:rsidRDefault="0001046D" w:rsidP="00B07E51">
            <w:pPr>
              <w:keepNext/>
              <w:rPr>
                <w:rFonts w:ascii="Arial Narrow" w:hAnsi="Arial Narrow"/>
                <w:b/>
                <w:sz w:val="20"/>
                <w:szCs w:val="20"/>
              </w:rPr>
            </w:pPr>
            <w:r w:rsidRPr="0001046D">
              <w:rPr>
                <w:rFonts w:ascii="Arial Narrow" w:hAnsi="Arial Narrow"/>
                <w:b/>
                <w:sz w:val="20"/>
                <w:szCs w:val="20"/>
              </w:rPr>
              <w:t>Category / Program:</w:t>
            </w:r>
          </w:p>
        </w:tc>
        <w:tc>
          <w:tcPr>
            <w:tcW w:w="6806" w:type="dxa"/>
            <w:gridSpan w:val="5"/>
            <w:tcBorders>
              <w:top w:val="single" w:sz="4" w:space="0" w:color="auto"/>
              <w:left w:val="single" w:sz="4" w:space="0" w:color="auto"/>
              <w:bottom w:val="single" w:sz="4" w:space="0" w:color="auto"/>
              <w:right w:val="single" w:sz="4" w:space="0" w:color="auto"/>
            </w:tcBorders>
            <w:hideMark/>
          </w:tcPr>
          <w:p w14:paraId="74A8AC05" w14:textId="77777777" w:rsidR="0001046D" w:rsidRPr="0001046D" w:rsidRDefault="0001046D" w:rsidP="0001046D">
            <w:pPr>
              <w:keepNext/>
              <w:jc w:val="left"/>
              <w:rPr>
                <w:rFonts w:ascii="Arial Narrow" w:hAnsi="Arial Narrow"/>
                <w:sz w:val="20"/>
                <w:szCs w:val="20"/>
              </w:rPr>
            </w:pPr>
            <w:r w:rsidRPr="0001046D">
              <w:rPr>
                <w:rFonts w:ascii="Arial Narrow" w:hAnsi="Arial Narrow"/>
                <w:sz w:val="20"/>
                <w:szCs w:val="20"/>
              </w:rPr>
              <w:t>Section 100 – Efficient Funding of Chemotherapy Chemotherapy Items for Public Hospital Use</w:t>
            </w:r>
            <w:r w:rsidRPr="0001046D">
              <w:rPr>
                <w:rFonts w:ascii="Arial Narrow" w:hAnsi="Arial Narrow"/>
                <w:sz w:val="20"/>
                <w:szCs w:val="20"/>
              </w:rPr>
              <w:br/>
              <w:t>Chemotherapy Items for Private Hospital Use</w:t>
            </w:r>
          </w:p>
        </w:tc>
      </w:tr>
      <w:tr w:rsidR="0001046D" w:rsidRPr="0001046D" w14:paraId="560B602F"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hideMark/>
          </w:tcPr>
          <w:p w14:paraId="6AB8776D" w14:textId="77777777" w:rsidR="0001046D" w:rsidRPr="0001046D" w:rsidRDefault="0001046D" w:rsidP="00B07E51">
            <w:pPr>
              <w:keepNext/>
              <w:rPr>
                <w:rFonts w:ascii="Arial Narrow" w:hAnsi="Arial Narrow"/>
                <w:b/>
                <w:sz w:val="20"/>
                <w:szCs w:val="20"/>
              </w:rPr>
            </w:pPr>
            <w:r w:rsidRPr="0001046D">
              <w:rPr>
                <w:rFonts w:ascii="Arial Narrow" w:hAnsi="Arial Narrow"/>
                <w:b/>
                <w:sz w:val="20"/>
                <w:szCs w:val="20"/>
              </w:rPr>
              <w:t>Prescriber type:</w:t>
            </w:r>
          </w:p>
        </w:tc>
        <w:tc>
          <w:tcPr>
            <w:tcW w:w="6806" w:type="dxa"/>
            <w:gridSpan w:val="5"/>
            <w:tcBorders>
              <w:top w:val="single" w:sz="4" w:space="0" w:color="auto"/>
              <w:left w:val="single" w:sz="4" w:space="0" w:color="auto"/>
              <w:bottom w:val="single" w:sz="4" w:space="0" w:color="auto"/>
              <w:right w:val="single" w:sz="4" w:space="0" w:color="auto"/>
            </w:tcBorders>
            <w:hideMark/>
          </w:tcPr>
          <w:p w14:paraId="41CA838A" w14:textId="77777777" w:rsidR="0001046D" w:rsidRPr="0001046D" w:rsidRDefault="0001046D" w:rsidP="00B07E51">
            <w:pPr>
              <w:keepNext/>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Check1"/>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 xml:space="preserve">Dental  </w:t>
            </w:r>
            <w:r w:rsidRPr="0001046D">
              <w:rPr>
                <w:rFonts w:ascii="Arial Narrow" w:hAnsi="Arial Narrow"/>
                <w:color w:val="2B579A"/>
                <w:sz w:val="20"/>
                <w:szCs w:val="20"/>
                <w:shd w:val="clear" w:color="auto" w:fill="E6E6E6"/>
              </w:rPr>
              <w:fldChar w:fldCharType="begin">
                <w:ffData>
                  <w:name w:val=""/>
                  <w:enabled/>
                  <w:calcOnExit w:val="0"/>
                  <w:checkBox>
                    <w:sizeAuto/>
                    <w:default w:val="1"/>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 xml:space="preserve">Medical Practitioners  </w:t>
            </w:r>
            <w:r w:rsidRPr="0001046D">
              <w:rPr>
                <w:rFonts w:ascii="Arial Narrow" w:hAnsi="Arial Narrow"/>
                <w:color w:val="2B579A"/>
                <w:sz w:val="20"/>
                <w:szCs w:val="20"/>
                <w:shd w:val="clear" w:color="auto" w:fill="E6E6E6"/>
              </w:rPr>
              <w:fldChar w:fldCharType="begin">
                <w:ffData>
                  <w:name w:val="Check3"/>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 xml:space="preserve">Nurse practitioners  </w:t>
            </w:r>
            <w:r w:rsidRPr="0001046D">
              <w:rPr>
                <w:rFonts w:ascii="Arial Narrow" w:hAnsi="Arial Narrow"/>
                <w:color w:val="2B579A"/>
                <w:sz w:val="20"/>
                <w:szCs w:val="20"/>
                <w:shd w:val="clear" w:color="auto" w:fill="E6E6E6"/>
              </w:rPr>
              <w:fldChar w:fldCharType="begin">
                <w:ffData>
                  <w:name w:val=""/>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Optometrists</w:t>
            </w:r>
          </w:p>
          <w:p w14:paraId="1125110A" w14:textId="77777777" w:rsidR="0001046D" w:rsidRPr="0001046D" w:rsidRDefault="0001046D" w:rsidP="00B07E51">
            <w:pPr>
              <w:keepNext/>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Check5"/>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Midwives</w:t>
            </w:r>
          </w:p>
        </w:tc>
      </w:tr>
      <w:tr w:rsidR="0001046D" w:rsidRPr="0001046D" w14:paraId="71DC4C59"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hideMark/>
          </w:tcPr>
          <w:p w14:paraId="0D75C3B8" w14:textId="77777777" w:rsidR="0001046D" w:rsidRPr="0001046D" w:rsidRDefault="0001046D" w:rsidP="00B07E51">
            <w:pPr>
              <w:rPr>
                <w:rFonts w:ascii="Arial Narrow" w:hAnsi="Arial Narrow"/>
                <w:b/>
                <w:sz w:val="20"/>
                <w:szCs w:val="20"/>
              </w:rPr>
            </w:pPr>
            <w:r w:rsidRPr="0001046D">
              <w:rPr>
                <w:rFonts w:ascii="Arial Narrow" w:hAnsi="Arial Narrow"/>
                <w:b/>
                <w:sz w:val="20"/>
                <w:szCs w:val="20"/>
              </w:rPr>
              <w:t>Severity:</w:t>
            </w:r>
          </w:p>
        </w:tc>
        <w:tc>
          <w:tcPr>
            <w:tcW w:w="6806" w:type="dxa"/>
            <w:gridSpan w:val="5"/>
            <w:tcBorders>
              <w:top w:val="single" w:sz="4" w:space="0" w:color="auto"/>
              <w:left w:val="single" w:sz="4" w:space="0" w:color="auto"/>
              <w:bottom w:val="single" w:sz="4" w:space="0" w:color="auto"/>
              <w:right w:val="single" w:sz="4" w:space="0" w:color="auto"/>
            </w:tcBorders>
            <w:hideMark/>
          </w:tcPr>
          <w:p w14:paraId="79E218BF" w14:textId="77777777" w:rsidR="0001046D" w:rsidRPr="0001046D" w:rsidRDefault="0001046D" w:rsidP="00B07E51">
            <w:pPr>
              <w:rPr>
                <w:rFonts w:ascii="Arial Narrow" w:hAnsi="Arial Narrow"/>
                <w:sz w:val="20"/>
                <w:szCs w:val="20"/>
              </w:rPr>
            </w:pPr>
            <w:r w:rsidRPr="0001046D">
              <w:rPr>
                <w:rFonts w:ascii="Arial Narrow" w:hAnsi="Arial Narrow"/>
                <w:sz w:val="20"/>
                <w:szCs w:val="20"/>
              </w:rPr>
              <w:t>Stage IV (metastatic)</w:t>
            </w:r>
          </w:p>
        </w:tc>
      </w:tr>
      <w:tr w:rsidR="0001046D" w:rsidRPr="0001046D" w14:paraId="78F034E5"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hideMark/>
          </w:tcPr>
          <w:p w14:paraId="2B69E101" w14:textId="77777777" w:rsidR="0001046D" w:rsidRPr="0001046D" w:rsidRDefault="0001046D" w:rsidP="00B07E51">
            <w:pPr>
              <w:rPr>
                <w:rFonts w:ascii="Arial Narrow" w:hAnsi="Arial Narrow"/>
                <w:b/>
                <w:sz w:val="20"/>
                <w:szCs w:val="20"/>
              </w:rPr>
            </w:pPr>
            <w:r w:rsidRPr="0001046D">
              <w:rPr>
                <w:rFonts w:ascii="Arial Narrow" w:hAnsi="Arial Narrow"/>
                <w:b/>
                <w:sz w:val="20"/>
                <w:szCs w:val="20"/>
              </w:rPr>
              <w:t>Condition:</w:t>
            </w:r>
          </w:p>
        </w:tc>
        <w:tc>
          <w:tcPr>
            <w:tcW w:w="6806" w:type="dxa"/>
            <w:gridSpan w:val="5"/>
            <w:tcBorders>
              <w:top w:val="single" w:sz="4" w:space="0" w:color="auto"/>
              <w:left w:val="single" w:sz="4" w:space="0" w:color="auto"/>
              <w:bottom w:val="single" w:sz="4" w:space="0" w:color="auto"/>
              <w:right w:val="single" w:sz="4" w:space="0" w:color="auto"/>
            </w:tcBorders>
            <w:hideMark/>
          </w:tcPr>
          <w:p w14:paraId="17E9A1C8" w14:textId="77777777" w:rsidR="0001046D" w:rsidRPr="0001046D" w:rsidRDefault="0001046D" w:rsidP="00B07E51">
            <w:pPr>
              <w:rPr>
                <w:rFonts w:ascii="Arial Narrow" w:hAnsi="Arial Narrow"/>
                <w:sz w:val="20"/>
                <w:szCs w:val="20"/>
              </w:rPr>
            </w:pPr>
            <w:r w:rsidRPr="0001046D">
              <w:rPr>
                <w:rFonts w:ascii="Arial Narrow" w:hAnsi="Arial Narrow"/>
                <w:sz w:val="20"/>
                <w:szCs w:val="20"/>
              </w:rPr>
              <w:t>Non</w:t>
            </w:r>
            <w:r w:rsidRPr="0001046D">
              <w:rPr>
                <w:rFonts w:ascii="Arial Narrow" w:hAnsi="Arial Narrow"/>
                <w:sz w:val="20"/>
                <w:szCs w:val="20"/>
              </w:rPr>
              <w:noBreakHyphen/>
              <w:t>small cell lung cancer (NSCLC)</w:t>
            </w:r>
          </w:p>
        </w:tc>
      </w:tr>
      <w:tr w:rsidR="0001046D" w:rsidRPr="0001046D" w14:paraId="57D6A8F8"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hideMark/>
          </w:tcPr>
          <w:p w14:paraId="322A1AB8" w14:textId="77777777" w:rsidR="0001046D" w:rsidRPr="0001046D" w:rsidRDefault="0001046D" w:rsidP="00B07E51">
            <w:pPr>
              <w:rPr>
                <w:rFonts w:ascii="Arial Narrow" w:hAnsi="Arial Narrow"/>
                <w:b/>
                <w:sz w:val="20"/>
                <w:szCs w:val="20"/>
              </w:rPr>
            </w:pPr>
            <w:r w:rsidRPr="0001046D">
              <w:rPr>
                <w:rFonts w:ascii="Arial Narrow" w:hAnsi="Arial Narrow"/>
                <w:b/>
                <w:sz w:val="20"/>
                <w:szCs w:val="20"/>
              </w:rPr>
              <w:t>PBS Indication:</w:t>
            </w:r>
          </w:p>
        </w:tc>
        <w:tc>
          <w:tcPr>
            <w:tcW w:w="6806" w:type="dxa"/>
            <w:gridSpan w:val="5"/>
            <w:tcBorders>
              <w:top w:val="single" w:sz="4" w:space="0" w:color="auto"/>
              <w:left w:val="single" w:sz="4" w:space="0" w:color="auto"/>
              <w:bottom w:val="single" w:sz="4" w:space="0" w:color="auto"/>
              <w:right w:val="single" w:sz="4" w:space="0" w:color="auto"/>
            </w:tcBorders>
            <w:hideMark/>
          </w:tcPr>
          <w:p w14:paraId="144FE37B" w14:textId="77777777" w:rsidR="0001046D" w:rsidRPr="0001046D" w:rsidRDefault="0001046D" w:rsidP="00B07E51">
            <w:pPr>
              <w:rPr>
                <w:rFonts w:ascii="Arial Narrow" w:hAnsi="Arial Narrow"/>
                <w:sz w:val="20"/>
                <w:szCs w:val="20"/>
              </w:rPr>
            </w:pPr>
            <w:r w:rsidRPr="0001046D">
              <w:rPr>
                <w:rFonts w:ascii="Arial Narrow" w:hAnsi="Arial Narrow"/>
                <w:sz w:val="20"/>
                <w:szCs w:val="20"/>
              </w:rPr>
              <w:t>Stage IV (metastatic) NSCLC</w:t>
            </w:r>
          </w:p>
        </w:tc>
      </w:tr>
      <w:tr w:rsidR="0001046D" w:rsidRPr="0001046D" w14:paraId="15B75C30"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14:paraId="611D1047" w14:textId="77777777" w:rsidR="0001046D" w:rsidRPr="0001046D" w:rsidRDefault="0001046D" w:rsidP="00B07E51">
            <w:pPr>
              <w:rPr>
                <w:rFonts w:ascii="Arial Narrow" w:hAnsi="Arial Narrow"/>
                <w:b/>
                <w:sz w:val="20"/>
                <w:szCs w:val="20"/>
              </w:rPr>
            </w:pPr>
            <w:r w:rsidRPr="0001046D">
              <w:rPr>
                <w:rFonts w:ascii="Arial Narrow" w:hAnsi="Arial Narrow"/>
                <w:b/>
                <w:sz w:val="20"/>
                <w:szCs w:val="20"/>
              </w:rPr>
              <w:t>Treatment phase:</w:t>
            </w:r>
          </w:p>
        </w:tc>
        <w:tc>
          <w:tcPr>
            <w:tcW w:w="6806" w:type="dxa"/>
            <w:gridSpan w:val="5"/>
            <w:tcBorders>
              <w:top w:val="single" w:sz="4" w:space="0" w:color="auto"/>
              <w:left w:val="single" w:sz="4" w:space="0" w:color="auto"/>
              <w:bottom w:val="single" w:sz="4" w:space="0" w:color="auto"/>
              <w:right w:val="single" w:sz="4" w:space="0" w:color="auto"/>
            </w:tcBorders>
            <w:shd w:val="clear" w:color="auto" w:fill="auto"/>
            <w:hideMark/>
          </w:tcPr>
          <w:p w14:paraId="330659FF" w14:textId="77777777" w:rsidR="0001046D" w:rsidRPr="0001046D" w:rsidRDefault="0001046D" w:rsidP="00B07E51">
            <w:pPr>
              <w:rPr>
                <w:rFonts w:ascii="Arial Narrow" w:hAnsi="Arial Narrow" w:cs="Calibri"/>
                <w:sz w:val="20"/>
                <w:szCs w:val="20"/>
              </w:rPr>
            </w:pPr>
            <w:r w:rsidRPr="0001046D">
              <w:rPr>
                <w:rFonts w:ascii="Arial Narrow" w:hAnsi="Arial Narrow"/>
                <w:sz w:val="20"/>
                <w:szCs w:val="20"/>
              </w:rPr>
              <w:t>Continuing treatment – 3 weekly treatment regimen</w:t>
            </w:r>
          </w:p>
        </w:tc>
      </w:tr>
      <w:tr w:rsidR="0001046D" w:rsidRPr="0001046D" w14:paraId="146B3739"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tcPr>
          <w:p w14:paraId="36585B08" w14:textId="77777777" w:rsidR="0001046D" w:rsidRPr="0001046D" w:rsidRDefault="0001046D" w:rsidP="005E1866">
            <w:pPr>
              <w:rPr>
                <w:rFonts w:ascii="Arial Narrow" w:hAnsi="Arial Narrow"/>
                <w:b/>
                <w:sz w:val="20"/>
                <w:szCs w:val="20"/>
              </w:rPr>
            </w:pPr>
            <w:r w:rsidRPr="0001046D">
              <w:rPr>
                <w:rFonts w:ascii="Arial Narrow" w:hAnsi="Arial Narrow"/>
                <w:b/>
                <w:sz w:val="20"/>
                <w:szCs w:val="20"/>
              </w:rPr>
              <w:t>Restriction:</w:t>
            </w:r>
          </w:p>
        </w:tc>
        <w:tc>
          <w:tcPr>
            <w:tcW w:w="6806" w:type="dxa"/>
            <w:gridSpan w:val="5"/>
            <w:tcBorders>
              <w:top w:val="single" w:sz="4" w:space="0" w:color="auto"/>
              <w:left w:val="single" w:sz="4" w:space="0" w:color="auto"/>
              <w:bottom w:val="single" w:sz="4" w:space="0" w:color="auto"/>
              <w:right w:val="single" w:sz="4" w:space="0" w:color="auto"/>
            </w:tcBorders>
            <w:hideMark/>
          </w:tcPr>
          <w:p w14:paraId="76A90138" w14:textId="77777777" w:rsidR="0001046D" w:rsidRPr="0001046D" w:rsidRDefault="0001046D" w:rsidP="00B07E51">
            <w:pPr>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Check1"/>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Restricted benefit</w:t>
            </w:r>
          </w:p>
          <w:p w14:paraId="4CA0ADD7" w14:textId="77777777" w:rsidR="0001046D" w:rsidRPr="0001046D" w:rsidRDefault="0001046D" w:rsidP="00B07E51">
            <w:pPr>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 xml:space="preserve">Authority Required </w:t>
            </w:r>
            <w:r w:rsidRPr="0001046D">
              <w:rPr>
                <w:rFonts w:ascii="Arial Narrow" w:hAnsi="Arial Narrow"/>
                <w:sz w:val="20"/>
                <w:szCs w:val="20"/>
              </w:rPr>
              <w:noBreakHyphen/>
              <w:t xml:space="preserve"> In Writing</w:t>
            </w:r>
          </w:p>
          <w:p w14:paraId="4B39EB8B" w14:textId="77777777" w:rsidR="0001046D" w:rsidRPr="0001046D" w:rsidRDefault="0001046D" w:rsidP="00B07E51">
            <w:pPr>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 xml:space="preserve">Authority Required </w:t>
            </w:r>
            <w:r w:rsidRPr="0001046D">
              <w:rPr>
                <w:rFonts w:ascii="Arial Narrow" w:hAnsi="Arial Narrow"/>
                <w:sz w:val="20"/>
                <w:szCs w:val="20"/>
              </w:rPr>
              <w:noBreakHyphen/>
              <w:t xml:space="preserve"> Telephone</w:t>
            </w:r>
          </w:p>
          <w:p w14:paraId="080E168E" w14:textId="77777777" w:rsidR="0001046D" w:rsidRPr="0001046D" w:rsidRDefault="0001046D" w:rsidP="00B07E51">
            <w:pPr>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Authority Required – Emergency</w:t>
            </w:r>
          </w:p>
          <w:p w14:paraId="1F83FE02" w14:textId="77777777" w:rsidR="0001046D" w:rsidRPr="0001046D" w:rsidRDefault="0001046D" w:rsidP="00B07E51">
            <w:pPr>
              <w:rPr>
                <w:rFonts w:ascii="Arial Narrow" w:hAnsi="Arial Narrow"/>
                <w:sz w:val="20"/>
                <w:szCs w:val="20"/>
              </w:rPr>
            </w:pPr>
            <w:r w:rsidRPr="0001046D">
              <w:rPr>
                <w:rFonts w:ascii="Arial Narrow" w:hAnsi="Arial Narrow"/>
                <w:color w:val="2B579A"/>
                <w:sz w:val="20"/>
                <w:szCs w:val="20"/>
                <w:shd w:val="clear" w:color="auto" w:fill="E6E6E6"/>
              </w:rPr>
              <w:fldChar w:fldCharType="begin">
                <w:ffData>
                  <w:name w:val="Check5"/>
                  <w:enabled/>
                  <w:calcOnExit w:val="0"/>
                  <w:checkBox>
                    <w:sizeAuto/>
                    <w:default w:val="0"/>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 xml:space="preserve">Authority Required </w:t>
            </w:r>
            <w:r w:rsidRPr="0001046D">
              <w:rPr>
                <w:rFonts w:ascii="Arial Narrow" w:hAnsi="Arial Narrow"/>
                <w:sz w:val="20"/>
                <w:szCs w:val="20"/>
              </w:rPr>
              <w:noBreakHyphen/>
              <w:t xml:space="preserve"> Electronic</w:t>
            </w:r>
          </w:p>
          <w:p w14:paraId="25B463F3" w14:textId="77777777" w:rsidR="0001046D" w:rsidRPr="0001046D" w:rsidRDefault="0001046D" w:rsidP="00B07E51">
            <w:pPr>
              <w:rPr>
                <w:rFonts w:ascii="Arial Narrow" w:hAnsi="Arial Narrow" w:cs="Calibri"/>
                <w:sz w:val="20"/>
                <w:szCs w:val="20"/>
              </w:rPr>
            </w:pPr>
            <w:r w:rsidRPr="0001046D">
              <w:rPr>
                <w:rFonts w:ascii="Arial Narrow" w:hAnsi="Arial Narrow"/>
                <w:color w:val="2B579A"/>
                <w:sz w:val="20"/>
                <w:szCs w:val="20"/>
                <w:shd w:val="clear" w:color="auto" w:fill="E6E6E6"/>
              </w:rPr>
              <w:fldChar w:fldCharType="begin">
                <w:ffData>
                  <w:name w:val=""/>
                  <w:enabled/>
                  <w:calcOnExit w:val="0"/>
                  <w:checkBox>
                    <w:sizeAuto/>
                    <w:default w:val="1"/>
                  </w:checkBox>
                </w:ffData>
              </w:fldChar>
            </w:r>
            <w:r w:rsidRPr="0001046D">
              <w:rPr>
                <w:rFonts w:ascii="Arial Narrow" w:hAnsi="Arial Narrow"/>
                <w:sz w:val="20"/>
                <w:szCs w:val="20"/>
              </w:rPr>
              <w:instrText xml:space="preserve"> FORMCHECKBOX </w:instrText>
            </w:r>
            <w:r w:rsidR="003E5591">
              <w:rPr>
                <w:rFonts w:ascii="Arial Narrow" w:hAnsi="Arial Narrow"/>
                <w:color w:val="2B579A"/>
                <w:sz w:val="20"/>
                <w:szCs w:val="20"/>
                <w:shd w:val="clear" w:color="auto" w:fill="E6E6E6"/>
              </w:rPr>
            </w:r>
            <w:r w:rsidR="003E5591">
              <w:rPr>
                <w:rFonts w:ascii="Arial Narrow" w:hAnsi="Arial Narrow"/>
                <w:color w:val="2B579A"/>
                <w:sz w:val="20"/>
                <w:szCs w:val="20"/>
                <w:shd w:val="clear" w:color="auto" w:fill="E6E6E6"/>
              </w:rPr>
              <w:fldChar w:fldCharType="separate"/>
            </w:r>
            <w:r w:rsidRPr="0001046D">
              <w:rPr>
                <w:rFonts w:ascii="Arial Narrow" w:hAnsi="Arial Narrow"/>
                <w:color w:val="2B579A"/>
                <w:sz w:val="20"/>
                <w:szCs w:val="20"/>
                <w:shd w:val="clear" w:color="auto" w:fill="E6E6E6"/>
              </w:rPr>
              <w:fldChar w:fldCharType="end"/>
            </w:r>
            <w:r w:rsidRPr="0001046D">
              <w:rPr>
                <w:rFonts w:ascii="Arial Narrow" w:hAnsi="Arial Narrow"/>
                <w:sz w:val="20"/>
                <w:szCs w:val="20"/>
              </w:rPr>
              <w:t>Streamlined</w:t>
            </w:r>
          </w:p>
        </w:tc>
      </w:tr>
      <w:tr w:rsidR="0001046D" w:rsidRPr="00DA16C6" w14:paraId="6BFF7658" w14:textId="77777777" w:rsidTr="00B07E51">
        <w:trPr>
          <w:trHeight w:val="20"/>
        </w:trPr>
        <w:tc>
          <w:tcPr>
            <w:tcW w:w="2269" w:type="dxa"/>
            <w:tcBorders>
              <w:top w:val="single" w:sz="4" w:space="0" w:color="auto"/>
              <w:left w:val="single" w:sz="4" w:space="0" w:color="auto"/>
              <w:bottom w:val="single" w:sz="4" w:space="0" w:color="auto"/>
              <w:right w:val="single" w:sz="4" w:space="0" w:color="auto"/>
            </w:tcBorders>
          </w:tcPr>
          <w:p w14:paraId="7032464B" w14:textId="77777777" w:rsidR="0001046D" w:rsidRPr="0001046D" w:rsidRDefault="0001046D" w:rsidP="005E1866">
            <w:pPr>
              <w:rPr>
                <w:rFonts w:ascii="Arial Narrow" w:hAnsi="Arial Narrow"/>
                <w:b/>
                <w:sz w:val="20"/>
                <w:szCs w:val="20"/>
              </w:rPr>
            </w:pPr>
            <w:r w:rsidRPr="0001046D">
              <w:rPr>
                <w:rFonts w:ascii="Arial Narrow" w:hAnsi="Arial Narrow"/>
                <w:b/>
                <w:sz w:val="20"/>
                <w:szCs w:val="20"/>
              </w:rPr>
              <w:t>Clinical criteria:</w:t>
            </w:r>
          </w:p>
        </w:tc>
        <w:tc>
          <w:tcPr>
            <w:tcW w:w="6806" w:type="dxa"/>
            <w:gridSpan w:val="5"/>
            <w:tcBorders>
              <w:top w:val="single" w:sz="4" w:space="0" w:color="auto"/>
              <w:left w:val="single" w:sz="4" w:space="0" w:color="auto"/>
              <w:bottom w:val="single" w:sz="4" w:space="0" w:color="auto"/>
              <w:right w:val="single" w:sz="4" w:space="0" w:color="auto"/>
            </w:tcBorders>
            <w:hideMark/>
          </w:tcPr>
          <w:p w14:paraId="53BF9B1D" w14:textId="77777777" w:rsidR="0001046D" w:rsidRPr="0001046D" w:rsidRDefault="0001046D" w:rsidP="000D035D">
            <w:pPr>
              <w:numPr>
                <w:ilvl w:val="0"/>
                <w:numId w:val="7"/>
              </w:numPr>
              <w:contextualSpacing/>
              <w:rPr>
                <w:rFonts w:ascii="Arial Narrow" w:hAnsi="Arial Narrow"/>
                <w:sz w:val="20"/>
                <w:szCs w:val="20"/>
              </w:rPr>
            </w:pPr>
            <w:r w:rsidRPr="0001046D">
              <w:rPr>
                <w:rFonts w:ascii="Arial Narrow" w:hAnsi="Arial Narrow"/>
                <w:sz w:val="20"/>
                <w:szCs w:val="20"/>
              </w:rPr>
              <w:t>Patient must have previously received PBS</w:t>
            </w:r>
            <w:r w:rsidRPr="0001046D">
              <w:rPr>
                <w:rFonts w:ascii="Arial Narrow" w:hAnsi="Arial Narrow"/>
                <w:sz w:val="20"/>
                <w:szCs w:val="20"/>
              </w:rPr>
              <w:noBreakHyphen/>
              <w:t xml:space="preserve">subsidised treatment with this drug for this condition, </w:t>
            </w:r>
            <w:r w:rsidRPr="0001046D">
              <w:rPr>
                <w:rFonts w:ascii="Arial Narrow" w:hAnsi="Arial Narrow"/>
                <w:b/>
                <w:bCs/>
                <w:sz w:val="20"/>
                <w:szCs w:val="20"/>
              </w:rPr>
              <w:t>AND</w:t>
            </w:r>
          </w:p>
          <w:p w14:paraId="78AE88B7" w14:textId="77777777" w:rsidR="0001046D" w:rsidRPr="0001046D" w:rsidRDefault="0001046D" w:rsidP="000D035D">
            <w:pPr>
              <w:numPr>
                <w:ilvl w:val="0"/>
                <w:numId w:val="7"/>
              </w:numPr>
              <w:contextualSpacing/>
              <w:rPr>
                <w:rFonts w:ascii="Arial Narrow" w:hAnsi="Arial Narrow"/>
                <w:sz w:val="20"/>
                <w:szCs w:val="20"/>
              </w:rPr>
            </w:pPr>
            <w:r w:rsidRPr="0001046D">
              <w:rPr>
                <w:rFonts w:ascii="Arial Narrow" w:hAnsi="Arial Narrow"/>
                <w:sz w:val="20"/>
                <w:szCs w:val="20"/>
              </w:rPr>
              <w:t xml:space="preserve">Patient must not have developed disease progression while being treated with this drug for this condition, </w:t>
            </w:r>
            <w:r w:rsidRPr="0001046D">
              <w:rPr>
                <w:rFonts w:ascii="Arial Narrow" w:hAnsi="Arial Narrow"/>
                <w:b/>
                <w:bCs/>
                <w:sz w:val="20"/>
                <w:szCs w:val="20"/>
              </w:rPr>
              <w:t>AND</w:t>
            </w:r>
          </w:p>
          <w:p w14:paraId="5ABFC4DF" w14:textId="77777777" w:rsidR="0001046D" w:rsidRPr="0001046D" w:rsidRDefault="0001046D" w:rsidP="000D035D">
            <w:pPr>
              <w:keepNext/>
              <w:numPr>
                <w:ilvl w:val="0"/>
                <w:numId w:val="7"/>
              </w:numPr>
              <w:contextualSpacing/>
              <w:jc w:val="left"/>
              <w:rPr>
                <w:rFonts w:ascii="Arial Narrow" w:hAnsi="Arial Narrow" w:cs="Calibri"/>
                <w:bCs/>
                <w:sz w:val="20"/>
                <w:szCs w:val="20"/>
              </w:rPr>
            </w:pPr>
            <w:r w:rsidRPr="0001046D">
              <w:rPr>
                <w:rFonts w:ascii="Arial Narrow" w:hAnsi="Arial Narrow"/>
                <w:sz w:val="20"/>
                <w:szCs w:val="20"/>
              </w:rPr>
              <w:t>The treatment must be the sole PBS-subsidised systemic anti-cancer therapy for this condition</w:t>
            </w:r>
            <w:r w:rsidRPr="0001046D">
              <w:rPr>
                <w:rFonts w:ascii="Arial Narrow" w:hAnsi="Arial Narrow" w:cs="Calibri"/>
                <w:bCs/>
                <w:sz w:val="20"/>
                <w:szCs w:val="20"/>
              </w:rPr>
              <w:t xml:space="preserve">, </w:t>
            </w:r>
            <w:r w:rsidRPr="0001046D">
              <w:rPr>
                <w:rFonts w:ascii="Arial Narrow" w:hAnsi="Arial Narrow" w:cs="Calibri"/>
                <w:b/>
                <w:bCs/>
                <w:sz w:val="20"/>
                <w:szCs w:val="20"/>
              </w:rPr>
              <w:t>AND</w:t>
            </w:r>
          </w:p>
          <w:p w14:paraId="09F08A8A" w14:textId="77777777" w:rsidR="0001046D" w:rsidRPr="0001046D" w:rsidRDefault="0001046D" w:rsidP="000D035D">
            <w:pPr>
              <w:numPr>
                <w:ilvl w:val="0"/>
                <w:numId w:val="7"/>
              </w:numPr>
              <w:contextualSpacing/>
              <w:rPr>
                <w:rFonts w:ascii="Arial Narrow" w:hAnsi="Arial Narrow"/>
                <w:sz w:val="20"/>
                <w:szCs w:val="20"/>
              </w:rPr>
            </w:pPr>
            <w:r w:rsidRPr="0001046D">
              <w:rPr>
                <w:rFonts w:ascii="Arial Narrow" w:hAnsi="Arial Narrow"/>
                <w:sz w:val="20"/>
                <w:szCs w:val="20"/>
              </w:rPr>
              <w:t>The treatment must not exceed a total of 35 cycles or up to 24 months of treatment under both initial and continuing treatment restrictions</w:t>
            </w:r>
            <w:r w:rsidR="005A6965">
              <w:rPr>
                <w:rFonts w:ascii="Arial Narrow" w:hAnsi="Arial Narrow"/>
                <w:sz w:val="20"/>
                <w:szCs w:val="20"/>
              </w:rPr>
              <w:t xml:space="preserve">, </w:t>
            </w:r>
            <w:r w:rsidR="005A6965" w:rsidRPr="0099370E">
              <w:rPr>
                <w:rFonts w:ascii="Arial Narrow" w:hAnsi="Arial Narrow"/>
                <w:sz w:val="20"/>
                <w:szCs w:val="20"/>
              </w:rPr>
              <w:t>whichever comes first</w:t>
            </w:r>
            <w:r w:rsidRPr="0099370E">
              <w:rPr>
                <w:rFonts w:ascii="Arial Narrow" w:hAnsi="Arial Narrow"/>
                <w:i/>
                <w:sz w:val="20"/>
                <w:szCs w:val="20"/>
              </w:rPr>
              <w:t>.</w:t>
            </w:r>
          </w:p>
        </w:tc>
      </w:tr>
    </w:tbl>
    <w:p w14:paraId="426C003C" w14:textId="77777777" w:rsidR="0001046D" w:rsidRPr="005E1866" w:rsidRDefault="0001046D" w:rsidP="0001046D">
      <w:pPr>
        <w:spacing w:after="120"/>
        <w:rPr>
          <w:rFonts w:asciiTheme="minorHAnsi" w:hAnsiTheme="minorHAnsi" w:cstheme="minorHAnsi"/>
          <w:iCs/>
        </w:rPr>
      </w:pPr>
    </w:p>
    <w:p w14:paraId="4451D7C9" w14:textId="77777777" w:rsidR="00F30370" w:rsidRPr="00F30370" w:rsidRDefault="00011F2C" w:rsidP="00F30370">
      <w:pPr>
        <w:pStyle w:val="3-BodyText"/>
      </w:pPr>
      <w:r w:rsidRPr="00F30370">
        <w:t xml:space="preserve">Flow on changes to pembrolizumab </w:t>
      </w:r>
      <w:r w:rsidR="000D035D">
        <w:t xml:space="preserve">NSCLC </w:t>
      </w:r>
      <w:r w:rsidRPr="00F30370">
        <w:t xml:space="preserve">criteria: </w:t>
      </w:r>
    </w:p>
    <w:p w14:paraId="12D019A2" w14:textId="77777777" w:rsidR="00011F2C" w:rsidRPr="00F30370" w:rsidRDefault="000D035D" w:rsidP="0049113D">
      <w:pPr>
        <w:pStyle w:val="3-BodyText"/>
        <w:numPr>
          <w:ilvl w:val="0"/>
          <w:numId w:val="0"/>
        </w:numPr>
        <w:ind w:firstLine="720"/>
      </w:pPr>
      <w:r>
        <w:rPr>
          <w:bCs/>
        </w:rPr>
        <w:t xml:space="preserve">PBS item codes: </w:t>
      </w:r>
      <w:r w:rsidR="00F30370" w:rsidRPr="00F30370">
        <w:rPr>
          <w:bCs/>
        </w:rPr>
        <w:t>1</w:t>
      </w:r>
      <w:r w:rsidR="005A6965">
        <w:rPr>
          <w:bCs/>
        </w:rPr>
        <w:t>1</w:t>
      </w:r>
      <w:r w:rsidR="00F30370" w:rsidRPr="00F30370">
        <w:rPr>
          <w:bCs/>
        </w:rPr>
        <w:t xml:space="preserve">492W </w:t>
      </w:r>
      <w:r>
        <w:rPr>
          <w:bCs/>
        </w:rPr>
        <w:t xml:space="preserve">and </w:t>
      </w:r>
      <w:r w:rsidR="00F30370" w:rsidRPr="00F30370">
        <w:rPr>
          <w:bCs/>
        </w:rPr>
        <w:t>11494Y</w:t>
      </w:r>
      <w:r>
        <w:rPr>
          <w:bCs/>
        </w:rPr>
        <w:t xml:space="preserve"> (3 weekly treatment regimen)</w:t>
      </w:r>
    </w:p>
    <w:p w14:paraId="547406A2" w14:textId="77777777" w:rsidR="00F30370" w:rsidRPr="00F30370" w:rsidRDefault="00F30370" w:rsidP="0049113D">
      <w:pPr>
        <w:spacing w:after="120"/>
        <w:ind w:left="720"/>
        <w:rPr>
          <w:rFonts w:asciiTheme="minorHAnsi" w:hAnsiTheme="minorHAnsi" w:cstheme="minorHAnsi"/>
        </w:rPr>
      </w:pPr>
      <w:r w:rsidRPr="00F30370">
        <w:rPr>
          <w:rFonts w:asciiTheme="minorHAnsi" w:hAnsiTheme="minorHAnsi" w:cstheme="minorHAnsi"/>
        </w:rPr>
        <w:t>Delete</w:t>
      </w:r>
      <w:r>
        <w:rPr>
          <w:rFonts w:asciiTheme="minorHAnsi" w:hAnsiTheme="minorHAnsi" w:cstheme="minorHAnsi"/>
        </w:rPr>
        <w:t xml:space="preserve"> from streamlined code 10682</w:t>
      </w:r>
      <w:r w:rsidRPr="00F30370">
        <w:rPr>
          <w:rFonts w:asciiTheme="minorHAnsi" w:hAnsiTheme="minorHAnsi" w:cstheme="minorHAnsi"/>
        </w:rPr>
        <w:t>: The treatment must not exceed a total of 35 cycles or up to 24 months of treatment under this restriction.</w:t>
      </w:r>
    </w:p>
    <w:p w14:paraId="022F6A32" w14:textId="77777777" w:rsidR="00011F2C" w:rsidRDefault="00F30370" w:rsidP="0049113D">
      <w:pPr>
        <w:spacing w:after="120"/>
        <w:ind w:left="720"/>
        <w:rPr>
          <w:rFonts w:asciiTheme="minorHAnsi" w:hAnsiTheme="minorHAnsi" w:cstheme="minorHAnsi"/>
        </w:rPr>
      </w:pPr>
      <w:r w:rsidRPr="00F30370">
        <w:rPr>
          <w:rFonts w:asciiTheme="minorHAnsi" w:hAnsiTheme="minorHAnsi" w:cstheme="minorHAnsi"/>
        </w:rPr>
        <w:t>Add: The treatment must not exceed a total of 35 cycles or up to 24 months of treatment under both initial and co</w:t>
      </w:r>
      <w:r>
        <w:rPr>
          <w:rFonts w:asciiTheme="minorHAnsi" w:hAnsiTheme="minorHAnsi" w:cstheme="minorHAnsi"/>
        </w:rPr>
        <w:t>ntinuing treatment restrictions</w:t>
      </w:r>
      <w:r w:rsidR="005A6965">
        <w:rPr>
          <w:rFonts w:asciiTheme="minorHAnsi" w:hAnsiTheme="minorHAnsi" w:cstheme="minorHAnsi"/>
        </w:rPr>
        <w:t>, whichever comes first</w:t>
      </w:r>
      <w:r w:rsidRPr="00F30370">
        <w:rPr>
          <w:rFonts w:asciiTheme="minorHAnsi" w:hAnsiTheme="minorHAnsi" w:cstheme="minorHAnsi"/>
        </w:rPr>
        <w:t>.</w:t>
      </w:r>
    </w:p>
    <w:p w14:paraId="70099E82" w14:textId="77777777" w:rsidR="00F30370" w:rsidRDefault="000D035D" w:rsidP="0049113D">
      <w:pPr>
        <w:spacing w:after="120"/>
        <w:ind w:firstLine="720"/>
        <w:rPr>
          <w:rFonts w:asciiTheme="minorHAnsi" w:hAnsiTheme="minorHAnsi" w:cstheme="minorHAnsi"/>
        </w:rPr>
      </w:pPr>
      <w:r>
        <w:rPr>
          <w:rFonts w:asciiTheme="minorHAnsi" w:hAnsiTheme="minorHAnsi" w:cstheme="minorHAnsi"/>
        </w:rPr>
        <w:t xml:space="preserve">PBS item codes: </w:t>
      </w:r>
      <w:r w:rsidR="00F30370">
        <w:rPr>
          <w:rFonts w:asciiTheme="minorHAnsi" w:hAnsiTheme="minorHAnsi" w:cstheme="minorHAnsi"/>
        </w:rPr>
        <w:t xml:space="preserve">12119W </w:t>
      </w:r>
      <w:r>
        <w:rPr>
          <w:rFonts w:asciiTheme="minorHAnsi" w:hAnsiTheme="minorHAnsi" w:cstheme="minorHAnsi"/>
        </w:rPr>
        <w:t xml:space="preserve">and </w:t>
      </w:r>
      <w:r w:rsidRPr="000D035D">
        <w:rPr>
          <w:rFonts w:asciiTheme="minorHAnsi" w:hAnsiTheme="minorHAnsi" w:cstheme="minorHAnsi"/>
        </w:rPr>
        <w:t>12121Y</w:t>
      </w:r>
      <w:r>
        <w:rPr>
          <w:rFonts w:asciiTheme="minorHAnsi" w:hAnsiTheme="minorHAnsi" w:cstheme="minorHAnsi"/>
        </w:rPr>
        <w:t xml:space="preserve"> (6 weekly treatment regimen)</w:t>
      </w:r>
    </w:p>
    <w:p w14:paraId="3C12D0B9" w14:textId="77777777" w:rsidR="000D035D" w:rsidRPr="00F30370" w:rsidRDefault="000D035D" w:rsidP="0049113D">
      <w:pPr>
        <w:spacing w:after="120"/>
        <w:ind w:left="720"/>
        <w:rPr>
          <w:rFonts w:asciiTheme="minorHAnsi" w:hAnsiTheme="minorHAnsi" w:cstheme="minorHAnsi"/>
        </w:rPr>
      </w:pPr>
      <w:r w:rsidRPr="00F30370">
        <w:rPr>
          <w:rFonts w:asciiTheme="minorHAnsi" w:hAnsiTheme="minorHAnsi" w:cstheme="minorHAnsi"/>
        </w:rPr>
        <w:t>Delete</w:t>
      </w:r>
      <w:r>
        <w:rPr>
          <w:rFonts w:asciiTheme="minorHAnsi" w:hAnsiTheme="minorHAnsi" w:cstheme="minorHAnsi"/>
        </w:rPr>
        <w:t xml:space="preserve"> from streamlined code 10693</w:t>
      </w:r>
      <w:r w:rsidRPr="00F30370">
        <w:rPr>
          <w:rFonts w:asciiTheme="minorHAnsi" w:hAnsiTheme="minorHAnsi" w:cstheme="minorHAnsi"/>
        </w:rPr>
        <w:t>: The treatment must not exce</w:t>
      </w:r>
      <w:r>
        <w:rPr>
          <w:rFonts w:asciiTheme="minorHAnsi" w:hAnsiTheme="minorHAnsi" w:cstheme="minorHAnsi"/>
        </w:rPr>
        <w:t>ed a total of 18</w:t>
      </w:r>
      <w:r w:rsidRPr="00F30370">
        <w:rPr>
          <w:rFonts w:asciiTheme="minorHAnsi" w:hAnsiTheme="minorHAnsi" w:cstheme="minorHAnsi"/>
        </w:rPr>
        <w:t xml:space="preserve"> cycles or up to 24 months of treatment under this restriction.</w:t>
      </w:r>
    </w:p>
    <w:p w14:paraId="38DE1E8D" w14:textId="77777777" w:rsidR="000D035D" w:rsidRDefault="000D035D" w:rsidP="0049113D">
      <w:pPr>
        <w:spacing w:after="120"/>
        <w:ind w:left="720"/>
        <w:rPr>
          <w:rFonts w:asciiTheme="minorHAnsi" w:hAnsiTheme="minorHAnsi" w:cstheme="minorHAnsi"/>
        </w:rPr>
      </w:pPr>
      <w:r w:rsidRPr="00F30370">
        <w:rPr>
          <w:rFonts w:asciiTheme="minorHAnsi" w:hAnsiTheme="minorHAnsi" w:cstheme="minorHAnsi"/>
        </w:rPr>
        <w:t>Add: The treatme</w:t>
      </w:r>
      <w:r>
        <w:rPr>
          <w:rFonts w:asciiTheme="minorHAnsi" w:hAnsiTheme="minorHAnsi" w:cstheme="minorHAnsi"/>
        </w:rPr>
        <w:t>nt must not exceed a total of 18</w:t>
      </w:r>
      <w:r w:rsidRPr="00F30370">
        <w:rPr>
          <w:rFonts w:asciiTheme="minorHAnsi" w:hAnsiTheme="minorHAnsi" w:cstheme="minorHAnsi"/>
        </w:rPr>
        <w:t xml:space="preserve"> cycles or up to 24 months of treatment under both initial and co</w:t>
      </w:r>
      <w:r>
        <w:rPr>
          <w:rFonts w:asciiTheme="minorHAnsi" w:hAnsiTheme="minorHAnsi" w:cstheme="minorHAnsi"/>
        </w:rPr>
        <w:t>ntinuing treatment restrictions</w:t>
      </w:r>
      <w:r w:rsidR="005A6965">
        <w:rPr>
          <w:rFonts w:asciiTheme="minorHAnsi" w:hAnsiTheme="minorHAnsi" w:cstheme="minorHAnsi"/>
        </w:rPr>
        <w:t>, whichever comes first</w:t>
      </w:r>
      <w:r w:rsidRPr="00F30370">
        <w:rPr>
          <w:rFonts w:asciiTheme="minorHAnsi" w:hAnsiTheme="minorHAnsi" w:cstheme="minorHAnsi"/>
        </w:rPr>
        <w:t>.</w:t>
      </w:r>
    </w:p>
    <w:p w14:paraId="3C46DCCB" w14:textId="77777777" w:rsidR="00590BE9" w:rsidRDefault="00590BE9" w:rsidP="00590BE9">
      <w:pPr>
        <w:rPr>
          <w:rFonts w:asciiTheme="minorHAnsi" w:hAnsiTheme="minorHAnsi" w:cstheme="minorHAnsi"/>
          <w:b/>
          <w:i/>
        </w:rPr>
      </w:pPr>
    </w:p>
    <w:p w14:paraId="05911BDC" w14:textId="77777777" w:rsidR="00BD14F9" w:rsidRDefault="0016412A" w:rsidP="0049113D">
      <w:pPr>
        <w:ind w:left="720"/>
        <w:rPr>
          <w:rFonts w:asciiTheme="minorHAnsi" w:hAnsiTheme="minorHAnsi" w:cstheme="minorHAnsi"/>
          <w:b/>
          <w:i/>
        </w:rPr>
      </w:pPr>
      <w:r w:rsidRPr="00A862C6">
        <w:rPr>
          <w:rFonts w:asciiTheme="minorHAnsi" w:hAnsiTheme="minorHAnsi" w:cstheme="minorHAnsi"/>
          <w:b/>
          <w:i/>
        </w:rPr>
        <w:t>This restriction may be subject to further review. Should there be any changes made to the restriction the Sponsor will be informed.</w:t>
      </w:r>
      <w:bookmarkEnd w:id="35"/>
    </w:p>
    <w:p w14:paraId="2AE67EAC" w14:textId="77777777" w:rsidR="00884CF1" w:rsidRDefault="00884CF1" w:rsidP="00590BE9">
      <w:pPr>
        <w:rPr>
          <w:rFonts w:asciiTheme="minorHAnsi" w:hAnsiTheme="minorHAnsi" w:cstheme="minorHAnsi"/>
          <w:b/>
          <w:i/>
        </w:rPr>
      </w:pPr>
    </w:p>
    <w:p w14:paraId="6796455A" w14:textId="77777777" w:rsidR="00884CF1" w:rsidRPr="00884CF1" w:rsidRDefault="00884CF1" w:rsidP="00884CF1">
      <w:pPr>
        <w:pStyle w:val="2-SectionHeading"/>
      </w:pPr>
      <w:r w:rsidRPr="00C07617">
        <w:t>Context for Decision</w:t>
      </w:r>
    </w:p>
    <w:p w14:paraId="0AEF88BB" w14:textId="77777777" w:rsidR="00884CF1" w:rsidRPr="007129F2" w:rsidRDefault="00884CF1" w:rsidP="00884CF1">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25D2B27" w14:textId="77777777" w:rsidR="00884CF1" w:rsidRPr="00884CF1" w:rsidRDefault="00884CF1" w:rsidP="00884CF1">
      <w:pPr>
        <w:pStyle w:val="2-SectionHeading"/>
      </w:pPr>
      <w:r>
        <w:t>Sponsor’s Comment</w:t>
      </w:r>
    </w:p>
    <w:p w14:paraId="6B4D3A00" w14:textId="77777777" w:rsidR="00884CF1" w:rsidRPr="001179AC" w:rsidRDefault="00884CF1" w:rsidP="00884CF1">
      <w:pPr>
        <w:spacing w:after="120"/>
        <w:ind w:left="426" w:firstLine="294"/>
        <w:rPr>
          <w:rFonts w:asciiTheme="minorHAnsi" w:hAnsiTheme="minorHAnsi"/>
          <w:bCs/>
        </w:rPr>
      </w:pPr>
      <w:r w:rsidRPr="00C07617">
        <w:rPr>
          <w:rFonts w:asciiTheme="minorHAnsi" w:hAnsiTheme="minorHAnsi"/>
          <w:bCs/>
        </w:rPr>
        <w:t>The sponsor had no comment.</w:t>
      </w:r>
    </w:p>
    <w:p w14:paraId="0CB7131B" w14:textId="77777777" w:rsidR="00884CF1" w:rsidRPr="00590BE9" w:rsidRDefault="00884CF1" w:rsidP="00590BE9">
      <w:pPr>
        <w:rPr>
          <w:rFonts w:asciiTheme="minorHAnsi" w:hAnsiTheme="minorHAnsi"/>
          <w:bCs/>
        </w:rPr>
      </w:pPr>
    </w:p>
    <w:sectPr w:rsidR="00884CF1" w:rsidRPr="00590BE9" w:rsidSect="00623AD6">
      <w:headerReference w:type="default" r:id="rId10"/>
      <w:footerReference w:type="default" r:id="rId1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516CA" w14:textId="77777777" w:rsidR="00816960" w:rsidRDefault="00816960" w:rsidP="00124A51">
      <w:r>
        <w:separator/>
      </w:r>
    </w:p>
    <w:p w14:paraId="5CE8198D" w14:textId="77777777" w:rsidR="00816960" w:rsidRDefault="00816960"/>
  </w:endnote>
  <w:endnote w:type="continuationSeparator" w:id="0">
    <w:p w14:paraId="74B34EFB" w14:textId="77777777" w:rsidR="00816960" w:rsidRDefault="00816960" w:rsidP="00124A51">
      <w:r>
        <w:continuationSeparator/>
      </w:r>
    </w:p>
    <w:p w14:paraId="1DE9FBC8" w14:textId="77777777" w:rsidR="00816960" w:rsidRDefault="00816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09F44" w14:textId="77777777" w:rsidR="00816960" w:rsidRDefault="00816960" w:rsidP="00810F7E">
    <w:pPr>
      <w:pStyle w:val="Footer"/>
      <w:jc w:val="center"/>
    </w:pPr>
  </w:p>
  <w:bookmarkStart w:id="38" w:name="_Hlk76375156"/>
  <w:p w14:paraId="4C5AABF9" w14:textId="56FEA8FB" w:rsidR="00816960" w:rsidRPr="005467E8" w:rsidRDefault="00816960" w:rsidP="00933B83">
    <w:pPr>
      <w:pStyle w:val="Footer"/>
      <w:widowControl w:val="0"/>
      <w:ind w:left="357"/>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3E5591">
      <w:rPr>
        <w:b/>
        <w:noProof/>
      </w:rPr>
      <w:t>22</w:t>
    </w:r>
    <w:r w:rsidRPr="00836F75">
      <w:rPr>
        <w:b/>
        <w:noProof/>
      </w:rPr>
      <w:fldChar w:fldCharType="end"/>
    </w:r>
    <w:bookmarkEnd w:id="3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9F965" w14:textId="77777777" w:rsidR="00816960" w:rsidRDefault="00816960">
      <w:r>
        <w:separator/>
      </w:r>
    </w:p>
  </w:footnote>
  <w:footnote w:type="continuationSeparator" w:id="0">
    <w:p w14:paraId="516392E7" w14:textId="77777777" w:rsidR="00816960" w:rsidRDefault="00816960" w:rsidP="00124A51">
      <w:r>
        <w:continuationSeparator/>
      </w:r>
    </w:p>
    <w:p w14:paraId="7407899F" w14:textId="77777777" w:rsidR="00816960" w:rsidRDefault="00816960"/>
  </w:footnote>
  <w:footnote w:id="1">
    <w:p w14:paraId="3E28BB26" w14:textId="77777777" w:rsidR="00816960" w:rsidRDefault="00816960">
      <w:pPr>
        <w:pStyle w:val="FootnoteText"/>
      </w:pPr>
      <w:r>
        <w:rPr>
          <w:rStyle w:val="FootnoteReference"/>
        </w:rPr>
        <w:footnoteRef/>
      </w:r>
      <w:r>
        <w:t xml:space="preserve"> </w:t>
      </w:r>
      <w:r w:rsidRPr="00C07D37">
        <w:t xml:space="preserve">Australian Institute of Health and Welfare (AIHW). Cancer data in Australia. Cat. no: CAN 122. AIHW. 2021; Available from: </w:t>
      </w:r>
      <w:hyperlink r:id="rId1" w:history="1">
        <w:r w:rsidRPr="006C5930">
          <w:rPr>
            <w:rStyle w:val="Hyperlink"/>
          </w:rPr>
          <w:t>https://www.aihw.gov.au/reports/cancer/cancer-data-in-australia/contents/summary</w:t>
        </w:r>
      </w:hyperlink>
      <w:r w:rsidRPr="00C07D37">
        <w:t xml:space="preserve">. </w:t>
      </w:r>
    </w:p>
  </w:footnote>
  <w:footnote w:id="2">
    <w:p w14:paraId="3BA07B9E" w14:textId="77777777" w:rsidR="00816960" w:rsidRDefault="00816960" w:rsidP="00FB238F">
      <w:pPr>
        <w:pStyle w:val="FootnoteText"/>
      </w:pPr>
      <w:r>
        <w:rPr>
          <w:rStyle w:val="FootnoteReference"/>
        </w:rPr>
        <w:footnoteRef/>
      </w:r>
      <w:r>
        <w:t xml:space="preserve"> </w:t>
      </w:r>
      <w:r w:rsidRPr="00C07D37">
        <w:t xml:space="preserve">Cancer Australia. Lung cancer: Types of lung cancer. Cancer Australia, Australian Government. 2020; Available from: </w:t>
      </w:r>
      <w:hyperlink r:id="rId2" w:history="1">
        <w:r w:rsidRPr="006C5930">
          <w:rPr>
            <w:rStyle w:val="Hyperlink"/>
          </w:rPr>
          <w:t>https://www.canceraustralia.gov.au/affected-cancer/cancer-types/lung-cancer/types-lung-cancer</w:t>
        </w:r>
      </w:hyperlink>
      <w:r>
        <w:t>.</w:t>
      </w:r>
    </w:p>
  </w:footnote>
  <w:footnote w:id="3">
    <w:p w14:paraId="16B33BEF" w14:textId="77777777" w:rsidR="00816960" w:rsidRDefault="00816960" w:rsidP="004E652C">
      <w:pPr>
        <w:pStyle w:val="FootnoteText"/>
      </w:pPr>
      <w:r>
        <w:rPr>
          <w:rStyle w:val="FootnoteReference"/>
        </w:rPr>
        <w:footnoteRef/>
      </w:r>
      <w:r>
        <w:t xml:space="preserve"> </w:t>
      </w:r>
      <w:r w:rsidRPr="003318B9">
        <w:rPr>
          <w:rFonts w:asciiTheme="minorHAnsi" w:hAnsiTheme="minorHAnsi"/>
          <w:bCs/>
          <w:sz w:val="16"/>
          <w:szCs w:val="24"/>
        </w:rPr>
        <w:t>Cherny NI, Dafni U, Bogaerts J, et al: ESMO-Magnitude of Clinical Benefit Scale version 1.1. Annals of Oncolog</w:t>
      </w:r>
      <w:r>
        <w:rPr>
          <w:rFonts w:asciiTheme="minorHAnsi" w:hAnsiTheme="minorHAnsi"/>
          <w:bCs/>
          <w:sz w:val="16"/>
          <w:szCs w:val="24"/>
        </w:rPr>
        <w:t>y 28:2340-2366, 2017</w:t>
      </w:r>
    </w:p>
  </w:footnote>
  <w:footnote w:id="4">
    <w:p w14:paraId="750F0A00" w14:textId="77777777" w:rsidR="00816960" w:rsidRDefault="00816960" w:rsidP="00CF5008">
      <w:pPr>
        <w:pStyle w:val="FootnoteText"/>
      </w:pPr>
      <w:r>
        <w:rPr>
          <w:rStyle w:val="FootnoteReference"/>
        </w:rPr>
        <w:footnoteRef/>
      </w:r>
      <w:r>
        <w:t xml:space="preserve"> </w:t>
      </w:r>
      <w:r w:rsidRPr="007336F2">
        <w:t xml:space="preserve">Bucher HC, Guyatt GH, </w:t>
      </w:r>
      <w:r>
        <w:rPr>
          <w:i/>
        </w:rPr>
        <w:t>et al</w:t>
      </w:r>
      <w:r w:rsidRPr="007336F2">
        <w:t xml:space="preserve">. The results of direct and indirect treatment comparisons in meta-analysis of randomized controlled trials. </w:t>
      </w:r>
      <w:r w:rsidRPr="007336F2">
        <w:rPr>
          <w:i/>
        </w:rPr>
        <w:t>Journal of clinical epidemiology</w:t>
      </w:r>
      <w:r w:rsidRPr="007336F2">
        <w:t>. 1997;50(6):683-91.</w:t>
      </w:r>
    </w:p>
  </w:footnote>
  <w:footnote w:id="5">
    <w:p w14:paraId="5CFF9B75" w14:textId="77777777" w:rsidR="00816960" w:rsidRDefault="00816960">
      <w:pPr>
        <w:pStyle w:val="FootnoteText"/>
      </w:pPr>
      <w:r>
        <w:rPr>
          <w:rStyle w:val="FootnoteReference"/>
        </w:rPr>
        <w:footnoteRef/>
      </w:r>
      <w:r>
        <w:t xml:space="preserve"> </w:t>
      </w:r>
      <w:r w:rsidRPr="004B10AF">
        <w:t xml:space="preserve">Dai L, Jin B, Liu T, </w:t>
      </w:r>
      <w:r>
        <w:rPr>
          <w:i/>
        </w:rPr>
        <w:t>et al</w:t>
      </w:r>
      <w:r w:rsidRPr="004B10AF">
        <w:t xml:space="preserve">. The effect of smoking status on efficacy of immune checkpoint inhibitors in metastatic non-small cell lung cancer: A systematic review and meta-analysis. </w:t>
      </w:r>
      <w:r w:rsidRPr="004B10AF">
        <w:rPr>
          <w:i/>
        </w:rPr>
        <w:t>EClinicalMedicine</w:t>
      </w:r>
      <w:r w:rsidRPr="004B10AF">
        <w:t>. 2021;38:100990.</w:t>
      </w:r>
    </w:p>
  </w:footnote>
  <w:footnote w:id="6">
    <w:p w14:paraId="54FBC247" w14:textId="77777777" w:rsidR="00816960" w:rsidRDefault="00816960">
      <w:pPr>
        <w:pStyle w:val="FootnoteText"/>
      </w:pPr>
      <w:r>
        <w:rPr>
          <w:rStyle w:val="FootnoteReference"/>
        </w:rPr>
        <w:footnoteRef/>
      </w:r>
      <w:r>
        <w:t xml:space="preserve"> </w:t>
      </w:r>
      <w:r w:rsidRPr="00A82490">
        <w:t>Drug Utilisation Sub-Committee (DUSC). Nivolumab for the treatment of non-small cell lung cancer: 24 month predicted versus actual analysis. 2020. Canberra.</w:t>
      </w:r>
    </w:p>
  </w:footnote>
  <w:footnote w:id="7">
    <w:p w14:paraId="5958F169" w14:textId="77777777" w:rsidR="00816960" w:rsidRDefault="00816960">
      <w:pPr>
        <w:pStyle w:val="FootnoteText"/>
      </w:pPr>
      <w:r>
        <w:rPr>
          <w:rStyle w:val="FootnoteReference"/>
        </w:rPr>
        <w:footnoteRef/>
      </w:r>
      <w:r>
        <w:t xml:space="preserve"> Proportion of subjects in KN042 who were enrolled from Asia was not reported, but should be </w:t>
      </w:r>
      <w:r>
        <w:rPr>
          <w:rFonts w:cs="Calibri"/>
        </w:rPr>
        <w:t xml:space="preserve">≥ </w:t>
      </w:r>
      <w:r>
        <w:t>31% (for East Asia).</w:t>
      </w:r>
    </w:p>
  </w:footnote>
  <w:footnote w:id="8">
    <w:p w14:paraId="44323E42" w14:textId="77777777" w:rsidR="00816960" w:rsidRDefault="00816960">
      <w:pPr>
        <w:pStyle w:val="FootnoteText"/>
      </w:pPr>
      <w:r>
        <w:rPr>
          <w:rStyle w:val="FootnoteReference"/>
        </w:rPr>
        <w:footnoteRef/>
      </w:r>
      <w:r>
        <w:t xml:space="preserve"> Relevant data in the PD-L1 TPS </w:t>
      </w:r>
      <w:r>
        <w:rPr>
          <w:rFonts w:cs="Calibri"/>
        </w:rPr>
        <w:t>≥</w:t>
      </w:r>
      <w:r>
        <w:t xml:space="preserve"> 50% were not available.</w:t>
      </w:r>
    </w:p>
  </w:footnote>
  <w:footnote w:id="9">
    <w:p w14:paraId="568B4025" w14:textId="77777777" w:rsidR="00816960" w:rsidRDefault="00816960">
      <w:pPr>
        <w:pStyle w:val="FootnoteText"/>
      </w:pPr>
      <w:r>
        <w:rPr>
          <w:rStyle w:val="FootnoteReference"/>
        </w:rPr>
        <w:footnoteRef/>
      </w:r>
      <w:r>
        <w:t xml:space="preserve"> </w:t>
      </w:r>
      <w:r w:rsidRPr="00A050CF">
        <w:t>Dietel</w:t>
      </w:r>
      <w:r>
        <w:t>,</w:t>
      </w:r>
      <w:r w:rsidRPr="00A050CF">
        <w:t xml:space="preserve"> M </w:t>
      </w:r>
      <w:r>
        <w:t>et. al</w:t>
      </w:r>
      <w:r w:rsidRPr="00A050CF">
        <w:t xml:space="preserve">. Real-world prevalence of programmed death ligand 1 expression in locally advanced or metastatic non-small-cell lung cancer: The global, multicenter EXPRESS study. </w:t>
      </w:r>
      <w:r w:rsidRPr="00A050CF">
        <w:rPr>
          <w:i/>
        </w:rPr>
        <w:t>Lung Cancer</w:t>
      </w:r>
      <w:r>
        <w:t>. 2019 Aug;134:174-179.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B610D" w14:textId="77777777" w:rsidR="00816960" w:rsidRPr="00056684" w:rsidRDefault="00816960" w:rsidP="005467E8">
    <w:pPr>
      <w:pStyle w:val="Header"/>
      <w:ind w:left="360"/>
      <w:rPr>
        <w:rFonts w:asciiTheme="minorHAnsi" w:hAnsiTheme="minorHAnsi"/>
        <w:i/>
        <w:color w:val="808080"/>
      </w:rPr>
    </w:pPr>
    <w:bookmarkStart w:id="37" w:name="_Hlk76375146"/>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November 2021</w:t>
    </w:r>
    <w:r w:rsidRPr="00056684">
      <w:rPr>
        <w:rFonts w:asciiTheme="minorHAnsi" w:hAnsiTheme="minorHAnsi"/>
        <w:i/>
        <w:color w:val="808080"/>
      </w:rPr>
      <w:t xml:space="preserve"> PBAC Meeting</w:t>
    </w:r>
  </w:p>
  <w:bookmarkEnd w:id="37"/>
  <w:p w14:paraId="2157188D" w14:textId="77777777" w:rsidR="00816960" w:rsidRPr="005467E8" w:rsidRDefault="00816960" w:rsidP="00546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A0CB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A58B1"/>
    <w:multiLevelType w:val="hybridMultilevel"/>
    <w:tmpl w:val="8FC4E8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6931D7"/>
    <w:multiLevelType w:val="hybridMultilevel"/>
    <w:tmpl w:val="99ACCAC0"/>
    <w:lvl w:ilvl="0" w:tplc="0C090001">
      <w:start w:val="1"/>
      <w:numFmt w:val="bullet"/>
      <w:lvlText w:val=""/>
      <w:lvlJc w:val="left"/>
      <w:pPr>
        <w:ind w:left="360" w:hanging="360"/>
      </w:pPr>
      <w:rPr>
        <w:rFonts w:ascii="Symbol" w:hAnsi="Symbol" w:hint="default"/>
      </w:rPr>
    </w:lvl>
    <w:lvl w:ilvl="1" w:tplc="A5AC608A">
      <w:start w:val="1"/>
      <w:numFmt w:val="lowerLetter"/>
      <w:lvlText w:val="%2)"/>
      <w:lvlJc w:val="left"/>
      <w:pPr>
        <w:ind w:left="1080" w:hanging="360"/>
      </w:pPr>
    </w:lvl>
    <w:lvl w:ilvl="2" w:tplc="75C46DC8">
      <w:numFmt w:val="decimal"/>
      <w:lvlText w:val="•"/>
      <w:lvlJc w:val="left"/>
      <w:pPr>
        <w:ind w:left="1980" w:hanging="360"/>
      </w:pPr>
      <w:rPr>
        <w:rFonts w:ascii="Calibri" w:eastAsiaTheme="minorHAnsi" w:hAnsi="Calibri" w:cs="Calibri"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3DF0258"/>
    <w:multiLevelType w:val="hybridMultilevel"/>
    <w:tmpl w:val="2A707D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DE6C9E"/>
    <w:multiLevelType w:val="multilevel"/>
    <w:tmpl w:val="99E43502"/>
    <w:name w:val="LT_Heading"/>
    <w:lvl w:ilvl="0">
      <w:start w:val="1"/>
      <w:numFmt w:val="bullet"/>
      <w:lvlRestart w:val="0"/>
      <w:pStyle w:val="ListBulletLevel1"/>
      <w:lvlText w:val=""/>
      <w:lvlJc w:val="left"/>
      <w:pPr>
        <w:tabs>
          <w:tab w:val="num" w:pos="720"/>
        </w:tabs>
        <w:ind w:left="720" w:hanging="357"/>
      </w:pPr>
      <w:rPr>
        <w:rFonts w:ascii="Symbol" w:hAnsi="Symbol" w:hint="default"/>
      </w:rPr>
    </w:lvl>
    <w:lvl w:ilvl="1">
      <w:start w:val="1"/>
      <w:numFmt w:val="bullet"/>
      <w:lvlText w:val=""/>
      <w:lvlJc w:val="left"/>
      <w:pPr>
        <w:tabs>
          <w:tab w:val="num" w:pos="1083"/>
        </w:tabs>
        <w:ind w:left="1083" w:hanging="363"/>
      </w:pPr>
      <w:rPr>
        <w:rFonts w:ascii="Symbol" w:hAnsi="Symbol" w:hint="default"/>
      </w:rPr>
    </w:lvl>
    <w:lvl w:ilvl="2">
      <w:start w:val="1"/>
      <w:numFmt w:val="bullet"/>
      <w:lvlText w:val=""/>
      <w:lvlJc w:val="left"/>
      <w:pPr>
        <w:tabs>
          <w:tab w:val="num" w:pos="1440"/>
        </w:tabs>
        <w:ind w:left="1440" w:hanging="357"/>
      </w:pPr>
      <w:rPr>
        <w:rFonts w:ascii="Symbol" w:hAnsi="Symbol" w:hint="default"/>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6" w15:restartNumberingAfterBreak="0">
    <w:nsid w:val="284E6825"/>
    <w:multiLevelType w:val="multilevel"/>
    <w:tmpl w:val="3AE4C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5C742DF"/>
    <w:multiLevelType w:val="hybridMultilevel"/>
    <w:tmpl w:val="22AA2A52"/>
    <w:lvl w:ilvl="0" w:tplc="9744A45A">
      <w:start w:val="1"/>
      <w:numFmt w:val="bullet"/>
      <w:lvlText w:val="-"/>
      <w:lvlJc w:val="left"/>
      <w:pPr>
        <w:ind w:left="1495" w:hanging="360"/>
      </w:pPr>
      <w:rPr>
        <w:rFonts w:ascii="Arial Narrow" w:hAnsi="Arial Narrow" w:hint="default"/>
      </w:rPr>
    </w:lvl>
    <w:lvl w:ilvl="1" w:tplc="DBE45128">
      <w:numFmt w:val="bullet"/>
      <w:lvlText w:val="•"/>
      <w:lvlJc w:val="left"/>
      <w:pPr>
        <w:ind w:left="2215" w:hanging="360"/>
      </w:pPr>
      <w:rPr>
        <w:rFonts w:ascii="Calibri" w:eastAsia="Times New Roman" w:hAnsi="Calibri" w:cs="Calibri"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8" w15:restartNumberingAfterBreak="0">
    <w:nsid w:val="44412292"/>
    <w:multiLevelType w:val="multilevel"/>
    <w:tmpl w:val="DEBE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A59CF"/>
    <w:multiLevelType w:val="hybridMultilevel"/>
    <w:tmpl w:val="BED238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A0445F4"/>
    <w:multiLevelType w:val="multilevel"/>
    <w:tmpl w:val="24401002"/>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69F53281"/>
    <w:multiLevelType w:val="hybridMultilevel"/>
    <w:tmpl w:val="523AFE5C"/>
    <w:lvl w:ilvl="0" w:tplc="0C090001">
      <w:start w:val="1"/>
      <w:numFmt w:val="bullet"/>
      <w:lvlText w:val=""/>
      <w:lvlJc w:val="left"/>
      <w:pPr>
        <w:ind w:left="360" w:hanging="360"/>
      </w:pPr>
      <w:rPr>
        <w:rFonts w:ascii="Symbol" w:hAnsi="Symbol" w:hint="default"/>
      </w:rPr>
    </w:lvl>
    <w:lvl w:ilvl="1" w:tplc="A5AC608A">
      <w:start w:val="1"/>
      <w:numFmt w:val="lowerLetter"/>
      <w:lvlText w:val="%2)"/>
      <w:lvlJc w:val="left"/>
      <w:pPr>
        <w:ind w:left="1080" w:hanging="360"/>
      </w:pPr>
    </w:lvl>
    <w:lvl w:ilvl="2" w:tplc="75C46DC8">
      <w:numFmt w:val="decimal"/>
      <w:lvlText w:val="•"/>
      <w:lvlJc w:val="left"/>
      <w:pPr>
        <w:ind w:left="1980" w:hanging="360"/>
      </w:pPr>
      <w:rPr>
        <w:rFonts w:ascii="Calibri" w:eastAsiaTheme="minorHAnsi" w:hAnsi="Calibri" w:cs="Calibri"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6B6B3650"/>
    <w:multiLevelType w:val="hybridMultilevel"/>
    <w:tmpl w:val="D8E09D3A"/>
    <w:lvl w:ilvl="0" w:tplc="337C67A8">
      <w:start w:val="1"/>
      <w:numFmt w:val="bullet"/>
      <w:pStyle w:val="Submission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765914"/>
    <w:multiLevelType w:val="hybridMultilevel"/>
    <w:tmpl w:val="24A087BA"/>
    <w:lvl w:ilvl="0" w:tplc="9744A45A">
      <w:start w:val="1"/>
      <w:numFmt w:val="bullet"/>
      <w:lvlText w:val="-"/>
      <w:lvlJc w:val="left"/>
      <w:pPr>
        <w:ind w:left="1854" w:hanging="360"/>
      </w:pPr>
      <w:rPr>
        <w:rFonts w:ascii="Arial Narrow" w:hAnsi="Arial Narrow"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5"/>
  </w:num>
  <w:num w:numId="2">
    <w:abstractNumId w:val="9"/>
  </w:num>
  <w:num w:numId="3">
    <w:abstractNumId w:val="10"/>
  </w:num>
  <w:num w:numId="4">
    <w:abstractNumId w:val="0"/>
  </w:num>
  <w:num w:numId="5">
    <w:abstractNumId w:val="5"/>
  </w:num>
  <w:num w:numId="6">
    <w:abstractNumId w:val="2"/>
  </w:num>
  <w:num w:numId="7">
    <w:abstractNumId w:val="13"/>
  </w:num>
  <w:num w:numId="8">
    <w:abstractNumId w:val="14"/>
  </w:num>
  <w:num w:numId="9">
    <w:abstractNumId w:val="12"/>
  </w:num>
  <w:num w:numId="10">
    <w:abstractNumId w:val="3"/>
  </w:num>
  <w:num w:numId="11">
    <w:abstractNumId w:val="4"/>
  </w:num>
  <w:num w:numId="12">
    <w:abstractNumId w:val="1"/>
  </w:num>
  <w:num w:numId="13">
    <w:abstractNumId w:val="7"/>
  </w:num>
  <w:num w:numId="14">
    <w:abstractNumId w:val="16"/>
  </w:num>
  <w:num w:numId="15">
    <w:abstractNumId w:val="11"/>
  </w:num>
  <w:num w:numId="16">
    <w:abstractNumId w:val="8"/>
  </w:num>
  <w:num w:numId="17">
    <w:abstractNumId w:val="6"/>
  </w:num>
  <w:num w:numId="18">
    <w:abstractNumId w:val="15"/>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xvptxe6ee0xnewzsa50pxw9a95zwps5d5p&quot;&gt;Cemiplimab NSCLC&lt;record-ids&gt;&lt;item&gt;114&lt;/item&gt;&lt;item&gt;131&lt;/item&gt;&lt;item&gt;190&lt;/item&gt;&lt;item&gt;192&lt;/item&gt;&lt;item&gt;193&lt;/item&gt;&lt;item&gt;196&lt;/item&gt;&lt;item&gt;197&lt;/item&gt;&lt;item&gt;198&lt;/item&gt;&lt;item&gt;199&lt;/item&gt;&lt;item&gt;210&lt;/item&gt;&lt;item&gt;211&lt;/item&gt;&lt;item&gt;212&lt;/item&gt;&lt;item&gt;213&lt;/item&gt;&lt;item&gt;214&lt;/item&gt;&lt;item&gt;215&lt;/item&gt;&lt;item&gt;216&lt;/item&gt;&lt;item&gt;217&lt;/item&gt;&lt;item&gt;218&lt;/item&gt;&lt;item&gt;219&lt;/item&gt;&lt;item&gt;220&lt;/item&gt;&lt;item&gt;221&lt;/item&gt;&lt;/record-ids&gt;&lt;/item&gt;&lt;/Libraries&gt;"/>
  </w:docVars>
  <w:rsids>
    <w:rsidRoot w:val="00E65E79"/>
    <w:rsid w:val="00000790"/>
    <w:rsid w:val="0000110B"/>
    <w:rsid w:val="00003499"/>
    <w:rsid w:val="000039B7"/>
    <w:rsid w:val="00003A3E"/>
    <w:rsid w:val="000043EC"/>
    <w:rsid w:val="0000639A"/>
    <w:rsid w:val="000065AB"/>
    <w:rsid w:val="0000736C"/>
    <w:rsid w:val="00007D7C"/>
    <w:rsid w:val="0001046D"/>
    <w:rsid w:val="00011C32"/>
    <w:rsid w:val="00011F2C"/>
    <w:rsid w:val="00012290"/>
    <w:rsid w:val="00012D1B"/>
    <w:rsid w:val="00013247"/>
    <w:rsid w:val="0001357A"/>
    <w:rsid w:val="00015886"/>
    <w:rsid w:val="000159F7"/>
    <w:rsid w:val="00015E58"/>
    <w:rsid w:val="000162EF"/>
    <w:rsid w:val="000207C9"/>
    <w:rsid w:val="00020C70"/>
    <w:rsid w:val="0002225F"/>
    <w:rsid w:val="00023123"/>
    <w:rsid w:val="00023763"/>
    <w:rsid w:val="000238B8"/>
    <w:rsid w:val="00023BB3"/>
    <w:rsid w:val="00023F98"/>
    <w:rsid w:val="00024042"/>
    <w:rsid w:val="000243EF"/>
    <w:rsid w:val="000254A9"/>
    <w:rsid w:val="000256BA"/>
    <w:rsid w:val="00026938"/>
    <w:rsid w:val="000274B8"/>
    <w:rsid w:val="00027DF6"/>
    <w:rsid w:val="00032929"/>
    <w:rsid w:val="0003349B"/>
    <w:rsid w:val="00033863"/>
    <w:rsid w:val="00034492"/>
    <w:rsid w:val="00034779"/>
    <w:rsid w:val="00034E4B"/>
    <w:rsid w:val="00035C0F"/>
    <w:rsid w:val="00035DC0"/>
    <w:rsid w:val="00036829"/>
    <w:rsid w:val="00040895"/>
    <w:rsid w:val="0004186E"/>
    <w:rsid w:val="00041B5F"/>
    <w:rsid w:val="000435EE"/>
    <w:rsid w:val="00043C37"/>
    <w:rsid w:val="00044149"/>
    <w:rsid w:val="00045017"/>
    <w:rsid w:val="00045A2B"/>
    <w:rsid w:val="0004698F"/>
    <w:rsid w:val="00047071"/>
    <w:rsid w:val="00047F87"/>
    <w:rsid w:val="000506AB"/>
    <w:rsid w:val="0005080B"/>
    <w:rsid w:val="00050A47"/>
    <w:rsid w:val="000539D0"/>
    <w:rsid w:val="00054384"/>
    <w:rsid w:val="00054621"/>
    <w:rsid w:val="000546D7"/>
    <w:rsid w:val="00054A4E"/>
    <w:rsid w:val="00056052"/>
    <w:rsid w:val="00056ECF"/>
    <w:rsid w:val="000604DF"/>
    <w:rsid w:val="00060E03"/>
    <w:rsid w:val="0006366D"/>
    <w:rsid w:val="000638A6"/>
    <w:rsid w:val="000638CC"/>
    <w:rsid w:val="000638D1"/>
    <w:rsid w:val="000641D2"/>
    <w:rsid w:val="000653B5"/>
    <w:rsid w:val="00066360"/>
    <w:rsid w:val="00066AF8"/>
    <w:rsid w:val="0006719B"/>
    <w:rsid w:val="00071248"/>
    <w:rsid w:val="000714C3"/>
    <w:rsid w:val="00071A66"/>
    <w:rsid w:val="000720B9"/>
    <w:rsid w:val="000728EE"/>
    <w:rsid w:val="000737F7"/>
    <w:rsid w:val="00073D07"/>
    <w:rsid w:val="0007627B"/>
    <w:rsid w:val="0007672F"/>
    <w:rsid w:val="00076B54"/>
    <w:rsid w:val="000774F0"/>
    <w:rsid w:val="00080418"/>
    <w:rsid w:val="00080667"/>
    <w:rsid w:val="00080909"/>
    <w:rsid w:val="000812CA"/>
    <w:rsid w:val="00081DEC"/>
    <w:rsid w:val="00081E63"/>
    <w:rsid w:val="0008258D"/>
    <w:rsid w:val="00083E99"/>
    <w:rsid w:val="00084FA8"/>
    <w:rsid w:val="000856C5"/>
    <w:rsid w:val="00085B15"/>
    <w:rsid w:val="00085C31"/>
    <w:rsid w:val="000902D9"/>
    <w:rsid w:val="00090647"/>
    <w:rsid w:val="00090C7E"/>
    <w:rsid w:val="0009190E"/>
    <w:rsid w:val="00092600"/>
    <w:rsid w:val="0009262B"/>
    <w:rsid w:val="00093310"/>
    <w:rsid w:val="0009445C"/>
    <w:rsid w:val="00095200"/>
    <w:rsid w:val="00095FE5"/>
    <w:rsid w:val="00096284"/>
    <w:rsid w:val="000A0399"/>
    <w:rsid w:val="000A13A3"/>
    <w:rsid w:val="000A1BC0"/>
    <w:rsid w:val="000A1CE1"/>
    <w:rsid w:val="000A276B"/>
    <w:rsid w:val="000A305C"/>
    <w:rsid w:val="000A5431"/>
    <w:rsid w:val="000A5F6A"/>
    <w:rsid w:val="000A6039"/>
    <w:rsid w:val="000A7453"/>
    <w:rsid w:val="000A7D08"/>
    <w:rsid w:val="000B0121"/>
    <w:rsid w:val="000B0670"/>
    <w:rsid w:val="000B0845"/>
    <w:rsid w:val="000B0AE9"/>
    <w:rsid w:val="000B0E75"/>
    <w:rsid w:val="000B0F63"/>
    <w:rsid w:val="000B11B7"/>
    <w:rsid w:val="000B2CAE"/>
    <w:rsid w:val="000B2DCB"/>
    <w:rsid w:val="000B5CE0"/>
    <w:rsid w:val="000B6CAC"/>
    <w:rsid w:val="000B7612"/>
    <w:rsid w:val="000B78AE"/>
    <w:rsid w:val="000C2162"/>
    <w:rsid w:val="000C23E1"/>
    <w:rsid w:val="000C2707"/>
    <w:rsid w:val="000C2DFC"/>
    <w:rsid w:val="000C3BD8"/>
    <w:rsid w:val="000C3DF9"/>
    <w:rsid w:val="000C4785"/>
    <w:rsid w:val="000C581F"/>
    <w:rsid w:val="000C6713"/>
    <w:rsid w:val="000C672D"/>
    <w:rsid w:val="000D035D"/>
    <w:rsid w:val="000D0FFB"/>
    <w:rsid w:val="000D1BFC"/>
    <w:rsid w:val="000D1D5D"/>
    <w:rsid w:val="000D2357"/>
    <w:rsid w:val="000D281A"/>
    <w:rsid w:val="000D2848"/>
    <w:rsid w:val="000D2EC4"/>
    <w:rsid w:val="000D326A"/>
    <w:rsid w:val="000D4A1C"/>
    <w:rsid w:val="000D51FB"/>
    <w:rsid w:val="000D59AD"/>
    <w:rsid w:val="000D5A73"/>
    <w:rsid w:val="000E0640"/>
    <w:rsid w:val="000E135D"/>
    <w:rsid w:val="000E37B1"/>
    <w:rsid w:val="000E4A97"/>
    <w:rsid w:val="000E4D4F"/>
    <w:rsid w:val="000E6325"/>
    <w:rsid w:val="000F00BA"/>
    <w:rsid w:val="000F0A5E"/>
    <w:rsid w:val="000F1643"/>
    <w:rsid w:val="000F17AD"/>
    <w:rsid w:val="000F2D49"/>
    <w:rsid w:val="000F316A"/>
    <w:rsid w:val="000F3C74"/>
    <w:rsid w:val="000F47AD"/>
    <w:rsid w:val="000F4BB8"/>
    <w:rsid w:val="000F4FA9"/>
    <w:rsid w:val="000F53FB"/>
    <w:rsid w:val="000F57FC"/>
    <w:rsid w:val="000F69CE"/>
    <w:rsid w:val="000F7127"/>
    <w:rsid w:val="000F7B54"/>
    <w:rsid w:val="00100F8A"/>
    <w:rsid w:val="00101022"/>
    <w:rsid w:val="00101073"/>
    <w:rsid w:val="00101744"/>
    <w:rsid w:val="0010347C"/>
    <w:rsid w:val="00103C65"/>
    <w:rsid w:val="0010452E"/>
    <w:rsid w:val="00105AE2"/>
    <w:rsid w:val="001060C6"/>
    <w:rsid w:val="00106B80"/>
    <w:rsid w:val="00106B9A"/>
    <w:rsid w:val="00107201"/>
    <w:rsid w:val="0010767E"/>
    <w:rsid w:val="0011032E"/>
    <w:rsid w:val="001116D4"/>
    <w:rsid w:val="0011348B"/>
    <w:rsid w:val="0011525E"/>
    <w:rsid w:val="00115982"/>
    <w:rsid w:val="00116C53"/>
    <w:rsid w:val="00116CDC"/>
    <w:rsid w:val="00116E0A"/>
    <w:rsid w:val="00120842"/>
    <w:rsid w:val="00121799"/>
    <w:rsid w:val="001222FC"/>
    <w:rsid w:val="00122698"/>
    <w:rsid w:val="00123902"/>
    <w:rsid w:val="001239C5"/>
    <w:rsid w:val="00123A2A"/>
    <w:rsid w:val="0012430B"/>
    <w:rsid w:val="00124A51"/>
    <w:rsid w:val="00126621"/>
    <w:rsid w:val="001269BE"/>
    <w:rsid w:val="001269F7"/>
    <w:rsid w:val="00126A13"/>
    <w:rsid w:val="00126B1D"/>
    <w:rsid w:val="001276F8"/>
    <w:rsid w:val="001301E9"/>
    <w:rsid w:val="00130C40"/>
    <w:rsid w:val="00130F86"/>
    <w:rsid w:val="00131D82"/>
    <w:rsid w:val="00132B22"/>
    <w:rsid w:val="00133140"/>
    <w:rsid w:val="00133D36"/>
    <w:rsid w:val="00134F80"/>
    <w:rsid w:val="00135C3D"/>
    <w:rsid w:val="00137645"/>
    <w:rsid w:val="0014015A"/>
    <w:rsid w:val="001405A0"/>
    <w:rsid w:val="001407B6"/>
    <w:rsid w:val="001408C1"/>
    <w:rsid w:val="00140E99"/>
    <w:rsid w:val="0014122C"/>
    <w:rsid w:val="00143F67"/>
    <w:rsid w:val="0014512F"/>
    <w:rsid w:val="00145540"/>
    <w:rsid w:val="001456B0"/>
    <w:rsid w:val="00145E7E"/>
    <w:rsid w:val="00147793"/>
    <w:rsid w:val="00150A4C"/>
    <w:rsid w:val="001517ED"/>
    <w:rsid w:val="00151A39"/>
    <w:rsid w:val="00151FED"/>
    <w:rsid w:val="00152744"/>
    <w:rsid w:val="00152D6F"/>
    <w:rsid w:val="00153791"/>
    <w:rsid w:val="001549BD"/>
    <w:rsid w:val="00156F8F"/>
    <w:rsid w:val="00157130"/>
    <w:rsid w:val="00157275"/>
    <w:rsid w:val="001576B1"/>
    <w:rsid w:val="00157B39"/>
    <w:rsid w:val="0016047B"/>
    <w:rsid w:val="00160579"/>
    <w:rsid w:val="0016065C"/>
    <w:rsid w:val="00160A4C"/>
    <w:rsid w:val="00160ADA"/>
    <w:rsid w:val="0016100F"/>
    <w:rsid w:val="0016284C"/>
    <w:rsid w:val="00162913"/>
    <w:rsid w:val="0016334B"/>
    <w:rsid w:val="00163EFF"/>
    <w:rsid w:val="00163F66"/>
    <w:rsid w:val="0016412A"/>
    <w:rsid w:val="001661FB"/>
    <w:rsid w:val="00166C2D"/>
    <w:rsid w:val="001671A0"/>
    <w:rsid w:val="0016767F"/>
    <w:rsid w:val="00167843"/>
    <w:rsid w:val="00167A71"/>
    <w:rsid w:val="00170005"/>
    <w:rsid w:val="001701BB"/>
    <w:rsid w:val="00170792"/>
    <w:rsid w:val="00171491"/>
    <w:rsid w:val="00171A63"/>
    <w:rsid w:val="00172E8C"/>
    <w:rsid w:val="00173565"/>
    <w:rsid w:val="00173B07"/>
    <w:rsid w:val="00174D8C"/>
    <w:rsid w:val="001751FA"/>
    <w:rsid w:val="0017678F"/>
    <w:rsid w:val="00176823"/>
    <w:rsid w:val="00177515"/>
    <w:rsid w:val="00177D6A"/>
    <w:rsid w:val="00181135"/>
    <w:rsid w:val="00181A22"/>
    <w:rsid w:val="00181D9C"/>
    <w:rsid w:val="00182ADF"/>
    <w:rsid w:val="001842B5"/>
    <w:rsid w:val="00184B0E"/>
    <w:rsid w:val="0018667B"/>
    <w:rsid w:val="00186ACC"/>
    <w:rsid w:val="0018752F"/>
    <w:rsid w:val="00187B24"/>
    <w:rsid w:val="00187F08"/>
    <w:rsid w:val="00193835"/>
    <w:rsid w:val="00193838"/>
    <w:rsid w:val="0019446E"/>
    <w:rsid w:val="00194AD8"/>
    <w:rsid w:val="00195222"/>
    <w:rsid w:val="00195278"/>
    <w:rsid w:val="00195776"/>
    <w:rsid w:val="00196D1C"/>
    <w:rsid w:val="001975D8"/>
    <w:rsid w:val="001A051B"/>
    <w:rsid w:val="001A178E"/>
    <w:rsid w:val="001A1FB4"/>
    <w:rsid w:val="001A241F"/>
    <w:rsid w:val="001A43FA"/>
    <w:rsid w:val="001A47C5"/>
    <w:rsid w:val="001A5711"/>
    <w:rsid w:val="001A59FB"/>
    <w:rsid w:val="001A5B81"/>
    <w:rsid w:val="001A5E9E"/>
    <w:rsid w:val="001A6354"/>
    <w:rsid w:val="001A6366"/>
    <w:rsid w:val="001A6692"/>
    <w:rsid w:val="001A7AE8"/>
    <w:rsid w:val="001B204E"/>
    <w:rsid w:val="001B2299"/>
    <w:rsid w:val="001B2372"/>
    <w:rsid w:val="001B30FA"/>
    <w:rsid w:val="001B3443"/>
    <w:rsid w:val="001B35DF"/>
    <w:rsid w:val="001B3F4D"/>
    <w:rsid w:val="001B4D20"/>
    <w:rsid w:val="001B55C3"/>
    <w:rsid w:val="001B5B91"/>
    <w:rsid w:val="001B6716"/>
    <w:rsid w:val="001B6B33"/>
    <w:rsid w:val="001B7E6E"/>
    <w:rsid w:val="001C0392"/>
    <w:rsid w:val="001C1105"/>
    <w:rsid w:val="001C2A9B"/>
    <w:rsid w:val="001C3F09"/>
    <w:rsid w:val="001C4299"/>
    <w:rsid w:val="001C4549"/>
    <w:rsid w:val="001C4874"/>
    <w:rsid w:val="001C5E0F"/>
    <w:rsid w:val="001C5F94"/>
    <w:rsid w:val="001C61A4"/>
    <w:rsid w:val="001C6E66"/>
    <w:rsid w:val="001D1100"/>
    <w:rsid w:val="001D1391"/>
    <w:rsid w:val="001D17E8"/>
    <w:rsid w:val="001D25D7"/>
    <w:rsid w:val="001D2E6B"/>
    <w:rsid w:val="001D40D6"/>
    <w:rsid w:val="001D44CF"/>
    <w:rsid w:val="001D50B2"/>
    <w:rsid w:val="001D6D48"/>
    <w:rsid w:val="001D6E16"/>
    <w:rsid w:val="001D7645"/>
    <w:rsid w:val="001E1E86"/>
    <w:rsid w:val="001E238E"/>
    <w:rsid w:val="001E23DC"/>
    <w:rsid w:val="001E2483"/>
    <w:rsid w:val="001E2B1E"/>
    <w:rsid w:val="001E2CFF"/>
    <w:rsid w:val="001E2DDD"/>
    <w:rsid w:val="001E2F24"/>
    <w:rsid w:val="001E30D4"/>
    <w:rsid w:val="001E317D"/>
    <w:rsid w:val="001E34DF"/>
    <w:rsid w:val="001E3880"/>
    <w:rsid w:val="001E5256"/>
    <w:rsid w:val="001E52EB"/>
    <w:rsid w:val="001E574F"/>
    <w:rsid w:val="001E61D2"/>
    <w:rsid w:val="001E740C"/>
    <w:rsid w:val="001F031E"/>
    <w:rsid w:val="001F1235"/>
    <w:rsid w:val="001F12AD"/>
    <w:rsid w:val="001F1CB3"/>
    <w:rsid w:val="001F29EA"/>
    <w:rsid w:val="001F38B5"/>
    <w:rsid w:val="001F4081"/>
    <w:rsid w:val="001F42E4"/>
    <w:rsid w:val="001F45BE"/>
    <w:rsid w:val="001F4D75"/>
    <w:rsid w:val="001F5BD6"/>
    <w:rsid w:val="001F69BC"/>
    <w:rsid w:val="001F7361"/>
    <w:rsid w:val="001F7DA2"/>
    <w:rsid w:val="00200BC4"/>
    <w:rsid w:val="002011B0"/>
    <w:rsid w:val="00201773"/>
    <w:rsid w:val="002027BD"/>
    <w:rsid w:val="00203181"/>
    <w:rsid w:val="00203783"/>
    <w:rsid w:val="0020385F"/>
    <w:rsid w:val="00204314"/>
    <w:rsid w:val="002048F1"/>
    <w:rsid w:val="002068A0"/>
    <w:rsid w:val="00207021"/>
    <w:rsid w:val="0020732F"/>
    <w:rsid w:val="0020757B"/>
    <w:rsid w:val="00207D00"/>
    <w:rsid w:val="002105C1"/>
    <w:rsid w:val="002106D5"/>
    <w:rsid w:val="002110D0"/>
    <w:rsid w:val="00211D2A"/>
    <w:rsid w:val="00211D32"/>
    <w:rsid w:val="002126F3"/>
    <w:rsid w:val="00212A7D"/>
    <w:rsid w:val="002135DD"/>
    <w:rsid w:val="00213EF5"/>
    <w:rsid w:val="00215733"/>
    <w:rsid w:val="00215CBA"/>
    <w:rsid w:val="00216B26"/>
    <w:rsid w:val="00216BF5"/>
    <w:rsid w:val="00217372"/>
    <w:rsid w:val="002177FE"/>
    <w:rsid w:val="00217F61"/>
    <w:rsid w:val="002229D9"/>
    <w:rsid w:val="00223B49"/>
    <w:rsid w:val="00223BCB"/>
    <w:rsid w:val="00223D5A"/>
    <w:rsid w:val="00224CB4"/>
    <w:rsid w:val="00224DD4"/>
    <w:rsid w:val="002278A0"/>
    <w:rsid w:val="002309CC"/>
    <w:rsid w:val="0023209F"/>
    <w:rsid w:val="0023215D"/>
    <w:rsid w:val="00232795"/>
    <w:rsid w:val="00232879"/>
    <w:rsid w:val="00233C01"/>
    <w:rsid w:val="0023410B"/>
    <w:rsid w:val="0023413C"/>
    <w:rsid w:val="002346F0"/>
    <w:rsid w:val="00234CFF"/>
    <w:rsid w:val="002357CD"/>
    <w:rsid w:val="0023629D"/>
    <w:rsid w:val="00237255"/>
    <w:rsid w:val="00240ABA"/>
    <w:rsid w:val="002424AF"/>
    <w:rsid w:val="00243399"/>
    <w:rsid w:val="002439DC"/>
    <w:rsid w:val="002441D2"/>
    <w:rsid w:val="00244DC8"/>
    <w:rsid w:val="002458BA"/>
    <w:rsid w:val="00245CE9"/>
    <w:rsid w:val="0024636C"/>
    <w:rsid w:val="00246C05"/>
    <w:rsid w:val="00247925"/>
    <w:rsid w:val="00251006"/>
    <w:rsid w:val="002518C6"/>
    <w:rsid w:val="002524D5"/>
    <w:rsid w:val="002528FC"/>
    <w:rsid w:val="00253A5B"/>
    <w:rsid w:val="00253B1D"/>
    <w:rsid w:val="00254DCF"/>
    <w:rsid w:val="0025534B"/>
    <w:rsid w:val="00255AEE"/>
    <w:rsid w:val="00255B77"/>
    <w:rsid w:val="00255BB7"/>
    <w:rsid w:val="0025618A"/>
    <w:rsid w:val="00256771"/>
    <w:rsid w:val="00257541"/>
    <w:rsid w:val="00257A39"/>
    <w:rsid w:val="00257AC4"/>
    <w:rsid w:val="002605EE"/>
    <w:rsid w:val="0026151A"/>
    <w:rsid w:val="00261EEF"/>
    <w:rsid w:val="00262A1A"/>
    <w:rsid w:val="00262A87"/>
    <w:rsid w:val="00262B24"/>
    <w:rsid w:val="002634B5"/>
    <w:rsid w:val="00263666"/>
    <w:rsid w:val="00264D26"/>
    <w:rsid w:val="0026633E"/>
    <w:rsid w:val="00266E99"/>
    <w:rsid w:val="002675C9"/>
    <w:rsid w:val="00267642"/>
    <w:rsid w:val="00267772"/>
    <w:rsid w:val="00267AEA"/>
    <w:rsid w:val="002700E6"/>
    <w:rsid w:val="00272551"/>
    <w:rsid w:val="00272900"/>
    <w:rsid w:val="0027294B"/>
    <w:rsid w:val="00272BB9"/>
    <w:rsid w:val="00273EB4"/>
    <w:rsid w:val="002740BE"/>
    <w:rsid w:val="00274682"/>
    <w:rsid w:val="002758AC"/>
    <w:rsid w:val="00275B05"/>
    <w:rsid w:val="00275C5A"/>
    <w:rsid w:val="00275DF1"/>
    <w:rsid w:val="002772D6"/>
    <w:rsid w:val="00277805"/>
    <w:rsid w:val="00281014"/>
    <w:rsid w:val="00281016"/>
    <w:rsid w:val="002838D9"/>
    <w:rsid w:val="00283ADC"/>
    <w:rsid w:val="0028617C"/>
    <w:rsid w:val="0028665D"/>
    <w:rsid w:val="0028764C"/>
    <w:rsid w:val="002920E9"/>
    <w:rsid w:val="00293B70"/>
    <w:rsid w:val="00294FEE"/>
    <w:rsid w:val="00296797"/>
    <w:rsid w:val="00297CF6"/>
    <w:rsid w:val="002A0B6B"/>
    <w:rsid w:val="002A14AB"/>
    <w:rsid w:val="002A1839"/>
    <w:rsid w:val="002A18E5"/>
    <w:rsid w:val="002A2ADE"/>
    <w:rsid w:val="002A2F50"/>
    <w:rsid w:val="002A4BE7"/>
    <w:rsid w:val="002A50CB"/>
    <w:rsid w:val="002A615A"/>
    <w:rsid w:val="002A727E"/>
    <w:rsid w:val="002B0113"/>
    <w:rsid w:val="002B05A1"/>
    <w:rsid w:val="002B09A4"/>
    <w:rsid w:val="002B16B9"/>
    <w:rsid w:val="002B198E"/>
    <w:rsid w:val="002B1A20"/>
    <w:rsid w:val="002B1C1F"/>
    <w:rsid w:val="002B246C"/>
    <w:rsid w:val="002B432F"/>
    <w:rsid w:val="002B62B3"/>
    <w:rsid w:val="002B6754"/>
    <w:rsid w:val="002B6CCE"/>
    <w:rsid w:val="002C2510"/>
    <w:rsid w:val="002C2775"/>
    <w:rsid w:val="002C27C1"/>
    <w:rsid w:val="002C293D"/>
    <w:rsid w:val="002C29E2"/>
    <w:rsid w:val="002C3A41"/>
    <w:rsid w:val="002C5099"/>
    <w:rsid w:val="002C5889"/>
    <w:rsid w:val="002C5A86"/>
    <w:rsid w:val="002C627C"/>
    <w:rsid w:val="002C6632"/>
    <w:rsid w:val="002C6C29"/>
    <w:rsid w:val="002C6D7F"/>
    <w:rsid w:val="002C6EF3"/>
    <w:rsid w:val="002C71CE"/>
    <w:rsid w:val="002C7DBE"/>
    <w:rsid w:val="002D08F8"/>
    <w:rsid w:val="002D26C7"/>
    <w:rsid w:val="002D2BDD"/>
    <w:rsid w:val="002D2D7D"/>
    <w:rsid w:val="002D5010"/>
    <w:rsid w:val="002D577C"/>
    <w:rsid w:val="002D5950"/>
    <w:rsid w:val="002D6D1E"/>
    <w:rsid w:val="002D700E"/>
    <w:rsid w:val="002D7F93"/>
    <w:rsid w:val="002E047B"/>
    <w:rsid w:val="002E1071"/>
    <w:rsid w:val="002E15B9"/>
    <w:rsid w:val="002E18DD"/>
    <w:rsid w:val="002E2158"/>
    <w:rsid w:val="002E3923"/>
    <w:rsid w:val="002E3E32"/>
    <w:rsid w:val="002E412C"/>
    <w:rsid w:val="002E4506"/>
    <w:rsid w:val="002E4F02"/>
    <w:rsid w:val="002E5BB4"/>
    <w:rsid w:val="002E7722"/>
    <w:rsid w:val="002F07BA"/>
    <w:rsid w:val="002F0DA9"/>
    <w:rsid w:val="002F1014"/>
    <w:rsid w:val="002F23C9"/>
    <w:rsid w:val="002F24E0"/>
    <w:rsid w:val="002F2882"/>
    <w:rsid w:val="002F2AB5"/>
    <w:rsid w:val="002F3FD9"/>
    <w:rsid w:val="002F534F"/>
    <w:rsid w:val="002F643C"/>
    <w:rsid w:val="002F71C0"/>
    <w:rsid w:val="002F7416"/>
    <w:rsid w:val="002F74F1"/>
    <w:rsid w:val="00301017"/>
    <w:rsid w:val="0030121F"/>
    <w:rsid w:val="0030155F"/>
    <w:rsid w:val="00302859"/>
    <w:rsid w:val="003034E0"/>
    <w:rsid w:val="0030417C"/>
    <w:rsid w:val="00304574"/>
    <w:rsid w:val="0030587B"/>
    <w:rsid w:val="00305B76"/>
    <w:rsid w:val="00306D98"/>
    <w:rsid w:val="0030720E"/>
    <w:rsid w:val="00307683"/>
    <w:rsid w:val="0030786C"/>
    <w:rsid w:val="00307CF9"/>
    <w:rsid w:val="0031031A"/>
    <w:rsid w:val="003105EB"/>
    <w:rsid w:val="00310981"/>
    <w:rsid w:val="00311B6F"/>
    <w:rsid w:val="003124D9"/>
    <w:rsid w:val="00312594"/>
    <w:rsid w:val="00312CD5"/>
    <w:rsid w:val="003134D7"/>
    <w:rsid w:val="00314306"/>
    <w:rsid w:val="00315498"/>
    <w:rsid w:val="003156D7"/>
    <w:rsid w:val="00316474"/>
    <w:rsid w:val="003211F8"/>
    <w:rsid w:val="00321377"/>
    <w:rsid w:val="00322107"/>
    <w:rsid w:val="00322355"/>
    <w:rsid w:val="00322846"/>
    <w:rsid w:val="0032514D"/>
    <w:rsid w:val="00325728"/>
    <w:rsid w:val="00326766"/>
    <w:rsid w:val="00326DA7"/>
    <w:rsid w:val="003270E4"/>
    <w:rsid w:val="0032711E"/>
    <w:rsid w:val="00327B04"/>
    <w:rsid w:val="00327FF0"/>
    <w:rsid w:val="00330DAA"/>
    <w:rsid w:val="00330F5C"/>
    <w:rsid w:val="0033133B"/>
    <w:rsid w:val="00331517"/>
    <w:rsid w:val="00331728"/>
    <w:rsid w:val="00331F7C"/>
    <w:rsid w:val="0033285E"/>
    <w:rsid w:val="003329A9"/>
    <w:rsid w:val="003366C9"/>
    <w:rsid w:val="003371B0"/>
    <w:rsid w:val="00340DF1"/>
    <w:rsid w:val="00341505"/>
    <w:rsid w:val="0034534C"/>
    <w:rsid w:val="0034617F"/>
    <w:rsid w:val="003517F9"/>
    <w:rsid w:val="00351BA9"/>
    <w:rsid w:val="00352366"/>
    <w:rsid w:val="003527EC"/>
    <w:rsid w:val="00352826"/>
    <w:rsid w:val="00352D8F"/>
    <w:rsid w:val="00353976"/>
    <w:rsid w:val="00354301"/>
    <w:rsid w:val="00354F64"/>
    <w:rsid w:val="003555BE"/>
    <w:rsid w:val="0035620E"/>
    <w:rsid w:val="00360345"/>
    <w:rsid w:val="00361A05"/>
    <w:rsid w:val="003624C4"/>
    <w:rsid w:val="003630AC"/>
    <w:rsid w:val="00363B00"/>
    <w:rsid w:val="00364A12"/>
    <w:rsid w:val="00364FF9"/>
    <w:rsid w:val="003654AC"/>
    <w:rsid w:val="00366155"/>
    <w:rsid w:val="0036735F"/>
    <w:rsid w:val="003710CF"/>
    <w:rsid w:val="00372F1F"/>
    <w:rsid w:val="0037358A"/>
    <w:rsid w:val="00374AE0"/>
    <w:rsid w:val="003750F6"/>
    <w:rsid w:val="00375844"/>
    <w:rsid w:val="00375DE0"/>
    <w:rsid w:val="00375E61"/>
    <w:rsid w:val="003760FC"/>
    <w:rsid w:val="00377BB7"/>
    <w:rsid w:val="003801BC"/>
    <w:rsid w:val="0038022C"/>
    <w:rsid w:val="00380E4B"/>
    <w:rsid w:val="00382680"/>
    <w:rsid w:val="0038365C"/>
    <w:rsid w:val="0038369B"/>
    <w:rsid w:val="00383B78"/>
    <w:rsid w:val="00384133"/>
    <w:rsid w:val="00384ADF"/>
    <w:rsid w:val="00384C98"/>
    <w:rsid w:val="00385A9D"/>
    <w:rsid w:val="00387F72"/>
    <w:rsid w:val="003902B1"/>
    <w:rsid w:val="0039179C"/>
    <w:rsid w:val="00391C89"/>
    <w:rsid w:val="003924C1"/>
    <w:rsid w:val="00393BE8"/>
    <w:rsid w:val="00393FA4"/>
    <w:rsid w:val="00394C28"/>
    <w:rsid w:val="00396896"/>
    <w:rsid w:val="00396FD0"/>
    <w:rsid w:val="00397280"/>
    <w:rsid w:val="003A1742"/>
    <w:rsid w:val="003A1A7A"/>
    <w:rsid w:val="003A2392"/>
    <w:rsid w:val="003A2831"/>
    <w:rsid w:val="003A3CB6"/>
    <w:rsid w:val="003A3DB5"/>
    <w:rsid w:val="003A3ED1"/>
    <w:rsid w:val="003A44DB"/>
    <w:rsid w:val="003A4652"/>
    <w:rsid w:val="003A4C65"/>
    <w:rsid w:val="003A63AF"/>
    <w:rsid w:val="003B1428"/>
    <w:rsid w:val="003B1AEE"/>
    <w:rsid w:val="003B3971"/>
    <w:rsid w:val="003B55D1"/>
    <w:rsid w:val="003B58BC"/>
    <w:rsid w:val="003B5B61"/>
    <w:rsid w:val="003C1654"/>
    <w:rsid w:val="003C2007"/>
    <w:rsid w:val="003C4DE6"/>
    <w:rsid w:val="003C5542"/>
    <w:rsid w:val="003C68DE"/>
    <w:rsid w:val="003C7793"/>
    <w:rsid w:val="003C7D19"/>
    <w:rsid w:val="003C7D2F"/>
    <w:rsid w:val="003D14E0"/>
    <w:rsid w:val="003D1828"/>
    <w:rsid w:val="003D1970"/>
    <w:rsid w:val="003D1B5E"/>
    <w:rsid w:val="003D1DE4"/>
    <w:rsid w:val="003D1E9A"/>
    <w:rsid w:val="003D2422"/>
    <w:rsid w:val="003D39A1"/>
    <w:rsid w:val="003D3FBF"/>
    <w:rsid w:val="003D4A30"/>
    <w:rsid w:val="003D610F"/>
    <w:rsid w:val="003D62ED"/>
    <w:rsid w:val="003D7452"/>
    <w:rsid w:val="003D79BB"/>
    <w:rsid w:val="003D7C98"/>
    <w:rsid w:val="003D7D9D"/>
    <w:rsid w:val="003E0543"/>
    <w:rsid w:val="003E09F7"/>
    <w:rsid w:val="003E2718"/>
    <w:rsid w:val="003E355A"/>
    <w:rsid w:val="003E3BF2"/>
    <w:rsid w:val="003E4203"/>
    <w:rsid w:val="003E46ED"/>
    <w:rsid w:val="003E5591"/>
    <w:rsid w:val="003E6225"/>
    <w:rsid w:val="003E7115"/>
    <w:rsid w:val="003E749E"/>
    <w:rsid w:val="003F0160"/>
    <w:rsid w:val="003F1856"/>
    <w:rsid w:val="003F22F7"/>
    <w:rsid w:val="003F3EF8"/>
    <w:rsid w:val="003F4156"/>
    <w:rsid w:val="003F4E34"/>
    <w:rsid w:val="003F5A05"/>
    <w:rsid w:val="003F5ADF"/>
    <w:rsid w:val="003F684E"/>
    <w:rsid w:val="003F7ACF"/>
    <w:rsid w:val="00400B29"/>
    <w:rsid w:val="004010CE"/>
    <w:rsid w:val="00401AB9"/>
    <w:rsid w:val="00403028"/>
    <w:rsid w:val="00403FE9"/>
    <w:rsid w:val="0040504B"/>
    <w:rsid w:val="004055B7"/>
    <w:rsid w:val="004059F4"/>
    <w:rsid w:val="00406F4B"/>
    <w:rsid w:val="004073E6"/>
    <w:rsid w:val="00407FE5"/>
    <w:rsid w:val="00410064"/>
    <w:rsid w:val="004101B0"/>
    <w:rsid w:val="004101B2"/>
    <w:rsid w:val="00410326"/>
    <w:rsid w:val="00410708"/>
    <w:rsid w:val="004109F3"/>
    <w:rsid w:val="00410EC7"/>
    <w:rsid w:val="00411B39"/>
    <w:rsid w:val="004127A7"/>
    <w:rsid w:val="00413A1E"/>
    <w:rsid w:val="00414476"/>
    <w:rsid w:val="004148D9"/>
    <w:rsid w:val="00414C2E"/>
    <w:rsid w:val="00414F3E"/>
    <w:rsid w:val="004151CF"/>
    <w:rsid w:val="00416364"/>
    <w:rsid w:val="004167FF"/>
    <w:rsid w:val="0042015E"/>
    <w:rsid w:val="0042047F"/>
    <w:rsid w:val="00420740"/>
    <w:rsid w:val="00420AA6"/>
    <w:rsid w:val="00420B9F"/>
    <w:rsid w:val="00420C97"/>
    <w:rsid w:val="00420F2C"/>
    <w:rsid w:val="004214BE"/>
    <w:rsid w:val="0042192C"/>
    <w:rsid w:val="00422260"/>
    <w:rsid w:val="00422925"/>
    <w:rsid w:val="00423DF9"/>
    <w:rsid w:val="0042413F"/>
    <w:rsid w:val="00425221"/>
    <w:rsid w:val="00426D24"/>
    <w:rsid w:val="004272C5"/>
    <w:rsid w:val="00427471"/>
    <w:rsid w:val="0043008D"/>
    <w:rsid w:val="004310A0"/>
    <w:rsid w:val="004319F8"/>
    <w:rsid w:val="00431AAB"/>
    <w:rsid w:val="00431E55"/>
    <w:rsid w:val="004321F6"/>
    <w:rsid w:val="00433044"/>
    <w:rsid w:val="00434088"/>
    <w:rsid w:val="00434727"/>
    <w:rsid w:val="0043555E"/>
    <w:rsid w:val="00435DAB"/>
    <w:rsid w:val="00436F18"/>
    <w:rsid w:val="004375B9"/>
    <w:rsid w:val="004400B9"/>
    <w:rsid w:val="00440817"/>
    <w:rsid w:val="00441956"/>
    <w:rsid w:val="00441E8A"/>
    <w:rsid w:val="004428D0"/>
    <w:rsid w:val="00444185"/>
    <w:rsid w:val="004443A7"/>
    <w:rsid w:val="0044442C"/>
    <w:rsid w:val="004457C1"/>
    <w:rsid w:val="00445941"/>
    <w:rsid w:val="0044615A"/>
    <w:rsid w:val="004464EB"/>
    <w:rsid w:val="00446E60"/>
    <w:rsid w:val="00447B40"/>
    <w:rsid w:val="00447D26"/>
    <w:rsid w:val="00447DFC"/>
    <w:rsid w:val="00450435"/>
    <w:rsid w:val="0045112A"/>
    <w:rsid w:val="00451831"/>
    <w:rsid w:val="00451CE2"/>
    <w:rsid w:val="00453291"/>
    <w:rsid w:val="00453ACF"/>
    <w:rsid w:val="00454B6D"/>
    <w:rsid w:val="00455D45"/>
    <w:rsid w:val="004573E8"/>
    <w:rsid w:val="0046008E"/>
    <w:rsid w:val="00460601"/>
    <w:rsid w:val="00460845"/>
    <w:rsid w:val="00461322"/>
    <w:rsid w:val="00461F4F"/>
    <w:rsid w:val="00462BC0"/>
    <w:rsid w:val="00463C2B"/>
    <w:rsid w:val="00464595"/>
    <w:rsid w:val="00464E03"/>
    <w:rsid w:val="004658B5"/>
    <w:rsid w:val="00465D6A"/>
    <w:rsid w:val="00471EA5"/>
    <w:rsid w:val="004722A8"/>
    <w:rsid w:val="004723EC"/>
    <w:rsid w:val="00472A79"/>
    <w:rsid w:val="00472D85"/>
    <w:rsid w:val="00473112"/>
    <w:rsid w:val="004731B3"/>
    <w:rsid w:val="00473E2C"/>
    <w:rsid w:val="00473F19"/>
    <w:rsid w:val="00474EC7"/>
    <w:rsid w:val="00475E22"/>
    <w:rsid w:val="00476C55"/>
    <w:rsid w:val="00476D4A"/>
    <w:rsid w:val="00477749"/>
    <w:rsid w:val="004802D9"/>
    <w:rsid w:val="0048088E"/>
    <w:rsid w:val="00480F2B"/>
    <w:rsid w:val="00482720"/>
    <w:rsid w:val="004831CA"/>
    <w:rsid w:val="004835E7"/>
    <w:rsid w:val="0048541B"/>
    <w:rsid w:val="004867E2"/>
    <w:rsid w:val="00486DEC"/>
    <w:rsid w:val="00490774"/>
    <w:rsid w:val="00490B17"/>
    <w:rsid w:val="0049113D"/>
    <w:rsid w:val="00491B3A"/>
    <w:rsid w:val="004920F4"/>
    <w:rsid w:val="00492A4F"/>
    <w:rsid w:val="00492CFD"/>
    <w:rsid w:val="0049301F"/>
    <w:rsid w:val="00494207"/>
    <w:rsid w:val="00494622"/>
    <w:rsid w:val="00494DD5"/>
    <w:rsid w:val="004958BB"/>
    <w:rsid w:val="004962D2"/>
    <w:rsid w:val="00496917"/>
    <w:rsid w:val="004969FB"/>
    <w:rsid w:val="00497B42"/>
    <w:rsid w:val="004A0239"/>
    <w:rsid w:val="004A0DA1"/>
    <w:rsid w:val="004A13D6"/>
    <w:rsid w:val="004A52E9"/>
    <w:rsid w:val="004A6040"/>
    <w:rsid w:val="004A6597"/>
    <w:rsid w:val="004A6919"/>
    <w:rsid w:val="004A7848"/>
    <w:rsid w:val="004A7CAA"/>
    <w:rsid w:val="004B04F2"/>
    <w:rsid w:val="004B068F"/>
    <w:rsid w:val="004B0EED"/>
    <w:rsid w:val="004B10AF"/>
    <w:rsid w:val="004B1CB4"/>
    <w:rsid w:val="004B1DF1"/>
    <w:rsid w:val="004B2B41"/>
    <w:rsid w:val="004B2F18"/>
    <w:rsid w:val="004B36BA"/>
    <w:rsid w:val="004B3880"/>
    <w:rsid w:val="004B3A3D"/>
    <w:rsid w:val="004B3DDB"/>
    <w:rsid w:val="004B44FD"/>
    <w:rsid w:val="004B5096"/>
    <w:rsid w:val="004B5119"/>
    <w:rsid w:val="004B5AF5"/>
    <w:rsid w:val="004B5CFC"/>
    <w:rsid w:val="004B6F79"/>
    <w:rsid w:val="004B774D"/>
    <w:rsid w:val="004B7B58"/>
    <w:rsid w:val="004C17FC"/>
    <w:rsid w:val="004C2C2D"/>
    <w:rsid w:val="004C391C"/>
    <w:rsid w:val="004C46D9"/>
    <w:rsid w:val="004C49F0"/>
    <w:rsid w:val="004C4AED"/>
    <w:rsid w:val="004C4E37"/>
    <w:rsid w:val="004C52BB"/>
    <w:rsid w:val="004C718A"/>
    <w:rsid w:val="004C7868"/>
    <w:rsid w:val="004D2213"/>
    <w:rsid w:val="004D2C2D"/>
    <w:rsid w:val="004D3FD5"/>
    <w:rsid w:val="004D5AEC"/>
    <w:rsid w:val="004D6242"/>
    <w:rsid w:val="004D69B5"/>
    <w:rsid w:val="004D7227"/>
    <w:rsid w:val="004D77D8"/>
    <w:rsid w:val="004E0E7F"/>
    <w:rsid w:val="004E0EB8"/>
    <w:rsid w:val="004E1061"/>
    <w:rsid w:val="004E119F"/>
    <w:rsid w:val="004E13A0"/>
    <w:rsid w:val="004E18E9"/>
    <w:rsid w:val="004E1D63"/>
    <w:rsid w:val="004E2A43"/>
    <w:rsid w:val="004E2ADC"/>
    <w:rsid w:val="004E2D5B"/>
    <w:rsid w:val="004E41B3"/>
    <w:rsid w:val="004E43B2"/>
    <w:rsid w:val="004E652C"/>
    <w:rsid w:val="004E66AF"/>
    <w:rsid w:val="004E679C"/>
    <w:rsid w:val="004E6FC1"/>
    <w:rsid w:val="004F1062"/>
    <w:rsid w:val="004F1D02"/>
    <w:rsid w:val="004F2679"/>
    <w:rsid w:val="004F2D0B"/>
    <w:rsid w:val="004F2F21"/>
    <w:rsid w:val="004F3DE5"/>
    <w:rsid w:val="004F4B7F"/>
    <w:rsid w:val="004F4CCB"/>
    <w:rsid w:val="004F5AE5"/>
    <w:rsid w:val="004F6913"/>
    <w:rsid w:val="004F7865"/>
    <w:rsid w:val="004F7DEA"/>
    <w:rsid w:val="0050038E"/>
    <w:rsid w:val="00500698"/>
    <w:rsid w:val="0050174E"/>
    <w:rsid w:val="00501854"/>
    <w:rsid w:val="0050219B"/>
    <w:rsid w:val="00502405"/>
    <w:rsid w:val="00503304"/>
    <w:rsid w:val="00503735"/>
    <w:rsid w:val="00503F17"/>
    <w:rsid w:val="00504470"/>
    <w:rsid w:val="00505059"/>
    <w:rsid w:val="00505659"/>
    <w:rsid w:val="00506928"/>
    <w:rsid w:val="005076D2"/>
    <w:rsid w:val="005077EF"/>
    <w:rsid w:val="0051049B"/>
    <w:rsid w:val="00511392"/>
    <w:rsid w:val="005117A3"/>
    <w:rsid w:val="00511AD5"/>
    <w:rsid w:val="00511DC7"/>
    <w:rsid w:val="00512AA9"/>
    <w:rsid w:val="00512EA9"/>
    <w:rsid w:val="005142C5"/>
    <w:rsid w:val="005143CB"/>
    <w:rsid w:val="0051495C"/>
    <w:rsid w:val="00514F20"/>
    <w:rsid w:val="0051501B"/>
    <w:rsid w:val="005152B5"/>
    <w:rsid w:val="005170BB"/>
    <w:rsid w:val="005179C8"/>
    <w:rsid w:val="00517B11"/>
    <w:rsid w:val="0052099E"/>
    <w:rsid w:val="0052123C"/>
    <w:rsid w:val="00521319"/>
    <w:rsid w:val="00522BC8"/>
    <w:rsid w:val="00523C28"/>
    <w:rsid w:val="005262BA"/>
    <w:rsid w:val="00527823"/>
    <w:rsid w:val="0053062E"/>
    <w:rsid w:val="0053176B"/>
    <w:rsid w:val="00532054"/>
    <w:rsid w:val="0053371B"/>
    <w:rsid w:val="00533F95"/>
    <w:rsid w:val="0053505B"/>
    <w:rsid w:val="00535999"/>
    <w:rsid w:val="00535ACC"/>
    <w:rsid w:val="00536C4E"/>
    <w:rsid w:val="00536C72"/>
    <w:rsid w:val="00536F42"/>
    <w:rsid w:val="00537182"/>
    <w:rsid w:val="005376DB"/>
    <w:rsid w:val="00537A23"/>
    <w:rsid w:val="00541EDD"/>
    <w:rsid w:val="00542315"/>
    <w:rsid w:val="005426E6"/>
    <w:rsid w:val="00542743"/>
    <w:rsid w:val="00542C2D"/>
    <w:rsid w:val="00543A7F"/>
    <w:rsid w:val="00544DAF"/>
    <w:rsid w:val="005467C0"/>
    <w:rsid w:val="005467E8"/>
    <w:rsid w:val="005478BD"/>
    <w:rsid w:val="005479E3"/>
    <w:rsid w:val="00550D35"/>
    <w:rsid w:val="00551985"/>
    <w:rsid w:val="00552BD3"/>
    <w:rsid w:val="005532A0"/>
    <w:rsid w:val="00553694"/>
    <w:rsid w:val="00555109"/>
    <w:rsid w:val="00556B35"/>
    <w:rsid w:val="0055741A"/>
    <w:rsid w:val="005605A4"/>
    <w:rsid w:val="00560B2B"/>
    <w:rsid w:val="005611B7"/>
    <w:rsid w:val="005618D4"/>
    <w:rsid w:val="00561CF5"/>
    <w:rsid w:val="005645FC"/>
    <w:rsid w:val="00565DF0"/>
    <w:rsid w:val="005661F3"/>
    <w:rsid w:val="0056696F"/>
    <w:rsid w:val="005669B2"/>
    <w:rsid w:val="00566B22"/>
    <w:rsid w:val="00567068"/>
    <w:rsid w:val="00567B79"/>
    <w:rsid w:val="00572269"/>
    <w:rsid w:val="0057244A"/>
    <w:rsid w:val="00572F26"/>
    <w:rsid w:val="005750C5"/>
    <w:rsid w:val="005752DE"/>
    <w:rsid w:val="00575935"/>
    <w:rsid w:val="00575D8D"/>
    <w:rsid w:val="00576972"/>
    <w:rsid w:val="00577C1C"/>
    <w:rsid w:val="00581497"/>
    <w:rsid w:val="00583295"/>
    <w:rsid w:val="00583699"/>
    <w:rsid w:val="0058558F"/>
    <w:rsid w:val="00585CDD"/>
    <w:rsid w:val="00586E43"/>
    <w:rsid w:val="00587058"/>
    <w:rsid w:val="005878B0"/>
    <w:rsid w:val="00590BE9"/>
    <w:rsid w:val="00591957"/>
    <w:rsid w:val="00593B2B"/>
    <w:rsid w:val="00596220"/>
    <w:rsid w:val="005962FD"/>
    <w:rsid w:val="005973EB"/>
    <w:rsid w:val="00597BF9"/>
    <w:rsid w:val="005A0829"/>
    <w:rsid w:val="005A1D6F"/>
    <w:rsid w:val="005A309A"/>
    <w:rsid w:val="005A373D"/>
    <w:rsid w:val="005A6965"/>
    <w:rsid w:val="005A728C"/>
    <w:rsid w:val="005A7332"/>
    <w:rsid w:val="005B05A0"/>
    <w:rsid w:val="005B0B58"/>
    <w:rsid w:val="005B1013"/>
    <w:rsid w:val="005B20CD"/>
    <w:rsid w:val="005B2B34"/>
    <w:rsid w:val="005B2DD9"/>
    <w:rsid w:val="005B4E53"/>
    <w:rsid w:val="005B5857"/>
    <w:rsid w:val="005B5DBF"/>
    <w:rsid w:val="005B7196"/>
    <w:rsid w:val="005C023F"/>
    <w:rsid w:val="005C1B83"/>
    <w:rsid w:val="005C25FF"/>
    <w:rsid w:val="005C27D5"/>
    <w:rsid w:val="005C2D55"/>
    <w:rsid w:val="005C346B"/>
    <w:rsid w:val="005C6400"/>
    <w:rsid w:val="005D044D"/>
    <w:rsid w:val="005D0ABD"/>
    <w:rsid w:val="005D18AD"/>
    <w:rsid w:val="005D1C06"/>
    <w:rsid w:val="005D2053"/>
    <w:rsid w:val="005D26B4"/>
    <w:rsid w:val="005D6F37"/>
    <w:rsid w:val="005E0A48"/>
    <w:rsid w:val="005E1866"/>
    <w:rsid w:val="005E21BD"/>
    <w:rsid w:val="005E2951"/>
    <w:rsid w:val="005E30BB"/>
    <w:rsid w:val="005E4C47"/>
    <w:rsid w:val="005E6CBC"/>
    <w:rsid w:val="005E6F19"/>
    <w:rsid w:val="005E72FF"/>
    <w:rsid w:val="005E73C0"/>
    <w:rsid w:val="005F00BF"/>
    <w:rsid w:val="005F011D"/>
    <w:rsid w:val="005F07E4"/>
    <w:rsid w:val="005F0ADE"/>
    <w:rsid w:val="005F2706"/>
    <w:rsid w:val="005F51CF"/>
    <w:rsid w:val="005F5E83"/>
    <w:rsid w:val="005F6A8F"/>
    <w:rsid w:val="005F6BB7"/>
    <w:rsid w:val="005F7588"/>
    <w:rsid w:val="00600E34"/>
    <w:rsid w:val="006020C7"/>
    <w:rsid w:val="00602648"/>
    <w:rsid w:val="00602B20"/>
    <w:rsid w:val="00603DB9"/>
    <w:rsid w:val="006040F9"/>
    <w:rsid w:val="0060448E"/>
    <w:rsid w:val="006065F8"/>
    <w:rsid w:val="00606FBA"/>
    <w:rsid w:val="00607669"/>
    <w:rsid w:val="006076F4"/>
    <w:rsid w:val="00607A66"/>
    <w:rsid w:val="00607AFD"/>
    <w:rsid w:val="00610AF9"/>
    <w:rsid w:val="00612F97"/>
    <w:rsid w:val="0061345D"/>
    <w:rsid w:val="0061549B"/>
    <w:rsid w:val="00616802"/>
    <w:rsid w:val="00617550"/>
    <w:rsid w:val="00617E12"/>
    <w:rsid w:val="00620C25"/>
    <w:rsid w:val="00621477"/>
    <w:rsid w:val="00621ADA"/>
    <w:rsid w:val="00623AD6"/>
    <w:rsid w:val="00623F7B"/>
    <w:rsid w:val="00624488"/>
    <w:rsid w:val="00625282"/>
    <w:rsid w:val="00625B08"/>
    <w:rsid w:val="00626F26"/>
    <w:rsid w:val="00627ABD"/>
    <w:rsid w:val="00627BC4"/>
    <w:rsid w:val="00630967"/>
    <w:rsid w:val="0063158F"/>
    <w:rsid w:val="00631D6B"/>
    <w:rsid w:val="00632183"/>
    <w:rsid w:val="00632A32"/>
    <w:rsid w:val="006330A1"/>
    <w:rsid w:val="006332C2"/>
    <w:rsid w:val="006332F0"/>
    <w:rsid w:val="00633EED"/>
    <w:rsid w:val="0063479F"/>
    <w:rsid w:val="006353F0"/>
    <w:rsid w:val="006357B5"/>
    <w:rsid w:val="006364A1"/>
    <w:rsid w:val="0063678E"/>
    <w:rsid w:val="00636ECE"/>
    <w:rsid w:val="00636FB9"/>
    <w:rsid w:val="0063757E"/>
    <w:rsid w:val="00637BFD"/>
    <w:rsid w:val="0064132F"/>
    <w:rsid w:val="00641C4E"/>
    <w:rsid w:val="00641FB3"/>
    <w:rsid w:val="0064434C"/>
    <w:rsid w:val="00645193"/>
    <w:rsid w:val="00645318"/>
    <w:rsid w:val="0064535E"/>
    <w:rsid w:val="00645788"/>
    <w:rsid w:val="00645C9D"/>
    <w:rsid w:val="006470A8"/>
    <w:rsid w:val="006471CC"/>
    <w:rsid w:val="00647A29"/>
    <w:rsid w:val="00650362"/>
    <w:rsid w:val="00650685"/>
    <w:rsid w:val="0065079F"/>
    <w:rsid w:val="006528A0"/>
    <w:rsid w:val="00652A28"/>
    <w:rsid w:val="0065379F"/>
    <w:rsid w:val="00655EE4"/>
    <w:rsid w:val="00656188"/>
    <w:rsid w:val="0065715A"/>
    <w:rsid w:val="0066060F"/>
    <w:rsid w:val="006610F1"/>
    <w:rsid w:val="00661C6B"/>
    <w:rsid w:val="00661E88"/>
    <w:rsid w:val="00662C26"/>
    <w:rsid w:val="00663EF7"/>
    <w:rsid w:val="0066440E"/>
    <w:rsid w:val="0066442B"/>
    <w:rsid w:val="00664F81"/>
    <w:rsid w:val="006659C8"/>
    <w:rsid w:val="00671004"/>
    <w:rsid w:val="00671640"/>
    <w:rsid w:val="00671A19"/>
    <w:rsid w:val="00672025"/>
    <w:rsid w:val="006724A7"/>
    <w:rsid w:val="00672565"/>
    <w:rsid w:val="00672646"/>
    <w:rsid w:val="006737CB"/>
    <w:rsid w:val="006744B4"/>
    <w:rsid w:val="00674E42"/>
    <w:rsid w:val="0067604E"/>
    <w:rsid w:val="0067702A"/>
    <w:rsid w:val="00677FB3"/>
    <w:rsid w:val="006813F8"/>
    <w:rsid w:val="00682112"/>
    <w:rsid w:val="00682BA6"/>
    <w:rsid w:val="00682EE9"/>
    <w:rsid w:val="00683418"/>
    <w:rsid w:val="00685759"/>
    <w:rsid w:val="00686957"/>
    <w:rsid w:val="00686D14"/>
    <w:rsid w:val="006872BA"/>
    <w:rsid w:val="0069006F"/>
    <w:rsid w:val="00690795"/>
    <w:rsid w:val="00690EFD"/>
    <w:rsid w:val="00691648"/>
    <w:rsid w:val="006917D7"/>
    <w:rsid w:val="006918D9"/>
    <w:rsid w:val="0069434C"/>
    <w:rsid w:val="0069450F"/>
    <w:rsid w:val="00694F41"/>
    <w:rsid w:val="00694F44"/>
    <w:rsid w:val="00696DED"/>
    <w:rsid w:val="00696E18"/>
    <w:rsid w:val="00696F51"/>
    <w:rsid w:val="0069715E"/>
    <w:rsid w:val="006979A5"/>
    <w:rsid w:val="00697FF9"/>
    <w:rsid w:val="006A034F"/>
    <w:rsid w:val="006A0461"/>
    <w:rsid w:val="006A0C97"/>
    <w:rsid w:val="006A6B99"/>
    <w:rsid w:val="006A6DCF"/>
    <w:rsid w:val="006A7E5F"/>
    <w:rsid w:val="006B1211"/>
    <w:rsid w:val="006B261B"/>
    <w:rsid w:val="006B2C90"/>
    <w:rsid w:val="006B35E6"/>
    <w:rsid w:val="006B3B89"/>
    <w:rsid w:val="006B465A"/>
    <w:rsid w:val="006B51D7"/>
    <w:rsid w:val="006B6DBE"/>
    <w:rsid w:val="006B6DD0"/>
    <w:rsid w:val="006B70E7"/>
    <w:rsid w:val="006C0399"/>
    <w:rsid w:val="006C14B0"/>
    <w:rsid w:val="006C1853"/>
    <w:rsid w:val="006C1B67"/>
    <w:rsid w:val="006C2187"/>
    <w:rsid w:val="006C2A8E"/>
    <w:rsid w:val="006C2D0A"/>
    <w:rsid w:val="006C3255"/>
    <w:rsid w:val="006C3487"/>
    <w:rsid w:val="006C359D"/>
    <w:rsid w:val="006C36CE"/>
    <w:rsid w:val="006C39E6"/>
    <w:rsid w:val="006C3C8E"/>
    <w:rsid w:val="006C3DD7"/>
    <w:rsid w:val="006C3F26"/>
    <w:rsid w:val="006C6FB7"/>
    <w:rsid w:val="006D0211"/>
    <w:rsid w:val="006D0D17"/>
    <w:rsid w:val="006D0E5E"/>
    <w:rsid w:val="006D123C"/>
    <w:rsid w:val="006D3532"/>
    <w:rsid w:val="006D3C7D"/>
    <w:rsid w:val="006D4659"/>
    <w:rsid w:val="006D564C"/>
    <w:rsid w:val="006D5D5F"/>
    <w:rsid w:val="006D5FC8"/>
    <w:rsid w:val="006D5FFF"/>
    <w:rsid w:val="006D68FB"/>
    <w:rsid w:val="006D6C62"/>
    <w:rsid w:val="006E09AB"/>
    <w:rsid w:val="006E1795"/>
    <w:rsid w:val="006E1DA0"/>
    <w:rsid w:val="006E2868"/>
    <w:rsid w:val="006E28B3"/>
    <w:rsid w:val="006E31B8"/>
    <w:rsid w:val="006E3C82"/>
    <w:rsid w:val="006F0171"/>
    <w:rsid w:val="006F0615"/>
    <w:rsid w:val="006F1946"/>
    <w:rsid w:val="006F2EB0"/>
    <w:rsid w:val="006F2F48"/>
    <w:rsid w:val="006F306C"/>
    <w:rsid w:val="006F3C82"/>
    <w:rsid w:val="006F3EC6"/>
    <w:rsid w:val="006F3F52"/>
    <w:rsid w:val="006F489D"/>
    <w:rsid w:val="006F63A5"/>
    <w:rsid w:val="006F658E"/>
    <w:rsid w:val="007006A9"/>
    <w:rsid w:val="00701080"/>
    <w:rsid w:val="0070142B"/>
    <w:rsid w:val="007015C9"/>
    <w:rsid w:val="0070276E"/>
    <w:rsid w:val="0070287C"/>
    <w:rsid w:val="00702F8F"/>
    <w:rsid w:val="00703180"/>
    <w:rsid w:val="007035C8"/>
    <w:rsid w:val="00703F77"/>
    <w:rsid w:val="0070666A"/>
    <w:rsid w:val="007079FC"/>
    <w:rsid w:val="00707D3E"/>
    <w:rsid w:val="00710739"/>
    <w:rsid w:val="00710B2E"/>
    <w:rsid w:val="00711A36"/>
    <w:rsid w:val="00712254"/>
    <w:rsid w:val="00712611"/>
    <w:rsid w:val="0071315A"/>
    <w:rsid w:val="0071401A"/>
    <w:rsid w:val="0071494B"/>
    <w:rsid w:val="00714C26"/>
    <w:rsid w:val="0071529C"/>
    <w:rsid w:val="007155BA"/>
    <w:rsid w:val="00715A20"/>
    <w:rsid w:val="00715D5C"/>
    <w:rsid w:val="007170DA"/>
    <w:rsid w:val="007172AD"/>
    <w:rsid w:val="007201B8"/>
    <w:rsid w:val="00720801"/>
    <w:rsid w:val="00720DE7"/>
    <w:rsid w:val="00722B1B"/>
    <w:rsid w:val="00723301"/>
    <w:rsid w:val="007233C9"/>
    <w:rsid w:val="007236A1"/>
    <w:rsid w:val="00723721"/>
    <w:rsid w:val="0072416F"/>
    <w:rsid w:val="00726FDE"/>
    <w:rsid w:val="007272CE"/>
    <w:rsid w:val="00727C48"/>
    <w:rsid w:val="00727C94"/>
    <w:rsid w:val="00730ADF"/>
    <w:rsid w:val="00731163"/>
    <w:rsid w:val="007318F1"/>
    <w:rsid w:val="00731B0A"/>
    <w:rsid w:val="00731EAE"/>
    <w:rsid w:val="00733073"/>
    <w:rsid w:val="007336F2"/>
    <w:rsid w:val="00734F1C"/>
    <w:rsid w:val="00735033"/>
    <w:rsid w:val="00735328"/>
    <w:rsid w:val="0073685B"/>
    <w:rsid w:val="00741C3E"/>
    <w:rsid w:val="007440C9"/>
    <w:rsid w:val="007449BF"/>
    <w:rsid w:val="007455D5"/>
    <w:rsid w:val="00746BC0"/>
    <w:rsid w:val="00746C4F"/>
    <w:rsid w:val="00747F2F"/>
    <w:rsid w:val="00747FFC"/>
    <w:rsid w:val="00750206"/>
    <w:rsid w:val="00750AAE"/>
    <w:rsid w:val="00750FC8"/>
    <w:rsid w:val="007510B4"/>
    <w:rsid w:val="00752142"/>
    <w:rsid w:val="007523F9"/>
    <w:rsid w:val="007525A4"/>
    <w:rsid w:val="0075357E"/>
    <w:rsid w:val="00753D65"/>
    <w:rsid w:val="00753E49"/>
    <w:rsid w:val="00754B9A"/>
    <w:rsid w:val="00757385"/>
    <w:rsid w:val="007573E8"/>
    <w:rsid w:val="007574B0"/>
    <w:rsid w:val="00757C00"/>
    <w:rsid w:val="00760C4E"/>
    <w:rsid w:val="00760F9E"/>
    <w:rsid w:val="00761CFA"/>
    <w:rsid w:val="007627BE"/>
    <w:rsid w:val="00762986"/>
    <w:rsid w:val="00763334"/>
    <w:rsid w:val="007639A7"/>
    <w:rsid w:val="00763E7B"/>
    <w:rsid w:val="00764AEB"/>
    <w:rsid w:val="00764F03"/>
    <w:rsid w:val="00765B1A"/>
    <w:rsid w:val="00766B44"/>
    <w:rsid w:val="00766F4A"/>
    <w:rsid w:val="007674ED"/>
    <w:rsid w:val="00771803"/>
    <w:rsid w:val="0077190A"/>
    <w:rsid w:val="00772096"/>
    <w:rsid w:val="00772420"/>
    <w:rsid w:val="00777335"/>
    <w:rsid w:val="007805A7"/>
    <w:rsid w:val="00780C90"/>
    <w:rsid w:val="00781B6E"/>
    <w:rsid w:val="0078384A"/>
    <w:rsid w:val="007843F2"/>
    <w:rsid w:val="0078445A"/>
    <w:rsid w:val="00784743"/>
    <w:rsid w:val="00785120"/>
    <w:rsid w:val="007852A6"/>
    <w:rsid w:val="00785A9F"/>
    <w:rsid w:val="00791F3C"/>
    <w:rsid w:val="007925DF"/>
    <w:rsid w:val="00792806"/>
    <w:rsid w:val="00794C4C"/>
    <w:rsid w:val="0079589B"/>
    <w:rsid w:val="00795941"/>
    <w:rsid w:val="007A08AA"/>
    <w:rsid w:val="007A09DA"/>
    <w:rsid w:val="007A0A12"/>
    <w:rsid w:val="007A0C8A"/>
    <w:rsid w:val="007A132D"/>
    <w:rsid w:val="007A1345"/>
    <w:rsid w:val="007A1395"/>
    <w:rsid w:val="007A1624"/>
    <w:rsid w:val="007A179C"/>
    <w:rsid w:val="007A1FC4"/>
    <w:rsid w:val="007A2DDB"/>
    <w:rsid w:val="007A31D4"/>
    <w:rsid w:val="007A3C6D"/>
    <w:rsid w:val="007A4099"/>
    <w:rsid w:val="007A4CB2"/>
    <w:rsid w:val="007A4FE6"/>
    <w:rsid w:val="007A554E"/>
    <w:rsid w:val="007A5D95"/>
    <w:rsid w:val="007A70A2"/>
    <w:rsid w:val="007A70BA"/>
    <w:rsid w:val="007A7B0D"/>
    <w:rsid w:val="007A7F8D"/>
    <w:rsid w:val="007B0A2A"/>
    <w:rsid w:val="007B0D68"/>
    <w:rsid w:val="007B1661"/>
    <w:rsid w:val="007B251D"/>
    <w:rsid w:val="007B2F0A"/>
    <w:rsid w:val="007B37F7"/>
    <w:rsid w:val="007B4B40"/>
    <w:rsid w:val="007B4F58"/>
    <w:rsid w:val="007B528D"/>
    <w:rsid w:val="007B5FEA"/>
    <w:rsid w:val="007B63CA"/>
    <w:rsid w:val="007B7753"/>
    <w:rsid w:val="007B77D1"/>
    <w:rsid w:val="007C07C7"/>
    <w:rsid w:val="007C142E"/>
    <w:rsid w:val="007C1CD9"/>
    <w:rsid w:val="007C32EF"/>
    <w:rsid w:val="007C361D"/>
    <w:rsid w:val="007C39C6"/>
    <w:rsid w:val="007C4856"/>
    <w:rsid w:val="007C4B84"/>
    <w:rsid w:val="007C6469"/>
    <w:rsid w:val="007C6EFC"/>
    <w:rsid w:val="007C70FF"/>
    <w:rsid w:val="007C77EA"/>
    <w:rsid w:val="007C78FF"/>
    <w:rsid w:val="007C7C25"/>
    <w:rsid w:val="007D004F"/>
    <w:rsid w:val="007D0B38"/>
    <w:rsid w:val="007D1ED6"/>
    <w:rsid w:val="007D263A"/>
    <w:rsid w:val="007D408C"/>
    <w:rsid w:val="007D479E"/>
    <w:rsid w:val="007D483A"/>
    <w:rsid w:val="007D4C28"/>
    <w:rsid w:val="007D5440"/>
    <w:rsid w:val="007D60C1"/>
    <w:rsid w:val="007D64C1"/>
    <w:rsid w:val="007D69EB"/>
    <w:rsid w:val="007D7A0D"/>
    <w:rsid w:val="007E0E07"/>
    <w:rsid w:val="007E128F"/>
    <w:rsid w:val="007E2DC8"/>
    <w:rsid w:val="007E333F"/>
    <w:rsid w:val="007E4196"/>
    <w:rsid w:val="007E6C3B"/>
    <w:rsid w:val="007E6FE0"/>
    <w:rsid w:val="007F00CB"/>
    <w:rsid w:val="007F02B3"/>
    <w:rsid w:val="007F0785"/>
    <w:rsid w:val="007F1017"/>
    <w:rsid w:val="007F38A2"/>
    <w:rsid w:val="007F4041"/>
    <w:rsid w:val="007F4A3F"/>
    <w:rsid w:val="007F4A61"/>
    <w:rsid w:val="007F51B6"/>
    <w:rsid w:val="007F5255"/>
    <w:rsid w:val="007F56CC"/>
    <w:rsid w:val="007F5DA5"/>
    <w:rsid w:val="007F61C2"/>
    <w:rsid w:val="007F70F9"/>
    <w:rsid w:val="007F72BF"/>
    <w:rsid w:val="008008C5"/>
    <w:rsid w:val="00801120"/>
    <w:rsid w:val="00801F29"/>
    <w:rsid w:val="0080363D"/>
    <w:rsid w:val="00804EF2"/>
    <w:rsid w:val="00805142"/>
    <w:rsid w:val="00805FCE"/>
    <w:rsid w:val="00807A8B"/>
    <w:rsid w:val="00807B27"/>
    <w:rsid w:val="00810336"/>
    <w:rsid w:val="00810F7E"/>
    <w:rsid w:val="00811383"/>
    <w:rsid w:val="00812149"/>
    <w:rsid w:val="00812392"/>
    <w:rsid w:val="00812CAC"/>
    <w:rsid w:val="008133B3"/>
    <w:rsid w:val="00815130"/>
    <w:rsid w:val="00816361"/>
    <w:rsid w:val="00816613"/>
    <w:rsid w:val="008166EF"/>
    <w:rsid w:val="00816960"/>
    <w:rsid w:val="00816FEF"/>
    <w:rsid w:val="00817173"/>
    <w:rsid w:val="00817EE3"/>
    <w:rsid w:val="00820A8C"/>
    <w:rsid w:val="008215FB"/>
    <w:rsid w:val="008217D2"/>
    <w:rsid w:val="00823174"/>
    <w:rsid w:val="00823800"/>
    <w:rsid w:val="00825751"/>
    <w:rsid w:val="00825A53"/>
    <w:rsid w:val="008262AF"/>
    <w:rsid w:val="008264EB"/>
    <w:rsid w:val="00826FF2"/>
    <w:rsid w:val="00827340"/>
    <w:rsid w:val="00827350"/>
    <w:rsid w:val="0082784B"/>
    <w:rsid w:val="00830AD6"/>
    <w:rsid w:val="00831069"/>
    <w:rsid w:val="00833B05"/>
    <w:rsid w:val="0083410A"/>
    <w:rsid w:val="00835BB1"/>
    <w:rsid w:val="008362B4"/>
    <w:rsid w:val="00836E23"/>
    <w:rsid w:val="00836E85"/>
    <w:rsid w:val="008370B5"/>
    <w:rsid w:val="00840CA2"/>
    <w:rsid w:val="00840CD1"/>
    <w:rsid w:val="00841855"/>
    <w:rsid w:val="0084374F"/>
    <w:rsid w:val="00844A22"/>
    <w:rsid w:val="008452FD"/>
    <w:rsid w:val="0084585D"/>
    <w:rsid w:val="00846249"/>
    <w:rsid w:val="00846795"/>
    <w:rsid w:val="008468A0"/>
    <w:rsid w:val="00847703"/>
    <w:rsid w:val="00847DF5"/>
    <w:rsid w:val="00852FA5"/>
    <w:rsid w:val="0085309D"/>
    <w:rsid w:val="0085405D"/>
    <w:rsid w:val="008561D2"/>
    <w:rsid w:val="00856897"/>
    <w:rsid w:val="00856E9A"/>
    <w:rsid w:val="00857DD9"/>
    <w:rsid w:val="0086075D"/>
    <w:rsid w:val="008611C7"/>
    <w:rsid w:val="00862502"/>
    <w:rsid w:val="00862CC1"/>
    <w:rsid w:val="008632BD"/>
    <w:rsid w:val="00863705"/>
    <w:rsid w:val="00865608"/>
    <w:rsid w:val="008657F6"/>
    <w:rsid w:val="0086596B"/>
    <w:rsid w:val="008660D4"/>
    <w:rsid w:val="00867444"/>
    <w:rsid w:val="00867648"/>
    <w:rsid w:val="008677A3"/>
    <w:rsid w:val="00867F17"/>
    <w:rsid w:val="00870D1A"/>
    <w:rsid w:val="00871FA9"/>
    <w:rsid w:val="008728E9"/>
    <w:rsid w:val="00875224"/>
    <w:rsid w:val="00875407"/>
    <w:rsid w:val="00875516"/>
    <w:rsid w:val="008770F9"/>
    <w:rsid w:val="00882874"/>
    <w:rsid w:val="00882D3A"/>
    <w:rsid w:val="00882E3C"/>
    <w:rsid w:val="00883787"/>
    <w:rsid w:val="0088454D"/>
    <w:rsid w:val="00884CF1"/>
    <w:rsid w:val="008855E4"/>
    <w:rsid w:val="00886769"/>
    <w:rsid w:val="00886AFF"/>
    <w:rsid w:val="00886C2D"/>
    <w:rsid w:val="00886CD2"/>
    <w:rsid w:val="00890E90"/>
    <w:rsid w:val="0089109E"/>
    <w:rsid w:val="00891697"/>
    <w:rsid w:val="00891E6F"/>
    <w:rsid w:val="0089275D"/>
    <w:rsid w:val="00892A36"/>
    <w:rsid w:val="00892F0F"/>
    <w:rsid w:val="00892F58"/>
    <w:rsid w:val="00893239"/>
    <w:rsid w:val="00894489"/>
    <w:rsid w:val="00894EC5"/>
    <w:rsid w:val="00894F67"/>
    <w:rsid w:val="0089533C"/>
    <w:rsid w:val="00895EFD"/>
    <w:rsid w:val="008963A5"/>
    <w:rsid w:val="0089642E"/>
    <w:rsid w:val="00896D5D"/>
    <w:rsid w:val="00897A5C"/>
    <w:rsid w:val="008A24C3"/>
    <w:rsid w:val="008A2F5B"/>
    <w:rsid w:val="008A3363"/>
    <w:rsid w:val="008A3371"/>
    <w:rsid w:val="008A3C3E"/>
    <w:rsid w:val="008A44DE"/>
    <w:rsid w:val="008A7523"/>
    <w:rsid w:val="008A79DE"/>
    <w:rsid w:val="008B12A4"/>
    <w:rsid w:val="008B1757"/>
    <w:rsid w:val="008B1C87"/>
    <w:rsid w:val="008B1DF2"/>
    <w:rsid w:val="008B25BC"/>
    <w:rsid w:val="008B4658"/>
    <w:rsid w:val="008B6EE0"/>
    <w:rsid w:val="008B7992"/>
    <w:rsid w:val="008B7D7E"/>
    <w:rsid w:val="008C25A3"/>
    <w:rsid w:val="008C2C19"/>
    <w:rsid w:val="008C40D2"/>
    <w:rsid w:val="008C4291"/>
    <w:rsid w:val="008C5610"/>
    <w:rsid w:val="008C5739"/>
    <w:rsid w:val="008C6CBE"/>
    <w:rsid w:val="008C6E34"/>
    <w:rsid w:val="008C7ECB"/>
    <w:rsid w:val="008D0815"/>
    <w:rsid w:val="008D2039"/>
    <w:rsid w:val="008D3B86"/>
    <w:rsid w:val="008D41A4"/>
    <w:rsid w:val="008D42C5"/>
    <w:rsid w:val="008D4755"/>
    <w:rsid w:val="008D478A"/>
    <w:rsid w:val="008D4C3D"/>
    <w:rsid w:val="008D62EA"/>
    <w:rsid w:val="008D743C"/>
    <w:rsid w:val="008D77CF"/>
    <w:rsid w:val="008E0D3C"/>
    <w:rsid w:val="008E1B9E"/>
    <w:rsid w:val="008E2C89"/>
    <w:rsid w:val="008E55AB"/>
    <w:rsid w:val="008F120A"/>
    <w:rsid w:val="008F27E0"/>
    <w:rsid w:val="008F2B1D"/>
    <w:rsid w:val="008F2C66"/>
    <w:rsid w:val="008F2E3C"/>
    <w:rsid w:val="008F303B"/>
    <w:rsid w:val="008F4237"/>
    <w:rsid w:val="008F4483"/>
    <w:rsid w:val="008F48EB"/>
    <w:rsid w:val="008F4952"/>
    <w:rsid w:val="008F4F0B"/>
    <w:rsid w:val="008F50FE"/>
    <w:rsid w:val="008F687E"/>
    <w:rsid w:val="008F79F6"/>
    <w:rsid w:val="008F7F72"/>
    <w:rsid w:val="00900D79"/>
    <w:rsid w:val="00901DB3"/>
    <w:rsid w:val="009029E0"/>
    <w:rsid w:val="00903292"/>
    <w:rsid w:val="00903527"/>
    <w:rsid w:val="00904661"/>
    <w:rsid w:val="009046C4"/>
    <w:rsid w:val="009055D2"/>
    <w:rsid w:val="009062A5"/>
    <w:rsid w:val="009066D8"/>
    <w:rsid w:val="009102FE"/>
    <w:rsid w:val="00910C0F"/>
    <w:rsid w:val="00910FA7"/>
    <w:rsid w:val="00911272"/>
    <w:rsid w:val="0091227B"/>
    <w:rsid w:val="009134DD"/>
    <w:rsid w:val="009134E3"/>
    <w:rsid w:val="009135D6"/>
    <w:rsid w:val="00913E24"/>
    <w:rsid w:val="00914321"/>
    <w:rsid w:val="00914C77"/>
    <w:rsid w:val="00914F4F"/>
    <w:rsid w:val="009172BB"/>
    <w:rsid w:val="00917D72"/>
    <w:rsid w:val="0092155D"/>
    <w:rsid w:val="00921ACB"/>
    <w:rsid w:val="009233A9"/>
    <w:rsid w:val="00923537"/>
    <w:rsid w:val="0092369B"/>
    <w:rsid w:val="009260C7"/>
    <w:rsid w:val="0092610A"/>
    <w:rsid w:val="00927845"/>
    <w:rsid w:val="009301CA"/>
    <w:rsid w:val="00931169"/>
    <w:rsid w:val="00931EA9"/>
    <w:rsid w:val="00932512"/>
    <w:rsid w:val="00933824"/>
    <w:rsid w:val="00933B83"/>
    <w:rsid w:val="00934988"/>
    <w:rsid w:val="00934E6C"/>
    <w:rsid w:val="00935392"/>
    <w:rsid w:val="00935B7C"/>
    <w:rsid w:val="00937089"/>
    <w:rsid w:val="00937402"/>
    <w:rsid w:val="00940754"/>
    <w:rsid w:val="00941DA4"/>
    <w:rsid w:val="00942872"/>
    <w:rsid w:val="00942C4F"/>
    <w:rsid w:val="00943446"/>
    <w:rsid w:val="00943AD5"/>
    <w:rsid w:val="00943D8D"/>
    <w:rsid w:val="0094405E"/>
    <w:rsid w:val="00944F8A"/>
    <w:rsid w:val="0094682F"/>
    <w:rsid w:val="00946993"/>
    <w:rsid w:val="00947B4B"/>
    <w:rsid w:val="00950C61"/>
    <w:rsid w:val="009510A2"/>
    <w:rsid w:val="009513E8"/>
    <w:rsid w:val="00951D6A"/>
    <w:rsid w:val="00952554"/>
    <w:rsid w:val="00953257"/>
    <w:rsid w:val="0095345B"/>
    <w:rsid w:val="00953FC0"/>
    <w:rsid w:val="00954194"/>
    <w:rsid w:val="0095474C"/>
    <w:rsid w:val="0095769B"/>
    <w:rsid w:val="00957C84"/>
    <w:rsid w:val="00961695"/>
    <w:rsid w:val="0096288A"/>
    <w:rsid w:val="00962CB9"/>
    <w:rsid w:val="00963F6D"/>
    <w:rsid w:val="00964312"/>
    <w:rsid w:val="00965B8A"/>
    <w:rsid w:val="009665F7"/>
    <w:rsid w:val="00966841"/>
    <w:rsid w:val="0097071F"/>
    <w:rsid w:val="009717AC"/>
    <w:rsid w:val="009718CA"/>
    <w:rsid w:val="00972B14"/>
    <w:rsid w:val="00974479"/>
    <w:rsid w:val="009751C1"/>
    <w:rsid w:val="0097596B"/>
    <w:rsid w:val="00975F27"/>
    <w:rsid w:val="00976CC1"/>
    <w:rsid w:val="00976CD7"/>
    <w:rsid w:val="00976D12"/>
    <w:rsid w:val="00980DAF"/>
    <w:rsid w:val="009810A6"/>
    <w:rsid w:val="009811F1"/>
    <w:rsid w:val="009827D4"/>
    <w:rsid w:val="00983D94"/>
    <w:rsid w:val="00983E57"/>
    <w:rsid w:val="00985DE2"/>
    <w:rsid w:val="0098675D"/>
    <w:rsid w:val="0099088F"/>
    <w:rsid w:val="009926E0"/>
    <w:rsid w:val="0099370E"/>
    <w:rsid w:val="00994020"/>
    <w:rsid w:val="0099451E"/>
    <w:rsid w:val="00994C70"/>
    <w:rsid w:val="00994CC6"/>
    <w:rsid w:val="00995EFB"/>
    <w:rsid w:val="00996B1A"/>
    <w:rsid w:val="009A06B8"/>
    <w:rsid w:val="009A1A45"/>
    <w:rsid w:val="009A1D16"/>
    <w:rsid w:val="009A2DCC"/>
    <w:rsid w:val="009A3FE7"/>
    <w:rsid w:val="009A40A9"/>
    <w:rsid w:val="009A433C"/>
    <w:rsid w:val="009A5ABC"/>
    <w:rsid w:val="009A7ECF"/>
    <w:rsid w:val="009A7F10"/>
    <w:rsid w:val="009B3E26"/>
    <w:rsid w:val="009B51FF"/>
    <w:rsid w:val="009B5EF3"/>
    <w:rsid w:val="009B7281"/>
    <w:rsid w:val="009B7A36"/>
    <w:rsid w:val="009C0265"/>
    <w:rsid w:val="009C1510"/>
    <w:rsid w:val="009C3706"/>
    <w:rsid w:val="009C39DD"/>
    <w:rsid w:val="009C3A3A"/>
    <w:rsid w:val="009C3C88"/>
    <w:rsid w:val="009C3E83"/>
    <w:rsid w:val="009C4ECF"/>
    <w:rsid w:val="009C54FF"/>
    <w:rsid w:val="009C5FF9"/>
    <w:rsid w:val="009C6CEA"/>
    <w:rsid w:val="009C7B85"/>
    <w:rsid w:val="009C7FE4"/>
    <w:rsid w:val="009D0254"/>
    <w:rsid w:val="009D04AF"/>
    <w:rsid w:val="009D14D8"/>
    <w:rsid w:val="009D1A64"/>
    <w:rsid w:val="009D2B40"/>
    <w:rsid w:val="009D317A"/>
    <w:rsid w:val="009D4524"/>
    <w:rsid w:val="009D5B91"/>
    <w:rsid w:val="009D6A69"/>
    <w:rsid w:val="009D6D08"/>
    <w:rsid w:val="009D792E"/>
    <w:rsid w:val="009D7CDA"/>
    <w:rsid w:val="009E0DFE"/>
    <w:rsid w:val="009E159C"/>
    <w:rsid w:val="009E25BA"/>
    <w:rsid w:val="009E31F6"/>
    <w:rsid w:val="009E3725"/>
    <w:rsid w:val="009E4C07"/>
    <w:rsid w:val="009E694E"/>
    <w:rsid w:val="009E6A44"/>
    <w:rsid w:val="009E6FDC"/>
    <w:rsid w:val="009F0D35"/>
    <w:rsid w:val="009F0DEF"/>
    <w:rsid w:val="009F28E4"/>
    <w:rsid w:val="009F393F"/>
    <w:rsid w:val="009F3A5D"/>
    <w:rsid w:val="00A01184"/>
    <w:rsid w:val="00A026FF"/>
    <w:rsid w:val="00A0309F"/>
    <w:rsid w:val="00A037C2"/>
    <w:rsid w:val="00A03D43"/>
    <w:rsid w:val="00A04380"/>
    <w:rsid w:val="00A050CF"/>
    <w:rsid w:val="00A0527B"/>
    <w:rsid w:val="00A05472"/>
    <w:rsid w:val="00A05C32"/>
    <w:rsid w:val="00A061E0"/>
    <w:rsid w:val="00A0653F"/>
    <w:rsid w:val="00A112E1"/>
    <w:rsid w:val="00A11CD0"/>
    <w:rsid w:val="00A13948"/>
    <w:rsid w:val="00A139F8"/>
    <w:rsid w:val="00A141D3"/>
    <w:rsid w:val="00A1555B"/>
    <w:rsid w:val="00A155C5"/>
    <w:rsid w:val="00A15BB1"/>
    <w:rsid w:val="00A16AD8"/>
    <w:rsid w:val="00A16E01"/>
    <w:rsid w:val="00A21C95"/>
    <w:rsid w:val="00A21CF3"/>
    <w:rsid w:val="00A24813"/>
    <w:rsid w:val="00A24D9E"/>
    <w:rsid w:val="00A25413"/>
    <w:rsid w:val="00A25AFA"/>
    <w:rsid w:val="00A27AEC"/>
    <w:rsid w:val="00A320DB"/>
    <w:rsid w:val="00A35D16"/>
    <w:rsid w:val="00A36C71"/>
    <w:rsid w:val="00A37AFB"/>
    <w:rsid w:val="00A37BCD"/>
    <w:rsid w:val="00A40C3C"/>
    <w:rsid w:val="00A40D04"/>
    <w:rsid w:val="00A41689"/>
    <w:rsid w:val="00A42592"/>
    <w:rsid w:val="00A42D26"/>
    <w:rsid w:val="00A43C59"/>
    <w:rsid w:val="00A4416E"/>
    <w:rsid w:val="00A44F19"/>
    <w:rsid w:val="00A453FF"/>
    <w:rsid w:val="00A475E7"/>
    <w:rsid w:val="00A47DF4"/>
    <w:rsid w:val="00A500DD"/>
    <w:rsid w:val="00A50ECD"/>
    <w:rsid w:val="00A51209"/>
    <w:rsid w:val="00A518F3"/>
    <w:rsid w:val="00A52729"/>
    <w:rsid w:val="00A53675"/>
    <w:rsid w:val="00A543F1"/>
    <w:rsid w:val="00A54BB3"/>
    <w:rsid w:val="00A564D7"/>
    <w:rsid w:val="00A56B6A"/>
    <w:rsid w:val="00A578DC"/>
    <w:rsid w:val="00A57D9C"/>
    <w:rsid w:val="00A6054E"/>
    <w:rsid w:val="00A61834"/>
    <w:rsid w:val="00A62132"/>
    <w:rsid w:val="00A62CDE"/>
    <w:rsid w:val="00A640E2"/>
    <w:rsid w:val="00A64D65"/>
    <w:rsid w:val="00A64FBB"/>
    <w:rsid w:val="00A65593"/>
    <w:rsid w:val="00A65655"/>
    <w:rsid w:val="00A6725B"/>
    <w:rsid w:val="00A70605"/>
    <w:rsid w:val="00A7137C"/>
    <w:rsid w:val="00A72A77"/>
    <w:rsid w:val="00A73134"/>
    <w:rsid w:val="00A7450E"/>
    <w:rsid w:val="00A74541"/>
    <w:rsid w:val="00A746E5"/>
    <w:rsid w:val="00A75FA9"/>
    <w:rsid w:val="00A76001"/>
    <w:rsid w:val="00A76C20"/>
    <w:rsid w:val="00A777B2"/>
    <w:rsid w:val="00A81E5F"/>
    <w:rsid w:val="00A82490"/>
    <w:rsid w:val="00A825D4"/>
    <w:rsid w:val="00A828F6"/>
    <w:rsid w:val="00A82B73"/>
    <w:rsid w:val="00A84BC9"/>
    <w:rsid w:val="00A84C0C"/>
    <w:rsid w:val="00A8544F"/>
    <w:rsid w:val="00A85D38"/>
    <w:rsid w:val="00A865C9"/>
    <w:rsid w:val="00A869E4"/>
    <w:rsid w:val="00A86E8B"/>
    <w:rsid w:val="00A87164"/>
    <w:rsid w:val="00A921F7"/>
    <w:rsid w:val="00A93072"/>
    <w:rsid w:val="00A938BD"/>
    <w:rsid w:val="00A93953"/>
    <w:rsid w:val="00A9493A"/>
    <w:rsid w:val="00A94FA3"/>
    <w:rsid w:val="00A954C4"/>
    <w:rsid w:val="00A959D8"/>
    <w:rsid w:val="00A95F72"/>
    <w:rsid w:val="00A9663A"/>
    <w:rsid w:val="00AA113D"/>
    <w:rsid w:val="00AA2416"/>
    <w:rsid w:val="00AA6683"/>
    <w:rsid w:val="00AA6BD5"/>
    <w:rsid w:val="00AA6BD8"/>
    <w:rsid w:val="00AA6C7D"/>
    <w:rsid w:val="00AA7FD6"/>
    <w:rsid w:val="00AB042A"/>
    <w:rsid w:val="00AB19EF"/>
    <w:rsid w:val="00AB27A5"/>
    <w:rsid w:val="00AB2808"/>
    <w:rsid w:val="00AB2B51"/>
    <w:rsid w:val="00AB2C92"/>
    <w:rsid w:val="00AB2D34"/>
    <w:rsid w:val="00AB3430"/>
    <w:rsid w:val="00AB37B9"/>
    <w:rsid w:val="00AB3FDD"/>
    <w:rsid w:val="00AB4767"/>
    <w:rsid w:val="00AB4AD1"/>
    <w:rsid w:val="00AB5E07"/>
    <w:rsid w:val="00AB677F"/>
    <w:rsid w:val="00AB7CFA"/>
    <w:rsid w:val="00AB7E88"/>
    <w:rsid w:val="00AC5B48"/>
    <w:rsid w:val="00AC5B52"/>
    <w:rsid w:val="00AC6086"/>
    <w:rsid w:val="00AD0A14"/>
    <w:rsid w:val="00AD1450"/>
    <w:rsid w:val="00AD2FDD"/>
    <w:rsid w:val="00AD3491"/>
    <w:rsid w:val="00AD3676"/>
    <w:rsid w:val="00AD4288"/>
    <w:rsid w:val="00AD525B"/>
    <w:rsid w:val="00AD6502"/>
    <w:rsid w:val="00AE0695"/>
    <w:rsid w:val="00AE07CA"/>
    <w:rsid w:val="00AE3E7E"/>
    <w:rsid w:val="00AE5E6C"/>
    <w:rsid w:val="00AE63C9"/>
    <w:rsid w:val="00AE6970"/>
    <w:rsid w:val="00AE69E4"/>
    <w:rsid w:val="00AF0053"/>
    <w:rsid w:val="00AF1315"/>
    <w:rsid w:val="00AF19BF"/>
    <w:rsid w:val="00AF2335"/>
    <w:rsid w:val="00AF27A3"/>
    <w:rsid w:val="00AF2C77"/>
    <w:rsid w:val="00AF2DC3"/>
    <w:rsid w:val="00AF507F"/>
    <w:rsid w:val="00B033E5"/>
    <w:rsid w:val="00B03698"/>
    <w:rsid w:val="00B03A63"/>
    <w:rsid w:val="00B049D0"/>
    <w:rsid w:val="00B04C04"/>
    <w:rsid w:val="00B06078"/>
    <w:rsid w:val="00B07E51"/>
    <w:rsid w:val="00B10C12"/>
    <w:rsid w:val="00B112E7"/>
    <w:rsid w:val="00B11F3A"/>
    <w:rsid w:val="00B131F2"/>
    <w:rsid w:val="00B1563B"/>
    <w:rsid w:val="00B17E4C"/>
    <w:rsid w:val="00B201A4"/>
    <w:rsid w:val="00B201D1"/>
    <w:rsid w:val="00B20A1A"/>
    <w:rsid w:val="00B20F4D"/>
    <w:rsid w:val="00B213A6"/>
    <w:rsid w:val="00B23084"/>
    <w:rsid w:val="00B235B0"/>
    <w:rsid w:val="00B23F1D"/>
    <w:rsid w:val="00B24DF6"/>
    <w:rsid w:val="00B2557D"/>
    <w:rsid w:val="00B30C37"/>
    <w:rsid w:val="00B343CC"/>
    <w:rsid w:val="00B34FE2"/>
    <w:rsid w:val="00B35166"/>
    <w:rsid w:val="00B357D8"/>
    <w:rsid w:val="00B360F4"/>
    <w:rsid w:val="00B36508"/>
    <w:rsid w:val="00B36A00"/>
    <w:rsid w:val="00B37BFC"/>
    <w:rsid w:val="00B40358"/>
    <w:rsid w:val="00B407E9"/>
    <w:rsid w:val="00B41614"/>
    <w:rsid w:val="00B41D53"/>
    <w:rsid w:val="00B41D73"/>
    <w:rsid w:val="00B4242E"/>
    <w:rsid w:val="00B42851"/>
    <w:rsid w:val="00B42F80"/>
    <w:rsid w:val="00B435A9"/>
    <w:rsid w:val="00B435CB"/>
    <w:rsid w:val="00B445C4"/>
    <w:rsid w:val="00B465D9"/>
    <w:rsid w:val="00B47AAF"/>
    <w:rsid w:val="00B505C8"/>
    <w:rsid w:val="00B505D0"/>
    <w:rsid w:val="00B50DB8"/>
    <w:rsid w:val="00B510AB"/>
    <w:rsid w:val="00B53654"/>
    <w:rsid w:val="00B53905"/>
    <w:rsid w:val="00B54B5B"/>
    <w:rsid w:val="00B55526"/>
    <w:rsid w:val="00B5562E"/>
    <w:rsid w:val="00B55CCC"/>
    <w:rsid w:val="00B55D65"/>
    <w:rsid w:val="00B57000"/>
    <w:rsid w:val="00B57AFB"/>
    <w:rsid w:val="00B60252"/>
    <w:rsid w:val="00B60939"/>
    <w:rsid w:val="00B60AFD"/>
    <w:rsid w:val="00B62715"/>
    <w:rsid w:val="00B6277D"/>
    <w:rsid w:val="00B62DF5"/>
    <w:rsid w:val="00B6359C"/>
    <w:rsid w:val="00B63C80"/>
    <w:rsid w:val="00B65611"/>
    <w:rsid w:val="00B65C7B"/>
    <w:rsid w:val="00B67360"/>
    <w:rsid w:val="00B70011"/>
    <w:rsid w:val="00B70E8E"/>
    <w:rsid w:val="00B73C22"/>
    <w:rsid w:val="00B74159"/>
    <w:rsid w:val="00B75C51"/>
    <w:rsid w:val="00B75CCE"/>
    <w:rsid w:val="00B766DA"/>
    <w:rsid w:val="00B76C92"/>
    <w:rsid w:val="00B76F82"/>
    <w:rsid w:val="00B818A4"/>
    <w:rsid w:val="00B81F1F"/>
    <w:rsid w:val="00B84117"/>
    <w:rsid w:val="00B85815"/>
    <w:rsid w:val="00B858F0"/>
    <w:rsid w:val="00B85AA2"/>
    <w:rsid w:val="00B8649C"/>
    <w:rsid w:val="00B8695D"/>
    <w:rsid w:val="00B87F0A"/>
    <w:rsid w:val="00B91430"/>
    <w:rsid w:val="00B92575"/>
    <w:rsid w:val="00B92D0B"/>
    <w:rsid w:val="00B93A9E"/>
    <w:rsid w:val="00B93F77"/>
    <w:rsid w:val="00B94945"/>
    <w:rsid w:val="00B94BE6"/>
    <w:rsid w:val="00B94DD6"/>
    <w:rsid w:val="00B95350"/>
    <w:rsid w:val="00B9560B"/>
    <w:rsid w:val="00BA0397"/>
    <w:rsid w:val="00BA08EC"/>
    <w:rsid w:val="00BA23CA"/>
    <w:rsid w:val="00BA322D"/>
    <w:rsid w:val="00BA4C4C"/>
    <w:rsid w:val="00BA4F33"/>
    <w:rsid w:val="00BA51D9"/>
    <w:rsid w:val="00BA63AA"/>
    <w:rsid w:val="00BA63FA"/>
    <w:rsid w:val="00BA70F2"/>
    <w:rsid w:val="00BB00B3"/>
    <w:rsid w:val="00BB0313"/>
    <w:rsid w:val="00BB0BDD"/>
    <w:rsid w:val="00BB0EA2"/>
    <w:rsid w:val="00BB176C"/>
    <w:rsid w:val="00BB2A73"/>
    <w:rsid w:val="00BB30CE"/>
    <w:rsid w:val="00BB3A45"/>
    <w:rsid w:val="00BB496E"/>
    <w:rsid w:val="00BB4ACC"/>
    <w:rsid w:val="00BB6D90"/>
    <w:rsid w:val="00BB703E"/>
    <w:rsid w:val="00BB732D"/>
    <w:rsid w:val="00BB7405"/>
    <w:rsid w:val="00BC0564"/>
    <w:rsid w:val="00BC1375"/>
    <w:rsid w:val="00BC2797"/>
    <w:rsid w:val="00BC3631"/>
    <w:rsid w:val="00BC591F"/>
    <w:rsid w:val="00BC7BC6"/>
    <w:rsid w:val="00BC7D6D"/>
    <w:rsid w:val="00BD14F9"/>
    <w:rsid w:val="00BD1AD0"/>
    <w:rsid w:val="00BD2108"/>
    <w:rsid w:val="00BD33C9"/>
    <w:rsid w:val="00BD3C8F"/>
    <w:rsid w:val="00BD51BC"/>
    <w:rsid w:val="00BD5E59"/>
    <w:rsid w:val="00BD63A1"/>
    <w:rsid w:val="00BD68A3"/>
    <w:rsid w:val="00BD6938"/>
    <w:rsid w:val="00BD6CF3"/>
    <w:rsid w:val="00BE0ECA"/>
    <w:rsid w:val="00BE2180"/>
    <w:rsid w:val="00BE21F2"/>
    <w:rsid w:val="00BE4181"/>
    <w:rsid w:val="00BE4275"/>
    <w:rsid w:val="00BE5192"/>
    <w:rsid w:val="00BE5BCE"/>
    <w:rsid w:val="00BE6494"/>
    <w:rsid w:val="00BE6AD0"/>
    <w:rsid w:val="00BE75D9"/>
    <w:rsid w:val="00BF06AE"/>
    <w:rsid w:val="00BF0F95"/>
    <w:rsid w:val="00BF189E"/>
    <w:rsid w:val="00BF1E0A"/>
    <w:rsid w:val="00BF22BA"/>
    <w:rsid w:val="00BF2433"/>
    <w:rsid w:val="00BF2555"/>
    <w:rsid w:val="00BF3672"/>
    <w:rsid w:val="00BF4702"/>
    <w:rsid w:val="00BF61C9"/>
    <w:rsid w:val="00BF6C94"/>
    <w:rsid w:val="00C00424"/>
    <w:rsid w:val="00C019F4"/>
    <w:rsid w:val="00C01A52"/>
    <w:rsid w:val="00C02956"/>
    <w:rsid w:val="00C04001"/>
    <w:rsid w:val="00C043AF"/>
    <w:rsid w:val="00C05030"/>
    <w:rsid w:val="00C06C98"/>
    <w:rsid w:val="00C07846"/>
    <w:rsid w:val="00C07D18"/>
    <w:rsid w:val="00C07D37"/>
    <w:rsid w:val="00C10440"/>
    <w:rsid w:val="00C1179F"/>
    <w:rsid w:val="00C12C14"/>
    <w:rsid w:val="00C12E97"/>
    <w:rsid w:val="00C1335B"/>
    <w:rsid w:val="00C13F56"/>
    <w:rsid w:val="00C14D5D"/>
    <w:rsid w:val="00C14E9C"/>
    <w:rsid w:val="00C15F04"/>
    <w:rsid w:val="00C170DC"/>
    <w:rsid w:val="00C179B3"/>
    <w:rsid w:val="00C17E3F"/>
    <w:rsid w:val="00C200AA"/>
    <w:rsid w:val="00C21C38"/>
    <w:rsid w:val="00C221E4"/>
    <w:rsid w:val="00C2357A"/>
    <w:rsid w:val="00C237ED"/>
    <w:rsid w:val="00C24632"/>
    <w:rsid w:val="00C25418"/>
    <w:rsid w:val="00C25D9C"/>
    <w:rsid w:val="00C2778B"/>
    <w:rsid w:val="00C27A75"/>
    <w:rsid w:val="00C27BDE"/>
    <w:rsid w:val="00C30061"/>
    <w:rsid w:val="00C31410"/>
    <w:rsid w:val="00C31649"/>
    <w:rsid w:val="00C320AD"/>
    <w:rsid w:val="00C3277A"/>
    <w:rsid w:val="00C3434C"/>
    <w:rsid w:val="00C34BE8"/>
    <w:rsid w:val="00C35044"/>
    <w:rsid w:val="00C355FA"/>
    <w:rsid w:val="00C35B3D"/>
    <w:rsid w:val="00C360C2"/>
    <w:rsid w:val="00C3716F"/>
    <w:rsid w:val="00C37417"/>
    <w:rsid w:val="00C40385"/>
    <w:rsid w:val="00C40964"/>
    <w:rsid w:val="00C40F27"/>
    <w:rsid w:val="00C41768"/>
    <w:rsid w:val="00C4576A"/>
    <w:rsid w:val="00C468A3"/>
    <w:rsid w:val="00C46A95"/>
    <w:rsid w:val="00C47295"/>
    <w:rsid w:val="00C473BB"/>
    <w:rsid w:val="00C475AA"/>
    <w:rsid w:val="00C47C86"/>
    <w:rsid w:val="00C47D17"/>
    <w:rsid w:val="00C51D3E"/>
    <w:rsid w:val="00C5265F"/>
    <w:rsid w:val="00C53005"/>
    <w:rsid w:val="00C53C98"/>
    <w:rsid w:val="00C54328"/>
    <w:rsid w:val="00C545F0"/>
    <w:rsid w:val="00C5660D"/>
    <w:rsid w:val="00C56FCF"/>
    <w:rsid w:val="00C575BA"/>
    <w:rsid w:val="00C57B6C"/>
    <w:rsid w:val="00C60D09"/>
    <w:rsid w:val="00C61DA6"/>
    <w:rsid w:val="00C624FB"/>
    <w:rsid w:val="00C628A6"/>
    <w:rsid w:val="00C63C33"/>
    <w:rsid w:val="00C64344"/>
    <w:rsid w:val="00C647A5"/>
    <w:rsid w:val="00C64A3B"/>
    <w:rsid w:val="00C64F62"/>
    <w:rsid w:val="00C64FB3"/>
    <w:rsid w:val="00C65108"/>
    <w:rsid w:val="00C65576"/>
    <w:rsid w:val="00C655FB"/>
    <w:rsid w:val="00C660FB"/>
    <w:rsid w:val="00C66165"/>
    <w:rsid w:val="00C66828"/>
    <w:rsid w:val="00C66AF4"/>
    <w:rsid w:val="00C7060A"/>
    <w:rsid w:val="00C7093D"/>
    <w:rsid w:val="00C7151A"/>
    <w:rsid w:val="00C717E3"/>
    <w:rsid w:val="00C71E26"/>
    <w:rsid w:val="00C71F60"/>
    <w:rsid w:val="00C72069"/>
    <w:rsid w:val="00C72241"/>
    <w:rsid w:val="00C750C8"/>
    <w:rsid w:val="00C7560F"/>
    <w:rsid w:val="00C778B7"/>
    <w:rsid w:val="00C80A0E"/>
    <w:rsid w:val="00C8213F"/>
    <w:rsid w:val="00C82B55"/>
    <w:rsid w:val="00C82DDF"/>
    <w:rsid w:val="00C84B02"/>
    <w:rsid w:val="00C85154"/>
    <w:rsid w:val="00C866A1"/>
    <w:rsid w:val="00C8797A"/>
    <w:rsid w:val="00C900B8"/>
    <w:rsid w:val="00C90135"/>
    <w:rsid w:val="00C905A3"/>
    <w:rsid w:val="00C90C71"/>
    <w:rsid w:val="00C91C0E"/>
    <w:rsid w:val="00C91FD1"/>
    <w:rsid w:val="00C931CF"/>
    <w:rsid w:val="00C938CF"/>
    <w:rsid w:val="00C94053"/>
    <w:rsid w:val="00C945B9"/>
    <w:rsid w:val="00C946CF"/>
    <w:rsid w:val="00C9624D"/>
    <w:rsid w:val="00C968FA"/>
    <w:rsid w:val="00C969DA"/>
    <w:rsid w:val="00C97877"/>
    <w:rsid w:val="00C97A58"/>
    <w:rsid w:val="00CA0321"/>
    <w:rsid w:val="00CA2399"/>
    <w:rsid w:val="00CA2764"/>
    <w:rsid w:val="00CA2C77"/>
    <w:rsid w:val="00CA3A74"/>
    <w:rsid w:val="00CA3AA7"/>
    <w:rsid w:val="00CA444F"/>
    <w:rsid w:val="00CA51A0"/>
    <w:rsid w:val="00CA5245"/>
    <w:rsid w:val="00CA53CC"/>
    <w:rsid w:val="00CA71F4"/>
    <w:rsid w:val="00CA7B09"/>
    <w:rsid w:val="00CA7C7E"/>
    <w:rsid w:val="00CB0A13"/>
    <w:rsid w:val="00CB12A5"/>
    <w:rsid w:val="00CB1CAC"/>
    <w:rsid w:val="00CB26AF"/>
    <w:rsid w:val="00CB2F2A"/>
    <w:rsid w:val="00CB358C"/>
    <w:rsid w:val="00CB50AA"/>
    <w:rsid w:val="00CB5840"/>
    <w:rsid w:val="00CB5B1A"/>
    <w:rsid w:val="00CB6B22"/>
    <w:rsid w:val="00CB6CE7"/>
    <w:rsid w:val="00CB7B3F"/>
    <w:rsid w:val="00CB7F5F"/>
    <w:rsid w:val="00CC049E"/>
    <w:rsid w:val="00CC1B10"/>
    <w:rsid w:val="00CC1B39"/>
    <w:rsid w:val="00CC35EA"/>
    <w:rsid w:val="00CC3848"/>
    <w:rsid w:val="00CC56A8"/>
    <w:rsid w:val="00CC592B"/>
    <w:rsid w:val="00CC6F88"/>
    <w:rsid w:val="00CC7748"/>
    <w:rsid w:val="00CD150F"/>
    <w:rsid w:val="00CD1B78"/>
    <w:rsid w:val="00CD3266"/>
    <w:rsid w:val="00CD3F77"/>
    <w:rsid w:val="00CD5488"/>
    <w:rsid w:val="00CD6233"/>
    <w:rsid w:val="00CD6ADC"/>
    <w:rsid w:val="00CD7193"/>
    <w:rsid w:val="00CD79A2"/>
    <w:rsid w:val="00CE1123"/>
    <w:rsid w:val="00CE1198"/>
    <w:rsid w:val="00CE1513"/>
    <w:rsid w:val="00CE2CDA"/>
    <w:rsid w:val="00CE38C8"/>
    <w:rsid w:val="00CE4ED5"/>
    <w:rsid w:val="00CE512B"/>
    <w:rsid w:val="00CE5812"/>
    <w:rsid w:val="00CE59DD"/>
    <w:rsid w:val="00CE5BF3"/>
    <w:rsid w:val="00CE6274"/>
    <w:rsid w:val="00CE65B7"/>
    <w:rsid w:val="00CE77A8"/>
    <w:rsid w:val="00CE77B6"/>
    <w:rsid w:val="00CE7A93"/>
    <w:rsid w:val="00CF07B0"/>
    <w:rsid w:val="00CF2348"/>
    <w:rsid w:val="00CF2B8D"/>
    <w:rsid w:val="00CF3BF3"/>
    <w:rsid w:val="00CF456B"/>
    <w:rsid w:val="00CF5008"/>
    <w:rsid w:val="00CF578C"/>
    <w:rsid w:val="00CF5A22"/>
    <w:rsid w:val="00CF5E3F"/>
    <w:rsid w:val="00CF7425"/>
    <w:rsid w:val="00CF7D6B"/>
    <w:rsid w:val="00D002A6"/>
    <w:rsid w:val="00D01411"/>
    <w:rsid w:val="00D01A43"/>
    <w:rsid w:val="00D0262E"/>
    <w:rsid w:val="00D02670"/>
    <w:rsid w:val="00D02BB5"/>
    <w:rsid w:val="00D02D71"/>
    <w:rsid w:val="00D0340B"/>
    <w:rsid w:val="00D03C52"/>
    <w:rsid w:val="00D047F3"/>
    <w:rsid w:val="00D05E3D"/>
    <w:rsid w:val="00D06139"/>
    <w:rsid w:val="00D06B28"/>
    <w:rsid w:val="00D079E9"/>
    <w:rsid w:val="00D07CE6"/>
    <w:rsid w:val="00D10273"/>
    <w:rsid w:val="00D110BD"/>
    <w:rsid w:val="00D114F0"/>
    <w:rsid w:val="00D127D3"/>
    <w:rsid w:val="00D1284F"/>
    <w:rsid w:val="00D13675"/>
    <w:rsid w:val="00D13EAE"/>
    <w:rsid w:val="00D141E1"/>
    <w:rsid w:val="00D15314"/>
    <w:rsid w:val="00D17D6C"/>
    <w:rsid w:val="00D2155B"/>
    <w:rsid w:val="00D217ED"/>
    <w:rsid w:val="00D22A32"/>
    <w:rsid w:val="00D22F46"/>
    <w:rsid w:val="00D23D11"/>
    <w:rsid w:val="00D244B6"/>
    <w:rsid w:val="00D248C3"/>
    <w:rsid w:val="00D2754D"/>
    <w:rsid w:val="00D27B27"/>
    <w:rsid w:val="00D32F5A"/>
    <w:rsid w:val="00D33BE9"/>
    <w:rsid w:val="00D33F93"/>
    <w:rsid w:val="00D34EF6"/>
    <w:rsid w:val="00D357FF"/>
    <w:rsid w:val="00D36774"/>
    <w:rsid w:val="00D36A7E"/>
    <w:rsid w:val="00D40181"/>
    <w:rsid w:val="00D424C7"/>
    <w:rsid w:val="00D43B2A"/>
    <w:rsid w:val="00D43D83"/>
    <w:rsid w:val="00D44623"/>
    <w:rsid w:val="00D44894"/>
    <w:rsid w:val="00D44981"/>
    <w:rsid w:val="00D47575"/>
    <w:rsid w:val="00D50BEA"/>
    <w:rsid w:val="00D520D9"/>
    <w:rsid w:val="00D5243B"/>
    <w:rsid w:val="00D53310"/>
    <w:rsid w:val="00D533EC"/>
    <w:rsid w:val="00D542DE"/>
    <w:rsid w:val="00D565DC"/>
    <w:rsid w:val="00D56A95"/>
    <w:rsid w:val="00D56CAC"/>
    <w:rsid w:val="00D61155"/>
    <w:rsid w:val="00D64842"/>
    <w:rsid w:val="00D67142"/>
    <w:rsid w:val="00D70F16"/>
    <w:rsid w:val="00D718CA"/>
    <w:rsid w:val="00D72F57"/>
    <w:rsid w:val="00D73422"/>
    <w:rsid w:val="00D74B98"/>
    <w:rsid w:val="00D7591C"/>
    <w:rsid w:val="00D76A44"/>
    <w:rsid w:val="00D80162"/>
    <w:rsid w:val="00D815EF"/>
    <w:rsid w:val="00D8182A"/>
    <w:rsid w:val="00D81885"/>
    <w:rsid w:val="00D81F26"/>
    <w:rsid w:val="00D83712"/>
    <w:rsid w:val="00D85527"/>
    <w:rsid w:val="00D86231"/>
    <w:rsid w:val="00D90B90"/>
    <w:rsid w:val="00D90D19"/>
    <w:rsid w:val="00D91923"/>
    <w:rsid w:val="00D91A85"/>
    <w:rsid w:val="00D91D16"/>
    <w:rsid w:val="00D92FC1"/>
    <w:rsid w:val="00D93753"/>
    <w:rsid w:val="00D94244"/>
    <w:rsid w:val="00D943CF"/>
    <w:rsid w:val="00D9525D"/>
    <w:rsid w:val="00D965FC"/>
    <w:rsid w:val="00DA16C6"/>
    <w:rsid w:val="00DA199B"/>
    <w:rsid w:val="00DA3167"/>
    <w:rsid w:val="00DA3349"/>
    <w:rsid w:val="00DA4BCE"/>
    <w:rsid w:val="00DA4DC3"/>
    <w:rsid w:val="00DA71C2"/>
    <w:rsid w:val="00DA77A5"/>
    <w:rsid w:val="00DA7FF2"/>
    <w:rsid w:val="00DB1CCC"/>
    <w:rsid w:val="00DB3DBF"/>
    <w:rsid w:val="00DB484F"/>
    <w:rsid w:val="00DB65BC"/>
    <w:rsid w:val="00DC04AF"/>
    <w:rsid w:val="00DC04F6"/>
    <w:rsid w:val="00DC0690"/>
    <w:rsid w:val="00DC0EF5"/>
    <w:rsid w:val="00DC1D65"/>
    <w:rsid w:val="00DC1FF4"/>
    <w:rsid w:val="00DC2246"/>
    <w:rsid w:val="00DC22BD"/>
    <w:rsid w:val="00DC36D5"/>
    <w:rsid w:val="00DC3C57"/>
    <w:rsid w:val="00DC522E"/>
    <w:rsid w:val="00DC5501"/>
    <w:rsid w:val="00DC639D"/>
    <w:rsid w:val="00DC6913"/>
    <w:rsid w:val="00DC7154"/>
    <w:rsid w:val="00DC7B1E"/>
    <w:rsid w:val="00DC7E8A"/>
    <w:rsid w:val="00DD0F78"/>
    <w:rsid w:val="00DD14E8"/>
    <w:rsid w:val="00DD1BBF"/>
    <w:rsid w:val="00DD1FA5"/>
    <w:rsid w:val="00DD273C"/>
    <w:rsid w:val="00DD3F28"/>
    <w:rsid w:val="00DD4537"/>
    <w:rsid w:val="00DD4741"/>
    <w:rsid w:val="00DD4E15"/>
    <w:rsid w:val="00DD54BA"/>
    <w:rsid w:val="00DD7D43"/>
    <w:rsid w:val="00DE05EB"/>
    <w:rsid w:val="00DE125B"/>
    <w:rsid w:val="00DE2304"/>
    <w:rsid w:val="00DE3138"/>
    <w:rsid w:val="00DE37F8"/>
    <w:rsid w:val="00DE497B"/>
    <w:rsid w:val="00DE4FCB"/>
    <w:rsid w:val="00DE502E"/>
    <w:rsid w:val="00DE544B"/>
    <w:rsid w:val="00DE5A2E"/>
    <w:rsid w:val="00DE5D07"/>
    <w:rsid w:val="00DE60FC"/>
    <w:rsid w:val="00DE6B26"/>
    <w:rsid w:val="00DE6EB4"/>
    <w:rsid w:val="00DE72A7"/>
    <w:rsid w:val="00DE7832"/>
    <w:rsid w:val="00DF0733"/>
    <w:rsid w:val="00DF11DD"/>
    <w:rsid w:val="00DF1364"/>
    <w:rsid w:val="00DF18FC"/>
    <w:rsid w:val="00DF1EB1"/>
    <w:rsid w:val="00DF24C2"/>
    <w:rsid w:val="00DF27DC"/>
    <w:rsid w:val="00DF2A43"/>
    <w:rsid w:val="00DF3338"/>
    <w:rsid w:val="00DF3573"/>
    <w:rsid w:val="00DF3B4E"/>
    <w:rsid w:val="00DF458F"/>
    <w:rsid w:val="00DF4878"/>
    <w:rsid w:val="00DF5A8A"/>
    <w:rsid w:val="00DF5D2B"/>
    <w:rsid w:val="00DF6E49"/>
    <w:rsid w:val="00E00E8E"/>
    <w:rsid w:val="00E0198E"/>
    <w:rsid w:val="00E04F32"/>
    <w:rsid w:val="00E05264"/>
    <w:rsid w:val="00E05630"/>
    <w:rsid w:val="00E05EF7"/>
    <w:rsid w:val="00E062D7"/>
    <w:rsid w:val="00E06704"/>
    <w:rsid w:val="00E06DBB"/>
    <w:rsid w:val="00E07181"/>
    <w:rsid w:val="00E10149"/>
    <w:rsid w:val="00E11340"/>
    <w:rsid w:val="00E122A1"/>
    <w:rsid w:val="00E16372"/>
    <w:rsid w:val="00E20D15"/>
    <w:rsid w:val="00E20E4D"/>
    <w:rsid w:val="00E20ED6"/>
    <w:rsid w:val="00E21358"/>
    <w:rsid w:val="00E223E0"/>
    <w:rsid w:val="00E2249B"/>
    <w:rsid w:val="00E22A0D"/>
    <w:rsid w:val="00E23E8B"/>
    <w:rsid w:val="00E244F6"/>
    <w:rsid w:val="00E24D7C"/>
    <w:rsid w:val="00E25DCB"/>
    <w:rsid w:val="00E2771E"/>
    <w:rsid w:val="00E31137"/>
    <w:rsid w:val="00E311EF"/>
    <w:rsid w:val="00E31335"/>
    <w:rsid w:val="00E31BFD"/>
    <w:rsid w:val="00E32180"/>
    <w:rsid w:val="00E34948"/>
    <w:rsid w:val="00E34D05"/>
    <w:rsid w:val="00E357E8"/>
    <w:rsid w:val="00E37569"/>
    <w:rsid w:val="00E401B2"/>
    <w:rsid w:val="00E40F06"/>
    <w:rsid w:val="00E41749"/>
    <w:rsid w:val="00E41E30"/>
    <w:rsid w:val="00E423EC"/>
    <w:rsid w:val="00E42F73"/>
    <w:rsid w:val="00E43D70"/>
    <w:rsid w:val="00E44029"/>
    <w:rsid w:val="00E4449B"/>
    <w:rsid w:val="00E458AE"/>
    <w:rsid w:val="00E46158"/>
    <w:rsid w:val="00E466F3"/>
    <w:rsid w:val="00E473C1"/>
    <w:rsid w:val="00E47B2C"/>
    <w:rsid w:val="00E50A1A"/>
    <w:rsid w:val="00E51518"/>
    <w:rsid w:val="00E51560"/>
    <w:rsid w:val="00E5348C"/>
    <w:rsid w:val="00E53FC8"/>
    <w:rsid w:val="00E54347"/>
    <w:rsid w:val="00E5445B"/>
    <w:rsid w:val="00E54AC3"/>
    <w:rsid w:val="00E54BF4"/>
    <w:rsid w:val="00E54CBF"/>
    <w:rsid w:val="00E54D23"/>
    <w:rsid w:val="00E54F99"/>
    <w:rsid w:val="00E553C0"/>
    <w:rsid w:val="00E55424"/>
    <w:rsid w:val="00E55915"/>
    <w:rsid w:val="00E55990"/>
    <w:rsid w:val="00E55BB5"/>
    <w:rsid w:val="00E565BA"/>
    <w:rsid w:val="00E60A7B"/>
    <w:rsid w:val="00E60D2E"/>
    <w:rsid w:val="00E60ED9"/>
    <w:rsid w:val="00E611CC"/>
    <w:rsid w:val="00E61465"/>
    <w:rsid w:val="00E615F1"/>
    <w:rsid w:val="00E6396D"/>
    <w:rsid w:val="00E656BF"/>
    <w:rsid w:val="00E65E79"/>
    <w:rsid w:val="00E66BA2"/>
    <w:rsid w:val="00E67416"/>
    <w:rsid w:val="00E67610"/>
    <w:rsid w:val="00E6782B"/>
    <w:rsid w:val="00E7063C"/>
    <w:rsid w:val="00E707BB"/>
    <w:rsid w:val="00E7092E"/>
    <w:rsid w:val="00E718B6"/>
    <w:rsid w:val="00E723BA"/>
    <w:rsid w:val="00E734A3"/>
    <w:rsid w:val="00E73581"/>
    <w:rsid w:val="00E7388D"/>
    <w:rsid w:val="00E74484"/>
    <w:rsid w:val="00E745D5"/>
    <w:rsid w:val="00E758BA"/>
    <w:rsid w:val="00E76B7C"/>
    <w:rsid w:val="00E776C9"/>
    <w:rsid w:val="00E8172A"/>
    <w:rsid w:val="00E823AC"/>
    <w:rsid w:val="00E825EA"/>
    <w:rsid w:val="00E833F7"/>
    <w:rsid w:val="00E83BDF"/>
    <w:rsid w:val="00E84748"/>
    <w:rsid w:val="00E84B78"/>
    <w:rsid w:val="00E84E45"/>
    <w:rsid w:val="00E87A1D"/>
    <w:rsid w:val="00E9094A"/>
    <w:rsid w:val="00E91CCB"/>
    <w:rsid w:val="00E91D35"/>
    <w:rsid w:val="00E926A5"/>
    <w:rsid w:val="00E93869"/>
    <w:rsid w:val="00E93B6C"/>
    <w:rsid w:val="00E9454A"/>
    <w:rsid w:val="00E94E8D"/>
    <w:rsid w:val="00E974E6"/>
    <w:rsid w:val="00EA114C"/>
    <w:rsid w:val="00EA17C3"/>
    <w:rsid w:val="00EA2CAA"/>
    <w:rsid w:val="00EA3037"/>
    <w:rsid w:val="00EA3864"/>
    <w:rsid w:val="00EA3FFE"/>
    <w:rsid w:val="00EA41E9"/>
    <w:rsid w:val="00EA47F0"/>
    <w:rsid w:val="00EA557B"/>
    <w:rsid w:val="00EA58BE"/>
    <w:rsid w:val="00EA7E55"/>
    <w:rsid w:val="00EA7F1C"/>
    <w:rsid w:val="00EB04DF"/>
    <w:rsid w:val="00EB15B6"/>
    <w:rsid w:val="00EB27FD"/>
    <w:rsid w:val="00EB3D06"/>
    <w:rsid w:val="00EB4916"/>
    <w:rsid w:val="00EB4E04"/>
    <w:rsid w:val="00EB70DB"/>
    <w:rsid w:val="00EC00C9"/>
    <w:rsid w:val="00EC0DD9"/>
    <w:rsid w:val="00EC1F29"/>
    <w:rsid w:val="00EC2649"/>
    <w:rsid w:val="00EC31ED"/>
    <w:rsid w:val="00EC5836"/>
    <w:rsid w:val="00EC688C"/>
    <w:rsid w:val="00EC7F2A"/>
    <w:rsid w:val="00ED0105"/>
    <w:rsid w:val="00ED42DA"/>
    <w:rsid w:val="00ED4E50"/>
    <w:rsid w:val="00ED57EA"/>
    <w:rsid w:val="00ED5BD4"/>
    <w:rsid w:val="00ED5F41"/>
    <w:rsid w:val="00ED675A"/>
    <w:rsid w:val="00EE0396"/>
    <w:rsid w:val="00EE07D3"/>
    <w:rsid w:val="00EE1996"/>
    <w:rsid w:val="00EE1C01"/>
    <w:rsid w:val="00EE1DB3"/>
    <w:rsid w:val="00EE22AF"/>
    <w:rsid w:val="00EE2639"/>
    <w:rsid w:val="00EF0171"/>
    <w:rsid w:val="00EF04DD"/>
    <w:rsid w:val="00EF062E"/>
    <w:rsid w:val="00EF0C18"/>
    <w:rsid w:val="00EF1B25"/>
    <w:rsid w:val="00EF1DA0"/>
    <w:rsid w:val="00EF1DCB"/>
    <w:rsid w:val="00EF261C"/>
    <w:rsid w:val="00EF2800"/>
    <w:rsid w:val="00EF4747"/>
    <w:rsid w:val="00EF4BF8"/>
    <w:rsid w:val="00EF7282"/>
    <w:rsid w:val="00F02253"/>
    <w:rsid w:val="00F03C2E"/>
    <w:rsid w:val="00F04A66"/>
    <w:rsid w:val="00F04B4B"/>
    <w:rsid w:val="00F0516C"/>
    <w:rsid w:val="00F0548A"/>
    <w:rsid w:val="00F067A2"/>
    <w:rsid w:val="00F06EE7"/>
    <w:rsid w:val="00F077DF"/>
    <w:rsid w:val="00F07B9E"/>
    <w:rsid w:val="00F07F71"/>
    <w:rsid w:val="00F10AE7"/>
    <w:rsid w:val="00F1116F"/>
    <w:rsid w:val="00F11A83"/>
    <w:rsid w:val="00F125E4"/>
    <w:rsid w:val="00F1263A"/>
    <w:rsid w:val="00F136E3"/>
    <w:rsid w:val="00F14454"/>
    <w:rsid w:val="00F14876"/>
    <w:rsid w:val="00F15B77"/>
    <w:rsid w:val="00F16322"/>
    <w:rsid w:val="00F167E5"/>
    <w:rsid w:val="00F2164A"/>
    <w:rsid w:val="00F22337"/>
    <w:rsid w:val="00F23FC2"/>
    <w:rsid w:val="00F24837"/>
    <w:rsid w:val="00F2575F"/>
    <w:rsid w:val="00F2596D"/>
    <w:rsid w:val="00F27316"/>
    <w:rsid w:val="00F27565"/>
    <w:rsid w:val="00F27840"/>
    <w:rsid w:val="00F27AFC"/>
    <w:rsid w:val="00F30370"/>
    <w:rsid w:val="00F3042D"/>
    <w:rsid w:val="00F304CF"/>
    <w:rsid w:val="00F310D4"/>
    <w:rsid w:val="00F31D5A"/>
    <w:rsid w:val="00F322A5"/>
    <w:rsid w:val="00F32655"/>
    <w:rsid w:val="00F33975"/>
    <w:rsid w:val="00F33DE9"/>
    <w:rsid w:val="00F342EE"/>
    <w:rsid w:val="00F3572E"/>
    <w:rsid w:val="00F3591D"/>
    <w:rsid w:val="00F35D99"/>
    <w:rsid w:val="00F35E6D"/>
    <w:rsid w:val="00F35F84"/>
    <w:rsid w:val="00F3619A"/>
    <w:rsid w:val="00F40AAA"/>
    <w:rsid w:val="00F40BA7"/>
    <w:rsid w:val="00F40F9D"/>
    <w:rsid w:val="00F41ACD"/>
    <w:rsid w:val="00F43369"/>
    <w:rsid w:val="00F436F1"/>
    <w:rsid w:val="00F43E07"/>
    <w:rsid w:val="00F44724"/>
    <w:rsid w:val="00F4654C"/>
    <w:rsid w:val="00F466D5"/>
    <w:rsid w:val="00F46CB6"/>
    <w:rsid w:val="00F4756D"/>
    <w:rsid w:val="00F47708"/>
    <w:rsid w:val="00F47DE8"/>
    <w:rsid w:val="00F5010E"/>
    <w:rsid w:val="00F50B44"/>
    <w:rsid w:val="00F50FA7"/>
    <w:rsid w:val="00F542C1"/>
    <w:rsid w:val="00F54D70"/>
    <w:rsid w:val="00F55A86"/>
    <w:rsid w:val="00F55E73"/>
    <w:rsid w:val="00F55EDA"/>
    <w:rsid w:val="00F567D8"/>
    <w:rsid w:val="00F56C80"/>
    <w:rsid w:val="00F60092"/>
    <w:rsid w:val="00F61C18"/>
    <w:rsid w:val="00F620FD"/>
    <w:rsid w:val="00F63806"/>
    <w:rsid w:val="00F6402D"/>
    <w:rsid w:val="00F65F4B"/>
    <w:rsid w:val="00F6691B"/>
    <w:rsid w:val="00F67A69"/>
    <w:rsid w:val="00F70BFF"/>
    <w:rsid w:val="00F70C9D"/>
    <w:rsid w:val="00F71395"/>
    <w:rsid w:val="00F732D1"/>
    <w:rsid w:val="00F73F03"/>
    <w:rsid w:val="00F74CD9"/>
    <w:rsid w:val="00F75FD7"/>
    <w:rsid w:val="00F76DF3"/>
    <w:rsid w:val="00F80A3D"/>
    <w:rsid w:val="00F80A7B"/>
    <w:rsid w:val="00F80E5D"/>
    <w:rsid w:val="00F81E78"/>
    <w:rsid w:val="00F829C0"/>
    <w:rsid w:val="00F84175"/>
    <w:rsid w:val="00F8508D"/>
    <w:rsid w:val="00F851CE"/>
    <w:rsid w:val="00F86E23"/>
    <w:rsid w:val="00F87A37"/>
    <w:rsid w:val="00F91219"/>
    <w:rsid w:val="00F91B3A"/>
    <w:rsid w:val="00F92444"/>
    <w:rsid w:val="00F927D4"/>
    <w:rsid w:val="00F92E3A"/>
    <w:rsid w:val="00F93171"/>
    <w:rsid w:val="00F9393E"/>
    <w:rsid w:val="00F94DDE"/>
    <w:rsid w:val="00F94F98"/>
    <w:rsid w:val="00F96FD0"/>
    <w:rsid w:val="00F97A78"/>
    <w:rsid w:val="00FA0311"/>
    <w:rsid w:val="00FA032E"/>
    <w:rsid w:val="00FA0B20"/>
    <w:rsid w:val="00FA1331"/>
    <w:rsid w:val="00FA24E7"/>
    <w:rsid w:val="00FA54E6"/>
    <w:rsid w:val="00FA5EE6"/>
    <w:rsid w:val="00FA6AF0"/>
    <w:rsid w:val="00FA7956"/>
    <w:rsid w:val="00FB020A"/>
    <w:rsid w:val="00FB1346"/>
    <w:rsid w:val="00FB238F"/>
    <w:rsid w:val="00FB2FCB"/>
    <w:rsid w:val="00FB5E31"/>
    <w:rsid w:val="00FB7720"/>
    <w:rsid w:val="00FB7BD2"/>
    <w:rsid w:val="00FB7C55"/>
    <w:rsid w:val="00FC1074"/>
    <w:rsid w:val="00FC1884"/>
    <w:rsid w:val="00FC2817"/>
    <w:rsid w:val="00FC3296"/>
    <w:rsid w:val="00FC371D"/>
    <w:rsid w:val="00FC3A66"/>
    <w:rsid w:val="00FC4A23"/>
    <w:rsid w:val="00FC58A3"/>
    <w:rsid w:val="00FC5BEF"/>
    <w:rsid w:val="00FC5DA7"/>
    <w:rsid w:val="00FC5F0B"/>
    <w:rsid w:val="00FC6B4B"/>
    <w:rsid w:val="00FD1006"/>
    <w:rsid w:val="00FD1808"/>
    <w:rsid w:val="00FD2100"/>
    <w:rsid w:val="00FD240D"/>
    <w:rsid w:val="00FD274E"/>
    <w:rsid w:val="00FD4349"/>
    <w:rsid w:val="00FD436C"/>
    <w:rsid w:val="00FD446D"/>
    <w:rsid w:val="00FD4F2C"/>
    <w:rsid w:val="00FD6394"/>
    <w:rsid w:val="00FD77CD"/>
    <w:rsid w:val="00FE0E6C"/>
    <w:rsid w:val="00FE1CDC"/>
    <w:rsid w:val="00FE1D21"/>
    <w:rsid w:val="00FE3A33"/>
    <w:rsid w:val="00FE3E74"/>
    <w:rsid w:val="00FE4803"/>
    <w:rsid w:val="00FE64B8"/>
    <w:rsid w:val="00FE6951"/>
    <w:rsid w:val="00FE70C3"/>
    <w:rsid w:val="00FE750E"/>
    <w:rsid w:val="00FE7D55"/>
    <w:rsid w:val="00FF083F"/>
    <w:rsid w:val="00FF14C9"/>
    <w:rsid w:val="00FF2AD9"/>
    <w:rsid w:val="00FF359F"/>
    <w:rsid w:val="00FF3DCF"/>
    <w:rsid w:val="00FF42BE"/>
    <w:rsid w:val="00FF486A"/>
    <w:rsid w:val="00FF492C"/>
    <w:rsid w:val="00FF4A21"/>
    <w:rsid w:val="00FF5AA3"/>
    <w:rsid w:val="00FF5AD8"/>
    <w:rsid w:val="00FF5E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388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7" w:semiHidden="1" w:unhideWhenUsed="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CA"/>
    <w:pPr>
      <w:jc w:val="both"/>
    </w:pPr>
    <w:rPr>
      <w:rFonts w:ascii="Calibri" w:hAnsi="Calibri" w:cs="Arial"/>
      <w:sz w:val="24"/>
      <w:szCs w:val="24"/>
    </w:rPr>
  </w:style>
  <w:style w:type="paragraph" w:styleId="Heading1">
    <w:name w:val="heading 1"/>
    <w:basedOn w:val="Normal"/>
    <w:next w:val="Normal"/>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 Char,Caption Char2 Char,Caption Char1 Char Char Char1,12,- H"/>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12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1,Listenabsatz 2,Bullet List,Lista viñetas,Explanation &amp; guidance,ES Paragraph,L,Bullet Point"/>
    <w:next w:val="ListBullet"/>
    <w:link w:val="ListParagraphChar"/>
    <w:uiPriority w:val="72"/>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1 Char,Listenabsatz 2 Char,Bullet List Char"/>
    <w:basedOn w:val="DefaultParagraphFont"/>
    <w:link w:val="ListParagraph"/>
    <w:uiPriority w:val="72"/>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DF0733"/>
    <w:rPr>
      <w:rFonts w:ascii="Arial Narrow" w:hAnsi="Arial Narrow"/>
      <w:b/>
      <w:color w:val="000000" w:themeColor="text1"/>
      <w:sz w:val="20"/>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uiPriority w:val="99"/>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uiPriority w:val="99"/>
    <w:rsid w:val="00EE1996"/>
    <w:rPr>
      <w:rFonts w:ascii="Arial Narrow" w:eastAsiaTheme="majorEastAsia" w:hAnsi="Arial Narrow" w:cstheme="majorBidi"/>
      <w:bCs/>
      <w:szCs w:val="24"/>
    </w:rPr>
  </w:style>
  <w:style w:type="paragraph" w:customStyle="1" w:styleId="SubmTableHeading">
    <w:name w:val="Subm Table Heading"/>
    <w:basedOn w:val="TableHeading"/>
    <w:qFormat/>
    <w:rsid w:val="009B7281"/>
    <w:pPr>
      <w:spacing w:before="0" w:after="60"/>
    </w:pPr>
    <w:rPr>
      <w:rFonts w:eastAsiaTheme="minorHAnsi" w:cstheme="minorHAnsi"/>
      <w:snapToGrid/>
      <w:sz w:val="18"/>
      <w:szCs w:val="18"/>
      <w:lang w:eastAsia="en-US"/>
    </w:rPr>
  </w:style>
  <w:style w:type="paragraph" w:customStyle="1" w:styleId="SubmTableCaption">
    <w:name w:val="Subm Table Caption"/>
    <w:basedOn w:val="Caption"/>
    <w:qFormat/>
    <w:rsid w:val="009B7281"/>
    <w:pPr>
      <w:keepNext/>
      <w:spacing w:after="0"/>
      <w:jc w:val="left"/>
    </w:pPr>
    <w:rPr>
      <w:rFonts w:asciiTheme="minorHAnsi" w:eastAsiaTheme="minorHAnsi" w:hAnsiTheme="minorHAnsi" w:cstheme="minorBidi"/>
      <w:color w:val="auto"/>
      <w:sz w:val="20"/>
      <w:szCs w:val="22"/>
      <w:lang w:eastAsia="en-US"/>
    </w:rPr>
  </w:style>
  <w:style w:type="paragraph" w:customStyle="1" w:styleId="SubmTableNote">
    <w:name w:val="Subm Table Note"/>
    <w:basedOn w:val="Normal"/>
    <w:qFormat/>
    <w:rsid w:val="009827D4"/>
    <w:pPr>
      <w:jc w:val="left"/>
    </w:pPr>
    <w:rPr>
      <w:rFonts w:ascii="Arial Narrow" w:eastAsiaTheme="minorHAnsi" w:hAnsi="Arial Narrow" w:cstheme="minorHAnsi"/>
      <w:sz w:val="16"/>
      <w:szCs w:val="16"/>
      <w:lang w:eastAsia="en-US"/>
    </w:rPr>
  </w:style>
  <w:style w:type="paragraph" w:styleId="FootnoteText">
    <w:name w:val="footnote text"/>
    <w:aliases w:val="Footnote Text Char1,Footnote Text Char Char,Footnote Text Char2,Footnote Text Char Char1"/>
    <w:basedOn w:val="Normal"/>
    <w:link w:val="FootnoteTextChar"/>
    <w:unhideWhenUsed/>
    <w:rsid w:val="00DC7B1E"/>
    <w:pPr>
      <w:widowControl w:val="0"/>
    </w:pPr>
    <w:rPr>
      <w:snapToGrid w:val="0"/>
      <w:sz w:val="20"/>
      <w:szCs w:val="20"/>
      <w:lang w:eastAsia="en-US"/>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DC7B1E"/>
    <w:rPr>
      <w:rFonts w:ascii="Calibri" w:hAnsi="Calibri" w:cs="Arial"/>
      <w:snapToGrid w:val="0"/>
      <w:lang w:eastAsia="en-US"/>
    </w:rPr>
  </w:style>
  <w:style w:type="character" w:styleId="FootnoteReference">
    <w:name w:val="footnote reference"/>
    <w:basedOn w:val="DefaultParagraphFont"/>
    <w:unhideWhenUsed/>
    <w:rsid w:val="00DC7B1E"/>
    <w:rPr>
      <w:vertAlign w:val="superscript"/>
    </w:rPr>
  </w:style>
  <w:style w:type="paragraph" w:customStyle="1" w:styleId="ListBulletLevel1">
    <w:name w:val="List Bullet Level 1"/>
    <w:basedOn w:val="Normal"/>
    <w:rsid w:val="00D8182A"/>
    <w:pPr>
      <w:numPr>
        <w:numId w:val="5"/>
      </w:numPr>
      <w:spacing w:before="120"/>
      <w:jc w:val="left"/>
    </w:pPr>
    <w:rPr>
      <w:rFonts w:ascii="Times New Roman" w:eastAsia="MS Mincho" w:hAnsi="Times New Roman" w:cs="Times New Roman"/>
      <w:color w:val="000000"/>
      <w:lang w:val="en-US" w:eastAsia="en-US"/>
    </w:rPr>
  </w:style>
  <w:style w:type="paragraph" w:customStyle="1" w:styleId="Submtext">
    <w:name w:val="Subm text"/>
    <w:basedOn w:val="Normal"/>
    <w:qFormat/>
    <w:rsid w:val="00566B22"/>
    <w:pPr>
      <w:spacing w:before="120" w:after="120" w:line="276" w:lineRule="auto"/>
    </w:pPr>
    <w:rPr>
      <w:rFonts w:asciiTheme="minorHAnsi" w:hAnsiTheme="minorHAnsi" w:cs="Times New Roman"/>
      <w:sz w:val="22"/>
      <w:szCs w:val="20"/>
      <w:lang w:eastAsia="en-US"/>
    </w:rPr>
  </w:style>
  <w:style w:type="paragraph" w:customStyle="1" w:styleId="SubmTableTxt">
    <w:name w:val="Subm Table Txt"/>
    <w:basedOn w:val="TableText0"/>
    <w:qFormat/>
    <w:rsid w:val="00566B22"/>
    <w:pPr>
      <w:keepNext w:val="0"/>
      <w:spacing w:before="40" w:after="40"/>
    </w:pPr>
    <w:rPr>
      <w:rFonts w:eastAsiaTheme="minorHAnsi" w:cstheme="minorHAnsi"/>
      <w:bCs w:val="0"/>
      <w:sz w:val="18"/>
      <w:szCs w:val="18"/>
      <w:lang w:eastAsia="en-US"/>
    </w:rPr>
  </w:style>
  <w:style w:type="character" w:styleId="Emphasis">
    <w:name w:val="Emphasis"/>
    <w:basedOn w:val="DefaultParagraphFont"/>
    <w:uiPriority w:val="20"/>
    <w:qFormat/>
    <w:rsid w:val="007E6C3B"/>
    <w:rPr>
      <w:b w:val="0"/>
      <w:i/>
      <w:iCs/>
    </w:rPr>
  </w:style>
  <w:style w:type="paragraph" w:customStyle="1" w:styleId="BodyText1">
    <w:name w:val="Body Text1"/>
    <w:basedOn w:val="Normal"/>
    <w:link w:val="BodytextChar0"/>
    <w:qFormat/>
    <w:rsid w:val="002E412C"/>
    <w:pPr>
      <w:keepNext/>
      <w:keepLines/>
      <w:spacing w:before="120" w:after="120" w:line="360" w:lineRule="auto"/>
    </w:pPr>
    <w:rPr>
      <w:rFonts w:asciiTheme="minorHAnsi" w:eastAsiaTheme="minorHAnsi" w:hAnsiTheme="minorHAnsi" w:cstheme="minorBidi"/>
      <w:sz w:val="22"/>
      <w:szCs w:val="22"/>
      <w:lang w:eastAsia="en-US"/>
    </w:rPr>
  </w:style>
  <w:style w:type="character" w:customStyle="1" w:styleId="BodytextChar0">
    <w:name w:val="Body text Char"/>
    <w:basedOn w:val="DefaultParagraphFont"/>
    <w:link w:val="BodyText1"/>
    <w:rsid w:val="002E412C"/>
    <w:rPr>
      <w:rFonts w:asciiTheme="minorHAnsi" w:eastAsiaTheme="minorHAnsi" w:hAnsiTheme="minorHAnsi" w:cstheme="minorBidi"/>
      <w:sz w:val="22"/>
      <w:szCs w:val="22"/>
      <w:lang w:eastAsia="en-US"/>
    </w:rPr>
  </w:style>
  <w:style w:type="paragraph" w:customStyle="1" w:styleId="Submissionlist">
    <w:name w:val="Submission list"/>
    <w:basedOn w:val="Normal"/>
    <w:qFormat/>
    <w:rsid w:val="00147793"/>
    <w:pPr>
      <w:numPr>
        <w:numId w:val="8"/>
      </w:numPr>
      <w:spacing w:after="120" w:line="276" w:lineRule="auto"/>
      <w:ind w:left="714" w:hanging="357"/>
      <w:contextualSpacing/>
    </w:pPr>
    <w:rPr>
      <w:rFonts w:asciiTheme="minorHAnsi" w:eastAsiaTheme="minorHAnsi" w:hAnsiTheme="minorHAnsi" w:cstheme="minorBidi"/>
      <w:sz w:val="22"/>
      <w:lang w:eastAsia="en-US"/>
    </w:rPr>
  </w:style>
  <w:style w:type="table" w:styleId="TableGridLight">
    <w:name w:val="Grid Table Light"/>
    <w:basedOn w:val="TableNormal"/>
    <w:uiPriority w:val="40"/>
    <w:rsid w:val="005170B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urce">
    <w:name w:val="Source"/>
    <w:basedOn w:val="Normal"/>
    <w:uiPriority w:val="35"/>
    <w:qFormat/>
    <w:rsid w:val="005170BB"/>
    <w:pPr>
      <w:tabs>
        <w:tab w:val="left" w:pos="284"/>
      </w:tabs>
      <w:spacing w:before="60" w:after="240" w:line="360" w:lineRule="auto"/>
      <w:contextualSpacing/>
      <w:jc w:val="left"/>
    </w:pPr>
    <w:rPr>
      <w:rFonts w:ascii="Arial" w:eastAsiaTheme="minorHAnsi" w:hAnsi="Arial" w:cstheme="minorBidi"/>
      <w:sz w:val="18"/>
      <w:szCs w:val="20"/>
      <w:lang w:eastAsia="en-US"/>
    </w:rPr>
  </w:style>
  <w:style w:type="numbering" w:customStyle="1" w:styleId="Lists">
    <w:name w:val="Lists"/>
    <w:uiPriority w:val="99"/>
    <w:rsid w:val="00384ADF"/>
    <w:pPr>
      <w:numPr>
        <w:numId w:val="9"/>
      </w:numPr>
    </w:pPr>
  </w:style>
  <w:style w:type="paragraph" w:customStyle="1" w:styleId="TableFigNote">
    <w:name w:val="TableFigNote"/>
    <w:basedOn w:val="Normal"/>
    <w:qFormat/>
    <w:rsid w:val="00750206"/>
    <w:pPr>
      <w:jc w:val="left"/>
    </w:pPr>
    <w:rPr>
      <w:rFonts w:asciiTheme="minorHAnsi" w:eastAsiaTheme="minorHAnsi" w:hAnsiTheme="minorHAnsi" w:cstheme="minorBidi"/>
      <w:sz w:val="16"/>
      <w:szCs w:val="22"/>
      <w:lang w:eastAsia="en-US"/>
    </w:rPr>
  </w:style>
  <w:style w:type="paragraph" w:customStyle="1" w:styleId="Default">
    <w:name w:val="Default"/>
    <w:rsid w:val="008C40D2"/>
    <w:pPr>
      <w:autoSpaceDE w:val="0"/>
      <w:autoSpaceDN w:val="0"/>
      <w:adjustRightInd w:val="0"/>
    </w:pPr>
    <w:rPr>
      <w:color w:val="000000"/>
      <w:sz w:val="24"/>
      <w:szCs w:val="24"/>
    </w:rPr>
  </w:style>
  <w:style w:type="table" w:customStyle="1" w:styleId="Summarybox2">
    <w:name w:val="Summary box2"/>
    <w:basedOn w:val="TableNormal"/>
    <w:next w:val="TableGrid"/>
    <w:uiPriority w:val="39"/>
    <w:rsid w:val="00E062D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StylePr>
  </w:style>
  <w:style w:type="table" w:customStyle="1" w:styleId="Summarybox4">
    <w:name w:val="Summary box4"/>
    <w:basedOn w:val="TableNormal"/>
    <w:next w:val="TableGrid"/>
    <w:uiPriority w:val="39"/>
    <w:rsid w:val="001D6E1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StylePr>
  </w:style>
  <w:style w:type="table" w:customStyle="1" w:styleId="Summarybox5">
    <w:name w:val="Summary box5"/>
    <w:basedOn w:val="TableNormal"/>
    <w:next w:val="TableGrid"/>
    <w:uiPriority w:val="39"/>
    <w:rsid w:val="00F10AE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StylePr>
  </w:style>
  <w:style w:type="paragraph" w:customStyle="1" w:styleId="TableBullet">
    <w:name w:val="Table Bullet"/>
    <w:basedOn w:val="TableText0"/>
    <w:rsid w:val="008D42C5"/>
    <w:pPr>
      <w:keepNext w:val="0"/>
      <w:numPr>
        <w:numId w:val="11"/>
      </w:numPr>
      <w:spacing w:before="40" w:after="40"/>
      <w:ind w:left="357" w:hanging="357"/>
    </w:pPr>
    <w:rPr>
      <w:rFonts w:asciiTheme="minorHAnsi" w:eastAsiaTheme="minorHAnsi" w:hAnsiTheme="minorHAnsi" w:cstheme="minorHAnsi"/>
      <w:bCs w:val="0"/>
      <w:sz w:val="18"/>
      <w:szCs w:val="18"/>
      <w:lang w:eastAsia="en-US"/>
    </w:rPr>
  </w:style>
  <w:style w:type="character" w:customStyle="1" w:styleId="UnresolvedMention1">
    <w:name w:val="Unresolved Mention1"/>
    <w:basedOn w:val="DefaultParagraphFont"/>
    <w:uiPriority w:val="99"/>
    <w:semiHidden/>
    <w:unhideWhenUsed/>
    <w:rsid w:val="008D42C5"/>
    <w:rPr>
      <w:color w:val="605E5C"/>
      <w:shd w:val="clear" w:color="auto" w:fill="E1DFDD"/>
    </w:rPr>
  </w:style>
  <w:style w:type="paragraph" w:styleId="HTMLPreformatted">
    <w:name w:val="HTML Preformatted"/>
    <w:basedOn w:val="Normal"/>
    <w:link w:val="HTMLPreformattedChar"/>
    <w:uiPriority w:val="99"/>
    <w:semiHidden/>
    <w:unhideWhenUsed/>
    <w:rsid w:val="008D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D42C5"/>
    <w:rPr>
      <w:rFonts w:ascii="Courier New" w:hAnsi="Courier New" w:cs="Courier New"/>
    </w:rPr>
  </w:style>
  <w:style w:type="table" w:customStyle="1" w:styleId="Summarybox3">
    <w:name w:val="Summary box3"/>
    <w:basedOn w:val="TableNormal"/>
    <w:next w:val="TableGrid"/>
    <w:uiPriority w:val="59"/>
    <w:rsid w:val="006606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5010E"/>
    <w:pPr>
      <w:jc w:val="center"/>
    </w:pPr>
    <w:rPr>
      <w:rFonts w:cs="Calibri"/>
      <w:noProof/>
    </w:rPr>
  </w:style>
  <w:style w:type="character" w:customStyle="1" w:styleId="EndNoteBibliographyTitleChar">
    <w:name w:val="EndNote Bibliography Title Char"/>
    <w:basedOn w:val="TableTextChar0"/>
    <w:link w:val="EndNoteBibliographyTitle"/>
    <w:rsid w:val="00F5010E"/>
    <w:rPr>
      <w:rFonts w:ascii="Calibri" w:eastAsiaTheme="majorEastAsia" w:hAnsi="Calibri" w:cs="Calibri"/>
      <w:bCs w:val="0"/>
      <w:noProof/>
      <w:sz w:val="24"/>
      <w:szCs w:val="24"/>
    </w:rPr>
  </w:style>
  <w:style w:type="paragraph" w:customStyle="1" w:styleId="EndNoteBibliography">
    <w:name w:val="EndNote Bibliography"/>
    <w:basedOn w:val="Normal"/>
    <w:link w:val="EndNoteBibliographyChar"/>
    <w:rsid w:val="00F5010E"/>
    <w:rPr>
      <w:rFonts w:cs="Calibri"/>
      <w:noProof/>
    </w:rPr>
  </w:style>
  <w:style w:type="character" w:customStyle="1" w:styleId="EndNoteBibliographyChar">
    <w:name w:val="EndNote Bibliography Char"/>
    <w:basedOn w:val="TableTextChar0"/>
    <w:link w:val="EndNoteBibliography"/>
    <w:rsid w:val="00F5010E"/>
    <w:rPr>
      <w:rFonts w:ascii="Calibri" w:eastAsiaTheme="majorEastAsia" w:hAnsi="Calibri" w:cs="Calibri"/>
      <w:bCs w:val="0"/>
      <w:noProof/>
      <w:sz w:val="24"/>
      <w:szCs w:val="24"/>
    </w:rPr>
  </w:style>
  <w:style w:type="paragraph" w:styleId="EndnoteText">
    <w:name w:val="endnote text"/>
    <w:basedOn w:val="Normal"/>
    <w:link w:val="EndnoteTextChar"/>
    <w:semiHidden/>
    <w:unhideWhenUsed/>
    <w:rsid w:val="00A0309F"/>
    <w:rPr>
      <w:sz w:val="20"/>
      <w:szCs w:val="20"/>
    </w:rPr>
  </w:style>
  <w:style w:type="character" w:customStyle="1" w:styleId="EndnoteTextChar">
    <w:name w:val="Endnote Text Char"/>
    <w:basedOn w:val="DefaultParagraphFont"/>
    <w:link w:val="EndnoteText"/>
    <w:semiHidden/>
    <w:rsid w:val="00A0309F"/>
    <w:rPr>
      <w:rFonts w:ascii="Calibri" w:hAnsi="Calibri" w:cs="Arial"/>
    </w:rPr>
  </w:style>
  <w:style w:type="character" w:styleId="EndnoteReference">
    <w:name w:val="endnote reference"/>
    <w:basedOn w:val="DefaultParagraphFont"/>
    <w:semiHidden/>
    <w:unhideWhenUsed/>
    <w:rsid w:val="00A030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1799924">
      <w:bodyDiv w:val="1"/>
      <w:marLeft w:val="0"/>
      <w:marRight w:val="0"/>
      <w:marTop w:val="0"/>
      <w:marBottom w:val="0"/>
      <w:divBdr>
        <w:top w:val="none" w:sz="0" w:space="0" w:color="auto"/>
        <w:left w:val="none" w:sz="0" w:space="0" w:color="auto"/>
        <w:bottom w:val="none" w:sz="0" w:space="0" w:color="auto"/>
        <w:right w:val="none" w:sz="0" w:space="0" w:color="auto"/>
      </w:divBdr>
      <w:divsChild>
        <w:div w:id="1101948135">
          <w:marLeft w:val="1080"/>
          <w:marRight w:val="0"/>
          <w:marTop w:val="100"/>
          <w:marBottom w:val="0"/>
          <w:divBdr>
            <w:top w:val="none" w:sz="0" w:space="0" w:color="auto"/>
            <w:left w:val="none" w:sz="0" w:space="0" w:color="auto"/>
            <w:bottom w:val="none" w:sz="0" w:space="0" w:color="auto"/>
            <w:right w:val="none" w:sz="0" w:space="0" w:color="auto"/>
          </w:divBdr>
        </w:div>
      </w:divsChild>
    </w:div>
    <w:div w:id="165555295">
      <w:bodyDiv w:val="1"/>
      <w:marLeft w:val="0"/>
      <w:marRight w:val="0"/>
      <w:marTop w:val="0"/>
      <w:marBottom w:val="0"/>
      <w:divBdr>
        <w:top w:val="none" w:sz="0" w:space="0" w:color="auto"/>
        <w:left w:val="none" w:sz="0" w:space="0" w:color="auto"/>
        <w:bottom w:val="none" w:sz="0" w:space="0" w:color="auto"/>
        <w:right w:val="none" w:sz="0" w:space="0" w:color="auto"/>
      </w:divBdr>
      <w:divsChild>
        <w:div w:id="1147240340">
          <w:marLeft w:val="0"/>
          <w:marRight w:val="0"/>
          <w:marTop w:val="0"/>
          <w:marBottom w:val="0"/>
          <w:divBdr>
            <w:top w:val="none" w:sz="0" w:space="0" w:color="auto"/>
            <w:left w:val="none" w:sz="0" w:space="0" w:color="auto"/>
            <w:bottom w:val="none" w:sz="0" w:space="0" w:color="auto"/>
            <w:right w:val="none" w:sz="0" w:space="0" w:color="auto"/>
          </w:divBdr>
        </w:div>
      </w:divsChild>
    </w:div>
    <w:div w:id="27139748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17194663">
      <w:bodyDiv w:val="1"/>
      <w:marLeft w:val="0"/>
      <w:marRight w:val="0"/>
      <w:marTop w:val="0"/>
      <w:marBottom w:val="0"/>
      <w:divBdr>
        <w:top w:val="none" w:sz="0" w:space="0" w:color="auto"/>
        <w:left w:val="none" w:sz="0" w:space="0" w:color="auto"/>
        <w:bottom w:val="none" w:sz="0" w:space="0" w:color="auto"/>
        <w:right w:val="none" w:sz="0" w:space="0" w:color="auto"/>
      </w:divBdr>
    </w:div>
    <w:div w:id="322975591">
      <w:bodyDiv w:val="1"/>
      <w:marLeft w:val="0"/>
      <w:marRight w:val="0"/>
      <w:marTop w:val="0"/>
      <w:marBottom w:val="0"/>
      <w:divBdr>
        <w:top w:val="none" w:sz="0" w:space="0" w:color="auto"/>
        <w:left w:val="none" w:sz="0" w:space="0" w:color="auto"/>
        <w:bottom w:val="none" w:sz="0" w:space="0" w:color="auto"/>
        <w:right w:val="none" w:sz="0" w:space="0" w:color="auto"/>
      </w:divBdr>
      <w:divsChild>
        <w:div w:id="829322068">
          <w:marLeft w:val="360"/>
          <w:marRight w:val="0"/>
          <w:marTop w:val="200"/>
          <w:marBottom w:val="0"/>
          <w:divBdr>
            <w:top w:val="none" w:sz="0" w:space="0" w:color="auto"/>
            <w:left w:val="none" w:sz="0" w:space="0" w:color="auto"/>
            <w:bottom w:val="none" w:sz="0" w:space="0" w:color="auto"/>
            <w:right w:val="none" w:sz="0" w:space="0" w:color="auto"/>
          </w:divBdr>
        </w:div>
      </w:divsChild>
    </w:div>
    <w:div w:id="371420542">
      <w:bodyDiv w:val="1"/>
      <w:marLeft w:val="0"/>
      <w:marRight w:val="0"/>
      <w:marTop w:val="0"/>
      <w:marBottom w:val="0"/>
      <w:divBdr>
        <w:top w:val="none" w:sz="0" w:space="0" w:color="auto"/>
        <w:left w:val="none" w:sz="0" w:space="0" w:color="auto"/>
        <w:bottom w:val="none" w:sz="0" w:space="0" w:color="auto"/>
        <w:right w:val="none" w:sz="0" w:space="0" w:color="auto"/>
      </w:divBdr>
    </w:div>
    <w:div w:id="685526188">
      <w:bodyDiv w:val="1"/>
      <w:marLeft w:val="0"/>
      <w:marRight w:val="0"/>
      <w:marTop w:val="0"/>
      <w:marBottom w:val="0"/>
      <w:divBdr>
        <w:top w:val="none" w:sz="0" w:space="0" w:color="auto"/>
        <w:left w:val="none" w:sz="0" w:space="0" w:color="auto"/>
        <w:bottom w:val="none" w:sz="0" w:space="0" w:color="auto"/>
        <w:right w:val="none" w:sz="0" w:space="0" w:color="auto"/>
      </w:divBdr>
      <w:divsChild>
        <w:div w:id="1797524797">
          <w:marLeft w:val="360"/>
          <w:marRight w:val="0"/>
          <w:marTop w:val="200"/>
          <w:marBottom w:val="0"/>
          <w:divBdr>
            <w:top w:val="none" w:sz="0" w:space="0" w:color="auto"/>
            <w:left w:val="none" w:sz="0" w:space="0" w:color="auto"/>
            <w:bottom w:val="none" w:sz="0" w:space="0" w:color="auto"/>
            <w:right w:val="none" w:sz="0" w:space="0" w:color="auto"/>
          </w:divBdr>
        </w:div>
        <w:div w:id="1121264804">
          <w:marLeft w:val="360"/>
          <w:marRight w:val="0"/>
          <w:marTop w:val="200"/>
          <w:marBottom w:val="0"/>
          <w:divBdr>
            <w:top w:val="none" w:sz="0" w:space="0" w:color="auto"/>
            <w:left w:val="none" w:sz="0" w:space="0" w:color="auto"/>
            <w:bottom w:val="none" w:sz="0" w:space="0" w:color="auto"/>
            <w:right w:val="none" w:sz="0" w:space="0" w:color="auto"/>
          </w:divBdr>
        </w:div>
      </w:divsChild>
    </w:div>
    <w:div w:id="695693342">
      <w:bodyDiv w:val="1"/>
      <w:marLeft w:val="0"/>
      <w:marRight w:val="0"/>
      <w:marTop w:val="0"/>
      <w:marBottom w:val="0"/>
      <w:divBdr>
        <w:top w:val="none" w:sz="0" w:space="0" w:color="auto"/>
        <w:left w:val="none" w:sz="0" w:space="0" w:color="auto"/>
        <w:bottom w:val="none" w:sz="0" w:space="0" w:color="auto"/>
        <w:right w:val="none" w:sz="0" w:space="0" w:color="auto"/>
      </w:divBdr>
    </w:div>
    <w:div w:id="744768704">
      <w:bodyDiv w:val="1"/>
      <w:marLeft w:val="0"/>
      <w:marRight w:val="0"/>
      <w:marTop w:val="0"/>
      <w:marBottom w:val="0"/>
      <w:divBdr>
        <w:top w:val="none" w:sz="0" w:space="0" w:color="auto"/>
        <w:left w:val="none" w:sz="0" w:space="0" w:color="auto"/>
        <w:bottom w:val="none" w:sz="0" w:space="0" w:color="auto"/>
        <w:right w:val="none" w:sz="0" w:space="0" w:color="auto"/>
      </w:divBdr>
      <w:divsChild>
        <w:div w:id="30811937">
          <w:marLeft w:val="360"/>
          <w:marRight w:val="0"/>
          <w:marTop w:val="200"/>
          <w:marBottom w:val="0"/>
          <w:divBdr>
            <w:top w:val="none" w:sz="0" w:space="0" w:color="auto"/>
            <w:left w:val="none" w:sz="0" w:space="0" w:color="auto"/>
            <w:bottom w:val="none" w:sz="0" w:space="0" w:color="auto"/>
            <w:right w:val="none" w:sz="0" w:space="0" w:color="auto"/>
          </w:divBdr>
        </w:div>
      </w:divsChild>
    </w:div>
    <w:div w:id="798842889">
      <w:bodyDiv w:val="1"/>
      <w:marLeft w:val="0"/>
      <w:marRight w:val="0"/>
      <w:marTop w:val="0"/>
      <w:marBottom w:val="0"/>
      <w:divBdr>
        <w:top w:val="none" w:sz="0" w:space="0" w:color="auto"/>
        <w:left w:val="none" w:sz="0" w:space="0" w:color="auto"/>
        <w:bottom w:val="none" w:sz="0" w:space="0" w:color="auto"/>
        <w:right w:val="none" w:sz="0" w:space="0" w:color="auto"/>
      </w:divBdr>
    </w:div>
    <w:div w:id="1118716575">
      <w:bodyDiv w:val="1"/>
      <w:marLeft w:val="0"/>
      <w:marRight w:val="0"/>
      <w:marTop w:val="0"/>
      <w:marBottom w:val="0"/>
      <w:divBdr>
        <w:top w:val="none" w:sz="0" w:space="0" w:color="auto"/>
        <w:left w:val="none" w:sz="0" w:space="0" w:color="auto"/>
        <w:bottom w:val="none" w:sz="0" w:space="0" w:color="auto"/>
        <w:right w:val="none" w:sz="0" w:space="0" w:color="auto"/>
      </w:divBdr>
      <w:divsChild>
        <w:div w:id="1542669949">
          <w:marLeft w:val="360"/>
          <w:marRight w:val="0"/>
          <w:marTop w:val="2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755">
      <w:bodyDiv w:val="1"/>
      <w:marLeft w:val="0"/>
      <w:marRight w:val="0"/>
      <w:marTop w:val="0"/>
      <w:marBottom w:val="0"/>
      <w:divBdr>
        <w:top w:val="none" w:sz="0" w:space="0" w:color="auto"/>
        <w:left w:val="none" w:sz="0" w:space="0" w:color="auto"/>
        <w:bottom w:val="none" w:sz="0" w:space="0" w:color="auto"/>
        <w:right w:val="none" w:sz="0" w:space="0" w:color="auto"/>
      </w:divBdr>
      <w:divsChild>
        <w:div w:id="1754085015">
          <w:marLeft w:val="1080"/>
          <w:marRight w:val="0"/>
          <w:marTop w:val="100"/>
          <w:marBottom w:val="0"/>
          <w:divBdr>
            <w:top w:val="none" w:sz="0" w:space="0" w:color="auto"/>
            <w:left w:val="none" w:sz="0" w:space="0" w:color="auto"/>
            <w:bottom w:val="none" w:sz="0" w:space="0" w:color="auto"/>
            <w:right w:val="none" w:sz="0" w:space="0" w:color="auto"/>
          </w:divBdr>
        </w:div>
      </w:divsChild>
    </w:div>
    <w:div w:id="1383869355">
      <w:bodyDiv w:val="1"/>
      <w:marLeft w:val="0"/>
      <w:marRight w:val="0"/>
      <w:marTop w:val="0"/>
      <w:marBottom w:val="0"/>
      <w:divBdr>
        <w:top w:val="none" w:sz="0" w:space="0" w:color="auto"/>
        <w:left w:val="none" w:sz="0" w:space="0" w:color="auto"/>
        <w:bottom w:val="none" w:sz="0" w:space="0" w:color="auto"/>
        <w:right w:val="none" w:sz="0" w:space="0" w:color="auto"/>
      </w:divBdr>
      <w:divsChild>
        <w:div w:id="516427746">
          <w:marLeft w:val="360"/>
          <w:marRight w:val="0"/>
          <w:marTop w:val="200"/>
          <w:marBottom w:val="0"/>
          <w:divBdr>
            <w:top w:val="none" w:sz="0" w:space="0" w:color="auto"/>
            <w:left w:val="none" w:sz="0" w:space="0" w:color="auto"/>
            <w:bottom w:val="none" w:sz="0" w:space="0" w:color="auto"/>
            <w:right w:val="none" w:sz="0" w:space="0" w:color="auto"/>
          </w:divBdr>
        </w:div>
      </w:divsChild>
    </w:div>
    <w:div w:id="1436711434">
      <w:bodyDiv w:val="1"/>
      <w:marLeft w:val="0"/>
      <w:marRight w:val="0"/>
      <w:marTop w:val="0"/>
      <w:marBottom w:val="0"/>
      <w:divBdr>
        <w:top w:val="none" w:sz="0" w:space="0" w:color="auto"/>
        <w:left w:val="none" w:sz="0" w:space="0" w:color="auto"/>
        <w:bottom w:val="none" w:sz="0" w:space="0" w:color="auto"/>
        <w:right w:val="none" w:sz="0" w:space="0" w:color="auto"/>
      </w:divBdr>
    </w:div>
    <w:div w:id="1540557058">
      <w:bodyDiv w:val="1"/>
      <w:marLeft w:val="0"/>
      <w:marRight w:val="0"/>
      <w:marTop w:val="0"/>
      <w:marBottom w:val="0"/>
      <w:divBdr>
        <w:top w:val="none" w:sz="0" w:space="0" w:color="auto"/>
        <w:left w:val="none" w:sz="0" w:space="0" w:color="auto"/>
        <w:bottom w:val="none" w:sz="0" w:space="0" w:color="auto"/>
        <w:right w:val="none" w:sz="0" w:space="0" w:color="auto"/>
      </w:divBdr>
    </w:div>
    <w:div w:id="1697461715">
      <w:bodyDiv w:val="1"/>
      <w:marLeft w:val="0"/>
      <w:marRight w:val="0"/>
      <w:marTop w:val="0"/>
      <w:marBottom w:val="0"/>
      <w:divBdr>
        <w:top w:val="none" w:sz="0" w:space="0" w:color="auto"/>
        <w:left w:val="none" w:sz="0" w:space="0" w:color="auto"/>
        <w:bottom w:val="none" w:sz="0" w:space="0" w:color="auto"/>
        <w:right w:val="none" w:sz="0" w:space="0" w:color="auto"/>
      </w:divBdr>
    </w:div>
    <w:div w:id="1717045005">
      <w:bodyDiv w:val="1"/>
      <w:marLeft w:val="0"/>
      <w:marRight w:val="0"/>
      <w:marTop w:val="0"/>
      <w:marBottom w:val="0"/>
      <w:divBdr>
        <w:top w:val="none" w:sz="0" w:space="0" w:color="auto"/>
        <w:left w:val="none" w:sz="0" w:space="0" w:color="auto"/>
        <w:bottom w:val="none" w:sz="0" w:space="0" w:color="auto"/>
        <w:right w:val="none" w:sz="0" w:space="0" w:color="auto"/>
      </w:divBdr>
    </w:div>
    <w:div w:id="1900289377">
      <w:bodyDiv w:val="1"/>
      <w:marLeft w:val="0"/>
      <w:marRight w:val="0"/>
      <w:marTop w:val="0"/>
      <w:marBottom w:val="0"/>
      <w:divBdr>
        <w:top w:val="none" w:sz="0" w:space="0" w:color="auto"/>
        <w:left w:val="none" w:sz="0" w:space="0" w:color="auto"/>
        <w:bottom w:val="none" w:sz="0" w:space="0" w:color="auto"/>
        <w:right w:val="none" w:sz="0" w:space="0" w:color="auto"/>
      </w:divBdr>
      <w:divsChild>
        <w:div w:id="743645806">
          <w:marLeft w:val="0"/>
          <w:marRight w:val="0"/>
          <w:marTop w:val="0"/>
          <w:marBottom w:val="0"/>
          <w:divBdr>
            <w:top w:val="none" w:sz="0" w:space="0" w:color="auto"/>
            <w:left w:val="none" w:sz="0" w:space="0" w:color="auto"/>
            <w:bottom w:val="none" w:sz="0" w:space="0" w:color="auto"/>
            <w:right w:val="none" w:sz="0" w:space="0" w:color="auto"/>
          </w:divBdr>
          <w:divsChild>
            <w:div w:id="2900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71952">
      <w:bodyDiv w:val="1"/>
      <w:marLeft w:val="0"/>
      <w:marRight w:val="0"/>
      <w:marTop w:val="0"/>
      <w:marBottom w:val="0"/>
      <w:divBdr>
        <w:top w:val="none" w:sz="0" w:space="0" w:color="auto"/>
        <w:left w:val="none" w:sz="0" w:space="0" w:color="auto"/>
        <w:bottom w:val="none" w:sz="0" w:space="0" w:color="auto"/>
        <w:right w:val="none" w:sz="0" w:space="0" w:color="auto"/>
      </w:divBdr>
      <w:divsChild>
        <w:div w:id="1680229283">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64939002">
      <w:bodyDiv w:val="1"/>
      <w:marLeft w:val="0"/>
      <w:marRight w:val="0"/>
      <w:marTop w:val="0"/>
      <w:marBottom w:val="0"/>
      <w:divBdr>
        <w:top w:val="none" w:sz="0" w:space="0" w:color="auto"/>
        <w:left w:val="none" w:sz="0" w:space="0" w:color="auto"/>
        <w:bottom w:val="none" w:sz="0" w:space="0" w:color="auto"/>
        <w:right w:val="none" w:sz="0" w:space="0" w:color="auto"/>
      </w:divBdr>
      <w:divsChild>
        <w:div w:id="395665591">
          <w:marLeft w:val="0"/>
          <w:marRight w:val="0"/>
          <w:marTop w:val="0"/>
          <w:marBottom w:val="0"/>
          <w:divBdr>
            <w:top w:val="none" w:sz="0" w:space="0" w:color="auto"/>
            <w:left w:val="none" w:sz="0" w:space="0" w:color="auto"/>
            <w:bottom w:val="none" w:sz="0" w:space="0" w:color="auto"/>
            <w:right w:val="none" w:sz="0" w:space="0" w:color="auto"/>
          </w:divBdr>
          <w:divsChild>
            <w:div w:id="10907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canceraustralia.gov.au/affected-cancer/cancer-types/lung-cancer/types-lung-cancer" TargetMode="External"/><Relationship Id="rId1" Type="http://schemas.openxmlformats.org/officeDocument/2006/relationships/hyperlink" Target="https://www.aihw.gov.au/reports/cancer/cancer-data-in-australia/contents/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4741-C584-430C-8AA2-F092C09B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11149</Words>
  <Characters>62923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2022-02-22T01:41:00Z</dcterms:created>
  <dcterms:modified xsi:type="dcterms:W3CDTF">2022-03-02T03:00:00Z</dcterms:modified>
</cp:coreProperties>
</file>