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E567" w14:textId="77777777" w:rsidR="00567304" w:rsidRDefault="00567304" w:rsidP="00567304">
      <w:pPr>
        <w:rPr>
          <w:color w:val="FF0000"/>
        </w:rPr>
      </w:pPr>
      <w:r w:rsidRPr="00A93494">
        <w:rPr>
          <w:color w:val="FF0000"/>
        </w:rPr>
        <w:t xml:space="preserve">An addendum to these </w:t>
      </w:r>
      <w:r w:rsidR="00B93A18">
        <w:rPr>
          <w:color w:val="FF0000"/>
        </w:rPr>
        <w:t>PSDs</w:t>
      </w:r>
      <w:r w:rsidR="00B93A18" w:rsidRPr="00A93494">
        <w:rPr>
          <w:color w:val="FF0000"/>
        </w:rPr>
        <w:t xml:space="preserve"> </w:t>
      </w:r>
      <w:r w:rsidRPr="00A93494">
        <w:rPr>
          <w:color w:val="FF0000"/>
        </w:rPr>
        <w:t>ha</w:t>
      </w:r>
      <w:r w:rsidR="00B93A18">
        <w:rPr>
          <w:color w:val="FF0000"/>
        </w:rPr>
        <w:t>ve</w:t>
      </w:r>
      <w:r w:rsidRPr="00A93494">
        <w:rPr>
          <w:color w:val="FF0000"/>
        </w:rPr>
        <w:t xml:space="preserve"> been included at the end of the document.</w:t>
      </w:r>
    </w:p>
    <w:p w14:paraId="07824B5B" w14:textId="77777777" w:rsidR="00567304" w:rsidRDefault="00567304" w:rsidP="00567304"/>
    <w:p w14:paraId="2C91A41C" w14:textId="77777777" w:rsidR="00B60939" w:rsidRPr="00121962" w:rsidRDefault="0008596F" w:rsidP="004A6040">
      <w:pPr>
        <w:pStyle w:val="1-MainHeading"/>
      </w:pPr>
      <w:r w:rsidRPr="00121962">
        <w:t>6.03</w:t>
      </w:r>
      <w:r w:rsidR="00163F66" w:rsidRPr="00121962">
        <w:tab/>
      </w:r>
      <w:r w:rsidR="00D64D25" w:rsidRPr="00121962">
        <w:t>DAPAGLIFLOZIN</w:t>
      </w:r>
      <w:r w:rsidR="00163F66" w:rsidRPr="00121962">
        <w:t>,</w:t>
      </w:r>
      <w:r w:rsidR="00163F66" w:rsidRPr="00121962">
        <w:br/>
      </w:r>
      <w:r w:rsidR="00D64D25" w:rsidRPr="00121962">
        <w:t>Tablet 10 mg</w:t>
      </w:r>
      <w:r w:rsidR="00163F66" w:rsidRPr="00121962">
        <w:t>,</w:t>
      </w:r>
      <w:r w:rsidR="007B41FC" w:rsidRPr="00121962">
        <w:t xml:space="preserve"> </w:t>
      </w:r>
      <w:r w:rsidR="00163F66" w:rsidRPr="00121962">
        <w:br/>
      </w:r>
      <w:r w:rsidR="00D64D25" w:rsidRPr="00121962">
        <w:t>Forxiga</w:t>
      </w:r>
      <w:r w:rsidR="00D64D25" w:rsidRPr="00121962">
        <w:rPr>
          <w:vertAlign w:val="superscript"/>
        </w:rPr>
        <w:t>®</w:t>
      </w:r>
      <w:r w:rsidR="004A6040" w:rsidRPr="00121962">
        <w:t>,</w:t>
      </w:r>
      <w:r w:rsidR="004A6040" w:rsidRPr="00121962">
        <w:br/>
      </w:r>
      <w:r w:rsidR="00D64D25" w:rsidRPr="00121962">
        <w:t>AstraZeneca Pty Ltd</w:t>
      </w:r>
    </w:p>
    <w:p w14:paraId="6A519149" w14:textId="77777777" w:rsidR="00B50DB8" w:rsidRPr="00121962" w:rsidRDefault="00B50DB8" w:rsidP="00745918">
      <w:pPr>
        <w:pStyle w:val="2-SectionHeading"/>
      </w:pPr>
      <w:bookmarkStart w:id="0" w:name="_Toc72322324"/>
      <w:r w:rsidRPr="00121962">
        <w:t xml:space="preserve">Purpose of </w:t>
      </w:r>
      <w:r w:rsidR="00CD7193" w:rsidRPr="00121962">
        <w:t>s</w:t>
      </w:r>
      <w:r w:rsidR="00BB3A45" w:rsidRPr="00121962">
        <w:t>ubmission</w:t>
      </w:r>
      <w:bookmarkEnd w:id="0"/>
    </w:p>
    <w:p w14:paraId="563F8E2C" w14:textId="77777777" w:rsidR="002C2775" w:rsidRPr="00121962" w:rsidRDefault="007170DA" w:rsidP="004E18E9">
      <w:pPr>
        <w:pStyle w:val="ExecSumBodyText"/>
      </w:pPr>
      <w:r w:rsidRPr="00121962">
        <w:t xml:space="preserve">The </w:t>
      </w:r>
      <w:r w:rsidR="00182886" w:rsidRPr="00121962">
        <w:t xml:space="preserve">Category 1 </w:t>
      </w:r>
      <w:r w:rsidRPr="00121962">
        <w:t xml:space="preserve">submission requested </w:t>
      </w:r>
      <w:r w:rsidR="00E9702A" w:rsidRPr="00121962">
        <w:t xml:space="preserve">an </w:t>
      </w:r>
      <w:r w:rsidR="009C7F21" w:rsidRPr="00121962">
        <w:t xml:space="preserve">Authority Required (Streamlined) </w:t>
      </w:r>
      <w:r w:rsidR="003C79BB" w:rsidRPr="00121962">
        <w:t>G</w:t>
      </w:r>
      <w:r w:rsidR="009C7F21" w:rsidRPr="00121962">
        <w:t xml:space="preserve">eneral </w:t>
      </w:r>
      <w:r w:rsidR="003C79BB" w:rsidRPr="00121962">
        <w:t>S</w:t>
      </w:r>
      <w:r w:rsidR="009C7F21" w:rsidRPr="00121962">
        <w:t xml:space="preserve">chedule </w:t>
      </w:r>
      <w:r w:rsidR="008B1757" w:rsidRPr="00121962">
        <w:t xml:space="preserve">listing </w:t>
      </w:r>
      <w:r w:rsidR="006552CF" w:rsidRPr="00121962">
        <w:t xml:space="preserve">of </w:t>
      </w:r>
      <w:r w:rsidR="009C7F21" w:rsidRPr="00121962">
        <w:t>dapagliflozin</w:t>
      </w:r>
      <w:r w:rsidR="008B1757" w:rsidRPr="00121962">
        <w:t xml:space="preserve"> for </w:t>
      </w:r>
      <w:r w:rsidR="0050174E" w:rsidRPr="00121962">
        <w:t xml:space="preserve">the </w:t>
      </w:r>
      <w:r w:rsidR="009C7F21" w:rsidRPr="00121962">
        <w:t xml:space="preserve">treatment of </w:t>
      </w:r>
      <w:r w:rsidR="00444534" w:rsidRPr="00121962">
        <w:t>chronic kidney disease (</w:t>
      </w:r>
      <w:r w:rsidR="009C7F21" w:rsidRPr="00121962">
        <w:t>CKD</w:t>
      </w:r>
      <w:r w:rsidR="00444534" w:rsidRPr="00121962">
        <w:t>)</w:t>
      </w:r>
      <w:r w:rsidR="008B1757" w:rsidRPr="00121962">
        <w:t xml:space="preserve">. </w:t>
      </w:r>
    </w:p>
    <w:p w14:paraId="5F3E1EAD" w14:textId="77777777" w:rsidR="00C2778B" w:rsidRPr="00121962" w:rsidRDefault="005750C5" w:rsidP="004E18E9">
      <w:pPr>
        <w:pStyle w:val="ExecSumBodyText"/>
      </w:pPr>
      <w:r w:rsidRPr="00121962">
        <w:t>Listing was requested on the basis of a cost-effective</w:t>
      </w:r>
      <w:r w:rsidR="009C7F21" w:rsidRPr="00121962">
        <w:t>ness</w:t>
      </w:r>
      <w:r w:rsidRPr="00121962">
        <w:t xml:space="preserve"> analysis </w:t>
      </w:r>
      <w:r w:rsidR="009C7F21" w:rsidRPr="00121962">
        <w:t xml:space="preserve">of dapagliflozin plus standard of care (SOC) </w:t>
      </w:r>
      <w:r w:rsidRPr="00121962">
        <w:t xml:space="preserve">versus </w:t>
      </w:r>
      <w:r w:rsidR="009C7F21" w:rsidRPr="00121962">
        <w:t>SOC alone.</w:t>
      </w:r>
    </w:p>
    <w:p w14:paraId="6D2BB3E1" w14:textId="77777777" w:rsidR="00467C2E" w:rsidRPr="00121962" w:rsidRDefault="00526567" w:rsidP="00467C2E">
      <w:pPr>
        <w:pStyle w:val="ExecSumBodyText"/>
        <w:numPr>
          <w:ilvl w:val="1"/>
          <w:numId w:val="1"/>
        </w:numPr>
      </w:pPr>
      <w:r w:rsidRPr="00121962">
        <w:t xml:space="preserve">A concurrent resubmission for dapagliflozin for the treatment of symptomatic heart failure with reduced ejection fraction (HFrEF) </w:t>
      </w:r>
      <w:r w:rsidR="00E9702A" w:rsidRPr="00121962">
        <w:t>was</w:t>
      </w:r>
      <w:r w:rsidRPr="00121962">
        <w:t xml:space="preserve"> considered at the July 2021 PBAC meeting</w:t>
      </w:r>
      <w:r w:rsidR="00E9702A" w:rsidRPr="00121962">
        <w:t xml:space="preserve"> (item 7.01 refers)</w:t>
      </w:r>
      <w:r w:rsidRPr="00121962">
        <w:t>.</w:t>
      </w:r>
      <w:r w:rsidR="00C44EA1" w:rsidRPr="00121962">
        <w:t xml:space="preserve"> The submission acknowledged that there </w:t>
      </w:r>
      <w:r w:rsidR="00E9702A" w:rsidRPr="00121962">
        <w:t>was</w:t>
      </w:r>
      <w:r w:rsidR="00C44EA1" w:rsidRPr="00121962">
        <w:t xml:space="preserve"> substantial overlap between eligible populations targeted by the existing type 2 diabetes mellitus (T2DM), and proposed HFrEF and CKD PBS listings.</w:t>
      </w:r>
      <w:r w:rsidR="00467C2E" w:rsidRPr="00121962">
        <w:t xml:space="preserve"> </w:t>
      </w:r>
    </w:p>
    <w:p w14:paraId="40A0A132" w14:textId="77777777" w:rsidR="008B1757" w:rsidRPr="00121962" w:rsidRDefault="0008596F" w:rsidP="0008596F">
      <w:pPr>
        <w:pStyle w:val="TableFigureCaption"/>
      </w:pPr>
      <w:r w:rsidRPr="00121962">
        <w:t xml:space="preserve">Table </w:t>
      </w:r>
      <w:r w:rsidR="00E51973">
        <w:rPr>
          <w:noProof/>
        </w:rPr>
        <w:t>1</w:t>
      </w:r>
      <w:r w:rsidRPr="00121962">
        <w:t xml:space="preserve">: </w:t>
      </w:r>
      <w:r w:rsidR="008B1757" w:rsidRPr="00121962">
        <w:t>Key components of the clinical issue addressed by the submission</w:t>
      </w:r>
      <w:r w:rsidR="007170DA" w:rsidRPr="00121962">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D64D25" w:rsidRPr="00121962" w14:paraId="1A54B1BE" w14:textId="77777777" w:rsidTr="009C7F21">
        <w:trPr>
          <w:cantSplit/>
          <w:tblHeader/>
        </w:trPr>
        <w:tc>
          <w:tcPr>
            <w:tcW w:w="705" w:type="pct"/>
            <w:shd w:val="clear" w:color="auto" w:fill="auto"/>
            <w:vAlign w:val="center"/>
          </w:tcPr>
          <w:p w14:paraId="6D54C8B6" w14:textId="77777777" w:rsidR="00D64D25" w:rsidRPr="00121962" w:rsidRDefault="00D64D25" w:rsidP="00D64D25">
            <w:pPr>
              <w:pStyle w:val="Tableheadingrow"/>
              <w:rPr>
                <w:szCs w:val="20"/>
                <w:lang w:val="en-AU"/>
              </w:rPr>
            </w:pPr>
            <w:r w:rsidRPr="00121962">
              <w:rPr>
                <w:lang w:val="en-AU"/>
              </w:rPr>
              <w:t>Component</w:t>
            </w:r>
          </w:p>
        </w:tc>
        <w:tc>
          <w:tcPr>
            <w:tcW w:w="4295" w:type="pct"/>
            <w:shd w:val="clear" w:color="auto" w:fill="auto"/>
            <w:vAlign w:val="center"/>
          </w:tcPr>
          <w:p w14:paraId="68A4EE3E" w14:textId="77777777" w:rsidR="00D64D25" w:rsidRPr="00121962" w:rsidRDefault="00D64D25" w:rsidP="00D64D25">
            <w:pPr>
              <w:pStyle w:val="Tableheadingrow"/>
              <w:rPr>
                <w:lang w:val="en-AU"/>
              </w:rPr>
            </w:pPr>
            <w:r w:rsidRPr="00121962">
              <w:rPr>
                <w:lang w:val="en-AU"/>
              </w:rPr>
              <w:t>Description</w:t>
            </w:r>
          </w:p>
        </w:tc>
      </w:tr>
      <w:tr w:rsidR="009C7F21" w:rsidRPr="00121962" w14:paraId="0E15A6AF" w14:textId="77777777" w:rsidTr="009C7F21">
        <w:trPr>
          <w:cantSplit/>
        </w:trPr>
        <w:tc>
          <w:tcPr>
            <w:tcW w:w="705" w:type="pct"/>
            <w:shd w:val="clear" w:color="auto" w:fill="auto"/>
            <w:vAlign w:val="center"/>
          </w:tcPr>
          <w:p w14:paraId="3E338B1C" w14:textId="77777777" w:rsidR="009C7F21" w:rsidRPr="00121962" w:rsidRDefault="009C7F21" w:rsidP="009C7F21">
            <w:pPr>
              <w:pStyle w:val="TableText"/>
            </w:pPr>
            <w:r w:rsidRPr="00121962">
              <w:t>Population</w:t>
            </w:r>
          </w:p>
        </w:tc>
        <w:tc>
          <w:tcPr>
            <w:tcW w:w="4295" w:type="pct"/>
            <w:shd w:val="clear" w:color="auto" w:fill="auto"/>
            <w:vAlign w:val="center"/>
          </w:tcPr>
          <w:p w14:paraId="5A6C76C7" w14:textId="77777777" w:rsidR="009C7F21" w:rsidRPr="00121962" w:rsidRDefault="009C7F21" w:rsidP="009C7F21">
            <w:pPr>
              <w:pStyle w:val="TableText"/>
              <w:rPr>
                <w:szCs w:val="20"/>
              </w:rPr>
            </w:pPr>
            <w:r w:rsidRPr="00121962">
              <w:t>Patients with CKD with an eGFR of ≥25 to ≤75 mL/min/1.73 m</w:t>
            </w:r>
            <w:r w:rsidRPr="00121962">
              <w:rPr>
                <w:vertAlign w:val="superscript"/>
              </w:rPr>
              <w:t>2</w:t>
            </w:r>
            <w:r w:rsidRPr="00121962">
              <w:t>, UACR of ≥200 and ≤5000 mg/g, and stable for at least 4 weeks on a maximum tolerated dose of an ACEI or ARB (unless contraindicated)</w:t>
            </w:r>
          </w:p>
        </w:tc>
      </w:tr>
      <w:tr w:rsidR="009C7F21" w:rsidRPr="00121962" w14:paraId="4B1CDBAB" w14:textId="77777777" w:rsidTr="009C7F21">
        <w:trPr>
          <w:cantSplit/>
        </w:trPr>
        <w:tc>
          <w:tcPr>
            <w:tcW w:w="705" w:type="pct"/>
            <w:shd w:val="clear" w:color="auto" w:fill="auto"/>
            <w:vAlign w:val="center"/>
          </w:tcPr>
          <w:p w14:paraId="6FA83ABF" w14:textId="77777777" w:rsidR="009C7F21" w:rsidRPr="00121962" w:rsidRDefault="009C7F21" w:rsidP="009C7F21">
            <w:pPr>
              <w:pStyle w:val="TableText"/>
            </w:pPr>
            <w:r w:rsidRPr="00121962">
              <w:t>Intervention</w:t>
            </w:r>
          </w:p>
        </w:tc>
        <w:tc>
          <w:tcPr>
            <w:tcW w:w="4295" w:type="pct"/>
            <w:shd w:val="clear" w:color="auto" w:fill="auto"/>
            <w:vAlign w:val="center"/>
          </w:tcPr>
          <w:p w14:paraId="23E2B3EA" w14:textId="77777777" w:rsidR="009C7F21" w:rsidRPr="00121962" w:rsidRDefault="009C7F21" w:rsidP="009C7F21">
            <w:pPr>
              <w:pStyle w:val="TableText"/>
            </w:pPr>
            <w:r w:rsidRPr="00121962">
              <w:t>Dapagliflozin 10 mg once daily, plus SOC comprised of at least an ACEI or ARB (unless contraindicated)</w:t>
            </w:r>
          </w:p>
        </w:tc>
      </w:tr>
      <w:tr w:rsidR="009C7F21" w:rsidRPr="00121962" w14:paraId="1C4DC0D2" w14:textId="77777777" w:rsidTr="009C7F21">
        <w:trPr>
          <w:cantSplit/>
        </w:trPr>
        <w:tc>
          <w:tcPr>
            <w:tcW w:w="705" w:type="pct"/>
            <w:shd w:val="clear" w:color="auto" w:fill="auto"/>
            <w:vAlign w:val="center"/>
          </w:tcPr>
          <w:p w14:paraId="2D2409C9" w14:textId="77777777" w:rsidR="009C7F21" w:rsidRPr="00121962" w:rsidRDefault="009C7F21" w:rsidP="009C7F21">
            <w:pPr>
              <w:pStyle w:val="TableText"/>
            </w:pPr>
            <w:r w:rsidRPr="00121962">
              <w:t>Comparator</w:t>
            </w:r>
          </w:p>
        </w:tc>
        <w:tc>
          <w:tcPr>
            <w:tcW w:w="4295" w:type="pct"/>
            <w:shd w:val="clear" w:color="auto" w:fill="auto"/>
            <w:vAlign w:val="center"/>
          </w:tcPr>
          <w:p w14:paraId="5A98359D" w14:textId="77777777" w:rsidR="009C7F21" w:rsidRPr="00121962" w:rsidRDefault="009C7F21" w:rsidP="00F74D34">
            <w:pPr>
              <w:pStyle w:val="TableText"/>
            </w:pPr>
            <w:r w:rsidRPr="00121962">
              <w:t>Placebo, plus SOC comprised of at least an ACEI or ARB</w:t>
            </w:r>
            <w:r w:rsidR="00F74D34" w:rsidRPr="00121962">
              <w:t xml:space="preserve"> (</w:t>
            </w:r>
            <w:r w:rsidRPr="00121962">
              <w:t>unless contraindicated</w:t>
            </w:r>
            <w:r w:rsidR="00F74D34" w:rsidRPr="00121962">
              <w:t>)</w:t>
            </w:r>
          </w:p>
        </w:tc>
      </w:tr>
      <w:tr w:rsidR="009C7F21" w:rsidRPr="00121962" w14:paraId="23E4F565" w14:textId="77777777" w:rsidTr="009C7F21">
        <w:trPr>
          <w:cantSplit/>
        </w:trPr>
        <w:tc>
          <w:tcPr>
            <w:tcW w:w="705" w:type="pct"/>
            <w:shd w:val="clear" w:color="auto" w:fill="auto"/>
            <w:vAlign w:val="center"/>
          </w:tcPr>
          <w:p w14:paraId="6DEB0AA2" w14:textId="77777777" w:rsidR="009C7F21" w:rsidRPr="00121962" w:rsidRDefault="009C7F21" w:rsidP="009C7F21">
            <w:pPr>
              <w:pStyle w:val="TableText"/>
            </w:pPr>
            <w:r w:rsidRPr="00121962">
              <w:t>Outcomes</w:t>
            </w:r>
          </w:p>
        </w:tc>
        <w:tc>
          <w:tcPr>
            <w:tcW w:w="4295" w:type="pct"/>
            <w:shd w:val="clear" w:color="auto" w:fill="auto"/>
            <w:vAlign w:val="center"/>
          </w:tcPr>
          <w:p w14:paraId="6D03DA97" w14:textId="77777777" w:rsidR="00F74D34" w:rsidRPr="00121962" w:rsidRDefault="00E8682E" w:rsidP="00E8682E">
            <w:pPr>
              <w:pStyle w:val="TableText"/>
            </w:pPr>
            <w:r w:rsidRPr="00121962">
              <w:t>Primary composite outcome: t</w:t>
            </w:r>
            <w:r w:rsidR="009C7F21" w:rsidRPr="00121962">
              <w:t>ime to the first occurrence of ≥50% sustained decline in eGFR</w:t>
            </w:r>
            <w:r w:rsidRPr="00121962">
              <w:t>,</w:t>
            </w:r>
            <w:r w:rsidR="009C7F21" w:rsidRPr="00121962">
              <w:t xml:space="preserve"> </w:t>
            </w:r>
            <w:r w:rsidR="00BD5575" w:rsidRPr="00121962">
              <w:t>end-stage</w:t>
            </w:r>
            <w:r w:rsidR="009C7F21" w:rsidRPr="00121962">
              <w:t xml:space="preserve"> kidney disease (defined as</w:t>
            </w:r>
            <w:r w:rsidR="009C7F21" w:rsidRPr="00121962">
              <w:rPr>
                <w:bCs w:val="0"/>
              </w:rPr>
              <w:t xml:space="preserve"> s</w:t>
            </w:r>
            <w:r w:rsidR="009C7F21" w:rsidRPr="00121962">
              <w:t>ustained eGFR &lt;15 mL/min/1.73m</w:t>
            </w:r>
            <w:r w:rsidR="009C7F21" w:rsidRPr="00121962">
              <w:rPr>
                <w:vertAlign w:val="superscript"/>
              </w:rPr>
              <w:t>2</w:t>
            </w:r>
            <w:r w:rsidR="009C7F21" w:rsidRPr="00121962">
              <w:t>, or</w:t>
            </w:r>
            <w:r w:rsidR="009C7F21" w:rsidRPr="00121962">
              <w:rPr>
                <w:bCs w:val="0"/>
              </w:rPr>
              <w:t xml:space="preserve"> c</w:t>
            </w:r>
            <w:r w:rsidR="009C7F21" w:rsidRPr="00121962">
              <w:t>hronic dialysis treatment, or</w:t>
            </w:r>
            <w:r w:rsidR="009C7F21" w:rsidRPr="00121962">
              <w:rPr>
                <w:bCs w:val="0"/>
              </w:rPr>
              <w:t xml:space="preserve"> </w:t>
            </w:r>
            <w:r w:rsidR="009C7F21" w:rsidRPr="00121962">
              <w:t>receiving a renal transplant)</w:t>
            </w:r>
            <w:r w:rsidRPr="00121962">
              <w:t>,</w:t>
            </w:r>
            <w:r w:rsidR="009C7F21" w:rsidRPr="00121962">
              <w:t xml:space="preserve"> cardiovascular death</w:t>
            </w:r>
            <w:r w:rsidRPr="00121962">
              <w:t xml:space="preserve"> or</w:t>
            </w:r>
            <w:r w:rsidR="009C7F21" w:rsidRPr="00121962">
              <w:t xml:space="preserve"> renal death</w:t>
            </w:r>
            <w:r w:rsidRPr="00121962">
              <w:t>.</w:t>
            </w:r>
            <w:r w:rsidR="009C7F21" w:rsidRPr="00121962">
              <w:t xml:space="preserve"> </w:t>
            </w:r>
          </w:p>
          <w:p w14:paraId="47E5C8DE" w14:textId="77777777" w:rsidR="009C7F21" w:rsidRPr="00121962" w:rsidRDefault="00E8682E" w:rsidP="00F74D34">
            <w:pPr>
              <w:pStyle w:val="TableText"/>
            </w:pPr>
            <w:r w:rsidRPr="00121962">
              <w:t>Secondary composite outcomes</w:t>
            </w:r>
            <w:r w:rsidR="00F74D34" w:rsidRPr="00121962">
              <w:t xml:space="preserve">: </w:t>
            </w:r>
            <w:r w:rsidRPr="00121962">
              <w:t xml:space="preserve">time to the first </w:t>
            </w:r>
            <w:r w:rsidR="00F74D34" w:rsidRPr="00121962">
              <w:t xml:space="preserve">event </w:t>
            </w:r>
            <w:r w:rsidRPr="00121962">
              <w:t xml:space="preserve">of ≥50% sustained decline in eGFR, </w:t>
            </w:r>
            <w:r w:rsidR="00F74D34" w:rsidRPr="00121962">
              <w:t>ESKD</w:t>
            </w:r>
            <w:r w:rsidRPr="00121962">
              <w:t xml:space="preserve">, </w:t>
            </w:r>
            <w:r w:rsidR="00F74D34" w:rsidRPr="00121962">
              <w:t xml:space="preserve">or renal death; time to first event of </w:t>
            </w:r>
            <w:r w:rsidRPr="00121962">
              <w:t>cardiovascular death</w:t>
            </w:r>
            <w:r w:rsidR="00F74D34" w:rsidRPr="00121962">
              <w:t xml:space="preserve"> or </w:t>
            </w:r>
            <w:r w:rsidR="009C7F21" w:rsidRPr="00121962">
              <w:t xml:space="preserve">hospitalisation for heart failure; </w:t>
            </w:r>
            <w:r w:rsidRPr="00121962">
              <w:t>death by any cause</w:t>
            </w:r>
            <w:r w:rsidR="00F74D34" w:rsidRPr="00121962">
              <w:t>.</w:t>
            </w:r>
          </w:p>
          <w:p w14:paraId="5557C9C9" w14:textId="77777777" w:rsidR="00F74D34" w:rsidRPr="00121962" w:rsidRDefault="00F74D34" w:rsidP="00F74D34">
            <w:pPr>
              <w:pStyle w:val="TableText"/>
              <w:rPr>
                <w:rFonts w:eastAsia="Times New Roman" w:cs="Arial"/>
                <w:bCs w:val="0"/>
                <w:snapToGrid w:val="0"/>
                <w:color w:val="0066FF"/>
                <w:szCs w:val="20"/>
              </w:rPr>
            </w:pPr>
            <w:r w:rsidRPr="00121962">
              <w:t>Safety.</w:t>
            </w:r>
          </w:p>
        </w:tc>
      </w:tr>
      <w:tr w:rsidR="009C7F21" w:rsidRPr="00121962" w14:paraId="079EA9FD" w14:textId="77777777" w:rsidTr="009C7F21">
        <w:trPr>
          <w:cantSplit/>
        </w:trPr>
        <w:tc>
          <w:tcPr>
            <w:tcW w:w="705" w:type="pct"/>
            <w:shd w:val="clear" w:color="auto" w:fill="auto"/>
            <w:vAlign w:val="center"/>
          </w:tcPr>
          <w:p w14:paraId="21A6E136" w14:textId="77777777" w:rsidR="009C7F21" w:rsidRPr="00121962" w:rsidRDefault="009C7F21" w:rsidP="009C7F21">
            <w:pPr>
              <w:pStyle w:val="TableText"/>
            </w:pPr>
            <w:r w:rsidRPr="00121962">
              <w:t>Clinical claim</w:t>
            </w:r>
          </w:p>
        </w:tc>
        <w:tc>
          <w:tcPr>
            <w:tcW w:w="4295" w:type="pct"/>
            <w:shd w:val="clear" w:color="auto" w:fill="auto"/>
            <w:vAlign w:val="center"/>
          </w:tcPr>
          <w:p w14:paraId="1A1A8CF7" w14:textId="77777777" w:rsidR="009C7F21" w:rsidRPr="00121962" w:rsidRDefault="009C7F21" w:rsidP="009C7F21">
            <w:pPr>
              <w:pStyle w:val="TableText"/>
              <w:rPr>
                <w:rFonts w:eastAsia="Times New Roman" w:cs="Arial"/>
                <w:bCs w:val="0"/>
                <w:snapToGrid w:val="0"/>
                <w:color w:val="0066FF"/>
                <w:szCs w:val="20"/>
              </w:rPr>
            </w:pPr>
            <w:r w:rsidRPr="00121962">
              <w:t>Dapagliflozin added to SOC demonstrates superior efficacy and non</w:t>
            </w:r>
            <w:r w:rsidR="00121962">
              <w:t>-</w:t>
            </w:r>
            <w:r w:rsidRPr="00121962">
              <w:t>inferior safety compared with SOC alone in patients with CKD</w:t>
            </w:r>
          </w:p>
        </w:tc>
      </w:tr>
    </w:tbl>
    <w:p w14:paraId="6CEC029C" w14:textId="77777777" w:rsidR="00D64D25" w:rsidRPr="00121962" w:rsidRDefault="00D64D25" w:rsidP="00D64D25">
      <w:pPr>
        <w:pStyle w:val="TableFigureFooter"/>
      </w:pPr>
      <w:r w:rsidRPr="00121962">
        <w:t>Source: Table 1.1.1, p.41 of the submission</w:t>
      </w:r>
      <w:r w:rsidR="00E9702A" w:rsidRPr="00121962">
        <w:t>.</w:t>
      </w:r>
    </w:p>
    <w:p w14:paraId="352D0140" w14:textId="77777777" w:rsidR="004E43B2" w:rsidRPr="00121962" w:rsidRDefault="00D64D25" w:rsidP="00D64D25">
      <w:pPr>
        <w:pStyle w:val="TableFigureFooter"/>
        <w:rPr>
          <w:sz w:val="20"/>
        </w:rPr>
      </w:pPr>
      <w:r w:rsidRPr="00121962">
        <w:rPr>
          <w:szCs w:val="18"/>
        </w:rPr>
        <w:t xml:space="preserve">ACEI, angiotensin-converting enzyme inhibitors; ARB, angiotensin II receptor blocker; CKD, chronic kidney disease; </w:t>
      </w:r>
      <w:r w:rsidR="00F74D34" w:rsidRPr="00121962">
        <w:rPr>
          <w:szCs w:val="18"/>
        </w:rPr>
        <w:t xml:space="preserve">ESKD, end stage kidney disease; </w:t>
      </w:r>
      <w:r w:rsidRPr="00121962">
        <w:rPr>
          <w:szCs w:val="18"/>
        </w:rPr>
        <w:t>eGFR, estimated glomerular filtration rate; SOC, standard of care; UACR, urinary albumin to creatinine ratio</w:t>
      </w:r>
    </w:p>
    <w:p w14:paraId="1A95C15B" w14:textId="77777777" w:rsidR="005C25FF" w:rsidRPr="00121962" w:rsidRDefault="005C25FF" w:rsidP="004A6040">
      <w:pPr>
        <w:pStyle w:val="2-SectionHeading"/>
      </w:pPr>
      <w:bookmarkStart w:id="1" w:name="_Toc72322325"/>
      <w:r w:rsidRPr="00121962">
        <w:t>Background</w:t>
      </w:r>
      <w:bookmarkEnd w:id="1"/>
    </w:p>
    <w:p w14:paraId="7E277002" w14:textId="77777777" w:rsidR="005C25FF" w:rsidRPr="00121962" w:rsidRDefault="005C25FF" w:rsidP="004A6040">
      <w:pPr>
        <w:pStyle w:val="3-SubsectionHeading"/>
      </w:pPr>
      <w:bookmarkStart w:id="2" w:name="_Toc22897638"/>
      <w:bookmarkStart w:id="3" w:name="_Toc72322326"/>
      <w:r w:rsidRPr="00121962">
        <w:t>Registration status</w:t>
      </w:r>
      <w:bookmarkEnd w:id="2"/>
      <w:bookmarkEnd w:id="3"/>
    </w:p>
    <w:p w14:paraId="4A010685" w14:textId="77777777" w:rsidR="00444534" w:rsidRPr="00121962" w:rsidRDefault="00D51431" w:rsidP="00444534">
      <w:pPr>
        <w:pStyle w:val="ExecSumBodyText"/>
        <w:numPr>
          <w:ilvl w:val="1"/>
          <w:numId w:val="1"/>
        </w:numPr>
      </w:pPr>
      <w:r w:rsidRPr="00121962">
        <w:rPr>
          <w:rFonts w:ascii="Calibri" w:eastAsia="Calibri" w:hAnsi="Calibri"/>
          <w:b/>
          <w:szCs w:val="22"/>
        </w:rPr>
        <w:t xml:space="preserve">TGA status at time of </w:t>
      </w:r>
      <w:r w:rsidR="00E9702A" w:rsidRPr="00121962">
        <w:rPr>
          <w:rFonts w:ascii="Calibri" w:eastAsia="Calibri" w:hAnsi="Calibri"/>
          <w:b/>
          <w:szCs w:val="22"/>
        </w:rPr>
        <w:t>PBAC consideration</w:t>
      </w:r>
      <w:r w:rsidRPr="00121962">
        <w:rPr>
          <w:rFonts w:ascii="Calibri" w:eastAsia="Calibri" w:hAnsi="Calibri"/>
          <w:szCs w:val="22"/>
        </w:rPr>
        <w:t xml:space="preserve">: </w:t>
      </w:r>
      <w:r w:rsidR="00482569" w:rsidRPr="00121962">
        <w:t>This</w:t>
      </w:r>
      <w:r w:rsidR="00444534" w:rsidRPr="00121962">
        <w:t xml:space="preserve"> submission for dapagliflozin was submitted under the TGA/PBAC parallel process and was granted priority review </w:t>
      </w:r>
      <w:r w:rsidR="00444534" w:rsidRPr="00121962">
        <w:lastRenderedPageBreak/>
        <w:t>status for this indication on 13</w:t>
      </w:r>
      <w:r w:rsidR="009B0CAD" w:rsidRPr="00121962">
        <w:t> </w:t>
      </w:r>
      <w:r w:rsidR="00444534" w:rsidRPr="00121962">
        <w:t>November</w:t>
      </w:r>
      <w:r w:rsidR="009B0CAD" w:rsidRPr="00121962">
        <w:t> </w:t>
      </w:r>
      <w:r w:rsidR="00444534" w:rsidRPr="00121962">
        <w:t>2020. At the time of the</w:t>
      </w:r>
      <w:r w:rsidR="00482569" w:rsidRPr="00121962">
        <w:t xml:space="preserve"> </w:t>
      </w:r>
      <w:r w:rsidR="00444534" w:rsidRPr="00121962">
        <w:t>evaluation</w:t>
      </w:r>
      <w:r w:rsidR="004D1A34" w:rsidRPr="00121962">
        <w:t xml:space="preserve"> and </w:t>
      </w:r>
      <w:r w:rsidR="00E732B4" w:rsidRPr="00121962">
        <w:t xml:space="preserve">the </w:t>
      </w:r>
      <w:r w:rsidR="004D1A34" w:rsidRPr="00121962">
        <w:t>ESC meeting</w:t>
      </w:r>
      <w:r w:rsidR="00444534" w:rsidRPr="00121962">
        <w:t xml:space="preserve">, no TGA documents were available. </w:t>
      </w:r>
      <w:r w:rsidR="00482569" w:rsidRPr="00121962">
        <w:t xml:space="preserve">At the time of the PBAC meeting, the Clinical Evaluation Report and the TGA Delegate’s Overview were available. </w:t>
      </w:r>
    </w:p>
    <w:p w14:paraId="2463F7A8" w14:textId="77777777" w:rsidR="00444534" w:rsidRPr="00121962" w:rsidRDefault="00444534" w:rsidP="00444534">
      <w:pPr>
        <w:pStyle w:val="ExecSumBodyText"/>
        <w:numPr>
          <w:ilvl w:val="1"/>
          <w:numId w:val="1"/>
        </w:numPr>
      </w:pPr>
      <w:r w:rsidRPr="00121962">
        <w:t xml:space="preserve">The proposed TGA indication for dapagliflozin is: </w:t>
      </w:r>
    </w:p>
    <w:p w14:paraId="2A20AB9E" w14:textId="77777777" w:rsidR="00444534" w:rsidRPr="00121962" w:rsidRDefault="00444534" w:rsidP="00444534">
      <w:pPr>
        <w:pStyle w:val="ExecSumBodyText"/>
        <w:numPr>
          <w:ilvl w:val="0"/>
          <w:numId w:val="0"/>
        </w:numPr>
        <w:ind w:left="720"/>
      </w:pPr>
      <w:r w:rsidRPr="00121962">
        <w:t>Dapagliflozin is indicated in adults for the treatment of chronic kidney disease.</w:t>
      </w:r>
    </w:p>
    <w:p w14:paraId="4264A018" w14:textId="77777777" w:rsidR="00444534" w:rsidRPr="00121962" w:rsidRDefault="00444534" w:rsidP="00444534">
      <w:pPr>
        <w:pStyle w:val="ExecSumBodyText"/>
        <w:numPr>
          <w:ilvl w:val="1"/>
          <w:numId w:val="1"/>
        </w:numPr>
      </w:pPr>
      <w:r w:rsidRPr="00121962">
        <w:t xml:space="preserve">Dapagliflozin is </w:t>
      </w:r>
      <w:r w:rsidR="002462C0" w:rsidRPr="00121962">
        <w:t xml:space="preserve">also TGA </w:t>
      </w:r>
      <w:r w:rsidRPr="00121962">
        <w:t xml:space="preserve">registered for </w:t>
      </w:r>
      <w:r w:rsidR="002462C0" w:rsidRPr="00121962">
        <w:t>use</w:t>
      </w:r>
      <w:r w:rsidRPr="00121962">
        <w:t xml:space="preserve"> in adults with T2DM:</w:t>
      </w:r>
    </w:p>
    <w:p w14:paraId="295E8E70" w14:textId="77777777"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monotherapy as an adjunct to diet and exercise in patients for whom metformin is otherwise indicated but was not tolerated.</w:t>
      </w:r>
    </w:p>
    <w:p w14:paraId="2B8B30BC" w14:textId="77777777"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initial combination therapy with metformin, as an adjunct to diet and exercise, to improve glycaemic control when diet and exercise have failed to provide adequate</w:t>
      </w:r>
      <w:r w:rsidR="00BB3536" w:rsidRPr="00121962">
        <w:t xml:space="preserve"> </w:t>
      </w:r>
      <w:r w:rsidR="00444534" w:rsidRPr="00121962">
        <w:t>glycaemic control and there are poor prospects for response to metformin monotherapy (for example, high initial haemoglobin A1c [HbA1c] levels).</w:t>
      </w:r>
    </w:p>
    <w:p w14:paraId="15D9722B" w14:textId="77777777" w:rsidR="00444534" w:rsidRPr="00121962" w:rsidRDefault="002462C0" w:rsidP="0020634E">
      <w:pPr>
        <w:pStyle w:val="ExecSumBodyText"/>
        <w:numPr>
          <w:ilvl w:val="0"/>
          <w:numId w:val="6"/>
        </w:numPr>
        <w:spacing w:after="0"/>
        <w:ind w:left="1134" w:hanging="215"/>
        <w:contextualSpacing/>
      </w:pPr>
      <w:r w:rsidRPr="00121962">
        <w:t>I</w:t>
      </w:r>
      <w:r w:rsidR="00444534" w:rsidRPr="00121962">
        <w:t>n combination with other anti-hyperglycaemic agents to improve glycaemic control, when these together with diet and exercise, do not provide adequate glycaemic control.</w:t>
      </w:r>
    </w:p>
    <w:p w14:paraId="51FD953D" w14:textId="77777777" w:rsidR="00444534" w:rsidRPr="00121962" w:rsidRDefault="002462C0" w:rsidP="0020634E">
      <w:pPr>
        <w:pStyle w:val="ExecSumBodyText"/>
        <w:numPr>
          <w:ilvl w:val="0"/>
          <w:numId w:val="6"/>
        </w:numPr>
        <w:ind w:left="1134" w:hanging="218"/>
      </w:pPr>
      <w:r w:rsidRPr="00121962">
        <w:t>For</w:t>
      </w:r>
      <w:r w:rsidR="00444534" w:rsidRPr="00121962">
        <w:t xml:space="preserve"> the treatment of patients with established cardiovascular disease or risk factors for cardiovascular disease to reduce the risk of hospitalisation for heart failure</w:t>
      </w:r>
      <w:r w:rsidR="00526567" w:rsidRPr="00121962">
        <w:t>.</w:t>
      </w:r>
    </w:p>
    <w:p w14:paraId="08533927" w14:textId="77777777" w:rsidR="00444534" w:rsidRPr="00121962" w:rsidRDefault="00444534" w:rsidP="004E18E9">
      <w:pPr>
        <w:pStyle w:val="ExecSumBodyText"/>
      </w:pPr>
      <w:r w:rsidRPr="00121962">
        <w:t>In addition</w:t>
      </w:r>
      <w:r w:rsidR="002462C0" w:rsidRPr="00121962">
        <w:t>,</w:t>
      </w:r>
      <w:r w:rsidRPr="00121962">
        <w:t xml:space="preserve"> dapagliflozin was listed on the </w:t>
      </w:r>
      <w:r w:rsidR="00482569" w:rsidRPr="00121962">
        <w:t>Australian Register of Therapeutic Goods</w:t>
      </w:r>
      <w:r w:rsidRPr="00121962">
        <w:t xml:space="preserve"> for the treatment of adults with symptomatic HFrEF as an adjunct to standard of care therapy in November 2020.</w:t>
      </w:r>
    </w:p>
    <w:p w14:paraId="7BC44789" w14:textId="77777777" w:rsidR="002A4FD2" w:rsidRPr="00121962" w:rsidRDefault="002A4FD2" w:rsidP="002A4FD2">
      <w:pPr>
        <w:ind w:firstLine="709"/>
        <w:rPr>
          <w:rFonts w:asciiTheme="minorHAnsi" w:hAnsiTheme="minorHAnsi"/>
          <w:i/>
        </w:rPr>
      </w:pPr>
      <w:bookmarkStart w:id="4" w:name="_Hlk76375346"/>
      <w:r w:rsidRPr="00121962">
        <w:rPr>
          <w:rFonts w:asciiTheme="minorHAnsi" w:hAnsiTheme="minorHAnsi"/>
          <w:i/>
        </w:rPr>
        <w:t>For more detail on PBAC’s view, see section 7 PBAC outcome.</w:t>
      </w:r>
    </w:p>
    <w:p w14:paraId="33F93FB7" w14:textId="77777777" w:rsidR="00617E12" w:rsidRPr="00121962" w:rsidRDefault="00B50DB8" w:rsidP="00617E12">
      <w:pPr>
        <w:pStyle w:val="2-SectionHeading"/>
      </w:pPr>
      <w:bookmarkStart w:id="5" w:name="_Toc72322327"/>
      <w:bookmarkEnd w:id="4"/>
      <w:r w:rsidRPr="00121962">
        <w:t>Requested listing</w:t>
      </w:r>
      <w:bookmarkEnd w:id="5"/>
    </w:p>
    <w:p w14:paraId="7C0E2D83" w14:textId="77777777" w:rsidR="00B1383B" w:rsidRPr="00121962" w:rsidRDefault="00482569" w:rsidP="00B1383B">
      <w:pPr>
        <w:pStyle w:val="ExecSumBodyText"/>
      </w:pPr>
      <w:r w:rsidRPr="00121962">
        <w:t>In the table below, further additions proposed by the Secretariat and</w:t>
      </w:r>
      <w:r w:rsidR="00B062E9" w:rsidRPr="00121962">
        <w:t xml:space="preserve"> some additions by the</w:t>
      </w:r>
      <w:r w:rsidRPr="00121962">
        <w:t xml:space="preserve"> ESC are added in italics and suggested deletions are crossed out with strikethrough.</w:t>
      </w:r>
      <w:r w:rsidR="002D48A9">
        <w:t xml:space="preserve"> The PBAC noted that this table does not reflect </w:t>
      </w:r>
      <w:r w:rsidR="005E1827">
        <w:t>all ESC advice outlined in the text below, nor the PBAC’s</w:t>
      </w:r>
      <w:r w:rsidR="002D48A9">
        <w:t xml:space="preserve"> additional recommendations as outlined in section</w:t>
      </w:r>
      <w:r w:rsidR="005E1827">
        <w:t> </w:t>
      </w:r>
      <w:r w:rsidR="002D48A9">
        <w:t>7</w:t>
      </w:r>
      <w:r w:rsidR="005E1827">
        <w:t> </w:t>
      </w:r>
      <w:r w:rsidR="002D48A9">
        <w:rPr>
          <w:i/>
          <w:iCs/>
        </w:rPr>
        <w:t xml:space="preserve">PBAC Outcome. </w:t>
      </w:r>
    </w:p>
    <w:p w14:paraId="0AA3FEAA" w14:textId="77777777" w:rsidR="00980291" w:rsidRDefault="00980291">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2208"/>
        <w:gridCol w:w="1354"/>
        <w:gridCol w:w="1424"/>
        <w:gridCol w:w="1297"/>
        <w:gridCol w:w="1783"/>
      </w:tblGrid>
      <w:tr w:rsidR="00D4697F" w:rsidRPr="00644691" w14:paraId="1B5D8267" w14:textId="77777777" w:rsidTr="00980291">
        <w:trPr>
          <w:trHeight w:val="20"/>
        </w:trPr>
        <w:tc>
          <w:tcPr>
            <w:tcW w:w="3159" w:type="dxa"/>
            <w:gridSpan w:val="2"/>
            <w:vAlign w:val="center"/>
          </w:tcPr>
          <w:p w14:paraId="46F4F938" w14:textId="5D57C16B" w:rsidR="00D4697F" w:rsidRPr="00644691" w:rsidRDefault="00D4697F" w:rsidP="00D4697F">
            <w:pPr>
              <w:keepNext/>
              <w:ind w:left="-57"/>
              <w:rPr>
                <w:rFonts w:ascii="Arial Narrow" w:hAnsi="Arial Narrow"/>
                <w:b/>
                <w:bCs/>
                <w:sz w:val="20"/>
                <w:szCs w:val="20"/>
              </w:rPr>
            </w:pPr>
            <w:r w:rsidRPr="00644691">
              <w:rPr>
                <w:rFonts w:ascii="Arial Narrow" w:hAnsi="Arial Narrow"/>
                <w:b/>
                <w:bCs/>
                <w:sz w:val="20"/>
                <w:szCs w:val="20"/>
              </w:rPr>
              <w:t>MEDICINAL PRODUCT</w:t>
            </w:r>
          </w:p>
          <w:p w14:paraId="3F09B249" w14:textId="77777777" w:rsidR="00D4697F" w:rsidRPr="00644691" w:rsidRDefault="00D4697F" w:rsidP="00D4697F">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54" w:type="dxa"/>
            <w:vAlign w:val="center"/>
          </w:tcPr>
          <w:p w14:paraId="7209654C"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packs</w:t>
            </w:r>
          </w:p>
        </w:tc>
        <w:tc>
          <w:tcPr>
            <w:tcW w:w="1424" w:type="dxa"/>
            <w:vAlign w:val="center"/>
          </w:tcPr>
          <w:p w14:paraId="6D7FF916"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units</w:t>
            </w:r>
          </w:p>
        </w:tc>
        <w:tc>
          <w:tcPr>
            <w:tcW w:w="1297" w:type="dxa"/>
            <w:vAlign w:val="center"/>
          </w:tcPr>
          <w:p w14:paraId="6183B128"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№.of Rpts</w:t>
            </w:r>
          </w:p>
        </w:tc>
        <w:tc>
          <w:tcPr>
            <w:tcW w:w="1783" w:type="dxa"/>
            <w:vAlign w:val="center"/>
          </w:tcPr>
          <w:p w14:paraId="14304897"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Available brands</w:t>
            </w:r>
          </w:p>
        </w:tc>
      </w:tr>
      <w:tr w:rsidR="00D4697F" w:rsidRPr="00644691" w14:paraId="27B86DC2" w14:textId="77777777" w:rsidTr="00980291">
        <w:trPr>
          <w:trHeight w:val="20"/>
        </w:trPr>
        <w:tc>
          <w:tcPr>
            <w:tcW w:w="9017" w:type="dxa"/>
            <w:gridSpan w:val="6"/>
          </w:tcPr>
          <w:p w14:paraId="6D607013" w14:textId="77777777"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DAPAGLIFLOZIN</w:t>
            </w:r>
          </w:p>
        </w:tc>
      </w:tr>
      <w:tr w:rsidR="00D4697F" w:rsidRPr="00644691" w14:paraId="4F7BE951" w14:textId="77777777" w:rsidTr="00980291">
        <w:trPr>
          <w:trHeight w:val="20"/>
        </w:trPr>
        <w:tc>
          <w:tcPr>
            <w:tcW w:w="3159" w:type="dxa"/>
            <w:gridSpan w:val="2"/>
          </w:tcPr>
          <w:p w14:paraId="695771D5" w14:textId="77777777"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54" w:type="dxa"/>
          </w:tcPr>
          <w:p w14:paraId="5AB6E7B9"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1</w:t>
            </w:r>
          </w:p>
        </w:tc>
        <w:tc>
          <w:tcPr>
            <w:tcW w:w="1424" w:type="dxa"/>
          </w:tcPr>
          <w:p w14:paraId="35E47AE6"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28</w:t>
            </w:r>
          </w:p>
        </w:tc>
        <w:tc>
          <w:tcPr>
            <w:tcW w:w="1297" w:type="dxa"/>
          </w:tcPr>
          <w:p w14:paraId="194BA977"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5</w:t>
            </w:r>
          </w:p>
        </w:tc>
        <w:tc>
          <w:tcPr>
            <w:tcW w:w="1783" w:type="dxa"/>
          </w:tcPr>
          <w:p w14:paraId="06B100E4"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Forxiga</w:t>
            </w:r>
          </w:p>
        </w:tc>
      </w:tr>
      <w:tr w:rsidR="00482569" w:rsidRPr="00121962" w14:paraId="65D67C0B" w14:textId="77777777" w:rsidTr="00980291">
        <w:tblPrEx>
          <w:tblCellMar>
            <w:top w:w="15" w:type="dxa"/>
            <w:left w:w="15" w:type="dxa"/>
            <w:bottom w:w="15" w:type="dxa"/>
            <w:right w:w="15" w:type="dxa"/>
          </w:tblCellMar>
          <w:tblLook w:val="04A0" w:firstRow="1" w:lastRow="0" w:firstColumn="1" w:lastColumn="0" w:noHBand="0" w:noVBand="1"/>
        </w:tblPrEx>
        <w:tc>
          <w:tcPr>
            <w:tcW w:w="9017" w:type="dxa"/>
            <w:gridSpan w:val="6"/>
            <w:tcBorders>
              <w:top w:val="single" w:sz="4" w:space="0" w:color="auto"/>
              <w:left w:val="single" w:sz="4" w:space="0" w:color="auto"/>
              <w:right w:val="single" w:sz="4" w:space="0" w:color="auto"/>
            </w:tcBorders>
          </w:tcPr>
          <w:p w14:paraId="5FB2B4FF" w14:textId="77777777" w:rsidR="00482569" w:rsidRPr="00121962" w:rsidRDefault="00482569" w:rsidP="00E93D5A">
            <w:pPr>
              <w:rPr>
                <w:rFonts w:ascii="Arial Narrow" w:hAnsi="Arial Narrow"/>
                <w:sz w:val="20"/>
                <w:szCs w:val="20"/>
              </w:rPr>
            </w:pPr>
          </w:p>
        </w:tc>
      </w:tr>
      <w:tr w:rsidR="00482569" w:rsidRPr="00121962" w14:paraId="6A01D99E" w14:textId="77777777" w:rsidTr="00980291">
        <w:tblPrEx>
          <w:tblCellMar>
            <w:top w:w="15" w:type="dxa"/>
            <w:left w:w="15" w:type="dxa"/>
            <w:bottom w:w="15" w:type="dxa"/>
            <w:right w:w="15" w:type="dxa"/>
          </w:tblCellMar>
          <w:tblLook w:val="04A0" w:firstRow="1" w:lastRow="0" w:firstColumn="1" w:lastColumn="0" w:noHBand="0" w:noVBand="1"/>
        </w:tblPrEx>
        <w:tc>
          <w:tcPr>
            <w:tcW w:w="9017" w:type="dxa"/>
            <w:gridSpan w:val="6"/>
            <w:tcBorders>
              <w:top w:val="single" w:sz="4" w:space="0" w:color="auto"/>
              <w:left w:val="single" w:sz="4" w:space="0" w:color="auto"/>
              <w:right w:val="single" w:sz="4" w:space="0" w:color="auto"/>
            </w:tcBorders>
          </w:tcPr>
          <w:p w14:paraId="706190ED"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Restriction Summary [new] / Treatment of Concept: [new] </w:t>
            </w:r>
          </w:p>
        </w:tc>
      </w:tr>
      <w:tr w:rsidR="00482569" w:rsidRPr="00121962" w14:paraId="34409B48" w14:textId="77777777" w:rsidTr="00980291">
        <w:tblPrEx>
          <w:tblCellMar>
            <w:top w:w="15" w:type="dxa"/>
            <w:left w:w="15" w:type="dxa"/>
            <w:bottom w:w="15" w:type="dxa"/>
            <w:right w:w="15" w:type="dxa"/>
          </w:tblCellMar>
          <w:tblLook w:val="04A0" w:firstRow="1" w:lastRow="0" w:firstColumn="1" w:lastColumn="0" w:noHBand="0" w:noVBand="1"/>
        </w:tblPrEx>
        <w:tc>
          <w:tcPr>
            <w:tcW w:w="951" w:type="dxa"/>
            <w:vMerge w:val="restart"/>
            <w:tcBorders>
              <w:top w:val="single" w:sz="4" w:space="0" w:color="auto"/>
              <w:left w:val="single" w:sz="4" w:space="0" w:color="auto"/>
              <w:right w:val="single" w:sz="4" w:space="0" w:color="auto"/>
            </w:tcBorders>
          </w:tcPr>
          <w:p w14:paraId="6406769C" w14:textId="77777777" w:rsidR="00482569" w:rsidRPr="00121962" w:rsidRDefault="00482569" w:rsidP="00E93D5A">
            <w:pPr>
              <w:jc w:val="center"/>
              <w:rPr>
                <w:rFonts w:ascii="Arial Narrow" w:hAnsi="Arial Narrow"/>
                <w:b/>
                <w:sz w:val="20"/>
                <w:szCs w:val="20"/>
              </w:rPr>
            </w:pPr>
          </w:p>
        </w:tc>
        <w:tc>
          <w:tcPr>
            <w:tcW w:w="8066" w:type="dxa"/>
            <w:gridSpan w:val="5"/>
            <w:tcBorders>
              <w:top w:val="single" w:sz="4" w:space="0" w:color="auto"/>
              <w:left w:val="single" w:sz="4" w:space="0" w:color="auto"/>
              <w:bottom w:val="single" w:sz="4" w:space="0" w:color="auto"/>
              <w:right w:val="single" w:sz="4" w:space="0" w:color="auto"/>
            </w:tcBorders>
          </w:tcPr>
          <w:p w14:paraId="6701344F" w14:textId="77777777" w:rsidR="00482569" w:rsidRPr="00121962" w:rsidRDefault="00482569" w:rsidP="00E93D5A">
            <w:pPr>
              <w:rPr>
                <w:rFonts w:ascii="Arial Narrow" w:hAnsi="Arial Narrow"/>
                <w:sz w:val="20"/>
                <w:szCs w:val="20"/>
              </w:rPr>
            </w:pPr>
            <w:r w:rsidRPr="00121962">
              <w:rPr>
                <w:rFonts w:ascii="Arial Narrow" w:hAnsi="Arial Narrow"/>
                <w:b/>
                <w:sz w:val="20"/>
                <w:szCs w:val="20"/>
              </w:rPr>
              <w:t xml:space="preserve">Category / Program: </w:t>
            </w:r>
            <w:r w:rsidRPr="00121962">
              <w:rPr>
                <w:rFonts w:ascii="Arial Narrow" w:hAnsi="Arial Narrow"/>
                <w:sz w:val="20"/>
                <w:szCs w:val="20"/>
              </w:rPr>
              <w:t xml:space="preserve">GENERAL – General Schedule (Code GE) </w:t>
            </w:r>
          </w:p>
        </w:tc>
      </w:tr>
      <w:tr w:rsidR="00482569" w:rsidRPr="00121962" w14:paraId="5E0E248B" w14:textId="77777777" w:rsidTr="00980291">
        <w:tblPrEx>
          <w:tblCellMar>
            <w:top w:w="15" w:type="dxa"/>
            <w:left w:w="15" w:type="dxa"/>
            <w:bottom w:w="15" w:type="dxa"/>
            <w:right w:w="15" w:type="dxa"/>
          </w:tblCellMar>
          <w:tblLook w:val="04A0" w:firstRow="1" w:lastRow="0" w:firstColumn="1" w:lastColumn="0" w:noHBand="0" w:noVBand="1"/>
        </w:tblPrEx>
        <w:trPr>
          <w:trHeight w:val="240"/>
        </w:trPr>
        <w:tc>
          <w:tcPr>
            <w:tcW w:w="951" w:type="dxa"/>
            <w:vMerge/>
            <w:tcBorders>
              <w:left w:val="single" w:sz="4" w:space="0" w:color="auto"/>
              <w:right w:val="single" w:sz="4" w:space="0" w:color="auto"/>
            </w:tcBorders>
          </w:tcPr>
          <w:p w14:paraId="2D91F82B" w14:textId="77777777" w:rsidR="00482569" w:rsidRPr="00121962" w:rsidRDefault="00482569" w:rsidP="00E93D5A">
            <w:pPr>
              <w:rPr>
                <w:rFonts w:ascii="Arial Narrow" w:hAnsi="Arial Narrow"/>
                <w:sz w:val="20"/>
                <w:szCs w:val="20"/>
              </w:rPr>
            </w:pPr>
          </w:p>
        </w:tc>
        <w:tc>
          <w:tcPr>
            <w:tcW w:w="8066" w:type="dxa"/>
            <w:gridSpan w:val="5"/>
            <w:tcBorders>
              <w:top w:val="single" w:sz="4" w:space="0" w:color="auto"/>
              <w:left w:val="single" w:sz="4" w:space="0" w:color="auto"/>
              <w:bottom w:val="single" w:sz="4" w:space="0" w:color="auto"/>
              <w:right w:val="single" w:sz="4" w:space="0" w:color="auto"/>
            </w:tcBorders>
          </w:tcPr>
          <w:p w14:paraId="53EA4962"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Prescriber type: </w:t>
            </w:r>
            <w:r w:rsidRPr="00121962">
              <w:rPr>
                <w:rFonts w:ascii="Arial Narrow" w:hAnsi="Arial Narrow"/>
                <w:sz w:val="20"/>
                <w:szCs w:val="20"/>
              </w:rPr>
              <w:fldChar w:fldCharType="begin">
                <w:ffData>
                  <w:name w:val=""/>
                  <w:enabled/>
                  <w:calcOnExit w:val="0"/>
                  <w:checkBox>
                    <w:sizeAuto/>
                    <w:default w:val="1"/>
                  </w:checkBox>
                </w:ffData>
              </w:fldChar>
            </w:r>
            <w:r w:rsidRPr="00121962">
              <w:rPr>
                <w:rFonts w:ascii="Arial Narrow" w:hAnsi="Arial Narrow"/>
                <w:sz w:val="20"/>
                <w:szCs w:val="20"/>
              </w:rPr>
              <w:instrText xml:space="preserve"> FORMCHECKBOX </w:instrText>
            </w:r>
            <w:r w:rsidR="00B21E8A">
              <w:rPr>
                <w:rFonts w:ascii="Arial Narrow" w:hAnsi="Arial Narrow"/>
                <w:sz w:val="20"/>
                <w:szCs w:val="20"/>
              </w:rPr>
            </w:r>
            <w:r w:rsidR="00B21E8A">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 xml:space="preserve">Medical Practitioners </w:t>
            </w:r>
            <w:r w:rsidRPr="00121962">
              <w:rPr>
                <w:rFonts w:ascii="Arial Narrow" w:hAnsi="Arial Narrow"/>
                <w:sz w:val="20"/>
                <w:szCs w:val="20"/>
              </w:rPr>
              <w:fldChar w:fldCharType="begin">
                <w:ffData>
                  <w:name w:val="Check3"/>
                  <w:enabled/>
                  <w:calcOnExit w:val="0"/>
                  <w:checkBox>
                    <w:sizeAuto/>
                    <w:default w:val="1"/>
                  </w:checkBox>
                </w:ffData>
              </w:fldChar>
            </w:r>
            <w:r w:rsidRPr="00121962">
              <w:rPr>
                <w:rFonts w:ascii="Arial Narrow" w:hAnsi="Arial Narrow"/>
                <w:sz w:val="20"/>
                <w:szCs w:val="20"/>
              </w:rPr>
              <w:instrText xml:space="preserve"> FORMCHECKBOX </w:instrText>
            </w:r>
            <w:r w:rsidR="00B21E8A">
              <w:rPr>
                <w:rFonts w:ascii="Arial Narrow" w:hAnsi="Arial Narrow"/>
                <w:sz w:val="20"/>
                <w:szCs w:val="20"/>
              </w:rPr>
            </w:r>
            <w:r w:rsidR="00B21E8A">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Nurse practitioners</w:t>
            </w:r>
          </w:p>
        </w:tc>
      </w:tr>
      <w:tr w:rsidR="00482569" w:rsidRPr="00121962" w14:paraId="27CF37A0" w14:textId="77777777" w:rsidTr="00980291">
        <w:tblPrEx>
          <w:tblCellMar>
            <w:top w:w="15" w:type="dxa"/>
            <w:left w:w="15" w:type="dxa"/>
            <w:bottom w:w="15" w:type="dxa"/>
            <w:right w:w="15" w:type="dxa"/>
          </w:tblCellMar>
          <w:tblLook w:val="04A0" w:firstRow="1" w:lastRow="0" w:firstColumn="1" w:lastColumn="0" w:noHBand="0" w:noVBand="1"/>
        </w:tblPrEx>
        <w:tc>
          <w:tcPr>
            <w:tcW w:w="951" w:type="dxa"/>
            <w:vMerge/>
            <w:tcBorders>
              <w:left w:val="single" w:sz="4" w:space="0" w:color="auto"/>
              <w:bottom w:val="single" w:sz="4" w:space="0" w:color="auto"/>
              <w:right w:val="single" w:sz="4" w:space="0" w:color="auto"/>
            </w:tcBorders>
          </w:tcPr>
          <w:p w14:paraId="5F9CD092" w14:textId="77777777" w:rsidR="00482569" w:rsidRPr="00121962" w:rsidRDefault="00482569" w:rsidP="00E93D5A">
            <w:pPr>
              <w:rPr>
                <w:rFonts w:ascii="Arial Narrow" w:hAnsi="Arial Narrow"/>
                <w:sz w:val="20"/>
                <w:szCs w:val="20"/>
              </w:rPr>
            </w:pPr>
          </w:p>
        </w:tc>
        <w:tc>
          <w:tcPr>
            <w:tcW w:w="8066" w:type="dxa"/>
            <w:gridSpan w:val="5"/>
            <w:tcBorders>
              <w:top w:val="single" w:sz="4" w:space="0" w:color="auto"/>
              <w:left w:val="single" w:sz="4" w:space="0" w:color="auto"/>
              <w:bottom w:val="single" w:sz="4" w:space="0" w:color="auto"/>
              <w:right w:val="single" w:sz="4" w:space="0" w:color="auto"/>
            </w:tcBorders>
          </w:tcPr>
          <w:p w14:paraId="1DFA5658" w14:textId="77777777" w:rsidR="00482569" w:rsidRPr="00121962" w:rsidRDefault="00482569" w:rsidP="00E93D5A">
            <w:pPr>
              <w:rPr>
                <w:rFonts w:ascii="Arial Narrow" w:eastAsia="Calibri" w:hAnsi="Arial Narrow"/>
                <w:sz w:val="20"/>
                <w:szCs w:val="20"/>
              </w:rPr>
            </w:pPr>
            <w:r w:rsidRPr="00121962">
              <w:rPr>
                <w:rFonts w:ascii="Arial Narrow" w:hAnsi="Arial Narrow"/>
                <w:b/>
                <w:sz w:val="20"/>
                <w:szCs w:val="20"/>
              </w:rPr>
              <w:t xml:space="preserve">Restriction type: </w:t>
            </w:r>
            <w:r w:rsidRPr="00121962">
              <w:rPr>
                <w:rFonts w:ascii="Arial Narrow" w:eastAsia="Calibri" w:hAnsi="Arial Narrow"/>
                <w:sz w:val="20"/>
                <w:szCs w:val="20"/>
              </w:rPr>
              <w:fldChar w:fldCharType="begin">
                <w:ffData>
                  <w:name w:val=""/>
                  <w:enabled/>
                  <w:calcOnExit w:val="0"/>
                  <w:checkBox>
                    <w:sizeAuto/>
                    <w:default w:val="1"/>
                  </w:checkBox>
                </w:ffData>
              </w:fldChar>
            </w:r>
            <w:r w:rsidRPr="00121962">
              <w:rPr>
                <w:rFonts w:ascii="Arial Narrow" w:eastAsia="Calibri" w:hAnsi="Arial Narrow"/>
                <w:sz w:val="20"/>
                <w:szCs w:val="20"/>
              </w:rPr>
              <w:instrText xml:space="preserve"> FORMCHECKBOX </w:instrText>
            </w:r>
            <w:r w:rsidR="00B21E8A">
              <w:rPr>
                <w:rFonts w:ascii="Arial Narrow" w:eastAsia="Calibri" w:hAnsi="Arial Narrow"/>
                <w:sz w:val="20"/>
                <w:szCs w:val="20"/>
              </w:rPr>
            </w:r>
            <w:r w:rsidR="00B21E8A">
              <w:rPr>
                <w:rFonts w:ascii="Arial Narrow" w:eastAsia="Calibri" w:hAnsi="Arial Narrow"/>
                <w:sz w:val="20"/>
                <w:szCs w:val="20"/>
              </w:rPr>
              <w:fldChar w:fldCharType="separate"/>
            </w:r>
            <w:r w:rsidRPr="00121962">
              <w:rPr>
                <w:rFonts w:ascii="Arial Narrow" w:eastAsia="Calibri" w:hAnsi="Arial Narrow"/>
                <w:sz w:val="20"/>
                <w:szCs w:val="20"/>
              </w:rPr>
              <w:fldChar w:fldCharType="end"/>
            </w:r>
            <w:r w:rsidRPr="00121962">
              <w:rPr>
                <w:rFonts w:ascii="Arial Narrow" w:eastAsia="Calibri" w:hAnsi="Arial Narrow"/>
                <w:sz w:val="20"/>
                <w:szCs w:val="20"/>
              </w:rPr>
              <w:t>Authority Required – Streamlined [new code]</w:t>
            </w:r>
          </w:p>
        </w:tc>
      </w:tr>
      <w:tr w:rsidR="00482569" w:rsidRPr="00121962" w14:paraId="288CAED9"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5395BDCE"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329F6905"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Indication:</w:t>
            </w:r>
            <w:r w:rsidRPr="00121962">
              <w:rPr>
                <w:rFonts w:ascii="Arial Narrow" w:hAnsi="Arial Narrow"/>
                <w:sz w:val="20"/>
                <w:szCs w:val="20"/>
              </w:rPr>
              <w:t xml:space="preserve"> Chronic kidney disease</w:t>
            </w:r>
          </w:p>
        </w:tc>
      </w:tr>
      <w:tr w:rsidR="00482569" w:rsidRPr="00121962" w14:paraId="62721A19"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381C7FFE"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3866FFDA" w14:textId="77777777" w:rsidR="00482569" w:rsidRPr="00121962" w:rsidRDefault="00482569" w:rsidP="00E93D5A">
            <w:pPr>
              <w:rPr>
                <w:rFonts w:ascii="Arial Narrow" w:hAnsi="Arial Narrow"/>
                <w:i/>
                <w:sz w:val="20"/>
                <w:szCs w:val="20"/>
              </w:rPr>
            </w:pPr>
            <w:r w:rsidRPr="00121962">
              <w:rPr>
                <w:rFonts w:ascii="Arial Narrow" w:hAnsi="Arial Narrow"/>
                <w:b/>
                <w:bCs/>
                <w:sz w:val="20"/>
                <w:szCs w:val="20"/>
              </w:rPr>
              <w:t xml:space="preserve">Treatment Phase: </w:t>
            </w:r>
            <w:r w:rsidRPr="00121962">
              <w:rPr>
                <w:rFonts w:ascii="Arial Narrow" w:hAnsi="Arial Narrow"/>
                <w:bCs/>
                <w:strike/>
                <w:sz w:val="20"/>
                <w:szCs w:val="20"/>
              </w:rPr>
              <w:t>Initial/continuing</w:t>
            </w:r>
            <w:r w:rsidRPr="00121962">
              <w:rPr>
                <w:rFonts w:ascii="Arial Narrow" w:hAnsi="Arial Narrow"/>
                <w:bCs/>
                <w:sz w:val="20"/>
                <w:szCs w:val="20"/>
              </w:rPr>
              <w:t xml:space="preserve"> </w:t>
            </w:r>
            <w:r w:rsidRPr="00121962">
              <w:rPr>
                <w:rFonts w:ascii="Arial Narrow" w:hAnsi="Arial Narrow"/>
                <w:bCs/>
                <w:i/>
                <w:sz w:val="20"/>
                <w:szCs w:val="20"/>
              </w:rPr>
              <w:t>[blank]</w:t>
            </w:r>
          </w:p>
        </w:tc>
      </w:tr>
      <w:tr w:rsidR="00482569" w:rsidRPr="00121962" w14:paraId="77A7C60F"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4E600AFF"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5592B147"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 xml:space="preserve">Clinical criteria: </w:t>
            </w:r>
          </w:p>
        </w:tc>
      </w:tr>
      <w:tr w:rsidR="00482569" w:rsidRPr="00121962" w14:paraId="151C8458"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7A662269"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3B4304D0"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 xml:space="preserve">Patient must have an estimated glomerular filtration rate of </w:t>
            </w:r>
            <w:r w:rsidRPr="00121962">
              <w:rPr>
                <w:rFonts w:ascii="Arial Narrow" w:hAnsi="Arial Narrow"/>
                <w:strike/>
                <w:sz w:val="20"/>
                <w:szCs w:val="20"/>
              </w:rPr>
              <w:t>≥25 and ≤75 mL/min/1.73m</w:t>
            </w:r>
            <w:r w:rsidRPr="00121962">
              <w:rPr>
                <w:rFonts w:ascii="Arial Narrow" w:hAnsi="Arial Narrow"/>
                <w:strike/>
                <w:sz w:val="20"/>
                <w:szCs w:val="20"/>
                <w:vertAlign w:val="superscript"/>
              </w:rPr>
              <w:t>2</w:t>
            </w:r>
            <w:r w:rsidRPr="00121962">
              <w:rPr>
                <w:rFonts w:ascii="Arial Narrow" w:hAnsi="Arial Narrow"/>
                <w:sz w:val="20"/>
                <w:szCs w:val="20"/>
              </w:rPr>
              <w:t xml:space="preserve"> </w:t>
            </w:r>
            <w:r w:rsidRPr="00121962">
              <w:rPr>
                <w:rFonts w:ascii="Arial Narrow" w:hAnsi="Arial Narrow"/>
                <w:i/>
                <w:sz w:val="20"/>
                <w:szCs w:val="20"/>
              </w:rPr>
              <w:t>between 25 and 75 mL/min/1.73 m</w:t>
            </w:r>
            <w:r w:rsidRPr="00121962">
              <w:rPr>
                <w:rFonts w:ascii="Arial Narrow" w:hAnsi="Arial Narrow"/>
                <w:i/>
                <w:sz w:val="20"/>
                <w:szCs w:val="20"/>
                <w:vertAlign w:val="superscript"/>
              </w:rPr>
              <w:t xml:space="preserve">2 </w:t>
            </w:r>
            <w:r w:rsidRPr="00121962">
              <w:rPr>
                <w:rFonts w:ascii="Arial Narrow" w:hAnsi="Arial Narrow"/>
                <w:i/>
                <w:sz w:val="20"/>
                <w:szCs w:val="20"/>
              </w:rPr>
              <w:t>inclusive, to substantiate the diagnosis of kidney disease, prior to initiating treatment with this drug</w:t>
            </w:r>
            <w:r w:rsidRPr="00121962">
              <w:rPr>
                <w:rFonts w:ascii="Arial Narrow" w:hAnsi="Arial Narrow"/>
                <w:sz w:val="20"/>
                <w:szCs w:val="20"/>
              </w:rPr>
              <w:t>,</w:t>
            </w:r>
          </w:p>
        </w:tc>
      </w:tr>
      <w:tr w:rsidR="00482569" w:rsidRPr="00121962" w14:paraId="43FED038"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020DE336"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69D24DC8"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75082649"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2186C7AB"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4AA69DFF"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5EC77D86"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54B1B8E0"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410E5B0B" w14:textId="77777777" w:rsidR="00482569" w:rsidRPr="00121962" w:rsidRDefault="00482569" w:rsidP="00E93D5A">
            <w:pPr>
              <w:rPr>
                <w:rFonts w:ascii="Arial Narrow" w:hAnsi="Arial Narrow"/>
                <w:i/>
                <w:sz w:val="20"/>
                <w:szCs w:val="20"/>
              </w:rPr>
            </w:pPr>
            <w:r w:rsidRPr="00121962">
              <w:rPr>
                <w:rFonts w:ascii="Arial Narrow" w:hAnsi="Arial Narrow"/>
                <w:sz w:val="20"/>
                <w:szCs w:val="20"/>
              </w:rPr>
              <w:t xml:space="preserve">Patient must have a urinary albumin to creatinine ratio of </w:t>
            </w:r>
            <w:r w:rsidRPr="00121962">
              <w:rPr>
                <w:rFonts w:ascii="Arial Narrow" w:hAnsi="Arial Narrow"/>
                <w:strike/>
                <w:sz w:val="20"/>
                <w:szCs w:val="20"/>
              </w:rPr>
              <w:t>≥200 and ≤5000 mg/g</w:t>
            </w:r>
            <w:r w:rsidRPr="00121962">
              <w:rPr>
                <w:rFonts w:ascii="Arial Narrow" w:hAnsi="Arial Narrow"/>
                <w:sz w:val="20"/>
                <w:szCs w:val="20"/>
              </w:rPr>
              <w:t xml:space="preserve"> </w:t>
            </w:r>
            <w:r w:rsidRPr="00121962">
              <w:rPr>
                <w:rFonts w:ascii="Arial Narrow" w:hAnsi="Arial Narrow"/>
                <w:i/>
                <w:sz w:val="20"/>
                <w:szCs w:val="20"/>
              </w:rPr>
              <w:t>between 200 and 5000 mg/g inclusive</w:t>
            </w:r>
            <w:r w:rsidRPr="00121962">
              <w:rPr>
                <w:rFonts w:ascii="Arial Narrow" w:hAnsi="Arial Narrow"/>
                <w:sz w:val="20"/>
                <w:szCs w:val="20"/>
              </w:rPr>
              <w:t>,</w:t>
            </w:r>
            <w:r w:rsidRPr="00121962">
              <w:rPr>
                <w:rFonts w:ascii="Arial Narrow" w:hAnsi="Arial Narrow"/>
                <w:i/>
                <w:sz w:val="20"/>
                <w:szCs w:val="20"/>
              </w:rPr>
              <w:t xml:space="preserve"> to substantiate the diagnosis of kidney disease, prior to initiating treatment with this drug</w:t>
            </w:r>
            <w:r w:rsidRPr="00121962">
              <w:rPr>
                <w:rFonts w:ascii="Arial Narrow" w:hAnsi="Arial Narrow"/>
                <w:sz w:val="20"/>
                <w:szCs w:val="20"/>
              </w:rPr>
              <w:t>,</w:t>
            </w:r>
          </w:p>
        </w:tc>
      </w:tr>
      <w:tr w:rsidR="00482569" w:rsidRPr="00121962" w14:paraId="602FD6F0"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2627774A" w14:textId="77777777" w:rsidR="00482569" w:rsidRPr="00121962" w:rsidRDefault="00482569" w:rsidP="00E93D5A">
            <w:pPr>
              <w:jc w:val="center"/>
              <w:rPr>
                <w:rFonts w:ascii="Arial Narrow" w:hAnsi="Arial Narrow"/>
                <w:sz w:val="20"/>
                <w:szCs w:val="20"/>
              </w:rPr>
            </w:pPr>
          </w:p>
        </w:tc>
        <w:tc>
          <w:tcPr>
            <w:tcW w:w="8066" w:type="dxa"/>
            <w:gridSpan w:val="5"/>
            <w:vAlign w:val="center"/>
          </w:tcPr>
          <w:p w14:paraId="53182427"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3ED27777"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2655AF2C" w14:textId="77777777" w:rsidR="00482569" w:rsidRPr="00121962" w:rsidRDefault="00482569" w:rsidP="00E93D5A">
            <w:pPr>
              <w:jc w:val="center"/>
              <w:rPr>
                <w:rFonts w:ascii="Arial Narrow" w:hAnsi="Arial Narrow"/>
                <w:sz w:val="20"/>
                <w:szCs w:val="20"/>
              </w:rPr>
            </w:pPr>
          </w:p>
        </w:tc>
        <w:tc>
          <w:tcPr>
            <w:tcW w:w="8066" w:type="dxa"/>
            <w:gridSpan w:val="5"/>
            <w:vAlign w:val="center"/>
          </w:tcPr>
          <w:p w14:paraId="402DF9BC"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00BAA15A" w14:textId="77777777" w:rsidTr="00980291">
        <w:tblPrEx>
          <w:tblCellMar>
            <w:top w:w="15" w:type="dxa"/>
            <w:left w:w="15" w:type="dxa"/>
            <w:bottom w:w="15" w:type="dxa"/>
            <w:right w:w="15" w:type="dxa"/>
          </w:tblCellMar>
          <w:tblLook w:val="04A0" w:firstRow="1" w:lastRow="0" w:firstColumn="1" w:lastColumn="0" w:noHBand="0" w:noVBand="1"/>
        </w:tblPrEx>
        <w:trPr>
          <w:trHeight w:val="40"/>
        </w:trPr>
        <w:tc>
          <w:tcPr>
            <w:tcW w:w="951" w:type="dxa"/>
            <w:vAlign w:val="center"/>
          </w:tcPr>
          <w:p w14:paraId="2B3DE5BA" w14:textId="77777777" w:rsidR="00482569" w:rsidRPr="00121962" w:rsidRDefault="00482569" w:rsidP="00E93D5A">
            <w:pPr>
              <w:jc w:val="center"/>
              <w:rPr>
                <w:rFonts w:ascii="Arial Narrow" w:hAnsi="Arial Narrow"/>
                <w:sz w:val="20"/>
                <w:szCs w:val="20"/>
              </w:rPr>
            </w:pPr>
          </w:p>
        </w:tc>
        <w:tc>
          <w:tcPr>
            <w:tcW w:w="8066" w:type="dxa"/>
            <w:gridSpan w:val="5"/>
            <w:vAlign w:val="center"/>
          </w:tcPr>
          <w:p w14:paraId="00A2CDB7" w14:textId="77777777" w:rsidR="00482569" w:rsidRPr="00121962" w:rsidRDefault="00482569" w:rsidP="00E93D5A">
            <w:pPr>
              <w:rPr>
                <w:rFonts w:ascii="Arial Narrow" w:hAnsi="Arial Narrow"/>
                <w:i/>
                <w:sz w:val="20"/>
                <w:szCs w:val="20"/>
              </w:rPr>
            </w:pPr>
            <w:bookmarkStart w:id="6" w:name="_Hlk79144209"/>
            <w:r w:rsidRPr="00121962">
              <w:rPr>
                <w:rFonts w:ascii="Arial Narrow" w:hAnsi="Arial Narrow"/>
                <w:i/>
                <w:sz w:val="20"/>
                <w:szCs w:val="20"/>
              </w:rPr>
              <w:t xml:space="preserve">Patient must not progress to end-stage renal disease defined as an estimated glomerular filtration rate (eGFR) of less than </w:t>
            </w:r>
            <w:r w:rsidR="00B062E9" w:rsidRPr="00121962">
              <w:rPr>
                <w:rFonts w:ascii="Arial Narrow" w:hAnsi="Arial Narrow"/>
                <w:i/>
                <w:sz w:val="20"/>
                <w:szCs w:val="20"/>
              </w:rPr>
              <w:t>1</w:t>
            </w:r>
            <w:r w:rsidRPr="00121962">
              <w:rPr>
                <w:rFonts w:ascii="Arial Narrow" w:hAnsi="Arial Narrow"/>
                <w:i/>
                <w:sz w:val="20"/>
                <w:szCs w:val="20"/>
              </w:rPr>
              <w:t>5 mL/min/1.73 m</w:t>
            </w:r>
            <w:r w:rsidRPr="00121962">
              <w:rPr>
                <w:rFonts w:ascii="Arial Narrow" w:hAnsi="Arial Narrow"/>
                <w:i/>
                <w:sz w:val="20"/>
                <w:szCs w:val="20"/>
                <w:vertAlign w:val="superscript"/>
              </w:rPr>
              <w:t>2</w:t>
            </w:r>
            <w:r w:rsidRPr="00121962">
              <w:rPr>
                <w:rFonts w:ascii="Arial Narrow" w:hAnsi="Arial Narrow"/>
                <w:i/>
                <w:sz w:val="20"/>
                <w:szCs w:val="20"/>
              </w:rPr>
              <w:t xml:space="preserve"> while on this drug.</w:t>
            </w:r>
            <w:bookmarkEnd w:id="6"/>
          </w:p>
        </w:tc>
      </w:tr>
      <w:tr w:rsidR="00482569" w:rsidRPr="00121962" w14:paraId="225CDC3E"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12CCB232"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51DCE57D" w14:textId="77777777"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AND</w:t>
            </w:r>
          </w:p>
        </w:tc>
      </w:tr>
      <w:tr w:rsidR="00482569" w:rsidRPr="00121962" w14:paraId="22C0434F"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5F7A0100"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66854BF7" w14:textId="77777777"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Clinical criteria:</w:t>
            </w:r>
          </w:p>
        </w:tc>
      </w:tr>
      <w:tr w:rsidR="00482569" w:rsidRPr="00121962" w14:paraId="27B3D349"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44E2FBD9" w14:textId="77777777" w:rsidR="00482569" w:rsidRPr="00121962" w:rsidRDefault="00482569" w:rsidP="00E93D5A">
            <w:pPr>
              <w:jc w:val="center"/>
              <w:rPr>
                <w:rFonts w:ascii="Arial Narrow" w:hAnsi="Arial Narrow"/>
                <w:strike/>
                <w:sz w:val="20"/>
                <w:szCs w:val="20"/>
              </w:rPr>
            </w:pPr>
          </w:p>
        </w:tc>
        <w:tc>
          <w:tcPr>
            <w:tcW w:w="8066" w:type="dxa"/>
            <w:gridSpan w:val="5"/>
            <w:vAlign w:val="center"/>
            <w:hideMark/>
          </w:tcPr>
          <w:p w14:paraId="52E49EFB" w14:textId="77777777" w:rsidR="00482569" w:rsidRPr="00121962" w:rsidRDefault="00482569" w:rsidP="00E93D5A">
            <w:pPr>
              <w:rPr>
                <w:rFonts w:ascii="Arial Narrow" w:hAnsi="Arial Narrow"/>
                <w:i/>
                <w:sz w:val="20"/>
                <w:szCs w:val="20"/>
              </w:rPr>
            </w:pPr>
            <w:r w:rsidRPr="00121962">
              <w:rPr>
                <w:rFonts w:ascii="Arial Narrow" w:hAnsi="Arial Narrow"/>
                <w:strike/>
                <w:sz w:val="20"/>
                <w:szCs w:val="20"/>
              </w:rPr>
              <w:t>Patient must be stable on the maximum tolerated dose of an angiotensin converting enzyme inhibitor OR an angiotensin II receptor blocker for at least 4 weeks prior to initiating therapy with dapagliflozin, unless medically contraindicated,</w:t>
            </w:r>
          </w:p>
        </w:tc>
      </w:tr>
      <w:tr w:rsidR="00482569" w:rsidRPr="00121962" w14:paraId="688E825B"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38BD51AA" w14:textId="77777777" w:rsidR="00482569" w:rsidRPr="00121962" w:rsidRDefault="00482569" w:rsidP="00E93D5A">
            <w:pPr>
              <w:jc w:val="center"/>
              <w:rPr>
                <w:rFonts w:ascii="Arial Narrow" w:hAnsi="Arial Narrow"/>
                <w:sz w:val="20"/>
                <w:szCs w:val="20"/>
              </w:rPr>
            </w:pPr>
          </w:p>
        </w:tc>
        <w:tc>
          <w:tcPr>
            <w:tcW w:w="8066" w:type="dxa"/>
            <w:gridSpan w:val="5"/>
            <w:vAlign w:val="center"/>
          </w:tcPr>
          <w:p w14:paraId="51F2BECC"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AND</w:t>
            </w:r>
          </w:p>
        </w:tc>
      </w:tr>
      <w:tr w:rsidR="00482569" w:rsidRPr="00121962" w14:paraId="4B8CE9C0"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3E2BCCA1"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315601B9"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7DB5515E"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77F058E4" w14:textId="77777777" w:rsidR="00482569" w:rsidRPr="00121962" w:rsidRDefault="00482569" w:rsidP="00E93D5A">
            <w:pPr>
              <w:jc w:val="center"/>
              <w:rPr>
                <w:rFonts w:ascii="Arial Narrow" w:hAnsi="Arial Narrow"/>
                <w:strike/>
                <w:sz w:val="20"/>
                <w:szCs w:val="20"/>
              </w:rPr>
            </w:pPr>
          </w:p>
        </w:tc>
        <w:tc>
          <w:tcPr>
            <w:tcW w:w="8066" w:type="dxa"/>
            <w:gridSpan w:val="5"/>
            <w:vAlign w:val="center"/>
            <w:hideMark/>
          </w:tcPr>
          <w:p w14:paraId="5A8F237B" w14:textId="77777777" w:rsidR="00482569" w:rsidRPr="00121962" w:rsidRDefault="00482569" w:rsidP="00E93D5A">
            <w:pPr>
              <w:rPr>
                <w:rFonts w:ascii="Arial Narrow" w:hAnsi="Arial Narrow"/>
                <w:sz w:val="20"/>
                <w:szCs w:val="20"/>
              </w:rPr>
            </w:pPr>
            <w:r w:rsidRPr="00121962">
              <w:rPr>
                <w:rFonts w:ascii="Arial Narrow" w:hAnsi="Arial Narrow"/>
                <w:strike/>
                <w:sz w:val="20"/>
                <w:szCs w:val="20"/>
              </w:rPr>
              <w:t>Patient must receive dapagliflozin in combination with an angiotensin converting enzyme inhibitor OR an angiotensin II receptor blocker unless medically contraindicated,</w:t>
            </w:r>
            <w:r w:rsidRPr="00121962">
              <w:rPr>
                <w:rFonts w:ascii="Arial Narrow" w:hAnsi="Arial Narrow"/>
                <w:sz w:val="20"/>
                <w:szCs w:val="20"/>
              </w:rPr>
              <w:t xml:space="preserve"> </w:t>
            </w:r>
          </w:p>
          <w:p w14:paraId="4050FAE1" w14:textId="77777777" w:rsidR="00482569" w:rsidRPr="00121962" w:rsidRDefault="00482569" w:rsidP="00E93D5A">
            <w:pPr>
              <w:rPr>
                <w:rFonts w:ascii="Arial Narrow" w:hAnsi="Arial Narrow"/>
                <w:i/>
                <w:strike/>
                <w:sz w:val="20"/>
                <w:szCs w:val="20"/>
              </w:rPr>
            </w:pPr>
            <w:r w:rsidRPr="00121962">
              <w:rPr>
                <w:rFonts w:ascii="Arial Narrow" w:hAnsi="Arial Narrow"/>
                <w:i/>
                <w:sz w:val="20"/>
                <w:szCs w:val="20"/>
              </w:rPr>
              <w:t>Patient must receive treatment in combination with the maximum tolerated dose of an ACE inhibitor; or</w:t>
            </w:r>
          </w:p>
        </w:tc>
      </w:tr>
      <w:tr w:rsidR="00482569" w:rsidRPr="00121962" w14:paraId="62128C16"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2FFF75DD" w14:textId="77777777" w:rsidR="00482569" w:rsidRPr="00121962" w:rsidDel="00527D13" w:rsidRDefault="00482569" w:rsidP="00E93D5A">
            <w:pPr>
              <w:jc w:val="center"/>
              <w:rPr>
                <w:rFonts w:ascii="Arial Narrow" w:hAnsi="Arial Narrow"/>
                <w:strike/>
                <w:sz w:val="20"/>
                <w:szCs w:val="20"/>
              </w:rPr>
            </w:pPr>
          </w:p>
        </w:tc>
        <w:tc>
          <w:tcPr>
            <w:tcW w:w="8066" w:type="dxa"/>
            <w:gridSpan w:val="5"/>
            <w:vAlign w:val="center"/>
          </w:tcPr>
          <w:p w14:paraId="76597CB8" w14:textId="77777777" w:rsidR="00482569" w:rsidRPr="00121962" w:rsidRDefault="00482569" w:rsidP="00E93D5A">
            <w:pPr>
              <w:rPr>
                <w:rFonts w:ascii="Arial Narrow" w:hAnsi="Arial Narrow"/>
                <w:strike/>
                <w:sz w:val="20"/>
                <w:szCs w:val="20"/>
              </w:rPr>
            </w:pPr>
            <w:r w:rsidRPr="00121962">
              <w:rPr>
                <w:rFonts w:ascii="Arial Narrow" w:hAnsi="Arial Narrow"/>
                <w:i/>
                <w:sz w:val="20"/>
                <w:szCs w:val="20"/>
              </w:rPr>
              <w:t>Patient must receive treatment in combination with the maximum tolerated dose of an angiotensin II antagonist</w:t>
            </w:r>
          </w:p>
        </w:tc>
      </w:tr>
      <w:tr w:rsidR="00482569" w:rsidRPr="00121962" w14:paraId="0DD14778"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7C9521E6"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004262B4"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0824BEC8"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30AF834A"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584C74AC"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789FBA37"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04B7BF66" w14:textId="77777777" w:rsidR="00482569" w:rsidRPr="00121962" w:rsidRDefault="00482569" w:rsidP="00E93D5A">
            <w:pPr>
              <w:jc w:val="center"/>
              <w:rPr>
                <w:rFonts w:ascii="Arial Narrow" w:hAnsi="Arial Narrow"/>
                <w:strike/>
                <w:sz w:val="20"/>
                <w:szCs w:val="20"/>
              </w:rPr>
            </w:pPr>
          </w:p>
        </w:tc>
        <w:tc>
          <w:tcPr>
            <w:tcW w:w="8066" w:type="dxa"/>
            <w:gridSpan w:val="5"/>
            <w:vAlign w:val="center"/>
            <w:hideMark/>
          </w:tcPr>
          <w:p w14:paraId="18365D23"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Patient must not be receiving treatment with another sodium</w:t>
            </w:r>
            <w:r w:rsidRPr="00121962">
              <w:rPr>
                <w:rFonts w:ascii="Arial Narrow" w:hAnsi="Arial Narrow"/>
                <w:sz w:val="20"/>
                <w:szCs w:val="20"/>
              </w:rPr>
              <w:noBreakHyphen/>
              <w:t>glucose co</w:t>
            </w:r>
            <w:r w:rsidRPr="00121962">
              <w:rPr>
                <w:rFonts w:ascii="Arial Narrow" w:hAnsi="Arial Narrow"/>
                <w:sz w:val="20"/>
                <w:szCs w:val="20"/>
              </w:rPr>
              <w:noBreakHyphen/>
              <w:t>transporter 2 (SGLT2) inhibitor.</w:t>
            </w:r>
          </w:p>
        </w:tc>
      </w:tr>
      <w:tr w:rsidR="00482569" w:rsidRPr="00121962" w14:paraId="0DC852CD" w14:textId="77777777" w:rsidTr="00980291">
        <w:tblPrEx>
          <w:tblCellMar>
            <w:top w:w="15" w:type="dxa"/>
            <w:left w:w="15" w:type="dxa"/>
            <w:bottom w:w="15" w:type="dxa"/>
            <w:right w:w="15" w:type="dxa"/>
          </w:tblCellMar>
          <w:tblLook w:val="04A0" w:firstRow="1" w:lastRow="0" w:firstColumn="1" w:lastColumn="0" w:noHBand="0" w:noVBand="1"/>
        </w:tblPrEx>
        <w:trPr>
          <w:trHeight w:val="20"/>
        </w:trPr>
        <w:tc>
          <w:tcPr>
            <w:tcW w:w="951" w:type="dxa"/>
            <w:vAlign w:val="center"/>
          </w:tcPr>
          <w:p w14:paraId="22B7BA28" w14:textId="77777777" w:rsidR="00482569" w:rsidRPr="00121962" w:rsidRDefault="00482569" w:rsidP="00E93D5A">
            <w:pPr>
              <w:jc w:val="center"/>
              <w:rPr>
                <w:rFonts w:ascii="Arial Narrow" w:hAnsi="Arial Narrow"/>
                <w:sz w:val="20"/>
                <w:szCs w:val="20"/>
              </w:rPr>
            </w:pPr>
          </w:p>
        </w:tc>
        <w:tc>
          <w:tcPr>
            <w:tcW w:w="8066" w:type="dxa"/>
            <w:gridSpan w:val="5"/>
            <w:vAlign w:val="center"/>
          </w:tcPr>
          <w:p w14:paraId="7D6D52D7" w14:textId="77777777" w:rsidR="00482569" w:rsidRPr="00121962" w:rsidRDefault="00482569" w:rsidP="00E93D5A">
            <w:pPr>
              <w:rPr>
                <w:rFonts w:ascii="Arial Narrow" w:hAnsi="Arial Narrow"/>
                <w:b/>
                <w:bCs/>
                <w:i/>
                <w:sz w:val="20"/>
                <w:szCs w:val="20"/>
              </w:rPr>
            </w:pPr>
            <w:r w:rsidRPr="00121962">
              <w:rPr>
                <w:rFonts w:ascii="Arial Narrow" w:hAnsi="Arial Narrow"/>
                <w:b/>
                <w:bCs/>
                <w:i/>
                <w:sz w:val="20"/>
                <w:szCs w:val="20"/>
              </w:rPr>
              <w:t>Prescribing Instructions:</w:t>
            </w:r>
          </w:p>
          <w:p w14:paraId="660FF8CA" w14:textId="77777777" w:rsidR="00482569" w:rsidRPr="00121962" w:rsidRDefault="00482569" w:rsidP="00E20667">
            <w:pPr>
              <w:rPr>
                <w:rFonts w:ascii="Arial Narrow" w:hAnsi="Arial Narrow"/>
                <w:i/>
                <w:sz w:val="20"/>
                <w:szCs w:val="20"/>
              </w:rPr>
            </w:pPr>
            <w:r w:rsidRPr="00121962">
              <w:rPr>
                <w:rFonts w:ascii="Arial Narrow" w:hAnsi="Arial Narrow"/>
                <w:i/>
                <w:sz w:val="20"/>
                <w:szCs w:val="20"/>
              </w:rPr>
              <w:t>Patient must be stabilised on either (i) an ACE inhibitor or (ii) an angiotensin II antagonist for a period of 4 weeks prior to initiation of combination therapy with this drug.</w:t>
            </w:r>
          </w:p>
        </w:tc>
      </w:tr>
      <w:tr w:rsidR="00482569" w:rsidRPr="00121962" w14:paraId="3D031E6B" w14:textId="77777777" w:rsidTr="00980291">
        <w:tblPrEx>
          <w:tblCellMar>
            <w:top w:w="15" w:type="dxa"/>
            <w:left w:w="15" w:type="dxa"/>
            <w:bottom w:w="15" w:type="dxa"/>
            <w:right w:w="15" w:type="dxa"/>
          </w:tblCellMar>
          <w:tblLook w:val="04A0" w:firstRow="1" w:lastRow="0" w:firstColumn="1" w:lastColumn="0" w:noHBand="0" w:noVBand="1"/>
        </w:tblPrEx>
        <w:tc>
          <w:tcPr>
            <w:tcW w:w="951" w:type="dxa"/>
            <w:vAlign w:val="center"/>
          </w:tcPr>
          <w:p w14:paraId="591D27C9" w14:textId="77777777" w:rsidR="00482569" w:rsidRPr="00121962" w:rsidRDefault="00482569" w:rsidP="00E93D5A">
            <w:pPr>
              <w:jc w:val="center"/>
              <w:rPr>
                <w:rFonts w:ascii="Arial Narrow" w:hAnsi="Arial Narrow"/>
                <w:sz w:val="20"/>
                <w:szCs w:val="20"/>
              </w:rPr>
            </w:pPr>
          </w:p>
        </w:tc>
        <w:tc>
          <w:tcPr>
            <w:tcW w:w="8066" w:type="dxa"/>
            <w:gridSpan w:val="5"/>
            <w:vAlign w:val="center"/>
            <w:hideMark/>
          </w:tcPr>
          <w:p w14:paraId="4E8C3564"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Administrative Advice:</w:t>
            </w:r>
          </w:p>
          <w:p w14:paraId="73E92254" w14:textId="77777777" w:rsidR="00482569" w:rsidRPr="00121962" w:rsidRDefault="00482569" w:rsidP="00E93D5A">
            <w:pPr>
              <w:rPr>
                <w:rFonts w:ascii="Arial Narrow" w:hAnsi="Arial Narrow"/>
                <w:sz w:val="20"/>
                <w:szCs w:val="20"/>
              </w:rPr>
            </w:pPr>
            <w:r w:rsidRPr="00121962">
              <w:rPr>
                <w:rFonts w:ascii="Arial Narrow" w:hAnsi="Arial Narrow"/>
                <w:bCs/>
                <w:sz w:val="20"/>
                <w:szCs w:val="20"/>
              </w:rPr>
              <w:t>Continuing Therapy Only:</w:t>
            </w:r>
          </w:p>
          <w:p w14:paraId="51D6EB06"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BB2D586" w14:textId="77777777" w:rsidR="00421D6F" w:rsidRPr="00121962" w:rsidRDefault="00E33709" w:rsidP="004147B2">
      <w:pPr>
        <w:pStyle w:val="ExecSumBodyText"/>
        <w:spacing w:before="240"/>
      </w:pPr>
      <w:r w:rsidRPr="00121962">
        <w:t xml:space="preserve">The requested dispensed price for dapagliflozin for CKD </w:t>
      </w:r>
      <w:r w:rsidR="00D26748">
        <w:t>was</w:t>
      </w:r>
      <w:r w:rsidR="00D26748" w:rsidRPr="00121962">
        <w:t xml:space="preserve"> </w:t>
      </w:r>
      <w:r w:rsidRPr="00121962">
        <w:t>$</w:t>
      </w:r>
      <w:r w:rsidR="002F0C5E">
        <w:rPr>
          <w:noProof/>
          <w:color w:val="000000"/>
          <w:highlight w:val="black"/>
        </w:rPr>
        <w:t>''''''''''''''</w:t>
      </w:r>
      <w:r w:rsidRPr="00121962">
        <w:t xml:space="preserve"> (DPMQ per pack of 28 tablets). </w:t>
      </w:r>
    </w:p>
    <w:p w14:paraId="56B649AC" w14:textId="77777777" w:rsidR="004147B2" w:rsidRPr="00121962" w:rsidRDefault="00421D6F" w:rsidP="004147B2">
      <w:pPr>
        <w:pStyle w:val="ExecSumBodyText"/>
        <w:numPr>
          <w:ilvl w:val="1"/>
          <w:numId w:val="1"/>
        </w:numPr>
      </w:pPr>
      <w:r w:rsidRPr="00121962">
        <w:t xml:space="preserve">Consistent with the requirements of the </w:t>
      </w:r>
      <w:r w:rsidRPr="00121962">
        <w:rPr>
          <w:i/>
        </w:rPr>
        <w:t>National Health Act 1953</w:t>
      </w:r>
      <w:r w:rsidRPr="00121962">
        <w:t xml:space="preserve"> to have a single published list price per pharmaceutical item, t</w:t>
      </w:r>
      <w:r w:rsidR="00E33709" w:rsidRPr="00121962">
        <w:t xml:space="preserve">he sponsor requested a revised published price for dapagliflozin </w:t>
      </w:r>
      <w:r w:rsidR="004D1A34" w:rsidRPr="00121962">
        <w:t xml:space="preserve">to reflect </w:t>
      </w:r>
      <w:r w:rsidR="00E33709" w:rsidRPr="00121962">
        <w:t xml:space="preserve">proportional use across </w:t>
      </w:r>
      <w:r w:rsidR="004D1A34" w:rsidRPr="00121962">
        <w:t>T2DM</w:t>
      </w:r>
      <w:r w:rsidR="006C2F23" w:rsidRPr="00121962">
        <w:t xml:space="preserve"> ($5</w:t>
      </w:r>
      <w:r w:rsidR="00A40B0C" w:rsidRPr="00121962">
        <w:t>6</w:t>
      </w:r>
      <w:r w:rsidR="006C2F23" w:rsidRPr="00121962">
        <w:t>.85)</w:t>
      </w:r>
      <w:r w:rsidR="00E33709" w:rsidRPr="00121962">
        <w:t>, CKD</w:t>
      </w:r>
      <w:r w:rsidR="006C2F23" w:rsidRPr="00121962">
        <w:t xml:space="preserve"> ($</w:t>
      </w:r>
      <w:r w:rsidR="002F0C5E">
        <w:rPr>
          <w:noProof/>
          <w:color w:val="000000"/>
          <w:highlight w:val="black"/>
        </w:rPr>
        <w:t>'''''''''''''</w:t>
      </w:r>
      <w:r w:rsidR="006C2F23" w:rsidRPr="00121962">
        <w:t>)</w:t>
      </w:r>
      <w:r w:rsidR="00E33709" w:rsidRPr="00121962">
        <w:t xml:space="preserve"> and HFrEF</w:t>
      </w:r>
      <w:r w:rsidR="006C2F23" w:rsidRPr="00121962">
        <w:t xml:space="preserve"> ($</w:t>
      </w:r>
      <w:r w:rsidR="002F0C5E">
        <w:rPr>
          <w:noProof/>
          <w:color w:val="000000"/>
          <w:highlight w:val="black"/>
        </w:rPr>
        <w:t>''''''''''''''</w:t>
      </w:r>
      <w:r w:rsidR="006C2F23" w:rsidRPr="00121962">
        <w:t>) indications</w:t>
      </w:r>
      <w:r w:rsidR="00E33709" w:rsidRPr="00121962">
        <w:t>.</w:t>
      </w:r>
      <w:r w:rsidR="006C2F23" w:rsidRPr="00121962">
        <w:t xml:space="preserve"> A proposed weighted price was </w:t>
      </w:r>
      <w:r w:rsidR="008B63B6" w:rsidRPr="00121962">
        <w:t>not provided in the submission</w:t>
      </w:r>
      <w:r w:rsidR="004D1A34" w:rsidRPr="00121962">
        <w:t>,</w:t>
      </w:r>
      <w:r w:rsidR="008B63B6" w:rsidRPr="00121962">
        <w:t xml:space="preserve"> </w:t>
      </w:r>
      <w:r w:rsidR="004D1A34" w:rsidRPr="00121962">
        <w:t>but was included in the Pre-Sub-Committee Response (PSCR)</w:t>
      </w:r>
      <w:r w:rsidR="004147B2" w:rsidRPr="00121962">
        <w:t xml:space="preserve"> ($</w:t>
      </w:r>
      <w:r w:rsidR="002F0C5E">
        <w:rPr>
          <w:noProof/>
          <w:color w:val="000000"/>
          <w:highlight w:val="black"/>
        </w:rPr>
        <w:t>''''''''''</w:t>
      </w:r>
      <w:r w:rsidR="004147B2" w:rsidRPr="00121962">
        <w:t xml:space="preserve"> for CKD</w:t>
      </w:r>
      <w:r w:rsidR="00DF4C38">
        <w:t xml:space="preserve"> and T2DM</w:t>
      </w:r>
      <w:r w:rsidR="004147B2" w:rsidRPr="00121962">
        <w:t>, $</w:t>
      </w:r>
      <w:r w:rsidR="002F0C5E">
        <w:rPr>
          <w:noProof/>
          <w:color w:val="000000"/>
          <w:highlight w:val="black"/>
        </w:rPr>
        <w:t>''''''''''''</w:t>
      </w:r>
      <w:r w:rsidR="004147B2" w:rsidRPr="00121962">
        <w:t xml:space="preserve"> for CKD</w:t>
      </w:r>
      <w:r w:rsidR="00DF4C38">
        <w:t xml:space="preserve"> and T2DM and HF</w:t>
      </w:r>
      <w:r w:rsidR="00741AE0">
        <w:t>rEF</w:t>
      </w:r>
      <w:r w:rsidR="004147B2" w:rsidRPr="00121962">
        <w:t>)</w:t>
      </w:r>
      <w:r w:rsidR="004D1A34" w:rsidRPr="00121962">
        <w:t>.</w:t>
      </w:r>
      <w:r w:rsidR="00DF4C38" w:rsidRPr="00DF4C38">
        <w:t xml:space="preserve"> </w:t>
      </w:r>
      <w:r w:rsidR="004147B2" w:rsidRPr="00121962">
        <w:t>The ESC had been concerned that the weightings were highly uncertain and that patients currently using PBS-subsidised dapagliflozin for T2DM were already experiencing the associated benefits in heart failure and kidney function at the T2DM DPMQ. The pre-PBAC response offered a revised DPMQ of $</w:t>
      </w:r>
      <w:r w:rsidR="002F0C5E">
        <w:rPr>
          <w:noProof/>
          <w:color w:val="000000"/>
          <w:highlight w:val="black"/>
        </w:rPr>
        <w:t>''''''''''</w:t>
      </w:r>
      <w:r w:rsidR="004147B2" w:rsidRPr="00121962">
        <w:t xml:space="preserve">, to align with the </w:t>
      </w:r>
      <w:r w:rsidR="002F0C5E">
        <w:rPr>
          <w:noProof/>
          <w:color w:val="000000"/>
          <w:highlight w:val="black"/>
        </w:rPr>
        <w:t>'''''''''''</w:t>
      </w:r>
      <w:r w:rsidR="004147B2" w:rsidRPr="00121962">
        <w:t xml:space="preserve"> price. At the time of the PBAC meeting, the </w:t>
      </w:r>
      <w:r w:rsidR="002F0C5E">
        <w:rPr>
          <w:noProof/>
          <w:color w:val="000000"/>
          <w:highlight w:val="black"/>
        </w:rPr>
        <w:t>''''''''''''</w:t>
      </w:r>
      <w:r w:rsidR="004147B2" w:rsidRPr="00121962">
        <w:t xml:space="preserve"> price was $</w:t>
      </w:r>
      <w:r w:rsidR="002F0C5E">
        <w:rPr>
          <w:noProof/>
          <w:color w:val="000000"/>
          <w:highlight w:val="black"/>
        </w:rPr>
        <w:t>''''''''''''</w:t>
      </w:r>
      <w:r w:rsidR="004147B2" w:rsidRPr="00121962">
        <w:t>.</w:t>
      </w:r>
    </w:p>
    <w:p w14:paraId="2A353D14" w14:textId="77777777" w:rsidR="00591957" w:rsidRPr="00121962" w:rsidRDefault="00F96BD7" w:rsidP="00146A00">
      <w:pPr>
        <w:pStyle w:val="ExecSumBodyText"/>
        <w:rPr>
          <w:color w:val="0066FF"/>
        </w:rPr>
      </w:pPr>
      <w:r w:rsidRPr="00121962">
        <w:t xml:space="preserve">The requested restriction </w:t>
      </w:r>
      <w:r w:rsidR="006C2F23" w:rsidRPr="00121962">
        <w:t>was</w:t>
      </w:r>
      <w:r w:rsidRPr="00121962">
        <w:t xml:space="preserve"> narrower than the proposed TGA indication </w:t>
      </w:r>
      <w:r w:rsidR="006C2F23" w:rsidRPr="00121962">
        <w:t xml:space="preserve">in that it </w:t>
      </w:r>
      <w:r w:rsidRPr="00121962">
        <w:t>limit</w:t>
      </w:r>
      <w:r w:rsidR="009319CB" w:rsidRPr="00121962">
        <w:t>ed</w:t>
      </w:r>
      <w:r w:rsidRPr="00121962">
        <w:t xml:space="preserve"> initial eligibility to patients meeting </w:t>
      </w:r>
      <w:r w:rsidR="006C2F23" w:rsidRPr="00121962">
        <w:t xml:space="preserve">specific </w:t>
      </w:r>
      <w:r w:rsidRPr="00121962">
        <w:t>clinical criteria (i.e. eGFR ≥25 and ≤75 mL/min/1.73m</w:t>
      </w:r>
      <w:r w:rsidRPr="00121962">
        <w:rPr>
          <w:vertAlign w:val="superscript"/>
        </w:rPr>
        <w:t>2</w:t>
      </w:r>
      <w:r w:rsidRPr="00121962">
        <w:rPr>
          <w:vertAlign w:val="subscript"/>
        </w:rPr>
        <w:t xml:space="preserve">, </w:t>
      </w:r>
      <w:r w:rsidRPr="00121962">
        <w:t>UACR ≥200 and ≤5000 mg/g), who are treated with a maximum tolerated dose of an ACEI or ARB, unless medically contraindicated.</w:t>
      </w:r>
      <w:r w:rsidR="00597881" w:rsidRPr="00121962">
        <w:t xml:space="preserve"> The requested restriction </w:t>
      </w:r>
      <w:r w:rsidR="009319CB" w:rsidRPr="00121962">
        <w:t xml:space="preserve">did </w:t>
      </w:r>
      <w:r w:rsidR="00597881" w:rsidRPr="00121962">
        <w:t>not differentiate UACR criteria by sex, and may include different severity of disease between males and females.</w:t>
      </w:r>
      <w:r w:rsidR="00B062E9" w:rsidRPr="00121962">
        <w:t xml:space="preserve"> The ESC advised that </w:t>
      </w:r>
      <w:bookmarkStart w:id="7" w:name="_Hlk79320434"/>
      <w:r w:rsidR="00B062E9" w:rsidRPr="00121962">
        <w:t xml:space="preserve">UACR should be expressed both in mg/g and mg/mmol as both are </w:t>
      </w:r>
      <w:r w:rsidR="0095474F" w:rsidRPr="00121962">
        <w:t>reported</w:t>
      </w:r>
      <w:r w:rsidR="00B062E9" w:rsidRPr="00121962">
        <w:t xml:space="preserve"> in pathology laboratories in Australia.</w:t>
      </w:r>
      <w:r w:rsidR="00B062E9" w:rsidRPr="00121962">
        <w:rPr>
          <w:i/>
          <w:iCs/>
        </w:rPr>
        <w:t xml:space="preserve"> </w:t>
      </w:r>
      <w:bookmarkEnd w:id="7"/>
    </w:p>
    <w:p w14:paraId="5774E9D4" w14:textId="77777777" w:rsidR="00597881" w:rsidRPr="00121962" w:rsidRDefault="00F96BD7" w:rsidP="00F96BD7">
      <w:pPr>
        <w:pStyle w:val="ExecSumBodyText"/>
        <w:rPr>
          <w:color w:val="0066FF"/>
        </w:rPr>
      </w:pPr>
      <w:r w:rsidRPr="00121962">
        <w:t>While the restriction</w:t>
      </w:r>
      <w:r w:rsidR="006C2F23" w:rsidRPr="00121962">
        <w:t xml:space="preserve"> was</w:t>
      </w:r>
      <w:r w:rsidR="00146A00" w:rsidRPr="00121962">
        <w:t xml:space="preserve"> </w:t>
      </w:r>
      <w:r w:rsidRPr="00121962">
        <w:t>consistent with the inclusion criteria of the key clinical trial and the clinical definition of CKD in terms of decline in eGFR, UACR and continuing treatment with an ACEI or ARB as a key component of SOC</w:t>
      </w:r>
      <w:r w:rsidR="00292517" w:rsidRPr="00121962">
        <w:t xml:space="preserve"> (KHA 2020)</w:t>
      </w:r>
      <w:r w:rsidRPr="00121962">
        <w:t>, the clinical criteria omit</w:t>
      </w:r>
      <w:r w:rsidR="006C2F23" w:rsidRPr="00121962">
        <w:t>ted</w:t>
      </w:r>
      <w:r w:rsidRPr="00121962">
        <w:t xml:space="preserve"> the requirement for patients to exhibit symptoms of kidney disease for </w:t>
      </w:r>
      <w:r w:rsidRPr="00121962">
        <w:rPr>
          <w:rFonts w:cs="Calibri"/>
        </w:rPr>
        <w:t>≥</w:t>
      </w:r>
      <w:r w:rsidRPr="00121962">
        <w:t xml:space="preserve"> 3 months. </w:t>
      </w:r>
    </w:p>
    <w:p w14:paraId="3B3B4162" w14:textId="77777777" w:rsidR="00F96BD7" w:rsidRPr="00121962" w:rsidRDefault="00F96BD7" w:rsidP="00597881">
      <w:pPr>
        <w:pStyle w:val="ExecSumBodyText"/>
        <w:rPr>
          <w:color w:val="0066FF"/>
        </w:rPr>
      </w:pPr>
      <w:r w:rsidRPr="00121962">
        <w:t xml:space="preserve">The restriction </w:t>
      </w:r>
      <w:r w:rsidR="006C2F23" w:rsidRPr="00121962">
        <w:t xml:space="preserve">did </w:t>
      </w:r>
      <w:r w:rsidRPr="00121962">
        <w:t>not exclude patients with reversible acute kidney injury</w:t>
      </w:r>
      <w:r w:rsidR="00597881" w:rsidRPr="00121962">
        <w:t>,</w:t>
      </w:r>
      <w:r w:rsidRPr="00121962">
        <w:t xml:space="preserve"> CKD with transient reductions in kidney function</w:t>
      </w:r>
      <w:r w:rsidR="00597881" w:rsidRPr="00121962">
        <w:t xml:space="preserve">, or specific causes of CKD excluded from the key clinical trial; i.e. polycystic kidney disease, autoimmune kidney disease such as systemic lupus erythematosus, and anti-neutrophil cytoplasmic antibody </w:t>
      </w:r>
      <w:r w:rsidR="00913123" w:rsidRPr="00121962">
        <w:t xml:space="preserve">(ANCA) </w:t>
      </w:r>
      <w:r w:rsidR="00597881" w:rsidRPr="00121962">
        <w:t>related vasculitis (there is no evidence to support the use of dapagliflozin in these patients).</w:t>
      </w:r>
      <w:r w:rsidR="00B062E9" w:rsidRPr="00121962">
        <w:t xml:space="preserve"> The ESC advised that the restriction should specifically state that the patient must have sustained evidence of CKD for </w:t>
      </w:r>
      <w:r w:rsidR="00C63BD0" w:rsidRPr="00121962">
        <w:t>three</w:t>
      </w:r>
      <w:r w:rsidR="00B062E9" w:rsidRPr="00121962">
        <w:t xml:space="preserve"> months</w:t>
      </w:r>
      <w:r w:rsidR="00346003" w:rsidRPr="00121962">
        <w:t xml:space="preserve"> at the time of initiation of dapagliflozin</w:t>
      </w:r>
      <w:r w:rsidR="00B062E9" w:rsidRPr="00121962">
        <w:t>, with exclusion of reversible causes and exclusion of autosomal polycystic kidney disease, T1DM and kidney disease secondary to vasculitic aetiology.</w:t>
      </w:r>
      <w:r w:rsidR="00913123" w:rsidRPr="00121962">
        <w:t xml:space="preserve"> The PBAC noted that patients with a history of organ transplantation were </w:t>
      </w:r>
      <w:r w:rsidR="00346003" w:rsidRPr="00121962">
        <w:t>also excluded from the key trial.</w:t>
      </w:r>
    </w:p>
    <w:p w14:paraId="6B481E7F" w14:textId="77777777" w:rsidR="000B23B1" w:rsidRPr="00121962" w:rsidRDefault="00F96BD7" w:rsidP="000B23B1">
      <w:pPr>
        <w:pStyle w:val="ExecSumBodyText"/>
      </w:pPr>
      <w:r w:rsidRPr="00121962">
        <w:t xml:space="preserve">The requested restriction </w:t>
      </w:r>
      <w:r w:rsidR="006C2F23" w:rsidRPr="00121962">
        <w:t xml:space="preserve">did </w:t>
      </w:r>
      <w:r w:rsidRPr="00121962">
        <w:t xml:space="preserve">not include stopping criteria, </w:t>
      </w:r>
      <w:r w:rsidR="008B63B6" w:rsidRPr="00121962">
        <w:t xml:space="preserve">so </w:t>
      </w:r>
      <w:r w:rsidRPr="00121962">
        <w:t xml:space="preserve">patients may continue treatment with PBS subsidised dapagliflozin for CKD after onset of </w:t>
      </w:r>
      <w:r w:rsidR="00FA576F" w:rsidRPr="00121962">
        <w:t>end-stage kidney disease (</w:t>
      </w:r>
      <w:r w:rsidRPr="00121962">
        <w:t>ESKD</w:t>
      </w:r>
      <w:r w:rsidR="00FA576F" w:rsidRPr="00121962">
        <w:t>)</w:t>
      </w:r>
      <w:r w:rsidRPr="00121962">
        <w:t xml:space="preserve"> or initiation of dialysis.</w:t>
      </w:r>
      <w:r w:rsidR="008B63B6" w:rsidRPr="00121962">
        <w:t xml:space="preserve"> </w:t>
      </w:r>
      <w:r w:rsidR="000A6C99" w:rsidRPr="00121962">
        <w:t>The Secretariat had proposed a criterion of “Patient must not progress to end-stage renal disease defined as an estimated glomerular filtration rate (eGFR) of less than 15 mL/min/1.73 m</w:t>
      </w:r>
      <w:r w:rsidR="000A6C99" w:rsidRPr="00121962">
        <w:rPr>
          <w:vertAlign w:val="superscript"/>
        </w:rPr>
        <w:t>2</w:t>
      </w:r>
      <w:r w:rsidR="000A6C99" w:rsidRPr="00121962">
        <w:t xml:space="preserve"> while on this drug.” </w:t>
      </w:r>
      <w:r w:rsidR="000B23B1" w:rsidRPr="00121962">
        <w:t xml:space="preserve">The ESC </w:t>
      </w:r>
      <w:r w:rsidR="00624B5A" w:rsidRPr="00121962">
        <w:t xml:space="preserve">advised </w:t>
      </w:r>
      <w:r w:rsidR="000B23B1" w:rsidRPr="00121962">
        <w:t xml:space="preserve">the PBAC </w:t>
      </w:r>
      <w:r w:rsidR="00624B5A" w:rsidRPr="00121962">
        <w:t>to</w:t>
      </w:r>
      <w:r w:rsidR="008B63B6" w:rsidRPr="00121962">
        <w:t xml:space="preserve"> consider whether a stopping rule (for eGFR &lt;25</w:t>
      </w:r>
      <w:r w:rsidR="000B23B1" w:rsidRPr="00121962">
        <w:t> </w:t>
      </w:r>
      <w:r w:rsidR="008B63B6" w:rsidRPr="00121962">
        <w:t>mL/min/1.73</w:t>
      </w:r>
      <w:r w:rsidR="000B23B1" w:rsidRPr="00121962">
        <w:t> </w:t>
      </w:r>
      <w:r w:rsidR="008B63B6" w:rsidRPr="00121962">
        <w:t>m</w:t>
      </w:r>
      <w:r w:rsidR="008B63B6" w:rsidRPr="00121962">
        <w:rPr>
          <w:vertAlign w:val="superscript"/>
        </w:rPr>
        <w:t>2</w:t>
      </w:r>
      <w:r w:rsidR="008B63B6" w:rsidRPr="00121962">
        <w:t xml:space="preserve"> or </w:t>
      </w:r>
      <w:r w:rsidR="00365C66" w:rsidRPr="00121962">
        <w:t>commencement on renal replacement therapy) should be included in the restriction.</w:t>
      </w:r>
      <w:r w:rsidR="00184D5F" w:rsidRPr="00121962">
        <w:t xml:space="preserve"> </w:t>
      </w:r>
      <w:r w:rsidR="00D43AC2" w:rsidRPr="00121962">
        <w:t>The</w:t>
      </w:r>
      <w:r w:rsidR="000B23B1" w:rsidRPr="00121962">
        <w:t xml:space="preserve"> pre-PBAC </w:t>
      </w:r>
      <w:r w:rsidR="00D43AC2" w:rsidRPr="00121962">
        <w:t xml:space="preserve">response (p1) </w:t>
      </w:r>
      <w:r w:rsidR="000B23B1" w:rsidRPr="00121962">
        <w:t>noted that</w:t>
      </w:r>
      <w:r w:rsidR="00D43AC2" w:rsidRPr="00121962">
        <w:t xml:space="preserve"> patients with eGFR &lt;25 mL/min/1.73 m</w:t>
      </w:r>
      <w:r w:rsidR="00D43AC2" w:rsidRPr="00121962">
        <w:rPr>
          <w:vertAlign w:val="superscript"/>
        </w:rPr>
        <w:t>2</w:t>
      </w:r>
      <w:r w:rsidR="00D43AC2" w:rsidRPr="00121962">
        <w:t xml:space="preserve"> were ineligible to initiate therapy in the trial. However, it explained that </w:t>
      </w:r>
      <w:r w:rsidR="000B23B1" w:rsidRPr="00121962">
        <w:t xml:space="preserve">stopping therapy </w:t>
      </w:r>
      <w:r w:rsidR="00D43AC2" w:rsidRPr="00121962">
        <w:t>was</w:t>
      </w:r>
      <w:r w:rsidR="000B23B1" w:rsidRPr="00121962">
        <w:t xml:space="preserve"> left to clinician judgement and </w:t>
      </w:r>
      <w:r w:rsidR="00D43AC2" w:rsidRPr="00121962">
        <w:t>around 30% of patients received treatment,</w:t>
      </w:r>
      <w:r w:rsidR="000B23B1" w:rsidRPr="00121962">
        <w:t xml:space="preserve"> and continued to receive benefits</w:t>
      </w:r>
      <w:r w:rsidR="00D43AC2" w:rsidRPr="00121962">
        <w:t>, when their</w:t>
      </w:r>
      <w:r w:rsidR="000B23B1" w:rsidRPr="00121962">
        <w:t xml:space="preserve"> eGFR</w:t>
      </w:r>
      <w:r w:rsidR="00D43AC2" w:rsidRPr="00121962">
        <w:t xml:space="preserve"> was less than 25 mL/min/1.73 m</w:t>
      </w:r>
      <w:r w:rsidR="00D43AC2" w:rsidRPr="00121962">
        <w:rPr>
          <w:vertAlign w:val="superscript"/>
        </w:rPr>
        <w:t>2</w:t>
      </w:r>
      <w:r w:rsidR="00D43AC2" w:rsidRPr="00121962">
        <w:t>.</w:t>
      </w:r>
      <w:r w:rsidR="00FA2CFB" w:rsidRPr="00121962">
        <w:t xml:space="preserve"> The pre-PBAC response also noted that 2% (n=43) of patients remained on therapy during dialysis and 0.1% (n=2) remained on treatment following kidney transplant.</w:t>
      </w:r>
      <w:r w:rsidR="00595F71" w:rsidRPr="00121962">
        <w:t xml:space="preserve"> The pre-PBAC response argued that the PBS restriction should align with the trial criteria (i.e. treatment should be stopped according to clinician judgement), however it acknowledged the limited evidence for patients on renal replacement therapy.</w:t>
      </w:r>
    </w:p>
    <w:p w14:paraId="48C6DC6E" w14:textId="77777777" w:rsidR="00467C2E" w:rsidRPr="00121962" w:rsidRDefault="00467C2E" w:rsidP="00467C2E">
      <w:pPr>
        <w:pStyle w:val="ExecSumBodyText"/>
        <w:numPr>
          <w:ilvl w:val="1"/>
          <w:numId w:val="1"/>
        </w:numPr>
      </w:pPr>
      <w:r w:rsidRPr="00121962">
        <w:t xml:space="preserve">The PBAC </w:t>
      </w:r>
      <w:r w:rsidR="000A6C99" w:rsidRPr="00121962">
        <w:t>was also asked to</w:t>
      </w:r>
      <w:r w:rsidRPr="00121962">
        <w:t xml:space="preserve"> consider whether ACEI/ARB-intolerant or contraindicated patients should still be eligible for dapagliflozin</w:t>
      </w:r>
      <w:r w:rsidR="00166E8B" w:rsidRPr="00121962">
        <w:t xml:space="preserve"> (as proposed in the submission)</w:t>
      </w:r>
      <w:r w:rsidRPr="00121962">
        <w:t>, noting that the proportion of patients in the clinical trial who were not receiving an ACEI/ARB was very low.</w:t>
      </w:r>
      <w:r w:rsidR="000A6C99" w:rsidRPr="00121962">
        <w:t xml:space="preserve"> The Secretariat </w:t>
      </w:r>
      <w:r w:rsidR="001658B9" w:rsidRPr="00121962">
        <w:t xml:space="preserve">had suggested </w:t>
      </w:r>
      <w:r w:rsidR="000A6C99" w:rsidRPr="00121962">
        <w:t>remov</w:t>
      </w:r>
      <w:r w:rsidR="001658B9" w:rsidRPr="00121962">
        <w:t>ing</w:t>
      </w:r>
      <w:r w:rsidR="000A6C99" w:rsidRPr="00121962">
        <w:t xml:space="preserve"> elements of the proposed criteria that permitted </w:t>
      </w:r>
      <w:r w:rsidR="00166E8B" w:rsidRPr="00121962">
        <w:t>use of dapagliflozin</w:t>
      </w:r>
      <w:r w:rsidR="000A6C99" w:rsidRPr="00121962">
        <w:t xml:space="preserve"> where </w:t>
      </w:r>
      <w:r w:rsidR="00166E8B" w:rsidRPr="00121962">
        <w:t>ACEI/ARB</w:t>
      </w:r>
      <w:r w:rsidR="001658B9" w:rsidRPr="00121962">
        <w:t xml:space="preserve"> use</w:t>
      </w:r>
      <w:r w:rsidR="00166E8B" w:rsidRPr="00121962">
        <w:t xml:space="preserve"> was “medically </w:t>
      </w:r>
      <w:r w:rsidR="000A6C99" w:rsidRPr="00121962">
        <w:t>contraindicated</w:t>
      </w:r>
      <w:r w:rsidR="00166E8B" w:rsidRPr="00121962">
        <w:t>”</w:t>
      </w:r>
      <w:r w:rsidR="000A6C99" w:rsidRPr="00121962">
        <w:t>.</w:t>
      </w:r>
    </w:p>
    <w:p w14:paraId="10035030" w14:textId="77777777" w:rsidR="00597881" w:rsidRPr="00121962" w:rsidRDefault="00597881" w:rsidP="00DB0DB8">
      <w:pPr>
        <w:pStyle w:val="ExecSumBodyText"/>
      </w:pPr>
      <w:r w:rsidRPr="00121962">
        <w:t xml:space="preserve">The </w:t>
      </w:r>
      <w:r w:rsidR="00D3089D" w:rsidRPr="00121962">
        <w:t>submission</w:t>
      </w:r>
      <w:r w:rsidRPr="00121962">
        <w:t xml:space="preserve"> acknowledged that the requested restriction include</w:t>
      </w:r>
      <w:r w:rsidR="009319CB" w:rsidRPr="00121962">
        <w:t>d</w:t>
      </w:r>
      <w:r w:rsidRPr="00121962">
        <w:t xml:space="preserve"> the use of dapagliflozin in patients with an eGFR &lt;45 mL/min/1.73 m</w:t>
      </w:r>
      <w:r w:rsidRPr="00121962">
        <w:rPr>
          <w:vertAlign w:val="superscript"/>
        </w:rPr>
        <w:t>2</w:t>
      </w:r>
      <w:r w:rsidR="00365C66" w:rsidRPr="00121962">
        <w:t xml:space="preserve">. </w:t>
      </w:r>
      <w:r w:rsidR="00195A05" w:rsidRPr="00121962">
        <w:t xml:space="preserve">The </w:t>
      </w:r>
      <w:r w:rsidR="00166E8B" w:rsidRPr="00121962">
        <w:t xml:space="preserve">approved </w:t>
      </w:r>
      <w:r w:rsidR="00195A05" w:rsidRPr="00121962">
        <w:t>dapagliflozin Product Information</w:t>
      </w:r>
      <w:r w:rsidR="001924F5" w:rsidRPr="00121962">
        <w:t xml:space="preserve"> (PI)</w:t>
      </w:r>
      <w:r w:rsidR="00195A05" w:rsidRPr="00121962">
        <w:t xml:space="preserve"> </w:t>
      </w:r>
      <w:r w:rsidR="00166E8B" w:rsidRPr="00121962">
        <w:t xml:space="preserve">at the time of the PBAC meeting </w:t>
      </w:r>
      <w:r w:rsidR="00195A05" w:rsidRPr="00121962">
        <w:t>(p2) state</w:t>
      </w:r>
      <w:r w:rsidR="00166E8B" w:rsidRPr="00121962">
        <w:t>d</w:t>
      </w:r>
      <w:r w:rsidR="00195A05" w:rsidRPr="00121962">
        <w:t xml:space="preserve"> that, “FORXIGA should not be used to improve glycaemic control in the treatment of diabetes in patients for whom the estimated glomerular filtration rate (eGFR) is persistently below 45 mL/min/1.73 m</w:t>
      </w:r>
      <w:r w:rsidR="00195A05" w:rsidRPr="00121962">
        <w:rPr>
          <w:vertAlign w:val="superscript"/>
        </w:rPr>
        <w:t>2</w:t>
      </w:r>
      <w:r w:rsidR="00195A05" w:rsidRPr="00121962">
        <w:t xml:space="preserve">.” </w:t>
      </w:r>
      <w:r w:rsidR="00CA2865" w:rsidRPr="00121962">
        <w:t xml:space="preserve">An amendment to the </w:t>
      </w:r>
      <w:r w:rsidR="001924F5" w:rsidRPr="00121962">
        <w:t xml:space="preserve">PI </w:t>
      </w:r>
      <w:r w:rsidR="00CA2865" w:rsidRPr="00121962">
        <w:t xml:space="preserve"> warning </w:t>
      </w:r>
      <w:r w:rsidR="001658B9" w:rsidRPr="00121962">
        <w:t xml:space="preserve">was </w:t>
      </w:r>
      <w:r w:rsidR="00CA2865" w:rsidRPr="00121962">
        <w:t>requested</w:t>
      </w:r>
      <w:r w:rsidR="009319CB" w:rsidRPr="00121962">
        <w:t xml:space="preserve"> as part of the regulatory approval for dapagliflozin for CKD</w:t>
      </w:r>
      <w:r w:rsidR="00CA2865" w:rsidRPr="00121962">
        <w:t>, based on evidence from the DAPA-CKD trial, stating that the glucose lowering effect of dapagliflozin may be reduced in patients with an eGFR of &lt;</w:t>
      </w:r>
      <w:r w:rsidR="00D3089D" w:rsidRPr="00121962">
        <w:t>45</w:t>
      </w:r>
      <w:r w:rsidR="009319CB" w:rsidRPr="00121962">
        <w:t> </w:t>
      </w:r>
      <w:r w:rsidR="00D3089D" w:rsidRPr="00121962">
        <w:t>mL/min/1.73</w:t>
      </w:r>
      <w:r w:rsidR="009319CB" w:rsidRPr="00121962">
        <w:t> </w:t>
      </w:r>
      <w:r w:rsidR="00D3089D" w:rsidRPr="00121962">
        <w:t>m</w:t>
      </w:r>
      <w:r w:rsidR="00D3089D" w:rsidRPr="00121962">
        <w:rPr>
          <w:vertAlign w:val="superscript"/>
        </w:rPr>
        <w:t>2</w:t>
      </w:r>
      <w:r w:rsidR="00D3089D" w:rsidRPr="00121962">
        <w:t>.</w:t>
      </w:r>
      <w:r w:rsidR="009319CB" w:rsidRPr="00121962">
        <w:t xml:space="preserve"> The </w:t>
      </w:r>
      <w:r w:rsidR="001658B9" w:rsidRPr="00121962">
        <w:t>sponsor proposed</w:t>
      </w:r>
      <w:r w:rsidR="00166E8B" w:rsidRPr="00121962">
        <w:t xml:space="preserve"> to </w:t>
      </w:r>
      <w:r w:rsidR="009319CB" w:rsidRPr="00121962">
        <w:t>remove the requirement for additional monitoring of renal function prior to or after initiation of dapagliflozin in patients</w:t>
      </w:r>
      <w:r w:rsidR="007F0A7E" w:rsidRPr="00121962">
        <w:t xml:space="preserve"> </w:t>
      </w:r>
      <w:r w:rsidR="00801592" w:rsidRPr="00121962">
        <w:t xml:space="preserve">with diabetes mellitus </w:t>
      </w:r>
      <w:r w:rsidR="007F0A7E" w:rsidRPr="00121962">
        <w:t>with impaired kidney function</w:t>
      </w:r>
      <w:r w:rsidR="00166E8B" w:rsidRPr="00121962">
        <w:t xml:space="preserve">, but </w:t>
      </w:r>
      <w:r w:rsidR="001658B9" w:rsidRPr="00121962">
        <w:t>to include a</w:t>
      </w:r>
      <w:r w:rsidR="00166E8B" w:rsidRPr="00121962">
        <w:t xml:space="preserve"> recommendation </w:t>
      </w:r>
      <w:r w:rsidR="00DB0DB8" w:rsidRPr="00121962">
        <w:t>that if eGFR falls below 45 mL/min/1.73 m</w:t>
      </w:r>
      <w:r w:rsidR="00DB0DB8" w:rsidRPr="00121962">
        <w:rPr>
          <w:vertAlign w:val="superscript"/>
        </w:rPr>
        <w:t>2</w:t>
      </w:r>
      <w:r w:rsidR="00DB0DB8" w:rsidRPr="00121962">
        <w:t>, additional glucose lowering treatment should be considered in patients with diabetes mellitus</w:t>
      </w:r>
      <w:r w:rsidR="009319CB" w:rsidRPr="00121962">
        <w:t xml:space="preserve">. </w:t>
      </w:r>
    </w:p>
    <w:p w14:paraId="6A280E50" w14:textId="77777777" w:rsidR="00166E8B" w:rsidRPr="00121962" w:rsidRDefault="00166E8B" w:rsidP="00DB0DB8">
      <w:pPr>
        <w:pStyle w:val="ExecSumBodyText"/>
      </w:pPr>
      <w:r w:rsidRPr="00121962">
        <w:t>The TGA delegate commented that under the PI “Special warnings and precautions for use”:</w:t>
      </w:r>
    </w:p>
    <w:p w14:paraId="1DB9FAD7" w14:textId="77777777" w:rsidR="00166E8B" w:rsidRPr="00121962" w:rsidRDefault="00166E8B" w:rsidP="0020634E">
      <w:pPr>
        <w:pStyle w:val="ExecSumBodyText"/>
        <w:numPr>
          <w:ilvl w:val="0"/>
          <w:numId w:val="6"/>
        </w:numPr>
        <w:spacing w:after="0"/>
        <w:ind w:left="1134" w:hanging="215"/>
        <w:contextualSpacing/>
      </w:pPr>
      <w:r w:rsidRPr="00121962">
        <w:t>Renal function monitoring recommendation guidance should be reinstated.</w:t>
      </w:r>
    </w:p>
    <w:p w14:paraId="02D8D38A" w14:textId="77777777" w:rsidR="00166E8B" w:rsidRPr="00121962" w:rsidRDefault="00166E8B" w:rsidP="0020634E">
      <w:pPr>
        <w:pStyle w:val="ExecSumBodyText"/>
        <w:numPr>
          <w:ilvl w:val="0"/>
          <w:numId w:val="6"/>
        </w:numPr>
        <w:spacing w:after="0"/>
        <w:ind w:left="1134" w:hanging="215"/>
        <w:contextualSpacing/>
      </w:pPr>
      <w:r w:rsidRPr="00121962">
        <w:t>The following warnings should be included:</w:t>
      </w:r>
    </w:p>
    <w:p w14:paraId="533808E8" w14:textId="77777777" w:rsidR="00166E8B" w:rsidRPr="00121962" w:rsidRDefault="00166E8B" w:rsidP="0020634E">
      <w:pPr>
        <w:pStyle w:val="ExecSumBodyText"/>
        <w:numPr>
          <w:ilvl w:val="1"/>
          <w:numId w:val="6"/>
        </w:numPr>
        <w:spacing w:after="0"/>
        <w:contextualSpacing/>
      </w:pPr>
      <w:r w:rsidRPr="00121962">
        <w:t>“FORXIGA is not recommended for use to improve glyc</w:t>
      </w:r>
      <w:r w:rsidR="00695F87">
        <w:t>ae</w:t>
      </w:r>
      <w:r w:rsidRPr="00121962">
        <w:t>mic control in adults with type 2 diabetes mellitus with an eGFR less than 45 mL/min/1.73 m</w:t>
      </w:r>
      <w:r w:rsidRPr="00121962">
        <w:rPr>
          <w:vertAlign w:val="superscript"/>
        </w:rPr>
        <w:t>2</w:t>
      </w:r>
      <w:r w:rsidRPr="00121962">
        <w:t>. FORXIGA is likely to be ineffective in this setting based upon its mechanism of action.”</w:t>
      </w:r>
    </w:p>
    <w:p w14:paraId="27BA99D5" w14:textId="77777777" w:rsidR="00166E8B" w:rsidRPr="00121962" w:rsidRDefault="00166E8B" w:rsidP="0020634E">
      <w:pPr>
        <w:pStyle w:val="ExecSumBodyText"/>
        <w:numPr>
          <w:ilvl w:val="1"/>
          <w:numId w:val="6"/>
        </w:numPr>
        <w:spacing w:after="0"/>
        <w:contextualSpacing/>
      </w:pPr>
      <w:r w:rsidRPr="00121962">
        <w:t xml:space="preserve">“FORXIGA is not recommended for the treatment of chronic kidney disease in patients with </w:t>
      </w:r>
      <w:bookmarkStart w:id="8" w:name="_Hlk79320908"/>
      <w:r w:rsidRPr="00121962">
        <w:t>polycystic kidney disease, lupus nephritis or ANCA-associated vasculitis or patients requiring or with a recent history of immunosuppressive therapy for kidney disease</w:t>
      </w:r>
      <w:bookmarkEnd w:id="8"/>
      <w:r w:rsidRPr="00121962">
        <w:t>. FORXIGA is not expected to be effective in these populations.”</w:t>
      </w:r>
    </w:p>
    <w:p w14:paraId="3CAC39ED" w14:textId="77777777" w:rsidR="00166E8B" w:rsidRPr="00121962" w:rsidRDefault="00166E8B" w:rsidP="00166E8B">
      <w:pPr>
        <w:pStyle w:val="ExecSumBodyText"/>
        <w:numPr>
          <w:ilvl w:val="0"/>
          <w:numId w:val="0"/>
        </w:numPr>
        <w:spacing w:after="0"/>
        <w:ind w:left="1134"/>
        <w:contextualSpacing/>
      </w:pPr>
    </w:p>
    <w:p w14:paraId="3636FFC2" w14:textId="77777777" w:rsidR="002A4FD2" w:rsidRPr="00121962" w:rsidRDefault="002A4FD2" w:rsidP="002A4FD2">
      <w:pPr>
        <w:ind w:firstLine="709"/>
        <w:rPr>
          <w:rFonts w:asciiTheme="minorHAnsi" w:hAnsiTheme="minorHAnsi"/>
          <w:i/>
        </w:rPr>
      </w:pPr>
      <w:r w:rsidRPr="00121962">
        <w:rPr>
          <w:rFonts w:asciiTheme="minorHAnsi" w:hAnsiTheme="minorHAnsi"/>
          <w:i/>
        </w:rPr>
        <w:t>For more detail on PBAC’s view, see section 7 PBAC outcome.</w:t>
      </w:r>
    </w:p>
    <w:p w14:paraId="76FE73F7" w14:textId="77777777" w:rsidR="00B50DB8" w:rsidRPr="00121962" w:rsidRDefault="00203181" w:rsidP="004E18E9">
      <w:pPr>
        <w:pStyle w:val="2-SectionHeading"/>
      </w:pPr>
      <w:bookmarkStart w:id="9" w:name="_Toc72322328"/>
      <w:r w:rsidRPr="00121962">
        <w:t xml:space="preserve">Population and </w:t>
      </w:r>
      <w:r w:rsidR="008E0D3C" w:rsidRPr="00121962">
        <w:t>d</w:t>
      </w:r>
      <w:r w:rsidRPr="00121962">
        <w:t>isease</w:t>
      </w:r>
      <w:bookmarkEnd w:id="9"/>
    </w:p>
    <w:p w14:paraId="1AB3B74E" w14:textId="77777777" w:rsidR="00CA2865" w:rsidRPr="00121962" w:rsidRDefault="00CA2865" w:rsidP="00CA2865">
      <w:pPr>
        <w:pStyle w:val="ExecSumBodyText"/>
      </w:pPr>
      <w:r w:rsidRPr="00121962">
        <w:t>CKD is characterised by the gradual loss of kidney function over time as a natural consequence of ageing, irreversible causes (e.g. diabetic nephropathy, polycystic kidney disease, auto immune disease, recurrent kidney/urinary infection and scarring) and related disease and risk factors (e.g. diabetes, hypertension, cardiovascular disease, obesity, prior acute kidney injury, family history of kidney disease, smoking, age &gt; 60 years</w:t>
      </w:r>
      <w:r w:rsidR="004F7D3A" w:rsidRPr="00121962">
        <w:t>) (</w:t>
      </w:r>
      <w:r w:rsidRPr="00121962">
        <w:t xml:space="preserve">Kidney Health Australia </w:t>
      </w:r>
      <w:r w:rsidR="00FA576F" w:rsidRPr="00121962">
        <w:t xml:space="preserve">(KHA) </w:t>
      </w:r>
      <w:r w:rsidRPr="00121962">
        <w:t xml:space="preserve">2020). </w:t>
      </w:r>
      <w:r w:rsidR="0018306E" w:rsidRPr="00121962">
        <w:t>Mild and moderate CKD is frequently asymptomatic, and diagnosis missed or delayed until the onset of severe kidney disease.</w:t>
      </w:r>
    </w:p>
    <w:p w14:paraId="7B8BE673" w14:textId="77777777" w:rsidR="00CA2865" w:rsidRPr="00121962" w:rsidRDefault="00CA2865" w:rsidP="00CA2865">
      <w:pPr>
        <w:pStyle w:val="ExecSumBodyText"/>
      </w:pPr>
      <w:r w:rsidRPr="00121962">
        <w:t>CKD is defined as having one or both of the following criteria, irrespective of underlying cause (</w:t>
      </w:r>
      <w:r w:rsidR="00FA576F" w:rsidRPr="00121962">
        <w:t xml:space="preserve">KHA </w:t>
      </w:r>
      <w:r w:rsidRPr="00121962">
        <w:t xml:space="preserve">2020): </w:t>
      </w:r>
    </w:p>
    <w:p w14:paraId="4114D60B" w14:textId="77777777" w:rsidR="00CA2865" w:rsidRPr="00121962" w:rsidRDefault="00CA2865" w:rsidP="0020634E">
      <w:pPr>
        <w:pStyle w:val="ExecSumBodyText"/>
        <w:numPr>
          <w:ilvl w:val="1"/>
          <w:numId w:val="7"/>
        </w:numPr>
        <w:ind w:left="993" w:hanging="295"/>
      </w:pPr>
      <w:r w:rsidRPr="00121962">
        <w:t>an eGFR of &lt;60 mL/min/1.73 m</w:t>
      </w:r>
      <w:r w:rsidRPr="00121962">
        <w:rPr>
          <w:vertAlign w:val="superscript"/>
        </w:rPr>
        <w:t>2</w:t>
      </w:r>
      <w:r w:rsidRPr="00121962">
        <w:t xml:space="preserve"> that is present for </w:t>
      </w:r>
      <w:r w:rsidR="00C63BD0" w:rsidRPr="00121962">
        <w:t>three</w:t>
      </w:r>
      <w:r w:rsidRPr="00121962">
        <w:t xml:space="preserve"> months or more with or without evidence of kidney damage; or </w:t>
      </w:r>
    </w:p>
    <w:p w14:paraId="57643F08" w14:textId="77777777" w:rsidR="00CA2865" w:rsidRPr="00121962" w:rsidRDefault="00CA2865" w:rsidP="0020634E">
      <w:pPr>
        <w:pStyle w:val="ExecSumBodyText"/>
        <w:numPr>
          <w:ilvl w:val="1"/>
          <w:numId w:val="7"/>
        </w:numPr>
        <w:ind w:left="993" w:hanging="295"/>
      </w:pPr>
      <w:r w:rsidRPr="00121962">
        <w:t xml:space="preserve">evidence of kidney damage with or without a decrease in eGFR, present for </w:t>
      </w:r>
      <w:r w:rsidR="00C63BD0" w:rsidRPr="00121962">
        <w:t>three</w:t>
      </w:r>
      <w:r w:rsidR="00EF531B" w:rsidRPr="00121962">
        <w:t> </w:t>
      </w:r>
      <w:r w:rsidRPr="00121962">
        <w:t>months or more; i.e. albuminuria, haematuria, structural abnormalities, pathological abnormalities.</w:t>
      </w:r>
    </w:p>
    <w:p w14:paraId="3BD30A58" w14:textId="77777777" w:rsidR="00CA2865" w:rsidRPr="00121962" w:rsidRDefault="00CA2865" w:rsidP="00CA2865">
      <w:pPr>
        <w:pStyle w:val="ExecSumBodyText"/>
      </w:pPr>
      <w:r w:rsidRPr="00121962">
        <w:t xml:space="preserve">Progression of CKD is described in terms of declining glomerular filtration rate (CKD stage </w:t>
      </w:r>
      <w:r w:rsidR="000C3105" w:rsidRPr="00121962">
        <w:t>1-5</w:t>
      </w:r>
      <w:r w:rsidRPr="00121962">
        <w:t>) and abnormal albuminuria/proteinuria</w:t>
      </w:r>
      <w:r w:rsidR="007F0A7E" w:rsidRPr="00121962">
        <w:t>, and may be asymptomatic up to severe disease (CKD stage 4) or ESKD.</w:t>
      </w:r>
    </w:p>
    <w:p w14:paraId="2A40B626" w14:textId="77777777" w:rsidR="00CA2865" w:rsidRPr="00121962" w:rsidRDefault="000C3105" w:rsidP="00CA2865">
      <w:pPr>
        <w:pStyle w:val="ExecSumBodyText"/>
      </w:pPr>
      <w:r w:rsidRPr="00121962">
        <w:t>A</w:t>
      </w:r>
      <w:r w:rsidR="00CA2865" w:rsidRPr="00121962">
        <w:t xml:space="preserve">pproximately one in three Australian adults </w:t>
      </w:r>
      <w:r w:rsidRPr="00121962">
        <w:t xml:space="preserve">are </w:t>
      </w:r>
      <w:r w:rsidR="00CA2865" w:rsidRPr="00121962">
        <w:t xml:space="preserve">at risk of developing CKD, one in ten have early signs of disease and up to 1.7 million may be living with undiagnosed CKD (Australian Bureau of Statistics (ABS) 2011–12 Australian Health Survey). The prevalence of CKD </w:t>
      </w:r>
      <w:r w:rsidRPr="00121962">
        <w:t xml:space="preserve">has remained stable over time, </w:t>
      </w:r>
      <w:r w:rsidR="00CA2865" w:rsidRPr="00121962">
        <w:t>is similar between females and males</w:t>
      </w:r>
      <w:r w:rsidRPr="00121962">
        <w:t>,</w:t>
      </w:r>
      <w:r w:rsidR="00CA2865" w:rsidRPr="00121962">
        <w:t xml:space="preserve"> </w:t>
      </w:r>
      <w:r w:rsidRPr="00121962">
        <w:t>with</w:t>
      </w:r>
      <w:r w:rsidR="00CA2865" w:rsidRPr="00121962">
        <w:t xml:space="preserve"> </w:t>
      </w:r>
      <w:r w:rsidRPr="00121962">
        <w:t xml:space="preserve">the </w:t>
      </w:r>
      <w:r w:rsidR="00CA2865" w:rsidRPr="00121962">
        <w:t xml:space="preserve">incidence, prevalence </w:t>
      </w:r>
      <w:r w:rsidRPr="00121962">
        <w:t>and severity of disease increasing</w:t>
      </w:r>
      <w:r w:rsidR="00CA2865" w:rsidRPr="00121962">
        <w:t xml:space="preserve"> with age, </w:t>
      </w:r>
      <w:r w:rsidRPr="00121962">
        <w:t xml:space="preserve">and </w:t>
      </w:r>
      <w:r w:rsidR="00CA2865" w:rsidRPr="00121962">
        <w:t>progressing rapidly from 75 years.</w:t>
      </w:r>
    </w:p>
    <w:p w14:paraId="0F98A407" w14:textId="77777777" w:rsidR="00CA2865" w:rsidRPr="00121962" w:rsidRDefault="000C3105" w:rsidP="000C3105">
      <w:pPr>
        <w:pStyle w:val="ExecSumBodyText"/>
      </w:pPr>
      <w:r w:rsidRPr="00121962">
        <w:t>CKD may progress to ESKD (CKD 5: eGFR &lt; 15 mL/min/1.73 m</w:t>
      </w:r>
      <w:r w:rsidRPr="00121962">
        <w:rPr>
          <w:vertAlign w:val="superscript"/>
        </w:rPr>
        <w:t>2</w:t>
      </w:r>
      <w:r w:rsidRPr="00121962">
        <w:t>, renal disease requiring dialysis) or renal death. The most common causes of CKD resulting in ESKD in Australia are diabetes (38%), hypertension (13%), glomerulonephritis (13%) and polycystic kidney disease (6.6%). T</w:t>
      </w:r>
      <w:r w:rsidR="00CA2865" w:rsidRPr="00121962">
        <w:t>he age</w:t>
      </w:r>
      <w:r w:rsidR="004F7D3A" w:rsidRPr="00121962">
        <w:t>-</w:t>
      </w:r>
      <w:r w:rsidR="00CA2865" w:rsidRPr="00121962">
        <w:t>standardised incidence of treated ESKD increased from 6 per 100,000 in 1989 to 11 per 100,000 in 2018. This increase was greater for males (15 per 100,000), than for females (8 per 100,000).</w:t>
      </w:r>
      <w:r w:rsidRPr="00121962">
        <w:t xml:space="preserve"> </w:t>
      </w:r>
      <w:r w:rsidR="00CA2865" w:rsidRPr="00121962">
        <w:t xml:space="preserve">Indigenous Australians are 2 times more likely to experience CKD compared to non-Indigenous Australians, 9 times more likely to progress to treated ESKD and 11 times more likely to be treated with dialysis. </w:t>
      </w:r>
    </w:p>
    <w:p w14:paraId="6DD95A4F" w14:textId="77777777" w:rsidR="00CA2865" w:rsidRPr="00121962" w:rsidRDefault="00CA2865" w:rsidP="00CA2865">
      <w:pPr>
        <w:pStyle w:val="ExecSumBodyText"/>
      </w:pPr>
      <w:r w:rsidRPr="00121962">
        <w:t xml:space="preserve">The population targeted in the submission </w:t>
      </w:r>
      <w:r w:rsidR="000C3105" w:rsidRPr="00121962">
        <w:t>(</w:t>
      </w:r>
      <w:r w:rsidRPr="00121962">
        <w:t>adult patients with CKD, eGFR ≥25 and ≤75</w:t>
      </w:r>
      <w:r w:rsidR="00FA576F" w:rsidRPr="00121962">
        <w:t> </w:t>
      </w:r>
      <w:r w:rsidRPr="00121962">
        <w:t>mL/min/1.73 m</w:t>
      </w:r>
      <w:r w:rsidRPr="00121962">
        <w:rPr>
          <w:vertAlign w:val="superscript"/>
        </w:rPr>
        <w:t>2</w:t>
      </w:r>
      <w:r w:rsidRPr="00121962">
        <w:t xml:space="preserve"> and UACR ≥200 and ≤5000 mg/g, receiving stabilised treatment with a maximum tolerated dose of an ACEI or ARB, unless contraindicated</w:t>
      </w:r>
      <w:r w:rsidR="000C3105" w:rsidRPr="00121962">
        <w:t xml:space="preserve">), </w:t>
      </w:r>
      <w:r w:rsidR="00DD0D92" w:rsidRPr="00121962">
        <w:t>was</w:t>
      </w:r>
      <w:r w:rsidR="000C3105" w:rsidRPr="00121962">
        <w:t xml:space="preserve"> broad in terms of decline in kidney function, and consistent with the goals of early detection and disease management of CKD in the clinical guidelines (KHA 2020; KDIGO 2020).</w:t>
      </w:r>
    </w:p>
    <w:p w14:paraId="466A8AA0" w14:textId="77777777" w:rsidR="00686A1B" w:rsidRPr="00121962" w:rsidRDefault="00686A1B" w:rsidP="00BD5575">
      <w:pPr>
        <w:pStyle w:val="ExecSumBodyText"/>
      </w:pPr>
      <w:r w:rsidRPr="00121962">
        <w:t>Dapagliflozin is a selective sodium-glucose co transporter 2 (SGLT2) inhibitor. While the pharmacological action of dapagliflozin in CKD has not been established, the submission suggested that inhibition of SGLT2 may activate tubuloglomerular feedback and lower intraglomerular pressure, preserving renal function and delaying kidney disease progression. The submission suggested that this mechanism of action is independent of the glucose lowering action of dapagliflozin in T2DM and the impact of ACEI or ARB therapies on intraglomerular pressure.</w:t>
      </w:r>
    </w:p>
    <w:p w14:paraId="0054F4C5" w14:textId="77777777" w:rsidR="00894489" w:rsidRPr="00121962" w:rsidRDefault="00B87B21" w:rsidP="00CA2865">
      <w:pPr>
        <w:pStyle w:val="ExecSumBodyText"/>
        <w:rPr>
          <w:color w:val="0066FF"/>
        </w:rPr>
      </w:pPr>
      <w:r w:rsidRPr="00121962">
        <w:t>The clinical management algorithm position</w:t>
      </w:r>
      <w:r w:rsidR="00FA576F" w:rsidRPr="00121962">
        <w:t>ed</w:t>
      </w:r>
      <w:r w:rsidRPr="00121962">
        <w:t xml:space="preserve"> dapagliflozin as a pharmacological addition to </w:t>
      </w:r>
      <w:r w:rsidR="00E54187" w:rsidRPr="00121962">
        <w:t>standard of care</w:t>
      </w:r>
      <w:r w:rsidRPr="00121962">
        <w:t xml:space="preserve"> (SOC) in CKD, administered concurrently with an ACEI or ARB (unless contraindicated).</w:t>
      </w:r>
    </w:p>
    <w:p w14:paraId="563ED878"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4403688F" w14:textId="77777777" w:rsidR="00B50DB8" w:rsidRPr="00121962" w:rsidRDefault="00B50DB8" w:rsidP="004E18E9">
      <w:pPr>
        <w:pStyle w:val="2-SectionHeading"/>
      </w:pPr>
      <w:bookmarkStart w:id="10" w:name="_Toc72322329"/>
      <w:r w:rsidRPr="00121962">
        <w:t>Comparator</w:t>
      </w:r>
      <w:bookmarkEnd w:id="10"/>
    </w:p>
    <w:p w14:paraId="51CF0C91" w14:textId="77777777" w:rsidR="00B87B21" w:rsidRPr="00121962" w:rsidRDefault="00B87B21" w:rsidP="00B87B21">
      <w:pPr>
        <w:pStyle w:val="ExecSumBodyText"/>
        <w:rPr>
          <w:iCs/>
          <w:snapToGrid/>
        </w:rPr>
      </w:pPr>
      <w:r w:rsidRPr="00121962">
        <w:rPr>
          <w:iCs/>
          <w:snapToGrid/>
        </w:rPr>
        <w:t xml:space="preserve">The submission nominated SOC as the main comparator. The submission noted that there are no other medications for the treatment of CKD listed on the PBS, and that ACEIs and ARBs (unless contraindicated) are the only pharmacological interventions commonly recommended for the treatment CKD in clinical guidelines. </w:t>
      </w:r>
    </w:p>
    <w:p w14:paraId="0F21EF9E" w14:textId="77777777" w:rsidR="00B87B21" w:rsidRPr="00121962" w:rsidRDefault="00E54187" w:rsidP="00B87B21">
      <w:pPr>
        <w:pStyle w:val="ExecSumBodyText"/>
        <w:rPr>
          <w:iCs/>
          <w:snapToGrid/>
        </w:rPr>
      </w:pPr>
      <w:r w:rsidRPr="00121962">
        <w:rPr>
          <w:iCs/>
          <w:snapToGrid/>
        </w:rPr>
        <w:t>The submission</w:t>
      </w:r>
      <w:r w:rsidR="00B87B21" w:rsidRPr="00121962">
        <w:rPr>
          <w:iCs/>
          <w:snapToGrid/>
        </w:rPr>
        <w:t xml:space="preserve"> acknowledged that CKD frequently co</w:t>
      </w:r>
      <w:r w:rsidR="00B87B21" w:rsidRPr="00121962">
        <w:rPr>
          <w:iCs/>
          <w:snapToGrid/>
        </w:rPr>
        <w:noBreakHyphen/>
        <w:t>exists with other health conditions such as diabetes and heart failure, and individual patients may also receive other medications related to co</w:t>
      </w:r>
      <w:r w:rsidR="00B87B21" w:rsidRPr="00121962">
        <w:rPr>
          <w:iCs/>
          <w:snapToGrid/>
        </w:rPr>
        <w:noBreakHyphen/>
        <w:t>morbidities, or treatments to prevent or manage complications of CKD such as anaemia and renal bone disease.</w:t>
      </w:r>
    </w:p>
    <w:p w14:paraId="23F24B2E" w14:textId="77777777" w:rsidR="00B87B21" w:rsidRPr="00121962" w:rsidRDefault="00B87B21" w:rsidP="00B87B21">
      <w:pPr>
        <w:pStyle w:val="ExecSumBodyText"/>
        <w:rPr>
          <w:iCs/>
          <w:snapToGrid/>
        </w:rPr>
      </w:pPr>
      <w:r w:rsidRPr="00121962">
        <w:rPr>
          <w:iCs/>
          <w:snapToGrid/>
        </w:rPr>
        <w:t xml:space="preserve">During the evaluation it was noted that EMPA-KIDNEY study, a randomised double-blind placebo-controlled trial of empagliflozin versus placebo (N≈6,000) in the treatment of CKD with or without diabetes is underway, with an expected completion date of October 2022. Given the completion date and lack of study details or interim results, empagliflozin was not considered further in the </w:t>
      </w:r>
      <w:r w:rsidR="00C4135F" w:rsidRPr="00121962">
        <w:rPr>
          <w:iCs/>
          <w:snapToGrid/>
        </w:rPr>
        <w:t>C</w:t>
      </w:r>
      <w:r w:rsidRPr="00121962">
        <w:rPr>
          <w:iCs/>
          <w:snapToGrid/>
        </w:rPr>
        <w:t>ommentary.</w:t>
      </w:r>
    </w:p>
    <w:p w14:paraId="213AE1D4"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6AF64BBE" w14:textId="77777777" w:rsidR="00223D5A" w:rsidRPr="00121962" w:rsidRDefault="00223D5A" w:rsidP="00223D5A">
      <w:pPr>
        <w:pStyle w:val="2-SectionHeading"/>
        <w:numPr>
          <w:ilvl w:val="0"/>
          <w:numId w:val="1"/>
        </w:numPr>
      </w:pPr>
      <w:bookmarkStart w:id="11" w:name="_Toc72322330"/>
      <w:bookmarkStart w:id="12" w:name="_Toc22897640"/>
      <w:r w:rsidRPr="00121962">
        <w:t>Consideration of the evidence</w:t>
      </w:r>
      <w:bookmarkEnd w:id="11"/>
    </w:p>
    <w:p w14:paraId="05C4AE0A" w14:textId="77777777" w:rsidR="0082789E" w:rsidRPr="00121962" w:rsidRDefault="0082789E" w:rsidP="0082789E">
      <w:pPr>
        <w:pStyle w:val="3-SubsectionHeading"/>
      </w:pPr>
      <w:bookmarkStart w:id="13" w:name="_Toc72322331"/>
      <w:r w:rsidRPr="00121962">
        <w:t>Sponsor hearing</w:t>
      </w:r>
    </w:p>
    <w:p w14:paraId="65556C67" w14:textId="77777777" w:rsidR="0082789E" w:rsidRPr="00121962" w:rsidRDefault="0082789E" w:rsidP="0082789E">
      <w:pPr>
        <w:widowControl w:val="0"/>
        <w:numPr>
          <w:ilvl w:val="1"/>
          <w:numId w:val="1"/>
        </w:numPr>
        <w:spacing w:after="120"/>
        <w:rPr>
          <w:rFonts w:asciiTheme="minorHAnsi" w:hAnsiTheme="minorHAnsi"/>
          <w:bCs/>
          <w:snapToGrid w:val="0"/>
        </w:rPr>
      </w:pPr>
      <w:r w:rsidRPr="00121962">
        <w:rPr>
          <w:rFonts w:asciiTheme="minorHAnsi" w:hAnsiTheme="minorHAnsi"/>
          <w:bCs/>
          <w:snapToGrid w:val="0"/>
        </w:rPr>
        <w:t xml:space="preserve">The sponsor requested a hearing for this item. The clinician discussed the high clinical need for new therapeutic </w:t>
      </w:r>
      <w:r w:rsidR="001924F5" w:rsidRPr="00121962">
        <w:rPr>
          <w:rFonts w:asciiTheme="minorHAnsi" w:hAnsiTheme="minorHAnsi"/>
          <w:bCs/>
          <w:snapToGrid w:val="0"/>
        </w:rPr>
        <w:t>options</w:t>
      </w:r>
      <w:r w:rsidRPr="00121962">
        <w:rPr>
          <w:rFonts w:asciiTheme="minorHAnsi" w:hAnsiTheme="minorHAnsi"/>
          <w:bCs/>
          <w:snapToGrid w:val="0"/>
        </w:rPr>
        <w:t xml:space="preserve"> in the treatment of CKD, and </w:t>
      </w:r>
      <w:r w:rsidR="001924F5" w:rsidRPr="00121962">
        <w:rPr>
          <w:rFonts w:asciiTheme="minorHAnsi" w:hAnsiTheme="minorHAnsi"/>
          <w:bCs/>
          <w:snapToGrid w:val="0"/>
        </w:rPr>
        <w:t>claimed</w:t>
      </w:r>
      <w:r w:rsidRPr="00121962">
        <w:rPr>
          <w:rFonts w:asciiTheme="minorHAnsi" w:hAnsiTheme="minorHAnsi"/>
          <w:bCs/>
          <w:snapToGrid w:val="0"/>
        </w:rPr>
        <w:t xml:space="preserve"> that the DAPA-CKD trial population and outcomes would be applicable to the Australian setting. The clinician also discussed the circumstances under which dapagliflozin for CKD might be used. In particular, they emphasised that patients whose eGFR progressed below </w:t>
      </w:r>
      <w:r w:rsidRPr="00121962">
        <w:t>25</w:t>
      </w:r>
      <w:r w:rsidR="001924F5" w:rsidRPr="00121962">
        <w:t> </w:t>
      </w:r>
      <w:r w:rsidRPr="00121962">
        <w:t>mL</w:t>
      </w:r>
      <w:r w:rsidRPr="00121962">
        <w:rPr>
          <w:rFonts w:asciiTheme="minorHAnsi" w:hAnsiTheme="minorHAnsi"/>
          <w:bCs/>
          <w:snapToGrid w:val="0"/>
        </w:rPr>
        <w:t>/min/1.73 m</w:t>
      </w:r>
      <w:r w:rsidRPr="00121962">
        <w:rPr>
          <w:rFonts w:asciiTheme="minorHAnsi" w:hAnsiTheme="minorHAnsi"/>
          <w:bCs/>
          <w:snapToGrid w:val="0"/>
          <w:vertAlign w:val="superscript"/>
        </w:rPr>
        <w:t>2</w:t>
      </w:r>
      <w:r w:rsidRPr="00121962">
        <w:rPr>
          <w:rFonts w:asciiTheme="minorHAnsi" w:hAnsiTheme="minorHAnsi"/>
          <w:bCs/>
          <w:snapToGrid w:val="0"/>
        </w:rPr>
        <w:t xml:space="preserve"> while on treatment would continue to receive benefits as they had done in the trial. However, the clinician acknowledged there was little evidence to support continued treatment after commencement of renal replacement therapy, and suggested that these patients should cease treatment. The clinician also emphasised that patients who are ACI/ARB-contraindicated would benefit from access to dapagliflozin, noting that the mechanism of benefit of SGLT2 inhibition is not dependent on the background blockade of the renin-angiotensin system, and that the clinical need for effective therapies like dapagliflozin is in fact higher in this patient group as they are unable to be treated with existing standard of care. In addition, the clinician highlighted that the DAPA-CKD outcomes were likely to be the same regardless of whether patients have CKD only, or also have HFrEF and/or T2DM.  </w:t>
      </w:r>
    </w:p>
    <w:p w14:paraId="192CA328" w14:textId="77777777" w:rsidR="0082789E" w:rsidRPr="00121962" w:rsidRDefault="0082789E" w:rsidP="0082789E">
      <w:pPr>
        <w:pStyle w:val="3-SubsectionHeading"/>
      </w:pPr>
      <w:r w:rsidRPr="00121962">
        <w:t>Consumer comments</w:t>
      </w:r>
    </w:p>
    <w:p w14:paraId="607BF30C" w14:textId="77777777" w:rsidR="0082789E" w:rsidRPr="00121962" w:rsidRDefault="0082789E" w:rsidP="0082789E">
      <w:pPr>
        <w:pStyle w:val="ExecSumBodyText"/>
        <w:rPr>
          <w:bCs/>
        </w:rPr>
      </w:pPr>
      <w:r w:rsidRPr="00121962">
        <w:t xml:space="preserve">The PBAC noted and welcomed the input from individuals (9), health care professionals (18) and organisations (4) via the Consumer Comments facility on the PBS website. </w:t>
      </w:r>
      <w:r w:rsidRPr="00121962">
        <w:rPr>
          <w:bCs/>
        </w:rPr>
        <w:t xml:space="preserve">Comments were received from the Centre for Community-Driven Research, Diabetes Australia, Kidney Health </w:t>
      </w:r>
      <w:r w:rsidR="00F85D02" w:rsidRPr="00121962">
        <w:rPr>
          <w:bCs/>
        </w:rPr>
        <w:t>Australia,</w:t>
      </w:r>
      <w:r w:rsidRPr="00121962">
        <w:rPr>
          <w:bCs/>
        </w:rPr>
        <w:t xml:space="preserve"> and the National Aboriginal Community Controlled Health Organisation. The comments discussed a range of benefits of treatment with dapagliflozin for CKD including improvements in quality of life, a reduction in (co)morbidity and mortality, and delaying the need for renal replacement therapy. The comments described dapagliflozin as well tolerated, with a known safety profile from its long-term use in T2DM.</w:t>
      </w:r>
      <w:r w:rsidRPr="00121962">
        <w:t xml:space="preserve"> </w:t>
      </w:r>
      <w:r w:rsidRPr="00121962">
        <w:rPr>
          <w:bCs/>
        </w:rPr>
        <w:t xml:space="preserve">The comments also described the clinical needs of specific populations including Aboriginal and Torres Strait Islander patients and those with T2DM. Dapagliflozin was described as a significant therapeutic advance in the treatment of CKD. </w:t>
      </w:r>
    </w:p>
    <w:p w14:paraId="0E27F212" w14:textId="77777777" w:rsidR="00B60939" w:rsidRPr="00121962" w:rsidRDefault="00B60939" w:rsidP="002E4F02">
      <w:pPr>
        <w:pStyle w:val="3-SubsectionHeading"/>
      </w:pPr>
      <w:r w:rsidRPr="00121962">
        <w:t>Clinical trial</w:t>
      </w:r>
      <w:bookmarkEnd w:id="12"/>
      <w:bookmarkEnd w:id="13"/>
    </w:p>
    <w:p w14:paraId="2D7E66CB" w14:textId="77777777" w:rsidR="007F1017" w:rsidRPr="00121962" w:rsidRDefault="00B615DF" w:rsidP="002E4F02">
      <w:pPr>
        <w:pStyle w:val="ExecSumBodyText"/>
        <w:rPr>
          <w:color w:val="0066FF"/>
        </w:rPr>
      </w:pPr>
      <w:r w:rsidRPr="00121962">
        <w:t xml:space="preserve">The submission was based on one head-to-head randomised controlled trial comparing dapagliflozin plus </w:t>
      </w:r>
      <w:r w:rsidR="00B046F9" w:rsidRPr="00121962">
        <w:t>SOC</w:t>
      </w:r>
      <w:r w:rsidRPr="00121962">
        <w:t xml:space="preserve"> to </w:t>
      </w:r>
      <w:r w:rsidR="00B046F9" w:rsidRPr="00121962">
        <w:t>SOC</w:t>
      </w:r>
      <w:r w:rsidRPr="00121962">
        <w:t xml:space="preserve"> alone (DAPA-CKD).</w:t>
      </w:r>
      <w:r w:rsidR="00BC591F" w:rsidRPr="00121962">
        <w:rPr>
          <w:color w:val="0066FF"/>
        </w:rPr>
        <w:t xml:space="preserve"> </w:t>
      </w:r>
    </w:p>
    <w:p w14:paraId="653A53CF" w14:textId="77777777" w:rsidR="00862502" w:rsidRPr="00121962" w:rsidRDefault="00A73134" w:rsidP="002E4F02">
      <w:pPr>
        <w:pStyle w:val="ExecSumBodyText"/>
      </w:pPr>
      <w:r w:rsidRPr="00121962">
        <w:rPr>
          <w:snapToGrid/>
        </w:rPr>
        <w:t xml:space="preserve">Details of the </w:t>
      </w:r>
      <w:r w:rsidR="00B615DF" w:rsidRPr="00121962">
        <w:rPr>
          <w:snapToGrid/>
        </w:rPr>
        <w:t xml:space="preserve">trial </w:t>
      </w:r>
      <w:r w:rsidRPr="00121962">
        <w:rPr>
          <w:snapToGrid/>
        </w:rPr>
        <w:t>are provided in the table below.</w:t>
      </w:r>
      <w:r w:rsidR="00BC591F" w:rsidRPr="00121962">
        <w:rPr>
          <w:snapToGrid/>
        </w:rPr>
        <w:t xml:space="preserve"> </w:t>
      </w:r>
    </w:p>
    <w:p w14:paraId="09AE12C8" w14:textId="77777777" w:rsidR="008E0D3C" w:rsidRPr="00121962" w:rsidRDefault="0008596F" w:rsidP="0008596F">
      <w:pPr>
        <w:pStyle w:val="TableFigureCaption"/>
      </w:pPr>
      <w:r w:rsidRPr="00121962">
        <w:t xml:space="preserve">Table </w:t>
      </w:r>
      <w:r w:rsidR="00E51973">
        <w:rPr>
          <w:noProof/>
        </w:rPr>
        <w:t>2</w:t>
      </w:r>
      <w:r w:rsidRPr="00121962">
        <w:t xml:space="preserve">: </w:t>
      </w:r>
      <w:r w:rsidR="008E0D3C" w:rsidRPr="00121962">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223"/>
        <w:gridCol w:w="2359"/>
      </w:tblGrid>
      <w:tr w:rsidR="00B615DF" w:rsidRPr="00121962" w14:paraId="28E72777" w14:textId="77777777" w:rsidTr="00C4135F">
        <w:trPr>
          <w:trHeight w:val="113"/>
          <w:tblHeader/>
        </w:trPr>
        <w:tc>
          <w:tcPr>
            <w:tcW w:w="796" w:type="pct"/>
            <w:vAlign w:val="center"/>
          </w:tcPr>
          <w:p w14:paraId="76132951" w14:textId="77777777" w:rsidR="00B615DF" w:rsidRPr="00121962" w:rsidRDefault="00B615DF" w:rsidP="00C4135F">
            <w:pPr>
              <w:pStyle w:val="Tableheadingrow"/>
              <w:rPr>
                <w:lang w:val="en-AU"/>
              </w:rPr>
            </w:pPr>
            <w:r w:rsidRPr="00121962">
              <w:rPr>
                <w:lang w:val="en-AU"/>
              </w:rPr>
              <w:t>Trial ID</w:t>
            </w:r>
          </w:p>
        </w:tc>
        <w:tc>
          <w:tcPr>
            <w:tcW w:w="2896" w:type="pct"/>
            <w:vAlign w:val="center"/>
          </w:tcPr>
          <w:p w14:paraId="5824FE23" w14:textId="77777777" w:rsidR="00B615DF" w:rsidRPr="00121962" w:rsidRDefault="00B615DF" w:rsidP="00C4135F">
            <w:pPr>
              <w:pStyle w:val="Tableheadingrow"/>
              <w:rPr>
                <w:lang w:val="en-AU"/>
              </w:rPr>
            </w:pPr>
            <w:r w:rsidRPr="00121962">
              <w:rPr>
                <w:lang w:val="en-AU"/>
              </w:rPr>
              <w:t>Protocol title/ Publication title</w:t>
            </w:r>
          </w:p>
        </w:tc>
        <w:tc>
          <w:tcPr>
            <w:tcW w:w="1308" w:type="pct"/>
            <w:vAlign w:val="center"/>
          </w:tcPr>
          <w:p w14:paraId="1E366C58" w14:textId="77777777" w:rsidR="00B615DF" w:rsidRPr="00121962" w:rsidRDefault="00B615DF" w:rsidP="00C4135F">
            <w:pPr>
              <w:pStyle w:val="Tableheadingrow"/>
              <w:rPr>
                <w:lang w:val="en-AU"/>
              </w:rPr>
            </w:pPr>
            <w:r w:rsidRPr="00121962">
              <w:rPr>
                <w:lang w:val="en-AU"/>
              </w:rPr>
              <w:t>Publication citation</w:t>
            </w:r>
          </w:p>
        </w:tc>
      </w:tr>
      <w:tr w:rsidR="00B615DF" w:rsidRPr="00121962" w14:paraId="1F25DD41" w14:textId="77777777" w:rsidTr="00C4135F">
        <w:trPr>
          <w:trHeight w:val="113"/>
        </w:trPr>
        <w:tc>
          <w:tcPr>
            <w:tcW w:w="796" w:type="pct"/>
            <w:tcBorders>
              <w:bottom w:val="nil"/>
            </w:tcBorders>
          </w:tcPr>
          <w:p w14:paraId="46E1BC3F" w14:textId="77777777" w:rsidR="00B615DF" w:rsidRPr="00121962" w:rsidRDefault="00B615DF" w:rsidP="00C4135F">
            <w:pPr>
              <w:pStyle w:val="TableText"/>
            </w:pPr>
          </w:p>
        </w:tc>
        <w:tc>
          <w:tcPr>
            <w:tcW w:w="2896" w:type="pct"/>
            <w:tcBorders>
              <w:bottom w:val="nil"/>
            </w:tcBorders>
          </w:tcPr>
          <w:p w14:paraId="5CFFA9AE" w14:textId="77777777" w:rsidR="00B615DF" w:rsidRPr="00121962" w:rsidRDefault="00B615DF" w:rsidP="00C4135F">
            <w:pPr>
              <w:pStyle w:val="TableText"/>
              <w:rPr>
                <w:szCs w:val="18"/>
              </w:rPr>
            </w:pPr>
            <w:r w:rsidRPr="00121962">
              <w:t>A Study to Evaluate the Effect of Dapagliflozin on Renal Outcomes and Cardiovascular Mortality in Patients with Chronic Kidney (Clinical Study Report)</w:t>
            </w:r>
          </w:p>
        </w:tc>
        <w:tc>
          <w:tcPr>
            <w:tcW w:w="1308" w:type="pct"/>
            <w:tcBorders>
              <w:bottom w:val="nil"/>
            </w:tcBorders>
          </w:tcPr>
          <w:p w14:paraId="571D6E86" w14:textId="77777777" w:rsidR="00B615DF" w:rsidRPr="00121962" w:rsidRDefault="00B615DF" w:rsidP="00C4135F">
            <w:pPr>
              <w:pStyle w:val="TableText"/>
            </w:pPr>
            <w:r w:rsidRPr="00121962">
              <w:t>28 September 2020</w:t>
            </w:r>
          </w:p>
        </w:tc>
      </w:tr>
      <w:tr w:rsidR="00B615DF" w:rsidRPr="00121962" w14:paraId="1563C77D" w14:textId="77777777" w:rsidTr="00C4135F">
        <w:trPr>
          <w:trHeight w:val="113"/>
        </w:trPr>
        <w:tc>
          <w:tcPr>
            <w:tcW w:w="796" w:type="pct"/>
            <w:tcBorders>
              <w:top w:val="nil"/>
              <w:bottom w:val="nil"/>
            </w:tcBorders>
          </w:tcPr>
          <w:p w14:paraId="0AA5C089" w14:textId="77777777" w:rsidR="00B615DF" w:rsidRPr="00121962" w:rsidRDefault="00B615DF" w:rsidP="00C4135F">
            <w:pPr>
              <w:pStyle w:val="TableText"/>
            </w:pPr>
            <w:r w:rsidRPr="00121962">
              <w:t>DAPA-CKD</w:t>
            </w:r>
          </w:p>
        </w:tc>
        <w:tc>
          <w:tcPr>
            <w:tcW w:w="2896" w:type="pct"/>
            <w:tcBorders>
              <w:top w:val="nil"/>
              <w:bottom w:val="nil"/>
            </w:tcBorders>
          </w:tcPr>
          <w:p w14:paraId="13D80AE9" w14:textId="77777777" w:rsidR="00B615DF" w:rsidRPr="00121962" w:rsidRDefault="00B615DF" w:rsidP="00C4135F">
            <w:pPr>
              <w:pStyle w:val="TableText"/>
              <w:rPr>
                <w:szCs w:val="18"/>
              </w:rPr>
            </w:pPr>
            <w:r w:rsidRPr="00121962">
              <w:t>Heerspink HJL et al. Dapagliflozin in patients with chronic kidney disease</w:t>
            </w:r>
          </w:p>
        </w:tc>
        <w:tc>
          <w:tcPr>
            <w:tcW w:w="1308" w:type="pct"/>
            <w:tcBorders>
              <w:top w:val="nil"/>
              <w:bottom w:val="nil"/>
            </w:tcBorders>
          </w:tcPr>
          <w:p w14:paraId="62273687" w14:textId="77777777" w:rsidR="00B615DF" w:rsidRPr="00121962" w:rsidRDefault="00B615DF" w:rsidP="00C4135F">
            <w:pPr>
              <w:pStyle w:val="TableText"/>
              <w:rPr>
                <w:szCs w:val="18"/>
              </w:rPr>
            </w:pPr>
            <w:r w:rsidRPr="00121962">
              <w:rPr>
                <w:i/>
              </w:rPr>
              <w:t>New England Journal of Medicine</w:t>
            </w:r>
            <w:r w:rsidRPr="00121962">
              <w:t xml:space="preserve"> 2020; 383:1436-1446</w:t>
            </w:r>
          </w:p>
        </w:tc>
      </w:tr>
      <w:tr w:rsidR="00B615DF" w:rsidRPr="00121962" w14:paraId="4FB9A1AE" w14:textId="77777777" w:rsidTr="00C4135F">
        <w:trPr>
          <w:trHeight w:val="113"/>
        </w:trPr>
        <w:tc>
          <w:tcPr>
            <w:tcW w:w="796" w:type="pct"/>
            <w:tcBorders>
              <w:top w:val="nil"/>
              <w:bottom w:val="single" w:sz="4" w:space="0" w:color="auto"/>
            </w:tcBorders>
          </w:tcPr>
          <w:p w14:paraId="2FE8D636" w14:textId="77777777" w:rsidR="00B615DF" w:rsidRPr="00121962" w:rsidRDefault="00B615DF" w:rsidP="00C4135F">
            <w:pPr>
              <w:pStyle w:val="TableText"/>
            </w:pPr>
          </w:p>
        </w:tc>
        <w:tc>
          <w:tcPr>
            <w:tcW w:w="2896" w:type="pct"/>
            <w:tcBorders>
              <w:top w:val="nil"/>
              <w:bottom w:val="single" w:sz="4" w:space="0" w:color="auto"/>
            </w:tcBorders>
          </w:tcPr>
          <w:p w14:paraId="126E9A41" w14:textId="77777777" w:rsidR="00B615DF" w:rsidRPr="00121962" w:rsidRDefault="00B615DF" w:rsidP="00C4135F">
            <w:pPr>
              <w:pStyle w:val="TableText"/>
              <w:rPr>
                <w:szCs w:val="18"/>
              </w:rPr>
            </w:pPr>
            <w:r w:rsidRPr="00121962">
              <w:t>Wheeler DC et al. The dapagliflozin and prevention of adverse outcomes in chronic kidney disease (DAPA</w:t>
            </w:r>
            <w:r w:rsidRPr="00121962">
              <w:noBreakHyphen/>
              <w:t>CKD) trial: baseline characteristics</w:t>
            </w:r>
          </w:p>
        </w:tc>
        <w:tc>
          <w:tcPr>
            <w:tcW w:w="1308" w:type="pct"/>
            <w:tcBorders>
              <w:top w:val="nil"/>
              <w:bottom w:val="single" w:sz="4" w:space="0" w:color="auto"/>
            </w:tcBorders>
          </w:tcPr>
          <w:p w14:paraId="382071C7" w14:textId="77777777" w:rsidR="00B615DF" w:rsidRPr="00121962" w:rsidRDefault="00B615DF" w:rsidP="00C4135F">
            <w:pPr>
              <w:pStyle w:val="TableText"/>
              <w:rPr>
                <w:i/>
                <w:szCs w:val="18"/>
              </w:rPr>
            </w:pPr>
            <w:r w:rsidRPr="00121962">
              <w:rPr>
                <w:i/>
              </w:rPr>
              <w:t>Nephrology Dialysis Transplant</w:t>
            </w:r>
            <w:r w:rsidRPr="00121962">
              <w:t xml:space="preserve"> 2020; 35(10):1700-1711</w:t>
            </w:r>
          </w:p>
        </w:tc>
      </w:tr>
    </w:tbl>
    <w:p w14:paraId="1F7C6781" w14:textId="77777777" w:rsidR="00B615DF" w:rsidRPr="00121962" w:rsidRDefault="00B615DF" w:rsidP="00B615DF">
      <w:pPr>
        <w:pStyle w:val="TableFigureFooter"/>
        <w:rPr>
          <w:sz w:val="20"/>
        </w:rPr>
      </w:pPr>
      <w:r w:rsidRPr="00121962">
        <w:t>Source: Table 2.2.1, p.57 of the submission</w:t>
      </w:r>
    </w:p>
    <w:p w14:paraId="029B8ACC" w14:textId="77777777" w:rsidR="007F1017" w:rsidRPr="00121962" w:rsidRDefault="008F120A" w:rsidP="00EC5836">
      <w:pPr>
        <w:pStyle w:val="ExecSumBodyText"/>
        <w:rPr>
          <w:color w:val="0066FF"/>
        </w:rPr>
      </w:pPr>
      <w:r w:rsidRPr="00121962">
        <w:t xml:space="preserve">The key features of the </w:t>
      </w:r>
      <w:r w:rsidR="00B615DF" w:rsidRPr="00121962">
        <w:t xml:space="preserve">DAPA-CKD trial </w:t>
      </w:r>
      <w:r w:rsidRPr="00121962">
        <w:t>are summarised in the table below.</w:t>
      </w:r>
      <w:r w:rsidR="00BC591F" w:rsidRPr="00121962">
        <w:t xml:space="preserve"> </w:t>
      </w:r>
    </w:p>
    <w:p w14:paraId="242859CD" w14:textId="77777777" w:rsidR="007F1017" w:rsidRPr="00121962" w:rsidRDefault="0008596F" w:rsidP="0008596F">
      <w:pPr>
        <w:pStyle w:val="TableFigureCaption"/>
      </w:pPr>
      <w:r w:rsidRPr="00121962">
        <w:t xml:space="preserve">Table </w:t>
      </w:r>
      <w:r w:rsidR="00E51973">
        <w:rPr>
          <w:noProof/>
        </w:rPr>
        <w:t>3</w:t>
      </w:r>
      <w:r w:rsidRPr="00121962">
        <w:t>:</w:t>
      </w:r>
      <w:r w:rsidR="007F1017" w:rsidRPr="00121962">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57"/>
        <w:gridCol w:w="985"/>
        <w:gridCol w:w="702"/>
        <w:gridCol w:w="2157"/>
        <w:gridCol w:w="2269"/>
        <w:gridCol w:w="1367"/>
      </w:tblGrid>
      <w:tr w:rsidR="003366C1" w:rsidRPr="00121962" w14:paraId="7BA4CC7F" w14:textId="77777777" w:rsidTr="0018306E">
        <w:trPr>
          <w:cantSplit/>
          <w:tblHeader/>
        </w:trPr>
        <w:tc>
          <w:tcPr>
            <w:tcW w:w="543" w:type="pct"/>
            <w:shd w:val="clear" w:color="auto" w:fill="auto"/>
            <w:vAlign w:val="center"/>
          </w:tcPr>
          <w:p w14:paraId="3B09CEF7" w14:textId="77777777" w:rsidR="007F1017" w:rsidRPr="00121962" w:rsidRDefault="007F1017" w:rsidP="001E34DF">
            <w:pPr>
              <w:pStyle w:val="Tableheadingrow"/>
              <w:rPr>
                <w:lang w:val="en-AU"/>
              </w:rPr>
            </w:pPr>
            <w:r w:rsidRPr="00121962">
              <w:rPr>
                <w:lang w:val="en-AU"/>
              </w:rPr>
              <w:t>Trial</w:t>
            </w:r>
          </w:p>
        </w:tc>
        <w:tc>
          <w:tcPr>
            <w:tcW w:w="309" w:type="pct"/>
            <w:shd w:val="clear" w:color="auto" w:fill="auto"/>
            <w:vAlign w:val="center"/>
          </w:tcPr>
          <w:p w14:paraId="02559AC6" w14:textId="77777777" w:rsidR="007F1017" w:rsidRPr="00121962" w:rsidRDefault="007F1017" w:rsidP="00EC5836">
            <w:pPr>
              <w:pStyle w:val="Tableheadingrow"/>
              <w:jc w:val="center"/>
              <w:rPr>
                <w:lang w:val="en-AU"/>
              </w:rPr>
            </w:pPr>
            <w:r w:rsidRPr="00121962">
              <w:rPr>
                <w:lang w:val="en-AU"/>
              </w:rPr>
              <w:t>N</w:t>
            </w:r>
          </w:p>
        </w:tc>
        <w:tc>
          <w:tcPr>
            <w:tcW w:w="546" w:type="pct"/>
            <w:shd w:val="clear" w:color="auto" w:fill="auto"/>
            <w:vAlign w:val="center"/>
          </w:tcPr>
          <w:p w14:paraId="291F4485" w14:textId="77777777" w:rsidR="007F1017" w:rsidRPr="00121962" w:rsidRDefault="007F1017" w:rsidP="00EC5836">
            <w:pPr>
              <w:pStyle w:val="Tableheadingrow"/>
              <w:jc w:val="center"/>
              <w:rPr>
                <w:lang w:val="en-AU"/>
              </w:rPr>
            </w:pPr>
            <w:r w:rsidRPr="00121962">
              <w:rPr>
                <w:lang w:val="en-AU"/>
              </w:rPr>
              <w:t>Design/ duration</w:t>
            </w:r>
          </w:p>
        </w:tc>
        <w:tc>
          <w:tcPr>
            <w:tcW w:w="389" w:type="pct"/>
            <w:shd w:val="clear" w:color="auto" w:fill="auto"/>
            <w:vAlign w:val="center"/>
          </w:tcPr>
          <w:p w14:paraId="2F946AB3" w14:textId="77777777" w:rsidR="007F1017" w:rsidRPr="00121962" w:rsidRDefault="007F1017" w:rsidP="00EC5836">
            <w:pPr>
              <w:pStyle w:val="Tableheadingrow"/>
              <w:jc w:val="center"/>
              <w:rPr>
                <w:lang w:val="en-AU"/>
              </w:rPr>
            </w:pPr>
            <w:r w:rsidRPr="00121962">
              <w:rPr>
                <w:lang w:val="en-AU"/>
              </w:rPr>
              <w:t>Risk of bias</w:t>
            </w:r>
          </w:p>
        </w:tc>
        <w:tc>
          <w:tcPr>
            <w:tcW w:w="1196" w:type="pct"/>
            <w:shd w:val="clear" w:color="auto" w:fill="auto"/>
            <w:vAlign w:val="center"/>
          </w:tcPr>
          <w:p w14:paraId="6BCE3156" w14:textId="77777777" w:rsidR="007F1017" w:rsidRPr="00121962" w:rsidRDefault="007F1017" w:rsidP="00EC5836">
            <w:pPr>
              <w:pStyle w:val="Tableheadingrow"/>
              <w:jc w:val="center"/>
              <w:rPr>
                <w:lang w:val="en-AU"/>
              </w:rPr>
            </w:pPr>
            <w:r w:rsidRPr="00121962">
              <w:rPr>
                <w:lang w:val="en-AU"/>
              </w:rPr>
              <w:t>Patient population</w:t>
            </w:r>
          </w:p>
        </w:tc>
        <w:tc>
          <w:tcPr>
            <w:tcW w:w="1258" w:type="pct"/>
            <w:shd w:val="clear" w:color="auto" w:fill="auto"/>
            <w:vAlign w:val="center"/>
          </w:tcPr>
          <w:p w14:paraId="6047A80D" w14:textId="77777777" w:rsidR="007F1017" w:rsidRPr="00121962" w:rsidRDefault="00451CCA" w:rsidP="00EC5836">
            <w:pPr>
              <w:pStyle w:val="Tableheadingrow"/>
              <w:jc w:val="center"/>
              <w:rPr>
                <w:lang w:val="en-AU"/>
              </w:rPr>
            </w:pPr>
            <w:r w:rsidRPr="00121962">
              <w:rPr>
                <w:lang w:val="en-AU"/>
              </w:rPr>
              <w:t>Outcomes</w:t>
            </w:r>
          </w:p>
        </w:tc>
        <w:tc>
          <w:tcPr>
            <w:tcW w:w="758" w:type="pct"/>
            <w:shd w:val="clear" w:color="auto" w:fill="auto"/>
            <w:vAlign w:val="center"/>
          </w:tcPr>
          <w:p w14:paraId="3806E5A5" w14:textId="77777777" w:rsidR="007F1017" w:rsidRPr="00121962" w:rsidRDefault="003366C1" w:rsidP="003366C1">
            <w:pPr>
              <w:pStyle w:val="Tableheadingrow"/>
              <w:jc w:val="center"/>
              <w:rPr>
                <w:lang w:val="en-AU"/>
              </w:rPr>
            </w:pPr>
            <w:r w:rsidRPr="00121962">
              <w:rPr>
                <w:lang w:val="en-AU"/>
              </w:rPr>
              <w:t>Use in model</w:t>
            </w:r>
          </w:p>
        </w:tc>
      </w:tr>
      <w:tr w:rsidR="003366C1" w:rsidRPr="00121962" w14:paraId="26569CED" w14:textId="77777777" w:rsidTr="0018306E">
        <w:trPr>
          <w:cantSplit/>
        </w:trPr>
        <w:tc>
          <w:tcPr>
            <w:tcW w:w="543" w:type="pct"/>
            <w:shd w:val="clear" w:color="auto" w:fill="auto"/>
            <w:vAlign w:val="center"/>
          </w:tcPr>
          <w:p w14:paraId="7C461101" w14:textId="77777777" w:rsidR="007F1017" w:rsidRPr="00121962" w:rsidRDefault="00B615DF" w:rsidP="00EC5836">
            <w:pPr>
              <w:pStyle w:val="TableText"/>
            </w:pPr>
            <w:r w:rsidRPr="00121962">
              <w:t>DAPA-CKD</w:t>
            </w:r>
          </w:p>
        </w:tc>
        <w:tc>
          <w:tcPr>
            <w:tcW w:w="309" w:type="pct"/>
            <w:shd w:val="clear" w:color="auto" w:fill="auto"/>
            <w:vAlign w:val="center"/>
          </w:tcPr>
          <w:p w14:paraId="270750B8" w14:textId="77777777" w:rsidR="007F1017" w:rsidRPr="00121962" w:rsidRDefault="00B615DF" w:rsidP="00EC5836">
            <w:pPr>
              <w:pStyle w:val="TableText"/>
              <w:jc w:val="center"/>
            </w:pPr>
            <w:r w:rsidRPr="00121962">
              <w:t>4,304</w:t>
            </w:r>
          </w:p>
        </w:tc>
        <w:tc>
          <w:tcPr>
            <w:tcW w:w="546" w:type="pct"/>
            <w:shd w:val="clear" w:color="auto" w:fill="auto"/>
            <w:vAlign w:val="center"/>
          </w:tcPr>
          <w:p w14:paraId="5EB07856" w14:textId="77777777" w:rsidR="007F1017" w:rsidRPr="00121962" w:rsidRDefault="007F1017" w:rsidP="00EC5836">
            <w:pPr>
              <w:pStyle w:val="TableText"/>
              <w:jc w:val="center"/>
            </w:pPr>
            <w:r w:rsidRPr="00121962">
              <w:t>R, DB</w:t>
            </w:r>
            <w:r w:rsidR="00451CCA" w:rsidRPr="00121962">
              <w:t xml:space="preserve">, </w:t>
            </w:r>
            <w:r w:rsidR="00930F4D" w:rsidRPr="00121962">
              <w:t xml:space="preserve">PC, </w:t>
            </w:r>
            <w:r w:rsidR="00451CCA" w:rsidRPr="00121962">
              <w:t>MC</w:t>
            </w:r>
          </w:p>
          <w:p w14:paraId="33055EC0" w14:textId="77777777" w:rsidR="007F1017" w:rsidRPr="00121962" w:rsidRDefault="00451CCA" w:rsidP="00EC5836">
            <w:pPr>
              <w:pStyle w:val="TableText"/>
              <w:jc w:val="center"/>
            </w:pPr>
            <w:r w:rsidRPr="00121962">
              <w:t>24</w:t>
            </w:r>
            <w:r w:rsidR="007F1017" w:rsidRPr="00121962">
              <w:t xml:space="preserve"> mths</w:t>
            </w:r>
          </w:p>
        </w:tc>
        <w:tc>
          <w:tcPr>
            <w:tcW w:w="389" w:type="pct"/>
            <w:shd w:val="clear" w:color="auto" w:fill="auto"/>
            <w:vAlign w:val="center"/>
          </w:tcPr>
          <w:p w14:paraId="7010A79D" w14:textId="77777777" w:rsidR="007F1017" w:rsidRPr="00121962" w:rsidRDefault="007F1017" w:rsidP="00EC5836">
            <w:pPr>
              <w:pStyle w:val="TableText"/>
              <w:jc w:val="center"/>
            </w:pPr>
            <w:r w:rsidRPr="00121962">
              <w:t>Low</w:t>
            </w:r>
          </w:p>
        </w:tc>
        <w:tc>
          <w:tcPr>
            <w:tcW w:w="1196" w:type="pct"/>
            <w:shd w:val="clear" w:color="auto" w:fill="auto"/>
            <w:vAlign w:val="center"/>
          </w:tcPr>
          <w:p w14:paraId="49FB3742" w14:textId="77777777" w:rsidR="00451CCA" w:rsidRPr="00121962" w:rsidRDefault="00451CCA" w:rsidP="00EC5836">
            <w:pPr>
              <w:pStyle w:val="TableText"/>
              <w:jc w:val="center"/>
            </w:pPr>
            <w:r w:rsidRPr="00121962">
              <w:t xml:space="preserve">Adults with CKD </w:t>
            </w:r>
          </w:p>
          <w:p w14:paraId="4583B751" w14:textId="77777777" w:rsidR="00451CCA" w:rsidRPr="00121962" w:rsidRDefault="00451CCA" w:rsidP="00451CCA">
            <w:pPr>
              <w:pStyle w:val="TableText"/>
              <w:jc w:val="center"/>
            </w:pPr>
            <w:r w:rsidRPr="00121962">
              <w:t xml:space="preserve">and eGFR ≥25 </w:t>
            </w:r>
            <w:r w:rsidR="00B046F9" w:rsidRPr="00121962">
              <w:t xml:space="preserve">– </w:t>
            </w:r>
            <w:r w:rsidRPr="00121962">
              <w:t>≤75</w:t>
            </w:r>
            <w:r w:rsidR="00B046F9" w:rsidRPr="00121962">
              <w:t> </w:t>
            </w:r>
            <w:r w:rsidRPr="00121962">
              <w:t>mL/min/1.73 m</w:t>
            </w:r>
            <w:r w:rsidRPr="00121962">
              <w:rPr>
                <w:vertAlign w:val="superscript"/>
              </w:rPr>
              <w:t>2</w:t>
            </w:r>
            <w:r w:rsidRPr="00121962">
              <w:t xml:space="preserve">; and </w:t>
            </w:r>
          </w:p>
          <w:p w14:paraId="691C7E2F" w14:textId="77777777" w:rsidR="007F1017" w:rsidRPr="00121962" w:rsidRDefault="00451CCA" w:rsidP="00451CCA">
            <w:pPr>
              <w:pStyle w:val="TableText"/>
              <w:jc w:val="center"/>
            </w:pPr>
            <w:r w:rsidRPr="00121962">
              <w:t>UACR 200-5,000 mg/g;</w:t>
            </w:r>
          </w:p>
          <w:p w14:paraId="0521B02A" w14:textId="77777777" w:rsidR="00451CCA" w:rsidRPr="00121962" w:rsidRDefault="00451CCA" w:rsidP="00451CCA">
            <w:pPr>
              <w:pStyle w:val="TableText"/>
              <w:jc w:val="center"/>
            </w:pPr>
            <w:r w:rsidRPr="00121962">
              <w:t>treated with maximum tolerated dose of ACEI/ARB</w:t>
            </w:r>
          </w:p>
        </w:tc>
        <w:tc>
          <w:tcPr>
            <w:tcW w:w="1258" w:type="pct"/>
            <w:shd w:val="clear" w:color="auto" w:fill="auto"/>
            <w:vAlign w:val="center"/>
          </w:tcPr>
          <w:p w14:paraId="786FDBA0" w14:textId="77777777" w:rsidR="00930F4D" w:rsidRPr="00121962" w:rsidRDefault="001B6699" w:rsidP="003366C1">
            <w:pPr>
              <w:pStyle w:val="TableText"/>
              <w:jc w:val="center"/>
            </w:pPr>
            <w:r w:rsidRPr="00121962">
              <w:t>Primary</w:t>
            </w:r>
            <w:r w:rsidR="00930F4D" w:rsidRPr="00121962">
              <w:t xml:space="preserve"> c</w:t>
            </w:r>
            <w:r w:rsidR="00451CCA" w:rsidRPr="00121962">
              <w:t>omposite</w:t>
            </w:r>
            <w:r w:rsidR="003366C1" w:rsidRPr="00121962">
              <w:t xml:space="preserve"> outcome</w:t>
            </w:r>
            <w:r w:rsidR="00B046F9" w:rsidRPr="00121962">
              <w:t>:</w:t>
            </w:r>
            <w:r w:rsidR="003366C1" w:rsidRPr="00121962">
              <w:t xml:space="preserve"> </w:t>
            </w:r>
          </w:p>
          <w:p w14:paraId="764974F2" w14:textId="77777777" w:rsidR="00915F45" w:rsidRPr="00121962" w:rsidRDefault="00451CCA" w:rsidP="00915F45">
            <w:pPr>
              <w:pStyle w:val="TableText"/>
              <w:jc w:val="center"/>
            </w:pPr>
            <w:r w:rsidRPr="00121962">
              <w:t>≥50% decline in eGFR</w:t>
            </w:r>
            <w:r w:rsidR="00930F4D" w:rsidRPr="00121962">
              <w:t>,</w:t>
            </w:r>
            <w:r w:rsidRPr="00121962">
              <w:t xml:space="preserve"> </w:t>
            </w:r>
            <w:r w:rsidR="003366C1" w:rsidRPr="00121962">
              <w:t>ESKD</w:t>
            </w:r>
            <w:r w:rsidR="00930F4D" w:rsidRPr="00121962">
              <w:t>,</w:t>
            </w:r>
            <w:r w:rsidRPr="00121962">
              <w:t xml:space="preserve"> </w:t>
            </w:r>
            <w:r w:rsidR="003366C1" w:rsidRPr="00121962">
              <w:t>CV</w:t>
            </w:r>
            <w:r w:rsidRPr="00121962">
              <w:t xml:space="preserve"> death</w:t>
            </w:r>
            <w:r w:rsidR="00930F4D" w:rsidRPr="00121962">
              <w:t>,</w:t>
            </w:r>
            <w:r w:rsidR="00915F45" w:rsidRPr="00121962">
              <w:t xml:space="preserve"> </w:t>
            </w:r>
            <w:r w:rsidR="00583F9B" w:rsidRPr="00121962">
              <w:t xml:space="preserve">or </w:t>
            </w:r>
            <w:r w:rsidR="00915F45" w:rsidRPr="00121962">
              <w:t>renal death</w:t>
            </w:r>
            <w:r w:rsidRPr="00121962">
              <w:t xml:space="preserve">; </w:t>
            </w:r>
          </w:p>
          <w:p w14:paraId="7B185070" w14:textId="77777777" w:rsidR="007F1017" w:rsidRPr="00121962" w:rsidRDefault="00930F4D" w:rsidP="00915F45">
            <w:pPr>
              <w:pStyle w:val="TableText"/>
              <w:jc w:val="center"/>
            </w:pPr>
            <w:r w:rsidRPr="00121962">
              <w:t xml:space="preserve">other composite outcomes </w:t>
            </w:r>
            <w:r w:rsidR="00451CCA" w:rsidRPr="00121962">
              <w:t xml:space="preserve">and safety </w:t>
            </w:r>
          </w:p>
        </w:tc>
        <w:tc>
          <w:tcPr>
            <w:tcW w:w="758" w:type="pct"/>
            <w:shd w:val="clear" w:color="auto" w:fill="auto"/>
            <w:vAlign w:val="center"/>
          </w:tcPr>
          <w:p w14:paraId="6ED2C182" w14:textId="77777777" w:rsidR="007F1017" w:rsidRPr="00121962" w:rsidRDefault="00312575" w:rsidP="00EC5836">
            <w:pPr>
              <w:pStyle w:val="TableText"/>
              <w:jc w:val="center"/>
            </w:pPr>
            <w:r w:rsidRPr="00121962">
              <w:rPr>
                <w:i/>
              </w:rPr>
              <w:t>Post hoc</w:t>
            </w:r>
            <w:r w:rsidR="0018306E" w:rsidRPr="00121962">
              <w:t xml:space="preserve"> survival analyses informed transitions from CKD to ESKD, CKD to death, ESKD to death</w:t>
            </w:r>
          </w:p>
        </w:tc>
      </w:tr>
    </w:tbl>
    <w:p w14:paraId="63CEFDF2" w14:textId="77777777" w:rsidR="00045017" w:rsidRPr="00121962" w:rsidRDefault="00A40B25" w:rsidP="00EC5836">
      <w:pPr>
        <w:pStyle w:val="TableFigureFooter"/>
      </w:pPr>
      <w:r w:rsidRPr="00121962">
        <w:t>Source: Constructed during the evaluation</w:t>
      </w:r>
    </w:p>
    <w:p w14:paraId="16F1228E" w14:textId="77777777" w:rsidR="00620C25" w:rsidRPr="00121962" w:rsidRDefault="00930F4D" w:rsidP="00EC5836">
      <w:pPr>
        <w:pStyle w:val="TableFigureFooter"/>
        <w:rPr>
          <w:szCs w:val="18"/>
        </w:rPr>
      </w:pPr>
      <w:r w:rsidRPr="00121962">
        <w:rPr>
          <w:szCs w:val="18"/>
        </w:rPr>
        <w:t xml:space="preserve">ACEI, angiotensin-converting enzyme inhibitors; ARB, angiotensin II receptor blocker; CKD, chronic kidney disease; </w:t>
      </w:r>
      <w:r w:rsidR="000C0C12" w:rsidRPr="00121962">
        <w:rPr>
          <w:szCs w:val="18"/>
        </w:rPr>
        <w:t xml:space="preserve">CV, cardiovascular; </w:t>
      </w:r>
      <w:r w:rsidRPr="00121962">
        <w:t xml:space="preserve">DB, double blind; </w:t>
      </w:r>
      <w:r w:rsidRPr="00121962">
        <w:rPr>
          <w:szCs w:val="18"/>
        </w:rPr>
        <w:t xml:space="preserve">eGFR, estimated glomerular filtration rate; </w:t>
      </w:r>
      <w:r w:rsidR="000C0C12" w:rsidRPr="00121962">
        <w:rPr>
          <w:szCs w:val="18"/>
        </w:rPr>
        <w:t xml:space="preserve">ESKD, </w:t>
      </w:r>
      <w:r w:rsidR="00BD5575" w:rsidRPr="00121962">
        <w:rPr>
          <w:szCs w:val="18"/>
        </w:rPr>
        <w:t>end-stage</w:t>
      </w:r>
      <w:r w:rsidR="000C0C12" w:rsidRPr="00121962">
        <w:rPr>
          <w:szCs w:val="18"/>
        </w:rPr>
        <w:t xml:space="preserve"> kidney disease;</w:t>
      </w:r>
      <w:r w:rsidR="00741AE0">
        <w:rPr>
          <w:szCs w:val="18"/>
        </w:rPr>
        <w:t xml:space="preserve"> </w:t>
      </w:r>
      <w:r w:rsidRPr="00121962">
        <w:t>MC, multi-centre; PC, placebo controlled; R, randomised;</w:t>
      </w:r>
      <w:r w:rsidRPr="00121962">
        <w:rPr>
          <w:szCs w:val="18"/>
        </w:rPr>
        <w:t xml:space="preserve"> SOC, standard of care; UACR, urinary albumin to creatinine ratio</w:t>
      </w:r>
      <w:r w:rsidR="00B046F9" w:rsidRPr="00121962">
        <w:rPr>
          <w:szCs w:val="18"/>
        </w:rPr>
        <w:t>.</w:t>
      </w:r>
    </w:p>
    <w:p w14:paraId="3BC75BCE" w14:textId="77777777" w:rsidR="00715906" w:rsidRPr="00121962" w:rsidRDefault="00E1341F" w:rsidP="00E1341F">
      <w:pPr>
        <w:pStyle w:val="ExecSumBodyText"/>
      </w:pPr>
      <w:r w:rsidRPr="00121962">
        <w:t xml:space="preserve">The DAPA-CKD trial </w:t>
      </w:r>
      <w:r w:rsidR="00CE26C3" w:rsidRPr="00121962">
        <w:t>was</w:t>
      </w:r>
      <w:r w:rsidRPr="00121962">
        <w:t xml:space="preserve"> an international, multicentre trial, conducted in the Asian (31%), European (28%), North American (19%), and South American (21%) geographic regions. </w:t>
      </w:r>
      <w:r w:rsidR="00715906" w:rsidRPr="00121962">
        <w:t>No Australian sites were included in the trial.</w:t>
      </w:r>
    </w:p>
    <w:p w14:paraId="6A19CCD8" w14:textId="77777777" w:rsidR="00E1341F" w:rsidRPr="00121962" w:rsidRDefault="00E1341F" w:rsidP="00E1341F">
      <w:pPr>
        <w:pStyle w:val="ExecSumBodyText"/>
      </w:pPr>
      <w:r w:rsidRPr="00121962">
        <w:t>The DAPA-CKD trial was designed with an intended duration of 45 months and estimated mean treatment duration</w:t>
      </w:r>
      <w:r w:rsidR="00E64033" w:rsidRPr="00121962">
        <w:t xml:space="preserve"> of 33 months. On 26 March 2020</w:t>
      </w:r>
      <w:r w:rsidR="00F24D78" w:rsidRPr="00121962">
        <w:t>,</w:t>
      </w:r>
      <w:r w:rsidRPr="00121962">
        <w:t xml:space="preserve"> the trial </w:t>
      </w:r>
      <w:r w:rsidR="00E64033" w:rsidRPr="00121962">
        <w:t>was</w:t>
      </w:r>
      <w:r w:rsidRPr="00121962">
        <w:t xml:space="preserve"> terminated early on the basis of overwhelming efficacy following 509 primary outcome events. Duration of treatment and follow up was truncated (median duration 28.5 months).</w:t>
      </w:r>
      <w:r w:rsidR="00E64033" w:rsidRPr="00121962">
        <w:t xml:space="preserve"> Given the short study duration</w:t>
      </w:r>
      <w:r w:rsidR="00F24D78" w:rsidRPr="00121962">
        <w:t>,</w:t>
      </w:r>
      <w:r w:rsidR="00E64033" w:rsidRPr="00121962">
        <w:t xml:space="preserve"> the DAPA-CKD trial data may not be sufficiently mature to inform long</w:t>
      </w:r>
      <w:r w:rsidR="00F24D78" w:rsidRPr="00121962">
        <w:t>-</w:t>
      </w:r>
      <w:r w:rsidR="00E64033" w:rsidRPr="00121962">
        <w:t>term outcomes relevant to the use of dapagliflozin in CKD.</w:t>
      </w:r>
    </w:p>
    <w:p w14:paraId="7AD46098" w14:textId="77777777" w:rsidR="00045017" w:rsidRPr="00121962" w:rsidRDefault="00715906" w:rsidP="00715906">
      <w:pPr>
        <w:pStyle w:val="ExecSumBodyText"/>
      </w:pPr>
      <w:r w:rsidRPr="00121962">
        <w:t xml:space="preserve">The DAPA-CKD trial included patients regardless of T2DM and HFrEF status, but excluded patients with type 1 diabetes mellitus (T1DM). </w:t>
      </w:r>
      <w:r w:rsidRPr="00121962">
        <w:rPr>
          <w:rFonts w:eastAsia="Calibri" w:cstheme="minorHAnsi"/>
        </w:rPr>
        <w:t xml:space="preserve">The trial also excluded patients with </w:t>
      </w:r>
      <w:r w:rsidRPr="00121962">
        <w:t>autosomal dominant or autosomal recessive polycystic kidney disease, lupus nephritis, anti-neutrophil cytoplasmic antibody (ANCA) associated vasculitis, history of severe cardiovascular disease (e.g. NYHA class IV heart failure, myocardial infarction</w:t>
      </w:r>
      <w:r w:rsidR="00121962">
        <w:t xml:space="preserve"> or </w:t>
      </w:r>
      <w:r w:rsidRPr="00121962">
        <w:t>coronary revascularisation), organ transplant, or recent treatment with cytotoxic or immunosuppressive medicines.</w:t>
      </w:r>
    </w:p>
    <w:p w14:paraId="408A9729" w14:textId="77777777" w:rsidR="00715906" w:rsidRPr="00121962" w:rsidRDefault="00715906" w:rsidP="00EC5836">
      <w:pPr>
        <w:pStyle w:val="ExecSumBodyText"/>
      </w:pPr>
      <w:r w:rsidRPr="00121962">
        <w:t xml:space="preserve">The median age of patients was 64 years, and the trial comprised more males (67%) than females (33%), with demographic and disease characteristics distributed similarly in both treatment arms. Most patients reported baseline CKD </w:t>
      </w:r>
      <w:r w:rsidR="00C4135F" w:rsidRPr="00121962">
        <w:t xml:space="preserve">stage </w:t>
      </w:r>
      <w:r w:rsidRPr="00121962">
        <w:t xml:space="preserve">3 disease (median 41.0-42.0 </w:t>
      </w:r>
      <w:r w:rsidRPr="00121962">
        <w:rPr>
          <w:rFonts w:eastAsia="Calibri" w:cstheme="minorHAnsi"/>
        </w:rPr>
        <w:t>mL/min/1.73 m</w:t>
      </w:r>
      <w:r w:rsidRPr="00121962">
        <w:rPr>
          <w:rFonts w:eastAsia="Calibri" w:cstheme="minorHAnsi"/>
          <w:vertAlign w:val="superscript"/>
        </w:rPr>
        <w:t>2</w:t>
      </w:r>
      <w:r w:rsidRPr="00121962">
        <w:rPr>
          <w:rFonts w:eastAsia="Calibri" w:cstheme="minorHAnsi"/>
        </w:rPr>
        <w:t>)</w:t>
      </w:r>
      <w:r w:rsidRPr="00121962">
        <w:t xml:space="preserve">, with a median UACR of 950 mg/g. </w:t>
      </w:r>
    </w:p>
    <w:p w14:paraId="1FD5E81F" w14:textId="77777777" w:rsidR="007F1017" w:rsidRPr="00121962" w:rsidRDefault="00E64033" w:rsidP="00715906">
      <w:pPr>
        <w:pStyle w:val="ExecSumBodyText"/>
      </w:pPr>
      <w:r w:rsidRPr="00121962">
        <w:t xml:space="preserve">Baseline characteristics were generally well matched between treatment arms of the DAPA-CKD trial. However, there </w:t>
      </w:r>
      <w:r w:rsidR="00715906" w:rsidRPr="00121962">
        <w:t xml:space="preserve">was a smaller proportion of patients with CKD </w:t>
      </w:r>
      <w:r w:rsidR="00C4135F" w:rsidRPr="00121962">
        <w:t>stage </w:t>
      </w:r>
      <w:r w:rsidR="00715906" w:rsidRPr="00121962">
        <w:t>4 at baseline in the dapagliflozin plus SOC treatment arm (13.6%) compared to SOC alone (15.4%), with increased baseline risk of ESKD.</w:t>
      </w:r>
    </w:p>
    <w:p w14:paraId="6C36BA23" w14:textId="77777777" w:rsidR="00A7158D" w:rsidRPr="00121962" w:rsidRDefault="00715906" w:rsidP="00A7158D">
      <w:pPr>
        <w:pStyle w:val="ExecSumBodyText"/>
        <w:numPr>
          <w:ilvl w:val="1"/>
          <w:numId w:val="1"/>
        </w:numPr>
      </w:pPr>
      <w:r w:rsidRPr="00121962">
        <w:t>The proportion of patients with T2DM was monitored at randomisation, and allocation between treatment arms supervised to ensure a minimum of 30% of T2DM patients in each arm. The proportion of patients with CKD and T2DM in the trial (67.4%) was substantially higher than the 30% minimum.</w:t>
      </w:r>
      <w:r w:rsidR="00365C66" w:rsidRPr="00121962">
        <w:t xml:space="preserve"> </w:t>
      </w:r>
      <w:r w:rsidR="00A7158D" w:rsidRPr="00121962">
        <w:t xml:space="preserve">The ESC noted that no reason for this very high proportion of patients with T2DM was provided by the </w:t>
      </w:r>
      <w:r w:rsidR="008021B2" w:rsidRPr="00121962">
        <w:t>submission</w:t>
      </w:r>
      <w:r w:rsidR="00A7158D" w:rsidRPr="00121962">
        <w:t>. The ESC felt that this had the potential to affect the baseline risk of the eligible PBS population.</w:t>
      </w:r>
    </w:p>
    <w:p w14:paraId="0A8FB87E" w14:textId="77777777" w:rsidR="00E64033" w:rsidRPr="00121962" w:rsidRDefault="00E64033" w:rsidP="00715906">
      <w:pPr>
        <w:pStyle w:val="ExecSumBodyText"/>
      </w:pPr>
      <w:r w:rsidRPr="00121962">
        <w:t xml:space="preserve">Baseline use of diabetes medicines in patients with T2DM was similar between treatment arms, with the most commonly reported glycaemic control medicines </w:t>
      </w:r>
      <w:r w:rsidR="00583F9B" w:rsidRPr="00121962">
        <w:t xml:space="preserve">being </w:t>
      </w:r>
      <w:r w:rsidRPr="00121962">
        <w:t>insulin (55.4%), metformin (43.0%), sulfonylureas (26.8%) and DPP-4 inhibitors (25.7%)</w:t>
      </w:r>
      <w:r w:rsidR="006A1C54" w:rsidRPr="00121962">
        <w:t xml:space="preserve">, and remained similar between treatment arms during the trial. </w:t>
      </w:r>
      <w:r w:rsidRPr="00121962">
        <w:t>The high proportion of patients with T2DM reporting treatment with insulin was not adequately explained, and may have impacted the incidence of adverse events related to glycaemic control.</w:t>
      </w:r>
    </w:p>
    <w:p w14:paraId="46A58347" w14:textId="77777777" w:rsidR="00B60939" w:rsidRPr="00121962" w:rsidRDefault="00B60939" w:rsidP="00EC5836">
      <w:pPr>
        <w:pStyle w:val="3-SubsectionHeading"/>
      </w:pPr>
      <w:bookmarkStart w:id="14" w:name="_Toc22897641"/>
      <w:bookmarkStart w:id="15" w:name="_Toc72322332"/>
      <w:r w:rsidRPr="00121962">
        <w:t>Comparative effectiveness</w:t>
      </w:r>
      <w:bookmarkEnd w:id="14"/>
      <w:bookmarkEnd w:id="15"/>
    </w:p>
    <w:p w14:paraId="56AA1BE6" w14:textId="77777777" w:rsidR="002528D3" w:rsidRPr="00121962" w:rsidRDefault="00E51973" w:rsidP="002528D3">
      <w:pPr>
        <w:pStyle w:val="ExecSumBodyText"/>
      </w:pPr>
      <w:r w:rsidRPr="00121962">
        <w:t xml:space="preserve">Figure </w:t>
      </w:r>
      <w:r>
        <w:rPr>
          <w:noProof/>
        </w:rPr>
        <w:t>1</w:t>
      </w:r>
      <w:r w:rsidR="002528D3" w:rsidRPr="00121962">
        <w:t xml:space="preserve"> and </w:t>
      </w:r>
      <w:r w:rsidRPr="00121962">
        <w:t xml:space="preserve">Table </w:t>
      </w:r>
      <w:r>
        <w:rPr>
          <w:noProof/>
        </w:rPr>
        <w:t>4</w:t>
      </w:r>
      <w:r w:rsidR="002528D3" w:rsidRPr="00121962">
        <w:t xml:space="preserve"> present the results of the DAPA-CKD trial primary composite outcome (time to first event of ≥50% decline in kidney function, ESKD or death from renal or cardiovascular causes) based on the pre-specified hierarchical testing sequence.</w:t>
      </w:r>
    </w:p>
    <w:p w14:paraId="56FD2FFA" w14:textId="77777777" w:rsidR="00C82242" w:rsidRPr="00121962" w:rsidRDefault="00C82242" w:rsidP="001D6932">
      <w:pPr>
        <w:pStyle w:val="TableFigureCaption"/>
      </w:pPr>
      <w:bookmarkStart w:id="16" w:name="_Ref72490444"/>
      <w:bookmarkStart w:id="17" w:name="_Ref70942164"/>
      <w:r w:rsidRPr="00121962">
        <w:t xml:space="preserve">Figure </w:t>
      </w:r>
      <w:r w:rsidR="00E51973">
        <w:rPr>
          <w:noProof/>
        </w:rPr>
        <w:t>1</w:t>
      </w:r>
      <w:bookmarkEnd w:id="16"/>
      <w:r w:rsidRPr="00121962">
        <w:t>: Kaplan–Meier plot for the primary composite outcome from the DAPA-CKD trial (ITT)</w:t>
      </w:r>
    </w:p>
    <w:p w14:paraId="4A267977" w14:textId="77777777" w:rsidR="00C82242" w:rsidRPr="00121962" w:rsidRDefault="00C82242" w:rsidP="001D6932">
      <w:pPr>
        <w:keepNext/>
      </w:pPr>
      <w:r w:rsidRPr="00121962">
        <w:rPr>
          <w:noProof/>
        </w:rPr>
        <w:drawing>
          <wp:inline distT="0" distB="0" distL="0" distR="0" wp14:anchorId="14C26B77" wp14:editId="01A16337">
            <wp:extent cx="5454595" cy="3248853"/>
            <wp:effectExtent l="0" t="0" r="0" b="8890"/>
            <wp:docPr id="148" name="Picture 148" title="Figure 1: Kaplan–Meier plot for the primary composite outcome from the DAPA-CKD trial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99" t="2657" r="1849" b="1410"/>
                    <a:stretch/>
                  </pic:blipFill>
                  <pic:spPr bwMode="auto">
                    <a:xfrm>
                      <a:off x="0" y="0"/>
                      <a:ext cx="5454595" cy="3248853"/>
                    </a:xfrm>
                    <a:prstGeom prst="rect">
                      <a:avLst/>
                    </a:prstGeom>
                    <a:noFill/>
                    <a:ln>
                      <a:noFill/>
                    </a:ln>
                    <a:extLst>
                      <a:ext uri="{53640926-AAD7-44D8-BBD7-CCE9431645EC}">
                        <a14:shadowObscured xmlns:a14="http://schemas.microsoft.com/office/drawing/2010/main"/>
                      </a:ext>
                    </a:extLst>
                  </pic:spPr>
                </pic:pic>
              </a:graphicData>
            </a:graphic>
          </wp:inline>
        </w:drawing>
      </w:r>
    </w:p>
    <w:p w14:paraId="410E966F" w14:textId="77777777" w:rsidR="00C82242" w:rsidRPr="00121962" w:rsidRDefault="00C82242" w:rsidP="001D6932">
      <w:pPr>
        <w:pStyle w:val="TableFigureFooter"/>
        <w:keepNext/>
      </w:pPr>
      <w:r w:rsidRPr="00121962">
        <w:t>Source: Figure 2.5.1, p.80 of the submission</w:t>
      </w:r>
    </w:p>
    <w:p w14:paraId="67ADEFBF" w14:textId="77777777" w:rsidR="00C82242" w:rsidRPr="00121962" w:rsidRDefault="00C82242" w:rsidP="00C82242">
      <w:pPr>
        <w:pStyle w:val="TableFigureFooter"/>
      </w:pPr>
      <w:r w:rsidRPr="00121962">
        <w:t>D or Dapa, dapagliflozin; CI, confidence interval; ESKD, end-stage kidney disease; HR, hazard ratio; ITT, intention-to-treat; P, placebo</w:t>
      </w:r>
    </w:p>
    <w:p w14:paraId="16D360E9" w14:textId="77777777" w:rsidR="00E64033" w:rsidRPr="00121962" w:rsidRDefault="0008596F" w:rsidP="000D2CA0">
      <w:pPr>
        <w:pStyle w:val="TableFigureCaption"/>
      </w:pPr>
      <w:bookmarkStart w:id="18" w:name="_Ref72490466"/>
      <w:bookmarkStart w:id="19" w:name="_Ref74315042"/>
      <w:r w:rsidRPr="00121962">
        <w:t xml:space="preserve">Table </w:t>
      </w:r>
      <w:r w:rsidR="00E51973">
        <w:rPr>
          <w:noProof/>
        </w:rPr>
        <w:t>4</w:t>
      </w:r>
      <w:bookmarkEnd w:id="17"/>
      <w:bookmarkEnd w:id="18"/>
      <w:r w:rsidRPr="00121962">
        <w:t>:</w:t>
      </w:r>
      <w:r w:rsidR="00E64033" w:rsidRPr="00121962">
        <w:t xml:space="preserve"> Results for the primary composite outcome from the DAPA</w:t>
      </w:r>
      <w:r w:rsidR="00E64033" w:rsidRPr="00121962">
        <w:noBreakHyphen/>
        <w:t>CKD trial (ITT)</w:t>
      </w:r>
      <w:bookmarkEnd w:id="19"/>
    </w:p>
    <w:tbl>
      <w:tblPr>
        <w:tblStyle w:val="TableGrid"/>
        <w:tblW w:w="0" w:type="auto"/>
        <w:tblLook w:val="04A0" w:firstRow="1" w:lastRow="0" w:firstColumn="1" w:lastColumn="0" w:noHBand="0" w:noVBand="1"/>
        <w:tblCaption w:val="Table 4: Results for the primary composite outcome from the DAPA CKD trial (ITT)"/>
      </w:tblPr>
      <w:tblGrid>
        <w:gridCol w:w="3397"/>
        <w:gridCol w:w="1873"/>
        <w:gridCol w:w="1873"/>
        <w:gridCol w:w="1874"/>
      </w:tblGrid>
      <w:tr w:rsidR="00E64033" w:rsidRPr="00121962" w14:paraId="2FF83B38" w14:textId="77777777" w:rsidTr="00B3287C">
        <w:trPr>
          <w:tblHeader/>
        </w:trPr>
        <w:tc>
          <w:tcPr>
            <w:tcW w:w="3397" w:type="dxa"/>
            <w:vAlign w:val="center"/>
          </w:tcPr>
          <w:p w14:paraId="46397B0C" w14:textId="77777777" w:rsidR="00E64033" w:rsidRPr="00121962" w:rsidRDefault="00E64033" w:rsidP="000D2CA0">
            <w:pPr>
              <w:keepNext/>
              <w:rPr>
                <w:rFonts w:ascii="Arial Narrow" w:hAnsi="Arial Narrow"/>
                <w:sz w:val="20"/>
                <w:szCs w:val="20"/>
              </w:rPr>
            </w:pPr>
            <w:r w:rsidRPr="00121962">
              <w:rPr>
                <w:rFonts w:ascii="Arial Narrow" w:hAnsi="Arial Narrow"/>
                <w:b/>
                <w:bCs/>
                <w:sz w:val="20"/>
                <w:szCs w:val="20"/>
              </w:rPr>
              <w:t>Outcome</w:t>
            </w:r>
          </w:p>
        </w:tc>
        <w:tc>
          <w:tcPr>
            <w:tcW w:w="1873" w:type="dxa"/>
          </w:tcPr>
          <w:p w14:paraId="2632623D" w14:textId="77777777" w:rsidR="00E64033" w:rsidRPr="00121962" w:rsidRDefault="00E64033" w:rsidP="000D2CA0">
            <w:pPr>
              <w:pStyle w:val="TableText"/>
              <w:ind w:left="-71" w:right="-62"/>
              <w:jc w:val="center"/>
              <w:rPr>
                <w:b/>
                <w:bCs w:val="0"/>
                <w:szCs w:val="20"/>
              </w:rPr>
            </w:pPr>
            <w:r w:rsidRPr="00121962">
              <w:rPr>
                <w:b/>
                <w:bCs w:val="0"/>
                <w:szCs w:val="20"/>
              </w:rPr>
              <w:t>Dapagliflozin + SOC</w:t>
            </w:r>
          </w:p>
          <w:p w14:paraId="75EF80B2"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873" w:type="dxa"/>
          </w:tcPr>
          <w:p w14:paraId="002911E5"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874" w:type="dxa"/>
          </w:tcPr>
          <w:p w14:paraId="42A040F4" w14:textId="77777777" w:rsidR="00E64033" w:rsidRPr="00121962" w:rsidRDefault="00E64033" w:rsidP="000D2CA0">
            <w:pPr>
              <w:pStyle w:val="TableText"/>
              <w:ind w:left="-71" w:right="-62"/>
              <w:jc w:val="center"/>
              <w:rPr>
                <w:b/>
                <w:bCs w:val="0"/>
                <w:szCs w:val="20"/>
              </w:rPr>
            </w:pPr>
            <w:r w:rsidRPr="00121962">
              <w:rPr>
                <w:b/>
                <w:bCs w:val="0"/>
                <w:szCs w:val="20"/>
              </w:rPr>
              <w:t>Hazard ratio</w:t>
            </w:r>
          </w:p>
          <w:p w14:paraId="18E8A46A"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E64033" w:rsidRPr="00121962" w14:paraId="1617FFC9" w14:textId="77777777" w:rsidTr="00B3287C">
        <w:trPr>
          <w:trHeight w:val="101"/>
        </w:trPr>
        <w:tc>
          <w:tcPr>
            <w:tcW w:w="3397" w:type="dxa"/>
            <w:vAlign w:val="center"/>
          </w:tcPr>
          <w:p w14:paraId="61049C79" w14:textId="77777777" w:rsidR="00E64033" w:rsidRPr="00121962" w:rsidRDefault="00E64033" w:rsidP="000D2CA0">
            <w:pPr>
              <w:pStyle w:val="TableText"/>
              <w:rPr>
                <w:szCs w:val="20"/>
              </w:rPr>
            </w:pPr>
            <w:r w:rsidRPr="00121962">
              <w:rPr>
                <w:szCs w:val="20"/>
              </w:rPr>
              <w:t>Primary composite outcome, n (%)</w:t>
            </w:r>
          </w:p>
        </w:tc>
        <w:tc>
          <w:tcPr>
            <w:tcW w:w="1873" w:type="dxa"/>
            <w:vAlign w:val="center"/>
          </w:tcPr>
          <w:p w14:paraId="08F3B297" w14:textId="77777777" w:rsidR="00E64033" w:rsidRPr="00121962" w:rsidRDefault="00E64033" w:rsidP="000D2CA0">
            <w:pPr>
              <w:pStyle w:val="TableText"/>
              <w:jc w:val="center"/>
              <w:rPr>
                <w:szCs w:val="20"/>
              </w:rPr>
            </w:pPr>
            <w:r w:rsidRPr="00121962">
              <w:rPr>
                <w:szCs w:val="20"/>
              </w:rPr>
              <w:t>197 (9.2%)</w:t>
            </w:r>
          </w:p>
        </w:tc>
        <w:tc>
          <w:tcPr>
            <w:tcW w:w="1873" w:type="dxa"/>
            <w:vAlign w:val="center"/>
          </w:tcPr>
          <w:p w14:paraId="0816FC29" w14:textId="77777777" w:rsidR="00E64033" w:rsidRPr="00121962" w:rsidRDefault="00E64033" w:rsidP="000D2CA0">
            <w:pPr>
              <w:pStyle w:val="TableText"/>
              <w:jc w:val="center"/>
              <w:rPr>
                <w:szCs w:val="20"/>
              </w:rPr>
            </w:pPr>
            <w:r w:rsidRPr="00121962">
              <w:rPr>
                <w:szCs w:val="20"/>
              </w:rPr>
              <w:t>312 (14.5%)</w:t>
            </w:r>
          </w:p>
        </w:tc>
        <w:tc>
          <w:tcPr>
            <w:tcW w:w="1874" w:type="dxa"/>
            <w:vAlign w:val="center"/>
          </w:tcPr>
          <w:p w14:paraId="74D4784C" w14:textId="77777777" w:rsidR="00E64033" w:rsidRPr="00121962" w:rsidRDefault="00E64033" w:rsidP="000D2CA0">
            <w:pPr>
              <w:pStyle w:val="TableText"/>
              <w:jc w:val="center"/>
              <w:rPr>
                <w:szCs w:val="20"/>
              </w:rPr>
            </w:pPr>
            <w:r w:rsidRPr="00121962">
              <w:rPr>
                <w:szCs w:val="20"/>
              </w:rPr>
              <w:t>0.61 (0.51, 0.72)</w:t>
            </w:r>
          </w:p>
        </w:tc>
      </w:tr>
      <w:tr w:rsidR="00B3287C" w:rsidRPr="00121962" w14:paraId="6308AE9B" w14:textId="77777777" w:rsidTr="00B3287C">
        <w:trPr>
          <w:trHeight w:val="101"/>
        </w:trPr>
        <w:tc>
          <w:tcPr>
            <w:tcW w:w="3397" w:type="dxa"/>
            <w:vAlign w:val="center"/>
          </w:tcPr>
          <w:p w14:paraId="31BC8562" w14:textId="77777777" w:rsidR="00B3287C" w:rsidRPr="00121962" w:rsidRDefault="00B3287C" w:rsidP="000D2CA0">
            <w:pPr>
              <w:pStyle w:val="TableText"/>
              <w:rPr>
                <w:szCs w:val="20"/>
              </w:rPr>
            </w:pPr>
            <w:r w:rsidRPr="00121962">
              <w:rPr>
                <w:szCs w:val="20"/>
              </w:rPr>
              <w:t>Median duration of treatment, mean (range)</w:t>
            </w:r>
          </w:p>
        </w:tc>
        <w:tc>
          <w:tcPr>
            <w:tcW w:w="1873" w:type="dxa"/>
            <w:vAlign w:val="center"/>
          </w:tcPr>
          <w:p w14:paraId="2855BF65" w14:textId="77777777" w:rsidR="00B3287C" w:rsidRPr="00121962" w:rsidRDefault="00B3287C" w:rsidP="000D2CA0">
            <w:pPr>
              <w:pStyle w:val="TableText"/>
              <w:jc w:val="center"/>
              <w:rPr>
                <w:szCs w:val="20"/>
              </w:rPr>
            </w:pPr>
            <w:r w:rsidRPr="00121962">
              <w:rPr>
                <w:szCs w:val="20"/>
              </w:rPr>
              <w:t>27.3 months (0-39.0)</w:t>
            </w:r>
          </w:p>
        </w:tc>
        <w:tc>
          <w:tcPr>
            <w:tcW w:w="1873" w:type="dxa"/>
            <w:vAlign w:val="center"/>
          </w:tcPr>
          <w:p w14:paraId="7C9C4168" w14:textId="77777777" w:rsidR="00B3287C" w:rsidRPr="00121962" w:rsidRDefault="00B3287C" w:rsidP="000D2CA0">
            <w:pPr>
              <w:pStyle w:val="TableText"/>
              <w:jc w:val="center"/>
              <w:rPr>
                <w:szCs w:val="20"/>
              </w:rPr>
            </w:pPr>
            <w:r w:rsidRPr="00121962">
              <w:rPr>
                <w:szCs w:val="20"/>
              </w:rPr>
              <w:t>27.0 months (0-38.8)</w:t>
            </w:r>
          </w:p>
        </w:tc>
        <w:tc>
          <w:tcPr>
            <w:tcW w:w="1874" w:type="dxa"/>
            <w:vAlign w:val="center"/>
          </w:tcPr>
          <w:p w14:paraId="11862A12" w14:textId="77777777" w:rsidR="00B3287C" w:rsidRPr="00121962" w:rsidRDefault="00AF079B" w:rsidP="000D2CA0">
            <w:pPr>
              <w:pStyle w:val="TableText"/>
              <w:jc w:val="center"/>
              <w:rPr>
                <w:szCs w:val="20"/>
              </w:rPr>
            </w:pPr>
            <w:r w:rsidRPr="00121962">
              <w:rPr>
                <w:szCs w:val="20"/>
              </w:rPr>
              <w:t>-</w:t>
            </w:r>
          </w:p>
        </w:tc>
      </w:tr>
      <w:tr w:rsidR="00E64033" w:rsidRPr="00121962" w14:paraId="52DBD264" w14:textId="77777777" w:rsidTr="004145E5">
        <w:tc>
          <w:tcPr>
            <w:tcW w:w="9017" w:type="dxa"/>
            <w:gridSpan w:val="4"/>
            <w:vAlign w:val="center"/>
          </w:tcPr>
          <w:p w14:paraId="5F1F67BE" w14:textId="77777777" w:rsidR="00E64033" w:rsidRPr="00121962" w:rsidRDefault="00E64033" w:rsidP="000D2CA0">
            <w:pPr>
              <w:keepNext/>
              <w:ind w:right="-62"/>
              <w:rPr>
                <w:rFonts w:ascii="Arial Narrow" w:hAnsi="Arial Narrow"/>
                <w:sz w:val="20"/>
                <w:szCs w:val="20"/>
              </w:rPr>
            </w:pPr>
            <w:r w:rsidRPr="00121962">
              <w:rPr>
                <w:rFonts w:ascii="Arial Narrow" w:hAnsi="Arial Narrow"/>
                <w:b/>
                <w:sz w:val="20"/>
                <w:szCs w:val="20"/>
              </w:rPr>
              <w:t>Primary outcome components (exploratory outcomes), n (%)</w:t>
            </w:r>
          </w:p>
        </w:tc>
      </w:tr>
      <w:tr w:rsidR="00E64033" w:rsidRPr="00121962" w14:paraId="18E2A2F9" w14:textId="77777777" w:rsidTr="00B3287C">
        <w:tc>
          <w:tcPr>
            <w:tcW w:w="3397" w:type="dxa"/>
            <w:vAlign w:val="center"/>
          </w:tcPr>
          <w:p w14:paraId="56233585"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≥50% decline in eGFR</w:t>
            </w:r>
          </w:p>
        </w:tc>
        <w:tc>
          <w:tcPr>
            <w:tcW w:w="1873" w:type="dxa"/>
            <w:vAlign w:val="center"/>
          </w:tcPr>
          <w:p w14:paraId="1FC91E70"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112 (5.2%)</w:t>
            </w:r>
          </w:p>
        </w:tc>
        <w:tc>
          <w:tcPr>
            <w:tcW w:w="1873" w:type="dxa"/>
            <w:vAlign w:val="center"/>
          </w:tcPr>
          <w:p w14:paraId="01A1707B"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201 (9.3%)</w:t>
            </w:r>
          </w:p>
        </w:tc>
        <w:tc>
          <w:tcPr>
            <w:tcW w:w="1874" w:type="dxa"/>
            <w:vAlign w:val="center"/>
          </w:tcPr>
          <w:p w14:paraId="2964BE3B"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0.53 (0.42, 0.67)</w:t>
            </w:r>
          </w:p>
        </w:tc>
      </w:tr>
      <w:tr w:rsidR="00E64033" w:rsidRPr="00121962" w14:paraId="5B78235C" w14:textId="77777777" w:rsidTr="00B3287C">
        <w:trPr>
          <w:trHeight w:val="77"/>
        </w:trPr>
        <w:tc>
          <w:tcPr>
            <w:tcW w:w="3397" w:type="dxa"/>
            <w:vAlign w:val="center"/>
          </w:tcPr>
          <w:p w14:paraId="4992D8A6"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ESKD</w:t>
            </w:r>
          </w:p>
        </w:tc>
        <w:tc>
          <w:tcPr>
            <w:tcW w:w="1873" w:type="dxa"/>
            <w:vAlign w:val="center"/>
          </w:tcPr>
          <w:p w14:paraId="218E449E"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109 (5.1%)</w:t>
            </w:r>
          </w:p>
        </w:tc>
        <w:tc>
          <w:tcPr>
            <w:tcW w:w="1873" w:type="dxa"/>
            <w:vAlign w:val="center"/>
          </w:tcPr>
          <w:p w14:paraId="69EB1732"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161 (7.5%)</w:t>
            </w:r>
          </w:p>
        </w:tc>
        <w:tc>
          <w:tcPr>
            <w:tcW w:w="1874" w:type="dxa"/>
            <w:vAlign w:val="center"/>
          </w:tcPr>
          <w:p w14:paraId="7AE5C309"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0.64 (0.50, 0.82)</w:t>
            </w:r>
          </w:p>
        </w:tc>
      </w:tr>
      <w:tr w:rsidR="00E64033" w:rsidRPr="00121962" w14:paraId="7C8FF465" w14:textId="77777777" w:rsidTr="00B3287C">
        <w:trPr>
          <w:trHeight w:val="77"/>
        </w:trPr>
        <w:tc>
          <w:tcPr>
            <w:tcW w:w="3397" w:type="dxa"/>
            <w:vAlign w:val="center"/>
          </w:tcPr>
          <w:p w14:paraId="2AF15A43"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Sustained eGFR &lt;15 mL/min/1.73 m</w:t>
            </w:r>
            <w:r w:rsidRPr="00121962">
              <w:rPr>
                <w:rFonts w:ascii="Arial Narrow" w:hAnsi="Arial Narrow"/>
                <w:sz w:val="20"/>
                <w:szCs w:val="20"/>
                <w:vertAlign w:val="superscript"/>
              </w:rPr>
              <w:t>2</w:t>
            </w:r>
          </w:p>
        </w:tc>
        <w:tc>
          <w:tcPr>
            <w:tcW w:w="1873" w:type="dxa"/>
            <w:vAlign w:val="center"/>
          </w:tcPr>
          <w:p w14:paraId="08208E04"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84 (3.9%)</w:t>
            </w:r>
          </w:p>
        </w:tc>
        <w:tc>
          <w:tcPr>
            <w:tcW w:w="1873" w:type="dxa"/>
            <w:vAlign w:val="center"/>
          </w:tcPr>
          <w:p w14:paraId="63F4E27A"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120 (5.6%)</w:t>
            </w:r>
          </w:p>
        </w:tc>
        <w:tc>
          <w:tcPr>
            <w:tcW w:w="1874" w:type="dxa"/>
            <w:vAlign w:val="center"/>
          </w:tcPr>
          <w:p w14:paraId="44A156E9"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0.67 (0.51, 0.88)</w:t>
            </w:r>
          </w:p>
        </w:tc>
      </w:tr>
      <w:tr w:rsidR="00E64033" w:rsidRPr="00121962" w14:paraId="7848CFCB" w14:textId="77777777" w:rsidTr="00B3287C">
        <w:tc>
          <w:tcPr>
            <w:tcW w:w="3397" w:type="dxa"/>
            <w:vAlign w:val="center"/>
          </w:tcPr>
          <w:p w14:paraId="399FB908"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Long</w:t>
            </w:r>
            <w:r w:rsidRPr="00121962">
              <w:rPr>
                <w:rFonts w:ascii="Arial Narrow" w:hAnsi="Arial Narrow"/>
                <w:sz w:val="20"/>
                <w:szCs w:val="20"/>
              </w:rPr>
              <w:noBreakHyphen/>
              <w:t>term dialysis</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vAlign w:val="center"/>
          </w:tcPr>
          <w:p w14:paraId="3F8A48F0"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68 (3.2%)</w:t>
            </w:r>
          </w:p>
        </w:tc>
        <w:tc>
          <w:tcPr>
            <w:tcW w:w="1873" w:type="dxa"/>
            <w:vAlign w:val="center"/>
          </w:tcPr>
          <w:p w14:paraId="371D01A5"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99 (4.6%)</w:t>
            </w:r>
          </w:p>
        </w:tc>
        <w:tc>
          <w:tcPr>
            <w:tcW w:w="1874" w:type="dxa"/>
            <w:vAlign w:val="center"/>
          </w:tcPr>
          <w:p w14:paraId="6ED4E457"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0.66 (0.48, 0.90)</w:t>
            </w:r>
          </w:p>
        </w:tc>
      </w:tr>
      <w:tr w:rsidR="00E64033" w:rsidRPr="00121962" w14:paraId="2E00C257" w14:textId="77777777" w:rsidTr="00B3287C">
        <w:tc>
          <w:tcPr>
            <w:tcW w:w="3397" w:type="dxa"/>
            <w:vAlign w:val="center"/>
          </w:tcPr>
          <w:p w14:paraId="1C58980F"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Kidney transplant</w:t>
            </w:r>
          </w:p>
        </w:tc>
        <w:tc>
          <w:tcPr>
            <w:tcW w:w="1873" w:type="dxa"/>
            <w:vAlign w:val="center"/>
          </w:tcPr>
          <w:p w14:paraId="0DCE2DED"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3 (0.1%)</w:t>
            </w:r>
          </w:p>
        </w:tc>
        <w:tc>
          <w:tcPr>
            <w:tcW w:w="1873" w:type="dxa"/>
            <w:vAlign w:val="center"/>
          </w:tcPr>
          <w:p w14:paraId="39C49299"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 (0.4%)</w:t>
            </w:r>
          </w:p>
        </w:tc>
        <w:tc>
          <w:tcPr>
            <w:tcW w:w="1874" w:type="dxa"/>
            <w:vAlign w:val="center"/>
          </w:tcPr>
          <w:p w14:paraId="4538C595"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14:paraId="5B617751" w14:textId="77777777" w:rsidTr="00B3287C">
        <w:trPr>
          <w:trHeight w:val="77"/>
        </w:trPr>
        <w:tc>
          <w:tcPr>
            <w:tcW w:w="3397" w:type="dxa"/>
            <w:tcBorders>
              <w:bottom w:val="single" w:sz="4" w:space="0" w:color="auto"/>
            </w:tcBorders>
            <w:vAlign w:val="center"/>
          </w:tcPr>
          <w:p w14:paraId="6E2C5BF2"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Renal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14:paraId="36D032AC"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 (&lt;0.1%)</w:t>
            </w:r>
          </w:p>
        </w:tc>
        <w:tc>
          <w:tcPr>
            <w:tcW w:w="1873" w:type="dxa"/>
            <w:tcBorders>
              <w:bottom w:val="single" w:sz="4" w:space="0" w:color="auto"/>
            </w:tcBorders>
            <w:vAlign w:val="center"/>
          </w:tcPr>
          <w:p w14:paraId="6C34CFB7"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 (0.3%)</w:t>
            </w:r>
          </w:p>
        </w:tc>
        <w:tc>
          <w:tcPr>
            <w:tcW w:w="1874" w:type="dxa"/>
            <w:tcBorders>
              <w:bottom w:val="single" w:sz="4" w:space="0" w:color="auto"/>
            </w:tcBorders>
            <w:vAlign w:val="center"/>
          </w:tcPr>
          <w:p w14:paraId="41119A8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14:paraId="26698B7E" w14:textId="77777777" w:rsidTr="00B3287C">
        <w:trPr>
          <w:trHeight w:val="77"/>
        </w:trPr>
        <w:tc>
          <w:tcPr>
            <w:tcW w:w="3397" w:type="dxa"/>
            <w:tcBorders>
              <w:bottom w:val="single" w:sz="4" w:space="0" w:color="auto"/>
            </w:tcBorders>
            <w:vAlign w:val="center"/>
          </w:tcPr>
          <w:p w14:paraId="452B5590"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Cardiovascular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14:paraId="2A7E47CF"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65 (3.0%)</w:t>
            </w:r>
          </w:p>
        </w:tc>
        <w:tc>
          <w:tcPr>
            <w:tcW w:w="1873" w:type="dxa"/>
            <w:tcBorders>
              <w:bottom w:val="single" w:sz="4" w:space="0" w:color="auto"/>
            </w:tcBorders>
            <w:vAlign w:val="center"/>
          </w:tcPr>
          <w:p w14:paraId="4995A98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80 (3.7%)</w:t>
            </w:r>
          </w:p>
        </w:tc>
        <w:tc>
          <w:tcPr>
            <w:tcW w:w="1874" w:type="dxa"/>
            <w:tcBorders>
              <w:bottom w:val="single" w:sz="4" w:space="0" w:color="auto"/>
            </w:tcBorders>
            <w:vAlign w:val="center"/>
          </w:tcPr>
          <w:p w14:paraId="0D94F437"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0.81 (0.58, 1.12)</w:t>
            </w:r>
          </w:p>
        </w:tc>
      </w:tr>
    </w:tbl>
    <w:p w14:paraId="3A192C60" w14:textId="77777777" w:rsidR="00E64033" w:rsidRPr="00121962" w:rsidRDefault="00E64033" w:rsidP="00E64033">
      <w:pPr>
        <w:pStyle w:val="TableFigureFooter"/>
      </w:pPr>
      <w:r w:rsidRPr="00121962">
        <w:t>Source: Table 2.5.1, p.79 of the submission</w:t>
      </w:r>
    </w:p>
    <w:p w14:paraId="72C84347" w14:textId="77777777" w:rsidR="00E64033" w:rsidRPr="00121962" w:rsidRDefault="00E64033" w:rsidP="00E64033">
      <w:pPr>
        <w:pStyle w:val="TableFigureFooter"/>
      </w:pPr>
      <w:r w:rsidRPr="00121962">
        <w:t>eGFR, estimated glomerular filtration rate ESKD, end-stage kidney disease; NR, not reported; SOC, standard of care</w:t>
      </w:r>
    </w:p>
    <w:p w14:paraId="07C9E3EC" w14:textId="77777777" w:rsidR="009A26CB" w:rsidRPr="00121962" w:rsidRDefault="009A26CB" w:rsidP="009A26CB">
      <w:pPr>
        <w:pStyle w:val="ExecSumBodyText"/>
      </w:pPr>
      <w:r w:rsidRPr="00121962">
        <w:t xml:space="preserve">Treatment with dapagliflozin plus SOC was associated with </w:t>
      </w:r>
      <w:r w:rsidR="00AF079B" w:rsidRPr="00121962">
        <w:t xml:space="preserve">a </w:t>
      </w:r>
      <w:r w:rsidRPr="00121962">
        <w:t xml:space="preserve">statistically significant improvement in the primary composite endpoint of time to ≥50% decline in kidney function, ESKD or death from renal or cardiovascular causes compared to SOC alone (HR 0.61: 95% CI [0.51, 0.72]). The key drivers of the primary composite outcome were time to a ≥50% decline in eGFR or ESKD. </w:t>
      </w:r>
    </w:p>
    <w:p w14:paraId="67398237" w14:textId="77777777" w:rsidR="00DA3167" w:rsidRPr="00121962" w:rsidRDefault="009A26CB" w:rsidP="009A26CB">
      <w:pPr>
        <w:pStyle w:val="ExecSumBodyText"/>
        <w:rPr>
          <w:color w:val="0066FF"/>
        </w:rPr>
      </w:pPr>
      <w:r w:rsidRPr="00121962">
        <w:t>Results from exploratory analyses of the individual components of the primary endpoint show</w:t>
      </w:r>
      <w:r w:rsidR="000203D0" w:rsidRPr="00121962">
        <w:t>ed</w:t>
      </w:r>
      <w:r w:rsidRPr="00121962">
        <w:t xml:space="preserve"> nominal benefits associated with dapagliflozin for decline in eGFR and ESKD. The numbers of events of renal death and kidney transplant were very small, and the differences between treatment arms could not be statistically estimated.</w:t>
      </w:r>
    </w:p>
    <w:p w14:paraId="24455BA3" w14:textId="77777777" w:rsidR="009A26CB" w:rsidRPr="00121962" w:rsidRDefault="00E51973" w:rsidP="009A26CB">
      <w:pPr>
        <w:pStyle w:val="ExecSumBodyText"/>
        <w:rPr>
          <w:color w:val="0066FF"/>
        </w:rPr>
      </w:pPr>
      <w:r w:rsidRPr="00121962">
        <w:t xml:space="preserve">Table </w:t>
      </w:r>
      <w:r>
        <w:rPr>
          <w:noProof/>
        </w:rPr>
        <w:t>5</w:t>
      </w:r>
      <w:r w:rsidR="009A26CB" w:rsidRPr="00121962">
        <w:t xml:space="preserve"> summarises the results of the key secondary outcomes of the DAPA-CKD trial included in the hierarchical testing sequence following demonstration of statistical significance for the primary outcome. </w:t>
      </w:r>
      <w:r w:rsidR="00DB18ED" w:rsidRPr="00121962">
        <w:t>Dapagliflozin plus SOC was associated with a statistically significant improvement in terms of each secondary outcome, compared to SOC alone.</w:t>
      </w:r>
    </w:p>
    <w:p w14:paraId="13D94606" w14:textId="77777777" w:rsidR="009A26CB" w:rsidRPr="00121962" w:rsidRDefault="0008596F" w:rsidP="0008596F">
      <w:pPr>
        <w:pStyle w:val="TableFigureCaption"/>
      </w:pPr>
      <w:bookmarkStart w:id="20" w:name="_Ref70943275"/>
      <w:r w:rsidRPr="00121962">
        <w:t xml:space="preserve">Table </w:t>
      </w:r>
      <w:r w:rsidR="00E51973">
        <w:rPr>
          <w:noProof/>
        </w:rPr>
        <w:t>5</w:t>
      </w:r>
      <w:bookmarkEnd w:id="20"/>
      <w:r w:rsidRPr="00121962">
        <w:t>:</w:t>
      </w:r>
      <w:r w:rsidR="009A26CB" w:rsidRPr="00121962">
        <w:t xml:space="preserve"> Results for the secondary outcomes from the DAPA</w:t>
      </w:r>
      <w:r w:rsidR="009A26CB" w:rsidRPr="00121962">
        <w:noBreakHyphen/>
        <w:t>CKD trial (ITT)</w:t>
      </w:r>
    </w:p>
    <w:tbl>
      <w:tblPr>
        <w:tblStyle w:val="TableGrid"/>
        <w:tblW w:w="0" w:type="auto"/>
        <w:tblLook w:val="04A0" w:firstRow="1" w:lastRow="0" w:firstColumn="1" w:lastColumn="0" w:noHBand="0" w:noVBand="1"/>
        <w:tblCaption w:val="Table 5: Results for the secondary outcomes from the DAPA CKD trial (ITT)"/>
      </w:tblPr>
      <w:tblGrid>
        <w:gridCol w:w="3256"/>
        <w:gridCol w:w="2126"/>
        <w:gridCol w:w="1701"/>
        <w:gridCol w:w="1934"/>
      </w:tblGrid>
      <w:tr w:rsidR="009A26CB" w:rsidRPr="00121962" w14:paraId="12380103" w14:textId="77777777" w:rsidTr="004145E5">
        <w:trPr>
          <w:tblHeader/>
        </w:trPr>
        <w:tc>
          <w:tcPr>
            <w:tcW w:w="3256" w:type="dxa"/>
            <w:vAlign w:val="center"/>
          </w:tcPr>
          <w:p w14:paraId="11600470" w14:textId="77777777" w:rsidR="009A26CB" w:rsidRPr="00121962" w:rsidRDefault="009A26CB" w:rsidP="00DF4FD5">
            <w:pPr>
              <w:keepNext/>
            </w:pPr>
            <w:r w:rsidRPr="00121962">
              <w:rPr>
                <w:rFonts w:ascii="Arial Narrow" w:hAnsi="Arial Narrow"/>
                <w:b/>
                <w:bCs/>
                <w:sz w:val="20"/>
                <w:szCs w:val="20"/>
              </w:rPr>
              <w:t>Outcome</w:t>
            </w:r>
          </w:p>
        </w:tc>
        <w:tc>
          <w:tcPr>
            <w:tcW w:w="2126" w:type="dxa"/>
          </w:tcPr>
          <w:p w14:paraId="2B96EF44" w14:textId="77777777" w:rsidR="009A26CB" w:rsidRPr="00121962" w:rsidRDefault="009A26CB" w:rsidP="00DF4FD5">
            <w:pPr>
              <w:pStyle w:val="TableText"/>
              <w:ind w:left="-71" w:right="-62"/>
              <w:jc w:val="center"/>
              <w:rPr>
                <w:b/>
                <w:bCs w:val="0"/>
                <w:szCs w:val="20"/>
              </w:rPr>
            </w:pPr>
            <w:r w:rsidRPr="00121962">
              <w:rPr>
                <w:b/>
                <w:bCs w:val="0"/>
                <w:szCs w:val="20"/>
              </w:rPr>
              <w:t>Dapagliflozin plus SOC</w:t>
            </w:r>
          </w:p>
          <w:p w14:paraId="5865CE7B"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701" w:type="dxa"/>
          </w:tcPr>
          <w:p w14:paraId="54AF2929"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934" w:type="dxa"/>
          </w:tcPr>
          <w:p w14:paraId="5ECAF9FC" w14:textId="77777777" w:rsidR="009A26CB" w:rsidRPr="00121962" w:rsidRDefault="009A26CB" w:rsidP="00DF4FD5">
            <w:pPr>
              <w:pStyle w:val="TableText"/>
              <w:ind w:left="-71" w:right="-62"/>
              <w:jc w:val="center"/>
              <w:rPr>
                <w:b/>
                <w:bCs w:val="0"/>
                <w:szCs w:val="20"/>
              </w:rPr>
            </w:pPr>
            <w:r w:rsidRPr="00121962">
              <w:rPr>
                <w:b/>
                <w:bCs w:val="0"/>
                <w:szCs w:val="20"/>
              </w:rPr>
              <w:t>Hazard ratio</w:t>
            </w:r>
          </w:p>
          <w:p w14:paraId="2BE52E8F"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9A26CB" w:rsidRPr="00121962" w14:paraId="4BB2BBC6" w14:textId="77777777" w:rsidTr="004145E5">
        <w:tc>
          <w:tcPr>
            <w:tcW w:w="9017" w:type="dxa"/>
            <w:gridSpan w:val="4"/>
            <w:vAlign w:val="center"/>
          </w:tcPr>
          <w:p w14:paraId="098B9A7F" w14:textId="77777777" w:rsidR="009A26CB" w:rsidRPr="00121962" w:rsidRDefault="009A26CB" w:rsidP="00DF4FD5">
            <w:pPr>
              <w:keepNext/>
              <w:ind w:left="-74" w:right="-62"/>
            </w:pPr>
            <w:r w:rsidRPr="00121962">
              <w:rPr>
                <w:rFonts w:ascii="Arial Narrow" w:hAnsi="Arial Narrow"/>
                <w:b/>
                <w:sz w:val="20"/>
                <w:szCs w:val="20"/>
              </w:rPr>
              <w:t>Secondary outcomes, n (%)</w:t>
            </w:r>
          </w:p>
        </w:tc>
      </w:tr>
      <w:tr w:rsidR="009A26CB" w:rsidRPr="00121962" w14:paraId="7A7B60AB" w14:textId="77777777" w:rsidTr="004145E5">
        <w:trPr>
          <w:trHeight w:val="335"/>
        </w:trPr>
        <w:tc>
          <w:tcPr>
            <w:tcW w:w="3256" w:type="dxa"/>
            <w:vAlign w:val="center"/>
          </w:tcPr>
          <w:p w14:paraId="22DA7944" w14:textId="77777777" w:rsidR="009A26CB" w:rsidRPr="00121962" w:rsidRDefault="009A26CB" w:rsidP="00F4422F">
            <w:pPr>
              <w:pStyle w:val="TableText"/>
              <w:rPr>
                <w:szCs w:val="20"/>
              </w:rPr>
            </w:pPr>
            <w:r w:rsidRPr="00121962">
              <w:rPr>
                <w:szCs w:val="20"/>
              </w:rPr>
              <w:t>Time to first event of ≥50% decline in eGFR, ESKD, or renal death, n (%)</w:t>
            </w:r>
          </w:p>
        </w:tc>
        <w:tc>
          <w:tcPr>
            <w:tcW w:w="2126" w:type="dxa"/>
            <w:vAlign w:val="center"/>
          </w:tcPr>
          <w:p w14:paraId="326AF37B" w14:textId="77777777" w:rsidR="009A26CB" w:rsidRPr="00121962" w:rsidRDefault="009A26CB" w:rsidP="00DF4FD5">
            <w:pPr>
              <w:pStyle w:val="TableText"/>
              <w:jc w:val="center"/>
              <w:rPr>
                <w:szCs w:val="20"/>
              </w:rPr>
            </w:pPr>
            <w:r w:rsidRPr="00121962">
              <w:rPr>
                <w:szCs w:val="20"/>
              </w:rPr>
              <w:t>142 (6.6%)</w:t>
            </w:r>
          </w:p>
        </w:tc>
        <w:tc>
          <w:tcPr>
            <w:tcW w:w="1701" w:type="dxa"/>
            <w:vAlign w:val="center"/>
          </w:tcPr>
          <w:p w14:paraId="4C0B7DFD" w14:textId="77777777" w:rsidR="009A26CB" w:rsidRPr="00121962" w:rsidRDefault="009A26CB" w:rsidP="00DF4FD5">
            <w:pPr>
              <w:pStyle w:val="TableText"/>
              <w:jc w:val="center"/>
              <w:rPr>
                <w:szCs w:val="20"/>
              </w:rPr>
            </w:pPr>
            <w:r w:rsidRPr="00121962">
              <w:rPr>
                <w:szCs w:val="20"/>
              </w:rPr>
              <w:t>243 (11.3%)</w:t>
            </w:r>
          </w:p>
        </w:tc>
        <w:tc>
          <w:tcPr>
            <w:tcW w:w="1934" w:type="dxa"/>
            <w:vAlign w:val="center"/>
          </w:tcPr>
          <w:p w14:paraId="6FED379C" w14:textId="77777777" w:rsidR="009A26CB" w:rsidRPr="00121962" w:rsidRDefault="009A26CB" w:rsidP="00DF4FD5">
            <w:pPr>
              <w:pStyle w:val="TableText"/>
              <w:jc w:val="center"/>
              <w:rPr>
                <w:szCs w:val="20"/>
              </w:rPr>
            </w:pPr>
            <w:r w:rsidRPr="00121962">
              <w:rPr>
                <w:szCs w:val="20"/>
              </w:rPr>
              <w:t>0.56 (0.45, 0.68)</w:t>
            </w:r>
          </w:p>
        </w:tc>
      </w:tr>
      <w:tr w:rsidR="009A26CB" w:rsidRPr="00121962" w14:paraId="4EC664F7" w14:textId="77777777" w:rsidTr="004145E5">
        <w:tc>
          <w:tcPr>
            <w:tcW w:w="3256" w:type="dxa"/>
            <w:vAlign w:val="center"/>
          </w:tcPr>
          <w:p w14:paraId="6A3869D8" w14:textId="77777777" w:rsidR="009A26CB" w:rsidRPr="00121962" w:rsidRDefault="009A26CB" w:rsidP="00DB18ED">
            <w:pPr>
              <w:pStyle w:val="TableText"/>
              <w:rPr>
                <w:szCs w:val="20"/>
              </w:rPr>
            </w:pPr>
            <w:r w:rsidRPr="00121962">
              <w:rPr>
                <w:szCs w:val="20"/>
              </w:rPr>
              <w:t>Time to first event of cardiovascular death, or hospitalisation for HF, n (%)</w:t>
            </w:r>
          </w:p>
        </w:tc>
        <w:tc>
          <w:tcPr>
            <w:tcW w:w="2126" w:type="dxa"/>
            <w:vAlign w:val="center"/>
          </w:tcPr>
          <w:p w14:paraId="114168B3"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100 (4.6%)</w:t>
            </w:r>
          </w:p>
        </w:tc>
        <w:tc>
          <w:tcPr>
            <w:tcW w:w="1701" w:type="dxa"/>
            <w:vAlign w:val="center"/>
          </w:tcPr>
          <w:p w14:paraId="155A5DB7"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138 (6.4%)</w:t>
            </w:r>
          </w:p>
        </w:tc>
        <w:tc>
          <w:tcPr>
            <w:tcW w:w="1934" w:type="dxa"/>
            <w:vAlign w:val="center"/>
          </w:tcPr>
          <w:p w14:paraId="46CA0248"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0.71 (0.55, 0.92)</w:t>
            </w:r>
          </w:p>
        </w:tc>
      </w:tr>
      <w:tr w:rsidR="009A26CB" w:rsidRPr="00121962" w14:paraId="67808C60" w14:textId="77777777" w:rsidTr="004145E5">
        <w:trPr>
          <w:trHeight w:val="77"/>
        </w:trPr>
        <w:tc>
          <w:tcPr>
            <w:tcW w:w="3256" w:type="dxa"/>
            <w:vAlign w:val="center"/>
          </w:tcPr>
          <w:p w14:paraId="2C1C2548" w14:textId="77777777" w:rsidR="009A26CB" w:rsidRPr="00121962" w:rsidRDefault="009A26CB" w:rsidP="00DF4FD5">
            <w:pPr>
              <w:keepNext/>
              <w:rPr>
                <w:rFonts w:ascii="Arial Narrow" w:hAnsi="Arial Narrow"/>
                <w:sz w:val="20"/>
                <w:szCs w:val="20"/>
              </w:rPr>
            </w:pPr>
            <w:r w:rsidRPr="00121962">
              <w:rPr>
                <w:rFonts w:ascii="Arial Narrow" w:hAnsi="Arial Narrow"/>
                <w:sz w:val="20"/>
                <w:szCs w:val="20"/>
              </w:rPr>
              <w:t>Death from any cause, n (%)</w:t>
            </w:r>
          </w:p>
        </w:tc>
        <w:tc>
          <w:tcPr>
            <w:tcW w:w="2126" w:type="dxa"/>
            <w:vAlign w:val="center"/>
          </w:tcPr>
          <w:p w14:paraId="4ECF14EB"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101 (4.7%)</w:t>
            </w:r>
          </w:p>
        </w:tc>
        <w:tc>
          <w:tcPr>
            <w:tcW w:w="1701" w:type="dxa"/>
            <w:vAlign w:val="center"/>
          </w:tcPr>
          <w:p w14:paraId="79626C6F"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146 (6.8%)</w:t>
            </w:r>
          </w:p>
        </w:tc>
        <w:tc>
          <w:tcPr>
            <w:tcW w:w="1934" w:type="dxa"/>
            <w:vAlign w:val="center"/>
          </w:tcPr>
          <w:p w14:paraId="4FE6E233"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0.69 (0.53, 0.88)</w:t>
            </w:r>
          </w:p>
        </w:tc>
      </w:tr>
    </w:tbl>
    <w:p w14:paraId="49963483" w14:textId="77777777" w:rsidR="009A26CB" w:rsidRPr="00121962" w:rsidRDefault="009A26CB" w:rsidP="00DF4FD5">
      <w:pPr>
        <w:pStyle w:val="TableFigureFooter"/>
        <w:keepNext/>
      </w:pPr>
      <w:r w:rsidRPr="00121962">
        <w:t>Source: Table 2.5.1, p.79 of the submission</w:t>
      </w:r>
    </w:p>
    <w:p w14:paraId="2269662D" w14:textId="77777777" w:rsidR="009A26CB" w:rsidRPr="00121962" w:rsidRDefault="009A26CB" w:rsidP="00DF4FD5">
      <w:pPr>
        <w:pStyle w:val="TableFigureFooter"/>
        <w:keepNext/>
      </w:pPr>
      <w:r w:rsidRPr="00121962">
        <w:t xml:space="preserve">eGFR, estimated glomerular filtration rate; ESKD, end-stage kidney disease; </w:t>
      </w:r>
      <w:r w:rsidR="00741AE0">
        <w:t xml:space="preserve">HF, heart failure; </w:t>
      </w:r>
      <w:r w:rsidRPr="00121962">
        <w:t>ITT, intention-to-treat; SOC, standard of care</w:t>
      </w:r>
    </w:p>
    <w:p w14:paraId="408184FE" w14:textId="77777777" w:rsidR="009A26CB" w:rsidRPr="00121962" w:rsidRDefault="00DF4FD5" w:rsidP="009A26CB">
      <w:pPr>
        <w:pStyle w:val="ExecSumBodyText"/>
        <w:rPr>
          <w:color w:val="0066FF"/>
        </w:rPr>
      </w:pPr>
      <w:r w:rsidRPr="00121962">
        <w:t>EQ-5D-5L utility scores remained similar over time in both treatment arms. Similar results were observed for the KDQOL-36, with no clinically relevant changes compared to baseline observed for either treatment arm.</w:t>
      </w:r>
    </w:p>
    <w:p w14:paraId="43D7EA67" w14:textId="77777777" w:rsidR="00DB18ED" w:rsidRPr="00121962" w:rsidRDefault="007D25E8" w:rsidP="00DB18ED">
      <w:pPr>
        <w:pStyle w:val="4-SubsectSubhead"/>
        <w:rPr>
          <w:sz w:val="24"/>
          <w:szCs w:val="24"/>
          <w:u w:val="single"/>
        </w:rPr>
      </w:pPr>
      <w:r w:rsidRPr="00121962">
        <w:rPr>
          <w:sz w:val="24"/>
          <w:szCs w:val="24"/>
          <w:u w:val="single"/>
        </w:rPr>
        <w:t>Pre-specified s</w:t>
      </w:r>
      <w:r w:rsidR="00DB18ED" w:rsidRPr="00121962">
        <w:rPr>
          <w:sz w:val="24"/>
          <w:szCs w:val="24"/>
          <w:u w:val="single"/>
        </w:rPr>
        <w:t>ubgroup analyses</w:t>
      </w:r>
    </w:p>
    <w:p w14:paraId="4D483AFF" w14:textId="77777777" w:rsidR="00DE0208" w:rsidRPr="00121962" w:rsidRDefault="00DE0208" w:rsidP="0020278B">
      <w:pPr>
        <w:pStyle w:val="ExecSumBodyText"/>
      </w:pPr>
      <w:r w:rsidRPr="00121962">
        <w:t>The benefit of dapagliflozin in the primary composite outcome was generally consistent across the pre-specified subgroups. Tests for treatment effect interaction indicated a significant interaction by baseline systolic blood pressure, with dapagliflozin being associated with a smaller magnitude of effect in patients with systolic blood pressure &gt;130 mmHg.</w:t>
      </w:r>
      <w:r w:rsidR="0020278B" w:rsidRPr="00121962">
        <w:t xml:space="preserve"> The PSCR (p1) reiterated that dapagliflozin plus SOC remained significantly more efficacious than SOC alone regardless of baseline systolic blood pressure. In addition, it noted that 64.7% of Australians with diabetes, CKD or card</w:t>
      </w:r>
      <w:r w:rsidR="00953692" w:rsidRPr="00121962">
        <w:t>iovascular disease are estimated</w:t>
      </w:r>
      <w:r w:rsidR="0020278B" w:rsidRPr="00121962">
        <w:t xml:space="preserve"> to have blood pressure over 130/80</w:t>
      </w:r>
      <w:r w:rsidR="000203D0" w:rsidRPr="00121962">
        <w:t> </w:t>
      </w:r>
      <w:r w:rsidR="0020278B" w:rsidRPr="00121962">
        <w:t>mmHg (Hoare et al, 2018), which is comparable to the 64.2% of patients in the DAPA-CKD trial with a systolic blood pressure of &gt;130 mmHg.</w:t>
      </w:r>
      <w:r w:rsidR="00953692" w:rsidRPr="00121962">
        <w:t xml:space="preserve"> Therefore, the PSCR argued, the trial results in the subgroups analysed were likely to be applicable for the Australian population.</w:t>
      </w:r>
    </w:p>
    <w:p w14:paraId="670C30B6" w14:textId="77777777" w:rsidR="00DE0208" w:rsidRPr="00121962" w:rsidRDefault="00DE0208" w:rsidP="00DE0208">
      <w:pPr>
        <w:pStyle w:val="ExecSumBodyText"/>
      </w:pPr>
      <w:r w:rsidRPr="00121962">
        <w:t>The submission noted the results of the primary outcome were similar for the subgroups with an eGFR of ≥45 or &lt;45 mL/min/1.73m</w:t>
      </w:r>
      <w:r w:rsidRPr="00121962">
        <w:rPr>
          <w:vertAlign w:val="superscript"/>
        </w:rPr>
        <w:t>2</w:t>
      </w:r>
      <w:r w:rsidRPr="00121962">
        <w:t>, and suggested that the treatment effect of dapagliflozin in patients with CKD is independent of its glycaemic effect. Differences in event rates between complementary subgroups in the comparator arm of the DAPA-CKD trial (SOC alone) suggest</w:t>
      </w:r>
      <w:r w:rsidR="000203D0" w:rsidRPr="00121962">
        <w:t>ed</w:t>
      </w:r>
      <w:r w:rsidRPr="00121962">
        <w:t xml:space="preserve"> differences in baseline risk in the eGFR (&lt;30 26.3%; ≥30 12.4% OR &lt;45 17.4%; ≥45 10.5%), as well as the UACR (≤1000 7.5%; &gt;1000 22.1%) and T2DM status (yes 15.8%; no 11.8%) subgroups.</w:t>
      </w:r>
    </w:p>
    <w:p w14:paraId="59B59B6B" w14:textId="77777777" w:rsidR="00DE0208" w:rsidRPr="00121962" w:rsidRDefault="00DE0208" w:rsidP="00DE0208">
      <w:pPr>
        <w:pStyle w:val="ExecSumBodyText"/>
      </w:pPr>
      <w:r w:rsidRPr="00121962">
        <w:t xml:space="preserve">Differences in event rates between complementary subgroups in the comparator arm </w:t>
      </w:r>
      <w:r w:rsidR="009671F8" w:rsidRPr="00121962">
        <w:t xml:space="preserve">of the DAPA-CKD trial </w:t>
      </w:r>
      <w:r w:rsidRPr="00121962">
        <w:t xml:space="preserve">were also observed by </w:t>
      </w:r>
      <w:r w:rsidR="000203D0" w:rsidRPr="00121962">
        <w:t>r</w:t>
      </w:r>
      <w:r w:rsidRPr="00121962">
        <w:t xml:space="preserve">egion (Asia 10.6%; Europe 14.3%; North America 16.8%; Latin/South America 18.4%), </w:t>
      </w:r>
      <w:r w:rsidR="009671F8" w:rsidRPr="00121962">
        <w:t>suggesting health system effects, which may limit the applicability of results of the trial to the Australian setting.</w:t>
      </w:r>
    </w:p>
    <w:p w14:paraId="271847E4" w14:textId="77777777" w:rsidR="00DE0208" w:rsidRPr="00121962" w:rsidRDefault="00DE0208" w:rsidP="00DE0208">
      <w:pPr>
        <w:pStyle w:val="ExecSumBodyText"/>
      </w:pPr>
      <w:r w:rsidRPr="00121962">
        <w:t>Results of the subgroup analyses for the key secondary composite outcomes were generally consistent across subgroups. However, there were significant treatment effect interactions in the ≥50% eGFR decline, ESKD</w:t>
      </w:r>
      <w:r w:rsidR="000D2CA0" w:rsidRPr="00121962">
        <w:t xml:space="preserve"> or</w:t>
      </w:r>
      <w:r w:rsidRPr="00121962">
        <w:t xml:space="preserve"> renal death composite outcome for baseline systolic blood pressure and the cardiovascular death </w:t>
      </w:r>
      <w:r w:rsidR="000D2CA0" w:rsidRPr="00121962">
        <w:t xml:space="preserve">or </w:t>
      </w:r>
      <w:r w:rsidRPr="00121962">
        <w:t>heart failure hospitalisation composite outcome for sex (dapagliflozin was associated with a smaller magnitude of effect in males).</w:t>
      </w:r>
    </w:p>
    <w:p w14:paraId="698ABE82" w14:textId="77777777" w:rsidR="009A26CB" w:rsidRPr="00121962" w:rsidRDefault="0082789E" w:rsidP="00DE0208">
      <w:pPr>
        <w:pStyle w:val="ExecSumBodyText"/>
        <w:rPr>
          <w:color w:val="0066FF"/>
        </w:rPr>
      </w:pPr>
      <w:r w:rsidRPr="00121962">
        <w:t>For the key secondary composite outcomes</w:t>
      </w:r>
      <w:r w:rsidR="00DE0208" w:rsidRPr="00121962">
        <w:t>, there were differences in event rates between complementary subgroups in the comparator arm suggesting differences in baseline risk by eGFR and UACR category, diabetes status and region.</w:t>
      </w:r>
    </w:p>
    <w:p w14:paraId="0ABB626A" w14:textId="77777777" w:rsidR="00DB18ED" w:rsidRPr="00121962" w:rsidRDefault="00312575" w:rsidP="00DB18ED">
      <w:pPr>
        <w:pStyle w:val="4-SubsectSubhead"/>
        <w:rPr>
          <w:sz w:val="24"/>
          <w:szCs w:val="24"/>
          <w:u w:val="single"/>
        </w:rPr>
      </w:pPr>
      <w:r w:rsidRPr="00121962">
        <w:rPr>
          <w:i/>
          <w:sz w:val="24"/>
          <w:szCs w:val="24"/>
          <w:u w:val="single"/>
        </w:rPr>
        <w:t>Post hoc</w:t>
      </w:r>
      <w:r w:rsidR="00DB18ED" w:rsidRPr="00121962">
        <w:rPr>
          <w:sz w:val="24"/>
          <w:szCs w:val="24"/>
          <w:u w:val="single"/>
        </w:rPr>
        <w:t xml:space="preserve"> analyses</w:t>
      </w:r>
    </w:p>
    <w:p w14:paraId="51BB202C" w14:textId="77777777" w:rsidR="009A26CB" w:rsidRPr="00121962" w:rsidRDefault="00E51973" w:rsidP="009A26CB">
      <w:pPr>
        <w:pStyle w:val="ExecSumBodyText"/>
        <w:rPr>
          <w:color w:val="0066FF"/>
        </w:rPr>
      </w:pPr>
      <w:r w:rsidRPr="00121962">
        <w:t xml:space="preserve">Table </w:t>
      </w:r>
      <w:r>
        <w:rPr>
          <w:noProof/>
        </w:rPr>
        <w:t>6</w:t>
      </w:r>
      <w:r w:rsidR="009671F8" w:rsidRPr="00121962">
        <w:t xml:space="preserve"> summarise</w:t>
      </w:r>
      <w:r w:rsidR="00CA0AA3" w:rsidRPr="00121962">
        <w:t>s</w:t>
      </w:r>
      <w:r w:rsidR="009671F8" w:rsidRPr="00121962">
        <w:t xml:space="preserve"> the results of the </w:t>
      </w:r>
      <w:r w:rsidR="00312575" w:rsidRPr="00121962">
        <w:rPr>
          <w:i/>
        </w:rPr>
        <w:t>post hoc</w:t>
      </w:r>
      <w:r w:rsidR="009671F8" w:rsidRPr="00121962">
        <w:t xml:space="preserve"> analyses in the DAPA-CKD trial (ITT). Results of the </w:t>
      </w:r>
      <w:r w:rsidR="00312575" w:rsidRPr="00121962">
        <w:rPr>
          <w:i/>
        </w:rPr>
        <w:t>post hoc</w:t>
      </w:r>
      <w:r w:rsidR="009671F8" w:rsidRPr="00121962">
        <w:t xml:space="preserve"> analys</w:t>
      </w:r>
      <w:r w:rsidR="00846F2A" w:rsidRPr="00121962">
        <w:t>e</w:t>
      </w:r>
      <w:r w:rsidR="009671F8" w:rsidRPr="00121962">
        <w:t>s were used to inform transition probabilities in the economic model.</w:t>
      </w:r>
    </w:p>
    <w:p w14:paraId="12CE2382" w14:textId="77777777" w:rsidR="009671F8" w:rsidRPr="00121962" w:rsidRDefault="0008596F" w:rsidP="000D2CA0">
      <w:pPr>
        <w:pStyle w:val="TableFigureCaption"/>
        <w:keepLines/>
      </w:pPr>
      <w:bookmarkStart w:id="21" w:name="_Ref70944595"/>
      <w:r w:rsidRPr="00121962">
        <w:t xml:space="preserve">Table </w:t>
      </w:r>
      <w:r w:rsidR="00E51973">
        <w:rPr>
          <w:noProof/>
        </w:rPr>
        <w:t>6</w:t>
      </w:r>
      <w:bookmarkEnd w:id="21"/>
      <w:r w:rsidRPr="00121962">
        <w:t>:</w:t>
      </w:r>
      <w:r w:rsidR="009671F8" w:rsidRPr="00121962">
        <w:rPr>
          <w:rStyle w:val="TableHeadingChar"/>
          <w:rFonts w:cstheme="majorBidi"/>
          <w:b/>
          <w:lang w:bidi="ar-SA"/>
        </w:rPr>
        <w:t xml:space="preserve"> Results of the </w:t>
      </w:r>
      <w:r w:rsidR="00312575" w:rsidRPr="00121962">
        <w:rPr>
          <w:rStyle w:val="TableHeadingChar"/>
          <w:rFonts w:cstheme="majorBidi"/>
          <w:b/>
          <w:i/>
          <w:lang w:bidi="ar-SA"/>
        </w:rPr>
        <w:t>post hoc</w:t>
      </w:r>
      <w:r w:rsidR="009671F8" w:rsidRPr="00121962">
        <w:rPr>
          <w:rStyle w:val="TableHeadingChar"/>
          <w:rFonts w:cstheme="majorBidi"/>
          <w:b/>
          <w:lang w:bidi="ar-SA"/>
        </w:rPr>
        <w:t xml:space="preserve"> analyses</w:t>
      </w:r>
      <w:r w:rsidR="00914EDC">
        <w:rPr>
          <w:rStyle w:val="TableHeadingChar"/>
          <w:rFonts w:cstheme="majorBidi"/>
          <w:b/>
          <w:lang w:bidi="ar-SA"/>
        </w:rPr>
        <w:t>*</w:t>
      </w:r>
      <w:r w:rsidR="009671F8" w:rsidRPr="00121962">
        <w:rPr>
          <w:rStyle w:val="TableHeadingChar"/>
          <w:rFonts w:cstheme="majorBidi"/>
          <w:b/>
          <w:lang w:bidi="ar-SA"/>
        </w:rPr>
        <w:t xml:space="preserve"> in the DAPA</w:t>
      </w:r>
      <w:r w:rsidR="009671F8" w:rsidRPr="00121962">
        <w:rPr>
          <w:rStyle w:val="TableHeadingChar"/>
          <w:rFonts w:cstheme="majorBidi"/>
          <w:b/>
          <w:lang w:bidi="ar-SA"/>
        </w:rPr>
        <w:noBreakHyphen/>
        <w:t xml:space="preserve">CKD trial (ITT) </w:t>
      </w:r>
    </w:p>
    <w:tbl>
      <w:tblPr>
        <w:tblStyle w:val="TableGrid"/>
        <w:tblW w:w="5001" w:type="pct"/>
        <w:tblLayout w:type="fixed"/>
        <w:tblLook w:val="04A0" w:firstRow="1" w:lastRow="0" w:firstColumn="1" w:lastColumn="0" w:noHBand="0" w:noVBand="1"/>
        <w:tblCaption w:val="Table 6: Results of the post hoc analyses* in the DAPA CKD trial (ITT) "/>
      </w:tblPr>
      <w:tblGrid>
        <w:gridCol w:w="5130"/>
        <w:gridCol w:w="1115"/>
        <w:gridCol w:w="979"/>
        <w:gridCol w:w="1795"/>
      </w:tblGrid>
      <w:tr w:rsidR="009671F8" w:rsidRPr="00121962" w14:paraId="4E2E5A74" w14:textId="77777777" w:rsidTr="0013522E">
        <w:trPr>
          <w:tblHeader/>
        </w:trPr>
        <w:tc>
          <w:tcPr>
            <w:tcW w:w="2844" w:type="pct"/>
            <w:vAlign w:val="center"/>
          </w:tcPr>
          <w:p w14:paraId="0934FECF" w14:textId="77777777" w:rsidR="009671F8" w:rsidRPr="00121962" w:rsidRDefault="009671F8" w:rsidP="000D2CA0">
            <w:pPr>
              <w:pStyle w:val="TableText"/>
              <w:keepLines/>
              <w:rPr>
                <w:b/>
              </w:rPr>
            </w:pPr>
            <w:r w:rsidRPr="00121962">
              <w:rPr>
                <w:b/>
              </w:rPr>
              <w:t>Outcome</w:t>
            </w:r>
          </w:p>
        </w:tc>
        <w:tc>
          <w:tcPr>
            <w:tcW w:w="618" w:type="pct"/>
            <w:vAlign w:val="center"/>
          </w:tcPr>
          <w:p w14:paraId="511FF0BD" w14:textId="77777777" w:rsidR="009671F8" w:rsidRPr="00121962" w:rsidRDefault="009671F8" w:rsidP="000D2CA0">
            <w:pPr>
              <w:pStyle w:val="TableText"/>
              <w:keepLines/>
              <w:ind w:left="-58" w:right="-71"/>
              <w:jc w:val="center"/>
              <w:rPr>
                <w:b/>
              </w:rPr>
            </w:pPr>
            <w:r w:rsidRPr="00121962">
              <w:rPr>
                <w:b/>
              </w:rPr>
              <w:t>Dapagliflozin + SOC</w:t>
            </w:r>
            <w:r w:rsidR="00846F2A" w:rsidRPr="00121962">
              <w:rPr>
                <w:b/>
              </w:rPr>
              <w:t xml:space="preserve"> (N)</w:t>
            </w:r>
          </w:p>
        </w:tc>
        <w:tc>
          <w:tcPr>
            <w:tcW w:w="543" w:type="pct"/>
            <w:vAlign w:val="center"/>
          </w:tcPr>
          <w:p w14:paraId="51635C93" w14:textId="77777777" w:rsidR="009671F8" w:rsidRPr="00121962" w:rsidRDefault="009671F8" w:rsidP="000D2CA0">
            <w:pPr>
              <w:pStyle w:val="TableText"/>
              <w:keepLines/>
              <w:ind w:left="-58" w:right="-71"/>
              <w:jc w:val="center"/>
              <w:rPr>
                <w:b/>
              </w:rPr>
            </w:pPr>
            <w:r w:rsidRPr="00121962">
              <w:rPr>
                <w:b/>
              </w:rPr>
              <w:t>SOC</w:t>
            </w:r>
            <w:r w:rsidR="00846F2A" w:rsidRPr="00121962">
              <w:rPr>
                <w:b/>
              </w:rPr>
              <w:t xml:space="preserve"> (N)</w:t>
            </w:r>
          </w:p>
        </w:tc>
        <w:tc>
          <w:tcPr>
            <w:tcW w:w="995" w:type="pct"/>
            <w:vAlign w:val="center"/>
          </w:tcPr>
          <w:p w14:paraId="6BE34C0A" w14:textId="77777777" w:rsidR="009671F8" w:rsidRPr="00121962" w:rsidRDefault="009671F8" w:rsidP="000D2CA0">
            <w:pPr>
              <w:pStyle w:val="TableText"/>
              <w:keepLines/>
              <w:ind w:left="-58" w:right="-71"/>
              <w:jc w:val="center"/>
              <w:rPr>
                <w:b/>
              </w:rPr>
            </w:pPr>
            <w:r w:rsidRPr="00121962">
              <w:rPr>
                <w:b/>
              </w:rPr>
              <w:t>Overall ITT</w:t>
            </w:r>
          </w:p>
          <w:p w14:paraId="09E91745" w14:textId="77777777" w:rsidR="009671F8" w:rsidRPr="00121962" w:rsidRDefault="009671F8" w:rsidP="000D2CA0">
            <w:pPr>
              <w:pStyle w:val="TableText"/>
              <w:keepLines/>
              <w:ind w:left="-58" w:right="-71"/>
              <w:jc w:val="center"/>
              <w:rPr>
                <w:b/>
              </w:rPr>
            </w:pPr>
            <w:r w:rsidRPr="00121962">
              <w:rPr>
                <w:b/>
              </w:rPr>
              <w:t>Hazard ratio (95% CI)</w:t>
            </w:r>
          </w:p>
        </w:tc>
      </w:tr>
      <w:tr w:rsidR="009671F8" w:rsidRPr="00121962" w14:paraId="453D5C89" w14:textId="77777777" w:rsidTr="0038610A">
        <w:trPr>
          <w:trHeight w:val="221"/>
        </w:trPr>
        <w:tc>
          <w:tcPr>
            <w:tcW w:w="2844" w:type="pct"/>
            <w:vAlign w:val="center"/>
          </w:tcPr>
          <w:p w14:paraId="6350EA4E" w14:textId="77777777" w:rsidR="009671F8" w:rsidRPr="00121962" w:rsidRDefault="009671F8" w:rsidP="000D2CA0">
            <w:pPr>
              <w:pStyle w:val="TableText"/>
              <w:keepLines/>
              <w:rPr>
                <w:i/>
              </w:rPr>
            </w:pPr>
            <w:r w:rsidRPr="00121962">
              <w:t>Primary composite outcome</w:t>
            </w:r>
          </w:p>
        </w:tc>
        <w:tc>
          <w:tcPr>
            <w:tcW w:w="618" w:type="pct"/>
            <w:vAlign w:val="center"/>
          </w:tcPr>
          <w:p w14:paraId="3239AE32" w14:textId="77777777" w:rsidR="009671F8" w:rsidRPr="00121962" w:rsidRDefault="009671F8" w:rsidP="000D2CA0">
            <w:pPr>
              <w:pStyle w:val="TableText"/>
              <w:keepLines/>
              <w:ind w:left="-58" w:right="-71"/>
              <w:jc w:val="center"/>
            </w:pPr>
            <w:r w:rsidRPr="00121962">
              <w:t>2,152</w:t>
            </w:r>
          </w:p>
        </w:tc>
        <w:tc>
          <w:tcPr>
            <w:tcW w:w="543" w:type="pct"/>
            <w:vAlign w:val="center"/>
          </w:tcPr>
          <w:p w14:paraId="69DC714E" w14:textId="77777777" w:rsidR="009671F8" w:rsidRPr="00121962" w:rsidRDefault="009671F8" w:rsidP="000D2CA0">
            <w:pPr>
              <w:pStyle w:val="TableText"/>
              <w:keepLines/>
              <w:ind w:left="-58" w:right="-71"/>
              <w:jc w:val="center"/>
            </w:pPr>
            <w:r w:rsidRPr="00121962">
              <w:t>2,152</w:t>
            </w:r>
          </w:p>
        </w:tc>
        <w:tc>
          <w:tcPr>
            <w:tcW w:w="995" w:type="pct"/>
            <w:vAlign w:val="center"/>
          </w:tcPr>
          <w:p w14:paraId="48F39F91" w14:textId="77777777" w:rsidR="009671F8" w:rsidRPr="00121962" w:rsidRDefault="009671F8" w:rsidP="000D2CA0">
            <w:pPr>
              <w:pStyle w:val="TableText"/>
              <w:keepLines/>
              <w:ind w:left="-58" w:right="-71"/>
              <w:jc w:val="center"/>
              <w:rPr>
                <w:vertAlign w:val="superscript"/>
              </w:rPr>
            </w:pPr>
            <w:r w:rsidRPr="00121962">
              <w:t>0.61 (0.51, 0.72)</w:t>
            </w:r>
            <w:r w:rsidRPr="00121962">
              <w:rPr>
                <w:vertAlign w:val="superscript"/>
              </w:rPr>
              <w:t>a</w:t>
            </w:r>
          </w:p>
        </w:tc>
      </w:tr>
      <w:tr w:rsidR="009671F8" w:rsidRPr="00121962" w14:paraId="75E66CF0" w14:textId="77777777" w:rsidTr="0038610A">
        <w:trPr>
          <w:trHeight w:val="283"/>
        </w:trPr>
        <w:tc>
          <w:tcPr>
            <w:tcW w:w="2844" w:type="pct"/>
            <w:vAlign w:val="center"/>
          </w:tcPr>
          <w:p w14:paraId="5E13CBF5" w14:textId="77777777" w:rsidR="009671F8" w:rsidRPr="00121962" w:rsidRDefault="009671F8" w:rsidP="000D2CA0">
            <w:pPr>
              <w:pStyle w:val="TableText"/>
              <w:keepLines/>
            </w:pPr>
            <w:r w:rsidRPr="00121962">
              <w:t xml:space="preserve">Time to ESKD excluding deaths prior to ESKD </w:t>
            </w:r>
          </w:p>
        </w:tc>
        <w:tc>
          <w:tcPr>
            <w:tcW w:w="618" w:type="pct"/>
            <w:vAlign w:val="center"/>
          </w:tcPr>
          <w:p w14:paraId="38846E31" w14:textId="77777777" w:rsidR="009671F8" w:rsidRPr="00121962" w:rsidRDefault="009671F8" w:rsidP="000D2CA0">
            <w:pPr>
              <w:pStyle w:val="TableText"/>
              <w:keepLines/>
              <w:ind w:left="-58" w:right="-71"/>
              <w:jc w:val="center"/>
            </w:pPr>
            <w:r w:rsidRPr="00121962">
              <w:t>2,067</w:t>
            </w:r>
          </w:p>
        </w:tc>
        <w:tc>
          <w:tcPr>
            <w:tcW w:w="543" w:type="pct"/>
            <w:vAlign w:val="center"/>
          </w:tcPr>
          <w:p w14:paraId="4B840EC3" w14:textId="77777777" w:rsidR="009671F8" w:rsidRPr="00121962" w:rsidRDefault="009671F8" w:rsidP="000D2CA0">
            <w:pPr>
              <w:pStyle w:val="TableText"/>
              <w:keepLines/>
              <w:ind w:left="-58" w:right="-71"/>
              <w:jc w:val="center"/>
            </w:pPr>
            <w:r w:rsidRPr="00121962">
              <w:t>2,033</w:t>
            </w:r>
          </w:p>
        </w:tc>
        <w:tc>
          <w:tcPr>
            <w:tcW w:w="995" w:type="pct"/>
            <w:vAlign w:val="center"/>
          </w:tcPr>
          <w:p w14:paraId="24373B30" w14:textId="77777777" w:rsidR="009671F8" w:rsidRPr="00121962" w:rsidRDefault="009671F8" w:rsidP="000D2CA0">
            <w:pPr>
              <w:pStyle w:val="TableText"/>
              <w:keepLines/>
              <w:ind w:left="-58" w:right="-71"/>
              <w:jc w:val="center"/>
            </w:pPr>
            <w:r w:rsidRPr="00121962">
              <w:t>0.63 (0.50, 0.81)</w:t>
            </w:r>
          </w:p>
        </w:tc>
      </w:tr>
      <w:tr w:rsidR="009671F8" w:rsidRPr="00121962" w14:paraId="11AED2E3" w14:textId="77777777" w:rsidTr="0038610A">
        <w:trPr>
          <w:trHeight w:val="277"/>
        </w:trPr>
        <w:tc>
          <w:tcPr>
            <w:tcW w:w="2844" w:type="pct"/>
            <w:tcBorders>
              <w:bottom w:val="single" w:sz="4" w:space="0" w:color="auto"/>
            </w:tcBorders>
            <w:vAlign w:val="center"/>
          </w:tcPr>
          <w:p w14:paraId="23EE1E7D" w14:textId="77777777" w:rsidR="009671F8" w:rsidRPr="00121962" w:rsidRDefault="009671F8" w:rsidP="000D2CA0">
            <w:pPr>
              <w:pStyle w:val="TableText"/>
              <w:keepLines/>
            </w:pPr>
            <w:r w:rsidRPr="00121962">
              <w:t xml:space="preserve">Time to death from any cause in patients not progressing to ESKD </w:t>
            </w:r>
          </w:p>
        </w:tc>
        <w:tc>
          <w:tcPr>
            <w:tcW w:w="618" w:type="pct"/>
            <w:tcBorders>
              <w:bottom w:val="single" w:sz="4" w:space="0" w:color="auto"/>
            </w:tcBorders>
            <w:vAlign w:val="center"/>
          </w:tcPr>
          <w:p w14:paraId="01145916" w14:textId="77777777" w:rsidR="009671F8" w:rsidRPr="00121962" w:rsidRDefault="009671F8" w:rsidP="000D2CA0">
            <w:pPr>
              <w:pStyle w:val="TableText"/>
              <w:keepLines/>
              <w:ind w:left="-58" w:right="-71"/>
              <w:jc w:val="center"/>
            </w:pPr>
            <w:r w:rsidRPr="00121962">
              <w:t>2,043</w:t>
            </w:r>
          </w:p>
        </w:tc>
        <w:tc>
          <w:tcPr>
            <w:tcW w:w="543" w:type="pct"/>
            <w:tcBorders>
              <w:bottom w:val="single" w:sz="4" w:space="0" w:color="auto"/>
            </w:tcBorders>
            <w:vAlign w:val="center"/>
          </w:tcPr>
          <w:p w14:paraId="04AA52E6" w14:textId="77777777" w:rsidR="009671F8" w:rsidRPr="00121962" w:rsidRDefault="009671F8" w:rsidP="000D2CA0">
            <w:pPr>
              <w:pStyle w:val="TableText"/>
              <w:keepLines/>
              <w:ind w:left="-58" w:right="-71"/>
              <w:jc w:val="center"/>
            </w:pPr>
            <w:r w:rsidRPr="00121962">
              <w:t>1,991</w:t>
            </w:r>
          </w:p>
        </w:tc>
        <w:tc>
          <w:tcPr>
            <w:tcW w:w="995" w:type="pct"/>
            <w:tcBorders>
              <w:bottom w:val="single" w:sz="4" w:space="0" w:color="auto"/>
            </w:tcBorders>
            <w:vAlign w:val="center"/>
          </w:tcPr>
          <w:p w14:paraId="153AF3FC" w14:textId="77777777" w:rsidR="009671F8" w:rsidRPr="00121962" w:rsidRDefault="009671F8" w:rsidP="000D2CA0">
            <w:pPr>
              <w:pStyle w:val="TableText"/>
              <w:keepLines/>
              <w:ind w:left="-58" w:right="-71"/>
              <w:jc w:val="center"/>
            </w:pPr>
            <w:r w:rsidRPr="00121962">
              <w:t>0.69 (0.52, 0.91)</w:t>
            </w:r>
          </w:p>
        </w:tc>
      </w:tr>
      <w:tr w:rsidR="009671F8" w:rsidRPr="00121962" w14:paraId="787755C0" w14:textId="77777777" w:rsidTr="0038610A">
        <w:trPr>
          <w:trHeight w:val="280"/>
        </w:trPr>
        <w:tc>
          <w:tcPr>
            <w:tcW w:w="2844" w:type="pct"/>
            <w:tcBorders>
              <w:bottom w:val="single" w:sz="4" w:space="0" w:color="auto"/>
            </w:tcBorders>
            <w:vAlign w:val="center"/>
          </w:tcPr>
          <w:p w14:paraId="7ADD1BD8" w14:textId="77777777" w:rsidR="009671F8" w:rsidRPr="00121962" w:rsidRDefault="009671F8" w:rsidP="000D2CA0">
            <w:pPr>
              <w:pStyle w:val="TableText"/>
              <w:keepLines/>
            </w:pPr>
            <w:r w:rsidRPr="00121962">
              <w:t xml:space="preserve">Time from ESKD to death from any cause </w:t>
            </w:r>
          </w:p>
        </w:tc>
        <w:tc>
          <w:tcPr>
            <w:tcW w:w="618" w:type="pct"/>
            <w:tcBorders>
              <w:bottom w:val="single" w:sz="4" w:space="0" w:color="auto"/>
            </w:tcBorders>
            <w:vAlign w:val="center"/>
          </w:tcPr>
          <w:p w14:paraId="0F822783" w14:textId="77777777" w:rsidR="009671F8" w:rsidRPr="00121962" w:rsidRDefault="009671F8" w:rsidP="000D2CA0">
            <w:pPr>
              <w:pStyle w:val="TableText"/>
              <w:keepLines/>
              <w:ind w:left="-58" w:right="-71"/>
              <w:jc w:val="center"/>
            </w:pPr>
            <w:r w:rsidRPr="00121962">
              <w:t>109</w:t>
            </w:r>
          </w:p>
        </w:tc>
        <w:tc>
          <w:tcPr>
            <w:tcW w:w="543" w:type="pct"/>
            <w:tcBorders>
              <w:bottom w:val="single" w:sz="4" w:space="0" w:color="auto"/>
            </w:tcBorders>
            <w:vAlign w:val="center"/>
          </w:tcPr>
          <w:p w14:paraId="0F3283D1" w14:textId="77777777" w:rsidR="009671F8" w:rsidRPr="00121962" w:rsidRDefault="009671F8" w:rsidP="000D2CA0">
            <w:pPr>
              <w:pStyle w:val="TableText"/>
              <w:keepLines/>
              <w:ind w:left="-58" w:right="-71"/>
              <w:jc w:val="center"/>
            </w:pPr>
            <w:r w:rsidRPr="00121962">
              <w:t>161</w:t>
            </w:r>
          </w:p>
        </w:tc>
        <w:tc>
          <w:tcPr>
            <w:tcW w:w="995" w:type="pct"/>
            <w:tcBorders>
              <w:bottom w:val="single" w:sz="4" w:space="0" w:color="auto"/>
            </w:tcBorders>
            <w:vAlign w:val="center"/>
          </w:tcPr>
          <w:p w14:paraId="1FF79762" w14:textId="77777777" w:rsidR="009671F8" w:rsidRPr="00121962" w:rsidRDefault="009671F8" w:rsidP="000D2CA0">
            <w:pPr>
              <w:pStyle w:val="TableText"/>
              <w:keepLines/>
              <w:ind w:left="-58" w:right="-71"/>
              <w:jc w:val="center"/>
            </w:pPr>
            <w:r w:rsidRPr="00121962">
              <w:t>0.86 (0.46, 1.63)</w:t>
            </w:r>
          </w:p>
        </w:tc>
      </w:tr>
    </w:tbl>
    <w:p w14:paraId="1521AE13" w14:textId="77777777" w:rsidR="009671F8" w:rsidRPr="00121962" w:rsidRDefault="009671F8" w:rsidP="000D2CA0">
      <w:pPr>
        <w:pStyle w:val="TableFigureFooter"/>
        <w:keepNext/>
        <w:keepLines/>
      </w:pPr>
      <w:r w:rsidRPr="00121962">
        <w:t>Source: Table 2.6.1, p.92 of the submission; KMcurves_Section261.docx, Attachment 2.5 of the submission</w:t>
      </w:r>
    </w:p>
    <w:p w14:paraId="481FC42D" w14:textId="77777777" w:rsidR="009671F8" w:rsidRPr="00121962" w:rsidRDefault="009671F8" w:rsidP="000D2CA0">
      <w:pPr>
        <w:pStyle w:val="TableFigureFooter"/>
        <w:keepNext/>
        <w:keepLines/>
      </w:pPr>
      <w:r w:rsidRPr="00121962">
        <w:t>CI, confidence interval; ESKD, end</w:t>
      </w:r>
      <w:r w:rsidRPr="00121962">
        <w:noBreakHyphen/>
        <w:t>stage kidney disease; ITT, intention-to-treat</w:t>
      </w:r>
    </w:p>
    <w:p w14:paraId="05B5D1CF" w14:textId="77777777" w:rsidR="009671F8" w:rsidRDefault="009671F8" w:rsidP="000D2CA0">
      <w:pPr>
        <w:pStyle w:val="TableFigureFooter"/>
        <w:keepLines/>
      </w:pPr>
      <w:r w:rsidRPr="00121962">
        <w:rPr>
          <w:vertAlign w:val="superscript"/>
        </w:rPr>
        <w:t>a</w:t>
      </w:r>
      <w:r w:rsidRPr="00121962">
        <w:t xml:space="preserve"> From Table 2.5.1</w:t>
      </w:r>
      <w:r w:rsidR="00846F2A" w:rsidRPr="00121962">
        <w:t>, p79 of the submission</w:t>
      </w:r>
      <w:r w:rsidRPr="00121962">
        <w:t>.</w:t>
      </w:r>
      <w:r w:rsidR="0038610A" w:rsidRPr="00121962">
        <w:t xml:space="preserve"> Shown above in </w:t>
      </w:r>
      <w:r w:rsidR="00E51973" w:rsidRPr="00121962">
        <w:t xml:space="preserve">Table </w:t>
      </w:r>
      <w:r w:rsidR="00E51973">
        <w:t>4</w:t>
      </w:r>
      <w:r w:rsidR="00E51973" w:rsidRPr="00121962">
        <w:t>: Results for the primary composite outcome from the DAPA</w:t>
      </w:r>
      <w:r w:rsidR="00E51973" w:rsidRPr="00121962">
        <w:noBreakHyphen/>
        <w:t>CKD trial (ITT)</w:t>
      </w:r>
      <w:r w:rsidR="0038610A" w:rsidRPr="00121962">
        <w:t>, and p</w:t>
      </w:r>
      <w:r w:rsidR="00846F2A" w:rsidRPr="00121962">
        <w:t>rovided again here for comparative purposes.</w:t>
      </w:r>
    </w:p>
    <w:p w14:paraId="2B3EB569" w14:textId="77777777" w:rsidR="00914EDC" w:rsidRPr="00121962" w:rsidRDefault="00914EDC" w:rsidP="000D2CA0">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14:paraId="1FC2545D" w14:textId="77777777" w:rsidR="009671F8" w:rsidRPr="00121962" w:rsidRDefault="009671F8" w:rsidP="009671F8">
      <w:pPr>
        <w:pStyle w:val="ExecSumBodyText"/>
      </w:pPr>
      <w:r w:rsidRPr="00121962">
        <w:t xml:space="preserve">In the </w:t>
      </w:r>
      <w:r w:rsidR="00312575" w:rsidRPr="00121962">
        <w:rPr>
          <w:i/>
        </w:rPr>
        <w:t>post hoc</w:t>
      </w:r>
      <w:r w:rsidRPr="00121962">
        <w:t xml:space="preserve"> analyses</w:t>
      </w:r>
      <w:r w:rsidR="00003DD3" w:rsidRPr="00121962">
        <w:t>,</w:t>
      </w:r>
      <w:r w:rsidRPr="00121962">
        <w:t xml:space="preserve"> treatment with dapagliflozin plus SOC was associated with </w:t>
      </w:r>
      <w:r w:rsidR="000D3F1A" w:rsidRPr="00121962">
        <w:t>nominal</w:t>
      </w:r>
      <w:r w:rsidRPr="00121962">
        <w:t xml:space="preserve"> improvements in time to ESKD (excluding deaths prior to ESKD), and time to death from any cause in patients not progressing to ESKD, compared to SOC alone. Results for time from ESKD to death from any cause showed no difference between dapagliflozin plus SOC compared to SOC alone.</w:t>
      </w:r>
    </w:p>
    <w:p w14:paraId="7D2B37BE" w14:textId="77777777" w:rsidR="0056016B" w:rsidRPr="00121962" w:rsidRDefault="00F92C6A" w:rsidP="00BD5575">
      <w:pPr>
        <w:pStyle w:val="ExecSumBodyText"/>
      </w:pPr>
      <w:r w:rsidRPr="00121962">
        <w:t xml:space="preserve">Given the overlapping populations between T2DM, HFrEF and CKD, the </w:t>
      </w:r>
      <w:r w:rsidR="00554EDA" w:rsidRPr="00121962">
        <w:t xml:space="preserve">submission </w:t>
      </w:r>
      <w:r w:rsidR="00715646" w:rsidRPr="00121962">
        <w:t xml:space="preserve">also </w:t>
      </w:r>
      <w:r w:rsidR="00554EDA" w:rsidRPr="00121962">
        <w:t xml:space="preserve">conducted </w:t>
      </w:r>
      <w:r w:rsidR="00312575" w:rsidRPr="00121962">
        <w:rPr>
          <w:i/>
        </w:rPr>
        <w:t>post hoc</w:t>
      </w:r>
      <w:r w:rsidR="00554EDA" w:rsidRPr="00121962">
        <w:t xml:space="preserve"> subgr</w:t>
      </w:r>
      <w:r w:rsidR="007B0460" w:rsidRPr="00121962">
        <w:t xml:space="preserve">oup analyses to inform the </w:t>
      </w:r>
      <w:r w:rsidR="00846F2A" w:rsidRPr="00121962">
        <w:t xml:space="preserve">effectiveness </w:t>
      </w:r>
      <w:r w:rsidRPr="00121962">
        <w:t>and cost</w:t>
      </w:r>
      <w:r w:rsidR="00816EF9" w:rsidRPr="00121962">
        <w:t>-</w:t>
      </w:r>
      <w:r w:rsidRPr="00121962">
        <w:t xml:space="preserve">effectiveness of dapagliflozin in patients not eligible for PBS-subsidised dapagliflozin for T2DM or HFrEF. </w:t>
      </w:r>
    </w:p>
    <w:p w14:paraId="7E066A8E" w14:textId="77777777" w:rsidR="005633D5" w:rsidRPr="00121962" w:rsidRDefault="005633D5" w:rsidP="0038610A">
      <w:pPr>
        <w:pStyle w:val="ExecSumBodyText"/>
      </w:pPr>
      <w:r w:rsidRPr="00121962">
        <w:t xml:space="preserve">Patient demographic and disease characteristics for the CKD only subgroup (and complement subgroup) were not reported. Subgroup sample sizes reported for the Kaplan-Meier plots could not be verified, and the numbers of patients in the CKD only subgroup (excluding patients with T2DM or </w:t>
      </w:r>
      <w:r w:rsidR="0038610A" w:rsidRPr="00121962">
        <w:rPr>
          <w:iCs/>
        </w:rPr>
        <w:t>HFrEF</w:t>
      </w:r>
      <w:r w:rsidRPr="00121962">
        <w:t xml:space="preserve">) exceeded the numbers of patients in the DAPA-CKD trial reporting no T2DM at baseline; i.e. DAPA-CKD dapagliflozin + SOC = 696, SOC = 700; CKD only subgroup dapagliflozin + SOC = 1,359, SOC = 1,363. </w:t>
      </w:r>
      <w:r w:rsidR="00F85D02" w:rsidRPr="00121962">
        <w:t>T</w:t>
      </w:r>
      <w:r w:rsidR="00180909" w:rsidRPr="00121962">
        <w:t>his was not addressed in the PSCR</w:t>
      </w:r>
      <w:r w:rsidR="00F85D02" w:rsidRPr="00121962">
        <w:t xml:space="preserve"> or pre-PBAC response</w:t>
      </w:r>
      <w:r w:rsidR="00180909" w:rsidRPr="00121962">
        <w:t>.</w:t>
      </w:r>
    </w:p>
    <w:p w14:paraId="5732D793" w14:textId="77777777" w:rsidR="009671F8" w:rsidRPr="00121962" w:rsidRDefault="00E51973" w:rsidP="00BD5575">
      <w:pPr>
        <w:pStyle w:val="ExecSumBodyText"/>
      </w:pPr>
      <w:r w:rsidRPr="00121962">
        <w:t xml:space="preserve">Table </w:t>
      </w:r>
      <w:r>
        <w:rPr>
          <w:noProof/>
        </w:rPr>
        <w:t>7</w:t>
      </w:r>
      <w:r w:rsidR="009671F8" w:rsidRPr="00121962">
        <w:t xml:space="preserve"> summarises the results of </w:t>
      </w:r>
      <w:r w:rsidR="00312575" w:rsidRPr="00121962">
        <w:rPr>
          <w:i/>
        </w:rPr>
        <w:t>post hoc</w:t>
      </w:r>
      <w:r w:rsidR="009671F8" w:rsidRPr="00121962">
        <w:t xml:space="preserve"> subgroup analyses in</w:t>
      </w:r>
      <w:r w:rsidR="00846F2A" w:rsidRPr="00121962">
        <w:t xml:space="preserve"> the</w:t>
      </w:r>
      <w:r w:rsidR="009671F8" w:rsidRPr="00121962">
        <w:t xml:space="preserve"> </w:t>
      </w:r>
      <w:r w:rsidR="00C252C5" w:rsidRPr="00121962">
        <w:t>population with CKD only (without T2DM or HFrEF), and its complement subgroup.</w:t>
      </w:r>
      <w:r w:rsidR="009671F8" w:rsidRPr="00121962">
        <w:t xml:space="preserve"> Results of the CKD only subgroup </w:t>
      </w:r>
      <w:r w:rsidR="00846F2A" w:rsidRPr="00121962">
        <w:t xml:space="preserve">were </w:t>
      </w:r>
      <w:r w:rsidR="009671F8" w:rsidRPr="00121962">
        <w:t>used to inform a scenario analysis in the economic evaluation.</w:t>
      </w:r>
    </w:p>
    <w:p w14:paraId="54850455" w14:textId="77777777" w:rsidR="009671F8" w:rsidRPr="00121962" w:rsidRDefault="0008596F" w:rsidP="0008596F">
      <w:pPr>
        <w:pStyle w:val="TableFigureCaption"/>
        <w:rPr>
          <w:b w:val="0"/>
        </w:rPr>
      </w:pPr>
      <w:bookmarkStart w:id="22" w:name="_Ref70945535"/>
      <w:r w:rsidRPr="00121962">
        <w:t xml:space="preserve">Table </w:t>
      </w:r>
      <w:r w:rsidR="00E51973">
        <w:rPr>
          <w:noProof/>
        </w:rPr>
        <w:t>7</w:t>
      </w:r>
      <w:bookmarkEnd w:id="22"/>
      <w:r w:rsidRPr="00121962">
        <w:t>:</w:t>
      </w:r>
      <w:r w:rsidR="009671F8" w:rsidRPr="00121962">
        <w:rPr>
          <w:rStyle w:val="TableHeadingChar"/>
          <w:b/>
          <w:szCs w:val="20"/>
        </w:rPr>
        <w:t xml:space="preserve"> Results of the </w:t>
      </w:r>
      <w:r w:rsidR="00312575" w:rsidRPr="00121962">
        <w:rPr>
          <w:rStyle w:val="TableHeadingChar"/>
          <w:b/>
          <w:i/>
          <w:szCs w:val="20"/>
        </w:rPr>
        <w:t>post hoc</w:t>
      </w:r>
      <w:r w:rsidR="009671F8" w:rsidRPr="00121962">
        <w:rPr>
          <w:rStyle w:val="TableHeadingChar"/>
          <w:b/>
          <w:szCs w:val="20"/>
        </w:rPr>
        <w:t xml:space="preserve"> subgroup analyses</w:t>
      </w:r>
      <w:r w:rsidR="00914EDC">
        <w:rPr>
          <w:rStyle w:val="TableHeadingChar"/>
          <w:b/>
          <w:szCs w:val="20"/>
        </w:rPr>
        <w:t>*</w:t>
      </w:r>
      <w:r w:rsidR="009671F8" w:rsidRPr="00121962">
        <w:rPr>
          <w:rStyle w:val="TableHeadingChar"/>
          <w:b/>
          <w:szCs w:val="20"/>
        </w:rPr>
        <w:t xml:space="preserve"> in the DAPA</w:t>
      </w:r>
      <w:r w:rsidR="009671F8" w:rsidRPr="00121962">
        <w:rPr>
          <w:rStyle w:val="TableHeadingChar"/>
          <w:b/>
          <w:szCs w:val="20"/>
        </w:rPr>
        <w:noBreakHyphen/>
        <w:t xml:space="preserve">CKD trial (CKD only subgroup) </w:t>
      </w:r>
    </w:p>
    <w:tbl>
      <w:tblPr>
        <w:tblStyle w:val="TableGrid"/>
        <w:tblW w:w="5001" w:type="pct"/>
        <w:tblLook w:val="04A0" w:firstRow="1" w:lastRow="0" w:firstColumn="1" w:lastColumn="0" w:noHBand="0" w:noVBand="1"/>
        <w:tblCaption w:val="Table 7: Results of the post hoc subgroup analyses* in the DAPA CKD trial (CKD only subgroup) "/>
      </w:tblPr>
      <w:tblGrid>
        <w:gridCol w:w="5097"/>
        <w:gridCol w:w="1418"/>
        <w:gridCol w:w="850"/>
        <w:gridCol w:w="1654"/>
      </w:tblGrid>
      <w:tr w:rsidR="009671F8" w:rsidRPr="00121962" w14:paraId="5AB91AFB" w14:textId="77777777" w:rsidTr="0013522E">
        <w:trPr>
          <w:tblHeader/>
        </w:trPr>
        <w:tc>
          <w:tcPr>
            <w:tcW w:w="2826" w:type="pct"/>
            <w:vAlign w:val="center"/>
          </w:tcPr>
          <w:p w14:paraId="0E041A3B" w14:textId="77777777" w:rsidR="009671F8" w:rsidRPr="00121962" w:rsidRDefault="009671F8" w:rsidP="00E42C83">
            <w:pPr>
              <w:pStyle w:val="TableText"/>
              <w:rPr>
                <w:b/>
              </w:rPr>
            </w:pPr>
            <w:r w:rsidRPr="00121962">
              <w:rPr>
                <w:b/>
              </w:rPr>
              <w:t>Outcome</w:t>
            </w:r>
          </w:p>
        </w:tc>
        <w:tc>
          <w:tcPr>
            <w:tcW w:w="786" w:type="pct"/>
            <w:vAlign w:val="center"/>
          </w:tcPr>
          <w:p w14:paraId="4E6F0BBF" w14:textId="77777777" w:rsidR="009671F8" w:rsidRPr="00121962" w:rsidRDefault="009671F8" w:rsidP="00E42C83">
            <w:pPr>
              <w:pStyle w:val="TableText"/>
              <w:ind w:left="-58" w:right="-71"/>
              <w:jc w:val="center"/>
              <w:rPr>
                <w:b/>
              </w:rPr>
            </w:pPr>
            <w:r w:rsidRPr="00121962">
              <w:rPr>
                <w:b/>
              </w:rPr>
              <w:t>Dapagliflozin + SOC</w:t>
            </w:r>
            <w:r w:rsidR="00590AAF" w:rsidRPr="00121962">
              <w:rPr>
                <w:b/>
              </w:rPr>
              <w:t xml:space="preserve"> (N)</w:t>
            </w:r>
          </w:p>
        </w:tc>
        <w:tc>
          <w:tcPr>
            <w:tcW w:w="471" w:type="pct"/>
            <w:vAlign w:val="center"/>
          </w:tcPr>
          <w:p w14:paraId="15226EB6" w14:textId="77777777" w:rsidR="009671F8" w:rsidRPr="00121962" w:rsidRDefault="009671F8" w:rsidP="00E42C83">
            <w:pPr>
              <w:pStyle w:val="TableText"/>
              <w:ind w:left="-58" w:right="-71"/>
              <w:jc w:val="center"/>
              <w:rPr>
                <w:b/>
              </w:rPr>
            </w:pPr>
            <w:r w:rsidRPr="00121962">
              <w:rPr>
                <w:b/>
              </w:rPr>
              <w:t>SOC</w:t>
            </w:r>
            <w:r w:rsidR="00590AAF" w:rsidRPr="00121962">
              <w:rPr>
                <w:b/>
              </w:rPr>
              <w:t xml:space="preserve"> (N)</w:t>
            </w:r>
          </w:p>
        </w:tc>
        <w:tc>
          <w:tcPr>
            <w:tcW w:w="916" w:type="pct"/>
            <w:vAlign w:val="center"/>
          </w:tcPr>
          <w:p w14:paraId="64FE0B2A" w14:textId="77777777" w:rsidR="009671F8" w:rsidRPr="00121962" w:rsidRDefault="009671F8" w:rsidP="00E42C83">
            <w:pPr>
              <w:pStyle w:val="TableText"/>
              <w:ind w:left="-58" w:right="-71"/>
              <w:jc w:val="center"/>
              <w:rPr>
                <w:b/>
              </w:rPr>
            </w:pPr>
            <w:r w:rsidRPr="00121962">
              <w:rPr>
                <w:b/>
              </w:rPr>
              <w:t xml:space="preserve">Hazard ratio </w:t>
            </w:r>
          </w:p>
          <w:p w14:paraId="00FF3C4E" w14:textId="77777777" w:rsidR="009671F8" w:rsidRPr="00121962" w:rsidRDefault="009671F8" w:rsidP="00E42C83">
            <w:pPr>
              <w:pStyle w:val="TableText"/>
              <w:ind w:left="-58" w:right="-71"/>
              <w:jc w:val="center"/>
              <w:rPr>
                <w:b/>
              </w:rPr>
            </w:pPr>
            <w:r w:rsidRPr="00121962">
              <w:rPr>
                <w:b/>
              </w:rPr>
              <w:t>(95% CI)</w:t>
            </w:r>
          </w:p>
        </w:tc>
      </w:tr>
      <w:tr w:rsidR="009671F8" w:rsidRPr="00121962" w14:paraId="4540B50C" w14:textId="77777777" w:rsidTr="00E42C83">
        <w:tc>
          <w:tcPr>
            <w:tcW w:w="5000" w:type="pct"/>
            <w:gridSpan w:val="4"/>
            <w:vAlign w:val="center"/>
          </w:tcPr>
          <w:p w14:paraId="0A4CF431" w14:textId="77777777" w:rsidR="009671F8" w:rsidRPr="00121962" w:rsidRDefault="009671F8" w:rsidP="00E42C83">
            <w:pPr>
              <w:pStyle w:val="TableText"/>
              <w:ind w:left="-58" w:right="-71"/>
              <w:rPr>
                <w:b/>
              </w:rPr>
            </w:pPr>
            <w:r w:rsidRPr="00121962">
              <w:rPr>
                <w:b/>
              </w:rPr>
              <w:t>CKD only subgroup</w:t>
            </w:r>
          </w:p>
        </w:tc>
      </w:tr>
      <w:tr w:rsidR="009671F8" w:rsidRPr="00121962" w14:paraId="6AFA7D88" w14:textId="77777777" w:rsidTr="00816EF9">
        <w:trPr>
          <w:trHeight w:val="221"/>
        </w:trPr>
        <w:tc>
          <w:tcPr>
            <w:tcW w:w="2826" w:type="pct"/>
            <w:vAlign w:val="center"/>
          </w:tcPr>
          <w:p w14:paraId="5E6E5E81" w14:textId="77777777" w:rsidR="009671F8" w:rsidRPr="00121962" w:rsidRDefault="009671F8" w:rsidP="00E42C83">
            <w:pPr>
              <w:pStyle w:val="TableText"/>
              <w:ind w:left="-58"/>
            </w:pPr>
            <w:r w:rsidRPr="00121962">
              <w:t xml:space="preserve">Primary composite outcome </w:t>
            </w:r>
          </w:p>
        </w:tc>
        <w:tc>
          <w:tcPr>
            <w:tcW w:w="786" w:type="pct"/>
            <w:vAlign w:val="center"/>
          </w:tcPr>
          <w:p w14:paraId="4B2C7033" w14:textId="77777777" w:rsidR="009671F8" w:rsidRPr="00121962" w:rsidRDefault="009671F8" w:rsidP="00590AAF">
            <w:pPr>
              <w:pStyle w:val="TableText"/>
              <w:ind w:left="-58" w:right="-71"/>
              <w:jc w:val="center"/>
            </w:pPr>
            <w:r w:rsidRPr="00121962">
              <w:t>1,359</w:t>
            </w:r>
          </w:p>
        </w:tc>
        <w:tc>
          <w:tcPr>
            <w:tcW w:w="471" w:type="pct"/>
            <w:vAlign w:val="center"/>
          </w:tcPr>
          <w:p w14:paraId="02D93F9B" w14:textId="77777777" w:rsidR="009671F8" w:rsidRPr="00121962" w:rsidRDefault="009671F8" w:rsidP="00590AAF">
            <w:pPr>
              <w:pStyle w:val="TableText"/>
              <w:ind w:left="-58" w:right="-71"/>
              <w:jc w:val="center"/>
            </w:pPr>
            <w:r w:rsidRPr="00121962">
              <w:t>1,363</w:t>
            </w:r>
          </w:p>
        </w:tc>
        <w:tc>
          <w:tcPr>
            <w:tcW w:w="916" w:type="pct"/>
            <w:vAlign w:val="center"/>
          </w:tcPr>
          <w:p w14:paraId="6369C013" w14:textId="77777777" w:rsidR="009671F8" w:rsidRPr="00121962" w:rsidRDefault="009671F8" w:rsidP="00E42C83">
            <w:pPr>
              <w:pStyle w:val="TableText"/>
              <w:ind w:left="-58" w:right="-71"/>
              <w:jc w:val="center"/>
              <w:rPr>
                <w:vertAlign w:val="superscript"/>
              </w:rPr>
            </w:pPr>
            <w:r w:rsidRPr="00121962">
              <w:t>0.67 (0.54, 0.83)</w:t>
            </w:r>
          </w:p>
        </w:tc>
      </w:tr>
      <w:tr w:rsidR="009671F8" w:rsidRPr="00121962" w14:paraId="3E53EFEA" w14:textId="77777777" w:rsidTr="00816EF9">
        <w:trPr>
          <w:trHeight w:val="283"/>
        </w:trPr>
        <w:tc>
          <w:tcPr>
            <w:tcW w:w="2826" w:type="pct"/>
            <w:vAlign w:val="center"/>
          </w:tcPr>
          <w:p w14:paraId="26AEB914" w14:textId="77777777" w:rsidR="009671F8" w:rsidRPr="00121962" w:rsidRDefault="009671F8" w:rsidP="00E42C83">
            <w:pPr>
              <w:pStyle w:val="TableText"/>
              <w:ind w:left="-58"/>
            </w:pPr>
            <w:r w:rsidRPr="00121962">
              <w:t xml:space="preserve">Time to ESKD excluding deaths prior to ESKD </w:t>
            </w:r>
          </w:p>
        </w:tc>
        <w:tc>
          <w:tcPr>
            <w:tcW w:w="786" w:type="pct"/>
            <w:vAlign w:val="center"/>
          </w:tcPr>
          <w:p w14:paraId="17FEF2AF" w14:textId="77777777" w:rsidR="009671F8" w:rsidRPr="00121962" w:rsidRDefault="009671F8" w:rsidP="00590AAF">
            <w:pPr>
              <w:pStyle w:val="TableText"/>
              <w:ind w:left="-58" w:right="-71"/>
              <w:jc w:val="center"/>
            </w:pPr>
            <w:r w:rsidRPr="00121962">
              <w:t>1,323</w:t>
            </w:r>
          </w:p>
        </w:tc>
        <w:tc>
          <w:tcPr>
            <w:tcW w:w="471" w:type="pct"/>
            <w:vAlign w:val="center"/>
          </w:tcPr>
          <w:p w14:paraId="2AB0E2D1" w14:textId="77777777" w:rsidR="009671F8" w:rsidRPr="00121962" w:rsidRDefault="009671F8" w:rsidP="00590AAF">
            <w:pPr>
              <w:pStyle w:val="TableText"/>
              <w:ind w:left="-58" w:right="-71"/>
              <w:jc w:val="center"/>
            </w:pPr>
            <w:r w:rsidRPr="00121962">
              <w:t>1,312</w:t>
            </w:r>
          </w:p>
        </w:tc>
        <w:tc>
          <w:tcPr>
            <w:tcW w:w="916" w:type="pct"/>
            <w:vAlign w:val="center"/>
          </w:tcPr>
          <w:p w14:paraId="5EFA2B17" w14:textId="77777777" w:rsidR="009671F8" w:rsidRPr="00121962" w:rsidRDefault="009671F8" w:rsidP="00E42C83">
            <w:pPr>
              <w:pStyle w:val="TableText"/>
              <w:ind w:left="-58" w:right="-71"/>
              <w:jc w:val="center"/>
            </w:pPr>
            <w:r w:rsidRPr="00121962">
              <w:t>0.70 (0.54, 0.92)</w:t>
            </w:r>
          </w:p>
        </w:tc>
      </w:tr>
      <w:tr w:rsidR="009671F8" w:rsidRPr="00121962" w14:paraId="10EBE167" w14:textId="77777777" w:rsidTr="00816EF9">
        <w:trPr>
          <w:trHeight w:val="277"/>
        </w:trPr>
        <w:tc>
          <w:tcPr>
            <w:tcW w:w="2826" w:type="pct"/>
            <w:tcBorders>
              <w:bottom w:val="single" w:sz="4" w:space="0" w:color="auto"/>
            </w:tcBorders>
            <w:vAlign w:val="center"/>
          </w:tcPr>
          <w:p w14:paraId="3527C6B0" w14:textId="77777777" w:rsidR="009671F8" w:rsidRPr="00121962" w:rsidRDefault="009671F8" w:rsidP="00E42C83">
            <w:pPr>
              <w:pStyle w:val="TableText"/>
              <w:ind w:left="-58"/>
            </w:pPr>
            <w:r w:rsidRPr="00121962">
              <w:t xml:space="preserve">Time to death from any cause in patients not progressing to ESKD </w:t>
            </w:r>
          </w:p>
        </w:tc>
        <w:tc>
          <w:tcPr>
            <w:tcW w:w="786" w:type="pct"/>
            <w:tcBorders>
              <w:bottom w:val="single" w:sz="4" w:space="0" w:color="auto"/>
            </w:tcBorders>
            <w:vAlign w:val="center"/>
          </w:tcPr>
          <w:p w14:paraId="51FE303E" w14:textId="77777777" w:rsidR="009671F8" w:rsidRPr="00121962" w:rsidRDefault="009671F8" w:rsidP="00590AAF">
            <w:pPr>
              <w:pStyle w:val="TableText"/>
              <w:ind w:left="-58" w:right="-71"/>
              <w:jc w:val="center"/>
            </w:pPr>
            <w:r w:rsidRPr="00121962">
              <w:t>1,265</w:t>
            </w:r>
          </w:p>
        </w:tc>
        <w:tc>
          <w:tcPr>
            <w:tcW w:w="471" w:type="pct"/>
            <w:tcBorders>
              <w:bottom w:val="single" w:sz="4" w:space="0" w:color="auto"/>
            </w:tcBorders>
            <w:vAlign w:val="center"/>
          </w:tcPr>
          <w:p w14:paraId="1F8DA05A" w14:textId="77777777" w:rsidR="009671F8" w:rsidRPr="00121962" w:rsidRDefault="009671F8" w:rsidP="00590AAF">
            <w:pPr>
              <w:pStyle w:val="TableText"/>
              <w:ind w:left="-58" w:right="-71"/>
              <w:jc w:val="center"/>
            </w:pPr>
            <w:r w:rsidRPr="00121962">
              <w:t>1,237</w:t>
            </w:r>
          </w:p>
        </w:tc>
        <w:tc>
          <w:tcPr>
            <w:tcW w:w="916" w:type="pct"/>
            <w:tcBorders>
              <w:bottom w:val="single" w:sz="4" w:space="0" w:color="auto"/>
            </w:tcBorders>
            <w:vAlign w:val="center"/>
          </w:tcPr>
          <w:p w14:paraId="174D70C5" w14:textId="77777777" w:rsidR="009671F8" w:rsidRPr="00121962" w:rsidRDefault="009671F8" w:rsidP="00E42C83">
            <w:pPr>
              <w:pStyle w:val="TableText"/>
              <w:ind w:left="-58" w:right="-71"/>
              <w:jc w:val="center"/>
            </w:pPr>
            <w:r w:rsidRPr="00121962">
              <w:t>0.69 (0.45, 1.06)</w:t>
            </w:r>
          </w:p>
        </w:tc>
      </w:tr>
      <w:tr w:rsidR="009671F8" w:rsidRPr="00121962" w14:paraId="1EA7DF7A" w14:textId="77777777" w:rsidTr="00816EF9">
        <w:trPr>
          <w:trHeight w:val="280"/>
        </w:trPr>
        <w:tc>
          <w:tcPr>
            <w:tcW w:w="2826" w:type="pct"/>
            <w:tcBorders>
              <w:bottom w:val="single" w:sz="4" w:space="0" w:color="auto"/>
            </w:tcBorders>
            <w:vAlign w:val="center"/>
          </w:tcPr>
          <w:p w14:paraId="4432E9DC" w14:textId="77777777" w:rsidR="009671F8" w:rsidRPr="00121962" w:rsidRDefault="009671F8" w:rsidP="00E42C83">
            <w:pPr>
              <w:pStyle w:val="TableText"/>
              <w:ind w:left="-58"/>
            </w:pPr>
            <w:r w:rsidRPr="00121962">
              <w:t xml:space="preserve">Time from ESKD to death from any cause </w:t>
            </w:r>
          </w:p>
        </w:tc>
        <w:tc>
          <w:tcPr>
            <w:tcW w:w="786" w:type="pct"/>
            <w:tcBorders>
              <w:bottom w:val="single" w:sz="4" w:space="0" w:color="auto"/>
            </w:tcBorders>
            <w:vAlign w:val="center"/>
          </w:tcPr>
          <w:p w14:paraId="704274A9" w14:textId="77777777" w:rsidR="009671F8" w:rsidRPr="00121962" w:rsidRDefault="009671F8" w:rsidP="00590AAF">
            <w:pPr>
              <w:pStyle w:val="TableText"/>
              <w:ind w:left="-58" w:right="-71"/>
              <w:jc w:val="center"/>
            </w:pPr>
            <w:r w:rsidRPr="00121962">
              <w:t>94</w:t>
            </w:r>
          </w:p>
        </w:tc>
        <w:tc>
          <w:tcPr>
            <w:tcW w:w="471" w:type="pct"/>
            <w:tcBorders>
              <w:bottom w:val="single" w:sz="4" w:space="0" w:color="auto"/>
            </w:tcBorders>
            <w:vAlign w:val="center"/>
          </w:tcPr>
          <w:p w14:paraId="40826C22" w14:textId="77777777" w:rsidR="009671F8" w:rsidRPr="00121962" w:rsidRDefault="009671F8" w:rsidP="00590AAF">
            <w:pPr>
              <w:pStyle w:val="TableText"/>
              <w:ind w:left="-58" w:right="-71"/>
              <w:jc w:val="center"/>
            </w:pPr>
            <w:r w:rsidRPr="00121962">
              <w:t>126</w:t>
            </w:r>
          </w:p>
        </w:tc>
        <w:tc>
          <w:tcPr>
            <w:tcW w:w="916" w:type="pct"/>
            <w:tcBorders>
              <w:bottom w:val="single" w:sz="4" w:space="0" w:color="auto"/>
            </w:tcBorders>
            <w:vAlign w:val="center"/>
          </w:tcPr>
          <w:p w14:paraId="667B2E30" w14:textId="77777777" w:rsidR="009671F8" w:rsidRPr="00121962" w:rsidRDefault="009671F8" w:rsidP="00E42C83">
            <w:pPr>
              <w:pStyle w:val="TableText"/>
              <w:ind w:left="-58" w:right="-71"/>
              <w:jc w:val="center"/>
            </w:pPr>
            <w:r w:rsidRPr="00121962">
              <w:t>1.10 (0.53, 2.26)</w:t>
            </w:r>
          </w:p>
        </w:tc>
      </w:tr>
      <w:tr w:rsidR="009671F8" w:rsidRPr="00121962" w14:paraId="710E6A8E" w14:textId="77777777" w:rsidTr="00E42C83">
        <w:tc>
          <w:tcPr>
            <w:tcW w:w="5000" w:type="pct"/>
            <w:gridSpan w:val="4"/>
            <w:vAlign w:val="center"/>
          </w:tcPr>
          <w:p w14:paraId="2934FE59" w14:textId="77777777" w:rsidR="009671F8" w:rsidRPr="00121962" w:rsidRDefault="009671F8" w:rsidP="00E42C83">
            <w:pPr>
              <w:pStyle w:val="TableText"/>
              <w:ind w:left="-58" w:right="-71"/>
              <w:rPr>
                <w:b/>
              </w:rPr>
            </w:pPr>
            <w:r w:rsidRPr="00121962">
              <w:rPr>
                <w:b/>
              </w:rPr>
              <w:t>Complement subgroup</w:t>
            </w:r>
          </w:p>
        </w:tc>
      </w:tr>
      <w:tr w:rsidR="009671F8" w:rsidRPr="00121962" w14:paraId="51D17971" w14:textId="77777777" w:rsidTr="00816EF9">
        <w:trPr>
          <w:trHeight w:val="221"/>
        </w:trPr>
        <w:tc>
          <w:tcPr>
            <w:tcW w:w="2826" w:type="pct"/>
          </w:tcPr>
          <w:p w14:paraId="511ABBB3" w14:textId="77777777" w:rsidR="009671F8" w:rsidRPr="00121962" w:rsidRDefault="009671F8" w:rsidP="00E42C83">
            <w:pPr>
              <w:pStyle w:val="TableText"/>
              <w:ind w:left="-58"/>
            </w:pPr>
            <w:r w:rsidRPr="00121962">
              <w:t xml:space="preserve">Primary composite outcome </w:t>
            </w:r>
          </w:p>
        </w:tc>
        <w:tc>
          <w:tcPr>
            <w:tcW w:w="786" w:type="pct"/>
            <w:vAlign w:val="center"/>
          </w:tcPr>
          <w:p w14:paraId="099FB472" w14:textId="77777777" w:rsidR="009671F8" w:rsidRPr="00121962" w:rsidRDefault="009671F8" w:rsidP="00590AAF">
            <w:pPr>
              <w:pStyle w:val="TableText"/>
              <w:ind w:left="-58" w:right="-71"/>
              <w:jc w:val="center"/>
            </w:pPr>
            <w:r w:rsidRPr="00121962">
              <w:t>793</w:t>
            </w:r>
          </w:p>
        </w:tc>
        <w:tc>
          <w:tcPr>
            <w:tcW w:w="471" w:type="pct"/>
            <w:vAlign w:val="center"/>
          </w:tcPr>
          <w:p w14:paraId="4EDA3AE7" w14:textId="77777777" w:rsidR="009671F8" w:rsidRPr="00121962" w:rsidRDefault="009671F8" w:rsidP="00590AAF">
            <w:pPr>
              <w:pStyle w:val="TableText"/>
              <w:ind w:left="-58" w:right="-71"/>
              <w:jc w:val="center"/>
            </w:pPr>
            <w:r w:rsidRPr="00121962">
              <w:t>789</w:t>
            </w:r>
          </w:p>
        </w:tc>
        <w:tc>
          <w:tcPr>
            <w:tcW w:w="916" w:type="pct"/>
            <w:vAlign w:val="center"/>
          </w:tcPr>
          <w:p w14:paraId="25128051" w14:textId="77777777" w:rsidR="009671F8" w:rsidRPr="00121962" w:rsidRDefault="009671F8" w:rsidP="00E42C83">
            <w:pPr>
              <w:pStyle w:val="TableText"/>
              <w:ind w:left="-58" w:right="-71"/>
              <w:jc w:val="center"/>
              <w:rPr>
                <w:vertAlign w:val="superscript"/>
              </w:rPr>
            </w:pPr>
            <w:r w:rsidRPr="00121962">
              <w:t>0.51 (0.57, 0.70)</w:t>
            </w:r>
          </w:p>
        </w:tc>
      </w:tr>
      <w:tr w:rsidR="009671F8" w:rsidRPr="00121962" w14:paraId="4CB05C83" w14:textId="77777777" w:rsidTr="00816EF9">
        <w:trPr>
          <w:trHeight w:val="283"/>
        </w:trPr>
        <w:tc>
          <w:tcPr>
            <w:tcW w:w="2826" w:type="pct"/>
          </w:tcPr>
          <w:p w14:paraId="6C2CD1F8" w14:textId="77777777" w:rsidR="009671F8" w:rsidRPr="00121962" w:rsidRDefault="009671F8" w:rsidP="00E42C83">
            <w:pPr>
              <w:pStyle w:val="TableText"/>
              <w:ind w:left="-58"/>
            </w:pPr>
            <w:r w:rsidRPr="00121962">
              <w:t xml:space="preserve">Time to ESKD excluding deaths prior to ESKD </w:t>
            </w:r>
          </w:p>
        </w:tc>
        <w:tc>
          <w:tcPr>
            <w:tcW w:w="786" w:type="pct"/>
            <w:vAlign w:val="center"/>
          </w:tcPr>
          <w:p w14:paraId="0E8002D8" w14:textId="77777777" w:rsidR="009671F8" w:rsidRPr="00121962" w:rsidRDefault="009671F8" w:rsidP="00590AAF">
            <w:pPr>
              <w:pStyle w:val="TableText"/>
              <w:ind w:left="-58" w:right="-71"/>
              <w:jc w:val="center"/>
            </w:pPr>
            <w:r w:rsidRPr="00121962">
              <w:t>744</w:t>
            </w:r>
          </w:p>
        </w:tc>
        <w:tc>
          <w:tcPr>
            <w:tcW w:w="471" w:type="pct"/>
            <w:vAlign w:val="center"/>
          </w:tcPr>
          <w:p w14:paraId="5FF9D3BC" w14:textId="77777777" w:rsidR="009671F8" w:rsidRPr="00121962" w:rsidRDefault="009671F8" w:rsidP="00590AAF">
            <w:pPr>
              <w:pStyle w:val="TableText"/>
              <w:ind w:left="-58" w:right="-71"/>
              <w:jc w:val="center"/>
            </w:pPr>
            <w:r w:rsidRPr="00121962">
              <w:t>721</w:t>
            </w:r>
          </w:p>
        </w:tc>
        <w:tc>
          <w:tcPr>
            <w:tcW w:w="916" w:type="pct"/>
            <w:vAlign w:val="center"/>
          </w:tcPr>
          <w:p w14:paraId="0E3CC724" w14:textId="77777777" w:rsidR="009671F8" w:rsidRPr="00121962" w:rsidRDefault="009671F8" w:rsidP="00E42C83">
            <w:pPr>
              <w:pStyle w:val="TableText"/>
              <w:ind w:left="-58" w:right="-71"/>
              <w:jc w:val="center"/>
            </w:pPr>
            <w:r w:rsidRPr="00121962">
              <w:t>0.41 (0.22, 0.75)</w:t>
            </w:r>
          </w:p>
        </w:tc>
      </w:tr>
      <w:tr w:rsidR="009671F8" w:rsidRPr="00121962" w14:paraId="08BBD644" w14:textId="77777777" w:rsidTr="00816EF9">
        <w:trPr>
          <w:trHeight w:val="277"/>
        </w:trPr>
        <w:tc>
          <w:tcPr>
            <w:tcW w:w="2826" w:type="pct"/>
            <w:vAlign w:val="center"/>
          </w:tcPr>
          <w:p w14:paraId="24D9DC6B" w14:textId="77777777" w:rsidR="009671F8" w:rsidRPr="00121962" w:rsidRDefault="009671F8" w:rsidP="00E42C83">
            <w:pPr>
              <w:pStyle w:val="TableText"/>
              <w:ind w:left="-58"/>
            </w:pPr>
            <w:r w:rsidRPr="00121962">
              <w:t xml:space="preserve">Time to death from any cause in patients not progressing to ESKD </w:t>
            </w:r>
          </w:p>
        </w:tc>
        <w:tc>
          <w:tcPr>
            <w:tcW w:w="786" w:type="pct"/>
            <w:vAlign w:val="center"/>
          </w:tcPr>
          <w:p w14:paraId="54E9ABA5" w14:textId="77777777" w:rsidR="009671F8" w:rsidRPr="00121962" w:rsidRDefault="009671F8" w:rsidP="00590AAF">
            <w:pPr>
              <w:pStyle w:val="TableText"/>
              <w:ind w:left="-58" w:right="-71"/>
              <w:jc w:val="center"/>
            </w:pPr>
            <w:r w:rsidRPr="00121962">
              <w:t>778</w:t>
            </w:r>
          </w:p>
        </w:tc>
        <w:tc>
          <w:tcPr>
            <w:tcW w:w="471" w:type="pct"/>
            <w:vAlign w:val="center"/>
          </w:tcPr>
          <w:p w14:paraId="236AAA51" w14:textId="77777777" w:rsidR="009671F8" w:rsidRPr="00121962" w:rsidRDefault="009671F8" w:rsidP="00590AAF">
            <w:pPr>
              <w:pStyle w:val="TableText"/>
              <w:ind w:left="-58" w:right="-71"/>
              <w:jc w:val="center"/>
            </w:pPr>
            <w:r w:rsidRPr="00121962">
              <w:t>754</w:t>
            </w:r>
          </w:p>
        </w:tc>
        <w:tc>
          <w:tcPr>
            <w:tcW w:w="916" w:type="pct"/>
            <w:vAlign w:val="center"/>
          </w:tcPr>
          <w:p w14:paraId="4E14A2F1" w14:textId="77777777" w:rsidR="009671F8" w:rsidRPr="00121962" w:rsidRDefault="009671F8" w:rsidP="00E42C83">
            <w:pPr>
              <w:pStyle w:val="TableText"/>
              <w:ind w:left="-58" w:right="-71"/>
              <w:jc w:val="center"/>
            </w:pPr>
            <w:r w:rsidRPr="00121962">
              <w:t>0.69 (0.47, 0.99)</w:t>
            </w:r>
          </w:p>
        </w:tc>
      </w:tr>
      <w:tr w:rsidR="009671F8" w:rsidRPr="00121962" w14:paraId="78F13B80" w14:textId="77777777" w:rsidTr="00816EF9">
        <w:trPr>
          <w:trHeight w:val="280"/>
        </w:trPr>
        <w:tc>
          <w:tcPr>
            <w:tcW w:w="2826" w:type="pct"/>
          </w:tcPr>
          <w:p w14:paraId="29179298" w14:textId="77777777" w:rsidR="009671F8" w:rsidRPr="00121962" w:rsidRDefault="009671F8" w:rsidP="00E42C83">
            <w:pPr>
              <w:pStyle w:val="TableText"/>
              <w:ind w:left="-58"/>
            </w:pPr>
            <w:r w:rsidRPr="00121962">
              <w:t xml:space="preserve">Time from ESKD to death from any cause </w:t>
            </w:r>
          </w:p>
        </w:tc>
        <w:tc>
          <w:tcPr>
            <w:tcW w:w="786" w:type="pct"/>
            <w:vAlign w:val="center"/>
          </w:tcPr>
          <w:p w14:paraId="085FAB49" w14:textId="77777777" w:rsidR="009671F8" w:rsidRPr="00121962" w:rsidRDefault="009671F8" w:rsidP="00590AAF">
            <w:pPr>
              <w:pStyle w:val="TableText"/>
              <w:ind w:left="-58" w:right="-71"/>
              <w:jc w:val="center"/>
            </w:pPr>
            <w:r w:rsidRPr="00121962">
              <w:t>15</w:t>
            </w:r>
          </w:p>
        </w:tc>
        <w:tc>
          <w:tcPr>
            <w:tcW w:w="471" w:type="pct"/>
            <w:vAlign w:val="center"/>
          </w:tcPr>
          <w:p w14:paraId="593ACFBB" w14:textId="77777777" w:rsidR="009671F8" w:rsidRPr="00121962" w:rsidRDefault="009671F8" w:rsidP="00590AAF">
            <w:pPr>
              <w:pStyle w:val="TableText"/>
              <w:ind w:left="-58" w:right="-71"/>
              <w:jc w:val="center"/>
            </w:pPr>
            <w:r w:rsidRPr="00121962">
              <w:t>35</w:t>
            </w:r>
          </w:p>
        </w:tc>
        <w:tc>
          <w:tcPr>
            <w:tcW w:w="916" w:type="pct"/>
            <w:vAlign w:val="center"/>
          </w:tcPr>
          <w:p w14:paraId="40402C53" w14:textId="77777777" w:rsidR="009671F8" w:rsidRPr="00121962" w:rsidRDefault="009671F8" w:rsidP="00E42C83">
            <w:pPr>
              <w:pStyle w:val="TableText"/>
              <w:ind w:left="-58" w:right="-71"/>
              <w:jc w:val="center"/>
            </w:pPr>
            <w:r w:rsidRPr="00121962">
              <w:t>0.47 (0.08, 2.70)</w:t>
            </w:r>
          </w:p>
        </w:tc>
      </w:tr>
    </w:tbl>
    <w:p w14:paraId="5984850D" w14:textId="77777777" w:rsidR="009671F8" w:rsidRPr="00121962" w:rsidRDefault="009671F8" w:rsidP="009671F8">
      <w:pPr>
        <w:pStyle w:val="TableFigureFooter"/>
      </w:pPr>
      <w:r w:rsidRPr="00121962">
        <w:t>Source: KMcurves_Section261.docx, Attachment 2.5; and Table 1, p.2, Figures 1-8, in CKD_only_population.docx, Attachment 3.2 of the submission</w:t>
      </w:r>
    </w:p>
    <w:p w14:paraId="4BF11EC3" w14:textId="77777777" w:rsidR="009671F8" w:rsidRDefault="009671F8" w:rsidP="009671F8">
      <w:pPr>
        <w:pStyle w:val="TableFigureFooter"/>
      </w:pPr>
      <w:r w:rsidRPr="00121962">
        <w:t>CI, confidence interval; ESKD, end</w:t>
      </w:r>
      <w:r w:rsidRPr="00121962">
        <w:noBreakHyphen/>
        <w:t>stage kidney disease; ITT, intention-to-treat</w:t>
      </w:r>
    </w:p>
    <w:p w14:paraId="7C35ECE9" w14:textId="77777777" w:rsidR="00914EDC" w:rsidRPr="00121962" w:rsidRDefault="00914EDC" w:rsidP="00914EDC">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14:paraId="3BCEB130" w14:textId="77777777" w:rsidR="00914EDC" w:rsidRPr="00121962" w:rsidRDefault="00914EDC" w:rsidP="009671F8">
      <w:pPr>
        <w:pStyle w:val="TableFigureFooter"/>
      </w:pPr>
    </w:p>
    <w:p w14:paraId="037052BC" w14:textId="77777777" w:rsidR="009671F8" w:rsidRPr="00121962" w:rsidRDefault="009671F8" w:rsidP="009671F8">
      <w:pPr>
        <w:pStyle w:val="ExecSumBodyText"/>
        <w:rPr>
          <w:iCs/>
        </w:rPr>
      </w:pPr>
      <w:r w:rsidRPr="00121962">
        <w:t xml:space="preserve">The submission noted that the results of the subgroup analysis of the CKD only population for the primary composite outcome and time to ESKD excluding deaths prior to ESKD </w:t>
      </w:r>
      <w:r w:rsidR="00444A5B" w:rsidRPr="00121962">
        <w:t xml:space="preserve">nominally </w:t>
      </w:r>
      <w:r w:rsidRPr="00121962">
        <w:t xml:space="preserve">favoured dapagliflozin plus SOC compared to SOC alone. </w:t>
      </w:r>
      <w:r w:rsidRPr="00121962">
        <w:rPr>
          <w:iCs/>
        </w:rPr>
        <w:t xml:space="preserve">Time to death from any cause in patients not progressing to ESKD and time from ESKD to death did not reach </w:t>
      </w:r>
      <w:r w:rsidR="00444A5B" w:rsidRPr="00121962">
        <w:rPr>
          <w:iCs/>
        </w:rPr>
        <w:t xml:space="preserve">nominal </w:t>
      </w:r>
      <w:r w:rsidRPr="00121962">
        <w:rPr>
          <w:iCs/>
        </w:rPr>
        <w:t xml:space="preserve">significance in the CKD only </w:t>
      </w:r>
      <w:r w:rsidR="001C690A" w:rsidRPr="00121962">
        <w:rPr>
          <w:iCs/>
        </w:rPr>
        <w:t>population</w:t>
      </w:r>
      <w:r w:rsidR="00F4716A" w:rsidRPr="00121962">
        <w:rPr>
          <w:iCs/>
        </w:rPr>
        <w:t>. L</w:t>
      </w:r>
      <w:r w:rsidRPr="00121962">
        <w:rPr>
          <w:iCs/>
        </w:rPr>
        <w:t xml:space="preserve">ack of significance in time from ESKD to death from any cause </w:t>
      </w:r>
      <w:r w:rsidR="00816EF9" w:rsidRPr="00121962">
        <w:t xml:space="preserve">was </w:t>
      </w:r>
      <w:r w:rsidR="00ED0CC1" w:rsidRPr="00121962">
        <w:t>likely</w:t>
      </w:r>
      <w:r w:rsidRPr="00121962">
        <w:rPr>
          <w:iCs/>
        </w:rPr>
        <w:t xml:space="preserve"> related to small sample size. </w:t>
      </w:r>
    </w:p>
    <w:p w14:paraId="0722B70A" w14:textId="77777777" w:rsidR="009A26CB" w:rsidRPr="00121962" w:rsidRDefault="00444A5B" w:rsidP="006E6BC0">
      <w:pPr>
        <w:pStyle w:val="ExecSumBodyText"/>
      </w:pPr>
      <w:r w:rsidRPr="00121962">
        <w:t>Patient demographic and disease characteristics, and treatment effect interaction were not reported for the CKD only subgroups</w:t>
      </w:r>
      <w:r w:rsidRPr="00121962">
        <w:rPr>
          <w:iCs/>
        </w:rPr>
        <w:t xml:space="preserve">. </w:t>
      </w:r>
      <w:r w:rsidR="009671F8" w:rsidRPr="00121962">
        <w:rPr>
          <w:iCs/>
        </w:rPr>
        <w:t>Given insufficient data were presented in the submission to assess the validity of the CKD only subgroup, the results of the subgroup analyses should be interpreted with caution</w:t>
      </w:r>
      <w:r w:rsidR="009671F8" w:rsidRPr="00121962">
        <w:t>.</w:t>
      </w:r>
      <w:r w:rsidR="006E6BC0" w:rsidRPr="00121962">
        <w:t xml:space="preserve"> The PSCR (p2) noted that the CKD only subgroup analysis was a supportive analysis intended to help demonstrate the efficacy and cost-effectiveness of dapagliflozin in the population of patients who are not already eligible for PBS-subsidised treatment with this medication for T2DM and who will not be eligible under the proposed HFrEF indication should the PBAC recommend it (item 7.01 refers).</w:t>
      </w:r>
      <w:r w:rsidR="002665C2" w:rsidRPr="00121962">
        <w:t xml:space="preserve"> </w:t>
      </w:r>
    </w:p>
    <w:p w14:paraId="59D4ABB6" w14:textId="77777777" w:rsidR="00B60939" w:rsidRPr="00121962" w:rsidRDefault="00B60939" w:rsidP="001D6932">
      <w:pPr>
        <w:pStyle w:val="3-SubsectionHeading"/>
      </w:pPr>
      <w:bookmarkStart w:id="23" w:name="_Toc22897642"/>
      <w:bookmarkStart w:id="24" w:name="_Toc72322333"/>
      <w:r w:rsidRPr="00121962">
        <w:t>Comparative harms</w:t>
      </w:r>
      <w:bookmarkEnd w:id="23"/>
      <w:bookmarkEnd w:id="24"/>
    </w:p>
    <w:p w14:paraId="4ECC3DFB" w14:textId="77777777" w:rsidR="00B60939" w:rsidRPr="00121962" w:rsidRDefault="00E51973" w:rsidP="001D6932">
      <w:pPr>
        <w:pStyle w:val="ExecSumBodyText"/>
        <w:keepNext/>
        <w:rPr>
          <w:color w:val="0066FF"/>
        </w:rPr>
      </w:pPr>
      <w:r w:rsidRPr="00121962">
        <w:t xml:space="preserve">Table </w:t>
      </w:r>
      <w:r>
        <w:rPr>
          <w:noProof/>
        </w:rPr>
        <w:t>8</w:t>
      </w:r>
      <w:r w:rsidR="00DF4FD5" w:rsidRPr="00121962">
        <w:t xml:space="preserve"> summarises the results of safety outcomes for the DAPA-HF trial.</w:t>
      </w:r>
    </w:p>
    <w:p w14:paraId="0C72B05C" w14:textId="77777777" w:rsidR="00D2690D" w:rsidRPr="00121962" w:rsidRDefault="0008596F" w:rsidP="0008596F">
      <w:pPr>
        <w:pStyle w:val="TableFigureCaption"/>
      </w:pPr>
      <w:bookmarkStart w:id="25" w:name="_Ref70945847"/>
      <w:r w:rsidRPr="00121962">
        <w:t xml:space="preserve">Table </w:t>
      </w:r>
      <w:r w:rsidR="00E51973">
        <w:rPr>
          <w:noProof/>
        </w:rPr>
        <w:t>8</w:t>
      </w:r>
      <w:bookmarkEnd w:id="25"/>
      <w:r w:rsidRPr="00121962">
        <w:t>:</w:t>
      </w:r>
      <w:r w:rsidR="00D2690D" w:rsidRPr="00121962">
        <w:t xml:space="preserve"> Summary of key adverse events in the DAPA-CKD trial (S</w:t>
      </w:r>
      <w:r w:rsidR="00326BAC" w:rsidRPr="00121962">
        <w:t xml:space="preserve">afety </w:t>
      </w:r>
      <w:r w:rsidR="00D2690D" w:rsidRPr="00121962">
        <w:t>A</w:t>
      </w:r>
      <w:r w:rsidR="00326BAC" w:rsidRPr="00121962">
        <w:t xml:space="preserve">nalysis </w:t>
      </w:r>
      <w:r w:rsidR="00D2690D" w:rsidRPr="00121962">
        <w:t>S</w:t>
      </w:r>
      <w:r w:rsidR="00326BAC" w:rsidRPr="00121962">
        <w:t>et</w:t>
      </w:r>
      <w:r w:rsidR="00D2690D" w:rsidRPr="00121962">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13"/>
        <w:gridCol w:w="2807"/>
        <w:gridCol w:w="7"/>
      </w:tblGrid>
      <w:tr w:rsidR="00D2690D" w:rsidRPr="00121962" w14:paraId="2102C40A" w14:textId="77777777" w:rsidTr="00D2690D">
        <w:trPr>
          <w:tblHeader/>
        </w:trPr>
        <w:tc>
          <w:tcPr>
            <w:tcW w:w="3397" w:type="dxa"/>
            <w:vAlign w:val="center"/>
          </w:tcPr>
          <w:p w14:paraId="26E47BA9" w14:textId="77777777" w:rsidR="00D2690D" w:rsidRPr="00121962" w:rsidRDefault="00D2690D" w:rsidP="00E42C83">
            <w:pPr>
              <w:pStyle w:val="Tableheadingrow"/>
              <w:rPr>
                <w:lang w:val="en-AU"/>
              </w:rPr>
            </w:pPr>
            <w:r w:rsidRPr="00121962">
              <w:rPr>
                <w:lang w:val="en-AU"/>
              </w:rPr>
              <w:t>Events n (%)</w:t>
            </w:r>
          </w:p>
        </w:tc>
        <w:tc>
          <w:tcPr>
            <w:tcW w:w="2813" w:type="dxa"/>
            <w:vAlign w:val="center"/>
          </w:tcPr>
          <w:p w14:paraId="2668CBC0" w14:textId="77777777" w:rsidR="00D2690D" w:rsidRPr="00121962" w:rsidRDefault="00D2690D" w:rsidP="00E42C83">
            <w:pPr>
              <w:pStyle w:val="Tableheadingrow"/>
              <w:jc w:val="center"/>
              <w:rPr>
                <w:lang w:val="en-AU"/>
              </w:rPr>
            </w:pPr>
            <w:r w:rsidRPr="00121962">
              <w:rPr>
                <w:lang w:val="en-AU"/>
              </w:rPr>
              <w:t>Dapagliflozin + SOC</w:t>
            </w:r>
          </w:p>
        </w:tc>
        <w:tc>
          <w:tcPr>
            <w:tcW w:w="2814" w:type="dxa"/>
            <w:gridSpan w:val="2"/>
            <w:vAlign w:val="center"/>
          </w:tcPr>
          <w:p w14:paraId="1D5D57EC" w14:textId="77777777" w:rsidR="00D2690D" w:rsidRPr="00121962" w:rsidRDefault="00D2690D" w:rsidP="00E42C83">
            <w:pPr>
              <w:pStyle w:val="Tableheadingrow"/>
              <w:jc w:val="center"/>
              <w:rPr>
                <w:lang w:val="en-AU"/>
              </w:rPr>
            </w:pPr>
            <w:r w:rsidRPr="00121962">
              <w:rPr>
                <w:lang w:val="en-AU"/>
              </w:rPr>
              <w:t>SOC</w:t>
            </w:r>
          </w:p>
        </w:tc>
      </w:tr>
      <w:tr w:rsidR="00D2690D" w:rsidRPr="00121962" w14:paraId="14583F21" w14:textId="77777777" w:rsidTr="00D2690D">
        <w:tc>
          <w:tcPr>
            <w:tcW w:w="3397" w:type="dxa"/>
          </w:tcPr>
          <w:p w14:paraId="02277C2B" w14:textId="77777777" w:rsidR="00D2690D" w:rsidRPr="00121962" w:rsidRDefault="00D2690D" w:rsidP="00E42C83">
            <w:pPr>
              <w:pStyle w:val="TableText"/>
            </w:pPr>
            <w:r w:rsidRPr="00121962">
              <w:t>N</w:t>
            </w:r>
          </w:p>
        </w:tc>
        <w:tc>
          <w:tcPr>
            <w:tcW w:w="2813" w:type="dxa"/>
          </w:tcPr>
          <w:p w14:paraId="3FD32A81" w14:textId="77777777" w:rsidR="00D2690D" w:rsidRPr="00121962" w:rsidRDefault="00D2690D" w:rsidP="00E42C83">
            <w:pPr>
              <w:pStyle w:val="TableText"/>
              <w:jc w:val="center"/>
            </w:pPr>
            <w:r w:rsidRPr="00121962">
              <w:t>2,149</w:t>
            </w:r>
          </w:p>
        </w:tc>
        <w:tc>
          <w:tcPr>
            <w:tcW w:w="2814" w:type="dxa"/>
            <w:gridSpan w:val="2"/>
          </w:tcPr>
          <w:p w14:paraId="23126924" w14:textId="77777777" w:rsidR="00D2690D" w:rsidRPr="00121962" w:rsidRDefault="00D2690D" w:rsidP="00E42C83">
            <w:pPr>
              <w:pStyle w:val="TableText"/>
              <w:jc w:val="center"/>
            </w:pPr>
            <w:r w:rsidRPr="00121962">
              <w:t>2,149</w:t>
            </w:r>
          </w:p>
        </w:tc>
      </w:tr>
      <w:tr w:rsidR="00D2690D" w:rsidRPr="00121962" w14:paraId="33476712" w14:textId="77777777" w:rsidTr="00E42C83">
        <w:tc>
          <w:tcPr>
            <w:tcW w:w="9024" w:type="dxa"/>
            <w:gridSpan w:val="4"/>
          </w:tcPr>
          <w:p w14:paraId="187A9F8B" w14:textId="77777777" w:rsidR="00D2690D" w:rsidRPr="00121962" w:rsidRDefault="00D2690D" w:rsidP="00D2690D">
            <w:pPr>
              <w:pStyle w:val="TableText"/>
              <w:rPr>
                <w:b/>
              </w:rPr>
            </w:pPr>
            <w:r w:rsidRPr="00121962">
              <w:rPr>
                <w:b/>
              </w:rPr>
              <w:t xml:space="preserve">Key adverse events </w:t>
            </w:r>
          </w:p>
        </w:tc>
      </w:tr>
      <w:tr w:rsidR="00D2690D" w:rsidRPr="00121962" w14:paraId="15EE2E5C" w14:textId="77777777" w:rsidTr="00D2690D">
        <w:tc>
          <w:tcPr>
            <w:tcW w:w="3397" w:type="dxa"/>
          </w:tcPr>
          <w:p w14:paraId="5549F3A1" w14:textId="77777777" w:rsidR="00D2690D" w:rsidRPr="00121962" w:rsidRDefault="00D2690D" w:rsidP="00E42C83">
            <w:pPr>
              <w:pStyle w:val="TableText"/>
              <w:rPr>
                <w:vertAlign w:val="superscript"/>
              </w:rPr>
            </w:pPr>
            <w:r w:rsidRPr="00121962">
              <w:t>Any serious adverse event</w:t>
            </w:r>
          </w:p>
        </w:tc>
        <w:tc>
          <w:tcPr>
            <w:tcW w:w="2813" w:type="dxa"/>
          </w:tcPr>
          <w:p w14:paraId="11145C61" w14:textId="77777777" w:rsidR="00D2690D" w:rsidRPr="00121962" w:rsidRDefault="00D2690D" w:rsidP="00E42C83">
            <w:pPr>
              <w:pStyle w:val="TableText"/>
              <w:jc w:val="center"/>
            </w:pPr>
            <w:r w:rsidRPr="00121962">
              <w:t>633 (29.5%)</w:t>
            </w:r>
          </w:p>
        </w:tc>
        <w:tc>
          <w:tcPr>
            <w:tcW w:w="2814" w:type="dxa"/>
            <w:gridSpan w:val="2"/>
          </w:tcPr>
          <w:p w14:paraId="5528B680" w14:textId="77777777" w:rsidR="00D2690D" w:rsidRPr="00121962" w:rsidRDefault="00D2690D" w:rsidP="00E42C83">
            <w:pPr>
              <w:pStyle w:val="TableText"/>
              <w:jc w:val="center"/>
            </w:pPr>
            <w:r w:rsidRPr="00121962">
              <w:t>729 (33.9%)</w:t>
            </w:r>
          </w:p>
        </w:tc>
      </w:tr>
      <w:tr w:rsidR="00D2690D" w:rsidRPr="00121962" w14:paraId="3CC8A135" w14:textId="77777777" w:rsidTr="00D2690D">
        <w:tc>
          <w:tcPr>
            <w:tcW w:w="3397" w:type="dxa"/>
          </w:tcPr>
          <w:p w14:paraId="6D753B70" w14:textId="77777777" w:rsidR="00D2690D" w:rsidRPr="00121962" w:rsidRDefault="00D2690D" w:rsidP="00E42C83">
            <w:pPr>
              <w:pStyle w:val="TableText"/>
            </w:pPr>
            <w:r w:rsidRPr="00121962">
              <w:t>Adverse event leading to discontinuation</w:t>
            </w:r>
          </w:p>
        </w:tc>
        <w:tc>
          <w:tcPr>
            <w:tcW w:w="2813" w:type="dxa"/>
          </w:tcPr>
          <w:p w14:paraId="4576247C" w14:textId="77777777" w:rsidR="00D2690D" w:rsidRPr="00121962" w:rsidRDefault="00D2690D" w:rsidP="00E42C83">
            <w:pPr>
              <w:pStyle w:val="TableText"/>
              <w:jc w:val="center"/>
            </w:pPr>
            <w:r w:rsidRPr="00121962">
              <w:t>118 (5.5%)</w:t>
            </w:r>
          </w:p>
        </w:tc>
        <w:tc>
          <w:tcPr>
            <w:tcW w:w="2814" w:type="dxa"/>
            <w:gridSpan w:val="2"/>
          </w:tcPr>
          <w:p w14:paraId="606278FE" w14:textId="77777777" w:rsidR="00D2690D" w:rsidRPr="00121962" w:rsidRDefault="00D2690D" w:rsidP="00E42C83">
            <w:pPr>
              <w:pStyle w:val="TableText"/>
              <w:jc w:val="center"/>
            </w:pPr>
            <w:r w:rsidRPr="00121962">
              <w:t>123 (5.7%)</w:t>
            </w:r>
          </w:p>
        </w:tc>
      </w:tr>
      <w:tr w:rsidR="00D2690D" w:rsidRPr="00121962" w14:paraId="353D5582" w14:textId="77777777" w:rsidTr="00D2690D">
        <w:tc>
          <w:tcPr>
            <w:tcW w:w="3397" w:type="dxa"/>
          </w:tcPr>
          <w:p w14:paraId="77DD4E89" w14:textId="77777777" w:rsidR="00D2690D" w:rsidRPr="00121962" w:rsidRDefault="00D2690D" w:rsidP="00E42C83">
            <w:pPr>
              <w:pStyle w:val="TableText"/>
            </w:pPr>
            <w:r w:rsidRPr="00121962">
              <w:t>Adverse event leading to dose interruption</w:t>
            </w:r>
          </w:p>
        </w:tc>
        <w:tc>
          <w:tcPr>
            <w:tcW w:w="2813" w:type="dxa"/>
          </w:tcPr>
          <w:p w14:paraId="001AC746" w14:textId="77777777" w:rsidR="00D2690D" w:rsidRPr="00121962" w:rsidRDefault="00D2690D" w:rsidP="00E42C83">
            <w:pPr>
              <w:pStyle w:val="TableText"/>
              <w:jc w:val="center"/>
            </w:pPr>
            <w:r w:rsidRPr="00121962">
              <w:t>272 (12.7%)</w:t>
            </w:r>
          </w:p>
        </w:tc>
        <w:tc>
          <w:tcPr>
            <w:tcW w:w="2814" w:type="dxa"/>
            <w:gridSpan w:val="2"/>
          </w:tcPr>
          <w:p w14:paraId="1E5B7251" w14:textId="77777777" w:rsidR="00D2690D" w:rsidRPr="00121962" w:rsidRDefault="00D2690D" w:rsidP="00E42C83">
            <w:pPr>
              <w:pStyle w:val="TableText"/>
              <w:jc w:val="center"/>
            </w:pPr>
            <w:r w:rsidRPr="00121962">
              <w:t>268 (12.5%)</w:t>
            </w:r>
          </w:p>
        </w:tc>
      </w:tr>
      <w:tr w:rsidR="00D2690D" w:rsidRPr="00121962" w14:paraId="0CD6BDB2" w14:textId="77777777" w:rsidTr="00D2690D">
        <w:tc>
          <w:tcPr>
            <w:tcW w:w="3397" w:type="dxa"/>
          </w:tcPr>
          <w:p w14:paraId="0D063A6A" w14:textId="77777777" w:rsidR="00D2690D" w:rsidRPr="00121962" w:rsidRDefault="00D2690D" w:rsidP="00E42C83">
            <w:pPr>
              <w:pStyle w:val="TableText"/>
            </w:pPr>
            <w:r w:rsidRPr="00121962">
              <w:t>Adverse event leading to dose reduction</w:t>
            </w:r>
          </w:p>
        </w:tc>
        <w:tc>
          <w:tcPr>
            <w:tcW w:w="2813" w:type="dxa"/>
          </w:tcPr>
          <w:p w14:paraId="42FBB459" w14:textId="77777777" w:rsidR="00D2690D" w:rsidRPr="00121962" w:rsidRDefault="00D2690D" w:rsidP="00E42C83">
            <w:pPr>
              <w:pStyle w:val="TableText"/>
              <w:jc w:val="center"/>
            </w:pPr>
            <w:r w:rsidRPr="00121962">
              <w:t>39 (1.8%)</w:t>
            </w:r>
          </w:p>
        </w:tc>
        <w:tc>
          <w:tcPr>
            <w:tcW w:w="2814" w:type="dxa"/>
            <w:gridSpan w:val="2"/>
          </w:tcPr>
          <w:p w14:paraId="4D428AE1" w14:textId="77777777" w:rsidR="00D2690D" w:rsidRPr="00121962" w:rsidRDefault="00D2690D" w:rsidP="00E42C83">
            <w:pPr>
              <w:pStyle w:val="TableText"/>
              <w:jc w:val="center"/>
            </w:pPr>
            <w:r w:rsidRPr="00121962">
              <w:t>31 (1.4%)</w:t>
            </w:r>
          </w:p>
        </w:tc>
      </w:tr>
      <w:tr w:rsidR="00D2690D" w:rsidRPr="00121962" w14:paraId="192F096B" w14:textId="77777777" w:rsidTr="00D2690D">
        <w:tc>
          <w:tcPr>
            <w:tcW w:w="3397" w:type="dxa"/>
          </w:tcPr>
          <w:p w14:paraId="253814FB" w14:textId="77777777" w:rsidR="00D2690D" w:rsidRPr="00121962" w:rsidRDefault="00D2690D" w:rsidP="00444A5B">
            <w:pPr>
              <w:pStyle w:val="TableText"/>
              <w:rPr>
                <w:vertAlign w:val="superscript"/>
              </w:rPr>
            </w:pPr>
            <w:r w:rsidRPr="00121962">
              <w:t xml:space="preserve">Adverse event leading to </w:t>
            </w:r>
            <w:r w:rsidR="00444A5B" w:rsidRPr="00121962">
              <w:t>death</w:t>
            </w:r>
            <w:r w:rsidR="00444A5B" w:rsidRPr="00121962">
              <w:rPr>
                <w:vertAlign w:val="superscript"/>
              </w:rPr>
              <w:t>a</w:t>
            </w:r>
          </w:p>
        </w:tc>
        <w:tc>
          <w:tcPr>
            <w:tcW w:w="2813" w:type="dxa"/>
          </w:tcPr>
          <w:p w14:paraId="7389A750" w14:textId="77777777" w:rsidR="00D2690D" w:rsidRPr="00121962" w:rsidRDefault="00D2690D" w:rsidP="00E42C83">
            <w:pPr>
              <w:pStyle w:val="TableText"/>
              <w:jc w:val="center"/>
            </w:pPr>
            <w:r w:rsidRPr="00121962">
              <w:t>106 (4.9%)</w:t>
            </w:r>
          </w:p>
        </w:tc>
        <w:tc>
          <w:tcPr>
            <w:tcW w:w="2814" w:type="dxa"/>
            <w:gridSpan w:val="2"/>
          </w:tcPr>
          <w:p w14:paraId="02E4A8DE" w14:textId="77777777" w:rsidR="00D2690D" w:rsidRPr="00121962" w:rsidRDefault="00D2690D" w:rsidP="00E42C83">
            <w:pPr>
              <w:pStyle w:val="TableText"/>
              <w:jc w:val="center"/>
            </w:pPr>
            <w:r w:rsidRPr="00121962">
              <w:t>159 (7.4%)</w:t>
            </w:r>
          </w:p>
        </w:tc>
      </w:tr>
      <w:tr w:rsidR="00D2690D" w:rsidRPr="00121962" w14:paraId="21199717" w14:textId="77777777" w:rsidTr="00D2690D">
        <w:tc>
          <w:tcPr>
            <w:tcW w:w="3397" w:type="dxa"/>
          </w:tcPr>
          <w:p w14:paraId="3C890D43" w14:textId="77777777" w:rsidR="00D2690D" w:rsidRPr="00121962" w:rsidRDefault="00D2690D" w:rsidP="00E42C83">
            <w:pPr>
              <w:pStyle w:val="TableText"/>
            </w:pPr>
            <w:r w:rsidRPr="00121962">
              <w:t>Adverse event related to treatment</w:t>
            </w:r>
          </w:p>
        </w:tc>
        <w:tc>
          <w:tcPr>
            <w:tcW w:w="2813" w:type="dxa"/>
          </w:tcPr>
          <w:p w14:paraId="70CEA771" w14:textId="77777777" w:rsidR="00D2690D" w:rsidRPr="00121962" w:rsidRDefault="00D2690D" w:rsidP="00E42C83">
            <w:pPr>
              <w:pStyle w:val="TableText"/>
              <w:jc w:val="center"/>
            </w:pPr>
            <w:r w:rsidRPr="00121962">
              <w:t>275 (12.8%)</w:t>
            </w:r>
          </w:p>
        </w:tc>
        <w:tc>
          <w:tcPr>
            <w:tcW w:w="2814" w:type="dxa"/>
            <w:gridSpan w:val="2"/>
          </w:tcPr>
          <w:p w14:paraId="42FA8DAA" w14:textId="77777777" w:rsidR="00D2690D" w:rsidRPr="00121962" w:rsidRDefault="00D2690D" w:rsidP="00E42C83">
            <w:pPr>
              <w:pStyle w:val="TableText"/>
              <w:jc w:val="center"/>
            </w:pPr>
            <w:r w:rsidRPr="00121962">
              <w:t>222 (10.3%)</w:t>
            </w:r>
          </w:p>
        </w:tc>
      </w:tr>
      <w:tr w:rsidR="00D2690D" w:rsidRPr="00121962" w14:paraId="455A4E23" w14:textId="77777777" w:rsidTr="00D2690D">
        <w:tc>
          <w:tcPr>
            <w:tcW w:w="3397" w:type="dxa"/>
          </w:tcPr>
          <w:p w14:paraId="6DC60925" w14:textId="77777777" w:rsidR="00D2690D" w:rsidRPr="00121962" w:rsidRDefault="00D2690D" w:rsidP="00444A5B">
            <w:pPr>
              <w:pStyle w:val="TableText"/>
            </w:pPr>
            <w:r w:rsidRPr="00121962">
              <w:t xml:space="preserve">Major hypoglycaemic </w:t>
            </w:r>
            <w:r w:rsidR="00444A5B" w:rsidRPr="00121962">
              <w:t>event</w:t>
            </w:r>
            <w:r w:rsidR="00444A5B" w:rsidRPr="00121962">
              <w:rPr>
                <w:vertAlign w:val="superscript"/>
              </w:rPr>
              <w:t>b</w:t>
            </w:r>
          </w:p>
        </w:tc>
        <w:tc>
          <w:tcPr>
            <w:tcW w:w="2813" w:type="dxa"/>
          </w:tcPr>
          <w:p w14:paraId="6159CEB2" w14:textId="77777777" w:rsidR="00D2690D" w:rsidRPr="00121962" w:rsidRDefault="00D2690D" w:rsidP="00E42C83">
            <w:pPr>
              <w:pStyle w:val="TableText"/>
              <w:jc w:val="center"/>
            </w:pPr>
            <w:r w:rsidRPr="00121962">
              <w:t>14 (0.7%)</w:t>
            </w:r>
          </w:p>
        </w:tc>
        <w:tc>
          <w:tcPr>
            <w:tcW w:w="2814" w:type="dxa"/>
            <w:gridSpan w:val="2"/>
          </w:tcPr>
          <w:p w14:paraId="4D5B5F0D" w14:textId="77777777" w:rsidR="00D2690D" w:rsidRPr="00121962" w:rsidRDefault="00D2690D" w:rsidP="00E42C83">
            <w:pPr>
              <w:pStyle w:val="TableText"/>
              <w:jc w:val="center"/>
            </w:pPr>
            <w:r w:rsidRPr="00121962">
              <w:t>28 (1.3%)</w:t>
            </w:r>
          </w:p>
        </w:tc>
      </w:tr>
      <w:tr w:rsidR="00D2690D" w:rsidRPr="00121962" w14:paraId="51223753" w14:textId="77777777" w:rsidTr="00D2690D">
        <w:tc>
          <w:tcPr>
            <w:tcW w:w="3397" w:type="dxa"/>
          </w:tcPr>
          <w:p w14:paraId="34747B71" w14:textId="77777777" w:rsidR="00D2690D" w:rsidRPr="00121962" w:rsidRDefault="00D2690D" w:rsidP="00E42C83">
            <w:pPr>
              <w:pStyle w:val="TableText"/>
              <w:rPr>
                <w:vertAlign w:val="superscript"/>
              </w:rPr>
            </w:pPr>
            <w:r w:rsidRPr="00121962">
              <w:t>Symptoms of volume depletion</w:t>
            </w:r>
          </w:p>
        </w:tc>
        <w:tc>
          <w:tcPr>
            <w:tcW w:w="2813" w:type="dxa"/>
          </w:tcPr>
          <w:p w14:paraId="73B07903" w14:textId="77777777" w:rsidR="00D2690D" w:rsidRPr="00121962" w:rsidRDefault="00D2690D" w:rsidP="00E42C83">
            <w:pPr>
              <w:pStyle w:val="TableText"/>
              <w:jc w:val="center"/>
            </w:pPr>
            <w:r w:rsidRPr="00121962">
              <w:t>120 (5.6%)</w:t>
            </w:r>
          </w:p>
        </w:tc>
        <w:tc>
          <w:tcPr>
            <w:tcW w:w="2814" w:type="dxa"/>
            <w:gridSpan w:val="2"/>
          </w:tcPr>
          <w:p w14:paraId="541F558F" w14:textId="77777777" w:rsidR="00D2690D" w:rsidRPr="00121962" w:rsidRDefault="00D2690D" w:rsidP="00E42C83">
            <w:pPr>
              <w:pStyle w:val="TableText"/>
              <w:jc w:val="center"/>
            </w:pPr>
            <w:r w:rsidRPr="00121962">
              <w:t>84 (3.9%)</w:t>
            </w:r>
          </w:p>
        </w:tc>
      </w:tr>
      <w:tr w:rsidR="00D2690D" w:rsidRPr="00121962" w14:paraId="0FC41733" w14:textId="77777777" w:rsidTr="00D2690D">
        <w:tc>
          <w:tcPr>
            <w:tcW w:w="3397" w:type="dxa"/>
          </w:tcPr>
          <w:p w14:paraId="28B145F8" w14:textId="77777777" w:rsidR="00D2690D" w:rsidRPr="00121962" w:rsidRDefault="00D2690D" w:rsidP="00D2690D">
            <w:pPr>
              <w:pStyle w:val="TableText"/>
            </w:pPr>
            <w:r w:rsidRPr="00121962">
              <w:t>Deaths (on treatment)</w:t>
            </w:r>
          </w:p>
        </w:tc>
        <w:tc>
          <w:tcPr>
            <w:tcW w:w="2813" w:type="dxa"/>
          </w:tcPr>
          <w:p w14:paraId="33D5F444" w14:textId="77777777" w:rsidR="00D2690D" w:rsidRPr="00121962" w:rsidRDefault="00D2690D" w:rsidP="00D2690D">
            <w:pPr>
              <w:pStyle w:val="TableText"/>
              <w:jc w:val="center"/>
            </w:pPr>
            <w:r w:rsidRPr="00121962">
              <w:t>67 (3.1%)</w:t>
            </w:r>
          </w:p>
        </w:tc>
        <w:tc>
          <w:tcPr>
            <w:tcW w:w="2814" w:type="dxa"/>
            <w:gridSpan w:val="2"/>
          </w:tcPr>
          <w:p w14:paraId="32089EE2" w14:textId="77777777" w:rsidR="00D2690D" w:rsidRPr="00121962" w:rsidRDefault="00D2690D" w:rsidP="00D2690D">
            <w:pPr>
              <w:pStyle w:val="TableText"/>
              <w:jc w:val="center"/>
            </w:pPr>
            <w:r w:rsidRPr="00121962">
              <w:t>85 (4.0%)</w:t>
            </w:r>
          </w:p>
        </w:tc>
      </w:tr>
      <w:tr w:rsidR="00D2690D" w:rsidRPr="00121962" w14:paraId="47F8C1F0" w14:textId="77777777" w:rsidTr="00D2690D">
        <w:tc>
          <w:tcPr>
            <w:tcW w:w="9024" w:type="dxa"/>
            <w:gridSpan w:val="4"/>
          </w:tcPr>
          <w:p w14:paraId="70BAC3DC" w14:textId="77777777" w:rsidR="00D2690D" w:rsidRPr="00121962" w:rsidRDefault="00D2690D" w:rsidP="00D2690D">
            <w:pPr>
              <w:pStyle w:val="TableText"/>
              <w:rPr>
                <w:b/>
              </w:rPr>
            </w:pPr>
            <w:r w:rsidRPr="00121962">
              <w:rPr>
                <w:b/>
              </w:rPr>
              <w:t>Serious adverse events with frequency of ≥ 0.5%</w:t>
            </w:r>
          </w:p>
        </w:tc>
      </w:tr>
      <w:tr w:rsidR="00D2690D" w:rsidRPr="00121962" w14:paraId="66838715" w14:textId="77777777" w:rsidTr="00D2690D">
        <w:trPr>
          <w:gridAfter w:val="1"/>
          <w:wAfter w:w="7" w:type="dxa"/>
        </w:trPr>
        <w:tc>
          <w:tcPr>
            <w:tcW w:w="3397" w:type="dxa"/>
          </w:tcPr>
          <w:p w14:paraId="2D34E722" w14:textId="77777777" w:rsidR="00D2690D" w:rsidRPr="00121962" w:rsidRDefault="00D2690D" w:rsidP="00E42C83">
            <w:pPr>
              <w:pStyle w:val="TableText"/>
            </w:pPr>
            <w:r w:rsidRPr="00121962">
              <w:t>Any serious adverse event</w:t>
            </w:r>
          </w:p>
        </w:tc>
        <w:tc>
          <w:tcPr>
            <w:tcW w:w="2813" w:type="dxa"/>
          </w:tcPr>
          <w:p w14:paraId="6193E01C" w14:textId="77777777" w:rsidR="00D2690D" w:rsidRPr="00121962" w:rsidRDefault="00D2690D" w:rsidP="00E42C83">
            <w:pPr>
              <w:pStyle w:val="TableText"/>
              <w:jc w:val="center"/>
            </w:pPr>
            <w:r w:rsidRPr="00121962">
              <w:rPr>
                <w:rFonts w:eastAsia="TimesNewRoman" w:cs="TimesNewRoman"/>
                <w:szCs w:val="20"/>
              </w:rPr>
              <w:t>594 (27.6%)</w:t>
            </w:r>
          </w:p>
        </w:tc>
        <w:tc>
          <w:tcPr>
            <w:tcW w:w="2807" w:type="dxa"/>
          </w:tcPr>
          <w:p w14:paraId="01098D6F" w14:textId="77777777" w:rsidR="00D2690D" w:rsidRPr="00121962" w:rsidRDefault="00D2690D" w:rsidP="00E42C83">
            <w:pPr>
              <w:keepNext/>
              <w:autoSpaceDE w:val="0"/>
              <w:autoSpaceDN w:val="0"/>
              <w:adjustRightInd w:val="0"/>
              <w:jc w:val="center"/>
              <w:rPr>
                <w:rFonts w:ascii="Arial Narrow" w:eastAsia="TimesNewRoman" w:hAnsi="Arial Narrow" w:cs="TimesNewRoman"/>
                <w:sz w:val="20"/>
                <w:szCs w:val="20"/>
              </w:rPr>
            </w:pPr>
            <w:r w:rsidRPr="00121962">
              <w:rPr>
                <w:rFonts w:ascii="Arial Narrow" w:eastAsia="TimesNewRoman" w:hAnsi="Arial Narrow" w:cs="TimesNewRoman"/>
                <w:sz w:val="20"/>
                <w:szCs w:val="20"/>
              </w:rPr>
              <w:t>674 (31.4%)</w:t>
            </w:r>
          </w:p>
        </w:tc>
      </w:tr>
      <w:tr w:rsidR="00D2690D" w:rsidRPr="00121962" w14:paraId="75AF0153" w14:textId="77777777" w:rsidTr="00D2690D">
        <w:trPr>
          <w:gridAfter w:val="1"/>
          <w:wAfter w:w="7" w:type="dxa"/>
        </w:trPr>
        <w:tc>
          <w:tcPr>
            <w:tcW w:w="3397" w:type="dxa"/>
          </w:tcPr>
          <w:p w14:paraId="5EE20D77" w14:textId="77777777" w:rsidR="00D2690D" w:rsidRPr="00121962" w:rsidRDefault="00D2690D" w:rsidP="00E42C83">
            <w:pPr>
              <w:pStyle w:val="TableText"/>
            </w:pPr>
            <w:r w:rsidRPr="00121962">
              <w:rPr>
                <w:rFonts w:eastAsia="TimesNewRoman" w:cs="TimesNewRoman"/>
                <w:szCs w:val="20"/>
              </w:rPr>
              <w:t>Acute kidney injury</w:t>
            </w:r>
          </w:p>
        </w:tc>
        <w:tc>
          <w:tcPr>
            <w:tcW w:w="2813" w:type="dxa"/>
          </w:tcPr>
          <w:p w14:paraId="212B758F" w14:textId="77777777" w:rsidR="00D2690D" w:rsidRPr="00121962" w:rsidRDefault="00D2690D" w:rsidP="00E42C83">
            <w:pPr>
              <w:pStyle w:val="TableText"/>
              <w:jc w:val="center"/>
            </w:pPr>
            <w:r w:rsidRPr="00121962">
              <w:rPr>
                <w:rFonts w:eastAsia="TimesNewRoman" w:cs="TimesNewRoman"/>
                <w:szCs w:val="20"/>
              </w:rPr>
              <w:t>36 (1.7%)</w:t>
            </w:r>
          </w:p>
        </w:tc>
        <w:tc>
          <w:tcPr>
            <w:tcW w:w="2807" w:type="dxa"/>
          </w:tcPr>
          <w:p w14:paraId="1B49B4EF" w14:textId="77777777" w:rsidR="00D2690D" w:rsidRPr="00121962" w:rsidRDefault="00D2690D" w:rsidP="00E42C83">
            <w:pPr>
              <w:pStyle w:val="TableText"/>
              <w:jc w:val="center"/>
              <w:rPr>
                <w:b/>
              </w:rPr>
            </w:pPr>
            <w:r w:rsidRPr="00121962">
              <w:rPr>
                <w:rFonts w:eastAsia="TimesNewRoman" w:cs="TimesNewRoman"/>
                <w:szCs w:val="20"/>
              </w:rPr>
              <w:t>44 (2.0%)</w:t>
            </w:r>
          </w:p>
        </w:tc>
      </w:tr>
      <w:tr w:rsidR="00D2690D" w:rsidRPr="00121962" w14:paraId="218FEDCF" w14:textId="77777777" w:rsidTr="00D2690D">
        <w:trPr>
          <w:gridAfter w:val="1"/>
          <w:wAfter w:w="7" w:type="dxa"/>
        </w:trPr>
        <w:tc>
          <w:tcPr>
            <w:tcW w:w="3397" w:type="dxa"/>
          </w:tcPr>
          <w:p w14:paraId="55D2B873" w14:textId="77777777" w:rsidR="00D2690D" w:rsidRPr="00121962" w:rsidRDefault="00D2690D" w:rsidP="00E42C83">
            <w:pPr>
              <w:pStyle w:val="TableText"/>
            </w:pPr>
            <w:r w:rsidRPr="00121962">
              <w:rPr>
                <w:rFonts w:eastAsia="TimesNewRoman" w:cs="TimesNewRoman"/>
                <w:szCs w:val="20"/>
              </w:rPr>
              <w:t>Pneumonia</w:t>
            </w:r>
          </w:p>
        </w:tc>
        <w:tc>
          <w:tcPr>
            <w:tcW w:w="2813" w:type="dxa"/>
          </w:tcPr>
          <w:p w14:paraId="0FFAF1D1" w14:textId="77777777" w:rsidR="00D2690D" w:rsidRPr="00121962" w:rsidRDefault="00D2690D" w:rsidP="00E42C83">
            <w:pPr>
              <w:pStyle w:val="TableText"/>
              <w:jc w:val="center"/>
            </w:pPr>
            <w:r w:rsidRPr="00121962">
              <w:rPr>
                <w:rFonts w:eastAsia="TimesNewRoman" w:cs="TimesNewRoman"/>
                <w:szCs w:val="20"/>
              </w:rPr>
              <w:t>36 (1.7%)</w:t>
            </w:r>
          </w:p>
        </w:tc>
        <w:tc>
          <w:tcPr>
            <w:tcW w:w="2807" w:type="dxa"/>
          </w:tcPr>
          <w:p w14:paraId="291B90D4" w14:textId="77777777" w:rsidR="00D2690D" w:rsidRPr="00121962" w:rsidRDefault="00D2690D" w:rsidP="00E42C83">
            <w:pPr>
              <w:pStyle w:val="TableText"/>
              <w:jc w:val="center"/>
              <w:rPr>
                <w:b/>
              </w:rPr>
            </w:pPr>
            <w:r w:rsidRPr="00121962">
              <w:rPr>
                <w:rFonts w:eastAsia="TimesNewRoman" w:cs="TimesNewRoman"/>
                <w:szCs w:val="20"/>
              </w:rPr>
              <w:t>58 (2.7%)</w:t>
            </w:r>
          </w:p>
        </w:tc>
      </w:tr>
      <w:tr w:rsidR="00D2690D" w:rsidRPr="00121962" w14:paraId="6404A553" w14:textId="77777777" w:rsidTr="00D2690D">
        <w:trPr>
          <w:gridAfter w:val="1"/>
          <w:wAfter w:w="7" w:type="dxa"/>
        </w:trPr>
        <w:tc>
          <w:tcPr>
            <w:tcW w:w="3397" w:type="dxa"/>
          </w:tcPr>
          <w:p w14:paraId="29A2DB0B" w14:textId="77777777" w:rsidR="00D2690D" w:rsidRPr="00121962" w:rsidRDefault="00D2690D" w:rsidP="00E42C83">
            <w:pPr>
              <w:pStyle w:val="TableText"/>
              <w:keepNext w:val="0"/>
            </w:pPr>
            <w:r w:rsidRPr="00121962">
              <w:rPr>
                <w:rFonts w:eastAsia="TimesNewRoman" w:cs="TimesNewRoman"/>
                <w:szCs w:val="20"/>
              </w:rPr>
              <w:t>Heart failure</w:t>
            </w:r>
          </w:p>
        </w:tc>
        <w:tc>
          <w:tcPr>
            <w:tcW w:w="2813" w:type="dxa"/>
          </w:tcPr>
          <w:p w14:paraId="67B9FB5A" w14:textId="77777777" w:rsidR="00D2690D" w:rsidRPr="00121962" w:rsidRDefault="00D2690D" w:rsidP="00E42C83">
            <w:pPr>
              <w:pStyle w:val="TableText"/>
              <w:keepNext w:val="0"/>
              <w:jc w:val="center"/>
            </w:pPr>
            <w:r w:rsidRPr="00121962">
              <w:rPr>
                <w:rFonts w:eastAsia="TimesNewRoman" w:cs="TimesNewRoman"/>
                <w:szCs w:val="20"/>
              </w:rPr>
              <w:t xml:space="preserve">35 (1.6%) </w:t>
            </w:r>
          </w:p>
        </w:tc>
        <w:tc>
          <w:tcPr>
            <w:tcW w:w="2807" w:type="dxa"/>
          </w:tcPr>
          <w:p w14:paraId="64EC9B09" w14:textId="77777777" w:rsidR="00D2690D" w:rsidRPr="00121962" w:rsidRDefault="00D2690D" w:rsidP="00E42C83">
            <w:pPr>
              <w:pStyle w:val="TableText"/>
              <w:keepNext w:val="0"/>
              <w:jc w:val="center"/>
              <w:rPr>
                <w:b/>
              </w:rPr>
            </w:pPr>
            <w:r w:rsidRPr="00121962">
              <w:rPr>
                <w:rFonts w:eastAsia="TimesNewRoman" w:cs="TimesNewRoman"/>
                <w:szCs w:val="20"/>
              </w:rPr>
              <w:t>48 (2.2%)</w:t>
            </w:r>
          </w:p>
        </w:tc>
      </w:tr>
      <w:tr w:rsidR="00D2690D" w:rsidRPr="00121962" w14:paraId="352732FC" w14:textId="77777777" w:rsidTr="00D2690D">
        <w:trPr>
          <w:gridAfter w:val="1"/>
          <w:wAfter w:w="7" w:type="dxa"/>
        </w:trPr>
        <w:tc>
          <w:tcPr>
            <w:tcW w:w="3397" w:type="dxa"/>
          </w:tcPr>
          <w:p w14:paraId="21474110" w14:textId="77777777" w:rsidR="00D2690D" w:rsidRPr="00121962" w:rsidRDefault="00D2690D" w:rsidP="00E42C83">
            <w:pPr>
              <w:pStyle w:val="TableText"/>
              <w:keepNext w:val="0"/>
            </w:pPr>
            <w:r w:rsidRPr="00121962">
              <w:rPr>
                <w:rFonts w:eastAsia="TimesNewRoman" w:cs="TimesNewRoman"/>
                <w:szCs w:val="20"/>
              </w:rPr>
              <w:t>Acute myocardial infarction</w:t>
            </w:r>
          </w:p>
        </w:tc>
        <w:tc>
          <w:tcPr>
            <w:tcW w:w="2813" w:type="dxa"/>
          </w:tcPr>
          <w:p w14:paraId="4597C978" w14:textId="77777777" w:rsidR="00D2690D" w:rsidRPr="00121962" w:rsidRDefault="00D2690D" w:rsidP="00E42C83">
            <w:pPr>
              <w:pStyle w:val="TableText"/>
              <w:keepNext w:val="0"/>
              <w:jc w:val="center"/>
            </w:pPr>
            <w:r w:rsidRPr="00121962">
              <w:rPr>
                <w:rFonts w:eastAsia="TimesNewRoman" w:cs="TimesNewRoman"/>
                <w:szCs w:val="20"/>
              </w:rPr>
              <w:t>28 (1.3%)</w:t>
            </w:r>
          </w:p>
        </w:tc>
        <w:tc>
          <w:tcPr>
            <w:tcW w:w="2807" w:type="dxa"/>
          </w:tcPr>
          <w:p w14:paraId="6B18E572" w14:textId="77777777" w:rsidR="00D2690D" w:rsidRPr="00121962" w:rsidRDefault="00D2690D" w:rsidP="00E42C83">
            <w:pPr>
              <w:pStyle w:val="TableText"/>
              <w:keepNext w:val="0"/>
              <w:jc w:val="center"/>
              <w:rPr>
                <w:b/>
              </w:rPr>
            </w:pPr>
            <w:r w:rsidRPr="00121962">
              <w:rPr>
                <w:rFonts w:eastAsia="TimesNewRoman" w:cs="TimesNewRoman"/>
                <w:szCs w:val="20"/>
              </w:rPr>
              <w:t>38 (1.8%)</w:t>
            </w:r>
          </w:p>
        </w:tc>
      </w:tr>
      <w:tr w:rsidR="00D2690D" w:rsidRPr="00121962" w14:paraId="003E6D4C" w14:textId="77777777" w:rsidTr="00D2690D">
        <w:trPr>
          <w:gridAfter w:val="1"/>
          <w:wAfter w:w="7" w:type="dxa"/>
        </w:trPr>
        <w:tc>
          <w:tcPr>
            <w:tcW w:w="3397" w:type="dxa"/>
          </w:tcPr>
          <w:p w14:paraId="3BDBCF07" w14:textId="77777777" w:rsidR="00D2690D" w:rsidRPr="00121962" w:rsidRDefault="00D2690D" w:rsidP="00E42C83">
            <w:pPr>
              <w:pStyle w:val="TableText"/>
              <w:keepNext w:val="0"/>
            </w:pPr>
            <w:r w:rsidRPr="00121962">
              <w:rPr>
                <w:rFonts w:eastAsia="TimesNewRoman" w:cs="TimesNewRoman"/>
                <w:szCs w:val="20"/>
              </w:rPr>
              <w:t>Ischaemic stroke</w:t>
            </w:r>
          </w:p>
        </w:tc>
        <w:tc>
          <w:tcPr>
            <w:tcW w:w="2813" w:type="dxa"/>
          </w:tcPr>
          <w:p w14:paraId="7AA22571" w14:textId="77777777" w:rsidR="00D2690D" w:rsidRPr="00121962" w:rsidRDefault="00D2690D" w:rsidP="00E42C83">
            <w:pPr>
              <w:pStyle w:val="TableText"/>
              <w:keepNext w:val="0"/>
              <w:jc w:val="center"/>
            </w:pPr>
            <w:r w:rsidRPr="00121962">
              <w:rPr>
                <w:rFonts w:eastAsia="TimesNewRoman" w:cs="TimesNewRoman"/>
                <w:szCs w:val="20"/>
              </w:rPr>
              <w:t xml:space="preserve">21 (1.0%) </w:t>
            </w:r>
          </w:p>
        </w:tc>
        <w:tc>
          <w:tcPr>
            <w:tcW w:w="2807" w:type="dxa"/>
          </w:tcPr>
          <w:p w14:paraId="39836174" w14:textId="77777777"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14:paraId="13099A18" w14:textId="77777777" w:rsidTr="00D2690D">
        <w:trPr>
          <w:gridAfter w:val="1"/>
          <w:wAfter w:w="7" w:type="dxa"/>
        </w:trPr>
        <w:tc>
          <w:tcPr>
            <w:tcW w:w="3397" w:type="dxa"/>
          </w:tcPr>
          <w:p w14:paraId="75F39B07" w14:textId="77777777" w:rsidR="00D2690D" w:rsidRPr="00121962" w:rsidRDefault="00D2690D" w:rsidP="00E42C83">
            <w:pPr>
              <w:pStyle w:val="TableText"/>
              <w:keepNext w:val="0"/>
              <w:jc w:val="both"/>
            </w:pPr>
            <w:r w:rsidRPr="00121962">
              <w:rPr>
                <w:rFonts w:eastAsia="TimesNewRoman" w:cs="TimesNewRoman"/>
                <w:szCs w:val="20"/>
              </w:rPr>
              <w:t>Urinary tract infection</w:t>
            </w:r>
          </w:p>
        </w:tc>
        <w:tc>
          <w:tcPr>
            <w:tcW w:w="2813" w:type="dxa"/>
          </w:tcPr>
          <w:p w14:paraId="1D8F5202" w14:textId="77777777" w:rsidR="00D2690D" w:rsidRPr="00121962" w:rsidRDefault="00D2690D" w:rsidP="00E42C83">
            <w:pPr>
              <w:pStyle w:val="TableText"/>
              <w:keepNext w:val="0"/>
              <w:jc w:val="center"/>
            </w:pPr>
            <w:r w:rsidRPr="00121962">
              <w:rPr>
                <w:rFonts w:eastAsia="TimesNewRoman" w:cs="TimesNewRoman"/>
                <w:szCs w:val="20"/>
              </w:rPr>
              <w:t xml:space="preserve">20 (0.9%) </w:t>
            </w:r>
          </w:p>
        </w:tc>
        <w:tc>
          <w:tcPr>
            <w:tcW w:w="2807" w:type="dxa"/>
          </w:tcPr>
          <w:p w14:paraId="1E49DF56" w14:textId="77777777" w:rsidR="00D2690D" w:rsidRPr="00121962" w:rsidRDefault="00D2690D" w:rsidP="00E42C83">
            <w:pPr>
              <w:pStyle w:val="TableText"/>
              <w:keepNext w:val="0"/>
              <w:jc w:val="center"/>
              <w:rPr>
                <w:b/>
              </w:rPr>
            </w:pPr>
            <w:r w:rsidRPr="00121962">
              <w:rPr>
                <w:rFonts w:eastAsia="TimesNewRoman" w:cs="TimesNewRoman"/>
                <w:szCs w:val="20"/>
              </w:rPr>
              <w:t>13 (0.6%)</w:t>
            </w:r>
          </w:p>
        </w:tc>
      </w:tr>
      <w:tr w:rsidR="00D2690D" w:rsidRPr="00121962" w14:paraId="7C2DCA80" w14:textId="77777777" w:rsidTr="00D2690D">
        <w:trPr>
          <w:gridAfter w:val="1"/>
          <w:wAfter w:w="7" w:type="dxa"/>
        </w:trPr>
        <w:tc>
          <w:tcPr>
            <w:tcW w:w="3397" w:type="dxa"/>
          </w:tcPr>
          <w:p w14:paraId="726958DE" w14:textId="77777777" w:rsidR="00D2690D" w:rsidRPr="00121962" w:rsidRDefault="00D2690D" w:rsidP="00E42C83">
            <w:pPr>
              <w:pStyle w:val="TableText"/>
              <w:keepNext w:val="0"/>
            </w:pPr>
            <w:r w:rsidRPr="00121962">
              <w:rPr>
                <w:rFonts w:eastAsia="TimesNewRoman" w:cs="TimesNewRoman"/>
                <w:szCs w:val="20"/>
              </w:rPr>
              <w:t>Cellulitis</w:t>
            </w:r>
          </w:p>
        </w:tc>
        <w:tc>
          <w:tcPr>
            <w:tcW w:w="2813" w:type="dxa"/>
          </w:tcPr>
          <w:p w14:paraId="4E8327CC" w14:textId="77777777" w:rsidR="00D2690D" w:rsidRPr="00121962" w:rsidRDefault="00D2690D" w:rsidP="00E42C83">
            <w:pPr>
              <w:pStyle w:val="TableText"/>
              <w:keepNext w:val="0"/>
              <w:jc w:val="center"/>
              <w:rPr>
                <w:b/>
              </w:rPr>
            </w:pPr>
            <w:r w:rsidRPr="00121962">
              <w:rPr>
                <w:rFonts w:eastAsia="TimesNewRoman" w:cs="TimesNewRoman"/>
                <w:szCs w:val="20"/>
              </w:rPr>
              <w:t xml:space="preserve">14 (0.7%) </w:t>
            </w:r>
          </w:p>
        </w:tc>
        <w:tc>
          <w:tcPr>
            <w:tcW w:w="2807" w:type="dxa"/>
          </w:tcPr>
          <w:p w14:paraId="189A8D5C" w14:textId="77777777" w:rsidR="00D2690D" w:rsidRPr="00121962" w:rsidRDefault="00D2690D" w:rsidP="00E42C83">
            <w:pPr>
              <w:pStyle w:val="TableText"/>
              <w:keepNext w:val="0"/>
              <w:jc w:val="center"/>
              <w:rPr>
                <w:b/>
              </w:rPr>
            </w:pPr>
            <w:r w:rsidRPr="00121962">
              <w:rPr>
                <w:rFonts w:eastAsia="TimesNewRoman" w:cs="TimesNewRoman"/>
                <w:szCs w:val="20"/>
              </w:rPr>
              <w:t>15 (0.7%)</w:t>
            </w:r>
          </w:p>
        </w:tc>
      </w:tr>
      <w:tr w:rsidR="00D2690D" w:rsidRPr="00121962" w14:paraId="32A31DD6" w14:textId="77777777" w:rsidTr="00D2690D">
        <w:trPr>
          <w:gridAfter w:val="1"/>
          <w:wAfter w:w="7" w:type="dxa"/>
        </w:trPr>
        <w:tc>
          <w:tcPr>
            <w:tcW w:w="3397" w:type="dxa"/>
          </w:tcPr>
          <w:p w14:paraId="03BE86AA" w14:textId="77777777" w:rsidR="00D2690D" w:rsidRPr="00121962" w:rsidRDefault="00D2690D" w:rsidP="00E42C83">
            <w:pPr>
              <w:pStyle w:val="TableText"/>
              <w:keepNext w:val="0"/>
            </w:pPr>
            <w:r w:rsidRPr="00121962">
              <w:rPr>
                <w:rFonts w:eastAsia="TimesNewRoman" w:cs="TimesNewRoman"/>
                <w:szCs w:val="20"/>
              </w:rPr>
              <w:t>Angina unstable</w:t>
            </w:r>
          </w:p>
        </w:tc>
        <w:tc>
          <w:tcPr>
            <w:tcW w:w="2813" w:type="dxa"/>
          </w:tcPr>
          <w:p w14:paraId="3F40EC78" w14:textId="77777777" w:rsidR="00D2690D" w:rsidRPr="00121962" w:rsidRDefault="00D2690D" w:rsidP="00E42C83">
            <w:pPr>
              <w:pStyle w:val="TableText"/>
              <w:keepNext w:val="0"/>
              <w:jc w:val="center"/>
            </w:pPr>
            <w:r w:rsidRPr="00121962">
              <w:rPr>
                <w:rFonts w:eastAsia="TimesNewRoman" w:cs="TimesNewRoman"/>
                <w:szCs w:val="20"/>
              </w:rPr>
              <w:t xml:space="preserve">12 (0.6%) </w:t>
            </w:r>
          </w:p>
        </w:tc>
        <w:tc>
          <w:tcPr>
            <w:tcW w:w="2807" w:type="dxa"/>
          </w:tcPr>
          <w:p w14:paraId="38BC80B9" w14:textId="77777777"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14:paraId="5619D4A1" w14:textId="77777777" w:rsidTr="00D2690D">
        <w:trPr>
          <w:gridAfter w:val="1"/>
          <w:wAfter w:w="7" w:type="dxa"/>
        </w:trPr>
        <w:tc>
          <w:tcPr>
            <w:tcW w:w="3397" w:type="dxa"/>
          </w:tcPr>
          <w:p w14:paraId="36BC7269" w14:textId="77777777" w:rsidR="00D2690D" w:rsidRPr="00121962" w:rsidRDefault="00D2690D" w:rsidP="00E42C83">
            <w:pPr>
              <w:pStyle w:val="TableText"/>
              <w:keepNext w:val="0"/>
              <w:rPr>
                <w:b/>
              </w:rPr>
            </w:pPr>
            <w:r w:rsidRPr="00121962">
              <w:rPr>
                <w:rFonts w:eastAsia="TimesNewRoman" w:cs="TimesNewRoman"/>
                <w:szCs w:val="20"/>
              </w:rPr>
              <w:t>Transient ischaemic attack</w:t>
            </w:r>
          </w:p>
        </w:tc>
        <w:tc>
          <w:tcPr>
            <w:tcW w:w="2813" w:type="dxa"/>
          </w:tcPr>
          <w:p w14:paraId="767DED8C" w14:textId="77777777" w:rsidR="00D2690D" w:rsidRPr="00121962" w:rsidRDefault="00D2690D" w:rsidP="00E42C83">
            <w:pPr>
              <w:pStyle w:val="TableText"/>
              <w:keepNext w:val="0"/>
              <w:jc w:val="center"/>
            </w:pPr>
            <w:r w:rsidRPr="00121962">
              <w:rPr>
                <w:rFonts w:eastAsia="TimesNewRoman" w:cs="TimesNewRoman"/>
                <w:szCs w:val="20"/>
              </w:rPr>
              <w:t xml:space="preserve">11 (0.5%) </w:t>
            </w:r>
          </w:p>
        </w:tc>
        <w:tc>
          <w:tcPr>
            <w:tcW w:w="2807" w:type="dxa"/>
          </w:tcPr>
          <w:p w14:paraId="580F1808" w14:textId="77777777" w:rsidR="00D2690D" w:rsidRPr="00121962" w:rsidRDefault="00D2690D" w:rsidP="00E42C83">
            <w:pPr>
              <w:pStyle w:val="TableText"/>
              <w:keepNext w:val="0"/>
              <w:jc w:val="center"/>
              <w:rPr>
                <w:b/>
              </w:rPr>
            </w:pPr>
            <w:r w:rsidRPr="00121962">
              <w:rPr>
                <w:rFonts w:eastAsia="TimesNewRoman" w:cs="TimesNewRoman"/>
                <w:szCs w:val="20"/>
              </w:rPr>
              <w:t>8 (0.4%)</w:t>
            </w:r>
          </w:p>
        </w:tc>
      </w:tr>
      <w:tr w:rsidR="00D2690D" w:rsidRPr="00121962" w14:paraId="261921DC" w14:textId="77777777" w:rsidTr="00D2690D">
        <w:trPr>
          <w:gridAfter w:val="1"/>
          <w:wAfter w:w="7" w:type="dxa"/>
        </w:trPr>
        <w:tc>
          <w:tcPr>
            <w:tcW w:w="3397" w:type="dxa"/>
          </w:tcPr>
          <w:p w14:paraId="37FF09A4" w14:textId="77777777" w:rsidR="00D2690D" w:rsidRPr="00121962" w:rsidRDefault="00D2690D" w:rsidP="00E42C83">
            <w:pPr>
              <w:pStyle w:val="TableText"/>
              <w:keepNext w:val="0"/>
            </w:pPr>
            <w:r w:rsidRPr="00121962">
              <w:t xml:space="preserve">Cardiac failure congestive </w:t>
            </w:r>
          </w:p>
        </w:tc>
        <w:tc>
          <w:tcPr>
            <w:tcW w:w="2813" w:type="dxa"/>
          </w:tcPr>
          <w:p w14:paraId="4E21BAA9" w14:textId="77777777" w:rsidR="00D2690D" w:rsidRPr="00121962" w:rsidRDefault="00D2690D" w:rsidP="00E42C83">
            <w:pPr>
              <w:pStyle w:val="TableText"/>
              <w:keepNext w:val="0"/>
              <w:jc w:val="center"/>
            </w:pPr>
            <w:r w:rsidRPr="00121962">
              <w:t xml:space="preserve">10 (0.5%) </w:t>
            </w:r>
          </w:p>
        </w:tc>
        <w:tc>
          <w:tcPr>
            <w:tcW w:w="2807" w:type="dxa"/>
          </w:tcPr>
          <w:p w14:paraId="7F02B650" w14:textId="77777777" w:rsidR="00D2690D" w:rsidRPr="00121962" w:rsidRDefault="00D2690D" w:rsidP="00E42C83">
            <w:pPr>
              <w:pStyle w:val="TableText"/>
              <w:keepNext w:val="0"/>
              <w:jc w:val="center"/>
              <w:rPr>
                <w:b/>
              </w:rPr>
            </w:pPr>
            <w:r w:rsidRPr="00121962">
              <w:t>16 (0.7%)</w:t>
            </w:r>
          </w:p>
        </w:tc>
      </w:tr>
      <w:tr w:rsidR="00D2690D" w:rsidRPr="00121962" w14:paraId="09E245E4" w14:textId="77777777" w:rsidTr="00D2690D">
        <w:trPr>
          <w:gridAfter w:val="1"/>
          <w:wAfter w:w="7" w:type="dxa"/>
        </w:trPr>
        <w:tc>
          <w:tcPr>
            <w:tcW w:w="3397" w:type="dxa"/>
          </w:tcPr>
          <w:p w14:paraId="2D34C612" w14:textId="77777777" w:rsidR="00D2690D" w:rsidRPr="00121962" w:rsidRDefault="00D2690D" w:rsidP="00E42C83">
            <w:pPr>
              <w:pStyle w:val="TableText"/>
              <w:keepNext w:val="0"/>
            </w:pPr>
            <w:r w:rsidRPr="00121962">
              <w:t xml:space="preserve">Cerebrovascular accident </w:t>
            </w:r>
          </w:p>
        </w:tc>
        <w:tc>
          <w:tcPr>
            <w:tcW w:w="2813" w:type="dxa"/>
          </w:tcPr>
          <w:p w14:paraId="5C9F6F83" w14:textId="77777777" w:rsidR="00D2690D" w:rsidRPr="00121962" w:rsidRDefault="00D2690D" w:rsidP="00E42C83">
            <w:pPr>
              <w:pStyle w:val="TableText"/>
              <w:keepNext w:val="0"/>
              <w:jc w:val="center"/>
            </w:pPr>
            <w:r w:rsidRPr="00121962">
              <w:t xml:space="preserve">10 (0.5%) </w:t>
            </w:r>
          </w:p>
        </w:tc>
        <w:tc>
          <w:tcPr>
            <w:tcW w:w="2807" w:type="dxa"/>
          </w:tcPr>
          <w:p w14:paraId="6B85DFA9" w14:textId="77777777" w:rsidR="00D2690D" w:rsidRPr="00121962" w:rsidRDefault="00D2690D" w:rsidP="00E42C83">
            <w:pPr>
              <w:pStyle w:val="TableText"/>
              <w:keepNext w:val="0"/>
              <w:jc w:val="center"/>
              <w:rPr>
                <w:b/>
              </w:rPr>
            </w:pPr>
            <w:r w:rsidRPr="00121962">
              <w:t>8 (0.4%)</w:t>
            </w:r>
          </w:p>
        </w:tc>
      </w:tr>
      <w:tr w:rsidR="00D2690D" w:rsidRPr="00121962" w14:paraId="7478F552" w14:textId="77777777" w:rsidTr="00D2690D">
        <w:trPr>
          <w:gridAfter w:val="1"/>
          <w:wAfter w:w="7" w:type="dxa"/>
        </w:trPr>
        <w:tc>
          <w:tcPr>
            <w:tcW w:w="3397" w:type="dxa"/>
          </w:tcPr>
          <w:p w14:paraId="489FFA18" w14:textId="77777777" w:rsidR="00D2690D" w:rsidRPr="00121962" w:rsidRDefault="00D2690D" w:rsidP="00E42C83">
            <w:pPr>
              <w:pStyle w:val="TableText"/>
              <w:keepNext w:val="0"/>
            </w:pPr>
            <w:r w:rsidRPr="00121962">
              <w:t xml:space="preserve">Myocardial infarction </w:t>
            </w:r>
          </w:p>
        </w:tc>
        <w:tc>
          <w:tcPr>
            <w:tcW w:w="2813" w:type="dxa"/>
          </w:tcPr>
          <w:p w14:paraId="3C4A4263" w14:textId="77777777" w:rsidR="00D2690D" w:rsidRPr="00121962" w:rsidRDefault="00D2690D" w:rsidP="00E42C83">
            <w:pPr>
              <w:pStyle w:val="TableText"/>
              <w:keepNext w:val="0"/>
              <w:jc w:val="center"/>
            </w:pPr>
            <w:r w:rsidRPr="00121962">
              <w:t>10 (0.5%)</w:t>
            </w:r>
          </w:p>
        </w:tc>
        <w:tc>
          <w:tcPr>
            <w:tcW w:w="2807" w:type="dxa"/>
          </w:tcPr>
          <w:p w14:paraId="07E19760" w14:textId="77777777" w:rsidR="00D2690D" w:rsidRPr="00121962" w:rsidRDefault="00D2690D" w:rsidP="00E42C83">
            <w:pPr>
              <w:pStyle w:val="TableText"/>
              <w:keepNext w:val="0"/>
              <w:jc w:val="center"/>
              <w:rPr>
                <w:b/>
              </w:rPr>
            </w:pPr>
            <w:r w:rsidRPr="00121962">
              <w:t>5 (0.2%)</w:t>
            </w:r>
          </w:p>
        </w:tc>
      </w:tr>
      <w:tr w:rsidR="00D2690D" w:rsidRPr="00121962" w14:paraId="75FF8F9E" w14:textId="77777777" w:rsidTr="00D2690D">
        <w:trPr>
          <w:gridAfter w:val="1"/>
          <w:wAfter w:w="7" w:type="dxa"/>
        </w:trPr>
        <w:tc>
          <w:tcPr>
            <w:tcW w:w="3397" w:type="dxa"/>
          </w:tcPr>
          <w:p w14:paraId="5F683483" w14:textId="77777777" w:rsidR="00D2690D" w:rsidRPr="00121962" w:rsidRDefault="00D2690D" w:rsidP="00E42C83">
            <w:pPr>
              <w:pStyle w:val="TableText"/>
              <w:keepNext w:val="0"/>
            </w:pPr>
            <w:r w:rsidRPr="00121962">
              <w:rPr>
                <w:rFonts w:eastAsia="TimesNewRoman" w:cs="TimesNewRoman"/>
                <w:szCs w:val="20"/>
              </w:rPr>
              <w:t xml:space="preserve">Osteomyelitis </w:t>
            </w:r>
          </w:p>
        </w:tc>
        <w:tc>
          <w:tcPr>
            <w:tcW w:w="2813" w:type="dxa"/>
          </w:tcPr>
          <w:p w14:paraId="3BB36AD2" w14:textId="77777777" w:rsidR="00D2690D" w:rsidRPr="00121962" w:rsidRDefault="00D2690D" w:rsidP="00E42C83">
            <w:pPr>
              <w:pStyle w:val="TableText"/>
              <w:keepNext w:val="0"/>
              <w:jc w:val="center"/>
            </w:pPr>
            <w:r w:rsidRPr="00121962">
              <w:rPr>
                <w:rFonts w:eastAsia="TimesNewRoman" w:cs="TimesNewRoman"/>
                <w:szCs w:val="20"/>
              </w:rPr>
              <w:t xml:space="preserve">10 (0.5%) </w:t>
            </w:r>
          </w:p>
        </w:tc>
        <w:tc>
          <w:tcPr>
            <w:tcW w:w="2807" w:type="dxa"/>
          </w:tcPr>
          <w:p w14:paraId="6D15BCF9" w14:textId="77777777" w:rsidR="00D2690D" w:rsidRPr="00121962" w:rsidRDefault="00D2690D" w:rsidP="00E42C83">
            <w:pPr>
              <w:pStyle w:val="TableText"/>
              <w:keepNext w:val="0"/>
              <w:jc w:val="center"/>
              <w:rPr>
                <w:b/>
              </w:rPr>
            </w:pPr>
            <w:r w:rsidRPr="00121962">
              <w:rPr>
                <w:rFonts w:eastAsia="TimesNewRoman" w:cs="TimesNewRoman"/>
                <w:szCs w:val="20"/>
              </w:rPr>
              <w:t>10 (0.5%)</w:t>
            </w:r>
          </w:p>
        </w:tc>
      </w:tr>
      <w:tr w:rsidR="00D2690D" w:rsidRPr="00121962" w14:paraId="7FEB8B8E" w14:textId="77777777" w:rsidTr="00D2690D">
        <w:trPr>
          <w:gridAfter w:val="1"/>
          <w:wAfter w:w="7" w:type="dxa"/>
        </w:trPr>
        <w:tc>
          <w:tcPr>
            <w:tcW w:w="3397" w:type="dxa"/>
          </w:tcPr>
          <w:p w14:paraId="6835A7A4"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Prostate cancer </w:t>
            </w:r>
          </w:p>
        </w:tc>
        <w:tc>
          <w:tcPr>
            <w:tcW w:w="2813" w:type="dxa"/>
          </w:tcPr>
          <w:p w14:paraId="6D6D3988"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10 (0.5%) </w:t>
            </w:r>
          </w:p>
        </w:tc>
        <w:tc>
          <w:tcPr>
            <w:tcW w:w="2807" w:type="dxa"/>
          </w:tcPr>
          <w:p w14:paraId="12451962"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5 (0.2%)</w:t>
            </w:r>
          </w:p>
        </w:tc>
      </w:tr>
      <w:tr w:rsidR="00D2690D" w:rsidRPr="00121962" w14:paraId="5148F2BF" w14:textId="77777777" w:rsidTr="00D2690D">
        <w:trPr>
          <w:gridAfter w:val="1"/>
          <w:wAfter w:w="7" w:type="dxa"/>
        </w:trPr>
        <w:tc>
          <w:tcPr>
            <w:tcW w:w="3397" w:type="dxa"/>
          </w:tcPr>
          <w:p w14:paraId="0A55C751"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Hypoglycaemia </w:t>
            </w:r>
          </w:p>
        </w:tc>
        <w:tc>
          <w:tcPr>
            <w:tcW w:w="2813" w:type="dxa"/>
          </w:tcPr>
          <w:p w14:paraId="17CC244D"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14:paraId="0D996874"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14:paraId="6DEBEC9D" w14:textId="77777777" w:rsidTr="00D2690D">
        <w:trPr>
          <w:gridAfter w:val="1"/>
          <w:wAfter w:w="7" w:type="dxa"/>
        </w:trPr>
        <w:tc>
          <w:tcPr>
            <w:tcW w:w="3397" w:type="dxa"/>
          </w:tcPr>
          <w:p w14:paraId="76956399"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Sepsis </w:t>
            </w:r>
          </w:p>
        </w:tc>
        <w:tc>
          <w:tcPr>
            <w:tcW w:w="2813" w:type="dxa"/>
          </w:tcPr>
          <w:p w14:paraId="5C1AD918"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14:paraId="0D0758F2"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14 (0.7%)</w:t>
            </w:r>
          </w:p>
        </w:tc>
      </w:tr>
      <w:tr w:rsidR="00D2690D" w:rsidRPr="00121962" w14:paraId="42CB4494" w14:textId="77777777" w:rsidTr="00D2690D">
        <w:trPr>
          <w:gridAfter w:val="1"/>
          <w:wAfter w:w="7" w:type="dxa"/>
        </w:trPr>
        <w:tc>
          <w:tcPr>
            <w:tcW w:w="3397" w:type="dxa"/>
          </w:tcPr>
          <w:p w14:paraId="0EE145CA"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Atrial fibrillation </w:t>
            </w:r>
          </w:p>
        </w:tc>
        <w:tc>
          <w:tcPr>
            <w:tcW w:w="2813" w:type="dxa"/>
          </w:tcPr>
          <w:p w14:paraId="733F0882"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14:paraId="543650EC"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14:paraId="6CD43BF3" w14:textId="77777777" w:rsidTr="00D2690D">
        <w:trPr>
          <w:gridAfter w:val="1"/>
          <w:wAfter w:w="7" w:type="dxa"/>
        </w:trPr>
        <w:tc>
          <w:tcPr>
            <w:tcW w:w="3397" w:type="dxa"/>
          </w:tcPr>
          <w:p w14:paraId="0B12A940" w14:textId="77777777"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Hyperkalaemia </w:t>
            </w:r>
          </w:p>
        </w:tc>
        <w:tc>
          <w:tcPr>
            <w:tcW w:w="2813" w:type="dxa"/>
          </w:tcPr>
          <w:p w14:paraId="65F3BAAA"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14:paraId="524CF15C"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11 (0.5%)</w:t>
            </w:r>
          </w:p>
        </w:tc>
      </w:tr>
      <w:tr w:rsidR="00D2690D" w:rsidRPr="00121962" w14:paraId="316ABBE5" w14:textId="77777777" w:rsidTr="00D2690D">
        <w:trPr>
          <w:gridAfter w:val="1"/>
          <w:wAfter w:w="7" w:type="dxa"/>
        </w:trPr>
        <w:tc>
          <w:tcPr>
            <w:tcW w:w="3397" w:type="dxa"/>
          </w:tcPr>
          <w:p w14:paraId="250CB7D7" w14:textId="77777777"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Hyperglycaemia </w:t>
            </w:r>
          </w:p>
        </w:tc>
        <w:tc>
          <w:tcPr>
            <w:tcW w:w="2813" w:type="dxa"/>
          </w:tcPr>
          <w:p w14:paraId="73F56F92"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5 (0.2%) </w:t>
            </w:r>
          </w:p>
        </w:tc>
        <w:tc>
          <w:tcPr>
            <w:tcW w:w="2807" w:type="dxa"/>
          </w:tcPr>
          <w:p w14:paraId="29C62449"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15 (0.7%)</w:t>
            </w:r>
          </w:p>
        </w:tc>
      </w:tr>
    </w:tbl>
    <w:p w14:paraId="66B6FC95" w14:textId="77777777" w:rsidR="00D2690D" w:rsidRPr="00121962" w:rsidRDefault="00D2690D" w:rsidP="00D2690D">
      <w:pPr>
        <w:pStyle w:val="TableFigureFooter"/>
        <w:rPr>
          <w:sz w:val="20"/>
        </w:rPr>
      </w:pPr>
      <w:r w:rsidRPr="00121962">
        <w:t>Source: Table 2.5.5, p.89 of the submission; Table 28, p.120 of the DAPA-CKD CSR, Attachment 2.3 of the submission</w:t>
      </w:r>
    </w:p>
    <w:p w14:paraId="1504C968" w14:textId="77777777" w:rsidR="00D2690D" w:rsidRPr="00121962" w:rsidRDefault="00D2690D" w:rsidP="00D2690D">
      <w:pPr>
        <w:pStyle w:val="TableFigureFooter"/>
        <w:rPr>
          <w:rFonts w:eastAsia="Calibri"/>
        </w:rPr>
      </w:pPr>
      <w:r w:rsidRPr="00121962">
        <w:rPr>
          <w:rFonts w:eastAsia="Calibri"/>
        </w:rPr>
        <w:t>SOC</w:t>
      </w:r>
      <w:r w:rsidR="00326BAC" w:rsidRPr="00121962">
        <w:rPr>
          <w:rFonts w:eastAsia="Calibri"/>
        </w:rPr>
        <w:t>,</w:t>
      </w:r>
      <w:r w:rsidRPr="00121962">
        <w:rPr>
          <w:rFonts w:eastAsia="Calibri"/>
        </w:rPr>
        <w:t xml:space="preserve"> standard of care </w:t>
      </w:r>
    </w:p>
    <w:p w14:paraId="73AF561F" w14:textId="77777777" w:rsidR="00D2690D" w:rsidRPr="00121962" w:rsidRDefault="00444A5B" w:rsidP="00D2690D">
      <w:pPr>
        <w:pStyle w:val="TableFigureFooter"/>
      </w:pPr>
      <w:r w:rsidRPr="00121962">
        <w:rPr>
          <w:rFonts w:eastAsia="Calibri"/>
          <w:vertAlign w:val="superscript"/>
        </w:rPr>
        <w:t>a</w:t>
      </w:r>
      <w:r w:rsidRPr="00121962">
        <w:rPr>
          <w:rFonts w:eastAsia="Calibri"/>
        </w:rPr>
        <w:t xml:space="preserve"> </w:t>
      </w:r>
      <w:r w:rsidR="00D2690D" w:rsidRPr="00121962">
        <w:rPr>
          <w:rFonts w:eastAsia="Calibri"/>
        </w:rPr>
        <w:t>Includes death on and off treatment</w:t>
      </w:r>
      <w:r w:rsidR="00590AAF" w:rsidRPr="00121962">
        <w:rPr>
          <w:rFonts w:eastAsia="Calibri"/>
        </w:rPr>
        <w:t>.</w:t>
      </w:r>
    </w:p>
    <w:p w14:paraId="2887DE12" w14:textId="77777777" w:rsidR="00D2690D" w:rsidRPr="00121962" w:rsidRDefault="00444A5B" w:rsidP="00D2690D">
      <w:pPr>
        <w:pStyle w:val="TableFigureFooter"/>
      </w:pPr>
      <w:r w:rsidRPr="00121962">
        <w:rPr>
          <w:vertAlign w:val="superscript"/>
        </w:rPr>
        <w:t>b</w:t>
      </w:r>
      <w:r w:rsidRPr="00121962">
        <w:t xml:space="preserve"> </w:t>
      </w:r>
      <w:r w:rsidR="00D2690D" w:rsidRPr="00121962">
        <w:t>Investigator defined as symptoms of severe impairment in consciousness or behaviour, needing external assistance and intervention to treat hypoglycaemia, with prompt recovery of acute symptoms</w:t>
      </w:r>
      <w:r w:rsidR="00590AAF" w:rsidRPr="00121962">
        <w:t>.</w:t>
      </w:r>
    </w:p>
    <w:p w14:paraId="7F5F2749" w14:textId="77777777" w:rsidR="00D2690D" w:rsidRPr="00121962" w:rsidRDefault="00D2690D" w:rsidP="00D2690D">
      <w:pPr>
        <w:pStyle w:val="ExecSumBodyText"/>
      </w:pPr>
      <w:r w:rsidRPr="00121962">
        <w:t xml:space="preserve">Patients treated with dapagliflozin plus SOC reported fewer serious adverse events compared to SOC alone (27.6% </w:t>
      </w:r>
      <w:r w:rsidR="00326BAC" w:rsidRPr="00121962">
        <w:t xml:space="preserve">vs </w:t>
      </w:r>
      <w:r w:rsidRPr="00121962">
        <w:t>31.4%, respectively). However, larger proportions of patients treated with dapagliflozin reported adverse events related to treatment (12.8% vs 10.3%) and symptoms of volume depletion (5.6% vs 3.9%) compared to placebo.</w:t>
      </w:r>
    </w:p>
    <w:p w14:paraId="0073180E" w14:textId="77777777" w:rsidR="00D2690D" w:rsidRPr="00121962" w:rsidRDefault="00D2690D" w:rsidP="00D2690D">
      <w:pPr>
        <w:pStyle w:val="ExecSumBodyText"/>
      </w:pPr>
      <w:r w:rsidRPr="00121962">
        <w:t>The most commonly reported serious adverse events in both treatment arms were acute kidney injury, pneumonia, heart failure and acute myocardial infarction, with similar incidence between treatment arms. Similar proportions of patients reported adverse events between T2DM status subgroups.</w:t>
      </w:r>
    </w:p>
    <w:p w14:paraId="5A6E805D" w14:textId="77777777" w:rsidR="00D2690D" w:rsidRPr="00121962" w:rsidRDefault="00D2690D" w:rsidP="00D2690D">
      <w:pPr>
        <w:pStyle w:val="ExecSumBodyText"/>
      </w:pPr>
      <w:r w:rsidRPr="00121962">
        <w:t xml:space="preserve">Important risks associated with dapagliflozin identified in </w:t>
      </w:r>
      <w:r w:rsidR="00534F0E" w:rsidRPr="00121962">
        <w:t xml:space="preserve">the Periodic Safety Update Report (October 2019 to April 2020) </w:t>
      </w:r>
      <w:r w:rsidRPr="00121962">
        <w:t>include</w:t>
      </w:r>
      <w:r w:rsidR="00590AAF" w:rsidRPr="00121962">
        <w:t>d</w:t>
      </w:r>
      <w:r w:rsidRPr="00121962">
        <w:t xml:space="preserve"> urinary tract infection, renal impairment, and diabetic ketoacidosis including events with atypical presentation. Important potential risks include liver injury, bladder cancer, breast cancer, prostate cancer, and lower limb amputation.</w:t>
      </w:r>
    </w:p>
    <w:p w14:paraId="5C3F613A" w14:textId="77777777" w:rsidR="007F1017" w:rsidRPr="00121962" w:rsidRDefault="007F1017" w:rsidP="00D86231">
      <w:pPr>
        <w:pStyle w:val="3-SubsectionHeading"/>
      </w:pPr>
      <w:bookmarkStart w:id="26" w:name="_Toc22897643"/>
      <w:bookmarkStart w:id="27" w:name="_Toc72322334"/>
      <w:r w:rsidRPr="00121962">
        <w:t>Benefits/harms</w:t>
      </w:r>
      <w:bookmarkEnd w:id="26"/>
      <w:bookmarkEnd w:id="27"/>
    </w:p>
    <w:p w14:paraId="0681D387" w14:textId="77777777" w:rsidR="00534F0E" w:rsidRPr="00121962" w:rsidRDefault="00534F0E" w:rsidP="00534F0E">
      <w:pPr>
        <w:pStyle w:val="ExecSumBodyText"/>
        <w:numPr>
          <w:ilvl w:val="1"/>
          <w:numId w:val="1"/>
        </w:numPr>
        <w:rPr>
          <w:snapToGrid/>
        </w:rPr>
      </w:pPr>
      <w:r w:rsidRPr="00121962">
        <w:rPr>
          <w:snapToGrid/>
        </w:rPr>
        <w:t>On the basis of the direct evidence presented in the DAPA-CKD trial, for every 100 patients with CKD treated with dapagliflozin plus SOC in comparison with SOC alone, over a median of 28.5 months:</w:t>
      </w:r>
    </w:p>
    <w:p w14:paraId="3D9C9345" w14:textId="77777777" w:rsidR="00534F0E" w:rsidRPr="00121962" w:rsidRDefault="00534F0E" w:rsidP="00534F0E">
      <w:pPr>
        <w:pStyle w:val="ListBullet"/>
        <w:tabs>
          <w:tab w:val="clear" w:pos="360"/>
        </w:tabs>
        <w:spacing w:after="120"/>
        <w:ind w:left="998" w:hanging="221"/>
      </w:pPr>
      <w:r w:rsidRPr="00121962">
        <w:t xml:space="preserve">Approximately 5 fewer patients would experience one event of: </w:t>
      </w:r>
      <w:r w:rsidR="00745918" w:rsidRPr="00121962">
        <w:t>≥</w:t>
      </w:r>
      <w:r w:rsidRPr="00121962">
        <w:t>50% decline in kidney function, progression to ESKD or death related to cardiovascular or renal causes</w:t>
      </w:r>
      <w:r w:rsidRPr="00121962">
        <w:rPr>
          <w:iCs/>
        </w:rPr>
        <w:t>.</w:t>
      </w:r>
    </w:p>
    <w:p w14:paraId="3ACAA4DE" w14:textId="77777777" w:rsidR="00534F0E" w:rsidRPr="00121962" w:rsidRDefault="00534F0E" w:rsidP="00534F0E">
      <w:pPr>
        <w:pStyle w:val="ListBullet"/>
        <w:tabs>
          <w:tab w:val="clear" w:pos="360"/>
        </w:tabs>
        <w:spacing w:after="120"/>
        <w:ind w:left="998" w:hanging="221"/>
      </w:pPr>
      <w:r w:rsidRPr="00121962">
        <w:t>Approximately 2 fewer patients would experience CKD progression to ESKD.</w:t>
      </w:r>
    </w:p>
    <w:p w14:paraId="0B23BA95" w14:textId="77777777" w:rsidR="002E1071" w:rsidRPr="00121962" w:rsidRDefault="00534F0E" w:rsidP="00534F0E">
      <w:pPr>
        <w:pStyle w:val="ListBullet"/>
        <w:tabs>
          <w:tab w:val="clear" w:pos="360"/>
        </w:tabs>
        <w:spacing w:after="120"/>
        <w:ind w:left="998" w:hanging="221"/>
      </w:pPr>
      <w:r w:rsidRPr="00121962">
        <w:t xml:space="preserve">Approximately </w:t>
      </w:r>
      <w:r w:rsidR="009B50B7" w:rsidRPr="00121962">
        <w:t xml:space="preserve">4 fewer </w:t>
      </w:r>
      <w:r w:rsidRPr="00121962">
        <w:t>patients would experience a serious adverse event.</w:t>
      </w:r>
    </w:p>
    <w:p w14:paraId="74B9A91D" w14:textId="77777777" w:rsidR="00B60939" w:rsidRPr="00121962" w:rsidRDefault="00B60939" w:rsidP="00E9094A">
      <w:pPr>
        <w:pStyle w:val="3-SubsectionHeading"/>
      </w:pPr>
      <w:bookmarkStart w:id="28" w:name="_Toc22897644"/>
      <w:bookmarkStart w:id="29" w:name="_Toc72322335"/>
      <w:r w:rsidRPr="00121962">
        <w:t>Clinical claim</w:t>
      </w:r>
      <w:bookmarkEnd w:id="28"/>
      <w:bookmarkEnd w:id="29"/>
    </w:p>
    <w:p w14:paraId="1199A637" w14:textId="77777777" w:rsidR="001A6EB8" w:rsidRPr="00121962" w:rsidRDefault="001A6EB8" w:rsidP="00AF079B">
      <w:pPr>
        <w:pStyle w:val="ExecSumBodyText"/>
        <w:rPr>
          <w:iCs/>
        </w:rPr>
      </w:pPr>
      <w:r w:rsidRPr="00121962">
        <w:t>The submission described dapagliflozin plus SOC as superior in terms of effectiveness compared with SOC alone and non</w:t>
      </w:r>
      <w:r w:rsidR="00121962">
        <w:t>-</w:t>
      </w:r>
      <w:r w:rsidRPr="00121962">
        <w:t xml:space="preserve">inferior in terms of safety. </w:t>
      </w:r>
      <w:r w:rsidRPr="00121962">
        <w:rPr>
          <w:iCs/>
        </w:rPr>
        <w:t xml:space="preserve">The therapeutic conclusion presented in the submission </w:t>
      </w:r>
      <w:r w:rsidR="00EF742C" w:rsidRPr="00121962">
        <w:rPr>
          <w:iCs/>
        </w:rPr>
        <w:t>was</w:t>
      </w:r>
      <w:r w:rsidRPr="00121962">
        <w:rPr>
          <w:iCs/>
        </w:rPr>
        <w:t xml:space="preserve"> adequately supported by the </w:t>
      </w:r>
      <w:r w:rsidR="00B968FB" w:rsidRPr="00121962">
        <w:rPr>
          <w:iCs/>
        </w:rPr>
        <w:t>clinical evidence</w:t>
      </w:r>
      <w:r w:rsidR="00A52492" w:rsidRPr="00121962">
        <w:rPr>
          <w:iCs/>
        </w:rPr>
        <w:t>, ho</w:t>
      </w:r>
      <w:r w:rsidRPr="00121962">
        <w:rPr>
          <w:iCs/>
        </w:rPr>
        <w:t>wever, the applicability of the results of the DAPA-CKD trial to the Australian setting</w:t>
      </w:r>
      <w:r w:rsidR="00EF742C" w:rsidRPr="00121962">
        <w:rPr>
          <w:iCs/>
        </w:rPr>
        <w:t xml:space="preserve"> was</w:t>
      </w:r>
      <w:r w:rsidRPr="00121962">
        <w:rPr>
          <w:iCs/>
        </w:rPr>
        <w:t xml:space="preserve"> uncertain. </w:t>
      </w:r>
      <w:r w:rsidR="00AF079B" w:rsidRPr="00121962">
        <w:rPr>
          <w:iCs/>
        </w:rPr>
        <w:t xml:space="preserve">Differences between the DAPA-CKD trial population and the Australian setting in terms of baseline age, sex, T2DM status, CKD stage (disease progression), and </w:t>
      </w:r>
      <w:r w:rsidR="00B968FB" w:rsidRPr="00121962">
        <w:rPr>
          <w:iCs/>
        </w:rPr>
        <w:t>r</w:t>
      </w:r>
      <w:r w:rsidR="00AF079B" w:rsidRPr="00121962">
        <w:rPr>
          <w:iCs/>
        </w:rPr>
        <w:t>egion suggest differences in baseline risk between settings that may impact the absolute magnitude of effect of dapagliflozin in the eligible Australian population. In addition, the larger proportions of males and patients with T2DM in the DAPA-CKD trial may have increased the risk of ESKD compared to the Australian setting</w:t>
      </w:r>
      <w:r w:rsidRPr="00121962">
        <w:rPr>
          <w:iCs/>
        </w:rPr>
        <w:t xml:space="preserve">. </w:t>
      </w:r>
    </w:p>
    <w:p w14:paraId="4E8A3604" w14:textId="77777777" w:rsidR="00B968FB" w:rsidRPr="00121962" w:rsidRDefault="00B968FB" w:rsidP="00B968FB">
      <w:pPr>
        <w:pStyle w:val="ExecSumBodyText"/>
        <w:rPr>
          <w:iCs/>
        </w:rPr>
      </w:pPr>
      <w:bookmarkStart w:id="30" w:name="_Toc22897645"/>
      <w:bookmarkStart w:id="31" w:name="_Toc72322336"/>
      <w:r w:rsidRPr="00121962">
        <w:rPr>
          <w:iCs/>
        </w:rPr>
        <w:t>The PBAC considered that the claim of superior comparative effectiveness was reasonable.</w:t>
      </w:r>
    </w:p>
    <w:p w14:paraId="27470D79" w14:textId="77777777" w:rsidR="00B968FB" w:rsidRPr="00121962" w:rsidRDefault="00B968FB" w:rsidP="00B968FB">
      <w:pPr>
        <w:pStyle w:val="ExecSumBodyText"/>
        <w:rPr>
          <w:iCs/>
        </w:rPr>
      </w:pPr>
      <w:r w:rsidRPr="00121962">
        <w:rPr>
          <w:iCs/>
        </w:rPr>
        <w:t>The PBAC considered that the claim of non</w:t>
      </w:r>
      <w:r w:rsidR="00121962">
        <w:rPr>
          <w:iCs/>
        </w:rPr>
        <w:t>-</w:t>
      </w:r>
      <w:r w:rsidRPr="00121962">
        <w:rPr>
          <w:iCs/>
        </w:rPr>
        <w:t>inferior comparative safety was reasonable.</w:t>
      </w:r>
    </w:p>
    <w:p w14:paraId="6BDCA283" w14:textId="77777777" w:rsidR="00B60939" w:rsidRPr="00121962" w:rsidRDefault="00B60939" w:rsidP="00E9094A">
      <w:pPr>
        <w:pStyle w:val="3-SubsectionHeading"/>
      </w:pPr>
      <w:r w:rsidRPr="00121962">
        <w:t>Economic analysis</w:t>
      </w:r>
      <w:bookmarkEnd w:id="30"/>
      <w:bookmarkEnd w:id="31"/>
    </w:p>
    <w:p w14:paraId="0A536757" w14:textId="77777777" w:rsidR="00667311" w:rsidRPr="00121962" w:rsidRDefault="00667311" w:rsidP="00667311">
      <w:pPr>
        <w:pStyle w:val="ExecSumBodyText"/>
        <w:numPr>
          <w:ilvl w:val="1"/>
          <w:numId w:val="1"/>
        </w:numPr>
        <w:rPr>
          <w:b/>
          <w:bCs/>
        </w:rPr>
      </w:pPr>
      <w:r w:rsidRPr="00121962">
        <w:t xml:space="preserve">The submission presented a </w:t>
      </w:r>
      <w:r w:rsidR="000F2DF1" w:rsidRPr="00121962">
        <w:t>cost-utility analysis</w:t>
      </w:r>
      <w:r w:rsidR="000F2DF1" w:rsidRPr="00121962" w:rsidDel="000F2DF1">
        <w:t xml:space="preserve"> </w:t>
      </w:r>
      <w:r w:rsidRPr="00121962">
        <w:t xml:space="preserve">of dapagliflozin plus </w:t>
      </w:r>
      <w:r w:rsidR="00EF742C" w:rsidRPr="00121962">
        <w:t>SOC</w:t>
      </w:r>
      <w:r w:rsidRPr="00121962">
        <w:t xml:space="preserve"> versus </w:t>
      </w:r>
      <w:r w:rsidR="00EF742C" w:rsidRPr="00121962">
        <w:t>SOC</w:t>
      </w:r>
      <w:r w:rsidRPr="00121962">
        <w:t xml:space="preserve"> alone for the treatment of patients with </w:t>
      </w:r>
      <w:r w:rsidR="00BD5575" w:rsidRPr="00121962">
        <w:t>CKD</w:t>
      </w:r>
      <w:r w:rsidRPr="00121962">
        <w:t xml:space="preserve">. The economic evaluation was based on </w:t>
      </w:r>
      <w:r w:rsidR="00312575" w:rsidRPr="00121962">
        <w:rPr>
          <w:i/>
        </w:rPr>
        <w:t>post hoc</w:t>
      </w:r>
      <w:r w:rsidR="00A52492" w:rsidRPr="00121962">
        <w:t xml:space="preserve"> analyses of </w:t>
      </w:r>
      <w:r w:rsidRPr="00121962">
        <w:t xml:space="preserve">the ITT population of the DAPA-CKD trial, with additional modelled data. The submission also presented a scenario analysis assessing the cost-effectiveness of dapagliflozin in the subgroup of patients with CKD only (patients with no comorbid diabetes or </w:t>
      </w:r>
      <w:r w:rsidR="007637C0" w:rsidRPr="00121962">
        <w:t>HFrEF</w:t>
      </w:r>
      <w:r w:rsidRPr="00121962">
        <w:t>) from the DAPA-CKD trial.</w:t>
      </w:r>
    </w:p>
    <w:p w14:paraId="3CB02FE0" w14:textId="77777777" w:rsidR="00667311" w:rsidRPr="00121962" w:rsidRDefault="0008596F" w:rsidP="00EF742C">
      <w:pPr>
        <w:pStyle w:val="TableFigureCaption"/>
      </w:pPr>
      <w:r w:rsidRPr="00121962">
        <w:t xml:space="preserve">Table </w:t>
      </w:r>
      <w:r w:rsidR="00E51973">
        <w:rPr>
          <w:noProof/>
        </w:rPr>
        <w:t>9</w:t>
      </w:r>
      <w:r w:rsidRPr="00121962">
        <w:t>:</w:t>
      </w:r>
      <w:r w:rsidR="00667311" w:rsidRPr="00121962">
        <w:t xml:space="preserve">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462"/>
      </w:tblGrid>
      <w:tr w:rsidR="00667311" w:rsidRPr="00121962" w14:paraId="013E011A" w14:textId="77777777" w:rsidTr="00EF742C">
        <w:trPr>
          <w:cantSplit/>
          <w:tblHeader/>
        </w:trPr>
        <w:tc>
          <w:tcPr>
            <w:tcW w:w="862" w:type="pct"/>
            <w:vAlign w:val="center"/>
          </w:tcPr>
          <w:p w14:paraId="4E2971DA" w14:textId="77777777" w:rsidR="00667311" w:rsidRPr="00121962" w:rsidRDefault="00667311" w:rsidP="00EF742C">
            <w:pPr>
              <w:pStyle w:val="Tableheadingrow"/>
              <w:jc w:val="center"/>
              <w:rPr>
                <w:lang w:val="en-AU"/>
              </w:rPr>
            </w:pPr>
            <w:r w:rsidRPr="00121962">
              <w:rPr>
                <w:lang w:val="en-AU"/>
              </w:rPr>
              <w:t>Component</w:t>
            </w:r>
          </w:p>
        </w:tc>
        <w:tc>
          <w:tcPr>
            <w:tcW w:w="4138" w:type="pct"/>
          </w:tcPr>
          <w:p w14:paraId="27018AFE" w14:textId="77777777" w:rsidR="00667311" w:rsidRPr="00121962" w:rsidRDefault="00667311" w:rsidP="007637C0">
            <w:pPr>
              <w:pStyle w:val="Tableheadingrow"/>
              <w:rPr>
                <w:lang w:val="en-AU"/>
              </w:rPr>
            </w:pPr>
            <w:r w:rsidRPr="00121962">
              <w:rPr>
                <w:lang w:val="en-AU"/>
              </w:rPr>
              <w:t>Description</w:t>
            </w:r>
          </w:p>
        </w:tc>
      </w:tr>
      <w:tr w:rsidR="00667311" w:rsidRPr="00121962" w14:paraId="48EF1DD3" w14:textId="77777777" w:rsidTr="00EF742C">
        <w:trPr>
          <w:cantSplit/>
        </w:trPr>
        <w:tc>
          <w:tcPr>
            <w:tcW w:w="862" w:type="pct"/>
            <w:vAlign w:val="center"/>
          </w:tcPr>
          <w:p w14:paraId="42BCF938" w14:textId="77777777" w:rsidR="00667311" w:rsidRPr="00121962" w:rsidRDefault="00667311" w:rsidP="00EF742C">
            <w:pPr>
              <w:pStyle w:val="TableText"/>
            </w:pPr>
            <w:r w:rsidRPr="00121962">
              <w:t>Treatments</w:t>
            </w:r>
          </w:p>
        </w:tc>
        <w:tc>
          <w:tcPr>
            <w:tcW w:w="4138" w:type="pct"/>
          </w:tcPr>
          <w:p w14:paraId="66B1AAB7" w14:textId="77777777" w:rsidR="00667311" w:rsidRPr="00121962" w:rsidRDefault="00667311" w:rsidP="00EF742C">
            <w:pPr>
              <w:pStyle w:val="TableText"/>
            </w:pPr>
            <w:r w:rsidRPr="00121962">
              <w:t xml:space="preserve">Dapagliflozin plus </w:t>
            </w:r>
            <w:r w:rsidR="00BD5575" w:rsidRPr="00121962">
              <w:t>SOC</w:t>
            </w:r>
            <w:r w:rsidRPr="00121962">
              <w:t xml:space="preserve">; </w:t>
            </w:r>
            <w:r w:rsidR="00BD5575" w:rsidRPr="00121962">
              <w:t>SOC</w:t>
            </w:r>
            <w:r w:rsidRPr="00121962">
              <w:t xml:space="preserve"> alone</w:t>
            </w:r>
          </w:p>
        </w:tc>
      </w:tr>
      <w:tr w:rsidR="00667311" w:rsidRPr="00121962" w14:paraId="677C5F65" w14:textId="77777777" w:rsidTr="00EF742C">
        <w:trPr>
          <w:cantSplit/>
        </w:trPr>
        <w:tc>
          <w:tcPr>
            <w:tcW w:w="862" w:type="pct"/>
            <w:vAlign w:val="center"/>
          </w:tcPr>
          <w:p w14:paraId="1857FE59" w14:textId="77777777" w:rsidR="00667311" w:rsidRPr="00121962" w:rsidRDefault="00667311" w:rsidP="00EF742C">
            <w:pPr>
              <w:pStyle w:val="TableText"/>
            </w:pPr>
            <w:r w:rsidRPr="00121962">
              <w:t>Time horizon</w:t>
            </w:r>
          </w:p>
        </w:tc>
        <w:tc>
          <w:tcPr>
            <w:tcW w:w="4138" w:type="pct"/>
          </w:tcPr>
          <w:p w14:paraId="02C555E2" w14:textId="77777777" w:rsidR="00667311" w:rsidRPr="00121962" w:rsidRDefault="00667311" w:rsidP="00EF742C">
            <w:pPr>
              <w:pStyle w:val="TableText"/>
            </w:pPr>
            <w:r w:rsidRPr="00121962">
              <w:t>15 years in the model base case versus 29 months in the DAPA-CKD trial</w:t>
            </w:r>
          </w:p>
        </w:tc>
      </w:tr>
      <w:tr w:rsidR="00667311" w:rsidRPr="00121962" w14:paraId="2C3D5CE2" w14:textId="77777777" w:rsidTr="00EF742C">
        <w:trPr>
          <w:cantSplit/>
        </w:trPr>
        <w:tc>
          <w:tcPr>
            <w:tcW w:w="862" w:type="pct"/>
            <w:vAlign w:val="center"/>
          </w:tcPr>
          <w:p w14:paraId="29648A8D" w14:textId="77777777" w:rsidR="00667311" w:rsidRPr="00121962" w:rsidRDefault="00667311" w:rsidP="00EF742C">
            <w:pPr>
              <w:pStyle w:val="TableText"/>
            </w:pPr>
            <w:r w:rsidRPr="00121962">
              <w:t>Outcomes</w:t>
            </w:r>
          </w:p>
        </w:tc>
        <w:tc>
          <w:tcPr>
            <w:tcW w:w="4138" w:type="pct"/>
          </w:tcPr>
          <w:p w14:paraId="1123FA13" w14:textId="77777777" w:rsidR="00667311" w:rsidRPr="00121962" w:rsidRDefault="00667311" w:rsidP="00EF742C">
            <w:pPr>
              <w:pStyle w:val="TableText"/>
            </w:pPr>
            <w:r w:rsidRPr="00121962">
              <w:t>Quality adjusted life years</w:t>
            </w:r>
          </w:p>
        </w:tc>
      </w:tr>
      <w:tr w:rsidR="00667311" w:rsidRPr="00121962" w14:paraId="39189771" w14:textId="77777777" w:rsidTr="00EF742C">
        <w:trPr>
          <w:cantSplit/>
        </w:trPr>
        <w:tc>
          <w:tcPr>
            <w:tcW w:w="862" w:type="pct"/>
            <w:vAlign w:val="center"/>
          </w:tcPr>
          <w:p w14:paraId="4921037F" w14:textId="77777777" w:rsidR="00667311" w:rsidRPr="00121962" w:rsidRDefault="00667311" w:rsidP="00EF742C">
            <w:pPr>
              <w:pStyle w:val="TableText"/>
            </w:pPr>
            <w:r w:rsidRPr="00121962">
              <w:t>Methods used to generate results</w:t>
            </w:r>
          </w:p>
        </w:tc>
        <w:tc>
          <w:tcPr>
            <w:tcW w:w="4138" w:type="pct"/>
          </w:tcPr>
          <w:p w14:paraId="128FFE39" w14:textId="77777777" w:rsidR="00667311" w:rsidRPr="00121962" w:rsidRDefault="00667311" w:rsidP="00EF742C">
            <w:pPr>
              <w:pStyle w:val="TableText"/>
            </w:pPr>
            <w:r w:rsidRPr="00121962">
              <w:t>Markov state transition model</w:t>
            </w:r>
          </w:p>
        </w:tc>
      </w:tr>
      <w:tr w:rsidR="00667311" w:rsidRPr="00121962" w14:paraId="0C48EE42" w14:textId="77777777" w:rsidTr="00EF742C">
        <w:trPr>
          <w:cantSplit/>
        </w:trPr>
        <w:tc>
          <w:tcPr>
            <w:tcW w:w="862" w:type="pct"/>
            <w:vAlign w:val="center"/>
          </w:tcPr>
          <w:p w14:paraId="7F768F81" w14:textId="77777777" w:rsidR="00667311" w:rsidRPr="00121962" w:rsidRDefault="00667311" w:rsidP="00EF742C">
            <w:pPr>
              <w:pStyle w:val="TableText"/>
            </w:pPr>
            <w:r w:rsidRPr="00121962">
              <w:t>Health states</w:t>
            </w:r>
          </w:p>
        </w:tc>
        <w:tc>
          <w:tcPr>
            <w:tcW w:w="4138" w:type="pct"/>
          </w:tcPr>
          <w:p w14:paraId="026C56AE" w14:textId="77777777" w:rsidR="00667311" w:rsidRPr="00121962" w:rsidRDefault="00EF742C" w:rsidP="00EF742C">
            <w:pPr>
              <w:pStyle w:val="TableText"/>
            </w:pPr>
            <w:r w:rsidRPr="00121962">
              <w:t>CKD</w:t>
            </w:r>
            <w:r w:rsidR="00667311" w:rsidRPr="00121962">
              <w:t xml:space="preserve"> (stage 2-4)</w:t>
            </w:r>
          </w:p>
          <w:p w14:paraId="11460CC8" w14:textId="77777777" w:rsidR="00667311" w:rsidRPr="00121962" w:rsidRDefault="00EF742C" w:rsidP="00EF742C">
            <w:pPr>
              <w:pStyle w:val="TableText"/>
            </w:pPr>
            <w:r w:rsidRPr="00121962">
              <w:t>ESKD</w:t>
            </w:r>
            <w:r w:rsidR="00667311" w:rsidRPr="00121962">
              <w:t xml:space="preserve"> (conservative care, dialysis, transplant)</w:t>
            </w:r>
          </w:p>
          <w:p w14:paraId="476517A5" w14:textId="77777777" w:rsidR="00667311" w:rsidRPr="00121962" w:rsidRDefault="00667311" w:rsidP="00EF742C">
            <w:pPr>
              <w:pStyle w:val="TableText"/>
            </w:pPr>
            <w:r w:rsidRPr="00121962">
              <w:t>Death</w:t>
            </w:r>
          </w:p>
        </w:tc>
      </w:tr>
      <w:tr w:rsidR="00667311" w:rsidRPr="00121962" w14:paraId="25E7F417" w14:textId="77777777" w:rsidTr="00EF742C">
        <w:trPr>
          <w:cantSplit/>
        </w:trPr>
        <w:tc>
          <w:tcPr>
            <w:tcW w:w="862" w:type="pct"/>
            <w:vAlign w:val="center"/>
          </w:tcPr>
          <w:p w14:paraId="64E9213B" w14:textId="77777777" w:rsidR="00667311" w:rsidRPr="00121962" w:rsidRDefault="00667311" w:rsidP="00EF742C">
            <w:pPr>
              <w:pStyle w:val="TableText"/>
            </w:pPr>
            <w:r w:rsidRPr="00121962">
              <w:t>Cycle length</w:t>
            </w:r>
          </w:p>
        </w:tc>
        <w:tc>
          <w:tcPr>
            <w:tcW w:w="4138" w:type="pct"/>
          </w:tcPr>
          <w:p w14:paraId="5EACCAAB" w14:textId="77777777" w:rsidR="00667311" w:rsidRPr="00121962" w:rsidRDefault="00667311" w:rsidP="00EF742C">
            <w:pPr>
              <w:pStyle w:val="TableText"/>
            </w:pPr>
            <w:r w:rsidRPr="00121962">
              <w:t>One month</w:t>
            </w:r>
          </w:p>
        </w:tc>
      </w:tr>
      <w:tr w:rsidR="00667311" w:rsidRPr="00121962" w14:paraId="425F679F" w14:textId="77777777" w:rsidTr="00EF742C">
        <w:trPr>
          <w:cantSplit/>
        </w:trPr>
        <w:tc>
          <w:tcPr>
            <w:tcW w:w="862" w:type="pct"/>
            <w:vAlign w:val="center"/>
          </w:tcPr>
          <w:p w14:paraId="4E8BD465" w14:textId="77777777" w:rsidR="00667311" w:rsidRPr="00121962" w:rsidRDefault="00667311" w:rsidP="00EF742C">
            <w:pPr>
              <w:pStyle w:val="TableText"/>
            </w:pPr>
            <w:r w:rsidRPr="00121962">
              <w:t>Transition probabilities</w:t>
            </w:r>
          </w:p>
        </w:tc>
        <w:tc>
          <w:tcPr>
            <w:tcW w:w="4138" w:type="pct"/>
          </w:tcPr>
          <w:p w14:paraId="65600FD0" w14:textId="77777777" w:rsidR="00667311" w:rsidRPr="00121962" w:rsidRDefault="00EF742C" w:rsidP="00EF742C">
            <w:pPr>
              <w:pStyle w:val="TableText"/>
            </w:pPr>
            <w:r w:rsidRPr="00121962">
              <w:t>E</w:t>
            </w:r>
            <w:r w:rsidR="00667311" w:rsidRPr="00121962">
              <w:t>stimated from extrapolated Kaplan</w:t>
            </w:r>
            <w:r w:rsidR="007637C0" w:rsidRPr="00121962">
              <w:t>-</w:t>
            </w:r>
            <w:r w:rsidR="00667311" w:rsidRPr="00121962">
              <w:t xml:space="preserve">Meier curves from </w:t>
            </w:r>
            <w:r w:rsidR="00312575" w:rsidRPr="00121962">
              <w:rPr>
                <w:i/>
              </w:rPr>
              <w:t>post hoc</w:t>
            </w:r>
            <w:r w:rsidR="00667311" w:rsidRPr="00121962">
              <w:t xml:space="preserve"> analyses of the DAPA-CKD trial for time to </w:t>
            </w:r>
            <w:r w:rsidR="00BD5575" w:rsidRPr="00121962">
              <w:t>ESKD</w:t>
            </w:r>
            <w:r w:rsidR="00667311" w:rsidRPr="00121962">
              <w:t xml:space="preserve"> (excluding those who died without experiencing ESKD), time to death (in patients without </w:t>
            </w:r>
            <w:r w:rsidR="00BD5575" w:rsidRPr="00121962">
              <w:t>ESKD</w:t>
            </w:r>
            <w:r w:rsidR="00667311" w:rsidRPr="00121962">
              <w:t xml:space="preserve">), and time from </w:t>
            </w:r>
            <w:r w:rsidR="00BD5575" w:rsidRPr="00121962">
              <w:t>ESKD</w:t>
            </w:r>
            <w:r w:rsidR="00667311" w:rsidRPr="00121962">
              <w:t xml:space="preserve"> to death</w:t>
            </w:r>
            <w:r w:rsidR="007637C0" w:rsidRPr="00121962">
              <w:t>.</w:t>
            </w:r>
          </w:p>
          <w:p w14:paraId="314B98B2" w14:textId="77777777" w:rsidR="00667311" w:rsidRPr="00121962" w:rsidRDefault="00667311" w:rsidP="00EF742C">
            <w:pPr>
              <w:pStyle w:val="TableText"/>
            </w:pPr>
          </w:p>
          <w:p w14:paraId="3C2DC15A" w14:textId="77777777" w:rsidR="00667311" w:rsidRPr="00121962" w:rsidRDefault="00667311" w:rsidP="00EF742C">
            <w:pPr>
              <w:pStyle w:val="TableText"/>
            </w:pPr>
            <w:r w:rsidRPr="00121962">
              <w:rPr>
                <w:rFonts w:cs="Times New Roman"/>
                <w:szCs w:val="22"/>
                <w:lang w:eastAsia="en-US"/>
              </w:rPr>
              <w:t>96.9% of incremental QALYs and all incremental cost savings occur in the extrapolated period.</w:t>
            </w:r>
          </w:p>
        </w:tc>
      </w:tr>
      <w:tr w:rsidR="00667311" w:rsidRPr="00121962" w14:paraId="4DD2B509" w14:textId="77777777" w:rsidTr="00EF742C">
        <w:trPr>
          <w:cantSplit/>
        </w:trPr>
        <w:tc>
          <w:tcPr>
            <w:tcW w:w="862" w:type="pct"/>
            <w:vAlign w:val="center"/>
          </w:tcPr>
          <w:p w14:paraId="61171501" w14:textId="77777777" w:rsidR="00667311" w:rsidRPr="00121962" w:rsidRDefault="00667311" w:rsidP="00EF742C">
            <w:pPr>
              <w:pStyle w:val="TableText"/>
            </w:pPr>
            <w:r w:rsidRPr="00121962">
              <w:t>Utilities</w:t>
            </w:r>
          </w:p>
        </w:tc>
        <w:tc>
          <w:tcPr>
            <w:tcW w:w="4138" w:type="pct"/>
            <w:tcBorders>
              <w:top w:val="single" w:sz="4" w:space="0" w:color="auto"/>
              <w:left w:val="single" w:sz="4" w:space="0" w:color="auto"/>
              <w:bottom w:val="single" w:sz="4" w:space="0" w:color="auto"/>
            </w:tcBorders>
            <w:vAlign w:val="center"/>
          </w:tcPr>
          <w:p w14:paraId="4D8DA3D3" w14:textId="77777777" w:rsidR="00667311" w:rsidRPr="00121962" w:rsidRDefault="00221AAE" w:rsidP="00221AAE">
            <w:pPr>
              <w:pStyle w:val="Tabletext0"/>
              <w:keepNext/>
              <w:rPr>
                <w:rFonts w:eastAsia="Calibri"/>
              </w:rPr>
            </w:pPr>
            <w:r w:rsidRPr="00121962">
              <w:rPr>
                <w:rFonts w:eastAsia="Calibri"/>
              </w:rPr>
              <w:t>B</w:t>
            </w:r>
            <w:r w:rsidR="00667311" w:rsidRPr="00121962">
              <w:rPr>
                <w:rFonts w:eastAsia="Calibri"/>
              </w:rPr>
              <w:t xml:space="preserve">ased on a </w:t>
            </w:r>
            <w:r w:rsidR="00312575" w:rsidRPr="00121962">
              <w:rPr>
                <w:rFonts w:eastAsia="Calibri"/>
                <w:i/>
              </w:rPr>
              <w:t>post hoc</w:t>
            </w:r>
            <w:r w:rsidR="00667311" w:rsidRPr="00121962">
              <w:rPr>
                <w:rFonts w:eastAsia="Calibri"/>
              </w:rPr>
              <w:t xml:space="preserve"> analysis of pooled individual patient-level EQ-5D-5L data from the DAPA-CKD trial. The EQ-5D-5L responses were mapped to EQ-5D-3L and converted to utility index scores using the UK value set. Trial-based estimates were available for CKD stage 2-4, ESKD (conservative care), and ESKD (dialysis). The utility for ESKD (transplant) was based on Lee 2005. The weighted average utility for ESKD was based </w:t>
            </w:r>
            <w:r w:rsidR="00762D6D" w:rsidRPr="00121962">
              <w:rPr>
                <w:rFonts w:eastAsia="Calibri"/>
              </w:rPr>
              <w:t xml:space="preserve">on </w:t>
            </w:r>
            <w:r w:rsidR="00667311" w:rsidRPr="00121962">
              <w:rPr>
                <w:rFonts w:eastAsia="Calibri"/>
              </w:rPr>
              <w:t>proportions of patients receiving ESKD interventions from the published literature (Deloitte 2011; ANZDATA 2020). Utilities from published literature (Jesky 2016; Lee 2005) were used in sensitivity analysis.</w:t>
            </w:r>
          </w:p>
        </w:tc>
      </w:tr>
      <w:tr w:rsidR="00667311" w:rsidRPr="00121962" w14:paraId="6144C7BF" w14:textId="77777777" w:rsidTr="00EF742C">
        <w:trPr>
          <w:cantSplit/>
        </w:trPr>
        <w:tc>
          <w:tcPr>
            <w:tcW w:w="862" w:type="pct"/>
            <w:vAlign w:val="center"/>
          </w:tcPr>
          <w:p w14:paraId="2777FCE1" w14:textId="77777777" w:rsidR="00667311" w:rsidRPr="00121962" w:rsidRDefault="00667311" w:rsidP="00EF742C">
            <w:pPr>
              <w:pStyle w:val="TableText"/>
            </w:pPr>
            <w:r w:rsidRPr="00121962">
              <w:t>Costs</w:t>
            </w:r>
          </w:p>
        </w:tc>
        <w:tc>
          <w:tcPr>
            <w:tcW w:w="4138" w:type="pct"/>
            <w:tcBorders>
              <w:top w:val="single" w:sz="4" w:space="0" w:color="auto"/>
              <w:left w:val="single" w:sz="4" w:space="0" w:color="auto"/>
              <w:bottom w:val="single" w:sz="4" w:space="0" w:color="auto"/>
            </w:tcBorders>
            <w:vAlign w:val="center"/>
          </w:tcPr>
          <w:p w14:paraId="412CF8B6" w14:textId="77777777" w:rsidR="00667311" w:rsidRPr="00121962" w:rsidRDefault="00667311" w:rsidP="00EF742C">
            <w:pPr>
              <w:pStyle w:val="TableText"/>
            </w:pPr>
            <w:r w:rsidRPr="00121962">
              <w:t>Disease monitoring costs: the frequency of clinician review and laboratory assessments for patients in the CKD and ESKD health states were informed by Australian guidelines (Kidney Health Australia 2020), with unit costs based on various MBS items.</w:t>
            </w:r>
          </w:p>
          <w:p w14:paraId="754E4810" w14:textId="77777777" w:rsidR="00667311" w:rsidRPr="00121962" w:rsidRDefault="00667311" w:rsidP="00EF742C">
            <w:pPr>
              <w:pStyle w:val="TableText"/>
            </w:pPr>
          </w:p>
          <w:p w14:paraId="572F87DF" w14:textId="77777777" w:rsidR="00667311" w:rsidRPr="00121962" w:rsidRDefault="00667311" w:rsidP="00EF742C">
            <w:pPr>
              <w:pStyle w:val="TableText"/>
            </w:pPr>
            <w:r w:rsidRPr="00121962">
              <w:t>ESKD treatment costs: the proportions of patients using each treatment modality were based on the projected proportion of prevalent patients using conservative care (Deloitte 2011) and the relative distribution of dialysis and transplant from ANZDATA 2020. The cost of conservative management was based on Deloitte 2011; the costs of dialysis were based on the distribution of dialysis modalities from ANZDATA 2020 and unit costs from Cass 2010; transplant costs were based on Cass 2010.</w:t>
            </w:r>
          </w:p>
          <w:p w14:paraId="557C4BCE" w14:textId="77777777" w:rsidR="00667311" w:rsidRPr="00121962" w:rsidRDefault="00667311" w:rsidP="00EF742C">
            <w:pPr>
              <w:pStyle w:val="TableText"/>
            </w:pPr>
          </w:p>
          <w:p w14:paraId="1C74F6DA" w14:textId="77777777" w:rsidR="00667311" w:rsidRPr="00121962" w:rsidRDefault="00667311" w:rsidP="00EF742C">
            <w:pPr>
              <w:pStyle w:val="TableText"/>
            </w:pPr>
            <w:r w:rsidRPr="00121962">
              <w:t>Adverse events: based on the incidence of serious adverse events of special interest in DAPA-CKD, with unit costs based on selected AR-DRG items.</w:t>
            </w:r>
          </w:p>
          <w:p w14:paraId="4E2EDAF1" w14:textId="77777777" w:rsidR="00667311" w:rsidRPr="00121962" w:rsidRDefault="00667311" w:rsidP="00EF742C">
            <w:pPr>
              <w:pStyle w:val="TableText"/>
            </w:pPr>
          </w:p>
          <w:p w14:paraId="76922FE8" w14:textId="77777777" w:rsidR="00667311" w:rsidRPr="00121962" w:rsidRDefault="00667311" w:rsidP="00EF742C">
            <w:pPr>
              <w:pStyle w:val="TableText"/>
            </w:pPr>
            <w:r w:rsidRPr="00121962">
              <w:t xml:space="preserve">Death: costs of terminal care (hospital- and home-based) were based on estimates from a palliative care provider reported in a 2012 </w:t>
            </w:r>
            <w:r w:rsidRPr="00121962">
              <w:rPr>
                <w:i/>
              </w:rPr>
              <w:t>Senate Report on Palliative care in Australia</w:t>
            </w:r>
            <w:r w:rsidRPr="00121962">
              <w:t>, weighted by the number of palliative care related hospitalisations divided by the number of deaths in 2018.</w:t>
            </w:r>
          </w:p>
        </w:tc>
      </w:tr>
    </w:tbl>
    <w:p w14:paraId="26AFDCF4" w14:textId="77777777" w:rsidR="00667311" w:rsidRPr="00121962" w:rsidRDefault="00667311" w:rsidP="00EF742C">
      <w:pPr>
        <w:pStyle w:val="TableFigureFooter"/>
        <w:keepNext/>
      </w:pPr>
      <w:r w:rsidRPr="00121962">
        <w:t>Source: Table 3.1.1, p99 of the submission.</w:t>
      </w:r>
    </w:p>
    <w:p w14:paraId="43BC4C11" w14:textId="77777777" w:rsidR="00667311" w:rsidRPr="00121962" w:rsidRDefault="00667311" w:rsidP="00667311">
      <w:pPr>
        <w:pStyle w:val="TableFigureFooter"/>
        <w:rPr>
          <w:sz w:val="20"/>
        </w:rPr>
      </w:pPr>
      <w:r w:rsidRPr="00121962">
        <w:t xml:space="preserve">CKD, chronic kidney disease; </w:t>
      </w:r>
      <w:r w:rsidRPr="00121962">
        <w:rPr>
          <w:szCs w:val="18"/>
        </w:rPr>
        <w:t>EQ-5D-5L, EuroQoL-5 dimension questionnaire, 5 level;</w:t>
      </w:r>
      <w:r w:rsidRPr="00121962">
        <w:t xml:space="preserve"> ESKD, end-stage kidney disease; QALY, quality adjusted life year</w:t>
      </w:r>
      <w:r w:rsidR="00BD5575" w:rsidRPr="00121962">
        <w:t>; SOC, standard of care</w:t>
      </w:r>
    </w:p>
    <w:p w14:paraId="29BEF055" w14:textId="77777777" w:rsidR="00667311" w:rsidRPr="00121962" w:rsidRDefault="00667311" w:rsidP="00667311">
      <w:pPr>
        <w:pStyle w:val="ExecSumBodyText"/>
        <w:numPr>
          <w:ilvl w:val="1"/>
          <w:numId w:val="1"/>
        </w:numPr>
        <w:rPr>
          <w:iCs/>
        </w:rPr>
      </w:pPr>
      <w:r w:rsidRPr="00121962">
        <w:t>The model ha</w:t>
      </w:r>
      <w:r w:rsidR="00221AAE" w:rsidRPr="00121962">
        <w:t>d</w:t>
      </w:r>
      <w:r w:rsidRPr="00121962">
        <w:t xml:space="preserve"> three health states</w:t>
      </w:r>
      <w:r w:rsidR="000F2DF1" w:rsidRPr="00121962">
        <w:t>:</w:t>
      </w:r>
      <w:r w:rsidRPr="00121962">
        <w:t xml:space="preserve"> chronic kidney disease</w:t>
      </w:r>
      <w:r w:rsidR="000F2DF1" w:rsidRPr="00121962">
        <w:t>,</w:t>
      </w:r>
      <w:r w:rsidRPr="00121962">
        <w:t xml:space="preserve"> </w:t>
      </w:r>
      <w:r w:rsidR="000F2DF1" w:rsidRPr="00121962">
        <w:t>ESKD,</w:t>
      </w:r>
      <w:r w:rsidRPr="00121962">
        <w:t xml:space="preserve"> and death. All patients </w:t>
      </w:r>
      <w:r w:rsidR="00AE7765" w:rsidRPr="00121962">
        <w:t xml:space="preserve">began </w:t>
      </w:r>
      <w:r w:rsidRPr="00121962">
        <w:t xml:space="preserve">the model in the </w:t>
      </w:r>
      <w:r w:rsidR="00BD5575" w:rsidRPr="00121962">
        <w:t>CKD</w:t>
      </w:r>
      <w:r w:rsidRPr="00121962">
        <w:t xml:space="preserve"> health state, with eGFR between 25 and 75</w:t>
      </w:r>
      <w:r w:rsidR="000F2DF1" w:rsidRPr="00121962">
        <w:t> </w:t>
      </w:r>
      <w:r w:rsidRPr="00121962">
        <w:t>mL/min/1.73 m</w:t>
      </w:r>
      <w:r w:rsidRPr="00121962">
        <w:rPr>
          <w:vertAlign w:val="superscript"/>
        </w:rPr>
        <w:t>2</w:t>
      </w:r>
      <w:r w:rsidRPr="00121962">
        <w:t xml:space="preserve">. Patients in the </w:t>
      </w:r>
      <w:r w:rsidR="00BD5575" w:rsidRPr="00121962">
        <w:t>CKD</w:t>
      </w:r>
      <w:r w:rsidRPr="00121962">
        <w:t xml:space="preserve"> health state </w:t>
      </w:r>
      <w:r w:rsidR="00AE7765" w:rsidRPr="00121962">
        <w:t xml:space="preserve">could </w:t>
      </w:r>
      <w:r w:rsidRPr="00121962">
        <w:t xml:space="preserve">remain in their health state, progress to </w:t>
      </w:r>
      <w:r w:rsidR="00BD5575" w:rsidRPr="00121962">
        <w:t>ESKD</w:t>
      </w:r>
      <w:r w:rsidRPr="00121962">
        <w:t xml:space="preserve">, or die prior to reaching </w:t>
      </w:r>
      <w:r w:rsidR="00BD5575" w:rsidRPr="00121962">
        <w:t>ESKD</w:t>
      </w:r>
      <w:r w:rsidRPr="00121962">
        <w:t xml:space="preserve">. Patients with </w:t>
      </w:r>
      <w:r w:rsidR="00BD5575" w:rsidRPr="00121962">
        <w:t>ESKD</w:t>
      </w:r>
      <w:r w:rsidRPr="00121962">
        <w:t xml:space="preserve"> </w:t>
      </w:r>
      <w:r w:rsidR="00AE7765" w:rsidRPr="00121962">
        <w:t xml:space="preserve">could </w:t>
      </w:r>
      <w:r w:rsidRPr="00121962">
        <w:t>either remain in their health state, or die.</w:t>
      </w:r>
    </w:p>
    <w:p w14:paraId="1D16C3A6" w14:textId="77777777" w:rsidR="00442BD7" w:rsidRPr="00121962" w:rsidRDefault="00442BD7" w:rsidP="007034BB">
      <w:pPr>
        <w:pStyle w:val="ExecSumBodyText"/>
        <w:rPr>
          <w:iCs/>
        </w:rPr>
      </w:pPr>
      <w:r w:rsidRPr="00121962">
        <w:t xml:space="preserve">The submission claimed that the model structure was based on a published cost-effectiveness analysis of dapagliflozin in </w:t>
      </w:r>
      <w:r w:rsidR="00BD5575" w:rsidRPr="00121962">
        <w:t>CKD</w:t>
      </w:r>
      <w:r w:rsidRPr="00121962">
        <w:t xml:space="preserve"> (McEwan </w:t>
      </w:r>
      <w:r w:rsidR="005E1BC0" w:rsidRPr="00121962">
        <w:t xml:space="preserve">et al, </w:t>
      </w:r>
      <w:r w:rsidRPr="00121962">
        <w:t xml:space="preserve">2020), but was simplified, taking into account the most clinically relevant endpoints of </w:t>
      </w:r>
      <w:r w:rsidR="00BD5575" w:rsidRPr="00121962">
        <w:t>CKD</w:t>
      </w:r>
      <w:r w:rsidRPr="00121962">
        <w:t xml:space="preserve"> (i.e., </w:t>
      </w:r>
      <w:r w:rsidR="00BD5575" w:rsidRPr="00121962">
        <w:t>ESKD</w:t>
      </w:r>
      <w:r w:rsidRPr="00121962">
        <w:t xml:space="preserve"> and death). The submission argued that models with health states based on every CKD stage are unnecessarily complicated, treatment costs and utilities between CKD stages</w:t>
      </w:r>
      <w:r w:rsidR="003E2C64" w:rsidRPr="00121962">
        <w:t> </w:t>
      </w:r>
      <w:r w:rsidRPr="00121962">
        <w:t xml:space="preserve">2 to 4 are similar (and therefore similar results </w:t>
      </w:r>
      <w:r w:rsidR="003E2C64" w:rsidRPr="00121962">
        <w:t xml:space="preserve">would be </w:t>
      </w:r>
      <w:r w:rsidRPr="00121962">
        <w:t>obtained with a single CKD state, compared with a more complex structure), and the simplified model structure allow</w:t>
      </w:r>
      <w:r w:rsidR="00AE7765" w:rsidRPr="00121962">
        <w:t>ed</w:t>
      </w:r>
      <w:r w:rsidRPr="00121962">
        <w:t xml:space="preserve"> for a more robust model that extrapolate</w:t>
      </w:r>
      <w:r w:rsidR="00AE7765" w:rsidRPr="00121962">
        <w:t>d</w:t>
      </w:r>
      <w:r w:rsidRPr="00121962">
        <w:t xml:space="preserve"> directly from Kaplan</w:t>
      </w:r>
      <w:r w:rsidR="007637C0" w:rsidRPr="00121962">
        <w:t>-</w:t>
      </w:r>
      <w:r w:rsidRPr="00121962">
        <w:t xml:space="preserve">Meier data for time to </w:t>
      </w:r>
      <w:r w:rsidR="00BD5575" w:rsidRPr="00121962">
        <w:t>ESKD</w:t>
      </w:r>
      <w:r w:rsidRPr="00121962">
        <w:t xml:space="preserve"> and survival from the DAPA-CKD trial. </w:t>
      </w:r>
      <w:r w:rsidR="00BE049A" w:rsidRPr="00121962">
        <w:t>The ESC disagreed that a model structure that used separate health states for CKD stages 2, 3 and 4 was unnecessarily complicated</w:t>
      </w:r>
      <w:r w:rsidR="00C2069A" w:rsidRPr="00121962">
        <w:t>.</w:t>
      </w:r>
      <w:r w:rsidR="00BE049A" w:rsidRPr="00121962">
        <w:t xml:space="preserve"> </w:t>
      </w:r>
      <w:r w:rsidR="00C2069A" w:rsidRPr="00121962">
        <w:t>R</w:t>
      </w:r>
      <w:r w:rsidR="00BE049A" w:rsidRPr="00121962">
        <w:t>ather</w:t>
      </w:r>
      <w:r w:rsidR="00C2069A" w:rsidRPr="00121962">
        <w:t>, it considered</w:t>
      </w:r>
      <w:r w:rsidR="00BE049A" w:rsidRPr="00121962">
        <w:t xml:space="preserve"> that it</w:t>
      </w:r>
      <w:r w:rsidR="003E2C64" w:rsidRPr="00121962">
        <w:t xml:space="preserve"> would</w:t>
      </w:r>
      <w:r w:rsidR="00BE049A" w:rsidRPr="00121962">
        <w:t xml:space="preserve"> appropriately capture clinically relevant disease progression of a chronic disease.</w:t>
      </w:r>
      <w:r w:rsidR="00BE049A" w:rsidRPr="00121962">
        <w:rPr>
          <w:iCs/>
        </w:rPr>
        <w:t xml:space="preserve"> </w:t>
      </w:r>
      <w:r w:rsidR="00BE049A" w:rsidRPr="00121962">
        <w:t xml:space="preserve">The ESC also </w:t>
      </w:r>
      <w:r w:rsidR="003E2C64" w:rsidRPr="00121962">
        <w:t xml:space="preserve">noted </w:t>
      </w:r>
      <w:r w:rsidR="007B11BC" w:rsidRPr="00121962">
        <w:t>that w</w:t>
      </w:r>
      <w:r w:rsidRPr="00121962">
        <w:rPr>
          <w:iCs/>
        </w:rPr>
        <w:t>hile CKD stages 2-4 may be associated with similar cost</w:t>
      </w:r>
      <w:r w:rsidR="007637C0" w:rsidRPr="00121962">
        <w:rPr>
          <w:iCs/>
        </w:rPr>
        <w:t>s</w:t>
      </w:r>
      <w:r w:rsidRPr="00121962">
        <w:rPr>
          <w:iCs/>
        </w:rPr>
        <w:t xml:space="preserve"> and utilities, the submission did not address </w:t>
      </w:r>
      <w:r w:rsidR="00510B77" w:rsidRPr="00121962">
        <w:rPr>
          <w:iCs/>
        </w:rPr>
        <w:t xml:space="preserve">that </w:t>
      </w:r>
      <w:r w:rsidRPr="00121962">
        <w:rPr>
          <w:iCs/>
        </w:rPr>
        <w:t xml:space="preserve">the transitions to </w:t>
      </w:r>
      <w:r w:rsidR="00BD5575" w:rsidRPr="00121962">
        <w:rPr>
          <w:iCs/>
        </w:rPr>
        <w:t>ESKD</w:t>
      </w:r>
      <w:r w:rsidRPr="00121962">
        <w:rPr>
          <w:iCs/>
        </w:rPr>
        <w:t xml:space="preserve"> would </w:t>
      </w:r>
      <w:r w:rsidR="00510B77" w:rsidRPr="00121962">
        <w:rPr>
          <w:iCs/>
        </w:rPr>
        <w:t xml:space="preserve">not </w:t>
      </w:r>
      <w:r w:rsidRPr="00121962">
        <w:rPr>
          <w:iCs/>
        </w:rPr>
        <w:t xml:space="preserve">be similar between different CKD stages. </w:t>
      </w:r>
      <w:r w:rsidR="00C2069A" w:rsidRPr="00121962">
        <w:rPr>
          <w:iCs/>
        </w:rPr>
        <w:t xml:space="preserve">The pre-PBAC response stated that it had validated the model against McEwan et al 2020, and found that it generated cost-effective results </w:t>
      </w:r>
      <w:r w:rsidR="00F84B16" w:rsidRPr="00121962">
        <w:rPr>
          <w:iCs/>
        </w:rPr>
        <w:t xml:space="preserve">with an ICER of </w:t>
      </w:r>
      <w:r w:rsidR="007034BB" w:rsidRPr="007034BB">
        <w:rPr>
          <w:iCs/>
        </w:rPr>
        <w:t xml:space="preserve">$5,000 to &lt; $15,000 </w:t>
      </w:r>
      <w:r w:rsidR="00F84B16" w:rsidRPr="00121962">
        <w:rPr>
          <w:iCs/>
        </w:rPr>
        <w:t>per QALY gained</w:t>
      </w:r>
      <w:r w:rsidR="00C2069A" w:rsidRPr="00121962">
        <w:rPr>
          <w:iCs/>
        </w:rPr>
        <w:t xml:space="preserve">. </w:t>
      </w:r>
    </w:p>
    <w:p w14:paraId="0D5C77D2" w14:textId="77777777" w:rsidR="00442BD7" w:rsidRPr="00121962" w:rsidRDefault="00442BD7" w:rsidP="00BF1CC8">
      <w:pPr>
        <w:pStyle w:val="ExecSumBodyText"/>
        <w:rPr>
          <w:iCs/>
        </w:rPr>
      </w:pPr>
      <w:r w:rsidRPr="00121962">
        <w:t xml:space="preserve">The </w:t>
      </w:r>
      <w:r w:rsidR="00BD5575" w:rsidRPr="00121962">
        <w:t>ESKD</w:t>
      </w:r>
      <w:r w:rsidRPr="00121962">
        <w:t xml:space="preserve"> health state </w:t>
      </w:r>
      <w:r w:rsidR="00AE7765" w:rsidRPr="00121962">
        <w:t xml:space="preserve">did </w:t>
      </w:r>
      <w:r w:rsidRPr="00121962">
        <w:t xml:space="preserve">not allow transitions between conservative management, dialysis and transplant treatment modalities, which have different costs, survival outcomes and quality of life. </w:t>
      </w:r>
      <w:r w:rsidR="007B11BC" w:rsidRPr="00121962">
        <w:t xml:space="preserve">The ESC </w:t>
      </w:r>
      <w:r w:rsidR="00ED500E" w:rsidRPr="00121962">
        <w:t xml:space="preserve">noted that ESKD is not a homogeneous state and </w:t>
      </w:r>
      <w:r w:rsidR="007B11BC" w:rsidRPr="00121962">
        <w:t xml:space="preserve">agreed with the evaluation that </w:t>
      </w:r>
      <w:r w:rsidR="007B11BC" w:rsidRPr="00121962">
        <w:rPr>
          <w:iCs/>
        </w:rPr>
        <w:t>t</w:t>
      </w:r>
      <w:r w:rsidRPr="00121962">
        <w:rPr>
          <w:iCs/>
        </w:rPr>
        <w:t>his structural assumption was not appropriate.</w:t>
      </w:r>
    </w:p>
    <w:p w14:paraId="2F6D75D4" w14:textId="77777777" w:rsidR="00442BD7" w:rsidRPr="00121962" w:rsidRDefault="00442BD7" w:rsidP="00BF1CC8">
      <w:pPr>
        <w:pStyle w:val="ExecSumBodyText"/>
        <w:rPr>
          <w:iCs/>
        </w:rPr>
      </w:pPr>
      <w:r w:rsidRPr="00121962">
        <w:t>Transition probabilities, dapagliflozin treatment discontinuation, and health state utilities were based on the DAPA-CKD trial population. The submission acknowledged differences between the trial population and proposed PBS population in terms of age and sex distribution, and diabetes and heart failure status, but assumed that patient and treatment characteristics from the DAPA-CKD trial would be broadly representative of the target PBS population. Subgroup analyses showed differences in baseline risk for a number of patient characteristics (age, sex, T2DM status, geographical region, and baseline UACR and eGFR categories)</w:t>
      </w:r>
      <w:r w:rsidR="00DD3D61" w:rsidRPr="00121962">
        <w:t>,</w:t>
      </w:r>
      <w:r w:rsidRPr="00121962">
        <w:t xml:space="preserve"> and systolic blood pressure was identified as a treatment effect modifier.</w:t>
      </w:r>
      <w:r w:rsidRPr="00121962">
        <w:rPr>
          <w:iCs/>
        </w:rPr>
        <w:t xml:space="preserve"> </w:t>
      </w:r>
      <w:r w:rsidR="007B11BC" w:rsidRPr="00121962">
        <w:rPr>
          <w:iCs/>
        </w:rPr>
        <w:t>The ESC considered that d</w:t>
      </w:r>
      <w:r w:rsidRPr="00121962">
        <w:rPr>
          <w:iCs/>
        </w:rPr>
        <w:t>ifferences between the DAPA-CKD trial and the proposed Australian population may result in differences in the underlying risk of patients and their response to dapagliflozin.</w:t>
      </w:r>
    </w:p>
    <w:p w14:paraId="154E04E2" w14:textId="77777777" w:rsidR="00442BD7" w:rsidRPr="00121962" w:rsidRDefault="00442BD7" w:rsidP="00BF1CC8">
      <w:pPr>
        <w:pStyle w:val="ExecSumBodyText"/>
        <w:rPr>
          <w:iCs/>
        </w:rPr>
      </w:pPr>
      <w:r w:rsidRPr="00121962">
        <w:t xml:space="preserve">Transition probabilities from </w:t>
      </w:r>
      <w:r w:rsidR="00BD5575" w:rsidRPr="00121962">
        <w:t>CKD</w:t>
      </w:r>
      <w:r w:rsidRPr="00121962">
        <w:t xml:space="preserve"> to </w:t>
      </w:r>
      <w:r w:rsidR="00BD5575" w:rsidRPr="00121962">
        <w:t>ESKD</w:t>
      </w:r>
      <w:r w:rsidRPr="00121962">
        <w:t xml:space="preserve"> were informed by Kaplan</w:t>
      </w:r>
      <w:r w:rsidR="007637C0" w:rsidRPr="00121962">
        <w:t>-</w:t>
      </w:r>
      <w:r w:rsidRPr="00121962">
        <w:t xml:space="preserve">Meier curves of time to ESKD, excluding patients who died without experiencing </w:t>
      </w:r>
      <w:r w:rsidR="00BD5575" w:rsidRPr="00121962">
        <w:t>ESKD</w:t>
      </w:r>
      <w:r w:rsidRPr="00121962">
        <w:t xml:space="preserve"> from the DAPA-CKD trial. </w:t>
      </w:r>
      <w:r w:rsidR="00D52F40" w:rsidRPr="00121962">
        <w:t>The model predicted higher proportions of patients with ESKD and death over 29 months than observed in the DAPA-CKD tri</w:t>
      </w:r>
      <w:r w:rsidR="00CB0CE8" w:rsidRPr="00121962">
        <w:t>a</w:t>
      </w:r>
      <w:r w:rsidR="00D52F40" w:rsidRPr="00121962">
        <w:t>l for both treatment groups.</w:t>
      </w:r>
      <w:r w:rsidRPr="00121962">
        <w:t xml:space="preserve"> </w:t>
      </w:r>
      <w:r w:rsidRPr="00121962">
        <w:rPr>
          <w:iCs/>
        </w:rPr>
        <w:t>This appear</w:t>
      </w:r>
      <w:r w:rsidR="00D52F40" w:rsidRPr="00121962">
        <w:rPr>
          <w:iCs/>
        </w:rPr>
        <w:t>ed</w:t>
      </w:r>
      <w:r w:rsidRPr="00121962">
        <w:rPr>
          <w:iCs/>
        </w:rPr>
        <w:t xml:space="preserve"> to be an </w:t>
      </w:r>
      <w:r w:rsidR="00221AAE" w:rsidRPr="00121962">
        <w:rPr>
          <w:iCs/>
        </w:rPr>
        <w:t>artefact</w:t>
      </w:r>
      <w:r w:rsidRPr="00121962">
        <w:rPr>
          <w:iCs/>
        </w:rPr>
        <w:t xml:space="preserve"> of the submission’s adjustment to make the estimation of </w:t>
      </w:r>
      <w:r w:rsidR="00D52F40" w:rsidRPr="00121962">
        <w:rPr>
          <w:iCs/>
        </w:rPr>
        <w:t>ESKD</w:t>
      </w:r>
      <w:r w:rsidRPr="00121962">
        <w:rPr>
          <w:iCs/>
        </w:rPr>
        <w:t xml:space="preserve"> and death </w:t>
      </w:r>
      <w:r w:rsidR="00A52492" w:rsidRPr="00121962">
        <w:rPr>
          <w:iCs/>
        </w:rPr>
        <w:t>prior to reaching ESKD</w:t>
      </w:r>
      <w:r w:rsidRPr="00121962">
        <w:rPr>
          <w:iCs/>
        </w:rPr>
        <w:t xml:space="preserve"> </w:t>
      </w:r>
      <w:r w:rsidR="003E2C64" w:rsidRPr="00121962">
        <w:rPr>
          <w:iCs/>
        </w:rPr>
        <w:t xml:space="preserve">into </w:t>
      </w:r>
      <w:r w:rsidRPr="00121962">
        <w:rPr>
          <w:iCs/>
        </w:rPr>
        <w:t>mutually exclusive probabilities.</w:t>
      </w:r>
    </w:p>
    <w:p w14:paraId="6D1E14C9" w14:textId="77777777" w:rsidR="007817B4" w:rsidRPr="00121962" w:rsidRDefault="00442BD7" w:rsidP="00951E5C">
      <w:pPr>
        <w:pStyle w:val="ExecSumBodyText"/>
      </w:pPr>
      <w:r w:rsidRPr="00121962">
        <w:t xml:space="preserve">Transition probabilities from </w:t>
      </w:r>
      <w:r w:rsidR="00BD5575" w:rsidRPr="00121962">
        <w:t>CKD</w:t>
      </w:r>
      <w:r w:rsidRPr="00121962">
        <w:t xml:space="preserve"> to death and from </w:t>
      </w:r>
      <w:r w:rsidR="00BD5575" w:rsidRPr="00121962">
        <w:t>ESKD</w:t>
      </w:r>
      <w:r w:rsidRPr="00121962">
        <w:t xml:space="preserve"> to death were informed by Kaplan</w:t>
      </w:r>
      <w:r w:rsidR="007637C0" w:rsidRPr="00121962">
        <w:t>-</w:t>
      </w:r>
      <w:r w:rsidRPr="00121962">
        <w:t xml:space="preserve">Meier curves of overall survival in patients with CKD (excluding patients who reached </w:t>
      </w:r>
      <w:r w:rsidR="00BD5575" w:rsidRPr="00121962">
        <w:t>ESKD</w:t>
      </w:r>
      <w:r w:rsidRPr="00121962">
        <w:t xml:space="preserve">) and in patients with </w:t>
      </w:r>
      <w:r w:rsidR="00BD5575" w:rsidRPr="00121962">
        <w:t>ESKD</w:t>
      </w:r>
      <w:r w:rsidRPr="00121962">
        <w:t xml:space="preserve">, respectively. </w:t>
      </w:r>
      <w:r w:rsidR="007B11BC" w:rsidRPr="00121962">
        <w:t xml:space="preserve">The ESC considered that </w:t>
      </w:r>
      <w:r w:rsidR="007B11BC" w:rsidRPr="00121962">
        <w:rPr>
          <w:iCs/>
        </w:rPr>
        <w:t>t</w:t>
      </w:r>
      <w:r w:rsidRPr="00121962">
        <w:rPr>
          <w:iCs/>
        </w:rPr>
        <w:t xml:space="preserve">he extrapolated survival estimates </w:t>
      </w:r>
      <w:r w:rsidR="00AE7765" w:rsidRPr="00121962">
        <w:rPr>
          <w:iCs/>
        </w:rPr>
        <w:t>did</w:t>
      </w:r>
      <w:r w:rsidRPr="00121962">
        <w:rPr>
          <w:iCs/>
        </w:rPr>
        <w:t xml:space="preserve"> not appear plausible, given that the risks of death modelled in patients with </w:t>
      </w:r>
      <w:r w:rsidR="00BD5575" w:rsidRPr="00121962">
        <w:rPr>
          <w:iCs/>
        </w:rPr>
        <w:t>CKD</w:t>
      </w:r>
      <w:r w:rsidRPr="00121962">
        <w:rPr>
          <w:iCs/>
        </w:rPr>
        <w:t xml:space="preserve"> and </w:t>
      </w:r>
      <w:r w:rsidR="00BD5575" w:rsidRPr="00121962">
        <w:t>ESKD</w:t>
      </w:r>
      <w:r w:rsidRPr="00121962">
        <w:rPr>
          <w:iCs/>
        </w:rPr>
        <w:t xml:space="preserve"> </w:t>
      </w:r>
      <w:r w:rsidR="00AE7765" w:rsidRPr="00121962">
        <w:rPr>
          <w:iCs/>
        </w:rPr>
        <w:t xml:space="preserve">were </w:t>
      </w:r>
      <w:r w:rsidRPr="00121962">
        <w:rPr>
          <w:iCs/>
        </w:rPr>
        <w:t xml:space="preserve">lower than general population estimates. </w:t>
      </w:r>
      <w:r w:rsidR="007363D8" w:rsidRPr="00121962">
        <w:rPr>
          <w:iCs/>
        </w:rPr>
        <w:t xml:space="preserve">The PSCR argued that the modelled risk of death was only lower than the general population estimates after the 15-year time horizon in the base case model, and thus adjusting for general mortality would have no impact on the ICER in the base case. The ESC acknowledged this, but </w:t>
      </w:r>
      <w:r w:rsidR="005B6CEE" w:rsidRPr="00121962">
        <w:rPr>
          <w:iCs/>
        </w:rPr>
        <w:t>considered that this further highlighted uncertainty regarding the chosen extrapolation function</w:t>
      </w:r>
      <w:r w:rsidR="00121962">
        <w:rPr>
          <w:iCs/>
        </w:rPr>
        <w:t xml:space="preserve">. </w:t>
      </w:r>
      <w:r w:rsidR="007363D8" w:rsidRPr="00121962">
        <w:rPr>
          <w:iCs/>
        </w:rPr>
        <w:t xml:space="preserve"> </w:t>
      </w:r>
    </w:p>
    <w:p w14:paraId="3610562F" w14:textId="77777777" w:rsidR="00442BD7" w:rsidRPr="00121962" w:rsidRDefault="00442BD7" w:rsidP="00951E5C">
      <w:pPr>
        <w:pStyle w:val="ExecSumBodyText"/>
      </w:pPr>
      <w:r w:rsidRPr="00121962">
        <w:t>Key drivers of the economic model are summarised in the table below.</w:t>
      </w:r>
    </w:p>
    <w:p w14:paraId="2BC729F5" w14:textId="77777777" w:rsidR="00442BD7" w:rsidRPr="00121962" w:rsidRDefault="0008596F" w:rsidP="0008596F">
      <w:pPr>
        <w:pStyle w:val="TableFigureCaption"/>
      </w:pPr>
      <w:bookmarkStart w:id="32" w:name="_Ref79328449"/>
      <w:r w:rsidRPr="00121962">
        <w:t xml:space="preserve">Table </w:t>
      </w:r>
      <w:r w:rsidR="00E51973">
        <w:rPr>
          <w:noProof/>
        </w:rPr>
        <w:t>10</w:t>
      </w:r>
      <w:bookmarkEnd w:id="32"/>
      <w:r w:rsidRPr="00121962">
        <w:t>:</w:t>
      </w:r>
      <w:r w:rsidR="00442BD7" w:rsidRPr="00121962">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21"/>
        <w:gridCol w:w="1367"/>
      </w:tblGrid>
      <w:tr w:rsidR="00442BD7" w:rsidRPr="00121962" w14:paraId="2E430A6D" w14:textId="77777777" w:rsidTr="00376E61">
        <w:trPr>
          <w:cantSplit/>
          <w:tblHeader/>
        </w:trPr>
        <w:tc>
          <w:tcPr>
            <w:tcW w:w="626" w:type="pct"/>
            <w:shd w:val="clear" w:color="auto" w:fill="auto"/>
            <w:vAlign w:val="center"/>
          </w:tcPr>
          <w:p w14:paraId="12A17087"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Description</w:t>
            </w:r>
          </w:p>
        </w:tc>
        <w:tc>
          <w:tcPr>
            <w:tcW w:w="3616" w:type="pct"/>
            <w:shd w:val="clear" w:color="auto" w:fill="auto"/>
            <w:vAlign w:val="center"/>
          </w:tcPr>
          <w:p w14:paraId="56669A52"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Method/Value</w:t>
            </w:r>
          </w:p>
        </w:tc>
        <w:tc>
          <w:tcPr>
            <w:tcW w:w="758" w:type="pct"/>
            <w:shd w:val="clear" w:color="auto" w:fill="auto"/>
            <w:vAlign w:val="center"/>
          </w:tcPr>
          <w:p w14:paraId="393B2D3B"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Impact</w:t>
            </w:r>
          </w:p>
        </w:tc>
      </w:tr>
      <w:tr w:rsidR="00442BD7" w:rsidRPr="00121962" w14:paraId="3D3F6964" w14:textId="77777777" w:rsidTr="00376E61">
        <w:trPr>
          <w:cantSplit/>
        </w:trPr>
        <w:tc>
          <w:tcPr>
            <w:tcW w:w="626" w:type="pct"/>
            <w:shd w:val="clear" w:color="auto" w:fill="auto"/>
            <w:vAlign w:val="center"/>
          </w:tcPr>
          <w:p w14:paraId="5CF3B0D7"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Time horizon</w:t>
            </w:r>
          </w:p>
          <w:p w14:paraId="0BD41F9F" w14:textId="77777777" w:rsidR="00CB0CE8" w:rsidRPr="00121962" w:rsidRDefault="00CB0CE8"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(15 Years)</w:t>
            </w:r>
          </w:p>
        </w:tc>
        <w:tc>
          <w:tcPr>
            <w:tcW w:w="3616" w:type="pct"/>
            <w:shd w:val="clear" w:color="auto" w:fill="auto"/>
            <w:vAlign w:val="center"/>
          </w:tcPr>
          <w:p w14:paraId="63CDBF5F" w14:textId="77777777" w:rsidR="00A52492" w:rsidRPr="00121962" w:rsidRDefault="00A52492" w:rsidP="00A52492">
            <w:pPr>
              <w:pStyle w:val="CommentText"/>
              <w:rPr>
                <w:rFonts w:ascii="Arial Narrow" w:hAnsi="Arial Narrow"/>
                <w:iCs/>
                <w:snapToGrid w:val="0"/>
              </w:rPr>
            </w:pPr>
            <w:r w:rsidRPr="00121962">
              <w:rPr>
                <w:rFonts w:ascii="Arial Narrow" w:hAnsi="Arial Narrow"/>
                <w:iCs/>
                <w:snapToGrid w:val="0"/>
              </w:rPr>
              <w:t>A 15</w:t>
            </w:r>
            <w:r w:rsidR="00C53942" w:rsidRPr="00121962">
              <w:rPr>
                <w:rFonts w:ascii="Arial Narrow" w:hAnsi="Arial Narrow"/>
                <w:iCs/>
                <w:snapToGrid w:val="0"/>
              </w:rPr>
              <w:t>-</w:t>
            </w:r>
            <w:r w:rsidRPr="00121962">
              <w:rPr>
                <w:rFonts w:ascii="Arial Narrow" w:hAnsi="Arial Narrow"/>
                <w:iCs/>
                <w:snapToGrid w:val="0"/>
              </w:rPr>
              <w:t>year time horizon was nominated on the basis that this would represent a lifetime time horizon for patients with CKD</w:t>
            </w:r>
            <w:r w:rsidR="0077556D" w:rsidRPr="00121962">
              <w:rPr>
                <w:rFonts w:ascii="Arial Narrow" w:hAnsi="Arial Narrow"/>
                <w:iCs/>
                <w:snapToGrid w:val="0"/>
              </w:rPr>
              <w:t>.</w:t>
            </w:r>
            <w:r w:rsidRPr="00121962">
              <w:rPr>
                <w:rFonts w:ascii="Arial Narrow" w:hAnsi="Arial Narrow"/>
                <w:iCs/>
                <w:snapToGrid w:val="0"/>
              </w:rPr>
              <w:t xml:space="preserve"> </w:t>
            </w:r>
            <w:r w:rsidR="0077556D" w:rsidRPr="00121962">
              <w:rPr>
                <w:rFonts w:ascii="Arial Narrow" w:hAnsi="Arial Narrow"/>
                <w:iCs/>
                <w:snapToGrid w:val="0"/>
              </w:rPr>
              <w:t>H</w:t>
            </w:r>
            <w:r w:rsidRPr="00121962">
              <w:rPr>
                <w:rFonts w:ascii="Arial Narrow" w:hAnsi="Arial Narrow"/>
                <w:iCs/>
                <w:snapToGrid w:val="0"/>
              </w:rPr>
              <w:t>owever</w:t>
            </w:r>
            <w:r w:rsidR="0077556D" w:rsidRPr="00121962">
              <w:rPr>
                <w:rFonts w:ascii="Arial Narrow" w:hAnsi="Arial Narrow"/>
                <w:iCs/>
                <w:snapToGrid w:val="0"/>
              </w:rPr>
              <w:t>,</w:t>
            </w:r>
            <w:r w:rsidRPr="00121962">
              <w:rPr>
                <w:rFonts w:ascii="Arial Narrow" w:hAnsi="Arial Narrow"/>
                <w:iCs/>
                <w:snapToGrid w:val="0"/>
              </w:rPr>
              <w:t xml:space="preserve"> based on extrapolated survival curves, the model estimated that 34% of SOC patients and 46% of dapagliflozin with SOC patients remained alive after 15 years. Given the lack of convergence between treatment arms, the model inappropriately convert</w:t>
            </w:r>
            <w:r w:rsidR="00C53942" w:rsidRPr="00121962">
              <w:rPr>
                <w:rFonts w:ascii="Arial Narrow" w:hAnsi="Arial Narrow"/>
                <w:iCs/>
                <w:snapToGrid w:val="0"/>
              </w:rPr>
              <w:t>ed</w:t>
            </w:r>
            <w:r w:rsidRPr="00121962">
              <w:rPr>
                <w:rFonts w:ascii="Arial Narrow" w:hAnsi="Arial Narrow"/>
                <w:iCs/>
                <w:snapToGrid w:val="0"/>
              </w:rPr>
              <w:t xml:space="preserve"> delayed ESKD and death events into avoided events.</w:t>
            </w:r>
          </w:p>
          <w:p w14:paraId="67338A95" w14:textId="77777777" w:rsidR="00442BD7" w:rsidRPr="00121962" w:rsidRDefault="00BE4210" w:rsidP="007034BB">
            <w:pPr>
              <w:pStyle w:val="CommentText"/>
              <w:rPr>
                <w:rFonts w:eastAsiaTheme="majorEastAsia"/>
              </w:rPr>
            </w:pPr>
            <w:r>
              <w:rPr>
                <w:rFonts w:ascii="Arial Narrow" w:hAnsi="Arial Narrow"/>
                <w:iCs/>
                <w:snapToGrid w:val="0"/>
              </w:rPr>
              <w:t xml:space="preserve">The PSCR </w:t>
            </w:r>
            <w:r w:rsidR="005B6CEE" w:rsidRPr="00121962">
              <w:rPr>
                <w:rFonts w:ascii="Arial Narrow" w:hAnsi="Arial Narrow"/>
                <w:iCs/>
                <w:snapToGrid w:val="0"/>
              </w:rPr>
              <w:t xml:space="preserve">argued that the modelled evaluation was consistent with the DAPA-CKD results, with a lower proportion of patients with ESKD and death predicted by the model in </w:t>
            </w:r>
            <w:r w:rsidR="00F53137" w:rsidRPr="00121962">
              <w:rPr>
                <w:rFonts w:ascii="Arial Narrow" w:hAnsi="Arial Narrow"/>
                <w:iCs/>
                <w:snapToGrid w:val="0"/>
              </w:rPr>
              <w:t>those</w:t>
            </w:r>
            <w:r w:rsidR="005B6CEE" w:rsidRPr="00121962">
              <w:rPr>
                <w:rFonts w:ascii="Arial Narrow" w:hAnsi="Arial Narrow"/>
                <w:iCs/>
                <w:snapToGrid w:val="0"/>
              </w:rPr>
              <w:t xml:space="preserve"> treated with dapagliflozin </w:t>
            </w:r>
            <w:r w:rsidR="00641842" w:rsidRPr="00121962">
              <w:rPr>
                <w:rFonts w:ascii="Arial Narrow" w:hAnsi="Arial Narrow"/>
                <w:iCs/>
                <w:snapToGrid w:val="0"/>
              </w:rPr>
              <w:t>plus</w:t>
            </w:r>
            <w:r w:rsidR="005B6CEE" w:rsidRPr="00121962">
              <w:rPr>
                <w:rFonts w:ascii="Arial Narrow" w:hAnsi="Arial Narrow"/>
                <w:iCs/>
                <w:snapToGrid w:val="0"/>
              </w:rPr>
              <w:t xml:space="preserve"> SOC compared to SOC alone. </w:t>
            </w:r>
            <w:r w:rsidR="00F53137" w:rsidRPr="00121962">
              <w:rPr>
                <w:rFonts w:ascii="Arial Narrow" w:hAnsi="Arial Narrow"/>
                <w:iCs/>
                <w:snapToGrid w:val="0"/>
              </w:rPr>
              <w:t>Moreover, it argued that it was reasonable to extrapolate the treatment benefit over the 15-year time horizon as the benefit has been previously observed in a randomised controlled trial setting (</w:t>
            </w:r>
            <w:r w:rsidR="00380D4B" w:rsidRPr="00121962">
              <w:rPr>
                <w:rFonts w:ascii="Arial Narrow" w:hAnsi="Arial Narrow"/>
                <w:iCs/>
                <w:snapToGrid w:val="0"/>
              </w:rPr>
              <w:t xml:space="preserve">DECLARE-TIMI 58, </w:t>
            </w:r>
            <w:r>
              <w:rPr>
                <w:rFonts w:ascii="Arial Narrow" w:hAnsi="Arial Narrow"/>
                <w:iCs/>
                <w:snapToGrid w:val="0"/>
              </w:rPr>
              <w:t xml:space="preserve">Mosenzon 2019). The PSCR </w:t>
            </w:r>
            <w:r w:rsidR="00F53137" w:rsidRPr="00121962">
              <w:rPr>
                <w:rFonts w:ascii="Arial Narrow" w:hAnsi="Arial Narrow"/>
                <w:iCs/>
                <w:snapToGrid w:val="0"/>
              </w:rPr>
              <w:t xml:space="preserve">provided a sensitivity analysis with a </w:t>
            </w:r>
            <w:r w:rsidR="00641842" w:rsidRPr="00121962">
              <w:rPr>
                <w:rFonts w:ascii="Arial Narrow" w:hAnsi="Arial Narrow"/>
                <w:iCs/>
                <w:snapToGrid w:val="0"/>
              </w:rPr>
              <w:t>30-</w:t>
            </w:r>
            <w:r w:rsidR="00F53137" w:rsidRPr="00121962">
              <w:rPr>
                <w:rFonts w:ascii="Arial Narrow" w:hAnsi="Arial Narrow"/>
                <w:iCs/>
                <w:snapToGrid w:val="0"/>
              </w:rPr>
              <w:t>year time horizon</w:t>
            </w:r>
            <w:r w:rsidR="00641842" w:rsidRPr="00121962">
              <w:rPr>
                <w:rFonts w:ascii="Arial Narrow" w:hAnsi="Arial Narrow"/>
                <w:iCs/>
                <w:snapToGrid w:val="0"/>
              </w:rPr>
              <w:t xml:space="preserve"> (mortality adjusted for general population mortality)</w:t>
            </w:r>
            <w:r w:rsidR="00F53137" w:rsidRPr="00121962">
              <w:rPr>
                <w:rFonts w:ascii="Arial Narrow" w:hAnsi="Arial Narrow"/>
                <w:iCs/>
                <w:snapToGrid w:val="0"/>
              </w:rPr>
              <w:t xml:space="preserve">, and various </w:t>
            </w:r>
            <w:r w:rsidR="00641842" w:rsidRPr="00121962">
              <w:rPr>
                <w:rFonts w:ascii="Arial Narrow" w:hAnsi="Arial Narrow"/>
                <w:iCs/>
                <w:snapToGrid w:val="0"/>
              </w:rPr>
              <w:t>revised inputs, resulting</w:t>
            </w:r>
            <w:r w:rsidR="00951412" w:rsidRPr="00121962">
              <w:rPr>
                <w:rFonts w:ascii="Arial Narrow" w:hAnsi="Arial Narrow"/>
                <w:iCs/>
                <w:snapToGrid w:val="0"/>
              </w:rPr>
              <w:t xml:space="preserve"> in an</w:t>
            </w:r>
            <w:r w:rsidR="00641842" w:rsidRPr="00121962">
              <w:rPr>
                <w:rFonts w:ascii="Arial Narrow" w:hAnsi="Arial Narrow"/>
                <w:iCs/>
                <w:snapToGrid w:val="0"/>
              </w:rPr>
              <w:t xml:space="preserve"> ICER of $</w:t>
            </w:r>
            <w:r w:rsidR="002F0C5E">
              <w:rPr>
                <w:rFonts w:ascii="Arial Narrow" w:hAnsi="Arial Narrow"/>
                <w:iCs/>
                <w:noProof/>
                <w:snapToGrid w:val="0"/>
                <w:color w:val="000000"/>
                <w:highlight w:val="black"/>
              </w:rPr>
              <w:t>'''''''''</w:t>
            </w:r>
            <w:r w:rsidR="007034BB">
              <w:rPr>
                <w:rFonts w:ascii="Arial Narrow" w:hAnsi="Arial Narrow"/>
                <w:iCs/>
                <w:snapToGrid w:val="0"/>
                <w:vertAlign w:val="superscript"/>
              </w:rPr>
              <w:t>1</w:t>
            </w:r>
            <w:r w:rsidR="00641842" w:rsidRPr="00121962">
              <w:rPr>
                <w:rFonts w:ascii="Arial Narrow" w:hAnsi="Arial Narrow"/>
                <w:iCs/>
                <w:snapToGrid w:val="0"/>
              </w:rPr>
              <w:t xml:space="preserve"> per QALY gained. </w:t>
            </w:r>
            <w:r w:rsidR="00ED500E" w:rsidRPr="00121962">
              <w:rPr>
                <w:rFonts w:ascii="Arial Narrow" w:hAnsi="Arial Narrow"/>
                <w:iCs/>
                <w:snapToGrid w:val="0"/>
              </w:rPr>
              <w:t xml:space="preserve">The ESC disagreed with the PSCR as </w:t>
            </w:r>
            <w:r w:rsidR="006A68EC" w:rsidRPr="00121962">
              <w:rPr>
                <w:rFonts w:ascii="Arial Narrow" w:hAnsi="Arial Narrow"/>
                <w:iCs/>
                <w:snapToGrid w:val="0"/>
              </w:rPr>
              <w:t>dapagliflozin may</w:t>
            </w:r>
            <w:r w:rsidR="00ED500E" w:rsidRPr="00121962">
              <w:rPr>
                <w:rFonts w:ascii="Arial Narrow" w:hAnsi="Arial Narrow"/>
                <w:iCs/>
                <w:snapToGrid w:val="0"/>
              </w:rPr>
              <w:t xml:space="preserve"> delay </w:t>
            </w:r>
            <w:r w:rsidR="00691A5D" w:rsidRPr="00121962">
              <w:rPr>
                <w:rFonts w:ascii="Arial Narrow" w:hAnsi="Arial Narrow"/>
                <w:iCs/>
                <w:snapToGrid w:val="0"/>
              </w:rPr>
              <w:t xml:space="preserve">time to </w:t>
            </w:r>
            <w:r w:rsidR="00ED500E" w:rsidRPr="00121962">
              <w:rPr>
                <w:rFonts w:ascii="Arial Narrow" w:hAnsi="Arial Narrow"/>
                <w:iCs/>
                <w:snapToGrid w:val="0"/>
              </w:rPr>
              <w:t xml:space="preserve">ESKD </w:t>
            </w:r>
            <w:r w:rsidR="0077556D" w:rsidRPr="00121962">
              <w:rPr>
                <w:rFonts w:ascii="Arial Narrow" w:hAnsi="Arial Narrow"/>
                <w:iCs/>
                <w:snapToGrid w:val="0"/>
              </w:rPr>
              <w:t xml:space="preserve">and so </w:t>
            </w:r>
            <w:r w:rsidR="00691A5D" w:rsidRPr="00121962">
              <w:rPr>
                <w:rFonts w:ascii="Arial Narrow" w:hAnsi="Arial Narrow"/>
                <w:iCs/>
                <w:snapToGrid w:val="0"/>
              </w:rPr>
              <w:t>costs would be delayed rather than avoided</w:t>
            </w:r>
            <w:r w:rsidR="00ED500E" w:rsidRPr="00121962">
              <w:rPr>
                <w:rFonts w:ascii="Arial Narrow" w:hAnsi="Arial Narrow"/>
                <w:iCs/>
                <w:snapToGrid w:val="0"/>
              </w:rPr>
              <w:t xml:space="preserve">. The model </w:t>
            </w:r>
            <w:r w:rsidR="006A68EC" w:rsidRPr="00121962">
              <w:rPr>
                <w:rFonts w:ascii="Arial Narrow" w:hAnsi="Arial Narrow"/>
                <w:iCs/>
                <w:snapToGrid w:val="0"/>
              </w:rPr>
              <w:t xml:space="preserve">was too short, and inappropriately structured, to </w:t>
            </w:r>
            <w:r w:rsidR="00951412" w:rsidRPr="00121962">
              <w:rPr>
                <w:rFonts w:ascii="Arial Narrow" w:hAnsi="Arial Narrow"/>
                <w:iCs/>
                <w:snapToGrid w:val="0"/>
              </w:rPr>
              <w:t xml:space="preserve">accurately </w:t>
            </w:r>
            <w:r w:rsidR="006A68EC" w:rsidRPr="00121962">
              <w:rPr>
                <w:rFonts w:ascii="Arial Narrow" w:hAnsi="Arial Narrow"/>
                <w:iCs/>
                <w:snapToGrid w:val="0"/>
              </w:rPr>
              <w:t>capture th</w:t>
            </w:r>
            <w:r w:rsidR="000C47D7" w:rsidRPr="00121962">
              <w:rPr>
                <w:rFonts w:ascii="Arial Narrow" w:hAnsi="Arial Narrow"/>
                <w:iCs/>
                <w:snapToGrid w:val="0"/>
              </w:rPr>
              <w:t>e transitions</w:t>
            </w:r>
            <w:r w:rsidR="009344FF" w:rsidRPr="00121962">
              <w:rPr>
                <w:rFonts w:ascii="Arial Narrow" w:hAnsi="Arial Narrow"/>
                <w:iCs/>
                <w:snapToGrid w:val="0"/>
              </w:rPr>
              <w:t xml:space="preserve"> to ESKD</w:t>
            </w:r>
            <w:r w:rsidR="006A68EC" w:rsidRPr="00121962">
              <w:rPr>
                <w:rFonts w:ascii="Arial Narrow" w:hAnsi="Arial Narrow"/>
                <w:iCs/>
                <w:snapToGrid w:val="0"/>
              </w:rPr>
              <w:t xml:space="preserve"> and the cost offsets applied in the 15</w:t>
            </w:r>
            <w:r w:rsidR="0077556D" w:rsidRPr="00121962">
              <w:rPr>
                <w:rFonts w:ascii="Arial Narrow" w:hAnsi="Arial Narrow"/>
                <w:iCs/>
                <w:snapToGrid w:val="0"/>
              </w:rPr>
              <w:t>-</w:t>
            </w:r>
            <w:r w:rsidR="006A68EC" w:rsidRPr="00121962">
              <w:rPr>
                <w:rFonts w:ascii="Arial Narrow" w:hAnsi="Arial Narrow"/>
                <w:iCs/>
                <w:snapToGrid w:val="0"/>
              </w:rPr>
              <w:t xml:space="preserve">year model were </w:t>
            </w:r>
            <w:r w:rsidR="009344FF" w:rsidRPr="00121962">
              <w:rPr>
                <w:rFonts w:ascii="Arial Narrow" w:hAnsi="Arial Narrow"/>
                <w:iCs/>
                <w:snapToGrid w:val="0"/>
              </w:rPr>
              <w:t>not justified</w:t>
            </w:r>
            <w:r w:rsidR="006A68EC" w:rsidRPr="00121962">
              <w:rPr>
                <w:rFonts w:ascii="Arial Narrow" w:hAnsi="Arial Narrow"/>
                <w:iCs/>
                <w:snapToGrid w:val="0"/>
              </w:rPr>
              <w:t>.</w:t>
            </w:r>
          </w:p>
        </w:tc>
        <w:tc>
          <w:tcPr>
            <w:tcW w:w="758" w:type="pct"/>
            <w:shd w:val="clear" w:color="auto" w:fill="auto"/>
            <w:vAlign w:val="center"/>
          </w:tcPr>
          <w:p w14:paraId="3F58659F" w14:textId="77777777" w:rsidR="00442BD7" w:rsidRPr="00121962" w:rsidRDefault="00442BD7" w:rsidP="008F2F5B">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14:paraId="3D8E7BAD" w14:textId="77777777" w:rsidTr="00376E61">
        <w:trPr>
          <w:cantSplit/>
        </w:trPr>
        <w:tc>
          <w:tcPr>
            <w:tcW w:w="626" w:type="pct"/>
            <w:shd w:val="clear" w:color="auto" w:fill="auto"/>
            <w:vAlign w:val="center"/>
          </w:tcPr>
          <w:p w14:paraId="44BAF8FF"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transitions</w:t>
            </w:r>
          </w:p>
        </w:tc>
        <w:tc>
          <w:tcPr>
            <w:tcW w:w="3616" w:type="pct"/>
            <w:shd w:val="clear" w:color="auto" w:fill="auto"/>
            <w:vAlign w:val="center"/>
          </w:tcPr>
          <w:p w14:paraId="53EF160B" w14:textId="77777777" w:rsidR="00442BD7" w:rsidRPr="00121962" w:rsidRDefault="00442BD7" w:rsidP="00442BD7">
            <w:pPr>
              <w:rPr>
                <w:rFonts w:ascii="Arial Narrow" w:hAnsi="Arial Narrow"/>
                <w:snapToGrid w:val="0"/>
                <w:sz w:val="20"/>
                <w:szCs w:val="20"/>
              </w:rPr>
            </w:pPr>
            <w:r w:rsidRPr="00121962">
              <w:rPr>
                <w:rFonts w:ascii="Arial Narrow" w:hAnsi="Arial Narrow"/>
                <w:snapToGrid w:val="0"/>
                <w:sz w:val="20"/>
                <w:szCs w:val="20"/>
              </w:rPr>
              <w:t>Transition probabilities from CKD to ESKD were informed by Kaplan</w:t>
            </w:r>
            <w:r w:rsidR="007637C0" w:rsidRPr="00121962">
              <w:rPr>
                <w:rFonts w:ascii="Arial Narrow" w:hAnsi="Arial Narrow"/>
                <w:snapToGrid w:val="0"/>
                <w:sz w:val="20"/>
                <w:szCs w:val="20"/>
              </w:rPr>
              <w:t>-</w:t>
            </w:r>
            <w:r w:rsidRPr="00121962">
              <w:rPr>
                <w:rFonts w:ascii="Arial Narrow" w:hAnsi="Arial Narrow"/>
                <w:snapToGrid w:val="0"/>
                <w:sz w:val="20"/>
                <w:szCs w:val="20"/>
              </w:rPr>
              <w:t>Meier curves of time to ESKD, excluding patients who died without experiencing ESKD from the DAPA-CKD trial.</w:t>
            </w:r>
          </w:p>
          <w:p w14:paraId="162D81CF" w14:textId="77777777" w:rsidR="00442BD7" w:rsidRPr="00121962" w:rsidRDefault="00442BD7" w:rsidP="00442BD7">
            <w:pPr>
              <w:rPr>
                <w:rFonts w:ascii="Arial Narrow" w:hAnsi="Arial Narrow"/>
                <w:snapToGrid w:val="0"/>
                <w:sz w:val="20"/>
                <w:szCs w:val="20"/>
              </w:rPr>
            </w:pPr>
          </w:p>
          <w:p w14:paraId="6AD9A58F" w14:textId="77777777" w:rsidR="00442BD7" w:rsidRPr="00121962" w:rsidRDefault="00442BD7" w:rsidP="00691A5D">
            <w:pPr>
              <w:rPr>
                <w:rFonts w:ascii="Arial Narrow" w:hAnsi="Arial Narrow" w:cs="Calibri"/>
                <w:i/>
                <w:iCs/>
                <w:snapToGrid w:val="0"/>
                <w:sz w:val="18"/>
                <w:szCs w:val="18"/>
              </w:rPr>
            </w:pPr>
            <w:r w:rsidRPr="00121962">
              <w:rPr>
                <w:rFonts w:ascii="Arial Narrow" w:hAnsi="Arial Narrow"/>
                <w:iCs/>
                <w:snapToGrid w:val="0"/>
                <w:sz w:val="20"/>
                <w:szCs w:val="20"/>
              </w:rPr>
              <w:t xml:space="preserve">Due to the limited observation period in DAPA-CKD, time to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likely to be primarily informed by patients with more severe disease at baseline. It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therefore unclear whether extrapolations based on the trial period </w:t>
            </w:r>
            <w:r w:rsidR="00915037" w:rsidRPr="00121962">
              <w:rPr>
                <w:rFonts w:ascii="Arial Narrow" w:hAnsi="Arial Narrow"/>
                <w:iCs/>
                <w:snapToGrid w:val="0"/>
                <w:sz w:val="20"/>
                <w:szCs w:val="20"/>
              </w:rPr>
              <w:t xml:space="preserve">would </w:t>
            </w:r>
            <w:r w:rsidRPr="00121962">
              <w:rPr>
                <w:rFonts w:ascii="Arial Narrow" w:hAnsi="Arial Narrow"/>
                <w:iCs/>
                <w:snapToGrid w:val="0"/>
                <w:sz w:val="20"/>
                <w:szCs w:val="20"/>
              </w:rPr>
              <w:t>reflect clinical outcomes over a longer period in a heterogeneous population with varying levels of kidney disease. Alternative modelling of DAPA-CKD data from the published literature (McEwan 2020) suggest</w:t>
            </w:r>
            <w:r w:rsidR="00915037" w:rsidRPr="00121962">
              <w:rPr>
                <w:rFonts w:ascii="Arial Narrow" w:hAnsi="Arial Narrow"/>
                <w:iCs/>
                <w:snapToGrid w:val="0"/>
                <w:sz w:val="20"/>
                <w:szCs w:val="20"/>
              </w:rPr>
              <w:t>ed</w:t>
            </w:r>
            <w:r w:rsidRPr="00121962">
              <w:rPr>
                <w:rFonts w:ascii="Arial Narrow" w:hAnsi="Arial Narrow"/>
                <w:iCs/>
                <w:snapToGrid w:val="0"/>
                <w:sz w:val="20"/>
                <w:szCs w:val="20"/>
              </w:rPr>
              <w:t xml:space="preserve"> a much lower incidence of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when baseline severity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taken into account.</w:t>
            </w:r>
          </w:p>
        </w:tc>
        <w:tc>
          <w:tcPr>
            <w:tcW w:w="758" w:type="pct"/>
            <w:shd w:val="clear" w:color="auto" w:fill="auto"/>
            <w:vAlign w:val="center"/>
          </w:tcPr>
          <w:p w14:paraId="3AB1441A" w14:textId="77777777" w:rsidR="00442BD7" w:rsidRPr="00121962" w:rsidRDefault="00442BD7" w:rsidP="00376E61">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14:paraId="46793A79" w14:textId="77777777" w:rsidTr="00376E61">
        <w:trPr>
          <w:cantSplit/>
        </w:trPr>
        <w:tc>
          <w:tcPr>
            <w:tcW w:w="626" w:type="pct"/>
            <w:shd w:val="clear" w:color="auto" w:fill="auto"/>
            <w:vAlign w:val="center"/>
          </w:tcPr>
          <w:p w14:paraId="1E2B7AB6"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survival</w:t>
            </w:r>
          </w:p>
        </w:tc>
        <w:tc>
          <w:tcPr>
            <w:tcW w:w="3616" w:type="pct"/>
            <w:shd w:val="clear" w:color="auto" w:fill="auto"/>
            <w:vAlign w:val="center"/>
          </w:tcPr>
          <w:p w14:paraId="050F49F3"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 xml:space="preserve">The </w:t>
            </w:r>
            <w:r w:rsidR="00BD5575" w:rsidRPr="00121962">
              <w:rPr>
                <w:rFonts w:ascii="Arial Narrow" w:eastAsiaTheme="majorEastAsia" w:hAnsi="Arial Narrow" w:cstheme="majorBidi"/>
                <w:bCs/>
                <w:sz w:val="20"/>
              </w:rPr>
              <w:t>ESKD</w:t>
            </w:r>
            <w:r w:rsidRPr="00121962">
              <w:rPr>
                <w:rFonts w:ascii="Arial Narrow" w:eastAsiaTheme="majorEastAsia" w:hAnsi="Arial Narrow" w:cstheme="majorBidi"/>
                <w:bCs/>
                <w:sz w:val="20"/>
              </w:rPr>
              <w:t xml:space="preserve"> health state assume</w:t>
            </w:r>
            <w:r w:rsidR="00915037" w:rsidRPr="00121962">
              <w:rPr>
                <w:rFonts w:ascii="Arial Narrow" w:eastAsiaTheme="majorEastAsia" w:hAnsi="Arial Narrow" w:cstheme="majorBidi"/>
                <w:bCs/>
                <w:sz w:val="20"/>
              </w:rPr>
              <w:t>d</w:t>
            </w:r>
            <w:r w:rsidRPr="00121962">
              <w:rPr>
                <w:rFonts w:ascii="Arial Narrow" w:eastAsiaTheme="majorEastAsia" w:hAnsi="Arial Narrow" w:cstheme="majorBidi"/>
                <w:bCs/>
                <w:sz w:val="20"/>
              </w:rPr>
              <w:t xml:space="preserve"> a fixed distribution of patients receiving different treatment modalities, and transitions between conservative management, dialysis and transplant </w:t>
            </w:r>
            <w:r w:rsidR="00915037" w:rsidRPr="00121962">
              <w:rPr>
                <w:rFonts w:ascii="Arial Narrow" w:eastAsiaTheme="majorEastAsia" w:hAnsi="Arial Narrow" w:cstheme="majorBidi"/>
                <w:bCs/>
                <w:sz w:val="20"/>
              </w:rPr>
              <w:t xml:space="preserve">were </w:t>
            </w:r>
            <w:r w:rsidRPr="00121962">
              <w:rPr>
                <w:rFonts w:ascii="Arial Narrow" w:eastAsiaTheme="majorEastAsia" w:hAnsi="Arial Narrow" w:cstheme="majorBidi"/>
                <w:bCs/>
                <w:sz w:val="20"/>
              </w:rPr>
              <w:t>not explicitly modelled.</w:t>
            </w:r>
          </w:p>
          <w:p w14:paraId="36949ABD" w14:textId="77777777" w:rsidR="00442BD7" w:rsidRPr="00121962" w:rsidRDefault="00442BD7" w:rsidP="00442BD7">
            <w:pPr>
              <w:jc w:val="left"/>
              <w:rPr>
                <w:rFonts w:ascii="Arial Narrow" w:eastAsiaTheme="majorEastAsia" w:hAnsi="Arial Narrow" w:cstheme="majorBidi"/>
                <w:bCs/>
                <w:sz w:val="20"/>
              </w:rPr>
            </w:pPr>
          </w:p>
          <w:p w14:paraId="7E01059F" w14:textId="77777777"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 xml:space="preserve">The survival estimates in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were informed by sparse data over a limited observation period in the DAPA-CKD trial, in which few patients had received kidney transplant. Extrapolation of these data to inform survival in a mixed cohort over the model time horizon </w:t>
            </w:r>
            <w:r w:rsidR="00915037"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unlikely to reflect survival in patients over the longer term; or reflect Australian clinical practice, given differences in the use of ESKD treatment modalities. The McEwan 2020 analysis, on which the submission’s model </w:t>
            </w:r>
            <w:r w:rsidR="00886592"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based, did not rely on DAPA-CKD data to inform survival in the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health state, but used estimates from the published literature to inform mortality and changes in treatment modality.</w:t>
            </w:r>
          </w:p>
          <w:p w14:paraId="0841911D" w14:textId="77777777" w:rsidR="00442BD7" w:rsidRPr="00121962" w:rsidRDefault="00442BD7" w:rsidP="00442BD7">
            <w:pPr>
              <w:jc w:val="left"/>
              <w:rPr>
                <w:rFonts w:ascii="Arial Narrow" w:eastAsiaTheme="majorEastAsia" w:hAnsi="Arial Narrow" w:cstheme="majorBidi"/>
                <w:bCs/>
                <w:sz w:val="20"/>
              </w:rPr>
            </w:pPr>
          </w:p>
          <w:p w14:paraId="5668ABD3" w14:textId="77777777" w:rsidR="00442BD7" w:rsidRPr="00121962" w:rsidRDefault="00442BD7" w:rsidP="00BE7560">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Further, the submission modelled a survival advantage for dapagliflozin in patients with ESKD</w:t>
            </w:r>
            <w:r w:rsidR="0077556D"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was not consistent with the DAPA-CKD </w:t>
            </w:r>
            <w:r w:rsidR="00312575" w:rsidRPr="00121962">
              <w:rPr>
                <w:rFonts w:ascii="Arial Narrow" w:eastAsiaTheme="majorEastAsia" w:hAnsi="Arial Narrow" w:cstheme="majorBidi"/>
                <w:bCs/>
                <w:i/>
                <w:sz w:val="20"/>
              </w:rPr>
              <w:t>post hoc</w:t>
            </w:r>
            <w:r w:rsidRPr="00121962">
              <w:rPr>
                <w:rFonts w:ascii="Arial Narrow" w:eastAsiaTheme="majorEastAsia" w:hAnsi="Arial Narrow" w:cstheme="majorBidi"/>
                <w:bCs/>
                <w:iCs/>
                <w:sz w:val="20"/>
              </w:rPr>
              <w:t xml:space="preserve"> analysis that informed survival, which showed no statistically significant difference between dapagliflozin and </w:t>
            </w:r>
            <w:r w:rsidR="00BD5575" w:rsidRPr="00121962">
              <w:rPr>
                <w:rFonts w:ascii="Arial Narrow" w:eastAsiaTheme="majorEastAsia" w:hAnsi="Arial Narrow" w:cstheme="majorBidi"/>
                <w:bCs/>
                <w:iCs/>
                <w:sz w:val="20"/>
              </w:rPr>
              <w:t>SOC</w:t>
            </w:r>
            <w:r w:rsidRPr="00121962">
              <w:rPr>
                <w:rFonts w:ascii="Arial Narrow" w:eastAsiaTheme="majorEastAsia" w:hAnsi="Arial Narrow" w:cstheme="majorBidi"/>
                <w:bCs/>
                <w:iCs/>
                <w:sz w:val="20"/>
              </w:rPr>
              <w:t>.</w:t>
            </w:r>
          </w:p>
        </w:tc>
        <w:tc>
          <w:tcPr>
            <w:tcW w:w="758" w:type="pct"/>
            <w:shd w:val="clear" w:color="auto" w:fill="auto"/>
            <w:vAlign w:val="center"/>
          </w:tcPr>
          <w:p w14:paraId="08949087" w14:textId="77777777" w:rsidR="00442BD7" w:rsidRPr="00121962" w:rsidRDefault="00BE049A" w:rsidP="00376E61">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14:paraId="112EB666" w14:textId="77777777" w:rsidTr="00376E61">
        <w:trPr>
          <w:cantSplit/>
        </w:trPr>
        <w:tc>
          <w:tcPr>
            <w:tcW w:w="626" w:type="pct"/>
            <w:shd w:val="clear" w:color="auto" w:fill="auto"/>
            <w:vAlign w:val="center"/>
          </w:tcPr>
          <w:p w14:paraId="33C50CF9"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Treatment persistence</w:t>
            </w:r>
          </w:p>
        </w:tc>
        <w:tc>
          <w:tcPr>
            <w:tcW w:w="3616" w:type="pct"/>
            <w:shd w:val="clear" w:color="auto" w:fill="auto"/>
            <w:vAlign w:val="center"/>
          </w:tcPr>
          <w:p w14:paraId="298F7E35"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submission adjusted the costs of dapagliflozin over time based on a linear extrapolation of treatment persistence estimates from the dapagliflozin arm of the DAPA-CKD trial.</w:t>
            </w:r>
          </w:p>
          <w:p w14:paraId="00E97141" w14:textId="77777777" w:rsidR="00442BD7" w:rsidRPr="00121962" w:rsidRDefault="00442BD7" w:rsidP="00442BD7">
            <w:pPr>
              <w:jc w:val="left"/>
              <w:rPr>
                <w:rFonts w:ascii="Arial Narrow" w:eastAsiaTheme="majorEastAsia" w:hAnsi="Arial Narrow" w:cstheme="majorBidi"/>
                <w:bCs/>
                <w:sz w:val="20"/>
              </w:rPr>
            </w:pPr>
          </w:p>
          <w:p w14:paraId="16AA6E5B" w14:textId="77777777" w:rsidR="00442BD7" w:rsidRPr="00121962" w:rsidRDefault="00442BD7" w:rsidP="007E19A9">
            <w:pPr>
              <w:jc w:val="left"/>
              <w:rPr>
                <w:rFonts w:ascii="Arial Narrow" w:eastAsiaTheme="majorEastAsia" w:hAnsi="Arial Narrow" w:cstheme="majorBidi"/>
                <w:bCs/>
                <w:i/>
                <w:sz w:val="20"/>
              </w:rPr>
            </w:pPr>
            <w:r w:rsidRPr="00121962">
              <w:rPr>
                <w:rFonts w:ascii="Arial Narrow" w:eastAsiaTheme="majorEastAsia" w:hAnsi="Arial Narrow" w:cstheme="majorBidi"/>
                <w:bCs/>
                <w:iCs/>
                <w:sz w:val="20"/>
              </w:rPr>
              <w:t xml:space="preserve">The application of treatment persistence as a reduction to drug costs only was inappropriate as treatment persistence would also impact the effectiveness and safety of the treatment (i.e. non-persistent patients </w:t>
            </w:r>
            <w:r w:rsidR="00886592" w:rsidRPr="00121962">
              <w:rPr>
                <w:rFonts w:ascii="Arial Narrow" w:eastAsiaTheme="majorEastAsia" w:hAnsi="Arial Narrow" w:cstheme="majorBidi"/>
                <w:bCs/>
                <w:iCs/>
                <w:sz w:val="20"/>
              </w:rPr>
              <w:t xml:space="preserve">would </w:t>
            </w:r>
            <w:r w:rsidRPr="00121962">
              <w:rPr>
                <w:rFonts w:ascii="Arial Narrow" w:eastAsiaTheme="majorEastAsia" w:hAnsi="Arial Narrow" w:cstheme="majorBidi"/>
                <w:bCs/>
                <w:iCs/>
                <w:sz w:val="20"/>
              </w:rPr>
              <w:t>reduce costs but also reduce the benefits/harms of treatment).</w:t>
            </w:r>
            <w:r w:rsidR="00494AA5" w:rsidRPr="00121962">
              <w:rPr>
                <w:rFonts w:ascii="Arial Narrow" w:eastAsiaTheme="majorEastAsia" w:hAnsi="Arial Narrow" w:cstheme="majorBidi"/>
                <w:bCs/>
                <w:iCs/>
                <w:sz w:val="20"/>
              </w:rPr>
              <w:t xml:space="preserve"> The PSCR (pp3-4) argued that efficacy results of the DAPA-CKD trial used in the economic analysis </w:t>
            </w:r>
            <w:r w:rsidR="0077556D" w:rsidRPr="00121962">
              <w:rPr>
                <w:rFonts w:ascii="Arial Narrow" w:eastAsiaTheme="majorEastAsia" w:hAnsi="Arial Narrow" w:cstheme="majorBidi"/>
                <w:bCs/>
                <w:iCs/>
                <w:sz w:val="20"/>
              </w:rPr>
              <w:t xml:space="preserve">were </w:t>
            </w:r>
            <w:r w:rsidR="00494AA5" w:rsidRPr="00121962">
              <w:rPr>
                <w:rFonts w:ascii="Arial Narrow" w:eastAsiaTheme="majorEastAsia" w:hAnsi="Arial Narrow" w:cstheme="majorBidi"/>
                <w:bCs/>
                <w:iCs/>
                <w:sz w:val="20"/>
              </w:rPr>
              <w:t xml:space="preserve">based on an ITT analysis. As such, patients </w:t>
            </w:r>
            <w:r w:rsidR="006648E4" w:rsidRPr="00121962">
              <w:rPr>
                <w:rFonts w:ascii="Arial Narrow" w:eastAsiaTheme="majorEastAsia" w:hAnsi="Arial Narrow" w:cstheme="majorBidi"/>
                <w:bCs/>
                <w:iCs/>
                <w:sz w:val="20"/>
              </w:rPr>
              <w:t>who</w:t>
            </w:r>
            <w:r w:rsidR="00494AA5" w:rsidRPr="00121962">
              <w:rPr>
                <w:rFonts w:ascii="Arial Narrow" w:eastAsiaTheme="majorEastAsia" w:hAnsi="Arial Narrow" w:cstheme="majorBidi"/>
                <w:bCs/>
                <w:iCs/>
                <w:sz w:val="20"/>
              </w:rPr>
              <w:t xml:space="preserve"> discontinued treatment in the trial in the dapagliflozin arm were still included in the analysis for all time-to-event outcomes (including ESKD and death). Therefore, the PSCR claimed</w:t>
            </w:r>
            <w:r w:rsidR="006648E4" w:rsidRPr="00121962">
              <w:rPr>
                <w:rFonts w:ascii="Arial Narrow" w:eastAsiaTheme="majorEastAsia" w:hAnsi="Arial Narrow" w:cstheme="majorBidi"/>
                <w:bCs/>
                <w:iCs/>
                <w:sz w:val="20"/>
              </w:rPr>
              <w:t>,</w:t>
            </w:r>
            <w:r w:rsidR="00494AA5" w:rsidRPr="00121962">
              <w:rPr>
                <w:rFonts w:ascii="Arial Narrow" w:eastAsiaTheme="majorEastAsia" w:hAnsi="Arial Narrow" w:cstheme="majorBidi"/>
                <w:bCs/>
                <w:iCs/>
                <w:sz w:val="20"/>
              </w:rPr>
              <w:t xml:space="preserve"> the impact of treatment persistence on the effectiveness of dapagliflozin was already accounted for in the time-to-event data used in the economic model.</w:t>
            </w:r>
            <w:r w:rsidR="007E19A9" w:rsidRPr="00121962">
              <w:rPr>
                <w:rFonts w:ascii="Arial Narrow" w:eastAsiaTheme="majorEastAsia" w:hAnsi="Arial Narrow" w:cstheme="majorBidi"/>
                <w:bCs/>
                <w:iCs/>
                <w:sz w:val="20"/>
              </w:rPr>
              <w:t xml:space="preserve"> The ESC noted that the model assumed that treatment effects when 87.3% of patients are on treatment at a median follow-up of 18.5 months </w:t>
            </w:r>
            <w:r w:rsidR="0077556D" w:rsidRPr="00121962">
              <w:rPr>
                <w:rFonts w:ascii="Arial Narrow" w:eastAsiaTheme="majorEastAsia" w:hAnsi="Arial Narrow" w:cstheme="majorBidi"/>
                <w:bCs/>
                <w:iCs/>
                <w:sz w:val="20"/>
              </w:rPr>
              <w:t xml:space="preserve">were </w:t>
            </w:r>
            <w:r w:rsidR="007E19A9" w:rsidRPr="00121962">
              <w:rPr>
                <w:rFonts w:ascii="Arial Narrow" w:eastAsiaTheme="majorEastAsia" w:hAnsi="Arial Narrow" w:cstheme="majorBidi"/>
                <w:bCs/>
                <w:iCs/>
                <w:sz w:val="20"/>
              </w:rPr>
              <w:t xml:space="preserve">the same as when 42.3% of patients are on treatment at 15 years, which </w:t>
            </w:r>
            <w:r w:rsidR="0077556D" w:rsidRPr="00121962">
              <w:rPr>
                <w:rFonts w:ascii="Arial Narrow" w:eastAsiaTheme="majorEastAsia" w:hAnsi="Arial Narrow" w:cstheme="majorBidi"/>
                <w:bCs/>
                <w:iCs/>
                <w:sz w:val="20"/>
              </w:rPr>
              <w:t>was</w:t>
            </w:r>
            <w:r w:rsidR="007E19A9" w:rsidRPr="00121962">
              <w:rPr>
                <w:rFonts w:ascii="Arial Narrow" w:eastAsiaTheme="majorEastAsia" w:hAnsi="Arial Narrow" w:cstheme="majorBidi"/>
                <w:bCs/>
                <w:iCs/>
                <w:sz w:val="20"/>
              </w:rPr>
              <w:t xml:space="preserve"> inappropriate, and a major driver of the model.</w:t>
            </w:r>
          </w:p>
        </w:tc>
        <w:tc>
          <w:tcPr>
            <w:tcW w:w="758" w:type="pct"/>
            <w:shd w:val="clear" w:color="auto" w:fill="auto"/>
            <w:vAlign w:val="center"/>
          </w:tcPr>
          <w:p w14:paraId="23586530" w14:textId="77777777"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14:paraId="795D3757" w14:textId="77777777" w:rsidTr="00376E61">
        <w:trPr>
          <w:cantSplit/>
        </w:trPr>
        <w:tc>
          <w:tcPr>
            <w:tcW w:w="626" w:type="pct"/>
            <w:shd w:val="clear" w:color="auto" w:fill="auto"/>
            <w:vAlign w:val="center"/>
          </w:tcPr>
          <w:p w14:paraId="48181B9E"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costs</w:t>
            </w:r>
          </w:p>
        </w:tc>
        <w:tc>
          <w:tcPr>
            <w:tcW w:w="3616" w:type="pct"/>
            <w:shd w:val="clear" w:color="auto" w:fill="auto"/>
            <w:vAlign w:val="center"/>
          </w:tcPr>
          <w:p w14:paraId="5FE85334" w14:textId="77777777" w:rsidR="006648E4" w:rsidRPr="00121962" w:rsidRDefault="007B11BC" w:rsidP="006648E4">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The ESC noted that t</w:t>
            </w:r>
            <w:r w:rsidR="00442BD7" w:rsidRPr="00121962">
              <w:rPr>
                <w:rFonts w:ascii="Arial Narrow" w:eastAsiaTheme="majorEastAsia" w:hAnsi="Arial Narrow" w:cstheme="majorBidi"/>
                <w:bCs/>
                <w:iCs/>
                <w:sz w:val="20"/>
              </w:rPr>
              <w:t>he fixed allocation to treatment modalities in the ESKD state may not accurately reflect the relative exposure to each treatment modality, as patients are likely to switch between treatment modalities over time (e.g. conservative care may be used to temporarily delay the use of renal replacement therapies, dialysis may be used until a transplant becomes available).</w:t>
            </w:r>
            <w:r w:rsidR="006648E4" w:rsidRPr="00121962">
              <w:rPr>
                <w:rFonts w:ascii="Arial Narrow" w:eastAsiaTheme="majorEastAsia" w:hAnsi="Arial Narrow" w:cstheme="majorBidi"/>
                <w:bCs/>
                <w:iCs/>
                <w:sz w:val="20"/>
              </w:rPr>
              <w:t xml:space="preserve"> The PSCR (pp3-4) argued that use of ANZDATA prevalence data to inform the proportion of patients in each ESKD state accounted for fluidity between the different treatment modalities for ESKD</w:t>
            </w:r>
            <w:r w:rsidR="008779A7" w:rsidRPr="00121962">
              <w:rPr>
                <w:rFonts w:ascii="Arial Narrow" w:eastAsiaTheme="majorEastAsia" w:hAnsi="Arial Narrow" w:cstheme="majorBidi"/>
                <w:bCs/>
                <w:iCs/>
                <w:sz w:val="20"/>
              </w:rPr>
              <w:t>, and reiterated that c</w:t>
            </w:r>
            <w:r w:rsidR="006648E4" w:rsidRPr="00121962">
              <w:rPr>
                <w:rFonts w:ascii="Arial Narrow" w:eastAsiaTheme="majorEastAsia" w:hAnsi="Arial Narrow" w:cstheme="majorBidi"/>
                <w:bCs/>
                <w:iCs/>
                <w:sz w:val="20"/>
              </w:rPr>
              <w:t>osts of dialysis were estimated from an Australia-based costing study (Cass et al</w:t>
            </w:r>
            <w:r w:rsidR="008779A7" w:rsidRPr="00121962">
              <w:rPr>
                <w:rFonts w:ascii="Arial Narrow" w:eastAsiaTheme="majorEastAsia" w:hAnsi="Arial Narrow" w:cstheme="majorBidi"/>
                <w:bCs/>
                <w:iCs/>
                <w:sz w:val="20"/>
              </w:rPr>
              <w:t xml:space="preserve">, </w:t>
            </w:r>
            <w:r w:rsidR="006648E4" w:rsidRPr="00121962">
              <w:rPr>
                <w:rFonts w:ascii="Arial Narrow" w:eastAsiaTheme="majorEastAsia" w:hAnsi="Arial Narrow" w:cstheme="majorBidi"/>
                <w:bCs/>
                <w:iCs/>
                <w:sz w:val="20"/>
              </w:rPr>
              <w:t>20</w:t>
            </w:r>
            <w:r w:rsidR="008779A7" w:rsidRPr="00121962">
              <w:rPr>
                <w:rFonts w:ascii="Arial Narrow" w:eastAsiaTheme="majorEastAsia" w:hAnsi="Arial Narrow" w:cstheme="majorBidi"/>
                <w:bCs/>
                <w:iCs/>
                <w:sz w:val="20"/>
              </w:rPr>
              <w:t>1</w:t>
            </w:r>
            <w:r w:rsidR="006648E4" w:rsidRPr="00121962">
              <w:rPr>
                <w:rFonts w:ascii="Arial Narrow" w:eastAsiaTheme="majorEastAsia" w:hAnsi="Arial Narrow" w:cstheme="majorBidi"/>
                <w:bCs/>
                <w:iCs/>
                <w:sz w:val="20"/>
              </w:rPr>
              <w:t>0).</w:t>
            </w:r>
            <w:r w:rsidR="007425E9" w:rsidRPr="00121962">
              <w:rPr>
                <w:rFonts w:ascii="Arial Narrow" w:eastAsiaTheme="majorEastAsia" w:hAnsi="Arial Narrow" w:cstheme="majorBidi"/>
                <w:bCs/>
                <w:iCs/>
                <w:sz w:val="20"/>
              </w:rPr>
              <w:t xml:space="preserve"> The ESC noted </w:t>
            </w:r>
            <w:r w:rsidR="00BE049A" w:rsidRPr="00121962">
              <w:rPr>
                <w:rFonts w:ascii="Arial Narrow" w:eastAsiaTheme="majorEastAsia" w:hAnsi="Arial Narrow" w:cstheme="majorBidi"/>
                <w:bCs/>
                <w:iCs/>
                <w:sz w:val="20"/>
              </w:rPr>
              <w:t xml:space="preserve">that a snapshot of data from </w:t>
            </w:r>
            <w:r w:rsidR="007425E9" w:rsidRPr="00121962">
              <w:rPr>
                <w:rFonts w:ascii="Arial Narrow" w:eastAsiaTheme="majorEastAsia" w:hAnsi="Arial Narrow" w:cstheme="majorBidi"/>
                <w:bCs/>
                <w:iCs/>
                <w:sz w:val="20"/>
              </w:rPr>
              <w:t xml:space="preserve">ANZDATA may not reflect </w:t>
            </w:r>
            <w:r w:rsidR="00691A5D" w:rsidRPr="00121962">
              <w:rPr>
                <w:rFonts w:ascii="Arial Narrow" w:eastAsiaTheme="majorEastAsia" w:hAnsi="Arial Narrow" w:cstheme="majorBidi"/>
                <w:bCs/>
                <w:iCs/>
                <w:sz w:val="20"/>
              </w:rPr>
              <w:t xml:space="preserve">current </w:t>
            </w:r>
            <w:r w:rsidR="000638FB" w:rsidRPr="00121962">
              <w:rPr>
                <w:rFonts w:ascii="Arial Narrow" w:eastAsiaTheme="majorEastAsia" w:hAnsi="Arial Narrow" w:cstheme="majorBidi"/>
                <w:bCs/>
                <w:iCs/>
                <w:sz w:val="20"/>
              </w:rPr>
              <w:t xml:space="preserve">clinical </w:t>
            </w:r>
            <w:r w:rsidR="007425E9" w:rsidRPr="00121962">
              <w:rPr>
                <w:rFonts w:ascii="Arial Narrow" w:eastAsiaTheme="majorEastAsia" w:hAnsi="Arial Narrow" w:cstheme="majorBidi"/>
                <w:bCs/>
                <w:iCs/>
                <w:sz w:val="20"/>
              </w:rPr>
              <w:t xml:space="preserve">practice </w:t>
            </w:r>
            <w:r w:rsidR="00691A5D" w:rsidRPr="00121962">
              <w:rPr>
                <w:rFonts w:ascii="Arial Narrow" w:eastAsiaTheme="majorEastAsia" w:hAnsi="Arial Narrow" w:cstheme="majorBidi"/>
                <w:bCs/>
                <w:iCs/>
                <w:sz w:val="20"/>
              </w:rPr>
              <w:t>as the available longitudinal data from the ANZDATA registry suggest</w:t>
            </w:r>
            <w:r w:rsidR="0077556D" w:rsidRPr="00121962">
              <w:rPr>
                <w:rFonts w:ascii="Arial Narrow" w:eastAsiaTheme="majorEastAsia" w:hAnsi="Arial Narrow" w:cstheme="majorBidi"/>
                <w:bCs/>
                <w:iCs/>
                <w:sz w:val="20"/>
              </w:rPr>
              <w:t>ed</w:t>
            </w:r>
            <w:r w:rsidR="00691A5D" w:rsidRPr="00121962">
              <w:rPr>
                <w:rFonts w:ascii="Arial Narrow" w:eastAsiaTheme="majorEastAsia" w:hAnsi="Arial Narrow" w:cstheme="majorBidi"/>
                <w:bCs/>
                <w:iCs/>
                <w:sz w:val="20"/>
              </w:rPr>
              <w:t xml:space="preserve"> that treatment patterns for ESKD are changing over time</w:t>
            </w:r>
            <w:r w:rsidR="007425E9" w:rsidRPr="00121962">
              <w:rPr>
                <w:rFonts w:ascii="Arial Narrow" w:eastAsiaTheme="majorEastAsia" w:hAnsi="Arial Narrow" w:cstheme="majorBidi"/>
                <w:bCs/>
                <w:iCs/>
                <w:sz w:val="20"/>
              </w:rPr>
              <w:t>.</w:t>
            </w:r>
            <w:r w:rsidR="00CC0FBE" w:rsidRPr="00121962">
              <w:rPr>
                <w:rFonts w:ascii="Arial Narrow" w:eastAsiaTheme="majorEastAsia" w:hAnsi="Arial Narrow" w:cstheme="majorBidi"/>
                <w:bCs/>
                <w:iCs/>
                <w:sz w:val="20"/>
              </w:rPr>
              <w:t xml:space="preserve"> </w:t>
            </w:r>
          </w:p>
          <w:p w14:paraId="6ECCC91B" w14:textId="77777777" w:rsidR="00442BD7" w:rsidRPr="00121962" w:rsidRDefault="00442BD7" w:rsidP="00442BD7">
            <w:pPr>
              <w:jc w:val="left"/>
              <w:rPr>
                <w:rFonts w:ascii="Arial Narrow" w:eastAsiaTheme="majorEastAsia" w:hAnsi="Arial Narrow" w:cstheme="majorBidi"/>
                <w:bCs/>
                <w:sz w:val="20"/>
              </w:rPr>
            </w:pPr>
          </w:p>
          <w:p w14:paraId="414BFB22" w14:textId="77777777" w:rsidR="00442BD7" w:rsidRPr="00121962" w:rsidRDefault="007B11BC"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ESC considered that t</w:t>
            </w:r>
            <w:r w:rsidR="00442BD7" w:rsidRPr="00121962">
              <w:rPr>
                <w:rFonts w:ascii="Arial Narrow" w:eastAsiaTheme="majorEastAsia" w:hAnsi="Arial Narrow" w:cstheme="majorBidi"/>
                <w:bCs/>
                <w:sz w:val="20"/>
              </w:rPr>
              <w:t>he cost of dialysis was overestimated as it did not account for the use of haemodialysis in satellite treatment centres (the predominant form of dialysis used in clinical practice).</w:t>
            </w:r>
            <w:r w:rsidR="000638FB" w:rsidRPr="00121962">
              <w:rPr>
                <w:rFonts w:ascii="Arial Narrow" w:eastAsiaTheme="majorEastAsia" w:hAnsi="Arial Narrow" w:cstheme="majorBidi"/>
                <w:bCs/>
                <w:sz w:val="20"/>
              </w:rPr>
              <w:t xml:space="preserve"> </w:t>
            </w:r>
          </w:p>
          <w:p w14:paraId="1AEE179A" w14:textId="77777777" w:rsidR="00442BD7" w:rsidRPr="00121962" w:rsidRDefault="00442BD7" w:rsidP="00442BD7">
            <w:pPr>
              <w:jc w:val="left"/>
              <w:rPr>
                <w:rFonts w:ascii="Arial Narrow" w:eastAsiaTheme="majorEastAsia" w:hAnsi="Arial Narrow" w:cstheme="majorBidi"/>
                <w:bCs/>
                <w:sz w:val="20"/>
              </w:rPr>
            </w:pPr>
          </w:p>
          <w:p w14:paraId="3B0C3707" w14:textId="77777777"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ESKD treatment costs were based on older data, and relied on large inflation factors</w:t>
            </w:r>
            <w:r w:rsidR="007B11BC"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t>
            </w:r>
            <w:r w:rsidR="007B11BC" w:rsidRPr="00121962">
              <w:rPr>
                <w:rFonts w:ascii="Arial Narrow" w:eastAsiaTheme="majorEastAsia" w:hAnsi="Arial Narrow" w:cstheme="majorBidi"/>
                <w:bCs/>
                <w:iCs/>
                <w:sz w:val="20"/>
              </w:rPr>
              <w:t xml:space="preserve">the ESC considered </w:t>
            </w:r>
            <w:r w:rsidR="0077556D" w:rsidRPr="00121962">
              <w:rPr>
                <w:rFonts w:ascii="Arial Narrow" w:eastAsiaTheme="majorEastAsia" w:hAnsi="Arial Narrow" w:cstheme="majorBidi"/>
                <w:bCs/>
                <w:iCs/>
                <w:sz w:val="20"/>
              </w:rPr>
              <w:t xml:space="preserve">did </w:t>
            </w:r>
            <w:r w:rsidRPr="00121962">
              <w:rPr>
                <w:rFonts w:ascii="Arial Narrow" w:eastAsiaTheme="majorEastAsia" w:hAnsi="Arial Narrow" w:cstheme="majorBidi"/>
                <w:bCs/>
                <w:iCs/>
                <w:sz w:val="20"/>
              </w:rPr>
              <w:t>not reflect current costs in clinical practice.</w:t>
            </w:r>
          </w:p>
          <w:p w14:paraId="5EA7D757" w14:textId="77777777" w:rsidR="00442BD7" w:rsidRPr="00121962" w:rsidRDefault="00442BD7" w:rsidP="00442BD7">
            <w:pPr>
              <w:jc w:val="left"/>
              <w:rPr>
                <w:rFonts w:ascii="Arial Narrow" w:eastAsiaTheme="majorEastAsia" w:hAnsi="Arial Narrow" w:cstheme="majorBidi"/>
                <w:bCs/>
                <w:sz w:val="20"/>
              </w:rPr>
            </w:pPr>
          </w:p>
          <w:p w14:paraId="67FD0F9A"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iCs/>
                <w:sz w:val="20"/>
              </w:rPr>
              <w:t>The submission included separate cost items for ESKD monitoring, which appeared to double count the costs associated with clinician review and laboratory monitoring, which were included in source data informing ESKD treatment costs</w:t>
            </w:r>
            <w:r w:rsidRPr="00121962">
              <w:rPr>
                <w:rFonts w:ascii="Arial Narrow" w:eastAsiaTheme="majorEastAsia" w:hAnsi="Arial Narrow" w:cstheme="majorBidi"/>
                <w:bCs/>
                <w:sz w:val="20"/>
              </w:rPr>
              <w:t>.</w:t>
            </w:r>
          </w:p>
        </w:tc>
        <w:tc>
          <w:tcPr>
            <w:tcW w:w="758" w:type="pct"/>
            <w:shd w:val="clear" w:color="auto" w:fill="auto"/>
            <w:vAlign w:val="center"/>
          </w:tcPr>
          <w:p w14:paraId="724C6F78" w14:textId="77777777"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bl>
    <w:p w14:paraId="0821026A"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Constructed during the evaluation.</w:t>
      </w:r>
    </w:p>
    <w:p w14:paraId="75664F15" w14:textId="77777777" w:rsidR="00442BD7" w:rsidRDefault="00442BD7" w:rsidP="007034BB">
      <w:pPr>
        <w:contextualSpacing/>
        <w:rPr>
          <w:rFonts w:ascii="Arial Narrow" w:hAnsi="Arial Narrow"/>
          <w:snapToGrid w:val="0"/>
          <w:sz w:val="18"/>
          <w:szCs w:val="22"/>
        </w:rPr>
      </w:pPr>
      <w:r w:rsidRPr="00121962">
        <w:rPr>
          <w:rFonts w:ascii="Arial Narrow" w:hAnsi="Arial Narrow"/>
          <w:snapToGrid w:val="0"/>
          <w:sz w:val="18"/>
          <w:szCs w:val="22"/>
        </w:rPr>
        <w:t>CKD, chronic kidney disease; ESKD, end-stage kidney disease</w:t>
      </w:r>
      <w:r w:rsidR="00BD5575" w:rsidRPr="00121962">
        <w:rPr>
          <w:rFonts w:ascii="Arial Narrow" w:hAnsi="Arial Narrow"/>
          <w:snapToGrid w:val="0"/>
          <w:sz w:val="18"/>
          <w:szCs w:val="22"/>
        </w:rPr>
        <w:t>; SOC, standard of care</w:t>
      </w:r>
    </w:p>
    <w:p w14:paraId="70F4C9C5" w14:textId="77777777" w:rsidR="007034BB" w:rsidRDefault="007034BB" w:rsidP="007034BB">
      <w:pPr>
        <w:pStyle w:val="TableFigureFooter"/>
        <w:spacing w:after="0"/>
        <w:contextualSpacing w:val="0"/>
        <w:rPr>
          <w:i/>
        </w:rPr>
      </w:pPr>
      <w:r w:rsidRPr="009868C4">
        <w:rPr>
          <w:i/>
        </w:rPr>
        <w:t>The redacted values correspond to the following ranges</w:t>
      </w:r>
      <w:r>
        <w:rPr>
          <w:i/>
        </w:rPr>
        <w:t xml:space="preserve">: </w:t>
      </w:r>
    </w:p>
    <w:p w14:paraId="79ED6F31" w14:textId="77777777" w:rsidR="007034BB" w:rsidRPr="00870C5D" w:rsidRDefault="007034BB" w:rsidP="007034BB">
      <w:pPr>
        <w:pStyle w:val="TableFigureFooter"/>
        <w:spacing w:after="0"/>
        <w:contextualSpacing w:val="0"/>
      </w:pPr>
      <w:r>
        <w:rPr>
          <w:i/>
          <w:vertAlign w:val="superscript"/>
        </w:rPr>
        <w:t>1</w:t>
      </w:r>
      <w:r>
        <w:rPr>
          <w:i/>
        </w:rPr>
        <w:t xml:space="preserve"> </w:t>
      </w:r>
      <w:r w:rsidRPr="007034BB">
        <w:rPr>
          <w:i/>
        </w:rPr>
        <w:t>$0 to &lt; $5,000</w:t>
      </w:r>
    </w:p>
    <w:p w14:paraId="24CFA8E8" w14:textId="77777777" w:rsidR="007034BB" w:rsidRPr="00121962" w:rsidRDefault="007034BB" w:rsidP="00442BD7">
      <w:pPr>
        <w:spacing w:after="120"/>
        <w:contextualSpacing/>
        <w:rPr>
          <w:rFonts w:ascii="Arial Narrow" w:hAnsi="Arial Narrow"/>
          <w:snapToGrid w:val="0"/>
          <w:sz w:val="18"/>
          <w:szCs w:val="22"/>
        </w:rPr>
      </w:pPr>
    </w:p>
    <w:p w14:paraId="4D8F9ABB" w14:textId="77777777" w:rsidR="00A52492" w:rsidRPr="00121962" w:rsidRDefault="00A52492" w:rsidP="00BF1CC8">
      <w:pPr>
        <w:pStyle w:val="ExecSumBodyText"/>
      </w:pPr>
      <w:r w:rsidRPr="00121962">
        <w:t>The table below summarises the incremental costs for health care resource items used in the economic evaluation.</w:t>
      </w:r>
    </w:p>
    <w:p w14:paraId="192FD898" w14:textId="77777777" w:rsidR="00A52492" w:rsidRPr="00121962" w:rsidRDefault="00A52492" w:rsidP="00A52492">
      <w:pPr>
        <w:pStyle w:val="TableHeading"/>
      </w:pPr>
      <w:r w:rsidRPr="00121962">
        <w:t xml:space="preserve">Table </w:t>
      </w:r>
      <w:r w:rsidR="00E51973">
        <w:rPr>
          <w:noProof/>
        </w:rPr>
        <w:t>11</w:t>
      </w:r>
      <w:r w:rsidRPr="00121962">
        <w:t>: Disaggregated summary of cost impacts (discounted) in the economic evaluation</w:t>
      </w:r>
    </w:p>
    <w:tbl>
      <w:tblPr>
        <w:tblStyle w:val="TableGrid"/>
        <w:tblW w:w="5000" w:type="pct"/>
        <w:tblLook w:val="04A0" w:firstRow="1" w:lastRow="0" w:firstColumn="1" w:lastColumn="0" w:noHBand="0" w:noVBand="1"/>
        <w:tblCaption w:val="Table 11: Disaggregated summary of cost impacts (discounted) in the economic evaluation"/>
      </w:tblPr>
      <w:tblGrid>
        <w:gridCol w:w="2255"/>
        <w:gridCol w:w="2254"/>
        <w:gridCol w:w="2254"/>
        <w:gridCol w:w="2254"/>
      </w:tblGrid>
      <w:tr w:rsidR="00A52492" w:rsidRPr="00121962" w14:paraId="639F39AA" w14:textId="77777777" w:rsidTr="0013522E">
        <w:trPr>
          <w:tblHeader/>
        </w:trPr>
        <w:tc>
          <w:tcPr>
            <w:tcW w:w="2255" w:type="dxa"/>
          </w:tcPr>
          <w:p w14:paraId="5B94FED5" w14:textId="77777777" w:rsidR="00A52492" w:rsidRPr="00121962" w:rsidRDefault="00A52492" w:rsidP="0061564C">
            <w:pPr>
              <w:pStyle w:val="TableText"/>
              <w:rPr>
                <w:b/>
                <w:bCs w:val="0"/>
                <w:szCs w:val="20"/>
              </w:rPr>
            </w:pPr>
            <w:r w:rsidRPr="00121962">
              <w:rPr>
                <w:b/>
                <w:bCs w:val="0"/>
                <w:szCs w:val="20"/>
              </w:rPr>
              <w:t>Cost description</w:t>
            </w:r>
          </w:p>
        </w:tc>
        <w:tc>
          <w:tcPr>
            <w:tcW w:w="2254" w:type="dxa"/>
            <w:vAlign w:val="center"/>
          </w:tcPr>
          <w:p w14:paraId="7E011362" w14:textId="77777777" w:rsidR="00A52492" w:rsidRPr="00121962" w:rsidRDefault="00A52492" w:rsidP="0061564C">
            <w:pPr>
              <w:pStyle w:val="TableText"/>
              <w:jc w:val="center"/>
              <w:rPr>
                <w:b/>
                <w:bCs w:val="0"/>
                <w:szCs w:val="20"/>
              </w:rPr>
            </w:pPr>
            <w:r w:rsidRPr="00121962">
              <w:rPr>
                <w:b/>
                <w:bCs w:val="0"/>
                <w:szCs w:val="20"/>
              </w:rPr>
              <w:t>Dapagliflozin + SOC</w:t>
            </w:r>
          </w:p>
        </w:tc>
        <w:tc>
          <w:tcPr>
            <w:tcW w:w="2254" w:type="dxa"/>
            <w:vAlign w:val="center"/>
          </w:tcPr>
          <w:p w14:paraId="0A5186EC" w14:textId="77777777" w:rsidR="00A52492" w:rsidRPr="00121962" w:rsidRDefault="00A52492" w:rsidP="0061564C">
            <w:pPr>
              <w:pStyle w:val="TableText"/>
              <w:jc w:val="center"/>
              <w:rPr>
                <w:b/>
                <w:bCs w:val="0"/>
                <w:szCs w:val="20"/>
              </w:rPr>
            </w:pPr>
            <w:r w:rsidRPr="00121962">
              <w:rPr>
                <w:b/>
                <w:bCs w:val="0"/>
                <w:szCs w:val="20"/>
              </w:rPr>
              <w:t>Standard of care</w:t>
            </w:r>
          </w:p>
        </w:tc>
        <w:tc>
          <w:tcPr>
            <w:tcW w:w="2254" w:type="dxa"/>
            <w:vAlign w:val="center"/>
          </w:tcPr>
          <w:p w14:paraId="74B1C9FF" w14:textId="77777777" w:rsidR="00A52492" w:rsidRPr="00121962" w:rsidRDefault="00A52492" w:rsidP="0061564C">
            <w:pPr>
              <w:pStyle w:val="TableText"/>
              <w:jc w:val="center"/>
              <w:rPr>
                <w:b/>
                <w:bCs w:val="0"/>
                <w:szCs w:val="20"/>
              </w:rPr>
            </w:pPr>
            <w:r w:rsidRPr="00121962">
              <w:rPr>
                <w:b/>
                <w:bCs w:val="0"/>
                <w:szCs w:val="20"/>
              </w:rPr>
              <w:t>Increment</w:t>
            </w:r>
          </w:p>
        </w:tc>
      </w:tr>
      <w:tr w:rsidR="00A52492" w:rsidRPr="00121962" w14:paraId="01160D28" w14:textId="77777777" w:rsidTr="0061564C">
        <w:tc>
          <w:tcPr>
            <w:tcW w:w="2255" w:type="dxa"/>
          </w:tcPr>
          <w:p w14:paraId="6E741CAD" w14:textId="77777777" w:rsidR="00A52492" w:rsidRPr="00121962" w:rsidRDefault="00A52492" w:rsidP="0061564C">
            <w:pPr>
              <w:pStyle w:val="TableText"/>
              <w:rPr>
                <w:szCs w:val="20"/>
              </w:rPr>
            </w:pPr>
            <w:r w:rsidRPr="00121962">
              <w:rPr>
                <w:szCs w:val="20"/>
              </w:rPr>
              <w:t>Treatment costs</w:t>
            </w:r>
          </w:p>
        </w:tc>
        <w:tc>
          <w:tcPr>
            <w:tcW w:w="2254" w:type="dxa"/>
            <w:vAlign w:val="center"/>
          </w:tcPr>
          <w:p w14:paraId="777D0497"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12261CDA" w14:textId="77777777" w:rsidR="00A52492" w:rsidRPr="00121962" w:rsidRDefault="00A52492" w:rsidP="0061564C">
            <w:pPr>
              <w:pStyle w:val="TableText"/>
              <w:jc w:val="center"/>
              <w:rPr>
                <w:szCs w:val="20"/>
              </w:rPr>
            </w:pPr>
            <w:r w:rsidRPr="00121962">
              <w:rPr>
                <w:szCs w:val="20"/>
              </w:rPr>
              <w:t>$1,407</w:t>
            </w:r>
          </w:p>
        </w:tc>
        <w:tc>
          <w:tcPr>
            <w:tcW w:w="2254" w:type="dxa"/>
            <w:vAlign w:val="center"/>
          </w:tcPr>
          <w:p w14:paraId="5B2DA4BF"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797D210" w14:textId="77777777" w:rsidTr="0061564C">
        <w:tc>
          <w:tcPr>
            <w:tcW w:w="2255" w:type="dxa"/>
          </w:tcPr>
          <w:p w14:paraId="46035BDF" w14:textId="77777777" w:rsidR="00A52492" w:rsidRPr="00121962" w:rsidRDefault="00A52492" w:rsidP="0061564C">
            <w:pPr>
              <w:pStyle w:val="TableText"/>
              <w:rPr>
                <w:szCs w:val="20"/>
              </w:rPr>
            </w:pPr>
            <w:r w:rsidRPr="00121962">
              <w:rPr>
                <w:szCs w:val="20"/>
              </w:rPr>
              <w:t>- Dapagliflozin</w:t>
            </w:r>
          </w:p>
        </w:tc>
        <w:tc>
          <w:tcPr>
            <w:tcW w:w="2254" w:type="dxa"/>
            <w:vAlign w:val="center"/>
          </w:tcPr>
          <w:p w14:paraId="09E85787"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317288FF" w14:textId="77777777" w:rsidR="00A52492" w:rsidRPr="00121962" w:rsidRDefault="00A52492" w:rsidP="0061564C">
            <w:pPr>
              <w:pStyle w:val="TableText"/>
              <w:jc w:val="center"/>
              <w:rPr>
                <w:szCs w:val="20"/>
              </w:rPr>
            </w:pPr>
            <w:r w:rsidRPr="00121962">
              <w:rPr>
                <w:szCs w:val="20"/>
              </w:rPr>
              <w:t>$0</w:t>
            </w:r>
          </w:p>
        </w:tc>
        <w:tc>
          <w:tcPr>
            <w:tcW w:w="2254" w:type="dxa"/>
            <w:vAlign w:val="center"/>
          </w:tcPr>
          <w:p w14:paraId="11FE65E6"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42D7C5DB" w14:textId="77777777" w:rsidTr="0061564C">
        <w:tc>
          <w:tcPr>
            <w:tcW w:w="2255" w:type="dxa"/>
          </w:tcPr>
          <w:p w14:paraId="4662A1C7" w14:textId="77777777" w:rsidR="00A52492" w:rsidRPr="00121962" w:rsidRDefault="00A52492" w:rsidP="0061564C">
            <w:pPr>
              <w:pStyle w:val="TableText"/>
              <w:rPr>
                <w:szCs w:val="20"/>
              </w:rPr>
            </w:pPr>
            <w:r w:rsidRPr="00121962">
              <w:rPr>
                <w:szCs w:val="20"/>
              </w:rPr>
              <w:t>- Standard of care</w:t>
            </w:r>
          </w:p>
        </w:tc>
        <w:tc>
          <w:tcPr>
            <w:tcW w:w="2254" w:type="dxa"/>
            <w:vAlign w:val="center"/>
          </w:tcPr>
          <w:p w14:paraId="50E533B2"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03FD1CCB" w14:textId="77777777" w:rsidR="00A52492" w:rsidRPr="00121962" w:rsidRDefault="00A52492" w:rsidP="0061564C">
            <w:pPr>
              <w:pStyle w:val="TableText"/>
              <w:jc w:val="center"/>
              <w:rPr>
                <w:szCs w:val="20"/>
              </w:rPr>
            </w:pPr>
            <w:r w:rsidRPr="00121962">
              <w:rPr>
                <w:szCs w:val="20"/>
              </w:rPr>
              <w:t>$1,407</w:t>
            </w:r>
          </w:p>
        </w:tc>
        <w:tc>
          <w:tcPr>
            <w:tcW w:w="2254" w:type="dxa"/>
            <w:vAlign w:val="center"/>
          </w:tcPr>
          <w:p w14:paraId="20464528"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D21652F" w14:textId="77777777" w:rsidTr="0061564C">
        <w:tc>
          <w:tcPr>
            <w:tcW w:w="2255" w:type="dxa"/>
          </w:tcPr>
          <w:p w14:paraId="6ACE307B" w14:textId="77777777" w:rsidR="00A52492" w:rsidRPr="00121962" w:rsidRDefault="00A52492" w:rsidP="0061564C">
            <w:pPr>
              <w:pStyle w:val="TableText"/>
              <w:rPr>
                <w:szCs w:val="20"/>
              </w:rPr>
            </w:pPr>
            <w:r w:rsidRPr="00121962">
              <w:rPr>
                <w:szCs w:val="20"/>
              </w:rPr>
              <w:t>Monitoring</w:t>
            </w:r>
          </w:p>
        </w:tc>
        <w:tc>
          <w:tcPr>
            <w:tcW w:w="2254" w:type="dxa"/>
            <w:vAlign w:val="center"/>
          </w:tcPr>
          <w:p w14:paraId="0326DB4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04B7826C" w14:textId="77777777" w:rsidR="00A52492" w:rsidRPr="00121962" w:rsidRDefault="00A52492" w:rsidP="0061564C">
            <w:pPr>
              <w:pStyle w:val="TableText"/>
              <w:jc w:val="center"/>
              <w:rPr>
                <w:szCs w:val="20"/>
              </w:rPr>
            </w:pPr>
            <w:r w:rsidRPr="00121962">
              <w:rPr>
                <w:szCs w:val="20"/>
              </w:rPr>
              <w:t>$13,523</w:t>
            </w:r>
          </w:p>
        </w:tc>
        <w:tc>
          <w:tcPr>
            <w:tcW w:w="2254" w:type="dxa"/>
            <w:vAlign w:val="center"/>
          </w:tcPr>
          <w:p w14:paraId="0F13293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52BC6C0" w14:textId="77777777" w:rsidTr="0061564C">
        <w:tc>
          <w:tcPr>
            <w:tcW w:w="2255" w:type="dxa"/>
          </w:tcPr>
          <w:p w14:paraId="3533A5D6" w14:textId="77777777" w:rsidR="00A52492" w:rsidRPr="00121962" w:rsidRDefault="00A52492" w:rsidP="0061564C">
            <w:pPr>
              <w:pStyle w:val="TableText"/>
              <w:rPr>
                <w:szCs w:val="20"/>
              </w:rPr>
            </w:pPr>
            <w:r w:rsidRPr="00121962">
              <w:rPr>
                <w:szCs w:val="20"/>
              </w:rPr>
              <w:t>- CKD monitoring</w:t>
            </w:r>
          </w:p>
        </w:tc>
        <w:tc>
          <w:tcPr>
            <w:tcW w:w="2254" w:type="dxa"/>
            <w:vAlign w:val="center"/>
          </w:tcPr>
          <w:p w14:paraId="196DD83D"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260D594E" w14:textId="77777777" w:rsidR="00A52492" w:rsidRPr="00121962" w:rsidRDefault="00A52492" w:rsidP="0061564C">
            <w:pPr>
              <w:pStyle w:val="TableText"/>
              <w:jc w:val="center"/>
              <w:rPr>
                <w:szCs w:val="20"/>
              </w:rPr>
            </w:pPr>
            <w:r w:rsidRPr="00121962">
              <w:rPr>
                <w:szCs w:val="20"/>
              </w:rPr>
              <w:t>$7,623</w:t>
            </w:r>
          </w:p>
        </w:tc>
        <w:tc>
          <w:tcPr>
            <w:tcW w:w="2254" w:type="dxa"/>
            <w:vAlign w:val="center"/>
          </w:tcPr>
          <w:p w14:paraId="6927C134"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540405BA" w14:textId="77777777" w:rsidTr="0061564C">
        <w:tc>
          <w:tcPr>
            <w:tcW w:w="2255" w:type="dxa"/>
          </w:tcPr>
          <w:p w14:paraId="6B748BF0" w14:textId="77777777" w:rsidR="00A52492" w:rsidRPr="00121962" w:rsidRDefault="00A52492" w:rsidP="0061564C">
            <w:pPr>
              <w:pStyle w:val="TableText"/>
              <w:rPr>
                <w:szCs w:val="20"/>
              </w:rPr>
            </w:pPr>
            <w:r w:rsidRPr="00121962">
              <w:rPr>
                <w:szCs w:val="20"/>
              </w:rPr>
              <w:t>- ESKD monitoring</w:t>
            </w:r>
          </w:p>
        </w:tc>
        <w:tc>
          <w:tcPr>
            <w:tcW w:w="2254" w:type="dxa"/>
            <w:vAlign w:val="center"/>
          </w:tcPr>
          <w:p w14:paraId="71296E5F"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5D7C19D6" w14:textId="77777777" w:rsidR="00A52492" w:rsidRPr="00121962" w:rsidRDefault="00A52492" w:rsidP="0061564C">
            <w:pPr>
              <w:pStyle w:val="TableText"/>
              <w:jc w:val="center"/>
              <w:rPr>
                <w:szCs w:val="20"/>
              </w:rPr>
            </w:pPr>
            <w:r w:rsidRPr="00121962">
              <w:rPr>
                <w:szCs w:val="20"/>
              </w:rPr>
              <w:t>$5,900</w:t>
            </w:r>
          </w:p>
        </w:tc>
        <w:tc>
          <w:tcPr>
            <w:tcW w:w="2254" w:type="dxa"/>
            <w:vAlign w:val="center"/>
          </w:tcPr>
          <w:p w14:paraId="7CF81329"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348FBD7" w14:textId="77777777" w:rsidTr="0061564C">
        <w:tc>
          <w:tcPr>
            <w:tcW w:w="2255" w:type="dxa"/>
          </w:tcPr>
          <w:p w14:paraId="395C97E6" w14:textId="77777777" w:rsidR="00A52492" w:rsidRPr="00121962" w:rsidRDefault="00A52492" w:rsidP="0061564C">
            <w:pPr>
              <w:pStyle w:val="TableText"/>
              <w:rPr>
                <w:szCs w:val="20"/>
              </w:rPr>
            </w:pPr>
            <w:r w:rsidRPr="00121962">
              <w:rPr>
                <w:szCs w:val="20"/>
              </w:rPr>
              <w:t>ESKD management</w:t>
            </w:r>
          </w:p>
        </w:tc>
        <w:tc>
          <w:tcPr>
            <w:tcW w:w="2254" w:type="dxa"/>
            <w:vAlign w:val="center"/>
          </w:tcPr>
          <w:p w14:paraId="303C188A"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0C8632A3" w14:textId="77777777" w:rsidR="00A52492" w:rsidRPr="00121962" w:rsidRDefault="00A52492" w:rsidP="0061564C">
            <w:pPr>
              <w:pStyle w:val="TableText"/>
              <w:jc w:val="center"/>
              <w:rPr>
                <w:szCs w:val="20"/>
              </w:rPr>
            </w:pPr>
            <w:r w:rsidRPr="00121962">
              <w:rPr>
                <w:szCs w:val="20"/>
              </w:rPr>
              <w:t>$125,762</w:t>
            </w:r>
          </w:p>
        </w:tc>
        <w:tc>
          <w:tcPr>
            <w:tcW w:w="2254" w:type="dxa"/>
            <w:vAlign w:val="center"/>
          </w:tcPr>
          <w:p w14:paraId="13515C27"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7B4B0784" w14:textId="77777777" w:rsidTr="0061564C">
        <w:tc>
          <w:tcPr>
            <w:tcW w:w="2255" w:type="dxa"/>
          </w:tcPr>
          <w:p w14:paraId="11F23F60" w14:textId="77777777" w:rsidR="00A52492" w:rsidRPr="00121962" w:rsidRDefault="00A52492" w:rsidP="0061564C">
            <w:pPr>
              <w:pStyle w:val="TableText"/>
              <w:rPr>
                <w:szCs w:val="20"/>
              </w:rPr>
            </w:pPr>
            <w:r w:rsidRPr="00121962">
              <w:rPr>
                <w:szCs w:val="20"/>
              </w:rPr>
              <w:t>- conservative management</w:t>
            </w:r>
          </w:p>
        </w:tc>
        <w:tc>
          <w:tcPr>
            <w:tcW w:w="2254" w:type="dxa"/>
            <w:vAlign w:val="center"/>
          </w:tcPr>
          <w:p w14:paraId="1575F84E"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69C3852D" w14:textId="77777777" w:rsidR="00A52492" w:rsidRPr="00121962" w:rsidRDefault="00A52492" w:rsidP="0061564C">
            <w:pPr>
              <w:pStyle w:val="TableText"/>
              <w:jc w:val="center"/>
              <w:rPr>
                <w:szCs w:val="20"/>
              </w:rPr>
            </w:pPr>
            <w:r w:rsidRPr="00121962">
              <w:rPr>
                <w:szCs w:val="20"/>
              </w:rPr>
              <w:t>$4,790</w:t>
            </w:r>
          </w:p>
        </w:tc>
        <w:tc>
          <w:tcPr>
            <w:tcW w:w="2254" w:type="dxa"/>
            <w:vAlign w:val="center"/>
          </w:tcPr>
          <w:p w14:paraId="0CD8FC12"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C22450F" w14:textId="77777777" w:rsidTr="0061564C">
        <w:tc>
          <w:tcPr>
            <w:tcW w:w="2255" w:type="dxa"/>
          </w:tcPr>
          <w:p w14:paraId="086C5003" w14:textId="77777777" w:rsidR="00A52492" w:rsidRPr="00121962" w:rsidRDefault="00A52492" w:rsidP="0061564C">
            <w:pPr>
              <w:pStyle w:val="TableText"/>
              <w:rPr>
                <w:szCs w:val="20"/>
              </w:rPr>
            </w:pPr>
            <w:r w:rsidRPr="00121962">
              <w:rPr>
                <w:szCs w:val="20"/>
              </w:rPr>
              <w:t>- dialysis</w:t>
            </w:r>
          </w:p>
        </w:tc>
        <w:tc>
          <w:tcPr>
            <w:tcW w:w="2254" w:type="dxa"/>
            <w:vAlign w:val="center"/>
          </w:tcPr>
          <w:p w14:paraId="3E463CB6"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2793DFBF" w14:textId="77777777" w:rsidR="00A52492" w:rsidRPr="00121962" w:rsidRDefault="00A52492" w:rsidP="0061564C">
            <w:pPr>
              <w:pStyle w:val="TableText"/>
              <w:jc w:val="center"/>
              <w:rPr>
                <w:szCs w:val="20"/>
              </w:rPr>
            </w:pPr>
            <w:r w:rsidRPr="00121962">
              <w:rPr>
                <w:szCs w:val="20"/>
              </w:rPr>
              <w:t>$88,902</w:t>
            </w:r>
          </w:p>
        </w:tc>
        <w:tc>
          <w:tcPr>
            <w:tcW w:w="2254" w:type="dxa"/>
            <w:vAlign w:val="center"/>
          </w:tcPr>
          <w:p w14:paraId="6EFB5CC1"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8A9B7C7" w14:textId="77777777" w:rsidTr="0061564C">
        <w:tc>
          <w:tcPr>
            <w:tcW w:w="2255" w:type="dxa"/>
          </w:tcPr>
          <w:p w14:paraId="09C02E7D" w14:textId="77777777" w:rsidR="00A52492" w:rsidRPr="00121962" w:rsidRDefault="00A52492" w:rsidP="0061564C">
            <w:pPr>
              <w:pStyle w:val="TableText"/>
              <w:rPr>
                <w:szCs w:val="20"/>
              </w:rPr>
            </w:pPr>
            <w:r w:rsidRPr="00121962">
              <w:rPr>
                <w:szCs w:val="20"/>
              </w:rPr>
              <w:t>- transplant (initial)</w:t>
            </w:r>
          </w:p>
        </w:tc>
        <w:tc>
          <w:tcPr>
            <w:tcW w:w="2254" w:type="dxa"/>
            <w:vAlign w:val="center"/>
          </w:tcPr>
          <w:p w14:paraId="2CC4235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7B8B8CD9" w14:textId="77777777" w:rsidR="00A52492" w:rsidRPr="00121962" w:rsidRDefault="00A52492" w:rsidP="0061564C">
            <w:pPr>
              <w:pStyle w:val="TableText"/>
              <w:jc w:val="center"/>
              <w:rPr>
                <w:szCs w:val="20"/>
              </w:rPr>
            </w:pPr>
            <w:r w:rsidRPr="00121962">
              <w:rPr>
                <w:szCs w:val="20"/>
              </w:rPr>
              <w:t>$19,621</w:t>
            </w:r>
          </w:p>
        </w:tc>
        <w:tc>
          <w:tcPr>
            <w:tcW w:w="2254" w:type="dxa"/>
            <w:vAlign w:val="center"/>
          </w:tcPr>
          <w:p w14:paraId="33A76A67"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4D1A56E" w14:textId="77777777" w:rsidTr="0061564C">
        <w:tc>
          <w:tcPr>
            <w:tcW w:w="2255" w:type="dxa"/>
          </w:tcPr>
          <w:p w14:paraId="61FC1645" w14:textId="77777777" w:rsidR="00A52492" w:rsidRPr="00121962" w:rsidRDefault="00A52492" w:rsidP="0061564C">
            <w:pPr>
              <w:pStyle w:val="TableText"/>
              <w:rPr>
                <w:szCs w:val="20"/>
              </w:rPr>
            </w:pPr>
            <w:r w:rsidRPr="00121962">
              <w:rPr>
                <w:szCs w:val="20"/>
              </w:rPr>
              <w:t>- transplant (ongoing)</w:t>
            </w:r>
          </w:p>
        </w:tc>
        <w:tc>
          <w:tcPr>
            <w:tcW w:w="2254" w:type="dxa"/>
            <w:vAlign w:val="center"/>
          </w:tcPr>
          <w:p w14:paraId="1EEF522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5E2E4F2B" w14:textId="77777777" w:rsidR="00A52492" w:rsidRPr="00121962" w:rsidRDefault="00A52492" w:rsidP="0061564C">
            <w:pPr>
              <w:pStyle w:val="TableText"/>
              <w:jc w:val="center"/>
              <w:rPr>
                <w:szCs w:val="20"/>
              </w:rPr>
            </w:pPr>
            <w:r w:rsidRPr="00121962">
              <w:rPr>
                <w:szCs w:val="20"/>
              </w:rPr>
              <w:t>$12,449</w:t>
            </w:r>
          </w:p>
        </w:tc>
        <w:tc>
          <w:tcPr>
            <w:tcW w:w="2254" w:type="dxa"/>
            <w:vAlign w:val="center"/>
          </w:tcPr>
          <w:p w14:paraId="31A011A5"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5340E94F" w14:textId="77777777" w:rsidTr="0061564C">
        <w:tc>
          <w:tcPr>
            <w:tcW w:w="2255" w:type="dxa"/>
          </w:tcPr>
          <w:p w14:paraId="59C45988" w14:textId="77777777" w:rsidR="00A52492" w:rsidRPr="00121962" w:rsidRDefault="00A52492" w:rsidP="0061564C">
            <w:pPr>
              <w:pStyle w:val="TableText"/>
              <w:rPr>
                <w:szCs w:val="20"/>
              </w:rPr>
            </w:pPr>
            <w:r w:rsidRPr="00121962">
              <w:rPr>
                <w:szCs w:val="20"/>
              </w:rPr>
              <w:t>Adverse events</w:t>
            </w:r>
          </w:p>
        </w:tc>
        <w:tc>
          <w:tcPr>
            <w:tcW w:w="2254" w:type="dxa"/>
            <w:vAlign w:val="center"/>
          </w:tcPr>
          <w:p w14:paraId="5CAB97D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3DEBE57F" w14:textId="77777777" w:rsidR="00A52492" w:rsidRPr="00121962" w:rsidRDefault="00A52492" w:rsidP="0061564C">
            <w:pPr>
              <w:pStyle w:val="TableText"/>
              <w:jc w:val="center"/>
              <w:rPr>
                <w:szCs w:val="20"/>
              </w:rPr>
            </w:pPr>
            <w:r w:rsidRPr="00121962">
              <w:rPr>
                <w:szCs w:val="20"/>
              </w:rPr>
              <w:t>$1,240</w:t>
            </w:r>
          </w:p>
        </w:tc>
        <w:tc>
          <w:tcPr>
            <w:tcW w:w="2254" w:type="dxa"/>
            <w:vAlign w:val="center"/>
          </w:tcPr>
          <w:p w14:paraId="1DD0184C"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4979B784" w14:textId="77777777" w:rsidTr="0061564C">
        <w:tc>
          <w:tcPr>
            <w:tcW w:w="2255" w:type="dxa"/>
          </w:tcPr>
          <w:p w14:paraId="7C436366" w14:textId="77777777" w:rsidR="00A52492" w:rsidRPr="00121962" w:rsidRDefault="00A52492" w:rsidP="0061564C">
            <w:pPr>
              <w:pStyle w:val="TableText"/>
              <w:rPr>
                <w:szCs w:val="20"/>
              </w:rPr>
            </w:pPr>
            <w:r w:rsidRPr="00121962">
              <w:rPr>
                <w:szCs w:val="20"/>
              </w:rPr>
              <w:t>Mortality</w:t>
            </w:r>
          </w:p>
        </w:tc>
        <w:tc>
          <w:tcPr>
            <w:tcW w:w="2254" w:type="dxa"/>
            <w:vAlign w:val="center"/>
          </w:tcPr>
          <w:p w14:paraId="404928E1"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51B21E12" w14:textId="77777777" w:rsidR="00A52492" w:rsidRPr="00121962" w:rsidRDefault="00A52492" w:rsidP="0061564C">
            <w:pPr>
              <w:pStyle w:val="TableText"/>
              <w:jc w:val="center"/>
              <w:rPr>
                <w:szCs w:val="20"/>
              </w:rPr>
            </w:pPr>
            <w:r w:rsidRPr="00121962">
              <w:rPr>
                <w:szCs w:val="20"/>
              </w:rPr>
              <w:t>$2,981</w:t>
            </w:r>
          </w:p>
        </w:tc>
        <w:tc>
          <w:tcPr>
            <w:tcW w:w="2254" w:type="dxa"/>
            <w:vAlign w:val="center"/>
          </w:tcPr>
          <w:p w14:paraId="39388CAE"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191D79EF" w14:textId="77777777" w:rsidTr="0061564C">
        <w:tc>
          <w:tcPr>
            <w:tcW w:w="2255" w:type="dxa"/>
          </w:tcPr>
          <w:p w14:paraId="5D8227A8" w14:textId="77777777" w:rsidR="00A52492" w:rsidRPr="00121962" w:rsidRDefault="00A52492" w:rsidP="0061564C">
            <w:pPr>
              <w:pStyle w:val="TableText"/>
              <w:rPr>
                <w:b/>
                <w:bCs w:val="0"/>
                <w:szCs w:val="20"/>
              </w:rPr>
            </w:pPr>
            <w:r w:rsidRPr="00121962">
              <w:rPr>
                <w:b/>
                <w:bCs w:val="0"/>
                <w:szCs w:val="20"/>
              </w:rPr>
              <w:t>Total</w:t>
            </w:r>
          </w:p>
        </w:tc>
        <w:tc>
          <w:tcPr>
            <w:tcW w:w="2254" w:type="dxa"/>
            <w:vAlign w:val="center"/>
          </w:tcPr>
          <w:p w14:paraId="653836AA" w14:textId="77777777"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c>
          <w:tcPr>
            <w:tcW w:w="2254" w:type="dxa"/>
            <w:vAlign w:val="center"/>
          </w:tcPr>
          <w:p w14:paraId="38960168" w14:textId="77777777" w:rsidR="00A52492" w:rsidRPr="00121962" w:rsidRDefault="00A52492" w:rsidP="0061564C">
            <w:pPr>
              <w:pStyle w:val="TableText"/>
              <w:jc w:val="center"/>
              <w:rPr>
                <w:b/>
                <w:bCs w:val="0"/>
                <w:szCs w:val="20"/>
              </w:rPr>
            </w:pPr>
            <w:r w:rsidRPr="00121962">
              <w:rPr>
                <w:b/>
                <w:bCs w:val="0"/>
                <w:szCs w:val="20"/>
              </w:rPr>
              <w:t>$144,912</w:t>
            </w:r>
          </w:p>
        </w:tc>
        <w:tc>
          <w:tcPr>
            <w:tcW w:w="2254" w:type="dxa"/>
            <w:vAlign w:val="center"/>
          </w:tcPr>
          <w:p w14:paraId="6DC0D0F7" w14:textId="77777777"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r>
    </w:tbl>
    <w:p w14:paraId="1ADB9660" w14:textId="77777777" w:rsidR="00A52492" w:rsidRPr="00121962" w:rsidRDefault="00A52492" w:rsidP="00A52492">
      <w:pPr>
        <w:pStyle w:val="TableFooter"/>
      </w:pPr>
      <w:r w:rsidRPr="00121962">
        <w:t>Source: Table 3.8.3, p130 of the submission and ‘Dapagliflozin_CKD_CEA_05Mar21_FINAL’ TreeAge model provided with the submission</w:t>
      </w:r>
    </w:p>
    <w:p w14:paraId="75249E77" w14:textId="77777777" w:rsidR="00A52492" w:rsidRPr="00121962" w:rsidRDefault="00A52492" w:rsidP="00A52492">
      <w:pPr>
        <w:pStyle w:val="TableFooter"/>
      </w:pPr>
      <w:r w:rsidRPr="00121962">
        <w:t>CKD, chronic kidney disease; ESKD, end-stage kidney disease; SOC, standard of care</w:t>
      </w:r>
    </w:p>
    <w:p w14:paraId="18E020E9" w14:textId="77777777" w:rsidR="00CC0FBE" w:rsidRPr="00121962" w:rsidRDefault="00AD57D6" w:rsidP="00CC0FBE">
      <w:pPr>
        <w:pStyle w:val="ExecSumBodyText"/>
      </w:pPr>
      <w:r w:rsidRPr="00121962">
        <w:rPr>
          <w:iCs/>
        </w:rPr>
        <w:t>The difference in total cost between treatment arms was primarily driven by cost offsets associated with lower ESKD management costs (predominantly dialysis costs) in the dapagliflozin plus SOC arm, which more than offset the additional costs of dapagliflozin. There was substantial uncertainty in the costs of ESKD due to the assumed fixed distribution of patients among ESKD treatment modalities (17.4% conservative management, 43.0% dialysis, 39.6% transplant), the overestimated costs of dialysis which did not account for haemodialysis in satellite treatment centres, and the use of unit costs based on inflation of older data that may not reflect current costs in clinical practice.</w:t>
      </w:r>
    </w:p>
    <w:p w14:paraId="695B50DA" w14:textId="77777777" w:rsidR="00442BD7" w:rsidRPr="00121962" w:rsidRDefault="00442BD7" w:rsidP="00AD57D6">
      <w:pPr>
        <w:pStyle w:val="ExecSumBodyText"/>
      </w:pPr>
      <w:r w:rsidRPr="00121962">
        <w:t xml:space="preserve">The model trace for the comparison of dapagliflozin plus </w:t>
      </w:r>
      <w:r w:rsidR="00BD5575" w:rsidRPr="00121962">
        <w:t>SOC</w:t>
      </w:r>
      <w:r w:rsidRPr="00121962">
        <w:t xml:space="preserve"> with </w:t>
      </w:r>
      <w:r w:rsidR="00BD5575" w:rsidRPr="00121962">
        <w:t>SOC</w:t>
      </w:r>
      <w:r w:rsidRPr="00121962">
        <w:t xml:space="preserve"> alone in the base case ITT population is presented in </w:t>
      </w:r>
      <w:r w:rsidR="00E51973" w:rsidRPr="00121962">
        <w:t xml:space="preserve">Figure </w:t>
      </w:r>
      <w:r w:rsidR="00E51973">
        <w:rPr>
          <w:noProof/>
        </w:rPr>
        <w:t>2</w:t>
      </w:r>
      <w:r w:rsidRPr="00121962">
        <w:t>.</w:t>
      </w:r>
    </w:p>
    <w:p w14:paraId="6F399C99" w14:textId="77777777" w:rsidR="00442BD7" w:rsidRPr="00121962" w:rsidRDefault="0008596F" w:rsidP="0008596F">
      <w:pPr>
        <w:pStyle w:val="TableFigureCaption"/>
      </w:pPr>
      <w:bookmarkStart w:id="33" w:name="_Ref70948450"/>
      <w:bookmarkStart w:id="34" w:name="_Ref70948445"/>
      <w:r w:rsidRPr="00121962">
        <w:t xml:space="preserve">Figure </w:t>
      </w:r>
      <w:r w:rsidR="00E51973">
        <w:rPr>
          <w:noProof/>
        </w:rPr>
        <w:t>2</w:t>
      </w:r>
      <w:bookmarkEnd w:id="33"/>
      <w:r w:rsidRPr="00121962">
        <w:t>:</w:t>
      </w:r>
      <w:r w:rsidR="00442BD7" w:rsidRPr="00121962">
        <w:t xml:space="preserve"> Model trace: base case (ITT population)</w:t>
      </w:r>
      <w:bookmarkEnd w:id="34"/>
    </w:p>
    <w:p w14:paraId="10399EE2" w14:textId="77777777" w:rsidR="00075FE0" w:rsidRPr="00121962" w:rsidRDefault="004D0C7C" w:rsidP="00442BD7">
      <w:pPr>
        <w:widowControl w:val="0"/>
        <w:spacing w:after="120"/>
        <w:contextualSpacing/>
        <w:rPr>
          <w:rFonts w:ascii="Arial Narrow" w:hAnsi="Arial Narrow"/>
          <w:snapToGrid w:val="0"/>
          <w:sz w:val="18"/>
          <w:szCs w:val="22"/>
          <w:lang w:eastAsia="en-US"/>
        </w:rPr>
      </w:pPr>
      <w:r w:rsidRPr="00121962">
        <w:rPr>
          <w:rFonts w:ascii="Arial Narrow" w:hAnsi="Arial Narrow"/>
          <w:noProof/>
          <w:snapToGrid w:val="0"/>
          <w:sz w:val="18"/>
          <w:szCs w:val="22"/>
        </w:rPr>
        <w:drawing>
          <wp:inline distT="0" distB="0" distL="0" distR="0" wp14:anchorId="2767E430" wp14:editId="57A9C98C">
            <wp:extent cx="5688000" cy="3715200"/>
            <wp:effectExtent l="0" t="0" r="8255" b="0"/>
            <wp:docPr id="147" name="Picture 147" title="Figure 2: Model trace: base cas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14:paraId="0D90FCFA"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Source: Constructed during the evaluation using ‘Dapagliflozin_CKD_CEA_05Mar21_FINAL’ TreeAge model provided with the submission</w:t>
      </w:r>
    </w:p>
    <w:p w14:paraId="0E45B121"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CKD, chronic kidney disease; Dapa, dapagliflozin; ESKD, end-stage kidney disease; ITT, intention-to-treat; SOC, standard of care</w:t>
      </w:r>
    </w:p>
    <w:p w14:paraId="22A8FC35" w14:textId="77777777" w:rsidR="00442BD7" w:rsidRPr="00121962" w:rsidRDefault="00442BD7" w:rsidP="00BF1CC8">
      <w:pPr>
        <w:pStyle w:val="ExecSumBodyText"/>
      </w:pPr>
      <w:r w:rsidRPr="00121962">
        <w:t xml:space="preserve">The results of the modelled economic evaluation are summarised in </w:t>
      </w:r>
      <w:r w:rsidR="00E51973" w:rsidRPr="00121962">
        <w:t xml:space="preserve">Table </w:t>
      </w:r>
      <w:r w:rsidR="00E51973">
        <w:rPr>
          <w:noProof/>
        </w:rPr>
        <w:t>12</w:t>
      </w:r>
      <w:r w:rsidRPr="00121962">
        <w:t>.</w:t>
      </w:r>
    </w:p>
    <w:p w14:paraId="47E04017" w14:textId="77777777" w:rsidR="00442BD7" w:rsidRPr="00121962" w:rsidRDefault="0008596F" w:rsidP="0008596F">
      <w:pPr>
        <w:pStyle w:val="TableFigureCaption"/>
      </w:pPr>
      <w:bookmarkStart w:id="35" w:name="_Ref70948476"/>
      <w:bookmarkStart w:id="36" w:name="_Ref70948471"/>
      <w:r w:rsidRPr="00121962">
        <w:t xml:space="preserve">Table </w:t>
      </w:r>
      <w:r w:rsidR="00E51973">
        <w:rPr>
          <w:noProof/>
        </w:rPr>
        <w:t>12</w:t>
      </w:r>
      <w:bookmarkEnd w:id="35"/>
      <w:r w:rsidRPr="00121962">
        <w:t>:</w:t>
      </w:r>
      <w:r w:rsidR="00442BD7" w:rsidRPr="00121962">
        <w:t xml:space="preserve"> Results of the economic evaluation: base case (ITT population)</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242"/>
        <w:gridCol w:w="2447"/>
      </w:tblGrid>
      <w:tr w:rsidR="00442BD7" w:rsidRPr="00121962" w14:paraId="21693622" w14:textId="77777777" w:rsidTr="00E90635">
        <w:trPr>
          <w:tblHeader/>
        </w:trPr>
        <w:tc>
          <w:tcPr>
            <w:tcW w:w="991" w:type="pct"/>
            <w:vAlign w:val="center"/>
          </w:tcPr>
          <w:p w14:paraId="01078D19" w14:textId="77777777"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14:paraId="19BCAA49"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43" w:type="pct"/>
            <w:vAlign w:val="center"/>
          </w:tcPr>
          <w:p w14:paraId="75DD80D1" w14:textId="77777777"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57" w:type="pct"/>
            <w:vAlign w:val="center"/>
          </w:tcPr>
          <w:p w14:paraId="4DA3D683"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14:paraId="172367F6" w14:textId="77777777" w:rsidTr="00E90635">
        <w:tc>
          <w:tcPr>
            <w:tcW w:w="991" w:type="pct"/>
            <w:vAlign w:val="center"/>
          </w:tcPr>
          <w:p w14:paraId="5C4E8852"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14:paraId="4BD0A70D"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43" w:type="pct"/>
            <w:vAlign w:val="center"/>
          </w:tcPr>
          <w:p w14:paraId="1EA581D4"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$144,912</w:t>
            </w:r>
          </w:p>
        </w:tc>
        <w:tc>
          <w:tcPr>
            <w:tcW w:w="1357" w:type="pct"/>
            <w:vAlign w:val="center"/>
          </w:tcPr>
          <w:p w14:paraId="4E726F44"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14:paraId="70CED68D" w14:textId="77777777" w:rsidTr="00E90635">
        <w:tc>
          <w:tcPr>
            <w:tcW w:w="991" w:type="pct"/>
            <w:vAlign w:val="center"/>
          </w:tcPr>
          <w:p w14:paraId="4457FD31"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14:paraId="7E991CCF"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6.2431</w:t>
            </w:r>
          </w:p>
        </w:tc>
        <w:tc>
          <w:tcPr>
            <w:tcW w:w="1243" w:type="pct"/>
            <w:vAlign w:val="center"/>
          </w:tcPr>
          <w:p w14:paraId="52F33380"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5.6535</w:t>
            </w:r>
          </w:p>
        </w:tc>
        <w:tc>
          <w:tcPr>
            <w:tcW w:w="1357" w:type="pct"/>
            <w:vAlign w:val="center"/>
          </w:tcPr>
          <w:p w14:paraId="570B8A8B"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0.5896</w:t>
            </w:r>
          </w:p>
        </w:tc>
      </w:tr>
      <w:tr w:rsidR="00442BD7" w:rsidRPr="00121962" w14:paraId="6D9D5DFA" w14:textId="77777777" w:rsidTr="00E90635">
        <w:tc>
          <w:tcPr>
            <w:tcW w:w="3643" w:type="pct"/>
            <w:gridSpan w:val="3"/>
            <w:vAlign w:val="center"/>
          </w:tcPr>
          <w:p w14:paraId="4A09DA2E" w14:textId="77777777"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57" w:type="pct"/>
            <w:vAlign w:val="center"/>
          </w:tcPr>
          <w:p w14:paraId="7703F365" w14:textId="77777777"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14:paraId="492B3C6D"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3.8.5, p131 of the submission.</w:t>
      </w:r>
    </w:p>
    <w:p w14:paraId="1AB9FE23"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ITT, intention-to-treat; QALY, quality adjusted life year; SOC, standard of care</w:t>
      </w:r>
    </w:p>
    <w:p w14:paraId="6C5744B4" w14:textId="77777777" w:rsidR="00442BD7" w:rsidRPr="00121962" w:rsidRDefault="00442BD7" w:rsidP="00BF1CC8">
      <w:pPr>
        <w:pStyle w:val="ExecSumBodyText"/>
      </w:pPr>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and is associated with lower costs and improved outcomes.</w:t>
      </w:r>
    </w:p>
    <w:p w14:paraId="6AF38BDF" w14:textId="77777777" w:rsidR="00442BD7" w:rsidRPr="00121962" w:rsidRDefault="00442BD7" w:rsidP="00BF1CC8">
      <w:pPr>
        <w:pStyle w:val="ExecSumBodyText"/>
      </w:pPr>
      <w:r w:rsidRPr="00121962">
        <w:t xml:space="preserve">Results of the scenario analysis based on the CKD only population are summarised in </w:t>
      </w:r>
      <w:r w:rsidR="00E51973" w:rsidRPr="00121962">
        <w:t xml:space="preserve">Table </w:t>
      </w:r>
      <w:r w:rsidR="00E51973">
        <w:rPr>
          <w:noProof/>
        </w:rPr>
        <w:t>13</w:t>
      </w:r>
      <w:r w:rsidRPr="00121962">
        <w:t xml:space="preserve"> below.</w:t>
      </w:r>
    </w:p>
    <w:p w14:paraId="1C49EC2A" w14:textId="77777777" w:rsidR="00442BD7" w:rsidRPr="00121962" w:rsidRDefault="0008596F" w:rsidP="0008596F">
      <w:pPr>
        <w:pStyle w:val="TableFigureCaption"/>
      </w:pPr>
      <w:bookmarkStart w:id="37" w:name="_Ref70948491"/>
      <w:r w:rsidRPr="00121962">
        <w:t xml:space="preserve">Table </w:t>
      </w:r>
      <w:r w:rsidR="00E51973">
        <w:rPr>
          <w:noProof/>
        </w:rPr>
        <w:t>13</w:t>
      </w:r>
      <w:bookmarkEnd w:id="37"/>
      <w:r w:rsidRPr="00121962">
        <w:t>:</w:t>
      </w:r>
      <w:r w:rsidR="00442BD7" w:rsidRPr="00121962">
        <w:t xml:space="preserve"> Results of the economic evaluation: scenario analysis (CKD only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188"/>
        <w:gridCol w:w="2501"/>
      </w:tblGrid>
      <w:tr w:rsidR="00442BD7" w:rsidRPr="00121962" w14:paraId="5F2FD0DC" w14:textId="77777777" w:rsidTr="00E90635">
        <w:trPr>
          <w:tblHeader/>
        </w:trPr>
        <w:tc>
          <w:tcPr>
            <w:tcW w:w="991" w:type="pct"/>
            <w:vAlign w:val="center"/>
          </w:tcPr>
          <w:p w14:paraId="5AF5CE5D" w14:textId="77777777"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14:paraId="22FAAE16"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13" w:type="pct"/>
            <w:vAlign w:val="center"/>
          </w:tcPr>
          <w:p w14:paraId="05F555D7" w14:textId="77777777"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87" w:type="pct"/>
            <w:vAlign w:val="center"/>
          </w:tcPr>
          <w:p w14:paraId="2FEAD666"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14:paraId="210172A5" w14:textId="77777777" w:rsidTr="00E90635">
        <w:tc>
          <w:tcPr>
            <w:tcW w:w="991" w:type="pct"/>
            <w:vAlign w:val="center"/>
          </w:tcPr>
          <w:p w14:paraId="486C5E8A"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14:paraId="0073AD14"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13" w:type="pct"/>
            <w:vAlign w:val="center"/>
          </w:tcPr>
          <w:p w14:paraId="70C37CAE"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$184,624</w:t>
            </w:r>
          </w:p>
        </w:tc>
        <w:tc>
          <w:tcPr>
            <w:tcW w:w="1387" w:type="pct"/>
            <w:vAlign w:val="center"/>
          </w:tcPr>
          <w:p w14:paraId="169303B2"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14:paraId="25B602F3" w14:textId="77777777" w:rsidTr="00E90635">
        <w:tc>
          <w:tcPr>
            <w:tcW w:w="991" w:type="pct"/>
            <w:vAlign w:val="center"/>
          </w:tcPr>
          <w:p w14:paraId="4F97F982"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14:paraId="144BDAB4"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6.5020</w:t>
            </w:r>
          </w:p>
        </w:tc>
        <w:tc>
          <w:tcPr>
            <w:tcW w:w="1213" w:type="pct"/>
            <w:vAlign w:val="center"/>
          </w:tcPr>
          <w:p w14:paraId="3D11E323"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6.1456</w:t>
            </w:r>
          </w:p>
        </w:tc>
        <w:tc>
          <w:tcPr>
            <w:tcW w:w="1387" w:type="pct"/>
            <w:vAlign w:val="center"/>
          </w:tcPr>
          <w:p w14:paraId="724394F2"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0.3564</w:t>
            </w:r>
          </w:p>
        </w:tc>
      </w:tr>
      <w:tr w:rsidR="00442BD7" w:rsidRPr="00121962" w14:paraId="5AC809FA" w14:textId="77777777" w:rsidTr="00E90635">
        <w:tc>
          <w:tcPr>
            <w:tcW w:w="3613" w:type="pct"/>
            <w:gridSpan w:val="3"/>
            <w:vAlign w:val="center"/>
          </w:tcPr>
          <w:p w14:paraId="529BE1A5" w14:textId="77777777"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87" w:type="pct"/>
            <w:vAlign w:val="center"/>
          </w:tcPr>
          <w:p w14:paraId="412C47B7" w14:textId="77777777"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14:paraId="47339522"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3.9.2, p133 of the submission.</w:t>
      </w:r>
    </w:p>
    <w:p w14:paraId="20ED26F9"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CKD, chronic kidney disease; QALY, quality adjusted life year; SOC, standard of care</w:t>
      </w:r>
    </w:p>
    <w:p w14:paraId="44FCEE55" w14:textId="77777777" w:rsidR="00442BD7" w:rsidRPr="00121962" w:rsidRDefault="00442BD7" w:rsidP="00BF1CC8">
      <w:pPr>
        <w:pStyle w:val="ExecSumBodyText"/>
      </w:pPr>
      <w:bookmarkStart w:id="38" w:name="_Ref79328914"/>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in the population of patients with </w:t>
      </w:r>
      <w:r w:rsidR="00BD5575" w:rsidRPr="00121962">
        <w:t>CKD</w:t>
      </w:r>
      <w:r w:rsidRPr="00121962">
        <w:t xml:space="preserve"> only (without comorbid diabetes or heart failure). </w:t>
      </w:r>
      <w:r w:rsidR="000638FB" w:rsidRPr="00121962">
        <w:t xml:space="preserve">The ESC </w:t>
      </w:r>
      <w:r w:rsidR="00C236EC" w:rsidRPr="00121962">
        <w:t xml:space="preserve">advised </w:t>
      </w:r>
      <w:r w:rsidR="007817B4" w:rsidRPr="00121962">
        <w:t>t</w:t>
      </w:r>
      <w:r w:rsidRPr="00121962">
        <w:rPr>
          <w:iCs/>
        </w:rPr>
        <w:t xml:space="preserve">he results of the analysis </w:t>
      </w:r>
      <w:r w:rsidR="007817B4" w:rsidRPr="00121962">
        <w:rPr>
          <w:iCs/>
        </w:rPr>
        <w:t>were not reliable</w:t>
      </w:r>
      <w:r w:rsidRPr="00121962">
        <w:rPr>
          <w:iCs/>
        </w:rPr>
        <w:t xml:space="preserve"> given</w:t>
      </w:r>
      <w:r w:rsidR="007817B4" w:rsidRPr="00121962">
        <w:rPr>
          <w:iCs/>
        </w:rPr>
        <w:t>:</w:t>
      </w:r>
      <w:r w:rsidRPr="00121962">
        <w:rPr>
          <w:iCs/>
        </w:rPr>
        <w:t xml:space="preserve"> </w:t>
      </w:r>
      <w:r w:rsidR="007817B4" w:rsidRPr="00121962">
        <w:rPr>
          <w:iCs/>
        </w:rPr>
        <w:t>the simplicity of the model structure which did not allow for dif</w:t>
      </w:r>
      <w:r w:rsidR="004F66CC" w:rsidRPr="00121962">
        <w:rPr>
          <w:iCs/>
        </w:rPr>
        <w:t>f</w:t>
      </w:r>
      <w:r w:rsidR="007817B4" w:rsidRPr="00121962">
        <w:rPr>
          <w:iCs/>
        </w:rPr>
        <w:t>erent transitions to ESKD between d</w:t>
      </w:r>
      <w:r w:rsidR="004F66CC" w:rsidRPr="00121962">
        <w:rPr>
          <w:iCs/>
        </w:rPr>
        <w:t>i</w:t>
      </w:r>
      <w:r w:rsidR="007817B4" w:rsidRPr="00121962">
        <w:rPr>
          <w:iCs/>
        </w:rPr>
        <w:t xml:space="preserve">fferent CKD stages; </w:t>
      </w:r>
      <w:r w:rsidR="00E90635" w:rsidRPr="00121962">
        <w:rPr>
          <w:iCs/>
        </w:rPr>
        <w:t xml:space="preserve">there was </w:t>
      </w:r>
      <w:r w:rsidRPr="00121962">
        <w:rPr>
          <w:iCs/>
        </w:rPr>
        <w:t>limited detail provided to assess the validity of the subgroup analysis</w:t>
      </w:r>
      <w:r w:rsidR="007817B4" w:rsidRPr="00121962">
        <w:rPr>
          <w:iCs/>
        </w:rPr>
        <w:t>;</w:t>
      </w:r>
      <w:r w:rsidRPr="00121962">
        <w:rPr>
          <w:iCs/>
        </w:rPr>
        <w:t xml:space="preserve"> the higher rate of </w:t>
      </w:r>
      <w:r w:rsidR="00BD5575" w:rsidRPr="00121962">
        <w:rPr>
          <w:iCs/>
        </w:rPr>
        <w:t>ESKD</w:t>
      </w:r>
      <w:r w:rsidRPr="00121962">
        <w:rPr>
          <w:iCs/>
        </w:rPr>
        <w:t xml:space="preserve"> estimated in this population compared to the DAPA-CKD ITT population, which </w:t>
      </w:r>
      <w:r w:rsidR="007B11BC" w:rsidRPr="00121962">
        <w:rPr>
          <w:iCs/>
        </w:rPr>
        <w:t xml:space="preserve">the ESC </w:t>
      </w:r>
      <w:r w:rsidRPr="00121962">
        <w:rPr>
          <w:iCs/>
        </w:rPr>
        <w:t>considered implausible</w:t>
      </w:r>
      <w:r w:rsidR="007817B4" w:rsidRPr="00121962">
        <w:rPr>
          <w:iCs/>
        </w:rPr>
        <w:t>;</w:t>
      </w:r>
      <w:r w:rsidR="00E533A1" w:rsidRPr="00121962">
        <w:rPr>
          <w:iCs/>
        </w:rPr>
        <w:t xml:space="preserve"> and the uncertain cost of ESKD</w:t>
      </w:r>
      <w:r w:rsidR="00E90635" w:rsidRPr="00121962">
        <w:rPr>
          <w:iCs/>
        </w:rPr>
        <w:t>,</w:t>
      </w:r>
      <w:r w:rsidR="00E533A1" w:rsidRPr="00121962">
        <w:rPr>
          <w:iCs/>
        </w:rPr>
        <w:t xml:space="preserve"> which used a fixed allocation to treatment modalities and overestimated </w:t>
      </w:r>
      <w:r w:rsidR="00A3784F" w:rsidRPr="00121962">
        <w:rPr>
          <w:iCs/>
        </w:rPr>
        <w:t xml:space="preserve">the </w:t>
      </w:r>
      <w:r w:rsidR="00E533A1" w:rsidRPr="00121962">
        <w:rPr>
          <w:iCs/>
        </w:rPr>
        <w:t>cost of dialysis</w:t>
      </w:r>
      <w:r w:rsidRPr="00121962">
        <w:rPr>
          <w:iCs/>
        </w:rPr>
        <w:t>.</w:t>
      </w:r>
      <w:r w:rsidRPr="00121962">
        <w:t xml:space="preserve"> </w:t>
      </w:r>
      <w:bookmarkEnd w:id="38"/>
    </w:p>
    <w:p w14:paraId="364FFE7C" w14:textId="77777777" w:rsidR="00A84BDA" w:rsidRPr="00121962" w:rsidRDefault="00A84BDA" w:rsidP="00A84BDA">
      <w:pPr>
        <w:pStyle w:val="ExecSumBodyText"/>
      </w:pPr>
      <w:r w:rsidRPr="00121962">
        <w:t xml:space="preserve">The pre-PBAC response presented additional sensitivity analyses and a revised base-case ICER, shown in the table below. </w:t>
      </w:r>
    </w:p>
    <w:p w14:paraId="35E29917" w14:textId="77777777" w:rsidR="00A84BDA" w:rsidRPr="00121962" w:rsidRDefault="00A84BDA" w:rsidP="00A84BDA">
      <w:pPr>
        <w:pStyle w:val="TableHeading"/>
      </w:pPr>
      <w:bookmarkStart w:id="39" w:name="_Ref79314365"/>
      <w:r w:rsidRPr="00121962">
        <w:t xml:space="preserve">Table </w:t>
      </w:r>
      <w:r w:rsidR="00E51973">
        <w:rPr>
          <w:noProof/>
        </w:rPr>
        <w:t>14</w:t>
      </w:r>
      <w:bookmarkEnd w:id="39"/>
      <w:r w:rsidRPr="00121962">
        <w:t>: Additional sensitivity analyses and revised base case analysis from the pre-PBAC response</w:t>
      </w:r>
    </w:p>
    <w:tbl>
      <w:tblPr>
        <w:tblStyle w:val="TableGrid"/>
        <w:tblW w:w="5000" w:type="pct"/>
        <w:tblLook w:val="04A0" w:firstRow="1" w:lastRow="0" w:firstColumn="1" w:lastColumn="0" w:noHBand="0" w:noVBand="1"/>
        <w:tblCaption w:val="Table 14: Additional sensitivity analyses and revised base case analysis from the pre-PBAC response"/>
      </w:tblPr>
      <w:tblGrid>
        <w:gridCol w:w="4828"/>
        <w:gridCol w:w="1398"/>
        <w:gridCol w:w="1529"/>
        <w:gridCol w:w="1262"/>
      </w:tblGrid>
      <w:tr w:rsidR="00A84BDA" w:rsidRPr="00121962" w14:paraId="662B28DE" w14:textId="77777777" w:rsidTr="0013522E">
        <w:trPr>
          <w:tblHeader/>
        </w:trPr>
        <w:tc>
          <w:tcPr>
            <w:tcW w:w="2677" w:type="pct"/>
          </w:tcPr>
          <w:p w14:paraId="5117CA1E" w14:textId="77777777" w:rsidR="00A84BDA" w:rsidRPr="00121962" w:rsidRDefault="00A84BDA" w:rsidP="00853308">
            <w:pPr>
              <w:rPr>
                <w:rFonts w:ascii="Arial Narrow" w:hAnsi="Arial Narrow"/>
                <w:b/>
                <w:bCs/>
                <w:sz w:val="20"/>
                <w:szCs w:val="20"/>
              </w:rPr>
            </w:pPr>
            <w:r w:rsidRPr="00121962">
              <w:rPr>
                <w:rFonts w:ascii="Arial Narrow" w:hAnsi="Arial Narrow"/>
                <w:b/>
                <w:bCs/>
                <w:sz w:val="20"/>
                <w:szCs w:val="20"/>
              </w:rPr>
              <w:t>Analysis</w:t>
            </w:r>
          </w:p>
        </w:tc>
        <w:tc>
          <w:tcPr>
            <w:tcW w:w="775" w:type="pct"/>
          </w:tcPr>
          <w:p w14:paraId="18B1B4AC"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cost</w:t>
            </w:r>
          </w:p>
        </w:tc>
        <w:tc>
          <w:tcPr>
            <w:tcW w:w="848" w:type="pct"/>
          </w:tcPr>
          <w:p w14:paraId="746CE0CE"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QALY</w:t>
            </w:r>
          </w:p>
        </w:tc>
        <w:tc>
          <w:tcPr>
            <w:tcW w:w="700" w:type="pct"/>
          </w:tcPr>
          <w:p w14:paraId="0FF93321"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ICER</w:t>
            </w:r>
          </w:p>
        </w:tc>
      </w:tr>
      <w:tr w:rsidR="00A84BDA" w:rsidRPr="00121962" w14:paraId="04B0F7AB" w14:textId="77777777" w:rsidTr="00853308">
        <w:tc>
          <w:tcPr>
            <w:tcW w:w="2677" w:type="pct"/>
          </w:tcPr>
          <w:p w14:paraId="20CBA91D" w14:textId="77777777" w:rsidR="00A84BDA" w:rsidRPr="00121962" w:rsidRDefault="00A84BDA" w:rsidP="00853308">
            <w:pPr>
              <w:rPr>
                <w:rFonts w:ascii="Arial Narrow" w:hAnsi="Arial Narrow"/>
                <w:sz w:val="20"/>
                <w:szCs w:val="20"/>
              </w:rPr>
            </w:pPr>
            <w:r w:rsidRPr="00121962">
              <w:rPr>
                <w:rFonts w:ascii="Arial Narrow" w:hAnsi="Arial Narrow"/>
                <w:sz w:val="20"/>
                <w:szCs w:val="20"/>
              </w:rPr>
              <w:t>Base case in submission</w:t>
            </w:r>
          </w:p>
        </w:tc>
        <w:tc>
          <w:tcPr>
            <w:tcW w:w="775" w:type="pct"/>
          </w:tcPr>
          <w:p w14:paraId="4023768E"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2B880831" w14:textId="77777777" w:rsidR="00A84BDA" w:rsidRPr="00A14054" w:rsidRDefault="00A84BDA" w:rsidP="00A14054">
            <w:pPr>
              <w:jc w:val="center"/>
              <w:rPr>
                <w:rFonts w:ascii="Arial Narrow" w:hAnsi="Arial Narrow"/>
                <w:sz w:val="20"/>
                <w:szCs w:val="20"/>
                <w:vertAlign w:val="superscript"/>
              </w:rPr>
            </w:pPr>
            <w:r w:rsidRPr="00121962">
              <w:rPr>
                <w:rFonts w:ascii="Arial Narrow" w:hAnsi="Arial Narrow"/>
                <w:sz w:val="20"/>
                <w:szCs w:val="20"/>
              </w:rPr>
              <w:t>0.590</w:t>
            </w:r>
          </w:p>
        </w:tc>
        <w:tc>
          <w:tcPr>
            <w:tcW w:w="700" w:type="pct"/>
          </w:tcPr>
          <w:p w14:paraId="1CAF1B24"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5D94CC59" w14:textId="77777777" w:rsidTr="00853308">
        <w:tc>
          <w:tcPr>
            <w:tcW w:w="2677" w:type="pct"/>
          </w:tcPr>
          <w:p w14:paraId="141A0875"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log-normal function to predict lower rate of ESKD</w:t>
            </w:r>
          </w:p>
        </w:tc>
        <w:tc>
          <w:tcPr>
            <w:tcW w:w="775" w:type="pct"/>
          </w:tcPr>
          <w:p w14:paraId="45C31FDC"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69AA0CF7"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0.558</w:t>
            </w:r>
          </w:p>
        </w:tc>
        <w:tc>
          <w:tcPr>
            <w:tcW w:w="700" w:type="pct"/>
          </w:tcPr>
          <w:p w14:paraId="3BC05BF6"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14:paraId="1F6DCE67" w14:textId="77777777" w:rsidTr="00853308">
        <w:tc>
          <w:tcPr>
            <w:tcW w:w="2677" w:type="pct"/>
          </w:tcPr>
          <w:p w14:paraId="30706653"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same rate of ESKD-related mortality in both arms</w:t>
            </w:r>
          </w:p>
        </w:tc>
        <w:tc>
          <w:tcPr>
            <w:tcW w:w="775" w:type="pct"/>
          </w:tcPr>
          <w:p w14:paraId="63123885"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4D0F3343"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0.481</w:t>
            </w:r>
          </w:p>
        </w:tc>
        <w:tc>
          <w:tcPr>
            <w:tcW w:w="700" w:type="pct"/>
          </w:tcPr>
          <w:p w14:paraId="5B2E6F39"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17B76815" w14:textId="77777777" w:rsidTr="00853308">
        <w:tc>
          <w:tcPr>
            <w:tcW w:w="2677" w:type="pct"/>
          </w:tcPr>
          <w:p w14:paraId="52940016"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30-year time horizon and incorporation of lifetables</w:t>
            </w:r>
          </w:p>
        </w:tc>
        <w:tc>
          <w:tcPr>
            <w:tcW w:w="775" w:type="pct"/>
          </w:tcPr>
          <w:p w14:paraId="12D42E73"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7106BF2D"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2AE1138A"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1770EC06" w14:textId="77777777" w:rsidTr="00853308">
        <w:tc>
          <w:tcPr>
            <w:tcW w:w="2677" w:type="pct"/>
          </w:tcPr>
          <w:p w14:paraId="7220A406"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removal of ESKD monitoring costs</w:t>
            </w:r>
          </w:p>
        </w:tc>
        <w:tc>
          <w:tcPr>
            <w:tcW w:w="775" w:type="pct"/>
          </w:tcPr>
          <w:p w14:paraId="6941756F"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0F431BE3"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1C9190E9"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4CA9DA53" w14:textId="77777777" w:rsidTr="00853308">
        <w:tc>
          <w:tcPr>
            <w:tcW w:w="2677" w:type="pct"/>
          </w:tcPr>
          <w:p w14:paraId="621B708E"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reduction of conservative management and dialysis costs by 10%</w:t>
            </w:r>
          </w:p>
        </w:tc>
        <w:tc>
          <w:tcPr>
            <w:tcW w:w="775" w:type="pct"/>
          </w:tcPr>
          <w:p w14:paraId="51B9D146"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609E5487"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351DA0AD"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14:paraId="6DC9863F" w14:textId="77777777" w:rsidTr="00853308">
        <w:tc>
          <w:tcPr>
            <w:tcW w:w="2677" w:type="pct"/>
          </w:tcPr>
          <w:p w14:paraId="2B2974F3" w14:textId="77777777" w:rsidR="00A84BDA" w:rsidRPr="00121962" w:rsidRDefault="00A84BDA" w:rsidP="00853308">
            <w:pPr>
              <w:rPr>
                <w:rFonts w:ascii="Arial Narrow" w:hAnsi="Arial Narrow"/>
                <w:b/>
                <w:bCs/>
                <w:sz w:val="20"/>
                <w:szCs w:val="20"/>
              </w:rPr>
            </w:pPr>
            <w:r w:rsidRPr="00121962">
              <w:rPr>
                <w:rFonts w:ascii="Arial Narrow" w:hAnsi="Arial Narrow"/>
                <w:b/>
                <w:bCs/>
                <w:sz w:val="20"/>
                <w:szCs w:val="20"/>
              </w:rPr>
              <w:t>Revised base case (all of the above + ESKD costs reduced by 50%)</w:t>
            </w:r>
          </w:p>
        </w:tc>
        <w:tc>
          <w:tcPr>
            <w:tcW w:w="775" w:type="pct"/>
          </w:tcPr>
          <w:p w14:paraId="70785D19" w14:textId="77777777"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14:paraId="54988B95"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14:paraId="7B2FA493"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w:t>
            </w:r>
            <w:r w:rsidR="002F0C5E">
              <w:rPr>
                <w:rFonts w:ascii="Arial Narrow" w:hAnsi="Arial Narrow"/>
                <w:b/>
                <w:bCs/>
                <w:noProof/>
                <w:color w:val="000000"/>
                <w:sz w:val="20"/>
                <w:szCs w:val="20"/>
                <w:highlight w:val="black"/>
              </w:rPr>
              <w:t>''''''''''</w:t>
            </w:r>
            <w:r w:rsidR="00A14054">
              <w:rPr>
                <w:rFonts w:ascii="Arial Narrow" w:hAnsi="Arial Narrow"/>
                <w:sz w:val="20"/>
                <w:szCs w:val="20"/>
                <w:vertAlign w:val="superscript"/>
              </w:rPr>
              <w:t>2</w:t>
            </w:r>
          </w:p>
        </w:tc>
      </w:tr>
      <w:tr w:rsidR="00A84BDA" w:rsidRPr="00121962" w14:paraId="24565A1C" w14:textId="77777777" w:rsidTr="00853308">
        <w:tc>
          <w:tcPr>
            <w:tcW w:w="2677" w:type="pct"/>
          </w:tcPr>
          <w:p w14:paraId="67301FFC" w14:textId="77777777" w:rsidR="00A84BDA" w:rsidRPr="00634F67" w:rsidRDefault="00A84BDA" w:rsidP="00853308">
            <w:pPr>
              <w:ind w:left="172"/>
              <w:rPr>
                <w:rFonts w:ascii="Arial Narrow" w:hAnsi="Arial Narrow"/>
                <w:sz w:val="20"/>
                <w:szCs w:val="20"/>
              </w:rPr>
            </w:pPr>
            <w:r w:rsidRPr="00634F67">
              <w:rPr>
                <w:rFonts w:ascii="Arial Narrow" w:hAnsi="Arial Narrow"/>
                <w:sz w:val="20"/>
                <w:szCs w:val="20"/>
              </w:rPr>
              <w:t>Scenario analysis (all of the above plus with treatment effect of dapagliflozin waning between 29 months and 15 years)</w:t>
            </w:r>
          </w:p>
        </w:tc>
        <w:tc>
          <w:tcPr>
            <w:tcW w:w="775" w:type="pct"/>
          </w:tcPr>
          <w:p w14:paraId="3C48058D"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3209C77E"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14:paraId="3C36FB60"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3</w:t>
            </w:r>
          </w:p>
        </w:tc>
      </w:tr>
      <w:tr w:rsidR="00A84BDA" w:rsidRPr="00121962" w14:paraId="2FFAA669" w14:textId="77777777" w:rsidTr="00853308">
        <w:tc>
          <w:tcPr>
            <w:tcW w:w="2677" w:type="pct"/>
          </w:tcPr>
          <w:p w14:paraId="1FCB9B8C" w14:textId="77777777" w:rsidR="00A84BDA" w:rsidRPr="00634F67" w:rsidRDefault="00A84BDA" w:rsidP="00853308">
            <w:pPr>
              <w:rPr>
                <w:rFonts w:ascii="Arial Narrow" w:hAnsi="Arial Narrow"/>
                <w:b/>
                <w:bCs/>
                <w:sz w:val="20"/>
                <w:szCs w:val="20"/>
              </w:rPr>
            </w:pPr>
            <w:r w:rsidRPr="00634F67">
              <w:rPr>
                <w:rFonts w:ascii="Arial Narrow" w:hAnsi="Arial Narrow"/>
                <w:b/>
                <w:bCs/>
                <w:sz w:val="20"/>
                <w:szCs w:val="20"/>
              </w:rPr>
              <w:t>Revised base case with reduced price ($</w:t>
            </w:r>
            <w:r w:rsidR="00164731">
              <w:rPr>
                <w:rFonts w:ascii="Arial Narrow" w:hAnsi="Arial Narrow"/>
                <w:b/>
                <w:bCs/>
                <w:noProof/>
                <w:color w:val="000000"/>
                <w:sz w:val="20"/>
                <w:szCs w:val="20"/>
                <w:highlight w:val="black"/>
              </w:rPr>
              <w:t>'''''''''''</w:t>
            </w:r>
            <w:r w:rsidRPr="00634F67">
              <w:rPr>
                <w:rFonts w:ascii="Arial Narrow" w:hAnsi="Arial Narrow"/>
                <w:b/>
                <w:bCs/>
                <w:sz w:val="20"/>
                <w:szCs w:val="20"/>
              </w:rPr>
              <w:t xml:space="preserve"> DPMQ)</w:t>
            </w:r>
          </w:p>
        </w:tc>
        <w:tc>
          <w:tcPr>
            <w:tcW w:w="775" w:type="pct"/>
          </w:tcPr>
          <w:p w14:paraId="611B0640" w14:textId="77777777"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14:paraId="64CBAE86"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14:paraId="74F32C62"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Dominant</w:t>
            </w:r>
          </w:p>
        </w:tc>
      </w:tr>
      <w:tr w:rsidR="00A84BDA" w:rsidRPr="00121962" w14:paraId="1C7A50D3" w14:textId="77777777" w:rsidTr="00853308">
        <w:tc>
          <w:tcPr>
            <w:tcW w:w="2677" w:type="pct"/>
          </w:tcPr>
          <w:p w14:paraId="3DCED8E5" w14:textId="77777777" w:rsidR="00A84BDA" w:rsidRPr="00634F67" w:rsidRDefault="00A84BDA" w:rsidP="00853308">
            <w:pPr>
              <w:ind w:left="172"/>
              <w:rPr>
                <w:rFonts w:ascii="Arial Narrow" w:hAnsi="Arial Narrow"/>
                <w:sz w:val="20"/>
                <w:szCs w:val="20"/>
              </w:rPr>
            </w:pPr>
            <w:r w:rsidRPr="00634F67">
              <w:rPr>
                <w:rFonts w:ascii="Arial Narrow" w:hAnsi="Arial Narrow"/>
                <w:sz w:val="20"/>
                <w:szCs w:val="20"/>
              </w:rPr>
              <w:t xml:space="preserve">Scenario analysis </w:t>
            </w:r>
            <w:r w:rsidR="00AB360B" w:rsidRPr="00634F67">
              <w:rPr>
                <w:rFonts w:ascii="Arial Narrow" w:hAnsi="Arial Narrow"/>
                <w:sz w:val="20"/>
                <w:szCs w:val="20"/>
              </w:rPr>
              <w:t>above</w:t>
            </w:r>
            <w:r w:rsidRPr="00634F67">
              <w:rPr>
                <w:rFonts w:ascii="Arial Narrow" w:hAnsi="Arial Narrow"/>
                <w:sz w:val="20"/>
                <w:szCs w:val="20"/>
              </w:rPr>
              <w:t xml:space="preserve"> and reduced price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DPMQ)</w:t>
            </w:r>
          </w:p>
        </w:tc>
        <w:tc>
          <w:tcPr>
            <w:tcW w:w="775" w:type="pct"/>
          </w:tcPr>
          <w:p w14:paraId="43639F5C"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5FE561EA"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14:paraId="7DEA3182"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2</w:t>
            </w:r>
          </w:p>
        </w:tc>
      </w:tr>
    </w:tbl>
    <w:p w14:paraId="1B7B673A" w14:textId="77777777" w:rsidR="00A84BDA" w:rsidRPr="00121962" w:rsidRDefault="00A84BDA" w:rsidP="00A84BDA">
      <w:pPr>
        <w:pStyle w:val="TableFooter"/>
      </w:pPr>
      <w:r w:rsidRPr="00121962">
        <w:t>Source: pre-PBAC response, Table 2, p3.</w:t>
      </w:r>
    </w:p>
    <w:p w14:paraId="6833D4DD" w14:textId="77777777" w:rsidR="00A84BDA" w:rsidRDefault="00A84BDA" w:rsidP="00A14054">
      <w:pPr>
        <w:pStyle w:val="TableFooter"/>
        <w:spacing w:after="0"/>
      </w:pPr>
      <w:r w:rsidRPr="00121962">
        <w:t>DPMQ, dispensed price for maximum quantity; ESKD, end-stage kidney disease; ICER, incremental cost-effectiveness ratio; QALY, quality adjusted life year.</w:t>
      </w:r>
    </w:p>
    <w:p w14:paraId="277A165A" w14:textId="77777777" w:rsidR="00A14054" w:rsidRDefault="00A14054" w:rsidP="00A14054">
      <w:pPr>
        <w:pStyle w:val="TableFigureFooter"/>
        <w:spacing w:after="0"/>
        <w:contextualSpacing w:val="0"/>
        <w:rPr>
          <w:i/>
        </w:rPr>
      </w:pPr>
      <w:r w:rsidRPr="009868C4">
        <w:rPr>
          <w:i/>
        </w:rPr>
        <w:t>The redacted values correspond to the following ranges</w:t>
      </w:r>
      <w:r>
        <w:rPr>
          <w:i/>
        </w:rPr>
        <w:t xml:space="preserve">: </w:t>
      </w:r>
    </w:p>
    <w:p w14:paraId="11B83C09" w14:textId="77777777" w:rsidR="00A14054" w:rsidRPr="00870C5D" w:rsidRDefault="00A14054" w:rsidP="00A14054">
      <w:pPr>
        <w:pStyle w:val="TableFigureFooter"/>
        <w:spacing w:after="0"/>
        <w:contextualSpacing w:val="0"/>
      </w:pPr>
      <w:r>
        <w:rPr>
          <w:i/>
          <w:vertAlign w:val="superscript"/>
        </w:rPr>
        <w:t>1</w:t>
      </w:r>
      <w:r>
        <w:rPr>
          <w:i/>
        </w:rPr>
        <w:t xml:space="preserve"> </w:t>
      </w:r>
      <w:r w:rsidRPr="00A14054">
        <w:rPr>
          <w:i/>
        </w:rPr>
        <w:t>$0 to &lt; $5,000</w:t>
      </w:r>
    </w:p>
    <w:p w14:paraId="63E3E7BB" w14:textId="77777777" w:rsidR="00A14054" w:rsidRPr="00870C5D" w:rsidRDefault="00A14054" w:rsidP="00A14054">
      <w:pPr>
        <w:pStyle w:val="TableFigureFooter"/>
        <w:spacing w:after="0"/>
        <w:contextualSpacing w:val="0"/>
      </w:pPr>
      <w:r>
        <w:rPr>
          <w:i/>
          <w:vertAlign w:val="superscript"/>
        </w:rPr>
        <w:t>2</w:t>
      </w:r>
      <w:r>
        <w:rPr>
          <w:i/>
        </w:rPr>
        <w:t xml:space="preserve"> </w:t>
      </w:r>
      <w:r w:rsidRPr="00A14054">
        <w:rPr>
          <w:i/>
        </w:rPr>
        <w:t>$5,000 to &lt; $15,000</w:t>
      </w:r>
    </w:p>
    <w:p w14:paraId="134277F9" w14:textId="246425DD" w:rsidR="00A14054" w:rsidRPr="00121962" w:rsidRDefault="00A14054" w:rsidP="00980291">
      <w:pPr>
        <w:pStyle w:val="TableFigureFooter"/>
        <w:spacing w:after="0"/>
        <w:contextualSpacing w:val="0"/>
      </w:pPr>
      <w:r>
        <w:rPr>
          <w:i/>
          <w:vertAlign w:val="superscript"/>
        </w:rPr>
        <w:t>3</w:t>
      </w:r>
      <w:r>
        <w:rPr>
          <w:i/>
        </w:rPr>
        <w:t xml:space="preserve"> </w:t>
      </w:r>
      <w:r w:rsidRPr="00A14054">
        <w:rPr>
          <w:i/>
        </w:rPr>
        <w:t>$25,000 to &lt; $35,000</w:t>
      </w:r>
    </w:p>
    <w:p w14:paraId="780157E1" w14:textId="77777777" w:rsidR="00442BD7" w:rsidRPr="00121962" w:rsidRDefault="00E0592A" w:rsidP="00BF1CC8">
      <w:pPr>
        <w:pStyle w:val="ExecSumBodyText"/>
      </w:pPr>
      <w:r w:rsidRPr="00121962">
        <w:t>T</w:t>
      </w:r>
      <w:r w:rsidR="00442BD7" w:rsidRPr="00121962">
        <w:t xml:space="preserve">he dominance of dapagliflozin resulted from the incremental cost of dapagliflozin treatment being lower than the incremental costs of </w:t>
      </w:r>
      <w:r w:rsidR="00BD5575" w:rsidRPr="00121962">
        <w:t>ESKD</w:t>
      </w:r>
      <w:r w:rsidR="00442BD7" w:rsidRPr="00121962">
        <w:t xml:space="preserve"> treatment.</w:t>
      </w:r>
      <w:r w:rsidR="00BB3536" w:rsidRPr="00121962">
        <w:t xml:space="preserve"> </w:t>
      </w:r>
      <w:r w:rsidR="00442BD7" w:rsidRPr="00121962">
        <w:t xml:space="preserve">The sensitivity analyses therefore focussed on variables that affected the costs of dapagliflozin treatment and the costs of </w:t>
      </w:r>
      <w:r w:rsidR="00BD5575" w:rsidRPr="00121962">
        <w:t>ESKD</w:t>
      </w:r>
      <w:r w:rsidR="00442BD7" w:rsidRPr="00121962">
        <w:t xml:space="preserve">, as summarised in the table below. </w:t>
      </w:r>
    </w:p>
    <w:p w14:paraId="66955D6E" w14:textId="77777777" w:rsidR="00442BD7" w:rsidRPr="00121962" w:rsidRDefault="0008596F" w:rsidP="00F64C28">
      <w:pPr>
        <w:pStyle w:val="TableFigureCaption"/>
      </w:pPr>
      <w:r w:rsidRPr="00121962">
        <w:t xml:space="preserve">Table </w:t>
      </w:r>
      <w:r w:rsidR="00E51973">
        <w:rPr>
          <w:noProof/>
        </w:rPr>
        <w:t>15</w:t>
      </w:r>
      <w:r w:rsidRPr="00121962">
        <w:t>:</w:t>
      </w:r>
      <w:r w:rsidR="00442BD7" w:rsidRPr="00121962">
        <w:t xml:space="preserve"> Results of sensitivity analyses</w:t>
      </w:r>
      <w:r w:rsidR="00135BA4" w:rsidRPr="00121962">
        <w:t xml:space="preserve"> (note – these are not updated with the pre-PBAC response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8"/>
        <w:gridCol w:w="1417"/>
        <w:gridCol w:w="1418"/>
        <w:gridCol w:w="1934"/>
      </w:tblGrid>
      <w:tr w:rsidR="00442BD7" w:rsidRPr="00121962" w14:paraId="2DDE2864" w14:textId="77777777" w:rsidTr="00B13C21">
        <w:trPr>
          <w:tblHeader/>
        </w:trPr>
        <w:tc>
          <w:tcPr>
            <w:tcW w:w="4248" w:type="dxa"/>
            <w:vAlign w:val="center"/>
          </w:tcPr>
          <w:p w14:paraId="0B2E2732" w14:textId="77777777" w:rsidR="00442BD7" w:rsidRPr="00121962" w:rsidRDefault="00442BD7" w:rsidP="00F64C28">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Analysis</w:t>
            </w:r>
          </w:p>
        </w:tc>
        <w:tc>
          <w:tcPr>
            <w:tcW w:w="1417" w:type="dxa"/>
          </w:tcPr>
          <w:p w14:paraId="04A261AA"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cost</w:t>
            </w:r>
          </w:p>
        </w:tc>
        <w:tc>
          <w:tcPr>
            <w:tcW w:w="1418" w:type="dxa"/>
          </w:tcPr>
          <w:p w14:paraId="64896895"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QALYs</w:t>
            </w:r>
          </w:p>
        </w:tc>
        <w:tc>
          <w:tcPr>
            <w:tcW w:w="1934" w:type="dxa"/>
            <w:vAlign w:val="center"/>
          </w:tcPr>
          <w:p w14:paraId="067E1451"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ICER</w:t>
            </w:r>
          </w:p>
        </w:tc>
      </w:tr>
      <w:tr w:rsidR="00442BD7" w:rsidRPr="00121962" w14:paraId="47A58C05" w14:textId="77777777" w:rsidTr="00BD5575">
        <w:tc>
          <w:tcPr>
            <w:tcW w:w="4248" w:type="dxa"/>
          </w:tcPr>
          <w:p w14:paraId="3EC04A50"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Base case</w:t>
            </w:r>
          </w:p>
        </w:tc>
        <w:tc>
          <w:tcPr>
            <w:tcW w:w="1417" w:type="dxa"/>
            <w:vAlign w:val="center"/>
          </w:tcPr>
          <w:p w14:paraId="71EFAB90" w14:textId="77777777"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w:t>
            </w:r>
            <w:r w:rsidR="002F0C5E">
              <w:rPr>
                <w:rFonts w:ascii="Arial Narrow" w:eastAsiaTheme="majorEastAsia" w:hAnsi="Arial Narrow" w:cstheme="majorBidi"/>
                <w:b/>
                <w:bCs/>
                <w:noProof/>
                <w:color w:val="000000"/>
                <w:sz w:val="20"/>
                <w:highlight w:val="black"/>
              </w:rPr>
              <w:t>'''''''''''</w:t>
            </w:r>
          </w:p>
        </w:tc>
        <w:tc>
          <w:tcPr>
            <w:tcW w:w="1418" w:type="dxa"/>
            <w:vAlign w:val="center"/>
          </w:tcPr>
          <w:p w14:paraId="12959E9D" w14:textId="77777777" w:rsidR="00442BD7" w:rsidRPr="00121962" w:rsidRDefault="00442BD7" w:rsidP="00F64C28">
            <w:pPr>
              <w:keepNext/>
              <w:jc w:val="center"/>
              <w:rPr>
                <w:rFonts w:ascii="Arial Narrow" w:eastAsiaTheme="majorEastAsia" w:hAnsi="Arial Narrow" w:cstheme="majorBidi"/>
                <w:b/>
                <w:sz w:val="20"/>
              </w:rPr>
            </w:pPr>
            <w:r w:rsidRPr="00121962">
              <w:rPr>
                <w:rFonts w:ascii="Arial Narrow" w:eastAsiaTheme="majorEastAsia" w:hAnsi="Arial Narrow" w:cstheme="majorBidi"/>
                <w:b/>
                <w:sz w:val="20"/>
              </w:rPr>
              <w:t>0.5896</w:t>
            </w:r>
          </w:p>
        </w:tc>
        <w:tc>
          <w:tcPr>
            <w:tcW w:w="1934" w:type="dxa"/>
          </w:tcPr>
          <w:p w14:paraId="10F2A4B6" w14:textId="77777777"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dominant</w:t>
            </w:r>
          </w:p>
        </w:tc>
      </w:tr>
      <w:tr w:rsidR="00442BD7" w:rsidRPr="00121962" w14:paraId="60FB4183" w14:textId="77777777" w:rsidTr="00BD5575">
        <w:tc>
          <w:tcPr>
            <w:tcW w:w="9017" w:type="dxa"/>
            <w:gridSpan w:val="4"/>
          </w:tcPr>
          <w:p w14:paraId="34F9749C"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Time horizon (base case 15 years)</w:t>
            </w:r>
          </w:p>
        </w:tc>
      </w:tr>
      <w:tr w:rsidR="00442BD7" w:rsidRPr="00121962" w14:paraId="4CF0635C" w14:textId="77777777" w:rsidTr="00BD5575">
        <w:tc>
          <w:tcPr>
            <w:tcW w:w="4248" w:type="dxa"/>
          </w:tcPr>
          <w:p w14:paraId="220D2B50"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20 years</w:t>
            </w:r>
          </w:p>
        </w:tc>
        <w:tc>
          <w:tcPr>
            <w:tcW w:w="1417" w:type="dxa"/>
            <w:vAlign w:val="center"/>
          </w:tcPr>
          <w:p w14:paraId="6E43650A"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2A882DB1"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0.7588</w:t>
            </w:r>
          </w:p>
        </w:tc>
        <w:tc>
          <w:tcPr>
            <w:tcW w:w="1934" w:type="dxa"/>
          </w:tcPr>
          <w:p w14:paraId="454D98EC"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14:paraId="39B09A58" w14:textId="77777777" w:rsidTr="00BD5575">
        <w:tc>
          <w:tcPr>
            <w:tcW w:w="4248" w:type="dxa"/>
          </w:tcPr>
          <w:p w14:paraId="3D20A128"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40 years</w:t>
            </w:r>
          </w:p>
        </w:tc>
        <w:tc>
          <w:tcPr>
            <w:tcW w:w="1417" w:type="dxa"/>
            <w:vAlign w:val="center"/>
          </w:tcPr>
          <w:p w14:paraId="27D3421E"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6E9C306B"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1.0087</w:t>
            </w:r>
          </w:p>
        </w:tc>
        <w:tc>
          <w:tcPr>
            <w:tcW w:w="1934" w:type="dxa"/>
            <w:vAlign w:val="center"/>
          </w:tcPr>
          <w:p w14:paraId="78FA698F"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5</w:t>
            </w:r>
          </w:p>
        </w:tc>
      </w:tr>
      <w:tr w:rsidR="00442BD7" w:rsidRPr="00121962" w14:paraId="659F76DE" w14:textId="77777777" w:rsidTr="00BD5575">
        <w:tc>
          <w:tcPr>
            <w:tcW w:w="9017" w:type="dxa"/>
            <w:gridSpan w:val="4"/>
          </w:tcPr>
          <w:p w14:paraId="471E0480"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Transition probabilities: CKD to ESKD (base case: extrapolation using gamma parametric function)</w:t>
            </w:r>
          </w:p>
        </w:tc>
      </w:tr>
      <w:tr w:rsidR="00442BD7" w:rsidRPr="00121962" w14:paraId="064AE162" w14:textId="77777777" w:rsidTr="00BD5575">
        <w:tc>
          <w:tcPr>
            <w:tcW w:w="4248" w:type="dxa"/>
          </w:tcPr>
          <w:p w14:paraId="31A010B8"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Gompertz parametric function</w:t>
            </w:r>
          </w:p>
        </w:tc>
        <w:tc>
          <w:tcPr>
            <w:tcW w:w="1417" w:type="dxa"/>
          </w:tcPr>
          <w:p w14:paraId="64AE362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0A60C280"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0.4834</w:t>
            </w:r>
          </w:p>
        </w:tc>
        <w:tc>
          <w:tcPr>
            <w:tcW w:w="1934" w:type="dxa"/>
          </w:tcPr>
          <w:p w14:paraId="3D1268C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6</w:t>
            </w:r>
          </w:p>
        </w:tc>
      </w:tr>
      <w:tr w:rsidR="00442BD7" w:rsidRPr="00121962" w14:paraId="4889F65E" w14:textId="77777777" w:rsidTr="00BD5575">
        <w:tc>
          <w:tcPr>
            <w:tcW w:w="4248" w:type="dxa"/>
          </w:tcPr>
          <w:p w14:paraId="01B51178"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Weibull parametric function</w:t>
            </w:r>
          </w:p>
        </w:tc>
        <w:tc>
          <w:tcPr>
            <w:tcW w:w="1417" w:type="dxa"/>
          </w:tcPr>
          <w:p w14:paraId="1A6BEA2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3902D7E7"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0.6045</w:t>
            </w:r>
          </w:p>
        </w:tc>
        <w:tc>
          <w:tcPr>
            <w:tcW w:w="1934" w:type="dxa"/>
          </w:tcPr>
          <w:p w14:paraId="3D217B74"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2A32F70C" w14:textId="77777777" w:rsidTr="00BD5575">
        <w:tc>
          <w:tcPr>
            <w:tcW w:w="4248" w:type="dxa"/>
          </w:tcPr>
          <w:p w14:paraId="6FBD5D32"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14:paraId="4EAD3A54"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66A3896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0.5845</w:t>
            </w:r>
          </w:p>
        </w:tc>
        <w:tc>
          <w:tcPr>
            <w:tcW w:w="1934" w:type="dxa"/>
          </w:tcPr>
          <w:p w14:paraId="2ADAE29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0CFD59D1" w14:textId="77777777" w:rsidTr="00BD5575">
        <w:tc>
          <w:tcPr>
            <w:tcW w:w="4248" w:type="dxa"/>
          </w:tcPr>
          <w:p w14:paraId="003C5271" w14:textId="77777777" w:rsidR="00442BD7" w:rsidRPr="00121962" w:rsidRDefault="00442BD7" w:rsidP="00E90635">
            <w:pPr>
              <w:keepNext/>
              <w:jc w:val="left"/>
              <w:rPr>
                <w:rFonts w:ascii="Arial Narrow" w:eastAsiaTheme="majorEastAsia" w:hAnsi="Arial Narrow" w:cstheme="majorBidi"/>
                <w:sz w:val="20"/>
                <w:vertAlign w:val="superscript"/>
              </w:rPr>
            </w:pPr>
            <w:r w:rsidRPr="00121962">
              <w:rPr>
                <w:rFonts w:ascii="Arial Narrow" w:eastAsiaTheme="majorEastAsia" w:hAnsi="Arial Narrow" w:cstheme="majorBidi"/>
                <w:sz w:val="20"/>
              </w:rPr>
              <w:t>Extrapolation based on log-logistic parametric function</w:t>
            </w:r>
            <w:r w:rsidR="00E90635" w:rsidRPr="00121962">
              <w:rPr>
                <w:rFonts w:ascii="Arial Narrow" w:eastAsiaTheme="majorEastAsia" w:hAnsi="Arial Narrow" w:cstheme="majorBidi"/>
                <w:sz w:val="20"/>
                <w:vertAlign w:val="superscript"/>
              </w:rPr>
              <w:t>1</w:t>
            </w:r>
          </w:p>
        </w:tc>
        <w:tc>
          <w:tcPr>
            <w:tcW w:w="1417" w:type="dxa"/>
          </w:tcPr>
          <w:p w14:paraId="25336CAE" w14:textId="77777777" w:rsidR="00442BD7" w:rsidRPr="00121962" w:rsidRDefault="00442BD7" w:rsidP="00E90635">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r w:rsidR="00E90635" w:rsidRPr="00121962">
              <w:rPr>
                <w:rFonts w:ascii="Arial Narrow" w:eastAsiaTheme="majorEastAsia" w:hAnsi="Arial Narrow" w:cstheme="majorBidi"/>
                <w:bCs/>
                <w:iCs/>
                <w:sz w:val="20"/>
                <w:vertAlign w:val="superscript"/>
              </w:rPr>
              <w:t>2</w:t>
            </w:r>
          </w:p>
        </w:tc>
        <w:tc>
          <w:tcPr>
            <w:tcW w:w="1418" w:type="dxa"/>
          </w:tcPr>
          <w:p w14:paraId="40DD0875"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0.5774</w:t>
            </w:r>
          </w:p>
        </w:tc>
        <w:tc>
          <w:tcPr>
            <w:tcW w:w="1934" w:type="dxa"/>
          </w:tcPr>
          <w:p w14:paraId="7A9A500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14:paraId="34FB5919" w14:textId="77777777" w:rsidTr="00BD5575">
        <w:tc>
          <w:tcPr>
            <w:tcW w:w="4248" w:type="dxa"/>
          </w:tcPr>
          <w:p w14:paraId="6E6B53CE"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log-normal parametric function</w:t>
            </w:r>
          </w:p>
        </w:tc>
        <w:tc>
          <w:tcPr>
            <w:tcW w:w="1417" w:type="dxa"/>
          </w:tcPr>
          <w:p w14:paraId="267AFE7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57812C84"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0.5584</w:t>
            </w:r>
          </w:p>
        </w:tc>
        <w:tc>
          <w:tcPr>
            <w:tcW w:w="1934" w:type="dxa"/>
          </w:tcPr>
          <w:p w14:paraId="1195A58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14:paraId="77652D72" w14:textId="77777777" w:rsidTr="00BD5575">
        <w:tc>
          <w:tcPr>
            <w:tcW w:w="9017" w:type="dxa"/>
            <w:gridSpan w:val="4"/>
          </w:tcPr>
          <w:p w14:paraId="2995EB00" w14:textId="77777777" w:rsidR="00442BD7" w:rsidRPr="00121962" w:rsidRDefault="00442BD7" w:rsidP="00F64C28">
            <w:pPr>
              <w:keepNext/>
              <w:jc w:val="left"/>
              <w:rPr>
                <w:rFonts w:ascii="Arial Narrow" w:eastAsiaTheme="majorEastAsia" w:hAnsi="Arial Narrow" w:cstheme="majorBidi"/>
                <w:bCs/>
                <w:sz w:val="20"/>
              </w:rPr>
            </w:pPr>
            <w:r w:rsidRPr="00121962">
              <w:rPr>
                <w:rFonts w:ascii="Arial Narrow" w:eastAsiaTheme="majorEastAsia" w:hAnsi="Arial Narrow" w:cstheme="majorBidi"/>
                <w:b/>
                <w:bCs/>
                <w:sz w:val="20"/>
              </w:rPr>
              <w:t>Transition probabilities: ESKD to death (base case: extrapolation using Weibull parametric function)</w:t>
            </w:r>
          </w:p>
        </w:tc>
      </w:tr>
      <w:tr w:rsidR="00442BD7" w:rsidRPr="00121962" w14:paraId="6D1BA86F" w14:textId="77777777" w:rsidTr="00BD5575">
        <w:tc>
          <w:tcPr>
            <w:tcW w:w="4248" w:type="dxa"/>
          </w:tcPr>
          <w:p w14:paraId="7F8D756E"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Gompertz parametric function</w:t>
            </w:r>
          </w:p>
        </w:tc>
        <w:tc>
          <w:tcPr>
            <w:tcW w:w="1417" w:type="dxa"/>
          </w:tcPr>
          <w:p w14:paraId="70DF097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377A70CC" w14:textId="77777777" w:rsidR="00442BD7" w:rsidRPr="00890BEB" w:rsidRDefault="00442BD7" w:rsidP="00890BEB">
            <w:pPr>
              <w:keepNext/>
              <w:jc w:val="center"/>
              <w:rPr>
                <w:rFonts w:ascii="Arial Narrow" w:eastAsiaTheme="majorEastAsia" w:hAnsi="Arial Narrow" w:cstheme="majorBidi"/>
                <w:bCs/>
                <w:iCs/>
                <w:sz w:val="20"/>
                <w:vertAlign w:val="superscript"/>
              </w:rPr>
            </w:pPr>
            <w:r w:rsidRPr="00121962">
              <w:rPr>
                <w:rFonts w:ascii="Arial Narrow" w:eastAsiaTheme="majorEastAsia" w:hAnsi="Arial Narrow" w:cstheme="majorBidi"/>
                <w:bCs/>
                <w:iCs/>
                <w:sz w:val="20"/>
              </w:rPr>
              <w:t>0.4855</w:t>
            </w:r>
          </w:p>
        </w:tc>
        <w:tc>
          <w:tcPr>
            <w:tcW w:w="1934" w:type="dxa"/>
          </w:tcPr>
          <w:p w14:paraId="6F460ADD"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1BB30EB4" w14:textId="77777777" w:rsidTr="00BD5575">
        <w:tc>
          <w:tcPr>
            <w:tcW w:w="4248" w:type="dxa"/>
          </w:tcPr>
          <w:p w14:paraId="591996BF"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14:paraId="45B8F0EF"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62FFC89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0.6728</w:t>
            </w:r>
          </w:p>
        </w:tc>
        <w:tc>
          <w:tcPr>
            <w:tcW w:w="1934" w:type="dxa"/>
          </w:tcPr>
          <w:p w14:paraId="09BFBC9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14:paraId="52A5C8E2" w14:textId="77777777" w:rsidTr="00BD5575">
        <w:tc>
          <w:tcPr>
            <w:tcW w:w="4248" w:type="dxa"/>
          </w:tcPr>
          <w:p w14:paraId="3F47D00E"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log-logistic parametric function</w:t>
            </w:r>
          </w:p>
        </w:tc>
        <w:tc>
          <w:tcPr>
            <w:tcW w:w="1417" w:type="dxa"/>
          </w:tcPr>
          <w:p w14:paraId="4105798F"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0A153FF0"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0.5420</w:t>
            </w:r>
          </w:p>
        </w:tc>
        <w:tc>
          <w:tcPr>
            <w:tcW w:w="1934" w:type="dxa"/>
          </w:tcPr>
          <w:p w14:paraId="6C429D9F"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51A695FC" w14:textId="77777777" w:rsidTr="00BD5575">
        <w:tc>
          <w:tcPr>
            <w:tcW w:w="4248" w:type="dxa"/>
          </w:tcPr>
          <w:p w14:paraId="3D186423"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Extrapolation based on log-normal parametric function</w:t>
            </w:r>
            <w:r w:rsidR="00E90635" w:rsidRPr="00121962">
              <w:rPr>
                <w:rFonts w:ascii="Arial Narrow" w:eastAsiaTheme="majorEastAsia" w:hAnsi="Arial Narrow" w:cstheme="majorBidi"/>
                <w:sz w:val="20"/>
                <w:vertAlign w:val="superscript"/>
              </w:rPr>
              <w:t>1</w:t>
            </w:r>
          </w:p>
        </w:tc>
        <w:tc>
          <w:tcPr>
            <w:tcW w:w="1417" w:type="dxa"/>
          </w:tcPr>
          <w:p w14:paraId="6BC66AFA"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tcPr>
          <w:p w14:paraId="3602F7F9"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0.4761</w:t>
            </w:r>
          </w:p>
        </w:tc>
        <w:tc>
          <w:tcPr>
            <w:tcW w:w="1934" w:type="dxa"/>
          </w:tcPr>
          <w:p w14:paraId="2AEFEEBD"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68CD93E8" w14:textId="77777777" w:rsidTr="00BD5575">
        <w:tc>
          <w:tcPr>
            <w:tcW w:w="4248" w:type="dxa"/>
          </w:tcPr>
          <w:p w14:paraId="7ED4CFC4"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gamma parametric function</w:t>
            </w:r>
          </w:p>
        </w:tc>
        <w:tc>
          <w:tcPr>
            <w:tcW w:w="1417" w:type="dxa"/>
          </w:tcPr>
          <w:p w14:paraId="45338FA2"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661A166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0.6180</w:t>
            </w:r>
          </w:p>
        </w:tc>
        <w:tc>
          <w:tcPr>
            <w:tcW w:w="1934" w:type="dxa"/>
          </w:tcPr>
          <w:p w14:paraId="11D9BA52"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4EC8E27C" w14:textId="77777777" w:rsidTr="00BD5575">
        <w:tc>
          <w:tcPr>
            <w:tcW w:w="9017" w:type="dxa"/>
            <w:gridSpan w:val="4"/>
          </w:tcPr>
          <w:p w14:paraId="31B02D5C"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management distribution (base case: 17.4% conservative management (Deloitte 2011 prevalence); 43.0% dialysis and 39.6% transplant (ANZDATA 2020 prevalence)</w:t>
            </w:r>
          </w:p>
        </w:tc>
      </w:tr>
      <w:tr w:rsidR="00442BD7" w:rsidRPr="00121962" w14:paraId="15CECB38" w14:textId="77777777" w:rsidTr="00BD5575">
        <w:tc>
          <w:tcPr>
            <w:tcW w:w="4248" w:type="dxa"/>
          </w:tcPr>
          <w:p w14:paraId="0BA59481"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Conservative management 17.4% from Deloitte 2010; distribution between dialysis (54.4%) and transplant (28.2%) based on ANZDATA incidence data</w:t>
            </w:r>
            <w:r w:rsidR="00E90635" w:rsidRPr="00121962">
              <w:rPr>
                <w:rFonts w:ascii="Arial Narrow" w:eastAsiaTheme="majorEastAsia" w:hAnsi="Arial Narrow" w:cstheme="majorBidi"/>
                <w:sz w:val="20"/>
                <w:vertAlign w:val="superscript"/>
              </w:rPr>
              <w:t>1</w:t>
            </w:r>
          </w:p>
        </w:tc>
        <w:tc>
          <w:tcPr>
            <w:tcW w:w="1417" w:type="dxa"/>
            <w:vAlign w:val="center"/>
          </w:tcPr>
          <w:p w14:paraId="6A3ECA17"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05DBBB29"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0.5902</w:t>
            </w:r>
          </w:p>
        </w:tc>
        <w:tc>
          <w:tcPr>
            <w:tcW w:w="1934" w:type="dxa"/>
            <w:vAlign w:val="center"/>
          </w:tcPr>
          <w:p w14:paraId="59A7CF76"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744EC134" w14:textId="77777777" w:rsidTr="00BD5575">
        <w:tc>
          <w:tcPr>
            <w:tcW w:w="4248" w:type="dxa"/>
          </w:tcPr>
          <w:p w14:paraId="3956E5A8"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Conservative management 50% (AIHW 2016; incidence); distribution between dialysis (32.9%) and transplant (17.1%) based on ANZDATA incidence data</w:t>
            </w:r>
          </w:p>
        </w:tc>
        <w:tc>
          <w:tcPr>
            <w:tcW w:w="1417" w:type="dxa"/>
            <w:vAlign w:val="center"/>
          </w:tcPr>
          <w:p w14:paraId="55B52E5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22C0281C"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0.5880</w:t>
            </w:r>
          </w:p>
        </w:tc>
        <w:tc>
          <w:tcPr>
            <w:tcW w:w="1934" w:type="dxa"/>
            <w:vAlign w:val="center"/>
          </w:tcPr>
          <w:p w14:paraId="40CF85D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139DCF2A" w14:textId="77777777" w:rsidTr="00BD5575">
        <w:tc>
          <w:tcPr>
            <w:tcW w:w="4248" w:type="dxa"/>
          </w:tcPr>
          <w:p w14:paraId="0C56CCE6"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DAPA-CKD trial (Table 2.5.1; 34.1% conservative management; 61.9% dialysis; 4.1% transplant)</w:t>
            </w:r>
            <w:r w:rsidR="00E90635" w:rsidRPr="00121962">
              <w:rPr>
                <w:rFonts w:ascii="Arial Narrow" w:eastAsiaTheme="majorEastAsia" w:hAnsi="Arial Narrow" w:cstheme="majorBidi"/>
                <w:sz w:val="20"/>
                <w:vertAlign w:val="superscript"/>
              </w:rPr>
              <w:t>1</w:t>
            </w:r>
          </w:p>
        </w:tc>
        <w:tc>
          <w:tcPr>
            <w:tcW w:w="1417" w:type="dxa"/>
            <w:vAlign w:val="center"/>
          </w:tcPr>
          <w:p w14:paraId="78FF4155"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737A5967"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0.5900</w:t>
            </w:r>
          </w:p>
        </w:tc>
        <w:tc>
          <w:tcPr>
            <w:tcW w:w="1934" w:type="dxa"/>
            <w:vAlign w:val="center"/>
          </w:tcPr>
          <w:p w14:paraId="37C4CA9E"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1748BB0A" w14:textId="77777777" w:rsidTr="00BD5575">
        <w:tc>
          <w:tcPr>
            <w:tcW w:w="4248" w:type="dxa"/>
          </w:tcPr>
          <w:p w14:paraId="282147D7"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Double conservative management (34.8%); distribution between dialysis (33.9%) and transplant (31.3%) based on ANZDATA prevalence data.</w:t>
            </w:r>
          </w:p>
        </w:tc>
        <w:tc>
          <w:tcPr>
            <w:tcW w:w="1417" w:type="dxa"/>
            <w:vAlign w:val="center"/>
          </w:tcPr>
          <w:p w14:paraId="1FCDC4D2"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34046B3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0.5885</w:t>
            </w:r>
          </w:p>
        </w:tc>
        <w:tc>
          <w:tcPr>
            <w:tcW w:w="1934" w:type="dxa"/>
            <w:vAlign w:val="center"/>
          </w:tcPr>
          <w:p w14:paraId="28928017"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0B0F112C" w14:textId="77777777" w:rsidTr="00BD5575">
        <w:tc>
          <w:tcPr>
            <w:tcW w:w="9017" w:type="dxa"/>
            <w:gridSpan w:val="4"/>
          </w:tcPr>
          <w:p w14:paraId="5C3C2973"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discontinuation (base case: monthly discontinuation of 0.48% applied for 10 years applied to drug costs only)</w:t>
            </w:r>
          </w:p>
        </w:tc>
      </w:tr>
      <w:tr w:rsidR="00442BD7" w:rsidRPr="00121962" w14:paraId="2FE6AC1E" w14:textId="77777777" w:rsidTr="00BD5575">
        <w:tc>
          <w:tcPr>
            <w:tcW w:w="4248" w:type="dxa"/>
          </w:tcPr>
          <w:p w14:paraId="5C128A24"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Dapagliflozin discontinuation applied for median duration of trial – 29 months (as no adjustment to treatment effects for further discontinuation beyond trial duration)</w:t>
            </w:r>
          </w:p>
        </w:tc>
        <w:tc>
          <w:tcPr>
            <w:tcW w:w="1417" w:type="dxa"/>
            <w:vAlign w:val="center"/>
          </w:tcPr>
          <w:p w14:paraId="4E4A7A04"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1A37DDB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6C41B5C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3FF2B018" w14:textId="77777777" w:rsidTr="00BD5575">
        <w:tc>
          <w:tcPr>
            <w:tcW w:w="9017" w:type="dxa"/>
            <w:gridSpan w:val="4"/>
          </w:tcPr>
          <w:p w14:paraId="3F65D03E"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costs (base case:</w:t>
            </w:r>
            <w:r w:rsidR="00AD57D6" w:rsidRPr="00121962">
              <w:rPr>
                <w:rFonts w:ascii="Arial Narrow" w:eastAsiaTheme="majorEastAsia" w:hAnsi="Arial Narrow" w:cstheme="majorBidi"/>
                <w:b/>
                <w:bCs/>
                <w:sz w:val="20"/>
              </w:rPr>
              <w:t xml:space="preserve"> transplant $99,058;</w:t>
            </w:r>
            <w:r w:rsidRPr="00121962">
              <w:rPr>
                <w:rFonts w:ascii="Arial Narrow" w:eastAsiaTheme="majorEastAsia" w:hAnsi="Arial Narrow" w:cstheme="majorBidi"/>
                <w:b/>
                <w:bCs/>
                <w:sz w:val="20"/>
              </w:rPr>
              <w:t xml:space="preserve"> ESKD monitoring $230.23; ESKD treatment $4,142 per cycle)</w:t>
            </w:r>
          </w:p>
        </w:tc>
      </w:tr>
      <w:tr w:rsidR="00442BD7" w:rsidRPr="00121962" w14:paraId="62F25595" w14:textId="77777777" w:rsidTr="00BD5575">
        <w:tc>
          <w:tcPr>
            <w:tcW w:w="4248" w:type="dxa"/>
          </w:tcPr>
          <w:p w14:paraId="5C5A4CD4"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of ESKD monitoring $0 (captured in costs of ESKD treatment)</w:t>
            </w:r>
          </w:p>
        </w:tc>
        <w:tc>
          <w:tcPr>
            <w:tcW w:w="1417" w:type="dxa"/>
            <w:vAlign w:val="center"/>
          </w:tcPr>
          <w:p w14:paraId="0F423F2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7B7C8DD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745B0597"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AD57D6" w:rsidRPr="00121962" w14:paraId="679A17D0" w14:textId="77777777" w:rsidTr="00AD57D6">
        <w:tc>
          <w:tcPr>
            <w:tcW w:w="4248" w:type="dxa"/>
          </w:tcPr>
          <w:p w14:paraId="05CA2C58" w14:textId="77777777" w:rsidR="00AD57D6" w:rsidRPr="00121962" w:rsidRDefault="00AD57D6" w:rsidP="00E90635">
            <w:pPr>
              <w:keepNext/>
              <w:jc w:val="left"/>
              <w:rPr>
                <w:rFonts w:ascii="Arial Narrow" w:eastAsiaTheme="majorEastAsia" w:hAnsi="Arial Narrow" w:cstheme="majorBidi"/>
                <w:iCs/>
                <w:sz w:val="20"/>
                <w:vertAlign w:val="superscript"/>
              </w:rPr>
            </w:pPr>
            <w:r w:rsidRPr="00121962">
              <w:rPr>
                <w:rFonts w:ascii="Arial Narrow" w:eastAsiaTheme="majorEastAsia" w:hAnsi="Arial Narrow" w:cstheme="majorBidi"/>
                <w:iCs/>
                <w:sz w:val="20"/>
              </w:rPr>
              <w:t>ESKD treatment and transplant costs $0</w:t>
            </w:r>
            <w:r w:rsidR="00E90635" w:rsidRPr="00121962">
              <w:rPr>
                <w:rFonts w:ascii="Arial Narrow" w:eastAsiaTheme="majorEastAsia" w:hAnsi="Arial Narrow" w:cstheme="majorBidi"/>
                <w:iCs/>
                <w:sz w:val="20"/>
                <w:vertAlign w:val="superscript"/>
              </w:rPr>
              <w:t>3</w:t>
            </w:r>
          </w:p>
        </w:tc>
        <w:tc>
          <w:tcPr>
            <w:tcW w:w="1417" w:type="dxa"/>
          </w:tcPr>
          <w:p w14:paraId="3813DF12"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eastAsiaTheme="majorEastAsia" w:hAnsi="Arial Narrow" w:cstheme="majorBidi"/>
                <w:bCs/>
                <w:iCs/>
                <w:noProof/>
                <w:color w:val="000000"/>
                <w:sz w:val="20"/>
                <w:highlight w:val="black"/>
              </w:rPr>
              <w:t>''''''''''''</w:t>
            </w:r>
          </w:p>
        </w:tc>
        <w:tc>
          <w:tcPr>
            <w:tcW w:w="1418" w:type="dxa"/>
          </w:tcPr>
          <w:p w14:paraId="6D618ABB"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0.5896</w:t>
            </w:r>
          </w:p>
        </w:tc>
        <w:tc>
          <w:tcPr>
            <w:tcW w:w="1934" w:type="dxa"/>
          </w:tcPr>
          <w:p w14:paraId="521415ED"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890BEB">
              <w:rPr>
                <w:rFonts w:ascii="Arial Narrow" w:eastAsiaTheme="majorEastAsia" w:hAnsi="Arial Narrow" w:cstheme="majorBidi"/>
                <w:bCs/>
                <w:iCs/>
                <w:sz w:val="20"/>
                <w:vertAlign w:val="superscript"/>
              </w:rPr>
              <w:t>5</w:t>
            </w:r>
          </w:p>
        </w:tc>
      </w:tr>
      <w:tr w:rsidR="00442BD7" w:rsidRPr="00121962" w14:paraId="79E3FE21" w14:textId="77777777" w:rsidTr="00BD5575">
        <w:tc>
          <w:tcPr>
            <w:tcW w:w="4248" w:type="dxa"/>
          </w:tcPr>
          <w:p w14:paraId="1D9063ED"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dialysis $7,292.66/cycle (including cost/proportions of patients receiving dialysis at satellite centres); Weighted average cost of ESKD treatment $3,808.59</w:t>
            </w:r>
          </w:p>
        </w:tc>
        <w:tc>
          <w:tcPr>
            <w:tcW w:w="1417" w:type="dxa"/>
            <w:vAlign w:val="center"/>
          </w:tcPr>
          <w:p w14:paraId="47563B0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5222B99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19374F2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bl>
    <w:p w14:paraId="3A9920F7"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Source: Table 3.9.2, p133 of the submission and ‘Dapagliflozin_CKD_CEA_05Mar21_FINAL’ TreeAge model provided with the submission</w:t>
      </w:r>
    </w:p>
    <w:p w14:paraId="1F9269A4" w14:textId="77777777" w:rsidR="00442BD7" w:rsidRPr="00121962" w:rsidRDefault="00442BD7" w:rsidP="00442BD7">
      <w:pPr>
        <w:widowControl w:val="0"/>
        <w:spacing w:after="120"/>
        <w:contextualSpacing/>
        <w:rPr>
          <w:rFonts w:ascii="Arial Narrow" w:hAnsi="Arial Narrow"/>
          <w:snapToGrid w:val="0"/>
          <w:sz w:val="18"/>
          <w:szCs w:val="18"/>
          <w:lang w:eastAsia="en-US"/>
        </w:rPr>
      </w:pPr>
      <w:r w:rsidRPr="00121962">
        <w:rPr>
          <w:rFonts w:ascii="Arial Narrow" w:hAnsi="Arial Narrow"/>
          <w:snapToGrid w:val="0"/>
          <w:sz w:val="18"/>
          <w:szCs w:val="22"/>
          <w:lang w:eastAsia="en-US"/>
        </w:rPr>
        <w:t xml:space="preserve">AIHW, Australian Institute of Health and Welfare; CKD, chronic kidney disease; ESKD, end-stage kidney disease; ICER, </w:t>
      </w:r>
      <w:r w:rsidRPr="00121962">
        <w:rPr>
          <w:rFonts w:ascii="Arial Narrow" w:hAnsi="Arial Narrow"/>
          <w:snapToGrid w:val="0"/>
          <w:sz w:val="18"/>
          <w:szCs w:val="18"/>
          <w:lang w:eastAsia="en-US"/>
        </w:rPr>
        <w:t>incremental cost-effectiveness ratio; QALY, quality adjusted life year</w:t>
      </w:r>
    </w:p>
    <w:p w14:paraId="4EEB7E1C" w14:textId="77777777" w:rsidR="00E90635" w:rsidRPr="00121962" w:rsidRDefault="00E90635" w:rsidP="00442BD7">
      <w:pPr>
        <w:widowControl w:val="0"/>
        <w:spacing w:after="120"/>
        <w:contextualSpacing/>
        <w:rPr>
          <w:rFonts w:ascii="Arial Narrow" w:hAnsi="Arial Narrow"/>
          <w:snapToGrid w:val="0"/>
          <w:sz w:val="18"/>
          <w:szCs w:val="18"/>
          <w:lang w:eastAsia="en-US"/>
        </w:rPr>
      </w:pPr>
      <w:r w:rsidRPr="00121962">
        <w:rPr>
          <w:rFonts w:ascii="Arial Narrow" w:eastAsiaTheme="majorEastAsia" w:hAnsi="Arial Narrow" w:cstheme="majorBidi"/>
          <w:sz w:val="18"/>
          <w:szCs w:val="18"/>
          <w:vertAlign w:val="superscript"/>
        </w:rPr>
        <w:t xml:space="preserve">1 </w:t>
      </w:r>
      <w:r w:rsidRPr="00121962">
        <w:rPr>
          <w:rFonts w:ascii="Arial Narrow" w:eastAsiaTheme="majorEastAsia" w:hAnsi="Arial Narrow" w:cstheme="majorBidi"/>
          <w:sz w:val="18"/>
          <w:szCs w:val="18"/>
        </w:rPr>
        <w:t>Sensitivity analysis presented by the submission</w:t>
      </w:r>
      <w:r w:rsidR="00D83E8F" w:rsidRPr="00121962">
        <w:rPr>
          <w:rFonts w:ascii="Arial Narrow" w:eastAsiaTheme="majorEastAsia" w:hAnsi="Arial Narrow" w:cstheme="majorBidi"/>
          <w:sz w:val="18"/>
          <w:szCs w:val="18"/>
        </w:rPr>
        <w:t>;</w:t>
      </w:r>
      <w:r w:rsidRPr="00121962">
        <w:rPr>
          <w:rFonts w:ascii="Arial Narrow" w:eastAsiaTheme="majorEastAsia" w:hAnsi="Arial Narrow" w:cstheme="majorBidi"/>
          <w:sz w:val="18"/>
          <w:szCs w:val="18"/>
        </w:rPr>
        <w:t xml:space="preserve"> </w:t>
      </w:r>
      <w:r w:rsidR="00A3784F" w:rsidRPr="00121962">
        <w:rPr>
          <w:rFonts w:ascii="Arial Narrow" w:eastAsiaTheme="majorEastAsia" w:hAnsi="Arial Narrow" w:cstheme="majorBidi"/>
          <w:sz w:val="18"/>
          <w:szCs w:val="18"/>
        </w:rPr>
        <w:t xml:space="preserve">the </w:t>
      </w:r>
      <w:r w:rsidRPr="00121962">
        <w:rPr>
          <w:rFonts w:ascii="Arial Narrow" w:eastAsiaTheme="majorEastAsia" w:hAnsi="Arial Narrow" w:cstheme="majorBidi"/>
          <w:sz w:val="18"/>
          <w:szCs w:val="18"/>
        </w:rPr>
        <w:t>remaining analyses were conducted during evaluation.</w:t>
      </w:r>
    </w:p>
    <w:p w14:paraId="3B51E797" w14:textId="77777777" w:rsidR="007749AB" w:rsidRPr="00121962" w:rsidRDefault="00E90635"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18"/>
          <w:vertAlign w:val="superscript"/>
          <w:lang w:eastAsia="en-US"/>
        </w:rPr>
        <w:t>2</w:t>
      </w:r>
      <w:r w:rsidR="007749AB" w:rsidRPr="00121962">
        <w:rPr>
          <w:rFonts w:ascii="Arial Narrow" w:hAnsi="Arial Narrow"/>
          <w:snapToGrid w:val="0"/>
          <w:sz w:val="18"/>
          <w:szCs w:val="18"/>
          <w:lang w:eastAsia="en-US"/>
        </w:rPr>
        <w:t xml:space="preserve"> Corrected</w:t>
      </w:r>
      <w:r w:rsidR="007749AB" w:rsidRPr="00121962">
        <w:rPr>
          <w:rFonts w:ascii="Arial Narrow" w:hAnsi="Arial Narrow"/>
          <w:snapToGrid w:val="0"/>
          <w:sz w:val="18"/>
          <w:szCs w:val="22"/>
          <w:lang w:eastAsia="en-US"/>
        </w:rPr>
        <w:t xml:space="preserve"> during the evaluation</w:t>
      </w:r>
      <w:r w:rsidR="00D83E8F" w:rsidRPr="00121962">
        <w:rPr>
          <w:rFonts w:ascii="Arial Narrow" w:hAnsi="Arial Narrow"/>
          <w:snapToGrid w:val="0"/>
          <w:sz w:val="18"/>
          <w:szCs w:val="22"/>
          <w:lang w:eastAsia="en-US"/>
        </w:rPr>
        <w:t xml:space="preserve">; </w:t>
      </w:r>
      <w:r w:rsidR="007749AB" w:rsidRPr="00121962">
        <w:rPr>
          <w:rFonts w:ascii="Arial Narrow" w:hAnsi="Arial Narrow"/>
          <w:snapToGrid w:val="0"/>
          <w:sz w:val="18"/>
          <w:szCs w:val="22"/>
          <w:lang w:eastAsia="en-US"/>
        </w:rPr>
        <w:t>the submission incorrectly claimed this analysis was cost saving, and resulted in dapagliflozin being dominant.</w:t>
      </w:r>
    </w:p>
    <w:p w14:paraId="502E6984" w14:textId="77777777" w:rsidR="001E1DB2" w:rsidRDefault="00E90635" w:rsidP="00890BEB">
      <w:pPr>
        <w:widowControl w:val="0"/>
        <w:contextualSpacing/>
        <w:rPr>
          <w:rFonts w:ascii="Arial Narrow" w:hAnsi="Arial Narrow"/>
          <w:snapToGrid w:val="0"/>
          <w:sz w:val="18"/>
          <w:szCs w:val="22"/>
          <w:lang w:eastAsia="en-US"/>
        </w:rPr>
      </w:pPr>
      <w:r w:rsidRPr="00121962">
        <w:rPr>
          <w:rFonts w:ascii="Arial Narrow" w:hAnsi="Arial Narrow"/>
          <w:snapToGrid w:val="0"/>
          <w:sz w:val="18"/>
          <w:szCs w:val="22"/>
          <w:vertAlign w:val="superscript"/>
          <w:lang w:eastAsia="en-US"/>
        </w:rPr>
        <w:t>3</w:t>
      </w:r>
      <w:r w:rsidR="001E1DB2" w:rsidRPr="00121962">
        <w:rPr>
          <w:rFonts w:ascii="Arial Narrow" w:hAnsi="Arial Narrow"/>
          <w:snapToGrid w:val="0"/>
          <w:sz w:val="18"/>
          <w:szCs w:val="22"/>
          <w:vertAlign w:val="superscript"/>
          <w:lang w:eastAsia="en-US"/>
        </w:rPr>
        <w:t xml:space="preserve"> </w:t>
      </w:r>
      <w:r w:rsidR="001E1DB2" w:rsidRPr="00121962">
        <w:rPr>
          <w:rFonts w:ascii="Arial Narrow" w:hAnsi="Arial Narrow"/>
          <w:snapToGrid w:val="0"/>
          <w:sz w:val="18"/>
          <w:szCs w:val="22"/>
          <w:lang w:eastAsia="en-US"/>
        </w:rPr>
        <w:t>Presented to show impact, noting this is not a clinically plausible scenario.</w:t>
      </w:r>
    </w:p>
    <w:p w14:paraId="1F92C8BE" w14:textId="77777777" w:rsidR="00890BEB" w:rsidRDefault="00890BEB" w:rsidP="00890BEB">
      <w:pPr>
        <w:pStyle w:val="TableFigureFooter"/>
        <w:spacing w:after="0"/>
        <w:contextualSpacing w:val="0"/>
        <w:rPr>
          <w:i/>
        </w:rPr>
      </w:pPr>
      <w:r w:rsidRPr="009868C4">
        <w:rPr>
          <w:i/>
        </w:rPr>
        <w:t>The redacted values correspond to the following ranges</w:t>
      </w:r>
      <w:r>
        <w:rPr>
          <w:i/>
        </w:rPr>
        <w:t xml:space="preserve">: </w:t>
      </w:r>
    </w:p>
    <w:p w14:paraId="5D2BE80E" w14:textId="77777777" w:rsidR="00890BEB" w:rsidRPr="00870C5D" w:rsidRDefault="00890BEB" w:rsidP="00890BEB">
      <w:pPr>
        <w:pStyle w:val="TableFigureFooter"/>
        <w:spacing w:after="0"/>
        <w:contextualSpacing w:val="0"/>
      </w:pPr>
      <w:r>
        <w:rPr>
          <w:i/>
          <w:vertAlign w:val="superscript"/>
        </w:rPr>
        <w:t>4</w:t>
      </w:r>
      <w:r>
        <w:rPr>
          <w:i/>
        </w:rPr>
        <w:t xml:space="preserve"> </w:t>
      </w:r>
      <w:r w:rsidRPr="00890BEB">
        <w:rPr>
          <w:i/>
        </w:rPr>
        <w:t>$5,000 to &lt; $15,000</w:t>
      </w:r>
    </w:p>
    <w:p w14:paraId="7872426A" w14:textId="77777777" w:rsidR="00890BEB" w:rsidRPr="00870C5D" w:rsidRDefault="00890BEB" w:rsidP="00890BEB">
      <w:pPr>
        <w:pStyle w:val="TableFigureFooter"/>
        <w:spacing w:after="0"/>
        <w:contextualSpacing w:val="0"/>
      </w:pPr>
      <w:r>
        <w:rPr>
          <w:i/>
          <w:vertAlign w:val="superscript"/>
        </w:rPr>
        <w:t>5</w:t>
      </w:r>
      <w:r>
        <w:rPr>
          <w:i/>
        </w:rPr>
        <w:t xml:space="preserve"> </w:t>
      </w:r>
      <w:r w:rsidRPr="00890BEB">
        <w:rPr>
          <w:i/>
        </w:rPr>
        <w:t>$15,000 to &lt; $25,000</w:t>
      </w:r>
    </w:p>
    <w:p w14:paraId="526ADAD6" w14:textId="77777777" w:rsidR="00890BEB" w:rsidRPr="00870C5D" w:rsidRDefault="00890BEB" w:rsidP="00890BEB">
      <w:pPr>
        <w:pStyle w:val="TableFigureFooter"/>
        <w:spacing w:after="0"/>
        <w:contextualSpacing w:val="0"/>
      </w:pPr>
      <w:r>
        <w:rPr>
          <w:i/>
          <w:vertAlign w:val="superscript"/>
        </w:rPr>
        <w:t>6</w:t>
      </w:r>
      <w:r>
        <w:rPr>
          <w:i/>
        </w:rPr>
        <w:t xml:space="preserve"> </w:t>
      </w:r>
      <w:r w:rsidRPr="00890BEB">
        <w:rPr>
          <w:i/>
        </w:rPr>
        <w:t>$35,000 to &lt; $45,000</w:t>
      </w:r>
    </w:p>
    <w:p w14:paraId="685A272B" w14:textId="77777777" w:rsidR="00890BEB" w:rsidRPr="00870C5D" w:rsidRDefault="00890BEB" w:rsidP="00890BEB">
      <w:pPr>
        <w:pStyle w:val="TableFigureFooter"/>
        <w:spacing w:after="0"/>
        <w:contextualSpacing w:val="0"/>
      </w:pPr>
      <w:r>
        <w:rPr>
          <w:i/>
          <w:vertAlign w:val="superscript"/>
        </w:rPr>
        <w:t>7</w:t>
      </w:r>
      <w:r>
        <w:rPr>
          <w:i/>
        </w:rPr>
        <w:t xml:space="preserve"> </w:t>
      </w:r>
      <w:r w:rsidRPr="00890BEB">
        <w:rPr>
          <w:i/>
        </w:rPr>
        <w:t>$0 to &lt; $5,000</w:t>
      </w:r>
    </w:p>
    <w:p w14:paraId="659D9E3F" w14:textId="77777777" w:rsidR="00890BEB" w:rsidRPr="00121962" w:rsidRDefault="00890BEB" w:rsidP="00442BD7">
      <w:pPr>
        <w:widowControl w:val="0"/>
        <w:spacing w:after="120"/>
        <w:contextualSpacing/>
        <w:rPr>
          <w:rFonts w:ascii="Arial Narrow" w:hAnsi="Arial Narrow"/>
          <w:snapToGrid w:val="0"/>
          <w:sz w:val="18"/>
          <w:szCs w:val="22"/>
          <w:lang w:eastAsia="en-US"/>
        </w:rPr>
      </w:pPr>
    </w:p>
    <w:p w14:paraId="6ACCB9DD" w14:textId="77777777" w:rsidR="00442BD7" w:rsidRPr="00121962" w:rsidRDefault="00442BD7" w:rsidP="00BF1CC8">
      <w:pPr>
        <w:pStyle w:val="ExecSumBodyText"/>
      </w:pPr>
      <w:r w:rsidRPr="00121962">
        <w:t>The sensitivity analyses indicate</w:t>
      </w:r>
      <w:r w:rsidR="002A072A" w:rsidRPr="00121962">
        <w:t>d</w:t>
      </w:r>
      <w:r w:rsidRPr="00121962">
        <w:t xml:space="preserve"> that the model </w:t>
      </w:r>
      <w:r w:rsidR="002A072A" w:rsidRPr="00121962">
        <w:t>was</w:t>
      </w:r>
      <w:r w:rsidRPr="00121962">
        <w:t xml:space="preserve"> most sensitive to time horizon, the parametric functions used to estimate progression to </w:t>
      </w:r>
      <w:r w:rsidR="00BD5575" w:rsidRPr="00121962">
        <w:t>ESKD</w:t>
      </w:r>
      <w:r w:rsidRPr="00121962">
        <w:t xml:space="preserve"> and from </w:t>
      </w:r>
      <w:r w:rsidR="00BD5575" w:rsidRPr="00121962">
        <w:t>ESKD</w:t>
      </w:r>
      <w:r w:rsidRPr="00121962">
        <w:t xml:space="preserve"> to death, the distribution between treatment modalities in </w:t>
      </w:r>
      <w:r w:rsidR="00BD5575" w:rsidRPr="00121962">
        <w:t>ESKD</w:t>
      </w:r>
      <w:r w:rsidRPr="00121962">
        <w:t xml:space="preserve">, the costs of </w:t>
      </w:r>
      <w:r w:rsidR="00BD5575" w:rsidRPr="00121962">
        <w:t>ESKD</w:t>
      </w:r>
      <w:r w:rsidRPr="00121962">
        <w:t xml:space="preserve"> treatment, and treatment persistence.</w:t>
      </w:r>
      <w:r w:rsidR="007749AB" w:rsidRPr="00121962">
        <w:t xml:space="preserve"> </w:t>
      </w:r>
      <w:r w:rsidR="007749AB" w:rsidRPr="00121962">
        <w:rPr>
          <w:iCs/>
        </w:rPr>
        <w:t xml:space="preserve">However, </w:t>
      </w:r>
      <w:r w:rsidR="00E17AA8" w:rsidRPr="00121962">
        <w:rPr>
          <w:iCs/>
        </w:rPr>
        <w:t>the ESC advised that without a revised model structure and extrapolation, which</w:t>
      </w:r>
      <w:r w:rsidR="007749AB" w:rsidRPr="00121962">
        <w:rPr>
          <w:iCs/>
        </w:rPr>
        <w:t xml:space="preserve"> parameters may be more important </w:t>
      </w:r>
      <w:r w:rsidR="0007586A" w:rsidRPr="00121962">
        <w:rPr>
          <w:iCs/>
        </w:rPr>
        <w:t xml:space="preserve">could not </w:t>
      </w:r>
      <w:r w:rsidR="007749AB" w:rsidRPr="00121962">
        <w:rPr>
          <w:iCs/>
        </w:rPr>
        <w:t>be adequately assessed in sensitivity analyses.</w:t>
      </w:r>
      <w:r w:rsidR="00CB5A8C" w:rsidRPr="00121962">
        <w:rPr>
          <w:iCs/>
        </w:rPr>
        <w:t xml:space="preserve"> </w:t>
      </w:r>
      <w:r w:rsidR="00CB5A8C" w:rsidRPr="00121962">
        <w:t xml:space="preserve">Even though </w:t>
      </w:r>
      <w:r w:rsidR="004F66CC" w:rsidRPr="00121962">
        <w:t>t</w:t>
      </w:r>
      <w:r w:rsidR="00CB5A8C" w:rsidRPr="00121962">
        <w:t xml:space="preserve">he DAPA-CKD trial was positive and sensitivity analyses suggested </w:t>
      </w:r>
      <w:r w:rsidR="004F66CC" w:rsidRPr="00121962">
        <w:t>dapagliflozin</w:t>
      </w:r>
      <w:r w:rsidR="00CB5A8C" w:rsidRPr="00121962">
        <w:t xml:space="preserve"> would remain cost-effective, </w:t>
      </w:r>
      <w:r w:rsidR="0012000E" w:rsidRPr="00121962">
        <w:t xml:space="preserve">the ESC felt that </w:t>
      </w:r>
      <w:r w:rsidR="00CB5A8C" w:rsidRPr="00121962">
        <w:t xml:space="preserve">the considerable uncertainty in the way the model </w:t>
      </w:r>
      <w:r w:rsidR="003C2668" w:rsidRPr="00121962">
        <w:t>was</w:t>
      </w:r>
      <w:r w:rsidR="00CB5A8C" w:rsidRPr="00121962">
        <w:t xml:space="preserve"> structured mean</w:t>
      </w:r>
      <w:r w:rsidR="0007586A" w:rsidRPr="00121962">
        <w:t>t</w:t>
      </w:r>
      <w:r w:rsidR="00CB5A8C" w:rsidRPr="00121962">
        <w:t xml:space="preserve"> these analyses </w:t>
      </w:r>
      <w:r w:rsidR="0007586A" w:rsidRPr="00121962">
        <w:t xml:space="preserve">were </w:t>
      </w:r>
      <w:r w:rsidR="00CB5A8C" w:rsidRPr="00121962">
        <w:t>unreliable.</w:t>
      </w:r>
    </w:p>
    <w:p w14:paraId="4B035177" w14:textId="77777777" w:rsidR="00442BD7" w:rsidRPr="00121962" w:rsidRDefault="00442BD7" w:rsidP="00442BD7">
      <w:pPr>
        <w:keepNext/>
        <w:spacing w:before="120" w:after="120"/>
        <w:outlineLvl w:val="1"/>
        <w:rPr>
          <w:rFonts w:asciiTheme="minorHAnsi" w:eastAsiaTheme="majorEastAsia" w:hAnsiTheme="minorHAnsi" w:cstheme="majorBidi"/>
          <w:b/>
          <w:i/>
          <w:spacing w:val="5"/>
          <w:kern w:val="28"/>
          <w:sz w:val="28"/>
          <w:szCs w:val="36"/>
        </w:rPr>
      </w:pPr>
      <w:bookmarkStart w:id="40" w:name="_Toc22898858"/>
      <w:r w:rsidRPr="00121962">
        <w:rPr>
          <w:rFonts w:asciiTheme="minorHAnsi" w:eastAsiaTheme="majorEastAsia" w:hAnsiTheme="minorHAnsi" w:cstheme="majorBidi"/>
          <w:b/>
          <w:i/>
          <w:spacing w:val="5"/>
          <w:kern w:val="28"/>
          <w:sz w:val="28"/>
          <w:szCs w:val="36"/>
        </w:rPr>
        <w:t>Drug cost/patient/year</w:t>
      </w:r>
      <w:bookmarkEnd w:id="40"/>
    </w:p>
    <w:p w14:paraId="59591793" w14:textId="77777777" w:rsidR="00442BD7" w:rsidRPr="00121962" w:rsidRDefault="00442BD7" w:rsidP="00BF1CC8">
      <w:pPr>
        <w:pStyle w:val="ExecSumBodyText"/>
      </w:pPr>
      <w:r w:rsidRPr="00121962">
        <w:t xml:space="preserve">The dapagliflozin drug cost per year </w:t>
      </w:r>
      <w:r w:rsidR="0007586A" w:rsidRPr="00121962">
        <w:t xml:space="preserve">was </w:t>
      </w:r>
      <w:r w:rsidR="00AC39AC" w:rsidRPr="00121962">
        <w:t>$</w:t>
      </w:r>
      <w:r w:rsidR="002F0C5E">
        <w:rPr>
          <w:noProof/>
          <w:color w:val="000000"/>
          <w:highlight w:val="black"/>
        </w:rPr>
        <w:t>''''''''''''</w:t>
      </w:r>
      <w:r w:rsidRPr="00121962">
        <w:t xml:space="preserve"> per patient per year </w:t>
      </w:r>
      <w:r w:rsidR="00AC39AC" w:rsidRPr="00121962">
        <w:t>based on the revised price offer in the pre-PBAC response and 13.045 scripts per patient per year</w:t>
      </w:r>
      <w:r w:rsidR="009D6B13" w:rsidRPr="00121962">
        <w:t>, assuming</w:t>
      </w:r>
      <w:r w:rsidRPr="00121962">
        <w:t xml:space="preserve"> 100% compliance. The estimated drug costs differed between the economic analysis and financial estimates due to differences in assumptions relating to treatment </w:t>
      </w:r>
      <w:r w:rsidR="00DA16DF" w:rsidRPr="00121962">
        <w:t xml:space="preserve">adherence </w:t>
      </w:r>
      <w:r w:rsidRPr="00121962">
        <w:t>and persistence.</w:t>
      </w:r>
      <w:r w:rsidR="00AC39AC" w:rsidRPr="00121962">
        <w:t xml:space="preserve"> The original and revised DPMQs are shown in the table below.</w:t>
      </w:r>
    </w:p>
    <w:p w14:paraId="49EA37F8" w14:textId="77777777" w:rsidR="00442BD7" w:rsidRPr="00121962" w:rsidRDefault="0008596F" w:rsidP="0008596F">
      <w:pPr>
        <w:pStyle w:val="TableFigureCaption"/>
      </w:pPr>
      <w:r w:rsidRPr="00121962">
        <w:t xml:space="preserve">Table </w:t>
      </w:r>
      <w:r w:rsidR="00E51973">
        <w:rPr>
          <w:noProof/>
        </w:rPr>
        <w:t>16</w:t>
      </w:r>
      <w:r w:rsidRPr="00121962">
        <w:t xml:space="preserve">: </w:t>
      </w:r>
      <w:r w:rsidR="00442BD7" w:rsidRPr="00121962">
        <w:t>Drug cost per patient per year for dapagliflozin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1"/>
        <w:gridCol w:w="2344"/>
        <w:gridCol w:w="2346"/>
        <w:gridCol w:w="2346"/>
      </w:tblGrid>
      <w:tr w:rsidR="00442BD7" w:rsidRPr="00121962" w14:paraId="60D25CBC" w14:textId="77777777" w:rsidTr="0007586A">
        <w:trPr>
          <w:cantSplit/>
          <w:tblHeader/>
          <w:jc w:val="center"/>
        </w:trPr>
        <w:tc>
          <w:tcPr>
            <w:tcW w:w="1098" w:type="pct"/>
            <w:tcMar>
              <w:top w:w="0" w:type="dxa"/>
              <w:left w:w="28" w:type="dxa"/>
              <w:bottom w:w="0" w:type="dxa"/>
              <w:right w:w="28" w:type="dxa"/>
            </w:tcMar>
            <w:vAlign w:val="center"/>
          </w:tcPr>
          <w:p w14:paraId="39720F91" w14:textId="77777777" w:rsidR="00442BD7" w:rsidRPr="00121962" w:rsidRDefault="00442BD7" w:rsidP="00442BD7">
            <w:pPr>
              <w:keepNext/>
              <w:jc w:val="center"/>
              <w:rPr>
                <w:rFonts w:ascii="Arial Narrow" w:eastAsiaTheme="majorEastAsia" w:hAnsi="Arial Narrow" w:cs="Times New Roman"/>
                <w:b/>
                <w:sz w:val="20"/>
                <w:szCs w:val="20"/>
              </w:rPr>
            </w:pPr>
          </w:p>
        </w:tc>
        <w:tc>
          <w:tcPr>
            <w:tcW w:w="1300" w:type="pct"/>
            <w:tcMar>
              <w:top w:w="0" w:type="dxa"/>
              <w:left w:w="28" w:type="dxa"/>
              <w:bottom w:w="0" w:type="dxa"/>
              <w:right w:w="28" w:type="dxa"/>
            </w:tcMar>
            <w:vAlign w:val="center"/>
            <w:hideMark/>
          </w:tcPr>
          <w:p w14:paraId="67CC0BC9"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DAPA-CKD trial</w:t>
            </w:r>
          </w:p>
        </w:tc>
        <w:tc>
          <w:tcPr>
            <w:tcW w:w="1301" w:type="pct"/>
            <w:tcMar>
              <w:top w:w="0" w:type="dxa"/>
              <w:left w:w="28" w:type="dxa"/>
              <w:bottom w:w="0" w:type="dxa"/>
              <w:right w:w="28" w:type="dxa"/>
            </w:tcMar>
            <w:vAlign w:val="center"/>
            <w:hideMark/>
          </w:tcPr>
          <w:p w14:paraId="19ECFD42"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Economic model</w:t>
            </w:r>
          </w:p>
        </w:tc>
        <w:tc>
          <w:tcPr>
            <w:tcW w:w="1301" w:type="pct"/>
            <w:tcMar>
              <w:top w:w="0" w:type="dxa"/>
              <w:left w:w="28" w:type="dxa"/>
              <w:bottom w:w="0" w:type="dxa"/>
              <w:right w:w="28" w:type="dxa"/>
            </w:tcMar>
            <w:vAlign w:val="center"/>
            <w:hideMark/>
          </w:tcPr>
          <w:p w14:paraId="33BC7B49"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Financial estimates</w:t>
            </w:r>
          </w:p>
        </w:tc>
      </w:tr>
      <w:tr w:rsidR="00442BD7" w:rsidRPr="00121962" w14:paraId="62FF4510" w14:textId="77777777" w:rsidTr="0007586A">
        <w:trPr>
          <w:cantSplit/>
          <w:jc w:val="center"/>
        </w:trPr>
        <w:tc>
          <w:tcPr>
            <w:tcW w:w="1098" w:type="pct"/>
            <w:tcMar>
              <w:top w:w="0" w:type="dxa"/>
              <w:left w:w="28" w:type="dxa"/>
              <w:bottom w:w="0" w:type="dxa"/>
              <w:right w:w="28" w:type="dxa"/>
            </w:tcMar>
            <w:vAlign w:val="center"/>
            <w:hideMark/>
          </w:tcPr>
          <w:p w14:paraId="013C8180" w14:textId="77777777"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Daily dose</w:t>
            </w:r>
          </w:p>
        </w:tc>
        <w:tc>
          <w:tcPr>
            <w:tcW w:w="1300" w:type="pct"/>
            <w:tcMar>
              <w:top w:w="0" w:type="dxa"/>
              <w:left w:w="28" w:type="dxa"/>
              <w:bottom w:w="0" w:type="dxa"/>
              <w:right w:w="28" w:type="dxa"/>
            </w:tcMar>
            <w:vAlign w:val="center"/>
            <w:hideMark/>
          </w:tcPr>
          <w:p w14:paraId="0940BFE1"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14:paraId="140DCCF2"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14:paraId="707C135A"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r>
      <w:tr w:rsidR="00442BD7" w:rsidRPr="00121962" w14:paraId="006C389F" w14:textId="77777777" w:rsidTr="0007586A">
        <w:trPr>
          <w:cantSplit/>
          <w:jc w:val="center"/>
        </w:trPr>
        <w:tc>
          <w:tcPr>
            <w:tcW w:w="1098" w:type="pct"/>
            <w:tcMar>
              <w:top w:w="0" w:type="dxa"/>
              <w:left w:w="28" w:type="dxa"/>
              <w:bottom w:w="0" w:type="dxa"/>
              <w:right w:w="28" w:type="dxa"/>
            </w:tcMar>
            <w:vAlign w:val="center"/>
            <w:hideMark/>
          </w:tcPr>
          <w:p w14:paraId="7609657B" w14:textId="77777777"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pack of 28 tablets (</w:t>
            </w:r>
            <w:r w:rsidR="00A84BDA" w:rsidRPr="00121962">
              <w:rPr>
                <w:rFonts w:ascii="Arial Narrow" w:eastAsiaTheme="majorEastAsia" w:hAnsi="Arial Narrow" w:cstheme="majorBidi"/>
                <w:bCs/>
                <w:sz w:val="20"/>
                <w:szCs w:val="20"/>
              </w:rPr>
              <w:t xml:space="preserve">submission </w:t>
            </w:r>
            <w:r w:rsidRPr="00121962">
              <w:rPr>
                <w:rFonts w:ascii="Arial Narrow" w:eastAsiaTheme="majorEastAsia" w:hAnsi="Arial Narrow" w:cstheme="majorBidi"/>
                <w:bCs/>
                <w:sz w:val="20"/>
                <w:szCs w:val="20"/>
              </w:rPr>
              <w:t>DPMQ)</w:t>
            </w:r>
          </w:p>
        </w:tc>
        <w:tc>
          <w:tcPr>
            <w:tcW w:w="1300" w:type="pct"/>
            <w:tcMar>
              <w:top w:w="0" w:type="dxa"/>
              <w:left w:w="28" w:type="dxa"/>
              <w:bottom w:w="0" w:type="dxa"/>
              <w:right w:w="28" w:type="dxa"/>
            </w:tcMar>
            <w:vAlign w:val="center"/>
            <w:hideMark/>
          </w:tcPr>
          <w:p w14:paraId="61870463"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13C0289A"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14:paraId="4DE25F3B"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54C033CE" w14:textId="77777777" w:rsidTr="0007586A">
        <w:trPr>
          <w:cantSplit/>
          <w:jc w:val="center"/>
        </w:trPr>
        <w:tc>
          <w:tcPr>
            <w:tcW w:w="1098" w:type="pct"/>
            <w:tcMar>
              <w:top w:w="0" w:type="dxa"/>
              <w:left w:w="28" w:type="dxa"/>
              <w:bottom w:w="0" w:type="dxa"/>
              <w:right w:w="28" w:type="dxa"/>
            </w:tcMar>
            <w:vAlign w:val="center"/>
          </w:tcPr>
          <w:p w14:paraId="52C4EB9A"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pack of 28 tablets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14:paraId="678F437E"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14:paraId="7E1D2830"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c>
          <w:tcPr>
            <w:tcW w:w="1301" w:type="pct"/>
            <w:tcMar>
              <w:top w:w="0" w:type="dxa"/>
              <w:left w:w="28" w:type="dxa"/>
              <w:bottom w:w="0" w:type="dxa"/>
              <w:right w:w="28" w:type="dxa"/>
            </w:tcMar>
            <w:vAlign w:val="center"/>
          </w:tcPr>
          <w:p w14:paraId="3F9BBD76"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r>
      <w:tr w:rsidR="00A84BDA" w:rsidRPr="00121962" w14:paraId="0F4980CA" w14:textId="77777777" w:rsidTr="0007586A">
        <w:trPr>
          <w:cantSplit/>
          <w:jc w:val="center"/>
        </w:trPr>
        <w:tc>
          <w:tcPr>
            <w:tcW w:w="1098" w:type="pct"/>
            <w:tcMar>
              <w:top w:w="0" w:type="dxa"/>
              <w:left w:w="28" w:type="dxa"/>
              <w:bottom w:w="0" w:type="dxa"/>
              <w:right w:w="28" w:type="dxa"/>
            </w:tcMar>
            <w:vAlign w:val="center"/>
          </w:tcPr>
          <w:p w14:paraId="6C903ACD"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Adherence</w:t>
            </w:r>
          </w:p>
        </w:tc>
        <w:tc>
          <w:tcPr>
            <w:tcW w:w="1300" w:type="pct"/>
            <w:tcMar>
              <w:top w:w="0" w:type="dxa"/>
              <w:left w:w="28" w:type="dxa"/>
              <w:bottom w:w="0" w:type="dxa"/>
              <w:right w:w="28" w:type="dxa"/>
            </w:tcMar>
            <w:vAlign w:val="center"/>
          </w:tcPr>
          <w:p w14:paraId="742CC9EC"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c>
          <w:tcPr>
            <w:tcW w:w="1301" w:type="pct"/>
            <w:tcMar>
              <w:top w:w="0" w:type="dxa"/>
              <w:left w:w="28" w:type="dxa"/>
              <w:bottom w:w="0" w:type="dxa"/>
              <w:right w:w="28" w:type="dxa"/>
            </w:tcMar>
            <w:vAlign w:val="center"/>
          </w:tcPr>
          <w:p w14:paraId="754B61E2"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c>
          <w:tcPr>
            <w:tcW w:w="1301" w:type="pct"/>
            <w:tcMar>
              <w:top w:w="0" w:type="dxa"/>
              <w:left w:w="28" w:type="dxa"/>
              <w:bottom w:w="0" w:type="dxa"/>
              <w:right w:w="28" w:type="dxa"/>
            </w:tcMar>
            <w:vAlign w:val="center"/>
          </w:tcPr>
          <w:p w14:paraId="67F724BE"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r>
      <w:tr w:rsidR="00A84BDA" w:rsidRPr="00121962" w14:paraId="086387EF" w14:textId="77777777" w:rsidTr="0007586A">
        <w:trPr>
          <w:cantSplit/>
          <w:jc w:val="center"/>
        </w:trPr>
        <w:tc>
          <w:tcPr>
            <w:tcW w:w="1098" w:type="pct"/>
            <w:tcMar>
              <w:top w:w="0" w:type="dxa"/>
              <w:left w:w="28" w:type="dxa"/>
              <w:bottom w:w="0" w:type="dxa"/>
              <w:right w:w="28" w:type="dxa"/>
            </w:tcMar>
            <w:vAlign w:val="center"/>
            <w:hideMark/>
          </w:tcPr>
          <w:p w14:paraId="11DE9137"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No. scripts per year</w:t>
            </w:r>
          </w:p>
        </w:tc>
        <w:tc>
          <w:tcPr>
            <w:tcW w:w="1300" w:type="pct"/>
            <w:tcMar>
              <w:top w:w="0" w:type="dxa"/>
              <w:left w:w="28" w:type="dxa"/>
              <w:bottom w:w="0" w:type="dxa"/>
              <w:right w:w="28" w:type="dxa"/>
            </w:tcMar>
            <w:vAlign w:val="center"/>
            <w:hideMark/>
          </w:tcPr>
          <w:p w14:paraId="22759791"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14444C14"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13.045</w:t>
            </w:r>
          </w:p>
          <w:p w14:paraId="1B2749CC"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x 100%)</w:t>
            </w:r>
          </w:p>
        </w:tc>
        <w:tc>
          <w:tcPr>
            <w:tcW w:w="1301" w:type="pct"/>
            <w:tcMar>
              <w:top w:w="0" w:type="dxa"/>
              <w:left w:w="28" w:type="dxa"/>
              <w:bottom w:w="0" w:type="dxa"/>
              <w:right w:w="28" w:type="dxa"/>
            </w:tcMar>
            <w:vAlign w:val="center"/>
            <w:hideMark/>
          </w:tcPr>
          <w:p w14:paraId="4D46E93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12.862</w:t>
            </w:r>
          </w:p>
          <w:p w14:paraId="346E5945"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 98.6%)</w:t>
            </w:r>
          </w:p>
        </w:tc>
      </w:tr>
      <w:tr w:rsidR="00A84BDA" w:rsidRPr="00121962" w14:paraId="46513B21" w14:textId="77777777" w:rsidTr="0007586A">
        <w:trPr>
          <w:cantSplit/>
          <w:jc w:val="center"/>
        </w:trPr>
        <w:tc>
          <w:tcPr>
            <w:tcW w:w="1098" w:type="pct"/>
            <w:tcMar>
              <w:top w:w="0" w:type="dxa"/>
              <w:left w:w="28" w:type="dxa"/>
              <w:bottom w:w="0" w:type="dxa"/>
              <w:right w:w="28" w:type="dxa"/>
            </w:tcMar>
            <w:vAlign w:val="center"/>
            <w:hideMark/>
          </w:tcPr>
          <w:p w14:paraId="6D628375"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year (submission DPMQ)</w:t>
            </w:r>
          </w:p>
        </w:tc>
        <w:tc>
          <w:tcPr>
            <w:tcW w:w="1300" w:type="pct"/>
            <w:tcMar>
              <w:top w:w="0" w:type="dxa"/>
              <w:left w:w="28" w:type="dxa"/>
              <w:bottom w:w="0" w:type="dxa"/>
              <w:right w:w="28" w:type="dxa"/>
            </w:tcMar>
            <w:vAlign w:val="center"/>
            <w:hideMark/>
          </w:tcPr>
          <w:p w14:paraId="775A2313"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58008E9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14:paraId="286BB025"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3CCF9277" w14:textId="77777777" w:rsidTr="0007586A">
        <w:trPr>
          <w:cantSplit/>
          <w:jc w:val="center"/>
        </w:trPr>
        <w:tc>
          <w:tcPr>
            <w:tcW w:w="1098" w:type="pct"/>
            <w:tcMar>
              <w:top w:w="0" w:type="dxa"/>
              <w:left w:w="28" w:type="dxa"/>
              <w:bottom w:w="0" w:type="dxa"/>
              <w:right w:w="28" w:type="dxa"/>
            </w:tcMar>
            <w:vAlign w:val="center"/>
          </w:tcPr>
          <w:p w14:paraId="355649F7"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year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14:paraId="4A604E90"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14:paraId="6BB2CF3D"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tcPr>
          <w:p w14:paraId="45C54AB3"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0F2FC0AB" w14:textId="77777777" w:rsidTr="0007586A">
        <w:trPr>
          <w:cantSplit/>
          <w:trHeight w:val="1389"/>
          <w:jc w:val="center"/>
        </w:trPr>
        <w:tc>
          <w:tcPr>
            <w:tcW w:w="1098" w:type="pct"/>
            <w:tcMar>
              <w:top w:w="0" w:type="dxa"/>
              <w:left w:w="28" w:type="dxa"/>
              <w:bottom w:w="0" w:type="dxa"/>
              <w:right w:w="28" w:type="dxa"/>
            </w:tcMar>
            <w:vAlign w:val="center"/>
          </w:tcPr>
          <w:p w14:paraId="0232A61E"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Proportion of patients on treatment (persistence)</w:t>
            </w:r>
          </w:p>
        </w:tc>
        <w:tc>
          <w:tcPr>
            <w:tcW w:w="1300" w:type="pct"/>
            <w:tcMar>
              <w:top w:w="0" w:type="dxa"/>
              <w:left w:w="28" w:type="dxa"/>
              <w:bottom w:w="0" w:type="dxa"/>
              <w:right w:w="28" w:type="dxa"/>
            </w:tcMar>
            <w:vAlign w:val="center"/>
          </w:tcPr>
          <w:p w14:paraId="6C1B79EE"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At a median follow-up of 18.5 months, 87.3% of patients in the dapagliflozin arm remained on treatment</w:t>
            </w:r>
          </w:p>
        </w:tc>
        <w:tc>
          <w:tcPr>
            <w:tcW w:w="1301" w:type="pct"/>
            <w:tcMar>
              <w:top w:w="0" w:type="dxa"/>
              <w:left w:w="28" w:type="dxa"/>
              <w:bottom w:w="0" w:type="dxa"/>
              <w:right w:w="28" w:type="dxa"/>
            </w:tcMar>
          </w:tcPr>
          <w:p w14:paraId="75217FA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1: 94.4%</w:t>
            </w:r>
          </w:p>
          <w:p w14:paraId="212BBCB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2: 89.2%</w:t>
            </w:r>
          </w:p>
          <w:p w14:paraId="25F42448"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3: 84.2%</w:t>
            </w:r>
          </w:p>
          <w:p w14:paraId="2220A989"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4: 79.5%</w:t>
            </w:r>
          </w:p>
          <w:p w14:paraId="5A14BC44"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5: 75.1%</w:t>
            </w:r>
          </w:p>
          <w:p w14:paraId="68877230"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6: 70.9%</w:t>
            </w:r>
          </w:p>
        </w:tc>
        <w:tc>
          <w:tcPr>
            <w:tcW w:w="1301" w:type="pct"/>
            <w:tcMar>
              <w:top w:w="0" w:type="dxa"/>
              <w:left w:w="28" w:type="dxa"/>
              <w:bottom w:w="0" w:type="dxa"/>
              <w:right w:w="28" w:type="dxa"/>
            </w:tcMar>
            <w:vAlign w:val="center"/>
          </w:tcPr>
          <w:p w14:paraId="2F349473"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r>
    </w:tbl>
    <w:p w14:paraId="35FF1F23" w14:textId="77777777"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Source: Table 14.1.1, p10 CSR appendices, Dapa CKD model inputs_05Mar2021 and Attachment4.1_DAPA_CKD_BIM spreadsheets provided with submission</w:t>
      </w:r>
    </w:p>
    <w:p w14:paraId="175A5257" w14:textId="77777777"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DPMQ, dispensed price for maximum quantity</w:t>
      </w:r>
    </w:p>
    <w:p w14:paraId="7F159829" w14:textId="77777777" w:rsidR="00A84BDA" w:rsidRPr="00121962" w:rsidRDefault="00A84BDA" w:rsidP="00A84BDA">
      <w:pPr>
        <w:pStyle w:val="TableFigureFooter"/>
        <w:jc w:val="left"/>
      </w:pPr>
      <w:r w:rsidRPr="00121962">
        <w:rPr>
          <w:vertAlign w:val="superscript"/>
        </w:rPr>
        <w:t xml:space="preserve">1 </w:t>
      </w:r>
      <w:r w:rsidRPr="00121962">
        <w:t>The pre-PBAC response offered a DPMQ of $</w:t>
      </w:r>
      <w:r w:rsidR="002F0C5E">
        <w:rPr>
          <w:noProof/>
          <w:color w:val="000000"/>
          <w:highlight w:val="black"/>
        </w:rPr>
        <w:t>''''''''''''</w:t>
      </w:r>
      <w:r w:rsidRPr="00121962">
        <w:t xml:space="preserve">, consistent with the </w:t>
      </w:r>
      <w:r w:rsidR="002F0C5E">
        <w:rPr>
          <w:noProof/>
          <w:color w:val="000000"/>
          <w:highlight w:val="black"/>
        </w:rPr>
        <w:t>'''''''''''''</w:t>
      </w:r>
      <w:r w:rsidRPr="00121962">
        <w:t xml:space="preserve"> price. The </w:t>
      </w:r>
      <w:r w:rsidR="002F0C5E">
        <w:rPr>
          <w:noProof/>
          <w:color w:val="000000"/>
          <w:highlight w:val="black"/>
        </w:rPr>
        <w:t>''''''''''''''</w:t>
      </w:r>
      <w:r w:rsidRPr="00121962">
        <w:t xml:space="preserve"> DPMQ at the time of the July 2021 PBAC meeting was $</w:t>
      </w:r>
      <w:r w:rsidR="002F0C5E">
        <w:rPr>
          <w:noProof/>
          <w:color w:val="000000"/>
          <w:highlight w:val="black"/>
        </w:rPr>
        <w:t>''''''''''''</w:t>
      </w:r>
      <w:r w:rsidRPr="00121962">
        <w:t>.</w:t>
      </w:r>
    </w:p>
    <w:p w14:paraId="7A7B64D0" w14:textId="77777777" w:rsidR="00B60939" w:rsidRPr="00121962" w:rsidRDefault="00B60939" w:rsidP="002B05A1">
      <w:pPr>
        <w:pStyle w:val="3-SubsectionHeading"/>
      </w:pPr>
      <w:bookmarkStart w:id="41" w:name="_Toc22897647"/>
      <w:bookmarkStart w:id="42" w:name="_Toc72322337"/>
      <w:r w:rsidRPr="00121962">
        <w:t>Estimated PBS usage &amp; financial implications</w:t>
      </w:r>
      <w:bookmarkEnd w:id="41"/>
      <w:bookmarkEnd w:id="42"/>
    </w:p>
    <w:p w14:paraId="6AD76C95" w14:textId="77777777" w:rsidR="005D420C" w:rsidRPr="00121962" w:rsidRDefault="005D420C" w:rsidP="005D420C">
      <w:pPr>
        <w:pStyle w:val="ExecSumBodyText"/>
        <w:numPr>
          <w:ilvl w:val="1"/>
          <w:numId w:val="1"/>
        </w:numPr>
        <w:rPr>
          <w:color w:val="0066FF"/>
        </w:rPr>
      </w:pPr>
      <w:bookmarkStart w:id="43" w:name="_Toc22897648"/>
      <w:bookmarkStart w:id="44" w:name="_Toc72322338"/>
      <w:r w:rsidRPr="00121962">
        <w:t xml:space="preserve">This submission </w:t>
      </w:r>
      <w:r w:rsidR="00C603E2" w:rsidRPr="00121962">
        <w:t>was</w:t>
      </w:r>
      <w:r w:rsidRPr="00121962">
        <w:t xml:space="preserve"> considered by DUSC</w:t>
      </w:r>
      <w:r w:rsidRPr="00121962">
        <w:rPr>
          <w:color w:val="0070C0"/>
        </w:rPr>
        <w:t>.</w:t>
      </w:r>
      <w:r w:rsidRPr="00121962">
        <w:rPr>
          <w:i/>
          <w:iCs/>
          <w:color w:val="0070C0"/>
        </w:rPr>
        <w:t xml:space="preserve"> </w:t>
      </w:r>
      <w:r w:rsidRPr="00121962">
        <w:t>The submission used an epidemiological approach to estimate the utilisation and financial impacts associated with the PBS listing of dapagliflozin for the treatment of CKD, in the CKD only population. Patients likely to be treated with dapagliflozin for T2DM under existing PBS listings or the proposed PBS listing for HFrEF (item 7.01 refers) were excluded.</w:t>
      </w:r>
    </w:p>
    <w:p w14:paraId="656D750E" w14:textId="77777777" w:rsidR="005D420C" w:rsidRPr="00121962" w:rsidRDefault="005D420C" w:rsidP="005D420C">
      <w:pPr>
        <w:pStyle w:val="ExecSumBodyText"/>
        <w:numPr>
          <w:ilvl w:val="1"/>
          <w:numId w:val="1"/>
        </w:numPr>
        <w:rPr>
          <w:color w:val="0066FF"/>
        </w:rPr>
      </w:pPr>
      <w:r w:rsidRPr="00121962">
        <w:t xml:space="preserve">The submission estimated the Australian CKD population based on a review of eGFR and UACR biomedical data from </w:t>
      </w:r>
      <w:r w:rsidRPr="00121962">
        <w:rPr>
          <w:rFonts w:cstheme="minorHAnsi"/>
          <w:color w:val="000000"/>
        </w:rPr>
        <w:t>2011-2012 National Health Measures Survey (NHMS)</w:t>
      </w:r>
      <w:r w:rsidRPr="00121962">
        <w:t xml:space="preserve"> assuming the eligible CKD population to be equivalent to the sum of the proportions of patients with CKD biomedical data consistent with CKD stages 2 to 3b, as a proxy for the clinical criteria; eGFR </w:t>
      </w:r>
      <w:r w:rsidRPr="00121962">
        <w:rPr>
          <w:rFonts w:cs="Calibri"/>
        </w:rPr>
        <w:t>≥</w:t>
      </w:r>
      <w:r w:rsidRPr="00121962">
        <w:t xml:space="preserve">25 and </w:t>
      </w:r>
      <w:r w:rsidRPr="00121962">
        <w:rPr>
          <w:rFonts w:cs="Calibri"/>
        </w:rPr>
        <w:t>≤</w:t>
      </w:r>
      <w:r w:rsidRPr="00121962">
        <w:t>75 mL/min/1.73 m</w:t>
      </w:r>
      <w:r w:rsidRPr="00121962">
        <w:rPr>
          <w:vertAlign w:val="superscript"/>
        </w:rPr>
        <w:t>2</w:t>
      </w:r>
      <w:r w:rsidRPr="00121962">
        <w:t>. The proportion of patients likely to be diagnosed were based on the proportions of self-reported CKD disease in the 2011-2012 Australian Health Survey.</w:t>
      </w:r>
    </w:p>
    <w:p w14:paraId="33308DB4" w14:textId="77777777" w:rsidR="005D420C" w:rsidRPr="00121962" w:rsidRDefault="005D420C" w:rsidP="005D420C">
      <w:pPr>
        <w:pStyle w:val="ExecSumBodyText"/>
        <w:numPr>
          <w:ilvl w:val="1"/>
          <w:numId w:val="1"/>
        </w:numPr>
        <w:rPr>
          <w:color w:val="0066FF"/>
        </w:rPr>
      </w:pPr>
      <w:r w:rsidRPr="00121962">
        <w:t xml:space="preserve">The submission acknowledged that the listing of dapagliflozin for the treatment of CKD may increase the incidence of diagnosed CKD, and assumed an annual increase of 2% in the rate of diagnoses over 6 years of listing. In addition, the submission assumed that </w:t>
      </w:r>
      <w:r w:rsidR="002F0C5E">
        <w:rPr>
          <w:noProof/>
          <w:color w:val="000000"/>
          <w:highlight w:val="black"/>
        </w:rPr>
        <w:t>''''''</w:t>
      </w:r>
      <w:r w:rsidRPr="00121962">
        <w:t>% of patients currently treated with empagliflozin who will be eligible for PBS subsidised dapagliflozin for CKD, will switch to dapagliflozin. The savings derived from patients switching from empagliflozin were offset against the costs of dapagliflozin.</w:t>
      </w:r>
    </w:p>
    <w:p w14:paraId="68B8F047" w14:textId="77777777" w:rsidR="005D420C" w:rsidRPr="008E16C3" w:rsidRDefault="005D420C" w:rsidP="005D420C">
      <w:pPr>
        <w:pStyle w:val="ExecSumBodyText"/>
        <w:numPr>
          <w:ilvl w:val="1"/>
          <w:numId w:val="1"/>
        </w:numPr>
        <w:rPr>
          <w:color w:val="0066FF"/>
        </w:rPr>
      </w:pPr>
      <w:r w:rsidRPr="00121962">
        <w:t xml:space="preserve">The proportions of patients likely to be eligible for treatment with dapagliflozin under the existing T2DM or the proposed HFrEF PBS listings were calculated individually, using the proportions of overlapping populations suggested in the </w:t>
      </w:r>
      <w:r w:rsidRPr="00121962">
        <w:rPr>
          <w:i/>
          <w:iCs/>
        </w:rPr>
        <w:t>AIHW Cardiovascular disease, diabetes and chronic kidney disease: Australian facts report</w:t>
      </w:r>
      <w:r w:rsidRPr="00121962">
        <w:t xml:space="preserve"> (2014</w:t>
      </w:r>
      <w:r w:rsidR="00F84B16" w:rsidRPr="00121962">
        <w:t>;</w:t>
      </w:r>
      <w:r w:rsidR="00741AE0">
        <w:t xml:space="preserve"> </w:t>
      </w:r>
      <w:r w:rsidR="008E16C3">
        <w:t>figure shown below</w:t>
      </w:r>
      <w:r w:rsidRPr="00121962">
        <w:t xml:space="preserve">), and the estimated prevalence of uncontrolled T2DM and cardiovascular disease attributable to HFrEF in the Australian CKD population. </w:t>
      </w:r>
    </w:p>
    <w:p w14:paraId="2A13CC52" w14:textId="77777777" w:rsidR="00980291" w:rsidRDefault="00980291">
      <w:pPr>
        <w:jc w:val="left"/>
        <w:rPr>
          <w:rFonts w:ascii="Arial Narrow" w:eastAsiaTheme="majorEastAsia" w:hAnsi="Arial Narrow" w:cstheme="majorBidi"/>
          <w:b/>
          <w:bCs/>
          <w:sz w:val="20"/>
        </w:rPr>
      </w:pPr>
      <w:r>
        <w:br w:type="page"/>
      </w:r>
    </w:p>
    <w:p w14:paraId="19E6D559" w14:textId="4F8B3241" w:rsidR="008E16C3" w:rsidRDefault="008E16C3" w:rsidP="008E16C3">
      <w:pPr>
        <w:pStyle w:val="TableFigureCaption"/>
      </w:pPr>
      <w:r>
        <w:t xml:space="preserve">Figure </w:t>
      </w:r>
      <w:r w:rsidR="00E51973">
        <w:rPr>
          <w:noProof/>
        </w:rPr>
        <w:t>3</w:t>
      </w:r>
      <w:r>
        <w:t>: Overlap between heart failure, chronic kidney disease and type 2 diabetes mellitus</w:t>
      </w:r>
    </w:p>
    <w:p w14:paraId="47936CFB" w14:textId="77777777" w:rsidR="008E16C3" w:rsidRDefault="008E16C3" w:rsidP="008E16C3">
      <w:pPr>
        <w:pStyle w:val="TableFooter"/>
      </w:pPr>
      <w:r>
        <w:rPr>
          <w:noProof/>
          <w:lang w:eastAsia="en-AU"/>
        </w:rPr>
        <w:drawing>
          <wp:inline distT="0" distB="0" distL="0" distR="0" wp14:anchorId="27A5E979" wp14:editId="22FA8E71">
            <wp:extent cx="4017645" cy="2573020"/>
            <wp:effectExtent l="0" t="0" r="1905" b="0"/>
            <wp:docPr id="1" name="Picture 1" title="Figure 3: Overlap between heart failure, chronic kidney disease and type 2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2573020"/>
                    </a:xfrm>
                    <a:prstGeom prst="rect">
                      <a:avLst/>
                    </a:prstGeom>
                    <a:noFill/>
                  </pic:spPr>
                </pic:pic>
              </a:graphicData>
            </a:graphic>
          </wp:inline>
        </w:drawing>
      </w:r>
    </w:p>
    <w:p w14:paraId="7DC8B51E" w14:textId="77777777" w:rsidR="008E16C3" w:rsidRPr="008E16C3" w:rsidRDefault="008E16C3" w:rsidP="008E16C3">
      <w:pPr>
        <w:pStyle w:val="TableFooter"/>
      </w:pPr>
      <w:r>
        <w:t>Source: Figure 5.1.1 of the submission, p161, from Kidney Health Australia 2020; adapted from AIHW 2014. CKD, chronic kidney disease; CVD, cardiovascular disease; T2DM, Type 2 diabetes mellitus.</w:t>
      </w:r>
      <w:r w:rsidR="00BE4210">
        <w:t xml:space="preserve"> </w:t>
      </w:r>
      <w:r>
        <w:t>Estimated overlap is relevant to patients aged 18 and older.</w:t>
      </w:r>
    </w:p>
    <w:p w14:paraId="17D93B3C" w14:textId="77777777" w:rsidR="008E16C3" w:rsidRPr="00121962" w:rsidRDefault="008E16C3" w:rsidP="005D420C">
      <w:pPr>
        <w:pStyle w:val="ExecSumBodyText"/>
        <w:numPr>
          <w:ilvl w:val="1"/>
          <w:numId w:val="1"/>
        </w:numPr>
        <w:rPr>
          <w:color w:val="0066FF"/>
        </w:rPr>
      </w:pPr>
      <w:bookmarkStart w:id="45" w:name="_Ref79572217"/>
      <w:r>
        <w:t>The PBAC noted that using the figure above</w:t>
      </w:r>
      <w:r w:rsidR="00F33BB7">
        <w:t>,</w:t>
      </w:r>
      <w:r>
        <w:t xml:space="preserve"> </w:t>
      </w:r>
      <w:r w:rsidR="00F33BB7">
        <w:t>the proportion of</w:t>
      </w:r>
      <w:r w:rsidRPr="008E16C3">
        <w:t xml:space="preserve"> the Australian population with CKD </w:t>
      </w:r>
      <w:r w:rsidR="009142B0">
        <w:t xml:space="preserve">(with or without comorbidities) </w:t>
      </w:r>
      <w:r w:rsidR="00B14E79">
        <w:t>is</w:t>
      </w:r>
      <w:r w:rsidRPr="008E16C3">
        <w:t xml:space="preserve"> 10.1%,</w:t>
      </w:r>
      <w:r w:rsidR="00F33BB7" w:rsidRPr="00F33BB7">
        <w:t xml:space="preserve"> </w:t>
      </w:r>
      <w:r w:rsidR="00F33BB7">
        <w:t>a</w:t>
      </w:r>
      <w:r w:rsidR="00F33BB7" w:rsidRPr="00F33BB7">
        <w:t xml:space="preserve">nd assuming that the heart failure (HF) population is 10% of the CVD population (Liew et al 2020), then it is possible to deduce that </w:t>
      </w:r>
      <w:r w:rsidRPr="008E16C3">
        <w:t xml:space="preserve">the </w:t>
      </w:r>
      <w:r>
        <w:t>proportion</w:t>
      </w:r>
      <w:r w:rsidRPr="008E16C3">
        <w:t xml:space="preserve"> with CKD and T2DM </w:t>
      </w:r>
      <w:r w:rsidR="00F33BB7">
        <w:t xml:space="preserve">only </w:t>
      </w:r>
      <w:r w:rsidRPr="008E16C3">
        <w:t>is 1.</w:t>
      </w:r>
      <w:r w:rsidR="00A416A8">
        <w:t>59</w:t>
      </w:r>
      <w:r w:rsidRPr="008E16C3">
        <w:t xml:space="preserve">% and the </w:t>
      </w:r>
      <w:r>
        <w:t>proportion</w:t>
      </w:r>
      <w:r w:rsidRPr="008E16C3">
        <w:t xml:space="preserve"> with CKD, T2DM and HF is 0.11%. </w:t>
      </w:r>
      <w:r>
        <w:t xml:space="preserve">Thus, the proportion of </w:t>
      </w:r>
      <w:r w:rsidRPr="008E16C3">
        <w:t xml:space="preserve">people with CKD that also have T2DM </w:t>
      </w:r>
      <w:r>
        <w:t>could be</w:t>
      </w:r>
      <w:r w:rsidRPr="008E16C3">
        <w:t xml:space="preserve"> (1.59% + 0.11%) / 10.1% = 16.8%. This means that the proportion of CKD patients not eligible under the T2DM restriction could be as low as 8</w:t>
      </w:r>
      <w:r w:rsidR="002B31AB">
        <w:t>3</w:t>
      </w:r>
      <w:r w:rsidRPr="008E16C3">
        <w:t>.2%</w:t>
      </w:r>
      <w:r w:rsidR="00D35970">
        <w:t>, although the PBAC acknowledged that this estimate did not explicitly account for eligibility according to the existing and proposed PBS restrictions</w:t>
      </w:r>
      <w:r w:rsidRPr="008E16C3">
        <w:t>.</w:t>
      </w:r>
      <w:r>
        <w:t xml:space="preserve"> </w:t>
      </w:r>
      <w:bookmarkEnd w:id="45"/>
    </w:p>
    <w:p w14:paraId="03C21FAD" w14:textId="77777777" w:rsidR="005D420C" w:rsidRPr="00121962" w:rsidRDefault="005D420C" w:rsidP="005D420C">
      <w:pPr>
        <w:pStyle w:val="ExecSumBodyText"/>
        <w:numPr>
          <w:ilvl w:val="1"/>
          <w:numId w:val="1"/>
        </w:numPr>
        <w:rPr>
          <w:color w:val="0066FF"/>
        </w:rPr>
      </w:pPr>
      <w:r w:rsidRPr="00121962">
        <w:t>The submission estimated savings to Commonwealth, State and Territory government health budgets from ESKD events</w:t>
      </w:r>
      <w:r w:rsidR="00BE4210">
        <w:t xml:space="preserve"> avoided (transplant, dialysis, </w:t>
      </w:r>
      <w:r w:rsidRPr="00121962">
        <w:t>conservative management) in patients treated with dapagliflozin, based on the annualised rate of ESKD events reported in the dapagliflozin plus SOC and SOC treatment arms of the DAPA-CKD trial. The annualised costs of ESKD events calculated for the economic evaluation were applied in the financial estimates. The costs to the Commonwealth and State or Territory government budgets were not estimated separately.</w:t>
      </w:r>
    </w:p>
    <w:p w14:paraId="4945F023" w14:textId="77777777" w:rsidR="005D420C" w:rsidRPr="00121962" w:rsidRDefault="005D420C" w:rsidP="005D420C">
      <w:pPr>
        <w:pStyle w:val="ExecSumBodyText"/>
        <w:numPr>
          <w:ilvl w:val="1"/>
          <w:numId w:val="1"/>
        </w:numPr>
        <w:rPr>
          <w:color w:val="0066FF"/>
        </w:rPr>
      </w:pPr>
      <w:r w:rsidRPr="00121962">
        <w:t>Key inputs used to derive the financial estimates are presented in the table below.</w:t>
      </w:r>
    </w:p>
    <w:p w14:paraId="4835B4B7" w14:textId="77777777" w:rsidR="00980291" w:rsidRDefault="00980291">
      <w:pPr>
        <w:jc w:val="left"/>
        <w:rPr>
          <w:rFonts w:ascii="Arial Narrow" w:eastAsiaTheme="majorEastAsia" w:hAnsi="Arial Narrow" w:cstheme="majorBidi"/>
          <w:b/>
          <w:bCs/>
          <w:sz w:val="20"/>
        </w:rPr>
      </w:pPr>
      <w:bookmarkStart w:id="46" w:name="_Ref79357412"/>
      <w:r>
        <w:br w:type="page"/>
      </w:r>
    </w:p>
    <w:p w14:paraId="1B1A42B6" w14:textId="4D8D7E5E" w:rsidR="005D420C" w:rsidRPr="00121962" w:rsidRDefault="005D420C" w:rsidP="005D420C">
      <w:pPr>
        <w:pStyle w:val="TableFigureCaption"/>
      </w:pPr>
      <w:bookmarkStart w:id="47" w:name="_GoBack"/>
      <w:bookmarkEnd w:id="47"/>
      <w:r w:rsidRPr="00121962">
        <w:t xml:space="preserve">Table </w:t>
      </w:r>
      <w:r w:rsidR="00E51973">
        <w:rPr>
          <w:noProof/>
        </w:rPr>
        <w:t>17</w:t>
      </w:r>
      <w:bookmarkEnd w:id="46"/>
      <w:r w:rsidRPr="00121962">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4045"/>
        <w:gridCol w:w="2992"/>
      </w:tblGrid>
      <w:tr w:rsidR="005D420C" w:rsidRPr="00121962" w14:paraId="77B90DD8" w14:textId="77777777" w:rsidTr="00672288">
        <w:trPr>
          <w:cantSplit/>
          <w:tblHeader/>
        </w:trPr>
        <w:tc>
          <w:tcPr>
            <w:tcW w:w="1098" w:type="pct"/>
            <w:shd w:val="clear" w:color="auto" w:fill="auto"/>
            <w:vAlign w:val="center"/>
          </w:tcPr>
          <w:p w14:paraId="597E0B58" w14:textId="77777777" w:rsidR="005D420C" w:rsidRPr="00121962" w:rsidRDefault="005D420C" w:rsidP="00823B59">
            <w:pPr>
              <w:pStyle w:val="Tableheadingrow"/>
              <w:keepNext w:val="0"/>
              <w:rPr>
                <w:lang w:val="en-AU"/>
              </w:rPr>
            </w:pPr>
            <w:r w:rsidRPr="00121962">
              <w:rPr>
                <w:lang w:val="en-AU"/>
              </w:rPr>
              <w:t>Parameter</w:t>
            </w:r>
          </w:p>
        </w:tc>
        <w:tc>
          <w:tcPr>
            <w:tcW w:w="2243" w:type="pct"/>
            <w:shd w:val="clear" w:color="auto" w:fill="auto"/>
            <w:vAlign w:val="center"/>
          </w:tcPr>
          <w:p w14:paraId="538616E5" w14:textId="77777777" w:rsidR="005D420C" w:rsidRPr="00121962" w:rsidRDefault="005D420C" w:rsidP="00823B59">
            <w:pPr>
              <w:pStyle w:val="Tableheadingrow"/>
              <w:keepNext w:val="0"/>
              <w:ind w:left="21" w:right="-12"/>
              <w:rPr>
                <w:lang w:val="en-AU"/>
              </w:rPr>
            </w:pPr>
            <w:r w:rsidRPr="00121962">
              <w:rPr>
                <w:lang w:val="en-AU"/>
              </w:rPr>
              <w:t>Value applied and source</w:t>
            </w:r>
          </w:p>
        </w:tc>
        <w:tc>
          <w:tcPr>
            <w:tcW w:w="1659" w:type="pct"/>
            <w:shd w:val="clear" w:color="auto" w:fill="auto"/>
            <w:vAlign w:val="center"/>
          </w:tcPr>
          <w:p w14:paraId="5A29268E" w14:textId="77777777" w:rsidR="005D420C" w:rsidRPr="00121962" w:rsidRDefault="005D420C" w:rsidP="00823B59">
            <w:pPr>
              <w:pStyle w:val="Tableheadingrow"/>
              <w:keepNext w:val="0"/>
              <w:rPr>
                <w:lang w:val="en-AU"/>
              </w:rPr>
            </w:pPr>
            <w:r w:rsidRPr="00121962">
              <w:rPr>
                <w:lang w:val="en-AU"/>
              </w:rPr>
              <w:t>Comment</w:t>
            </w:r>
          </w:p>
        </w:tc>
      </w:tr>
      <w:tr w:rsidR="005D420C" w:rsidRPr="00121962" w14:paraId="11F4B89A" w14:textId="77777777" w:rsidTr="00672288">
        <w:trPr>
          <w:cantSplit/>
        </w:trPr>
        <w:tc>
          <w:tcPr>
            <w:tcW w:w="1098" w:type="pct"/>
            <w:shd w:val="clear" w:color="auto" w:fill="auto"/>
            <w:vAlign w:val="center"/>
          </w:tcPr>
          <w:p w14:paraId="115505C4" w14:textId="77777777" w:rsidR="005D420C" w:rsidRPr="00121962" w:rsidRDefault="005D420C" w:rsidP="00823B59">
            <w:pPr>
              <w:pStyle w:val="TableText"/>
              <w:keepNext w:val="0"/>
            </w:pPr>
            <w:r w:rsidRPr="00121962">
              <w:t xml:space="preserve">Australian adults (%) with biomedical data suggesting CKD </w:t>
            </w:r>
          </w:p>
        </w:tc>
        <w:tc>
          <w:tcPr>
            <w:tcW w:w="2243" w:type="pct"/>
            <w:shd w:val="clear" w:color="auto" w:fill="auto"/>
            <w:vAlign w:val="center"/>
          </w:tcPr>
          <w:p w14:paraId="05CAF212" w14:textId="77777777" w:rsidR="005D420C" w:rsidRPr="00121962" w:rsidRDefault="005D420C" w:rsidP="00823B59">
            <w:pPr>
              <w:pStyle w:val="TableText"/>
              <w:keepNext w:val="0"/>
              <w:ind w:left="21" w:right="-12"/>
              <w:jc w:val="center"/>
            </w:pPr>
            <w:r w:rsidRPr="00121962">
              <w:t xml:space="preserve">Assumed prevalence of 10%, </w:t>
            </w:r>
          </w:p>
          <w:p w14:paraId="55B5430D" w14:textId="77777777" w:rsidR="005D420C" w:rsidRPr="00121962" w:rsidRDefault="005D420C" w:rsidP="00823B59">
            <w:pPr>
              <w:pStyle w:val="TableText"/>
              <w:keepNext w:val="0"/>
              <w:ind w:left="21" w:right="-12"/>
              <w:jc w:val="center"/>
            </w:pPr>
            <w:r w:rsidRPr="00121962">
              <w:t>based on patient biomedical data (2011-12 NHMS) and KHA (2012) definition of CKD</w:t>
            </w:r>
          </w:p>
          <w:p w14:paraId="25DA3180" w14:textId="77777777" w:rsidR="005D420C" w:rsidRPr="00121962" w:rsidRDefault="005D420C" w:rsidP="00823B59">
            <w:pPr>
              <w:pStyle w:val="TableText"/>
              <w:keepNext w:val="0"/>
              <w:ind w:left="21" w:right="-12"/>
              <w:jc w:val="center"/>
            </w:pPr>
            <w:r w:rsidRPr="00121962">
              <w:t xml:space="preserve">Year 1: </w:t>
            </w:r>
            <w:r w:rsidRPr="00121962">
              <w:rPr>
                <w:szCs w:val="20"/>
              </w:rPr>
              <w:t>2,075,792</w:t>
            </w:r>
            <w:r w:rsidRPr="00121962">
              <w:t xml:space="preserve"> to Year 6: </w:t>
            </w:r>
            <w:r w:rsidRPr="00121962">
              <w:rPr>
                <w:szCs w:val="20"/>
              </w:rPr>
              <w:t>2,239,310</w:t>
            </w:r>
          </w:p>
        </w:tc>
        <w:tc>
          <w:tcPr>
            <w:tcW w:w="1659" w:type="pct"/>
            <w:shd w:val="clear" w:color="auto" w:fill="auto"/>
            <w:vAlign w:val="center"/>
          </w:tcPr>
          <w:p w14:paraId="3EA9C4EE" w14:textId="77777777" w:rsidR="005D420C" w:rsidRPr="00121962" w:rsidRDefault="005D420C" w:rsidP="00823B59">
            <w:pPr>
              <w:pStyle w:val="TableText"/>
              <w:keepNext w:val="0"/>
              <w:rPr>
                <w:iCs/>
                <w:highlight w:val="yellow"/>
              </w:rPr>
            </w:pPr>
            <w:r w:rsidRPr="00121962">
              <w:rPr>
                <w:iCs/>
              </w:rPr>
              <w:t>This may be reasonable, but was uncertain, as biomedical data may not have identified the difference between chronic and acute kidney disease</w:t>
            </w:r>
          </w:p>
        </w:tc>
      </w:tr>
      <w:tr w:rsidR="005D420C" w:rsidRPr="00121962" w14:paraId="4E17E896" w14:textId="77777777" w:rsidTr="00672288">
        <w:trPr>
          <w:cantSplit/>
        </w:trPr>
        <w:tc>
          <w:tcPr>
            <w:tcW w:w="1098" w:type="pct"/>
            <w:shd w:val="clear" w:color="auto" w:fill="auto"/>
            <w:vAlign w:val="center"/>
          </w:tcPr>
          <w:p w14:paraId="745AB320" w14:textId="77777777" w:rsidR="005D420C" w:rsidRPr="00121962" w:rsidRDefault="005D420C" w:rsidP="00823B59">
            <w:pPr>
              <w:pStyle w:val="TableText"/>
              <w:keepNext w:val="0"/>
            </w:pPr>
            <w:r w:rsidRPr="00121962">
              <w:t xml:space="preserve">Adults (%) with biomedical data suggesting CKD, likely to be diagnosed with CKD </w:t>
            </w:r>
          </w:p>
        </w:tc>
        <w:tc>
          <w:tcPr>
            <w:tcW w:w="2243" w:type="pct"/>
            <w:shd w:val="clear" w:color="auto" w:fill="auto"/>
            <w:vAlign w:val="center"/>
          </w:tcPr>
          <w:p w14:paraId="5696C1E4" w14:textId="77777777" w:rsidR="005D420C" w:rsidRPr="00121962" w:rsidRDefault="005D420C" w:rsidP="00823B59">
            <w:pPr>
              <w:pStyle w:val="TableText"/>
              <w:keepNext w:val="0"/>
              <w:ind w:left="21" w:right="-12"/>
              <w:jc w:val="center"/>
            </w:pPr>
            <w:r w:rsidRPr="00121962">
              <w:t>Rate of diagnosis of 10% based on survey of self-reported kidney disease</w:t>
            </w:r>
          </w:p>
          <w:p w14:paraId="70993DFD" w14:textId="77777777" w:rsidR="005D420C" w:rsidRPr="00121962" w:rsidRDefault="005D420C" w:rsidP="00823B59">
            <w:pPr>
              <w:pStyle w:val="TableText"/>
              <w:keepNext w:val="0"/>
              <w:ind w:left="21" w:right="-12"/>
              <w:jc w:val="center"/>
            </w:pPr>
            <w:r w:rsidRPr="00121962">
              <w:t>Year 1: 10% (2011-12 AHS)</w:t>
            </w:r>
          </w:p>
          <w:p w14:paraId="41EBFDE8" w14:textId="77777777" w:rsidR="005D420C" w:rsidRPr="00121962" w:rsidRDefault="005D420C" w:rsidP="00823B59">
            <w:pPr>
              <w:pStyle w:val="TableText"/>
              <w:keepNext w:val="0"/>
              <w:ind w:left="21" w:right="-12"/>
              <w:jc w:val="center"/>
            </w:pPr>
            <w:r w:rsidRPr="00121962">
              <w:t>Assumed annual 2% increase to Year 6: 20%</w:t>
            </w:r>
          </w:p>
        </w:tc>
        <w:tc>
          <w:tcPr>
            <w:tcW w:w="1659" w:type="pct"/>
            <w:shd w:val="clear" w:color="auto" w:fill="auto"/>
            <w:vAlign w:val="center"/>
          </w:tcPr>
          <w:p w14:paraId="157895CF" w14:textId="77777777" w:rsidR="005D420C" w:rsidRPr="00121962" w:rsidRDefault="005D420C" w:rsidP="00823B59">
            <w:pPr>
              <w:pStyle w:val="TableText"/>
              <w:keepNext w:val="0"/>
              <w:rPr>
                <w:iCs/>
              </w:rPr>
            </w:pPr>
            <w:r w:rsidRPr="00121962">
              <w:rPr>
                <w:iCs/>
              </w:rPr>
              <w:t>Self-reported diagnosis of CKD may not be reliable</w:t>
            </w:r>
            <w:r w:rsidR="0051294F" w:rsidRPr="00121962">
              <w:rPr>
                <w:iCs/>
              </w:rPr>
              <w:t>. Revised in the pre-PBAC response to annual 5% increase to Year 6: 35%</w:t>
            </w:r>
          </w:p>
        </w:tc>
      </w:tr>
      <w:tr w:rsidR="005D420C" w:rsidRPr="00121962" w14:paraId="4D0638E0" w14:textId="77777777" w:rsidTr="00672288">
        <w:trPr>
          <w:cantSplit/>
        </w:trPr>
        <w:tc>
          <w:tcPr>
            <w:tcW w:w="1098" w:type="pct"/>
            <w:shd w:val="clear" w:color="auto" w:fill="auto"/>
            <w:vAlign w:val="center"/>
          </w:tcPr>
          <w:p w14:paraId="064299CA" w14:textId="77777777" w:rsidR="005D420C" w:rsidRPr="00121962" w:rsidRDefault="005D420C" w:rsidP="00823B59">
            <w:pPr>
              <w:pStyle w:val="TableText"/>
              <w:keepNext w:val="0"/>
            </w:pPr>
            <w:r w:rsidRPr="00121962">
              <w:t xml:space="preserve">Adults (%) with CKD stages 1-5 </w:t>
            </w:r>
          </w:p>
        </w:tc>
        <w:tc>
          <w:tcPr>
            <w:tcW w:w="2243" w:type="pct"/>
            <w:shd w:val="clear" w:color="auto" w:fill="auto"/>
            <w:vAlign w:val="center"/>
          </w:tcPr>
          <w:p w14:paraId="44127EF3" w14:textId="77777777" w:rsidR="005D420C" w:rsidRPr="00121962" w:rsidRDefault="005D420C" w:rsidP="00823B59">
            <w:pPr>
              <w:pStyle w:val="TableText"/>
              <w:keepNext w:val="0"/>
              <w:ind w:left="21" w:right="-12"/>
              <w:jc w:val="center"/>
            </w:pPr>
            <w:r w:rsidRPr="00121962">
              <w:t xml:space="preserve">CKD 1: 3.9%; CKD 2: 2.5%; CKD 3a: 2.7%; </w:t>
            </w:r>
          </w:p>
          <w:p w14:paraId="149CFC55" w14:textId="77777777" w:rsidR="005D420C" w:rsidRPr="00121962" w:rsidRDefault="005D420C" w:rsidP="00823B59">
            <w:pPr>
              <w:pStyle w:val="TableText"/>
              <w:keepNext w:val="0"/>
              <w:ind w:left="21" w:right="-12"/>
              <w:jc w:val="center"/>
            </w:pPr>
            <w:r w:rsidRPr="00121962">
              <w:t xml:space="preserve">CKD 3b: 0.6%; CKD 4-5: 0.3% </w:t>
            </w:r>
          </w:p>
          <w:p w14:paraId="65890A5D" w14:textId="77777777" w:rsidR="005D420C" w:rsidRPr="00121962" w:rsidRDefault="005D420C" w:rsidP="00823B59">
            <w:pPr>
              <w:pStyle w:val="TableText"/>
              <w:keepNext w:val="0"/>
              <w:ind w:left="21" w:right="-12"/>
              <w:jc w:val="center"/>
            </w:pPr>
            <w:r w:rsidRPr="00121962">
              <w:t>(2011-12 NHMS 2013)</w:t>
            </w:r>
          </w:p>
        </w:tc>
        <w:tc>
          <w:tcPr>
            <w:tcW w:w="1659" w:type="pct"/>
            <w:shd w:val="clear" w:color="auto" w:fill="auto"/>
            <w:vAlign w:val="center"/>
          </w:tcPr>
          <w:p w14:paraId="555F888C" w14:textId="77777777" w:rsidR="005D420C" w:rsidRPr="00121962" w:rsidRDefault="005D420C" w:rsidP="00823B59">
            <w:pPr>
              <w:pStyle w:val="TableText"/>
              <w:keepNext w:val="0"/>
              <w:rPr>
                <w:iCs/>
              </w:rPr>
            </w:pPr>
            <w:r w:rsidRPr="00121962">
              <w:rPr>
                <w:iCs/>
              </w:rPr>
              <w:t xml:space="preserve">The estimates were based on older 2011-2012 biomedical data (NHMS 2013) and </w:t>
            </w:r>
            <w:r w:rsidR="00672288" w:rsidRPr="00121962">
              <w:rPr>
                <w:iCs/>
              </w:rPr>
              <w:t xml:space="preserve">were </w:t>
            </w:r>
            <w:r w:rsidRPr="00121962">
              <w:rPr>
                <w:iCs/>
              </w:rPr>
              <w:t>highly uncertain</w:t>
            </w:r>
          </w:p>
        </w:tc>
      </w:tr>
      <w:tr w:rsidR="005D420C" w:rsidRPr="00121962" w14:paraId="0515C7CC" w14:textId="77777777" w:rsidTr="00672288">
        <w:trPr>
          <w:cantSplit/>
        </w:trPr>
        <w:tc>
          <w:tcPr>
            <w:tcW w:w="1098" w:type="pct"/>
            <w:shd w:val="clear" w:color="auto" w:fill="auto"/>
            <w:vAlign w:val="center"/>
          </w:tcPr>
          <w:p w14:paraId="02C0D74D" w14:textId="77777777" w:rsidR="005D420C" w:rsidRPr="00121962" w:rsidRDefault="005D420C" w:rsidP="00823B59">
            <w:pPr>
              <w:pStyle w:val="TableText"/>
              <w:keepNext w:val="0"/>
            </w:pPr>
            <w:r w:rsidRPr="00121962">
              <w:t>Adults diagnosed with CKD in CKD stages 2-3b</w:t>
            </w:r>
          </w:p>
        </w:tc>
        <w:tc>
          <w:tcPr>
            <w:tcW w:w="2243" w:type="pct"/>
            <w:shd w:val="clear" w:color="auto" w:fill="auto"/>
            <w:vAlign w:val="center"/>
          </w:tcPr>
          <w:p w14:paraId="3B1043FE" w14:textId="77777777" w:rsidR="005D420C" w:rsidRPr="00121962" w:rsidRDefault="005D420C" w:rsidP="00823B59">
            <w:pPr>
              <w:pStyle w:val="TableText"/>
              <w:keepNext w:val="0"/>
              <w:ind w:left="21" w:right="-12"/>
              <w:jc w:val="center"/>
            </w:pPr>
          </w:p>
          <w:p w14:paraId="7A0D48C1" w14:textId="77777777" w:rsidR="005D420C" w:rsidRPr="00121962" w:rsidRDefault="005D420C" w:rsidP="00823B59">
            <w:pPr>
              <w:pStyle w:val="TableText"/>
              <w:keepNext w:val="0"/>
              <w:ind w:left="21" w:right="-12"/>
              <w:jc w:val="center"/>
            </w:pPr>
            <w:r w:rsidRPr="00121962">
              <w:t xml:space="preserve">Assumed </w:t>
            </w:r>
          </w:p>
          <w:p w14:paraId="6AAD1104" w14:textId="77777777" w:rsidR="005D420C" w:rsidRPr="00121962" w:rsidRDefault="005D420C" w:rsidP="00823B59">
            <w:pPr>
              <w:pStyle w:val="TableText"/>
              <w:keepNext w:val="0"/>
              <w:ind w:left="21" w:right="-12"/>
              <w:jc w:val="center"/>
            </w:pPr>
            <w:r w:rsidRPr="00121962">
              <w:t>based on biomedical data (2011-12 NHMS)</w:t>
            </w:r>
          </w:p>
          <w:p w14:paraId="0C72BEDE" w14:textId="77777777" w:rsidR="005D420C" w:rsidRPr="00121962" w:rsidRDefault="005D420C" w:rsidP="00823B59">
            <w:pPr>
              <w:pStyle w:val="TableText"/>
              <w:keepNext w:val="0"/>
              <w:ind w:left="21" w:right="-12"/>
              <w:jc w:val="center"/>
            </w:pPr>
            <w:r w:rsidRPr="00121962">
              <w:t>5.8% (sum of % undiagnosed CKD 2-3b)</w:t>
            </w:r>
          </w:p>
          <w:p w14:paraId="2910FA28" w14:textId="77777777" w:rsidR="005D420C" w:rsidRPr="00121962" w:rsidRDefault="005D420C" w:rsidP="00823B59">
            <w:pPr>
              <w:pStyle w:val="TableText"/>
              <w:keepNext w:val="0"/>
              <w:ind w:left="21" w:right="-12"/>
              <w:jc w:val="center"/>
            </w:pPr>
            <w:r w:rsidRPr="00121962">
              <w:t xml:space="preserve">58% (% of diagnosed CKD; 0.058 / 0.10) </w:t>
            </w:r>
          </w:p>
        </w:tc>
        <w:tc>
          <w:tcPr>
            <w:tcW w:w="1659" w:type="pct"/>
            <w:shd w:val="clear" w:color="auto" w:fill="auto"/>
            <w:vAlign w:val="center"/>
          </w:tcPr>
          <w:p w14:paraId="0B598A28" w14:textId="77777777" w:rsidR="005D420C" w:rsidRPr="00121962" w:rsidRDefault="001F52FD" w:rsidP="00823B59">
            <w:pPr>
              <w:pStyle w:val="TableText"/>
              <w:keepNext w:val="0"/>
              <w:rPr>
                <w:iCs/>
              </w:rPr>
            </w:pPr>
            <w:r w:rsidRPr="00121962">
              <w:rPr>
                <w:iCs/>
              </w:rPr>
              <w:t>The submission a</w:t>
            </w:r>
            <w:r w:rsidR="005D420C" w:rsidRPr="00121962">
              <w:rPr>
                <w:iCs/>
              </w:rPr>
              <w:t>ssumed</w:t>
            </w:r>
            <w:r w:rsidRPr="00121962">
              <w:rPr>
                <w:iCs/>
              </w:rPr>
              <w:t xml:space="preserve"> that</w:t>
            </w:r>
            <w:r w:rsidR="005D420C" w:rsidRPr="00121962">
              <w:rPr>
                <w:iCs/>
              </w:rPr>
              <w:t xml:space="preserve"> proportions of patients with biomedical markers for CKD stages from undiagnosed population can be applied to the prevalence of diagnosed (self-reported) CKD; and that CKD 2-3b is a reasonable proxy for clinical criteria (eGFR </w:t>
            </w:r>
            <w:r w:rsidR="005D420C" w:rsidRPr="00121962">
              <w:rPr>
                <w:rFonts w:cs="Calibri"/>
                <w:iCs/>
              </w:rPr>
              <w:t>≥</w:t>
            </w:r>
            <w:r w:rsidR="005D420C" w:rsidRPr="00121962">
              <w:rPr>
                <w:iCs/>
              </w:rPr>
              <w:t xml:space="preserve">25 to </w:t>
            </w:r>
            <w:r w:rsidR="005D420C" w:rsidRPr="00121962">
              <w:rPr>
                <w:rFonts w:cs="Calibri"/>
                <w:iCs/>
              </w:rPr>
              <w:t>≤</w:t>
            </w:r>
            <w:r w:rsidR="005D420C" w:rsidRPr="00121962">
              <w:rPr>
                <w:iCs/>
              </w:rPr>
              <w:t>75 mL/min/1.73 m</w:t>
            </w:r>
            <w:r w:rsidR="005D420C" w:rsidRPr="00121962">
              <w:rPr>
                <w:iCs/>
                <w:vertAlign w:val="superscript"/>
              </w:rPr>
              <w:t>2</w:t>
            </w:r>
            <w:r w:rsidR="00E47DB2" w:rsidRPr="00121962">
              <w:rPr>
                <w:iCs/>
              </w:rPr>
              <w:t>; and UACR ≥200 and ≤5000 mg/g</w:t>
            </w:r>
            <w:r w:rsidR="005D420C" w:rsidRPr="00121962">
              <w:rPr>
                <w:iCs/>
              </w:rPr>
              <w:t xml:space="preserve">), when it includes some patients with less severe disease (CKD 2), and excludes some patients with severe disease (CKD 4). </w:t>
            </w:r>
            <w:bookmarkStart w:id="48" w:name="_Hlk79359982"/>
            <w:r w:rsidR="005D420C" w:rsidRPr="00121962">
              <w:rPr>
                <w:iCs/>
              </w:rPr>
              <w:t>May have overestimated numbers of eligible patients given the large numbers of patients with eGFR 75-</w:t>
            </w:r>
            <w:r w:rsidR="001F60A9" w:rsidRPr="00121962">
              <w:rPr>
                <w:iCs/>
              </w:rPr>
              <w:t>89 </w:t>
            </w:r>
            <w:r w:rsidR="005D420C" w:rsidRPr="00121962">
              <w:rPr>
                <w:iCs/>
              </w:rPr>
              <w:t>mL/min/1.73 m</w:t>
            </w:r>
            <w:r w:rsidR="005D420C" w:rsidRPr="00121962">
              <w:rPr>
                <w:iCs/>
                <w:vertAlign w:val="superscript"/>
              </w:rPr>
              <w:t>2</w:t>
            </w:r>
            <w:bookmarkEnd w:id="48"/>
            <w:r w:rsidR="00C31009" w:rsidRPr="00121962">
              <w:rPr>
                <w:iCs/>
              </w:rPr>
              <w:t>, and limited overlap with the PBS population in terms of albuminuria.</w:t>
            </w:r>
          </w:p>
        </w:tc>
      </w:tr>
      <w:tr w:rsidR="005D420C" w:rsidRPr="00121962" w14:paraId="0C78654F" w14:textId="77777777" w:rsidTr="00672288">
        <w:trPr>
          <w:cantSplit/>
        </w:trPr>
        <w:tc>
          <w:tcPr>
            <w:tcW w:w="1098" w:type="pct"/>
            <w:shd w:val="clear" w:color="auto" w:fill="auto"/>
            <w:vAlign w:val="center"/>
          </w:tcPr>
          <w:p w14:paraId="2F9E977B" w14:textId="77777777" w:rsidR="005D420C" w:rsidRPr="00121962" w:rsidRDefault="005D420C" w:rsidP="00823B59">
            <w:pPr>
              <w:pStyle w:val="TableText"/>
              <w:keepNext w:val="0"/>
            </w:pPr>
            <w:r w:rsidRPr="00121962">
              <w:t xml:space="preserve">Adults (%) with biomedical data suggesting CKD, with/without overlapping comorbidities of T2DM and/or CVD </w:t>
            </w:r>
          </w:p>
        </w:tc>
        <w:tc>
          <w:tcPr>
            <w:tcW w:w="2243" w:type="pct"/>
            <w:shd w:val="clear" w:color="auto" w:fill="auto"/>
            <w:vAlign w:val="center"/>
          </w:tcPr>
          <w:p w14:paraId="72261043" w14:textId="77777777" w:rsidR="005D420C" w:rsidRPr="00121962" w:rsidRDefault="005D420C" w:rsidP="00823B59">
            <w:pPr>
              <w:pStyle w:val="TableText"/>
              <w:keepNext w:val="0"/>
              <w:ind w:left="21" w:right="-12"/>
              <w:jc w:val="center"/>
            </w:pPr>
            <w:r w:rsidRPr="00121962">
              <w:t>CKD only: 4.9%</w:t>
            </w:r>
          </w:p>
          <w:p w14:paraId="394ADE97" w14:textId="77777777" w:rsidR="005D420C" w:rsidRPr="00121962" w:rsidRDefault="005D420C" w:rsidP="00823B59">
            <w:pPr>
              <w:pStyle w:val="TableText"/>
              <w:keepNext w:val="0"/>
              <w:ind w:left="21" w:right="-12"/>
              <w:jc w:val="center"/>
            </w:pPr>
            <w:r w:rsidRPr="00121962">
              <w:t>CKD + CVD: 3.5%</w:t>
            </w:r>
          </w:p>
          <w:p w14:paraId="084A1143" w14:textId="77777777" w:rsidR="005D420C" w:rsidRPr="00121962" w:rsidRDefault="005D420C" w:rsidP="00823B59">
            <w:pPr>
              <w:pStyle w:val="TableText"/>
              <w:keepNext w:val="0"/>
              <w:ind w:left="21" w:right="-12"/>
              <w:jc w:val="center"/>
            </w:pPr>
            <w:r w:rsidRPr="00121962">
              <w:t>CKD + T2DM: 0.6%</w:t>
            </w:r>
          </w:p>
          <w:p w14:paraId="1C84F8FB" w14:textId="77777777" w:rsidR="005D420C" w:rsidRPr="00121962" w:rsidRDefault="005D420C" w:rsidP="00823B59">
            <w:pPr>
              <w:pStyle w:val="TableText"/>
              <w:keepNext w:val="0"/>
              <w:ind w:left="21" w:right="-12"/>
              <w:jc w:val="center"/>
            </w:pPr>
            <w:r w:rsidRPr="00121962">
              <w:t>CKD + CVD + T2DM: 1.1% (2011-12 AHS)</w:t>
            </w:r>
          </w:p>
        </w:tc>
        <w:tc>
          <w:tcPr>
            <w:tcW w:w="1659" w:type="pct"/>
            <w:shd w:val="clear" w:color="auto" w:fill="auto"/>
            <w:vAlign w:val="center"/>
          </w:tcPr>
          <w:p w14:paraId="34506D28" w14:textId="77777777" w:rsidR="005D420C" w:rsidRPr="00121962" w:rsidRDefault="005D420C" w:rsidP="00823B59">
            <w:pPr>
              <w:pStyle w:val="TableText"/>
              <w:keepNext w:val="0"/>
              <w:rPr>
                <w:iCs/>
              </w:rPr>
            </w:pPr>
            <w:r w:rsidRPr="00121962">
              <w:rPr>
                <w:iCs/>
              </w:rPr>
              <w:t xml:space="preserve">2011-2012 AHS data is the most recent reliable Australian data, but may not reflect current Australian setting. Estimates were based on older 2011-2012 biomedical data (NHMS 2013) and </w:t>
            </w:r>
            <w:r w:rsidR="00672288" w:rsidRPr="00121962">
              <w:rPr>
                <w:iCs/>
              </w:rPr>
              <w:t xml:space="preserve">were </w:t>
            </w:r>
            <w:r w:rsidRPr="00121962">
              <w:rPr>
                <w:iCs/>
              </w:rPr>
              <w:t>highly uncertain</w:t>
            </w:r>
            <w:r w:rsidR="001468ED" w:rsidRPr="00121962">
              <w:rPr>
                <w:iCs/>
              </w:rPr>
              <w:t>.</w:t>
            </w:r>
          </w:p>
        </w:tc>
      </w:tr>
      <w:tr w:rsidR="005D420C" w:rsidRPr="00121962" w14:paraId="219A932C" w14:textId="77777777" w:rsidTr="00672288">
        <w:trPr>
          <w:cantSplit/>
        </w:trPr>
        <w:tc>
          <w:tcPr>
            <w:tcW w:w="1098" w:type="pct"/>
            <w:shd w:val="clear" w:color="auto" w:fill="auto"/>
            <w:vAlign w:val="center"/>
          </w:tcPr>
          <w:p w14:paraId="01D35002" w14:textId="77777777" w:rsidR="005D420C" w:rsidRPr="00121962" w:rsidRDefault="005D420C" w:rsidP="00823B59">
            <w:pPr>
              <w:pStyle w:val="TableText"/>
              <w:keepNext w:val="0"/>
            </w:pPr>
            <w:r w:rsidRPr="00121962">
              <w:rPr>
                <w:szCs w:val="22"/>
              </w:rPr>
              <w:t>Proportion of CKD patients not eligible for PBS-listed SGLT2 inhibitors for T2DM (HbA1c ≤7.0%)</w:t>
            </w:r>
          </w:p>
        </w:tc>
        <w:tc>
          <w:tcPr>
            <w:tcW w:w="2243" w:type="pct"/>
            <w:shd w:val="clear" w:color="auto" w:fill="auto"/>
            <w:vAlign w:val="center"/>
          </w:tcPr>
          <w:p w14:paraId="22B11B12" w14:textId="77777777" w:rsidR="005D420C" w:rsidRPr="00121962" w:rsidRDefault="005D420C" w:rsidP="00823B59">
            <w:pPr>
              <w:pStyle w:val="TableText"/>
              <w:keepNext w:val="0"/>
              <w:ind w:left="21" w:right="-12"/>
              <w:jc w:val="center"/>
            </w:pPr>
            <w:r w:rsidRPr="00121962">
              <w:t>93.4% based on following factors:</w:t>
            </w:r>
          </w:p>
          <w:p w14:paraId="7F6839CF" w14:textId="77777777" w:rsidR="005D420C" w:rsidRPr="00121962" w:rsidRDefault="005D420C" w:rsidP="00823B59">
            <w:pPr>
              <w:pStyle w:val="TableText"/>
              <w:keepNext w:val="0"/>
              <w:ind w:left="21" w:right="-12"/>
              <w:jc w:val="center"/>
            </w:pPr>
            <w:r w:rsidRPr="00121962">
              <w:t>Diabetics with T2DM: 88% (AUSDIAB 2012)</w:t>
            </w:r>
          </w:p>
          <w:p w14:paraId="5C7EBADA" w14:textId="77777777" w:rsidR="005D420C" w:rsidRPr="00121962" w:rsidRDefault="005D420C" w:rsidP="00823B59">
            <w:pPr>
              <w:pStyle w:val="TableText"/>
              <w:keepNext w:val="0"/>
              <w:ind w:left="21" w:right="-12"/>
              <w:jc w:val="center"/>
            </w:pPr>
            <w:r w:rsidRPr="00121962">
              <w:t>T2DM eligible for SGLT2i: 44.4% (AUSDIAB 2012)</w:t>
            </w:r>
          </w:p>
          <w:p w14:paraId="04D31265" w14:textId="77777777" w:rsidR="005D420C" w:rsidRPr="00121962" w:rsidRDefault="005D420C" w:rsidP="00823B59">
            <w:pPr>
              <w:pStyle w:val="TableText"/>
              <w:keepNext w:val="0"/>
              <w:ind w:left="21" w:right="-12"/>
              <w:jc w:val="center"/>
            </w:pPr>
            <w:r w:rsidRPr="00121962">
              <w:t>Morbidity overlap CKD + T2DM: 0.6%; and</w:t>
            </w:r>
          </w:p>
          <w:p w14:paraId="30754DF6" w14:textId="77777777" w:rsidR="005D420C" w:rsidRPr="00121962" w:rsidRDefault="005D420C" w:rsidP="00823B59">
            <w:pPr>
              <w:pStyle w:val="TableText"/>
              <w:keepNext w:val="0"/>
              <w:ind w:left="21" w:right="-12"/>
              <w:jc w:val="center"/>
            </w:pPr>
            <w:r w:rsidRPr="00121962">
              <w:t>CKD + CVD + T2DM: 1.1% (2011-12 AHS)</w:t>
            </w:r>
          </w:p>
        </w:tc>
        <w:tc>
          <w:tcPr>
            <w:tcW w:w="1659" w:type="pct"/>
            <w:vMerge w:val="restart"/>
            <w:shd w:val="clear" w:color="auto" w:fill="auto"/>
            <w:vAlign w:val="center"/>
          </w:tcPr>
          <w:p w14:paraId="1F3CA2B9" w14:textId="77777777" w:rsidR="005D420C" w:rsidRPr="00121962" w:rsidRDefault="005D420C" w:rsidP="00823B59">
            <w:pPr>
              <w:pStyle w:val="TableText"/>
              <w:keepNext w:val="0"/>
              <w:rPr>
                <w:iCs/>
              </w:rPr>
            </w:pPr>
            <w:r w:rsidRPr="00121962">
              <w:rPr>
                <w:iCs/>
              </w:rPr>
              <w:t>The calculations used were complex, and used multiple factors from different sources and populations. It was assumed that estimates of age-standardised prevalence related to T2DM and HFrEF in the Australian population using older data (2011-2012) could be applied to the eligible CKD prevalent population. Estimates were highly uncertain and substantially underestimate</w:t>
            </w:r>
            <w:r w:rsidR="00800E83" w:rsidRPr="00121962">
              <w:rPr>
                <w:iCs/>
              </w:rPr>
              <w:t>d</w:t>
            </w:r>
            <w:r w:rsidRPr="00121962">
              <w:rPr>
                <w:iCs/>
              </w:rPr>
              <w:t xml:space="preserve"> the proportions of CKD patients likely to be treated with dapagliflozin for T2DM or HFrEF</w:t>
            </w:r>
            <w:r w:rsidR="00A204D6" w:rsidRPr="00121962">
              <w:rPr>
                <w:iCs/>
              </w:rPr>
              <w:t xml:space="preserve">. </w:t>
            </w:r>
          </w:p>
          <w:p w14:paraId="743B4A34" w14:textId="77777777" w:rsidR="00A204D6" w:rsidRPr="00121962" w:rsidRDefault="00A204D6" w:rsidP="00823B59">
            <w:pPr>
              <w:pStyle w:val="TableText"/>
              <w:keepNext w:val="0"/>
              <w:rPr>
                <w:iCs/>
              </w:rPr>
            </w:pPr>
            <w:r w:rsidRPr="00121962">
              <w:rPr>
                <w:iCs/>
              </w:rPr>
              <w:t>(97.4% was revised to 97.7% in the pre-PBAC response)</w:t>
            </w:r>
            <w:r w:rsidR="0012390A">
              <w:rPr>
                <w:iCs/>
              </w:rPr>
              <w:t>.</w:t>
            </w:r>
          </w:p>
        </w:tc>
      </w:tr>
      <w:tr w:rsidR="005D420C" w:rsidRPr="00121962" w14:paraId="5F6A4F7F" w14:textId="77777777" w:rsidTr="00672288">
        <w:trPr>
          <w:cantSplit/>
        </w:trPr>
        <w:tc>
          <w:tcPr>
            <w:tcW w:w="1098" w:type="pct"/>
            <w:shd w:val="clear" w:color="auto" w:fill="auto"/>
            <w:vAlign w:val="center"/>
          </w:tcPr>
          <w:p w14:paraId="420CB036" w14:textId="77777777" w:rsidR="005D420C" w:rsidRPr="00121962" w:rsidRDefault="005D420C" w:rsidP="00823B59">
            <w:pPr>
              <w:pStyle w:val="TableText"/>
              <w:keepNext w:val="0"/>
            </w:pPr>
            <w:r w:rsidRPr="00121962">
              <w:rPr>
                <w:szCs w:val="22"/>
              </w:rPr>
              <w:t>Proportion of CKD patients not eligible for PBS-listed dapagliflozin for HFrEF</w:t>
            </w:r>
          </w:p>
        </w:tc>
        <w:tc>
          <w:tcPr>
            <w:tcW w:w="2243" w:type="pct"/>
            <w:shd w:val="clear" w:color="auto" w:fill="auto"/>
            <w:vAlign w:val="center"/>
          </w:tcPr>
          <w:p w14:paraId="7BD0EE6A" w14:textId="77777777" w:rsidR="005D420C" w:rsidRPr="00121962" w:rsidRDefault="005D420C" w:rsidP="00823B59">
            <w:pPr>
              <w:pStyle w:val="TableText"/>
              <w:keepNext w:val="0"/>
              <w:ind w:left="21" w:right="-12"/>
              <w:jc w:val="center"/>
            </w:pPr>
            <w:r w:rsidRPr="00121962">
              <w:t>97.4% based on the following factors:</w:t>
            </w:r>
          </w:p>
          <w:p w14:paraId="195760CE" w14:textId="77777777" w:rsidR="005D420C" w:rsidRPr="00121962" w:rsidRDefault="005D420C" w:rsidP="00823B59">
            <w:pPr>
              <w:pStyle w:val="TableText"/>
              <w:keepNext w:val="0"/>
              <w:ind w:left="21" w:right="-12"/>
              <w:jc w:val="center"/>
            </w:pPr>
            <w:r w:rsidRPr="00121962">
              <w:t>Adults with CVD: 22% (AIHW 2014)</w:t>
            </w:r>
          </w:p>
          <w:p w14:paraId="482981E6" w14:textId="77777777" w:rsidR="005D420C" w:rsidRPr="00121962" w:rsidRDefault="005D420C" w:rsidP="00823B59">
            <w:pPr>
              <w:pStyle w:val="TableText"/>
              <w:keepNext w:val="0"/>
              <w:ind w:left="21" w:right="-12"/>
              <w:jc w:val="center"/>
            </w:pPr>
            <w:r w:rsidRPr="00121962">
              <w:t>Adults with HF: 2.2% (Liew et al. 2020)</w:t>
            </w:r>
          </w:p>
          <w:p w14:paraId="7B691DD5" w14:textId="77777777" w:rsidR="005D420C" w:rsidRPr="00121962" w:rsidRDefault="005D420C" w:rsidP="00823B59">
            <w:pPr>
              <w:pStyle w:val="TableText"/>
              <w:keepNext w:val="0"/>
              <w:ind w:left="21" w:right="-12"/>
              <w:jc w:val="center"/>
              <w:rPr>
                <w:iCs/>
              </w:rPr>
            </w:pPr>
            <w:r w:rsidRPr="00121962">
              <w:t>HF likely to be HFrEF: 57% (</w:t>
            </w:r>
            <w:r w:rsidRPr="00121962">
              <w:rPr>
                <w:iCs/>
              </w:rPr>
              <w:t>SNAPSHOT-HF data)</w:t>
            </w:r>
          </w:p>
          <w:p w14:paraId="0AAA66F3" w14:textId="77777777" w:rsidR="005D420C" w:rsidRPr="00121962" w:rsidRDefault="005D420C" w:rsidP="00823B59">
            <w:pPr>
              <w:pStyle w:val="TableText"/>
              <w:keepNext w:val="0"/>
              <w:ind w:left="21" w:right="-12"/>
              <w:jc w:val="center"/>
            </w:pPr>
            <w:r w:rsidRPr="00121962">
              <w:t>Morbidity overlap CKD + CVD: 3.5%; and</w:t>
            </w:r>
          </w:p>
          <w:p w14:paraId="463C216A" w14:textId="77777777" w:rsidR="005D420C" w:rsidRPr="00121962" w:rsidRDefault="005D420C" w:rsidP="00823B59">
            <w:pPr>
              <w:pStyle w:val="TableText"/>
              <w:keepNext w:val="0"/>
              <w:ind w:left="21" w:right="-12"/>
              <w:jc w:val="center"/>
            </w:pPr>
            <w:r w:rsidRPr="00121962">
              <w:t>CKD + CVD + T2DM: 1.1% (2011-12 AHS)</w:t>
            </w:r>
          </w:p>
        </w:tc>
        <w:tc>
          <w:tcPr>
            <w:tcW w:w="1659" w:type="pct"/>
            <w:vMerge/>
            <w:shd w:val="clear" w:color="auto" w:fill="auto"/>
            <w:vAlign w:val="center"/>
          </w:tcPr>
          <w:p w14:paraId="0BDAAEA3" w14:textId="77777777" w:rsidR="005D420C" w:rsidRPr="00121962" w:rsidRDefault="005D420C" w:rsidP="00823B59">
            <w:pPr>
              <w:pStyle w:val="TableText"/>
              <w:keepNext w:val="0"/>
              <w:rPr>
                <w:i/>
              </w:rPr>
            </w:pPr>
          </w:p>
        </w:tc>
      </w:tr>
      <w:tr w:rsidR="005D420C" w:rsidRPr="00121962" w14:paraId="195588C8" w14:textId="77777777" w:rsidTr="00672288">
        <w:trPr>
          <w:cantSplit/>
        </w:trPr>
        <w:tc>
          <w:tcPr>
            <w:tcW w:w="1098" w:type="pct"/>
            <w:shd w:val="clear" w:color="auto" w:fill="auto"/>
            <w:vAlign w:val="center"/>
          </w:tcPr>
          <w:p w14:paraId="0C78A264" w14:textId="77777777" w:rsidR="005D420C" w:rsidRPr="00121962" w:rsidRDefault="005D420C" w:rsidP="00823B59">
            <w:pPr>
              <w:pStyle w:val="TableText"/>
              <w:keepNext w:val="0"/>
            </w:pPr>
            <w:r w:rsidRPr="00121962">
              <w:t xml:space="preserve">Treatment adherence </w:t>
            </w:r>
          </w:p>
        </w:tc>
        <w:tc>
          <w:tcPr>
            <w:tcW w:w="2243" w:type="pct"/>
            <w:shd w:val="clear" w:color="auto" w:fill="auto"/>
            <w:vAlign w:val="center"/>
          </w:tcPr>
          <w:p w14:paraId="0AFA9559" w14:textId="77777777" w:rsidR="005D420C" w:rsidRPr="00121962" w:rsidRDefault="005D420C" w:rsidP="00823B59">
            <w:pPr>
              <w:pStyle w:val="TableText"/>
              <w:keepNext w:val="0"/>
              <w:ind w:left="21" w:right="-12"/>
              <w:jc w:val="center"/>
            </w:pPr>
            <w:r w:rsidRPr="00121962">
              <w:t>98.6% for dapagliflozin and empagliflozin</w:t>
            </w:r>
          </w:p>
        </w:tc>
        <w:tc>
          <w:tcPr>
            <w:tcW w:w="1659" w:type="pct"/>
            <w:shd w:val="clear" w:color="auto" w:fill="auto"/>
            <w:vAlign w:val="center"/>
          </w:tcPr>
          <w:p w14:paraId="4A402197" w14:textId="77777777" w:rsidR="005D420C" w:rsidRPr="00121962" w:rsidRDefault="005D420C" w:rsidP="00823B59">
            <w:pPr>
              <w:pStyle w:val="TableText"/>
              <w:keepNext w:val="0"/>
              <w:rPr>
                <w:iCs/>
              </w:rPr>
            </w:pPr>
            <w:r w:rsidRPr="00121962">
              <w:rPr>
                <w:iCs/>
              </w:rPr>
              <w:t>Derived from the DAPA-CKD trial. May not be applicable to clinical practice</w:t>
            </w:r>
          </w:p>
        </w:tc>
      </w:tr>
      <w:tr w:rsidR="005D420C" w:rsidRPr="00121962" w14:paraId="51D240B4" w14:textId="77777777" w:rsidTr="00672288">
        <w:trPr>
          <w:cantSplit/>
        </w:trPr>
        <w:tc>
          <w:tcPr>
            <w:tcW w:w="5000" w:type="pct"/>
            <w:gridSpan w:val="3"/>
            <w:shd w:val="clear" w:color="auto" w:fill="auto"/>
          </w:tcPr>
          <w:p w14:paraId="016D1BDB" w14:textId="77777777" w:rsidR="005D420C" w:rsidRPr="00121962" w:rsidRDefault="005D420C" w:rsidP="00823B59">
            <w:pPr>
              <w:pStyle w:val="TableText"/>
              <w:ind w:right="-12"/>
              <w:rPr>
                <w:b/>
                <w:i/>
              </w:rPr>
            </w:pPr>
            <w:r w:rsidRPr="00121962">
              <w:rPr>
                <w:b/>
              </w:rPr>
              <w:t>Treatment utilisation</w:t>
            </w:r>
          </w:p>
        </w:tc>
      </w:tr>
      <w:tr w:rsidR="005D420C" w:rsidRPr="00121962" w14:paraId="4D889CBB" w14:textId="77777777" w:rsidTr="00672288">
        <w:trPr>
          <w:cantSplit/>
        </w:trPr>
        <w:tc>
          <w:tcPr>
            <w:tcW w:w="1098" w:type="pct"/>
            <w:shd w:val="clear" w:color="auto" w:fill="auto"/>
            <w:vAlign w:val="center"/>
          </w:tcPr>
          <w:p w14:paraId="0A091050" w14:textId="77777777" w:rsidR="005D420C" w:rsidRPr="00121962" w:rsidRDefault="005D420C" w:rsidP="00823B59">
            <w:pPr>
              <w:pStyle w:val="TableText"/>
              <w:keepNext w:val="0"/>
            </w:pPr>
            <w:r w:rsidRPr="00121962">
              <w:t xml:space="preserve">Uptake of dapagliflozin </w:t>
            </w:r>
          </w:p>
        </w:tc>
        <w:tc>
          <w:tcPr>
            <w:tcW w:w="2243" w:type="pct"/>
            <w:shd w:val="clear" w:color="auto" w:fill="auto"/>
            <w:vAlign w:val="center"/>
          </w:tcPr>
          <w:p w14:paraId="18C3809E" w14:textId="77777777" w:rsidR="005D420C" w:rsidRPr="00121962" w:rsidRDefault="002F0C5E" w:rsidP="00823B59">
            <w:pPr>
              <w:pStyle w:val="TableText"/>
              <w:keepNext w:val="0"/>
              <w:ind w:left="21" w:right="-12"/>
              <w:jc w:val="center"/>
            </w:pPr>
            <w:r>
              <w:rPr>
                <w:noProof/>
                <w:color w:val="000000"/>
                <w:highlight w:val="black"/>
              </w:rPr>
              <w:t>'''''''</w:t>
            </w:r>
            <w:r w:rsidR="005D420C" w:rsidRPr="00121962">
              <w:t xml:space="preserve">% in Year 1 increasing to </w:t>
            </w:r>
            <w:r>
              <w:rPr>
                <w:noProof/>
                <w:color w:val="000000"/>
                <w:highlight w:val="black"/>
              </w:rPr>
              <w:t>'''''</w:t>
            </w:r>
            <w:r w:rsidR="005D420C" w:rsidRPr="00121962">
              <w:t xml:space="preserve">% in Years 3-6 </w:t>
            </w:r>
          </w:p>
        </w:tc>
        <w:tc>
          <w:tcPr>
            <w:tcW w:w="1659" w:type="pct"/>
            <w:shd w:val="clear" w:color="auto" w:fill="auto"/>
            <w:vAlign w:val="center"/>
          </w:tcPr>
          <w:p w14:paraId="1F29DFAD" w14:textId="77777777" w:rsidR="00A204D6" w:rsidRPr="00121962" w:rsidRDefault="005D420C" w:rsidP="00823B59">
            <w:pPr>
              <w:pStyle w:val="TableText"/>
              <w:keepNext w:val="0"/>
              <w:rPr>
                <w:iCs/>
              </w:rPr>
            </w:pPr>
            <w:r w:rsidRPr="00121962">
              <w:rPr>
                <w:iCs/>
              </w:rPr>
              <w:t>Assumed</w:t>
            </w:r>
            <w:r w:rsidR="0051294F" w:rsidRPr="00121962">
              <w:rPr>
                <w:iCs/>
              </w:rPr>
              <w:t xml:space="preserve">. </w:t>
            </w:r>
          </w:p>
          <w:p w14:paraId="2476C51E" w14:textId="77777777" w:rsidR="005D420C" w:rsidRPr="00121962" w:rsidRDefault="0051294F" w:rsidP="00823B59">
            <w:pPr>
              <w:pStyle w:val="TableText"/>
              <w:keepNext w:val="0"/>
              <w:rPr>
                <w:iCs/>
              </w:rPr>
            </w:pPr>
            <w:r w:rsidRPr="00121962">
              <w:rPr>
                <w:iCs/>
              </w:rPr>
              <w:t>Revised in the pre-PBAC response</w:t>
            </w:r>
            <w:r w:rsidR="00A204D6" w:rsidRPr="00121962">
              <w:rPr>
                <w:iCs/>
              </w:rPr>
              <w:t>:</w:t>
            </w:r>
          </w:p>
          <w:p w14:paraId="7B74DE7F" w14:textId="77777777" w:rsidR="00A204D6" w:rsidRPr="00121962" w:rsidRDefault="00A204D6" w:rsidP="00A204D6">
            <w:pPr>
              <w:pStyle w:val="TableText"/>
              <w:keepNext w:val="0"/>
              <w:jc w:val="both"/>
              <w:rPr>
                <w:iCs/>
              </w:rPr>
            </w:pPr>
            <w:r w:rsidRPr="00121962">
              <w:rPr>
                <w:iCs/>
              </w:rPr>
              <w:t>Year 1-6=</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w:t>
            </w:r>
          </w:p>
        </w:tc>
      </w:tr>
      <w:tr w:rsidR="005D420C" w:rsidRPr="00121962" w14:paraId="36F95A85" w14:textId="77777777" w:rsidTr="00672288">
        <w:trPr>
          <w:cantSplit/>
        </w:trPr>
        <w:tc>
          <w:tcPr>
            <w:tcW w:w="1098" w:type="pct"/>
            <w:shd w:val="clear" w:color="auto" w:fill="auto"/>
            <w:vAlign w:val="center"/>
          </w:tcPr>
          <w:p w14:paraId="0CF18FAC" w14:textId="77777777" w:rsidR="005D420C" w:rsidRPr="00121962" w:rsidRDefault="005D420C" w:rsidP="00823B59">
            <w:pPr>
              <w:pStyle w:val="TableText"/>
              <w:keepNext w:val="0"/>
            </w:pPr>
            <w:r w:rsidRPr="00121962">
              <w:t>Proportion of patients with CKD taking SGLT2 inhibitors (SGLT2i) for T2DM</w:t>
            </w:r>
          </w:p>
        </w:tc>
        <w:tc>
          <w:tcPr>
            <w:tcW w:w="2243" w:type="pct"/>
            <w:shd w:val="clear" w:color="auto" w:fill="auto"/>
            <w:vAlign w:val="center"/>
          </w:tcPr>
          <w:p w14:paraId="2A2175E1" w14:textId="77777777" w:rsidR="005D420C" w:rsidRPr="00121962" w:rsidRDefault="005D420C" w:rsidP="00823B59">
            <w:pPr>
              <w:pStyle w:val="TableText"/>
              <w:keepNext w:val="0"/>
              <w:ind w:left="21" w:right="-12"/>
              <w:jc w:val="center"/>
            </w:pPr>
            <w:r w:rsidRPr="00121962">
              <w:t>Assumed to be equivalent to the population excluded as eligible for SGLT2i therapies</w:t>
            </w:r>
          </w:p>
          <w:p w14:paraId="60B3FBA6" w14:textId="77777777" w:rsidR="005D420C" w:rsidRPr="00121962" w:rsidRDefault="00164731" w:rsidP="00823B59">
            <w:pPr>
              <w:pStyle w:val="TableText"/>
              <w:keepNext w:val="0"/>
              <w:ind w:left="21" w:right="-12"/>
              <w:jc w:val="center"/>
            </w:pPr>
            <w:r>
              <w:rPr>
                <w:noProof/>
                <w:color w:val="000000"/>
                <w:highlight w:val="black"/>
              </w:rPr>
              <w:t>'''''''</w:t>
            </w:r>
            <w:r w:rsidR="005D420C" w:rsidRPr="00634F67">
              <w:t>%</w:t>
            </w:r>
            <w:r w:rsidR="005D420C" w:rsidRPr="00121962">
              <w:t xml:space="preserve"> (</w:t>
            </w:r>
            <w:r w:rsidR="00B87690">
              <w:rPr>
                <w:noProof/>
                <w:color w:val="000000"/>
                <w:highlight w:val="black"/>
              </w:rPr>
              <w:t>''''</w:t>
            </w:r>
            <w:r w:rsidR="005D420C" w:rsidRPr="00121962">
              <w:t>-</w:t>
            </w:r>
            <w:r w:rsidR="00B87690">
              <w:rPr>
                <w:noProof/>
                <w:color w:val="000000"/>
                <w:highlight w:val="black"/>
              </w:rPr>
              <w:t>''''''''''</w:t>
            </w:r>
            <w:r w:rsidR="005D420C" w:rsidRPr="00121962">
              <w:t>%)</w:t>
            </w:r>
          </w:p>
          <w:p w14:paraId="73C9F102" w14:textId="77777777" w:rsidR="005D420C" w:rsidRPr="00121962" w:rsidRDefault="005D420C" w:rsidP="00823B59">
            <w:pPr>
              <w:pStyle w:val="TableText"/>
              <w:keepNext w:val="0"/>
              <w:ind w:left="21" w:right="-12"/>
              <w:jc w:val="center"/>
            </w:pPr>
            <w:r w:rsidRPr="00121962">
              <w:t xml:space="preserve">Assumed empagliflozin </w:t>
            </w:r>
            <w:r w:rsidR="002F0C5E">
              <w:rPr>
                <w:noProof/>
                <w:color w:val="000000"/>
                <w:highlight w:val="black"/>
              </w:rPr>
              <w:t>'''''''</w:t>
            </w:r>
            <w:r w:rsidRPr="00121962">
              <w:t xml:space="preserve">%; dapagliflozin </w:t>
            </w:r>
            <w:r w:rsidR="002F0C5E">
              <w:rPr>
                <w:noProof/>
                <w:color w:val="000000"/>
                <w:highlight w:val="black"/>
              </w:rPr>
              <w:t>'''''</w:t>
            </w:r>
            <w:r w:rsidRPr="00121962">
              <w:t>%</w:t>
            </w:r>
          </w:p>
        </w:tc>
        <w:tc>
          <w:tcPr>
            <w:tcW w:w="1659" w:type="pct"/>
            <w:shd w:val="clear" w:color="auto" w:fill="auto"/>
            <w:vAlign w:val="center"/>
          </w:tcPr>
          <w:p w14:paraId="252FD489" w14:textId="77777777" w:rsidR="005D420C" w:rsidRPr="00121962" w:rsidRDefault="005D420C" w:rsidP="00823B59">
            <w:pPr>
              <w:pStyle w:val="TableText"/>
              <w:keepNext w:val="0"/>
              <w:rPr>
                <w:iCs/>
              </w:rPr>
            </w:pPr>
            <w:r w:rsidRPr="00121962">
              <w:rPr>
                <w:iCs/>
              </w:rPr>
              <w:t xml:space="preserve">Assumed. The use of SGLT2i </w:t>
            </w:r>
            <w:r w:rsidR="00800E83" w:rsidRPr="00121962">
              <w:rPr>
                <w:iCs/>
              </w:rPr>
              <w:t xml:space="preserve">was </w:t>
            </w:r>
            <w:r w:rsidRPr="00121962">
              <w:rPr>
                <w:iCs/>
              </w:rPr>
              <w:t xml:space="preserve">assumed to be equivalent to the population excluded as eligible for SGLT2i therapies for T2DM, and </w:t>
            </w:r>
            <w:r w:rsidR="00800E83" w:rsidRPr="00121962">
              <w:rPr>
                <w:iCs/>
              </w:rPr>
              <w:t xml:space="preserve">was </w:t>
            </w:r>
            <w:r w:rsidRPr="00121962">
              <w:rPr>
                <w:iCs/>
              </w:rPr>
              <w:t>highly uncertain</w:t>
            </w:r>
            <w:r w:rsidR="0012390A">
              <w:rPr>
                <w:iCs/>
              </w:rPr>
              <w:t>.</w:t>
            </w:r>
          </w:p>
        </w:tc>
      </w:tr>
      <w:tr w:rsidR="005D420C" w:rsidRPr="00121962" w14:paraId="26558473" w14:textId="77777777" w:rsidTr="00672288">
        <w:trPr>
          <w:cantSplit/>
        </w:trPr>
        <w:tc>
          <w:tcPr>
            <w:tcW w:w="1098" w:type="pct"/>
            <w:shd w:val="clear" w:color="auto" w:fill="auto"/>
            <w:vAlign w:val="center"/>
          </w:tcPr>
          <w:p w14:paraId="1712767D" w14:textId="77777777" w:rsidR="005D420C" w:rsidRPr="00121962" w:rsidRDefault="005D420C" w:rsidP="00823B59">
            <w:pPr>
              <w:pStyle w:val="TableText"/>
              <w:keepNext w:val="0"/>
            </w:pPr>
            <w:r w:rsidRPr="00121962">
              <w:t>Empagliflozin users switching to dapagliflozin</w:t>
            </w:r>
          </w:p>
        </w:tc>
        <w:tc>
          <w:tcPr>
            <w:tcW w:w="2243" w:type="pct"/>
            <w:shd w:val="clear" w:color="auto" w:fill="auto"/>
            <w:vAlign w:val="center"/>
          </w:tcPr>
          <w:p w14:paraId="3A58488A" w14:textId="77777777" w:rsidR="005D420C" w:rsidRPr="00121962" w:rsidRDefault="002F0C5E" w:rsidP="00823B59">
            <w:pPr>
              <w:pStyle w:val="TableText"/>
              <w:keepNext w:val="0"/>
              <w:ind w:left="21" w:right="-12"/>
              <w:jc w:val="center"/>
            </w:pPr>
            <w:r>
              <w:rPr>
                <w:noProof/>
                <w:color w:val="000000"/>
                <w:highlight w:val="black"/>
              </w:rPr>
              <w:t>'''''''</w:t>
            </w:r>
            <w:r w:rsidR="005D420C" w:rsidRPr="00121962">
              <w:t>%</w:t>
            </w:r>
          </w:p>
        </w:tc>
        <w:tc>
          <w:tcPr>
            <w:tcW w:w="1659" w:type="pct"/>
            <w:shd w:val="clear" w:color="auto" w:fill="auto"/>
            <w:vAlign w:val="center"/>
          </w:tcPr>
          <w:p w14:paraId="67E3B9A3" w14:textId="77777777" w:rsidR="005D420C" w:rsidRPr="00121962" w:rsidRDefault="005D420C" w:rsidP="00823B59">
            <w:pPr>
              <w:pStyle w:val="TableText"/>
              <w:keepNext w:val="0"/>
              <w:rPr>
                <w:iCs/>
              </w:rPr>
            </w:pPr>
            <w:r w:rsidRPr="00121962">
              <w:rPr>
                <w:iCs/>
              </w:rPr>
              <w:t>Assumed</w:t>
            </w:r>
          </w:p>
        </w:tc>
      </w:tr>
      <w:tr w:rsidR="005D420C" w:rsidRPr="00121962" w14:paraId="7C1753F0" w14:textId="77777777" w:rsidTr="00672288">
        <w:trPr>
          <w:cantSplit/>
        </w:trPr>
        <w:tc>
          <w:tcPr>
            <w:tcW w:w="1098" w:type="pct"/>
            <w:shd w:val="clear" w:color="auto" w:fill="auto"/>
            <w:vAlign w:val="center"/>
          </w:tcPr>
          <w:p w14:paraId="39C6E846" w14:textId="77777777" w:rsidR="005D420C" w:rsidRPr="00121962" w:rsidRDefault="005D420C" w:rsidP="00823B59">
            <w:pPr>
              <w:pStyle w:val="TableText"/>
              <w:keepNext w:val="0"/>
            </w:pPr>
            <w:r w:rsidRPr="00121962">
              <w:t>ESKD events avoided per year per 100 patients</w:t>
            </w:r>
          </w:p>
        </w:tc>
        <w:tc>
          <w:tcPr>
            <w:tcW w:w="2243" w:type="pct"/>
            <w:shd w:val="clear" w:color="auto" w:fill="auto"/>
            <w:vAlign w:val="center"/>
          </w:tcPr>
          <w:p w14:paraId="1EC99D9F" w14:textId="77777777" w:rsidR="005D420C" w:rsidRPr="00121962" w:rsidRDefault="005D420C" w:rsidP="00823B59">
            <w:pPr>
              <w:pStyle w:val="TableText"/>
              <w:keepNext w:val="0"/>
              <w:ind w:left="21" w:right="-12"/>
              <w:jc w:val="center"/>
            </w:pPr>
            <w:r w:rsidRPr="00121962">
              <w:t>ESKD: 1.07%</w:t>
            </w:r>
          </w:p>
          <w:p w14:paraId="37B0AE96" w14:textId="77777777" w:rsidR="005D420C" w:rsidRPr="00121962" w:rsidRDefault="005D420C" w:rsidP="00823B59">
            <w:pPr>
              <w:pStyle w:val="TableText"/>
              <w:keepNext w:val="0"/>
              <w:ind w:left="21" w:right="-12"/>
              <w:jc w:val="center"/>
            </w:pPr>
            <w:r w:rsidRPr="00121962">
              <w:t>Transplant: 39.6%</w:t>
            </w:r>
          </w:p>
          <w:p w14:paraId="10267175" w14:textId="77777777" w:rsidR="005D420C" w:rsidRPr="00121962" w:rsidRDefault="005D420C" w:rsidP="00823B59">
            <w:pPr>
              <w:pStyle w:val="TableText"/>
              <w:keepNext w:val="0"/>
              <w:ind w:left="21" w:right="-12"/>
              <w:jc w:val="center"/>
            </w:pPr>
            <w:r w:rsidRPr="00121962">
              <w:t>Dialysis: 43%</w:t>
            </w:r>
          </w:p>
          <w:p w14:paraId="2DDB5B7D" w14:textId="77777777" w:rsidR="005D420C" w:rsidRPr="00121962" w:rsidRDefault="005D420C" w:rsidP="00823B59">
            <w:pPr>
              <w:pStyle w:val="TableText"/>
              <w:keepNext w:val="0"/>
              <w:ind w:left="21" w:right="-12"/>
              <w:jc w:val="center"/>
            </w:pPr>
            <w:r w:rsidRPr="00121962">
              <w:t>Conservative management: 17.4%</w:t>
            </w:r>
          </w:p>
        </w:tc>
        <w:tc>
          <w:tcPr>
            <w:tcW w:w="1659" w:type="pct"/>
            <w:vMerge w:val="restart"/>
            <w:shd w:val="clear" w:color="auto" w:fill="auto"/>
            <w:vAlign w:val="center"/>
          </w:tcPr>
          <w:p w14:paraId="535196E9" w14:textId="77777777" w:rsidR="005D420C" w:rsidRPr="00121962" w:rsidRDefault="005D420C" w:rsidP="00823B59">
            <w:pPr>
              <w:pStyle w:val="TableText"/>
              <w:keepNext w:val="0"/>
              <w:rPr>
                <w:iCs/>
              </w:rPr>
            </w:pPr>
            <w:r w:rsidRPr="00121962">
              <w:rPr>
                <w:iCs/>
              </w:rPr>
              <w:t>Derived from Section 3.6 of the economic evaluation</w:t>
            </w:r>
            <w:r w:rsidR="0012390A">
              <w:rPr>
                <w:iCs/>
              </w:rPr>
              <w:t>.</w:t>
            </w:r>
          </w:p>
        </w:tc>
      </w:tr>
      <w:tr w:rsidR="005D420C" w:rsidRPr="00121962" w14:paraId="6F3BE8CC" w14:textId="77777777" w:rsidTr="00672288">
        <w:trPr>
          <w:cantSplit/>
        </w:trPr>
        <w:tc>
          <w:tcPr>
            <w:tcW w:w="1098" w:type="pct"/>
            <w:shd w:val="clear" w:color="auto" w:fill="auto"/>
            <w:vAlign w:val="center"/>
          </w:tcPr>
          <w:p w14:paraId="25FC2296" w14:textId="77777777" w:rsidR="005D420C" w:rsidRPr="00121962" w:rsidRDefault="005D420C" w:rsidP="00823B59">
            <w:pPr>
              <w:pStyle w:val="TableText"/>
              <w:keepNext w:val="0"/>
            </w:pPr>
            <w:r w:rsidRPr="00121962">
              <w:t>Annual cost of transplant</w:t>
            </w:r>
          </w:p>
        </w:tc>
        <w:tc>
          <w:tcPr>
            <w:tcW w:w="2243" w:type="pct"/>
            <w:shd w:val="clear" w:color="auto" w:fill="auto"/>
            <w:vAlign w:val="center"/>
          </w:tcPr>
          <w:p w14:paraId="54C7ACD5" w14:textId="77777777" w:rsidR="005D420C" w:rsidRPr="00121962" w:rsidRDefault="005D420C" w:rsidP="00823B59">
            <w:pPr>
              <w:pStyle w:val="TableText"/>
              <w:keepNext w:val="0"/>
              <w:ind w:left="21" w:right="-12"/>
              <w:jc w:val="center"/>
            </w:pPr>
            <w:r w:rsidRPr="00121962">
              <w:t>Year 1: $113,780; subsequent years: $14,722</w:t>
            </w:r>
          </w:p>
        </w:tc>
        <w:tc>
          <w:tcPr>
            <w:tcW w:w="1659" w:type="pct"/>
            <w:vMerge/>
            <w:shd w:val="clear" w:color="auto" w:fill="auto"/>
            <w:vAlign w:val="center"/>
          </w:tcPr>
          <w:p w14:paraId="0B3E4724" w14:textId="77777777" w:rsidR="005D420C" w:rsidRPr="00121962" w:rsidRDefault="005D420C" w:rsidP="00823B59">
            <w:pPr>
              <w:pStyle w:val="TableText"/>
              <w:keepNext w:val="0"/>
              <w:rPr>
                <w:i/>
              </w:rPr>
            </w:pPr>
          </w:p>
        </w:tc>
      </w:tr>
      <w:tr w:rsidR="005D420C" w:rsidRPr="00121962" w14:paraId="61821B75" w14:textId="77777777" w:rsidTr="00672288">
        <w:trPr>
          <w:cantSplit/>
        </w:trPr>
        <w:tc>
          <w:tcPr>
            <w:tcW w:w="1098" w:type="pct"/>
            <w:shd w:val="clear" w:color="auto" w:fill="auto"/>
            <w:vAlign w:val="center"/>
          </w:tcPr>
          <w:p w14:paraId="685EC734" w14:textId="77777777" w:rsidR="005D420C" w:rsidRPr="00121962" w:rsidRDefault="005D420C" w:rsidP="00823B59">
            <w:pPr>
              <w:pStyle w:val="TableText"/>
              <w:keepNext w:val="0"/>
            </w:pPr>
            <w:r w:rsidRPr="00121962">
              <w:t>Annual cost of dialysis</w:t>
            </w:r>
          </w:p>
        </w:tc>
        <w:tc>
          <w:tcPr>
            <w:tcW w:w="2243" w:type="pct"/>
            <w:shd w:val="clear" w:color="auto" w:fill="auto"/>
            <w:vAlign w:val="center"/>
          </w:tcPr>
          <w:p w14:paraId="170D01B7" w14:textId="77777777" w:rsidR="005D420C" w:rsidRPr="00121962" w:rsidRDefault="005D420C" w:rsidP="00823B59">
            <w:pPr>
              <w:pStyle w:val="TableText"/>
              <w:keepNext w:val="0"/>
              <w:ind w:left="21" w:right="-12"/>
              <w:jc w:val="center"/>
            </w:pPr>
            <w:r w:rsidRPr="00121962">
              <w:t>$96,821</w:t>
            </w:r>
          </w:p>
        </w:tc>
        <w:tc>
          <w:tcPr>
            <w:tcW w:w="1659" w:type="pct"/>
            <w:vMerge/>
            <w:shd w:val="clear" w:color="auto" w:fill="auto"/>
            <w:vAlign w:val="center"/>
          </w:tcPr>
          <w:p w14:paraId="69078B91" w14:textId="77777777" w:rsidR="005D420C" w:rsidRPr="00121962" w:rsidRDefault="005D420C" w:rsidP="00823B59">
            <w:pPr>
              <w:pStyle w:val="TableText"/>
              <w:keepNext w:val="0"/>
              <w:rPr>
                <w:i/>
              </w:rPr>
            </w:pPr>
          </w:p>
        </w:tc>
      </w:tr>
      <w:tr w:rsidR="005D420C" w:rsidRPr="00121962" w14:paraId="62798693" w14:textId="77777777" w:rsidTr="00672288">
        <w:trPr>
          <w:cantSplit/>
        </w:trPr>
        <w:tc>
          <w:tcPr>
            <w:tcW w:w="1098" w:type="pct"/>
            <w:shd w:val="clear" w:color="auto" w:fill="auto"/>
            <w:vAlign w:val="center"/>
          </w:tcPr>
          <w:p w14:paraId="576432EA" w14:textId="77777777" w:rsidR="005D420C" w:rsidRPr="00121962" w:rsidRDefault="005D420C" w:rsidP="00823B59">
            <w:pPr>
              <w:pStyle w:val="TableText"/>
              <w:keepNext w:val="0"/>
            </w:pPr>
            <w:r w:rsidRPr="00121962">
              <w:t>Annual cost conservative management</w:t>
            </w:r>
          </w:p>
        </w:tc>
        <w:tc>
          <w:tcPr>
            <w:tcW w:w="2243" w:type="pct"/>
            <w:shd w:val="clear" w:color="auto" w:fill="auto"/>
            <w:vAlign w:val="center"/>
          </w:tcPr>
          <w:p w14:paraId="3A022BED" w14:textId="77777777" w:rsidR="005D420C" w:rsidRPr="00121962" w:rsidRDefault="005D420C" w:rsidP="00823B59">
            <w:pPr>
              <w:pStyle w:val="TableText"/>
              <w:keepNext w:val="0"/>
              <w:ind w:left="21" w:right="-12"/>
              <w:jc w:val="center"/>
            </w:pPr>
            <w:r w:rsidRPr="00121962">
              <w:t>$12,891</w:t>
            </w:r>
          </w:p>
        </w:tc>
        <w:tc>
          <w:tcPr>
            <w:tcW w:w="1659" w:type="pct"/>
            <w:vMerge/>
            <w:shd w:val="clear" w:color="auto" w:fill="auto"/>
            <w:vAlign w:val="center"/>
          </w:tcPr>
          <w:p w14:paraId="005BF2AD" w14:textId="77777777" w:rsidR="005D420C" w:rsidRPr="00121962" w:rsidRDefault="005D420C" w:rsidP="00823B59">
            <w:pPr>
              <w:pStyle w:val="TableText"/>
              <w:keepNext w:val="0"/>
              <w:rPr>
                <w:i/>
              </w:rPr>
            </w:pPr>
          </w:p>
        </w:tc>
      </w:tr>
    </w:tbl>
    <w:p w14:paraId="6B2CAA4A" w14:textId="77777777" w:rsidR="005D420C" w:rsidRPr="00121962" w:rsidRDefault="005D420C" w:rsidP="005D420C">
      <w:pPr>
        <w:pStyle w:val="TableFigureFooter"/>
      </w:pPr>
      <w:r w:rsidRPr="00121962">
        <w:t>Source: Tables 4.1.1 and 4.2.1, p.134 and 138 of the submission</w:t>
      </w:r>
    </w:p>
    <w:p w14:paraId="2B8DCEE5" w14:textId="77777777" w:rsidR="005D420C" w:rsidRPr="00121962" w:rsidRDefault="005D420C" w:rsidP="005D420C">
      <w:pPr>
        <w:pStyle w:val="TableFigureFooter"/>
      </w:pPr>
      <w:r w:rsidRPr="00121962">
        <w:t>ACEI, angiotensin converting enzyme inhibitor; AHS, Australian Health Survey; AIHW, Australian Institute of Health and Welfare; ARB, angiotensin II receptor blocker; CKD, chronic kidney disease; CVD, cardiovascular disease; DAPA, dapagliflozin; eGFR, estimated glomerular filtration rate; ESKD, end-stage kidney disease; HbA1c, haemoglobin A1c; HF, heart failure; HFrEF, heart failure with reduced ejection fraction; KHA, Kidney Health Australia; SGLT2i, sodium glucose co</w:t>
      </w:r>
      <w:r w:rsidRPr="00121962">
        <w:noBreakHyphen/>
        <w:t>transporter</w:t>
      </w:r>
      <w:r w:rsidRPr="00121962">
        <w:noBreakHyphen/>
        <w:t xml:space="preserve">2 inhibitor; SOC, standard of care; T2DM, Type 2 diabetes mellitus </w:t>
      </w:r>
    </w:p>
    <w:p w14:paraId="7A470453" w14:textId="77777777" w:rsidR="005D420C" w:rsidRPr="00121962" w:rsidRDefault="00E51973" w:rsidP="005D420C">
      <w:pPr>
        <w:pStyle w:val="ExecSumBodyText"/>
        <w:numPr>
          <w:ilvl w:val="1"/>
          <w:numId w:val="1"/>
        </w:numPr>
        <w:rPr>
          <w:color w:val="0066FF"/>
        </w:rPr>
      </w:pPr>
      <w:r w:rsidRPr="00121962">
        <w:t xml:space="preserve">Table </w:t>
      </w:r>
      <w:r>
        <w:t>18</w:t>
      </w:r>
      <w:r w:rsidR="005D420C" w:rsidRPr="00121962">
        <w:t xml:space="preserve"> summarises the estimated eligible population, and the net cost to the </w:t>
      </w:r>
      <w:r w:rsidR="0012390A">
        <w:t>R/</w:t>
      </w:r>
      <w:r w:rsidR="005D420C" w:rsidRPr="00121962">
        <w:t>PBS, of listing dapagliflozin for the treatment of CKD</w:t>
      </w:r>
      <w:r w:rsidR="001D1492" w:rsidRPr="00121962">
        <w:t>, based on the submission’s DPMQ of $</w:t>
      </w:r>
      <w:r w:rsidR="002F0C5E">
        <w:rPr>
          <w:noProof/>
          <w:color w:val="000000"/>
          <w:highlight w:val="black"/>
        </w:rPr>
        <w:t>''''''''''''''</w:t>
      </w:r>
      <w:r w:rsidR="005D420C" w:rsidRPr="00121962">
        <w:t>.</w:t>
      </w:r>
      <w:r w:rsidR="001D1492" w:rsidRPr="00121962">
        <w:t xml:space="preserve"> </w:t>
      </w:r>
    </w:p>
    <w:p w14:paraId="117DDBE4" w14:textId="77777777" w:rsidR="005D420C" w:rsidRPr="00121962" w:rsidRDefault="005D420C" w:rsidP="005D420C">
      <w:pPr>
        <w:pStyle w:val="TableFigureCaption"/>
      </w:pPr>
      <w:bookmarkStart w:id="49" w:name="_Ref70948532"/>
      <w:r w:rsidRPr="00121962">
        <w:t xml:space="preserve">Table </w:t>
      </w:r>
      <w:r w:rsidR="00E51973">
        <w:rPr>
          <w:noProof/>
        </w:rPr>
        <w:t>18</w:t>
      </w:r>
      <w:bookmarkEnd w:id="49"/>
      <w:r w:rsidRPr="00121962">
        <w:t xml:space="preserve">: </w:t>
      </w:r>
      <w:bookmarkStart w:id="50" w:name="_Hlk79352313"/>
      <w:r w:rsidRPr="00121962">
        <w:t xml:space="preserve">Estimated eligible population and net cost to the </w:t>
      </w:r>
      <w:r w:rsidR="00691E43">
        <w:t>R/</w:t>
      </w:r>
      <w:r w:rsidRPr="00121962">
        <w:t>PBS of listing dapagliflozin for CKD</w:t>
      </w:r>
      <w:bookmarkEnd w:id="50"/>
    </w:p>
    <w:tbl>
      <w:tblPr>
        <w:tblStyle w:val="TableHTAsimple"/>
        <w:tblW w:w="5000" w:type="pct"/>
        <w:tblBorders>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8: Estimated eligible population and net cost to the R/PBS of listing dapagliflozin for CKD"/>
      </w:tblPr>
      <w:tblGrid>
        <w:gridCol w:w="1981"/>
        <w:gridCol w:w="1173"/>
        <w:gridCol w:w="1173"/>
        <w:gridCol w:w="1173"/>
        <w:gridCol w:w="1173"/>
        <w:gridCol w:w="1172"/>
        <w:gridCol w:w="1172"/>
      </w:tblGrid>
      <w:tr w:rsidR="005D420C" w:rsidRPr="00121962" w14:paraId="6E923BFE" w14:textId="77777777" w:rsidTr="00823B59">
        <w:trPr>
          <w:cnfStyle w:val="100000000000" w:firstRow="1" w:lastRow="0" w:firstColumn="0" w:lastColumn="0" w:oddVBand="0" w:evenVBand="0" w:oddHBand="0" w:evenHBand="0" w:firstRowFirstColumn="0" w:firstRowLastColumn="0" w:lastRowFirstColumn="0" w:lastRowLastColumn="0"/>
          <w:tblHeader/>
        </w:trPr>
        <w:tc>
          <w:tcPr>
            <w:tcW w:w="1098" w:type="pct"/>
          </w:tcPr>
          <w:p w14:paraId="2469777F" w14:textId="77777777" w:rsidR="005D420C" w:rsidRPr="00121962" w:rsidRDefault="005D420C" w:rsidP="00823B59">
            <w:pPr>
              <w:keepNext/>
              <w:spacing w:before="0" w:after="0"/>
              <w:jc w:val="left"/>
              <w:rPr>
                <w:rFonts w:ascii="Arial Narrow" w:hAnsi="Arial Narrow"/>
                <w:b/>
                <w:sz w:val="20"/>
                <w:szCs w:val="20"/>
                <w:lang w:val="en-AU"/>
              </w:rPr>
            </w:pPr>
            <w:r w:rsidRPr="00121962">
              <w:rPr>
                <w:rFonts w:ascii="Arial Narrow" w:hAnsi="Arial Narrow"/>
                <w:b/>
                <w:sz w:val="20"/>
                <w:szCs w:val="20"/>
                <w:lang w:val="en-AU"/>
              </w:rPr>
              <w:t>Description</w:t>
            </w:r>
          </w:p>
        </w:tc>
        <w:tc>
          <w:tcPr>
            <w:tcW w:w="650" w:type="pct"/>
            <w:shd w:val="clear" w:color="auto" w:fill="auto"/>
          </w:tcPr>
          <w:p w14:paraId="7D1A096B"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1</w:t>
            </w:r>
          </w:p>
        </w:tc>
        <w:tc>
          <w:tcPr>
            <w:tcW w:w="650" w:type="pct"/>
            <w:shd w:val="clear" w:color="auto" w:fill="auto"/>
          </w:tcPr>
          <w:p w14:paraId="6AE8363E"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2</w:t>
            </w:r>
          </w:p>
        </w:tc>
        <w:tc>
          <w:tcPr>
            <w:tcW w:w="650" w:type="pct"/>
            <w:shd w:val="clear" w:color="auto" w:fill="auto"/>
          </w:tcPr>
          <w:p w14:paraId="6975E9C6"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3</w:t>
            </w:r>
          </w:p>
        </w:tc>
        <w:tc>
          <w:tcPr>
            <w:tcW w:w="650" w:type="pct"/>
            <w:shd w:val="clear" w:color="auto" w:fill="auto"/>
          </w:tcPr>
          <w:p w14:paraId="6B963781"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4</w:t>
            </w:r>
          </w:p>
        </w:tc>
        <w:tc>
          <w:tcPr>
            <w:tcW w:w="650" w:type="pct"/>
            <w:shd w:val="clear" w:color="auto" w:fill="auto"/>
          </w:tcPr>
          <w:p w14:paraId="7CDC4340"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5</w:t>
            </w:r>
          </w:p>
        </w:tc>
        <w:tc>
          <w:tcPr>
            <w:tcW w:w="650" w:type="pct"/>
            <w:shd w:val="clear" w:color="auto" w:fill="auto"/>
          </w:tcPr>
          <w:p w14:paraId="290CE3F7"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6</w:t>
            </w:r>
          </w:p>
        </w:tc>
      </w:tr>
      <w:tr w:rsidR="005D420C" w:rsidRPr="00121962" w14:paraId="0BB879C7"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7B146120"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Australian adult population</w:t>
            </w:r>
            <w:r w:rsidRPr="00121962" w:rsidDel="001012B1">
              <w:rPr>
                <w:rFonts w:ascii="Arial Narrow" w:hAnsi="Arial Narrow"/>
                <w:sz w:val="20"/>
                <w:szCs w:val="20"/>
                <w:lang w:val="en-AU"/>
              </w:rPr>
              <w:t xml:space="preserve"> </w:t>
            </w:r>
          </w:p>
        </w:tc>
        <w:tc>
          <w:tcPr>
            <w:tcW w:w="650" w:type="pct"/>
          </w:tcPr>
          <w:p w14:paraId="57DF1185"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20,757,917 </w:t>
            </w:r>
          </w:p>
        </w:tc>
        <w:tc>
          <w:tcPr>
            <w:tcW w:w="650" w:type="pct"/>
          </w:tcPr>
          <w:p w14:paraId="23AFEFC3"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21,082,471 </w:t>
            </w:r>
          </w:p>
        </w:tc>
        <w:tc>
          <w:tcPr>
            <w:tcW w:w="650" w:type="pct"/>
          </w:tcPr>
          <w:p w14:paraId="2F8DDA84"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21,411,852 </w:t>
            </w:r>
          </w:p>
        </w:tc>
        <w:tc>
          <w:tcPr>
            <w:tcW w:w="650" w:type="pct"/>
          </w:tcPr>
          <w:p w14:paraId="7004C926"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21,744,502 </w:t>
            </w:r>
          </w:p>
        </w:tc>
        <w:tc>
          <w:tcPr>
            <w:tcW w:w="650" w:type="pct"/>
          </w:tcPr>
          <w:p w14:paraId="02A5B6C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22,073,220 </w:t>
            </w:r>
          </w:p>
        </w:tc>
        <w:tc>
          <w:tcPr>
            <w:tcW w:w="650" w:type="pct"/>
          </w:tcPr>
          <w:p w14:paraId="2A61F9CA"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22,393,101 </w:t>
            </w:r>
          </w:p>
        </w:tc>
      </w:tr>
      <w:tr w:rsidR="005D420C" w:rsidRPr="00121962" w14:paraId="71F643C4"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3F248509" w14:textId="77777777"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CKD population (10%)</w:t>
            </w:r>
          </w:p>
        </w:tc>
        <w:tc>
          <w:tcPr>
            <w:tcW w:w="650" w:type="pct"/>
          </w:tcPr>
          <w:p w14:paraId="77107784"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2,075,792</w:t>
            </w:r>
          </w:p>
        </w:tc>
        <w:tc>
          <w:tcPr>
            <w:tcW w:w="650" w:type="pct"/>
          </w:tcPr>
          <w:p w14:paraId="4DC60D92"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2,108,247</w:t>
            </w:r>
          </w:p>
        </w:tc>
        <w:tc>
          <w:tcPr>
            <w:tcW w:w="650" w:type="pct"/>
          </w:tcPr>
          <w:p w14:paraId="42037560"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2,141,185</w:t>
            </w:r>
          </w:p>
        </w:tc>
        <w:tc>
          <w:tcPr>
            <w:tcW w:w="650" w:type="pct"/>
          </w:tcPr>
          <w:p w14:paraId="19BACDD4"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2,174,450</w:t>
            </w:r>
          </w:p>
        </w:tc>
        <w:tc>
          <w:tcPr>
            <w:tcW w:w="650" w:type="pct"/>
          </w:tcPr>
          <w:p w14:paraId="2E76EB59"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2,207,322</w:t>
            </w:r>
          </w:p>
        </w:tc>
        <w:tc>
          <w:tcPr>
            <w:tcW w:w="650" w:type="pct"/>
          </w:tcPr>
          <w:p w14:paraId="232F8B0D"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2,239,310</w:t>
            </w:r>
          </w:p>
        </w:tc>
      </w:tr>
      <w:tr w:rsidR="005D420C" w:rsidRPr="00121962" w14:paraId="1048C223"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0F92B270"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 xml:space="preserve">Diagnosed CKD </w:t>
            </w:r>
          </w:p>
          <w:p w14:paraId="09D42C76"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(10-20%)</w:t>
            </w:r>
          </w:p>
        </w:tc>
        <w:tc>
          <w:tcPr>
            <w:tcW w:w="650" w:type="pct"/>
          </w:tcPr>
          <w:p w14:paraId="2BBA601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207,579</w:t>
            </w:r>
          </w:p>
        </w:tc>
        <w:tc>
          <w:tcPr>
            <w:tcW w:w="650" w:type="pct"/>
          </w:tcPr>
          <w:p w14:paraId="280444A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252,990</w:t>
            </w:r>
          </w:p>
        </w:tc>
        <w:tc>
          <w:tcPr>
            <w:tcW w:w="650" w:type="pct"/>
          </w:tcPr>
          <w:p w14:paraId="46CB1B74"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299,766</w:t>
            </w:r>
          </w:p>
        </w:tc>
        <w:tc>
          <w:tcPr>
            <w:tcW w:w="650" w:type="pct"/>
          </w:tcPr>
          <w:p w14:paraId="78E907F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347,912</w:t>
            </w:r>
          </w:p>
        </w:tc>
        <w:tc>
          <w:tcPr>
            <w:tcW w:w="650" w:type="pct"/>
          </w:tcPr>
          <w:p w14:paraId="1EE41608"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397,318</w:t>
            </w:r>
          </w:p>
        </w:tc>
        <w:tc>
          <w:tcPr>
            <w:tcW w:w="650" w:type="pct"/>
          </w:tcPr>
          <w:p w14:paraId="2F2DEF7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447,862</w:t>
            </w:r>
          </w:p>
        </w:tc>
      </w:tr>
      <w:tr w:rsidR="005D420C" w:rsidRPr="00121962" w14:paraId="1DE93EE4"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524C6FA3"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CKD stages 2-3b (58%)</w:t>
            </w:r>
          </w:p>
        </w:tc>
        <w:tc>
          <w:tcPr>
            <w:tcW w:w="650" w:type="pct"/>
          </w:tcPr>
          <w:p w14:paraId="59639F86"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120,396</w:t>
            </w:r>
          </w:p>
        </w:tc>
        <w:tc>
          <w:tcPr>
            <w:tcW w:w="650" w:type="pct"/>
          </w:tcPr>
          <w:p w14:paraId="5DEBB35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146,734</w:t>
            </w:r>
          </w:p>
        </w:tc>
        <w:tc>
          <w:tcPr>
            <w:tcW w:w="650" w:type="pct"/>
          </w:tcPr>
          <w:p w14:paraId="364B09E3"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173,864</w:t>
            </w:r>
          </w:p>
        </w:tc>
        <w:tc>
          <w:tcPr>
            <w:tcW w:w="650" w:type="pct"/>
          </w:tcPr>
          <w:p w14:paraId="77C70CAC"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201,789</w:t>
            </w:r>
          </w:p>
        </w:tc>
        <w:tc>
          <w:tcPr>
            <w:tcW w:w="650" w:type="pct"/>
          </w:tcPr>
          <w:p w14:paraId="2A3E201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230,444</w:t>
            </w:r>
          </w:p>
        </w:tc>
        <w:tc>
          <w:tcPr>
            <w:tcW w:w="650" w:type="pct"/>
          </w:tcPr>
          <w:p w14:paraId="2C60F023"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259,760</w:t>
            </w:r>
          </w:p>
        </w:tc>
      </w:tr>
      <w:tr w:rsidR="005D420C" w:rsidRPr="00121962" w14:paraId="3E200A4A"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181E71F2"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 SGLT2 inhibitors (93.4%)</w:t>
            </w:r>
          </w:p>
        </w:tc>
        <w:tc>
          <w:tcPr>
            <w:tcW w:w="650" w:type="pct"/>
          </w:tcPr>
          <w:p w14:paraId="6305FE78"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112,399</w:t>
            </w:r>
          </w:p>
        </w:tc>
        <w:tc>
          <w:tcPr>
            <w:tcW w:w="650" w:type="pct"/>
          </w:tcPr>
          <w:p w14:paraId="78002C37"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136,988</w:t>
            </w:r>
          </w:p>
        </w:tc>
        <w:tc>
          <w:tcPr>
            <w:tcW w:w="650" w:type="pct"/>
          </w:tcPr>
          <w:p w14:paraId="39AD2607"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162,316</w:t>
            </w:r>
          </w:p>
        </w:tc>
        <w:tc>
          <w:tcPr>
            <w:tcW w:w="650" w:type="pct"/>
          </w:tcPr>
          <w:p w14:paraId="4298B1AF"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188,386</w:t>
            </w:r>
          </w:p>
        </w:tc>
        <w:tc>
          <w:tcPr>
            <w:tcW w:w="650" w:type="pct"/>
          </w:tcPr>
          <w:p w14:paraId="76E569ED"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215,138</w:t>
            </w:r>
          </w:p>
        </w:tc>
        <w:tc>
          <w:tcPr>
            <w:tcW w:w="650" w:type="pct"/>
          </w:tcPr>
          <w:p w14:paraId="5A1DA3C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242,506</w:t>
            </w:r>
          </w:p>
        </w:tc>
      </w:tr>
      <w:tr w:rsidR="005D420C" w:rsidRPr="00121962" w14:paraId="3368C4CC"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6E37974A"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PBS-listed dapagliflozin for HFrEF (97.4%)</w:t>
            </w:r>
          </w:p>
        </w:tc>
        <w:tc>
          <w:tcPr>
            <w:tcW w:w="650" w:type="pct"/>
          </w:tcPr>
          <w:p w14:paraId="65B3ECFD"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109,453</w:t>
            </w:r>
          </w:p>
        </w:tc>
        <w:tc>
          <w:tcPr>
            <w:tcW w:w="650" w:type="pct"/>
          </w:tcPr>
          <w:p w14:paraId="4297908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133,397</w:t>
            </w:r>
          </w:p>
        </w:tc>
        <w:tc>
          <w:tcPr>
            <w:tcW w:w="650" w:type="pct"/>
          </w:tcPr>
          <w:p w14:paraId="4B909D74"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158,062</w:t>
            </w:r>
          </w:p>
        </w:tc>
        <w:tc>
          <w:tcPr>
            <w:tcW w:w="650" w:type="pct"/>
          </w:tcPr>
          <w:p w14:paraId="05F54223"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183,448</w:t>
            </w:r>
          </w:p>
        </w:tc>
        <w:tc>
          <w:tcPr>
            <w:tcW w:w="650" w:type="pct"/>
          </w:tcPr>
          <w:p w14:paraId="2CF6E7C5"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209,499</w:t>
            </w:r>
          </w:p>
        </w:tc>
        <w:tc>
          <w:tcPr>
            <w:tcW w:w="650" w:type="pct"/>
          </w:tcPr>
          <w:p w14:paraId="17264D1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236,150</w:t>
            </w:r>
          </w:p>
        </w:tc>
      </w:tr>
      <w:tr w:rsidR="005D420C" w:rsidRPr="00121962" w14:paraId="6B5F2AA5"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5552A498"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Uptake (assumed)</w:t>
            </w:r>
          </w:p>
        </w:tc>
        <w:tc>
          <w:tcPr>
            <w:tcW w:w="650" w:type="pct"/>
          </w:tcPr>
          <w:p w14:paraId="5E8136EE"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1E252EE4"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13849FEC"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61F7D1F6"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7B3EB12A"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2F1FA08E"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r>
      <w:tr w:rsidR="005D420C" w:rsidRPr="00121962" w14:paraId="5E783E6D"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3CF3EB96" w14:textId="77777777" w:rsidR="005D420C" w:rsidRPr="005134BC" w:rsidRDefault="005D420C" w:rsidP="005134BC">
            <w:pPr>
              <w:keepNext/>
              <w:spacing w:after="0"/>
              <w:jc w:val="left"/>
              <w:rPr>
                <w:rFonts w:ascii="Arial Narrow" w:hAnsi="Arial Narrow"/>
                <w:sz w:val="20"/>
                <w:szCs w:val="20"/>
                <w:vertAlign w:val="superscript"/>
                <w:lang w:val="en-AU"/>
              </w:rPr>
            </w:pPr>
            <w:r w:rsidRPr="00121962">
              <w:rPr>
                <w:rFonts w:ascii="Arial Narrow" w:hAnsi="Arial Narrow"/>
                <w:sz w:val="20"/>
                <w:szCs w:val="20"/>
                <w:lang w:val="en-AU"/>
              </w:rPr>
              <w:t>Estimated treated patients</w:t>
            </w:r>
          </w:p>
        </w:tc>
        <w:tc>
          <w:tcPr>
            <w:tcW w:w="650" w:type="pct"/>
          </w:tcPr>
          <w:p w14:paraId="74A1A5D7"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1</w:t>
            </w:r>
            <w:r>
              <w:rPr>
                <w:rFonts w:ascii="Arial Narrow" w:hAnsi="Arial Narrow"/>
                <w:noProof/>
                <w:color w:val="000000"/>
                <w:sz w:val="20"/>
                <w:szCs w:val="20"/>
                <w:highlight w:val="black"/>
                <w:lang w:val="en-AU"/>
              </w:rPr>
              <w:t xml:space="preserve"> </w:t>
            </w:r>
          </w:p>
        </w:tc>
        <w:tc>
          <w:tcPr>
            <w:tcW w:w="650" w:type="pct"/>
          </w:tcPr>
          <w:p w14:paraId="78642CD4"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2</w:t>
            </w:r>
            <w:r>
              <w:rPr>
                <w:rFonts w:ascii="Arial Narrow" w:hAnsi="Arial Narrow"/>
                <w:noProof/>
                <w:color w:val="000000"/>
                <w:sz w:val="20"/>
                <w:szCs w:val="20"/>
                <w:highlight w:val="black"/>
                <w:lang w:val="en-AU"/>
              </w:rPr>
              <w:t xml:space="preserve"> </w:t>
            </w:r>
          </w:p>
        </w:tc>
        <w:tc>
          <w:tcPr>
            <w:tcW w:w="650" w:type="pct"/>
          </w:tcPr>
          <w:p w14:paraId="3618A772"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6ADC7F94"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28172F54"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1C7F65FC"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r>
      <w:tr w:rsidR="005D420C" w:rsidRPr="00121962" w14:paraId="58983D1E"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Borders>
              <w:bottom w:val="single" w:sz="4" w:space="0" w:color="auto"/>
            </w:tcBorders>
          </w:tcPr>
          <w:p w14:paraId="45FFB92F"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Patients switching from PBS-listed empagliflozin </w:t>
            </w:r>
          </w:p>
        </w:tc>
        <w:tc>
          <w:tcPr>
            <w:tcW w:w="650" w:type="pct"/>
            <w:tcBorders>
              <w:bottom w:val="single" w:sz="4" w:space="0" w:color="auto"/>
            </w:tcBorders>
          </w:tcPr>
          <w:p w14:paraId="7E7014E4"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2CDE6059"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6A22F100"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59846F74"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14:paraId="48B4A8E8"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14:paraId="55C0981C"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r>
      <w:tr w:rsidR="005D420C" w:rsidRPr="00121962" w14:paraId="5FD87CE9"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Borders>
              <w:bottom w:val="double" w:sz="4" w:space="0" w:color="auto"/>
            </w:tcBorders>
          </w:tcPr>
          <w:p w14:paraId="636D84A8"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Estimated total patients </w:t>
            </w:r>
          </w:p>
        </w:tc>
        <w:tc>
          <w:tcPr>
            <w:tcW w:w="650" w:type="pct"/>
            <w:tcBorders>
              <w:bottom w:val="double" w:sz="4" w:space="0" w:color="auto"/>
            </w:tcBorders>
          </w:tcPr>
          <w:p w14:paraId="7B871C49"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1</w:t>
            </w:r>
            <w:r>
              <w:rPr>
                <w:rFonts w:ascii="Arial Narrow" w:hAnsi="Arial Narrow"/>
                <w:b/>
                <w:noProof/>
                <w:color w:val="000000"/>
                <w:highlight w:val="black"/>
                <w:lang w:val="en-AU"/>
              </w:rPr>
              <w:t xml:space="preserve"> </w:t>
            </w:r>
          </w:p>
        </w:tc>
        <w:tc>
          <w:tcPr>
            <w:tcW w:w="650" w:type="pct"/>
            <w:tcBorders>
              <w:bottom w:val="double" w:sz="4" w:space="0" w:color="auto"/>
            </w:tcBorders>
          </w:tcPr>
          <w:p w14:paraId="09551502"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2</w:t>
            </w:r>
            <w:r>
              <w:rPr>
                <w:rFonts w:ascii="Arial Narrow" w:hAnsi="Arial Narrow"/>
                <w:b/>
                <w:noProof/>
                <w:color w:val="000000"/>
                <w:highlight w:val="black"/>
                <w:lang w:val="en-AU"/>
              </w:rPr>
              <w:t xml:space="preserve"> </w:t>
            </w:r>
          </w:p>
        </w:tc>
        <w:tc>
          <w:tcPr>
            <w:tcW w:w="650" w:type="pct"/>
            <w:tcBorders>
              <w:bottom w:val="double" w:sz="4" w:space="0" w:color="auto"/>
            </w:tcBorders>
          </w:tcPr>
          <w:p w14:paraId="2013A434"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2C8F1464"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080E0E55"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1E4889BB"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r>
      <w:tr w:rsidR="005D420C" w:rsidRPr="00121962" w14:paraId="5A6BE4BC"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Borders>
              <w:top w:val="double" w:sz="4" w:space="0" w:color="auto"/>
            </w:tcBorders>
          </w:tcPr>
          <w:p w14:paraId="0F3CD668"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Total scripts </w:t>
            </w:r>
          </w:p>
          <w:p w14:paraId="2BFA0C81"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(12.86/patient/year)</w:t>
            </w:r>
          </w:p>
        </w:tc>
        <w:tc>
          <w:tcPr>
            <w:tcW w:w="650" w:type="pct"/>
            <w:tcBorders>
              <w:top w:val="double" w:sz="4" w:space="0" w:color="auto"/>
            </w:tcBorders>
          </w:tcPr>
          <w:p w14:paraId="32BE7799"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6</w:t>
            </w:r>
            <w:r>
              <w:rPr>
                <w:rFonts w:ascii="Arial Narrow" w:hAnsi="Arial Narrow"/>
                <w:noProof/>
                <w:color w:val="000000"/>
                <w:highlight w:val="black"/>
                <w:lang w:val="en-AU"/>
              </w:rPr>
              <w:t xml:space="preserve"> </w:t>
            </w:r>
          </w:p>
        </w:tc>
        <w:tc>
          <w:tcPr>
            <w:tcW w:w="650" w:type="pct"/>
            <w:tcBorders>
              <w:top w:val="double" w:sz="4" w:space="0" w:color="auto"/>
            </w:tcBorders>
          </w:tcPr>
          <w:p w14:paraId="4FFEEE0A"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01FEDE16"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299AAD69"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2DFB7090"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2219FF82"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8</w:t>
            </w:r>
            <w:r>
              <w:rPr>
                <w:rFonts w:ascii="Arial Narrow" w:hAnsi="Arial Narrow"/>
                <w:noProof/>
                <w:color w:val="000000"/>
                <w:highlight w:val="black"/>
                <w:lang w:val="en-AU"/>
              </w:rPr>
              <w:t xml:space="preserve"> </w:t>
            </w:r>
          </w:p>
        </w:tc>
      </w:tr>
      <w:tr w:rsidR="005D420C" w:rsidRPr="00121962" w14:paraId="462C3A7A" w14:textId="77777777" w:rsidTr="00823B59">
        <w:trPr>
          <w:cnfStyle w:val="000000010000" w:firstRow="0" w:lastRow="0" w:firstColumn="0" w:lastColumn="0" w:oddVBand="0" w:evenVBand="0" w:oddHBand="0" w:evenHBand="1" w:firstRowFirstColumn="0" w:firstRowLastColumn="0" w:lastRowFirstColumn="0" w:lastRowLastColumn="0"/>
          <w:trHeight w:val="443"/>
        </w:trPr>
        <w:tc>
          <w:tcPr>
            <w:tcW w:w="1098" w:type="pct"/>
            <w:tcBorders>
              <w:bottom w:val="double" w:sz="4" w:space="0" w:color="auto"/>
            </w:tcBorders>
          </w:tcPr>
          <w:p w14:paraId="7832D736"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Cost to </w:t>
            </w:r>
            <w:r w:rsidR="00691E43">
              <w:rPr>
                <w:rFonts w:ascii="Arial Narrow" w:hAnsi="Arial Narrow"/>
                <w:b/>
                <w:sz w:val="20"/>
                <w:szCs w:val="20"/>
                <w:lang w:val="en-AU"/>
              </w:rPr>
              <w:t>R/</w:t>
            </w:r>
            <w:r w:rsidRPr="00121962">
              <w:rPr>
                <w:rFonts w:ascii="Arial Narrow" w:hAnsi="Arial Narrow"/>
                <w:b/>
                <w:sz w:val="20"/>
                <w:szCs w:val="20"/>
                <w:lang w:val="en-AU"/>
              </w:rPr>
              <w:t xml:space="preserve">PBS </w:t>
            </w:r>
          </w:p>
          <w:p w14:paraId="5177276E"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Borders>
              <w:bottom w:val="double" w:sz="4" w:space="0" w:color="auto"/>
            </w:tcBorders>
          </w:tcPr>
          <w:p w14:paraId="633087B1"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Borders>
              <w:bottom w:val="double" w:sz="4" w:space="0" w:color="auto"/>
            </w:tcBorders>
          </w:tcPr>
          <w:p w14:paraId="57D27E3F"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Borders>
              <w:bottom w:val="double" w:sz="4" w:space="0" w:color="auto"/>
            </w:tcBorders>
          </w:tcPr>
          <w:p w14:paraId="414214C6"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1F23BA43"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38AD5702"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6CEFCA2E"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r>
      <w:tr w:rsidR="005D420C" w:rsidRPr="00121962" w14:paraId="26567482" w14:textId="77777777"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Borders>
              <w:top w:val="double" w:sz="4" w:space="0" w:color="auto"/>
            </w:tcBorders>
          </w:tcPr>
          <w:p w14:paraId="29CC2639"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Net savings of empagliflozin (less co-payment)</w:t>
            </w:r>
          </w:p>
        </w:tc>
        <w:tc>
          <w:tcPr>
            <w:tcW w:w="650" w:type="pct"/>
            <w:tcBorders>
              <w:top w:val="double" w:sz="4" w:space="0" w:color="auto"/>
            </w:tcBorders>
          </w:tcPr>
          <w:p w14:paraId="17E332A0"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0219D668"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344302B0"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09CAE88B"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4847D55E"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06D14BD2"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r>
      <w:tr w:rsidR="005D420C" w:rsidRPr="00121962" w14:paraId="3F5F83B4" w14:textId="77777777"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14:paraId="5DC06210"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Net cost to </w:t>
            </w:r>
            <w:r w:rsidR="00691E43">
              <w:rPr>
                <w:rFonts w:ascii="Arial Narrow" w:hAnsi="Arial Narrow"/>
                <w:b/>
                <w:sz w:val="20"/>
                <w:szCs w:val="20"/>
                <w:lang w:val="en-AU"/>
              </w:rPr>
              <w:t>R/</w:t>
            </w:r>
            <w:r w:rsidRPr="00121962">
              <w:rPr>
                <w:rFonts w:ascii="Arial Narrow" w:hAnsi="Arial Narrow"/>
                <w:b/>
                <w:sz w:val="20"/>
                <w:szCs w:val="20"/>
                <w:lang w:val="en-AU"/>
              </w:rPr>
              <w:t>PBS</w:t>
            </w:r>
          </w:p>
          <w:p w14:paraId="387EDA8D"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Pr>
          <w:p w14:paraId="75932BC9"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Pr>
          <w:p w14:paraId="2A03B2AF"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Pr>
          <w:p w14:paraId="6AEAB65E"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49632956"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7C35A560"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31164B9D"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r>
      <w:tr w:rsidR="005D420C" w:rsidRPr="00121962" w14:paraId="6484AC2F" w14:textId="77777777"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Pr>
          <w:p w14:paraId="4E4C56AC" w14:textId="77777777"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cost of ESKD avoided</w:t>
            </w:r>
          </w:p>
        </w:tc>
        <w:tc>
          <w:tcPr>
            <w:tcW w:w="650" w:type="pct"/>
          </w:tcPr>
          <w:p w14:paraId="61A5ECDC"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11</w:t>
            </w:r>
          </w:p>
        </w:tc>
        <w:tc>
          <w:tcPr>
            <w:tcW w:w="650" w:type="pct"/>
          </w:tcPr>
          <w:p w14:paraId="357C8EBC"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12</w:t>
            </w:r>
          </w:p>
        </w:tc>
        <w:tc>
          <w:tcPr>
            <w:tcW w:w="650" w:type="pct"/>
          </w:tcPr>
          <w:p w14:paraId="067CA1D6"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14</w:t>
            </w:r>
          </w:p>
        </w:tc>
        <w:tc>
          <w:tcPr>
            <w:tcW w:w="650" w:type="pct"/>
          </w:tcPr>
          <w:p w14:paraId="7659328E"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15</w:t>
            </w:r>
          </w:p>
        </w:tc>
        <w:tc>
          <w:tcPr>
            <w:tcW w:w="650" w:type="pct"/>
          </w:tcPr>
          <w:p w14:paraId="56F56B0B"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c>
          <w:tcPr>
            <w:tcW w:w="650" w:type="pct"/>
          </w:tcPr>
          <w:p w14:paraId="20186FC5"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r>
      <w:tr w:rsidR="005D420C" w:rsidRPr="00121962" w14:paraId="541036AF" w14:textId="77777777"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14:paraId="50CE7C30" w14:textId="77777777" w:rsidR="005D420C" w:rsidRPr="00121962" w:rsidRDefault="005D420C" w:rsidP="00823B59">
            <w:pPr>
              <w:keepNext/>
              <w:jc w:val="left"/>
              <w:rPr>
                <w:rFonts w:ascii="Arial Narrow" w:hAnsi="Arial Narrow"/>
                <w:b/>
                <w:sz w:val="20"/>
                <w:szCs w:val="20"/>
                <w:lang w:val="en-AU"/>
              </w:rPr>
            </w:pPr>
            <w:r w:rsidRPr="00121962">
              <w:rPr>
                <w:rFonts w:ascii="Arial Narrow" w:hAnsi="Arial Narrow"/>
                <w:b/>
                <w:sz w:val="20"/>
                <w:szCs w:val="20"/>
                <w:lang w:val="en-AU"/>
              </w:rPr>
              <w:t>Net savings to Commonwealth, State and Territory governments</w:t>
            </w:r>
          </w:p>
        </w:tc>
        <w:tc>
          <w:tcPr>
            <w:tcW w:w="650" w:type="pct"/>
          </w:tcPr>
          <w:p w14:paraId="1C7F139C"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521FF6CD"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2F4BF9FB"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14:paraId="10C1CE0E"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14:paraId="760AA794"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c>
          <w:tcPr>
            <w:tcW w:w="650" w:type="pct"/>
          </w:tcPr>
          <w:p w14:paraId="11CBD753"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r>
    </w:tbl>
    <w:p w14:paraId="0D0EC5DF" w14:textId="77777777" w:rsidR="005D420C" w:rsidRPr="00121962" w:rsidRDefault="005D420C" w:rsidP="005D420C">
      <w:pPr>
        <w:pStyle w:val="TableFigureFooter"/>
        <w:keepNext/>
      </w:pPr>
      <w:r w:rsidRPr="00121962">
        <w:t>Source: Tables 4.2.2, 4.2.3, 4.2.4, 4.2.6, 4.2.10, and 4.4.1, pp.139-154 of the submission</w:t>
      </w:r>
    </w:p>
    <w:p w14:paraId="0AC9BDE1" w14:textId="77777777" w:rsidR="005D420C" w:rsidRDefault="005D420C" w:rsidP="005D420C">
      <w:pPr>
        <w:pStyle w:val="TableFigureFooter"/>
        <w:keepNext/>
      </w:pPr>
      <w:r w:rsidRPr="00121962">
        <w:t xml:space="preserve">CKD, chronic kidney disease; </w:t>
      </w:r>
      <w:r w:rsidR="00BB7B78" w:rsidRPr="00121962">
        <w:t xml:space="preserve">ESKD, end-stage kidney disease, </w:t>
      </w:r>
      <w:r w:rsidRPr="00121962">
        <w:t>HFrEF, heart failure with reduced ejection fraction; SGLT2, sodium glucose co</w:t>
      </w:r>
      <w:r w:rsidRPr="00121962">
        <w:noBreakHyphen/>
        <w:t>transporter</w:t>
      </w:r>
      <w:r w:rsidRPr="00121962">
        <w:noBreakHyphen/>
        <w:t>2</w:t>
      </w:r>
    </w:p>
    <w:p w14:paraId="78860740" w14:textId="77777777" w:rsidR="00667D3A" w:rsidRDefault="00667D3A" w:rsidP="00667D3A">
      <w:pPr>
        <w:pStyle w:val="TableFigureFooter"/>
        <w:spacing w:after="0"/>
        <w:contextualSpacing w:val="0"/>
        <w:rPr>
          <w:i/>
        </w:rPr>
      </w:pPr>
      <w:r w:rsidRPr="009868C4">
        <w:rPr>
          <w:i/>
        </w:rPr>
        <w:t>The redacted values correspond to the following ranges</w:t>
      </w:r>
      <w:r>
        <w:rPr>
          <w:i/>
        </w:rPr>
        <w:t xml:space="preserve">: </w:t>
      </w:r>
    </w:p>
    <w:p w14:paraId="48D10A07" w14:textId="77777777" w:rsidR="00667D3A" w:rsidRPr="00870C5D" w:rsidRDefault="00667D3A" w:rsidP="00667D3A">
      <w:pPr>
        <w:pStyle w:val="TableFigureFooter"/>
        <w:spacing w:after="0"/>
        <w:contextualSpacing w:val="0"/>
      </w:pPr>
      <w:r>
        <w:rPr>
          <w:i/>
          <w:vertAlign w:val="superscript"/>
        </w:rPr>
        <w:t>1</w:t>
      </w:r>
      <w:r>
        <w:rPr>
          <w:i/>
        </w:rPr>
        <w:t xml:space="preserve"> </w:t>
      </w:r>
      <w:r w:rsidRPr="00667D3A">
        <w:rPr>
          <w:i/>
        </w:rPr>
        <w:t>50,000 to &lt; 60,000</w:t>
      </w:r>
    </w:p>
    <w:p w14:paraId="167A780D" w14:textId="77777777" w:rsidR="00667D3A" w:rsidRPr="00870C5D" w:rsidRDefault="00667D3A" w:rsidP="00667D3A">
      <w:pPr>
        <w:pStyle w:val="TableFigureFooter"/>
        <w:spacing w:after="0"/>
        <w:contextualSpacing w:val="0"/>
      </w:pPr>
      <w:r>
        <w:rPr>
          <w:i/>
          <w:vertAlign w:val="superscript"/>
        </w:rPr>
        <w:t>2</w:t>
      </w:r>
      <w:r>
        <w:rPr>
          <w:i/>
        </w:rPr>
        <w:t xml:space="preserve"> </w:t>
      </w:r>
      <w:r w:rsidRPr="00667D3A">
        <w:rPr>
          <w:i/>
        </w:rPr>
        <w:t>80,000 to &lt; 90,000</w:t>
      </w:r>
    </w:p>
    <w:p w14:paraId="735C4577" w14:textId="77777777" w:rsidR="00667D3A" w:rsidRPr="00870C5D" w:rsidRDefault="00667D3A" w:rsidP="00667D3A">
      <w:pPr>
        <w:pStyle w:val="TableFigureFooter"/>
        <w:spacing w:after="0"/>
        <w:contextualSpacing w:val="0"/>
      </w:pPr>
      <w:r>
        <w:rPr>
          <w:i/>
          <w:vertAlign w:val="superscript"/>
        </w:rPr>
        <w:t>3</w:t>
      </w:r>
      <w:r>
        <w:rPr>
          <w:i/>
        </w:rPr>
        <w:t xml:space="preserve"> </w:t>
      </w:r>
      <w:r w:rsidRPr="00667D3A">
        <w:rPr>
          <w:i/>
        </w:rPr>
        <w:t>100,000 to &lt; 200,000</w:t>
      </w:r>
    </w:p>
    <w:p w14:paraId="35E1CFA8" w14:textId="77777777" w:rsidR="00667D3A" w:rsidRPr="00870C5D" w:rsidRDefault="00667D3A" w:rsidP="00667D3A">
      <w:pPr>
        <w:pStyle w:val="TableFigureFooter"/>
        <w:spacing w:after="0"/>
        <w:contextualSpacing w:val="0"/>
      </w:pPr>
      <w:r>
        <w:rPr>
          <w:i/>
          <w:vertAlign w:val="superscript"/>
        </w:rPr>
        <w:t>4</w:t>
      </w:r>
      <w:r>
        <w:rPr>
          <w:i/>
        </w:rPr>
        <w:t xml:space="preserve"> </w:t>
      </w:r>
      <w:r w:rsidRPr="00667D3A">
        <w:rPr>
          <w:i/>
        </w:rPr>
        <w:t>500 to &lt; 5,000</w:t>
      </w:r>
    </w:p>
    <w:p w14:paraId="32E82963" w14:textId="77777777" w:rsidR="00667D3A" w:rsidRPr="00870C5D" w:rsidRDefault="00667D3A" w:rsidP="00667D3A">
      <w:pPr>
        <w:pStyle w:val="TableFigureFooter"/>
        <w:spacing w:after="0"/>
        <w:contextualSpacing w:val="0"/>
      </w:pPr>
      <w:r>
        <w:rPr>
          <w:i/>
          <w:vertAlign w:val="superscript"/>
        </w:rPr>
        <w:t>5</w:t>
      </w:r>
      <w:r>
        <w:rPr>
          <w:i/>
        </w:rPr>
        <w:t xml:space="preserve"> </w:t>
      </w:r>
      <w:r w:rsidRPr="00667D3A">
        <w:rPr>
          <w:i/>
        </w:rPr>
        <w:t>5,000 to &lt; 10,000</w:t>
      </w:r>
    </w:p>
    <w:p w14:paraId="0F888E23" w14:textId="77777777" w:rsidR="00667D3A" w:rsidRPr="00870C5D" w:rsidRDefault="00667D3A" w:rsidP="00667D3A">
      <w:pPr>
        <w:pStyle w:val="TableFigureFooter"/>
        <w:spacing w:after="0"/>
        <w:contextualSpacing w:val="0"/>
      </w:pPr>
      <w:r>
        <w:rPr>
          <w:i/>
          <w:vertAlign w:val="superscript"/>
        </w:rPr>
        <w:t>6</w:t>
      </w:r>
      <w:r>
        <w:rPr>
          <w:i/>
        </w:rPr>
        <w:t xml:space="preserve"> </w:t>
      </w:r>
      <w:r w:rsidRPr="00667D3A">
        <w:rPr>
          <w:i/>
        </w:rPr>
        <w:t>700,000 to &lt; 800,000</w:t>
      </w:r>
    </w:p>
    <w:p w14:paraId="04C1A006" w14:textId="77777777" w:rsidR="00667D3A" w:rsidRPr="00870C5D" w:rsidRDefault="00667D3A" w:rsidP="00667D3A">
      <w:pPr>
        <w:pStyle w:val="TableFigureFooter"/>
        <w:spacing w:after="0"/>
        <w:contextualSpacing w:val="0"/>
      </w:pPr>
      <w:r>
        <w:rPr>
          <w:i/>
          <w:vertAlign w:val="superscript"/>
        </w:rPr>
        <w:t>7</w:t>
      </w:r>
      <w:r>
        <w:rPr>
          <w:i/>
        </w:rPr>
        <w:t xml:space="preserve"> </w:t>
      </w:r>
      <w:r w:rsidRPr="00667D3A">
        <w:rPr>
          <w:i/>
        </w:rPr>
        <w:t>1,000,000 to &lt; 2,000,000</w:t>
      </w:r>
    </w:p>
    <w:p w14:paraId="1324A85A" w14:textId="77777777" w:rsidR="00667D3A" w:rsidRPr="00870C5D" w:rsidRDefault="00667D3A" w:rsidP="00667D3A">
      <w:pPr>
        <w:pStyle w:val="TableFigureFooter"/>
        <w:spacing w:after="0"/>
        <w:contextualSpacing w:val="0"/>
      </w:pPr>
      <w:r>
        <w:rPr>
          <w:i/>
          <w:vertAlign w:val="superscript"/>
        </w:rPr>
        <w:t>8</w:t>
      </w:r>
      <w:r>
        <w:rPr>
          <w:i/>
        </w:rPr>
        <w:t xml:space="preserve"> </w:t>
      </w:r>
      <w:r w:rsidRPr="00667D3A">
        <w:rPr>
          <w:i/>
        </w:rPr>
        <w:t>2,000,000 to &lt; 3,000,000</w:t>
      </w:r>
    </w:p>
    <w:p w14:paraId="005B3195" w14:textId="77777777" w:rsidR="00667D3A" w:rsidRPr="00870C5D" w:rsidRDefault="00667D3A" w:rsidP="00667D3A">
      <w:pPr>
        <w:pStyle w:val="TableFigureFooter"/>
        <w:spacing w:after="0"/>
        <w:contextualSpacing w:val="0"/>
      </w:pPr>
      <w:r>
        <w:rPr>
          <w:i/>
          <w:vertAlign w:val="superscript"/>
        </w:rPr>
        <w:t>9</w:t>
      </w:r>
      <w:r>
        <w:rPr>
          <w:i/>
        </w:rPr>
        <w:t xml:space="preserve"> </w:t>
      </w:r>
      <w:r w:rsidRPr="00667D3A">
        <w:rPr>
          <w:i/>
        </w:rPr>
        <w:t>$60 million to &lt; $70 million</w:t>
      </w:r>
    </w:p>
    <w:p w14:paraId="4589CD09" w14:textId="77777777" w:rsidR="00667D3A" w:rsidRDefault="005134BC" w:rsidP="00667D3A">
      <w:pPr>
        <w:pStyle w:val="TableFigureFooter"/>
        <w:spacing w:after="0"/>
        <w:contextualSpacing w:val="0"/>
        <w:rPr>
          <w:i/>
        </w:rPr>
      </w:pPr>
      <w:r>
        <w:rPr>
          <w:i/>
          <w:vertAlign w:val="superscript"/>
        </w:rPr>
        <w:t>10</w:t>
      </w:r>
      <w:r w:rsidR="00667D3A">
        <w:rPr>
          <w:i/>
        </w:rPr>
        <w:t xml:space="preserve"> </w:t>
      </w:r>
      <w:r w:rsidRPr="005134BC">
        <w:rPr>
          <w:i/>
        </w:rPr>
        <w:t>$90 million to &lt; $100 million</w:t>
      </w:r>
    </w:p>
    <w:p w14:paraId="528BBD0B" w14:textId="77777777" w:rsidR="005134BC" w:rsidRPr="00870C5D" w:rsidRDefault="005134BC" w:rsidP="005134BC">
      <w:pPr>
        <w:pStyle w:val="TableFigureFooter"/>
        <w:spacing w:after="0"/>
        <w:contextualSpacing w:val="0"/>
      </w:pPr>
      <w:r>
        <w:rPr>
          <w:i/>
          <w:vertAlign w:val="superscript"/>
        </w:rPr>
        <w:t>11</w:t>
      </w:r>
      <w:r>
        <w:rPr>
          <w:i/>
        </w:rPr>
        <w:t xml:space="preserve"> </w:t>
      </w:r>
      <w:r w:rsidRPr="005134BC">
        <w:rPr>
          <w:i/>
        </w:rPr>
        <w:t>$100 million to &lt; $200 million</w:t>
      </w:r>
    </w:p>
    <w:p w14:paraId="55E03100" w14:textId="77777777" w:rsidR="005134BC" w:rsidRPr="00870C5D" w:rsidRDefault="005134BC" w:rsidP="005134BC">
      <w:pPr>
        <w:pStyle w:val="TableFigureFooter"/>
        <w:spacing w:after="0"/>
        <w:contextualSpacing w:val="0"/>
      </w:pPr>
      <w:r>
        <w:rPr>
          <w:i/>
          <w:vertAlign w:val="superscript"/>
        </w:rPr>
        <w:t>12</w:t>
      </w:r>
      <w:r>
        <w:rPr>
          <w:i/>
        </w:rPr>
        <w:t xml:space="preserve"> </w:t>
      </w:r>
      <w:r w:rsidRPr="005134BC">
        <w:rPr>
          <w:i/>
        </w:rPr>
        <w:t>$200 million to &lt; $300 million</w:t>
      </w:r>
    </w:p>
    <w:p w14:paraId="14C4BD52" w14:textId="77777777" w:rsidR="005134BC" w:rsidRDefault="005134BC" w:rsidP="00667D3A">
      <w:pPr>
        <w:pStyle w:val="TableFigureFooter"/>
        <w:spacing w:after="0"/>
        <w:contextualSpacing w:val="0"/>
        <w:rPr>
          <w:i/>
        </w:rPr>
      </w:pPr>
      <w:r>
        <w:rPr>
          <w:i/>
          <w:vertAlign w:val="superscript"/>
        </w:rPr>
        <w:t>13</w:t>
      </w:r>
      <w:r>
        <w:rPr>
          <w:i/>
        </w:rPr>
        <w:t xml:space="preserve"> </w:t>
      </w:r>
      <w:r w:rsidRPr="005134BC">
        <w:rPr>
          <w:i/>
        </w:rPr>
        <w:t>$0 to &lt; $10 million</w:t>
      </w:r>
    </w:p>
    <w:p w14:paraId="5A9FB0FA" w14:textId="77777777" w:rsidR="005134BC" w:rsidRPr="00870C5D" w:rsidRDefault="005134BC" w:rsidP="005134BC">
      <w:pPr>
        <w:pStyle w:val="TableFigureFooter"/>
        <w:spacing w:after="0"/>
        <w:contextualSpacing w:val="0"/>
      </w:pPr>
      <w:r>
        <w:rPr>
          <w:i/>
          <w:vertAlign w:val="superscript"/>
        </w:rPr>
        <w:t>14</w:t>
      </w:r>
      <w:r>
        <w:rPr>
          <w:i/>
        </w:rPr>
        <w:t xml:space="preserve"> </w:t>
      </w:r>
      <w:r w:rsidRPr="005134BC">
        <w:rPr>
          <w:i/>
        </w:rPr>
        <w:t>$300 million to &lt; $400 million</w:t>
      </w:r>
    </w:p>
    <w:p w14:paraId="3B555DE2" w14:textId="77777777" w:rsidR="005134BC" w:rsidRDefault="005134BC" w:rsidP="00667D3A">
      <w:pPr>
        <w:pStyle w:val="TableFigureFooter"/>
        <w:spacing w:after="0"/>
        <w:contextualSpacing w:val="0"/>
        <w:rPr>
          <w:i/>
        </w:rPr>
      </w:pPr>
      <w:r>
        <w:rPr>
          <w:i/>
          <w:vertAlign w:val="superscript"/>
        </w:rPr>
        <w:t>15</w:t>
      </w:r>
      <w:r>
        <w:rPr>
          <w:i/>
        </w:rPr>
        <w:t xml:space="preserve"> </w:t>
      </w:r>
      <w:r w:rsidRPr="005134BC">
        <w:rPr>
          <w:i/>
        </w:rPr>
        <w:t>$400 million to &lt; $500 million</w:t>
      </w:r>
    </w:p>
    <w:p w14:paraId="54FF72A1" w14:textId="77777777" w:rsidR="005134BC" w:rsidRDefault="005134BC" w:rsidP="005134BC">
      <w:pPr>
        <w:pStyle w:val="TableFigureFooter"/>
        <w:spacing w:after="0"/>
        <w:contextualSpacing w:val="0"/>
        <w:rPr>
          <w:i/>
        </w:rPr>
      </w:pPr>
      <w:r>
        <w:rPr>
          <w:i/>
          <w:vertAlign w:val="superscript"/>
        </w:rPr>
        <w:t>16</w:t>
      </w:r>
      <w:r>
        <w:rPr>
          <w:i/>
        </w:rPr>
        <w:t xml:space="preserve"> </w:t>
      </w:r>
      <w:r w:rsidRPr="005134BC">
        <w:rPr>
          <w:i/>
        </w:rPr>
        <w:t>$500 million to &lt; $600 million</w:t>
      </w:r>
    </w:p>
    <w:p w14:paraId="66DD67EC" w14:textId="77777777" w:rsidR="00667D3A" w:rsidRPr="00121962" w:rsidRDefault="00667D3A" w:rsidP="005D420C">
      <w:pPr>
        <w:pStyle w:val="TableFigureFooter"/>
        <w:keepNext/>
      </w:pPr>
    </w:p>
    <w:p w14:paraId="56E8B5FB" w14:textId="77777777" w:rsidR="005D420C" w:rsidRPr="00121962" w:rsidRDefault="005D420C" w:rsidP="00172119">
      <w:pPr>
        <w:pStyle w:val="ExecSumBodyText"/>
      </w:pPr>
      <w:r w:rsidRPr="00121962">
        <w:t xml:space="preserve">The submission estimated a total of </w:t>
      </w:r>
      <w:r w:rsidR="00172119" w:rsidRPr="00172119">
        <w:t>50,000 to &lt; 60,000</w:t>
      </w:r>
      <w:r w:rsidR="00172119">
        <w:t xml:space="preserve"> </w:t>
      </w:r>
      <w:r w:rsidRPr="00121962">
        <w:t xml:space="preserve">patients in Year 1, increasing to </w:t>
      </w:r>
      <w:r w:rsidR="00172119" w:rsidRPr="00172119">
        <w:t>100,000 to &lt; 200,000</w:t>
      </w:r>
      <w:r w:rsidR="00172119">
        <w:t xml:space="preserve"> </w:t>
      </w:r>
      <w:r w:rsidRPr="00121962">
        <w:t>patients in Year 6 of listing, including patients with T2DM switching from empagliflozin to dapagliflozin (</w:t>
      </w:r>
      <w:r w:rsidR="00172119" w:rsidRPr="00172119">
        <w:t>500 to &lt; 5,000</w:t>
      </w:r>
      <w:r w:rsidR="00172119">
        <w:t xml:space="preserve"> </w:t>
      </w:r>
      <w:r w:rsidRPr="00121962">
        <w:t xml:space="preserve">in Year 1 to </w:t>
      </w:r>
      <w:r w:rsidR="00172119" w:rsidRPr="00172119">
        <w:t>5,000 to &lt; 10,000</w:t>
      </w:r>
      <w:r w:rsidR="00172119">
        <w:t xml:space="preserve"> </w:t>
      </w:r>
      <w:r w:rsidRPr="00121962">
        <w:t>in Year 6).</w:t>
      </w:r>
    </w:p>
    <w:p w14:paraId="389A3194" w14:textId="77777777" w:rsidR="005D420C" w:rsidRPr="00121962" w:rsidRDefault="005D420C" w:rsidP="00172119">
      <w:pPr>
        <w:pStyle w:val="ExecSumBodyText"/>
      </w:pPr>
      <w:r w:rsidRPr="00121962">
        <w:t xml:space="preserve">The estimated net cost to the </w:t>
      </w:r>
      <w:r w:rsidR="00691E43">
        <w:t>R/</w:t>
      </w:r>
      <w:r w:rsidRPr="00121962">
        <w:t xml:space="preserve">PBS of listing dapagliflozin for CKD (including offsets for empagliflozin) was </w:t>
      </w:r>
      <w:r w:rsidR="00172119" w:rsidRPr="00172119">
        <w:t>$60 million to &lt; $70 million</w:t>
      </w:r>
      <w:r w:rsidR="00172119">
        <w:t xml:space="preserve"> </w:t>
      </w:r>
      <w:r w:rsidRPr="00121962">
        <w:t xml:space="preserve">in Year 1, increasing to </w:t>
      </w:r>
      <w:r w:rsidR="00172119" w:rsidRPr="00172119">
        <w:t>$100 million to &lt; $200 million</w:t>
      </w:r>
      <w:r w:rsidR="00172119">
        <w:t xml:space="preserve"> </w:t>
      </w:r>
      <w:r w:rsidRPr="00121962">
        <w:t xml:space="preserve">in Year 6, an estimated net cost of </w:t>
      </w:r>
      <w:r w:rsidR="00172119" w:rsidRPr="00172119">
        <w:t>$800 million to &lt; $900 million</w:t>
      </w:r>
      <w:r w:rsidR="00172119">
        <w:t xml:space="preserve"> </w:t>
      </w:r>
      <w:r w:rsidRPr="00121962">
        <w:t>over the first six years of listing.</w:t>
      </w:r>
    </w:p>
    <w:p w14:paraId="0E6CDAFA" w14:textId="77777777" w:rsidR="005D420C" w:rsidRPr="00121962" w:rsidRDefault="005D420C" w:rsidP="00172119">
      <w:pPr>
        <w:pStyle w:val="ExecSumBodyText"/>
      </w:pPr>
      <w:bookmarkStart w:id="51" w:name="_Hlk79393957"/>
      <w:r w:rsidRPr="00121962">
        <w:t xml:space="preserve">The submission estimated a total savings to government health budgets associated with a reduction in ESKD events of </w:t>
      </w:r>
      <w:r w:rsidR="00172119" w:rsidRPr="00172119">
        <w:t>$100 million to &lt; $200 million</w:t>
      </w:r>
      <w:r w:rsidR="00172119">
        <w:t xml:space="preserve"> </w:t>
      </w:r>
      <w:r w:rsidRPr="00121962">
        <w:t xml:space="preserve">in Year 1, increasing to </w:t>
      </w:r>
      <w:r w:rsidR="00172119" w:rsidRPr="00172119">
        <w:t>$500 million to &lt; $600 million</w:t>
      </w:r>
      <w:r w:rsidR="00172119" w:rsidRPr="00172119" w:rsidDel="00172119">
        <w:t xml:space="preserve"> </w:t>
      </w:r>
      <w:r w:rsidRPr="00121962">
        <w:t xml:space="preserve">in Year 6 of listing, and an overall net savings to Commonwealth, State and Territory governments of </w:t>
      </w:r>
      <w:r w:rsidR="00172119">
        <w:t xml:space="preserve">&gt; </w:t>
      </w:r>
      <w:r w:rsidR="00172119" w:rsidRPr="00172119">
        <w:t>$1 billion</w:t>
      </w:r>
      <w:r w:rsidR="00172119">
        <w:t xml:space="preserve"> </w:t>
      </w:r>
      <w:r w:rsidRPr="00121962">
        <w:t xml:space="preserve">over </w:t>
      </w:r>
      <w:r w:rsidR="0035280F" w:rsidRPr="00121962">
        <w:t xml:space="preserve">six </w:t>
      </w:r>
      <w:r w:rsidRPr="00121962">
        <w:t>years</w:t>
      </w:r>
      <w:bookmarkEnd w:id="51"/>
      <w:r w:rsidRPr="00121962">
        <w:t>. Costs to the Commonwealth and State/Territory government budgets were not estimated separately. The majority of costs associated with ESKD would be incurred by State/Territory governments.</w:t>
      </w:r>
    </w:p>
    <w:p w14:paraId="011964FE" w14:textId="77777777" w:rsidR="005D420C" w:rsidRPr="00121962" w:rsidRDefault="005D420C" w:rsidP="005D420C">
      <w:pPr>
        <w:pStyle w:val="ExecSumBodyText"/>
        <w:numPr>
          <w:ilvl w:val="1"/>
          <w:numId w:val="1"/>
        </w:numPr>
      </w:pPr>
      <w:bookmarkStart w:id="52" w:name="_Ref79387988"/>
      <w:r w:rsidRPr="00121962">
        <w:t xml:space="preserve">The </w:t>
      </w:r>
      <w:r w:rsidR="00C416EE" w:rsidRPr="00121962">
        <w:t xml:space="preserve">evaluation and the DUSC considered the </w:t>
      </w:r>
      <w:r w:rsidRPr="00121962">
        <w:t>estimated utilisation and net cost of listing dapagliflozin for CKD on the PBS were highly uncertain for the following reasons:</w:t>
      </w:r>
      <w:bookmarkEnd w:id="52"/>
    </w:p>
    <w:p w14:paraId="46441248" w14:textId="77777777" w:rsidR="005D420C" w:rsidRPr="00121962" w:rsidRDefault="005D420C" w:rsidP="001F60A9">
      <w:pPr>
        <w:pStyle w:val="ListParagraph"/>
        <w:numPr>
          <w:ilvl w:val="0"/>
          <w:numId w:val="5"/>
        </w:numPr>
        <w:ind w:left="1134"/>
        <w:rPr>
          <w:i/>
          <w:iCs/>
        </w:rPr>
      </w:pPr>
      <w:r w:rsidRPr="00121962">
        <w:rPr>
          <w:iCs/>
        </w:rPr>
        <w:t>The estimated eligible CKD population in the Australian setting and progression of CKD in the eligible population may not be reliable, given the limitations of the 2011-2012 NHMS (2013) and 2011-2012 AHS (2013) data, in terms of age of the data, the potential inclusion of AKI and other transient kidney disease, and the reliance on self-reported diagnoses of CKD. In addition</w:t>
      </w:r>
      <w:r w:rsidR="0035280F" w:rsidRPr="00121962">
        <w:rPr>
          <w:iCs/>
        </w:rPr>
        <w:t>,</w:t>
      </w:r>
      <w:r w:rsidRPr="00121962">
        <w:rPr>
          <w:iCs/>
        </w:rPr>
        <w:t xml:space="preserve"> the use of CKD stage 2-3b data as a proxy for the clinical eligibility criteria may overestimate the overall eligible CKD population</w:t>
      </w:r>
      <w:r w:rsidR="0035280F" w:rsidRPr="00121962">
        <w:rPr>
          <w:iCs/>
        </w:rPr>
        <w:t>.</w:t>
      </w:r>
      <w:r w:rsidR="001F60A9" w:rsidRPr="00121962">
        <w:rPr>
          <w:iCs/>
        </w:rPr>
        <w:t xml:space="preserve"> </w:t>
      </w:r>
      <w:r w:rsidR="001468ED" w:rsidRPr="00121962">
        <w:rPr>
          <w:iCs/>
        </w:rPr>
        <w:t>Th</w:t>
      </w:r>
      <w:r w:rsidR="009D6B13">
        <w:rPr>
          <w:iCs/>
        </w:rPr>
        <w:t>e</w:t>
      </w:r>
      <w:r w:rsidR="001468ED" w:rsidRPr="00121962">
        <w:rPr>
          <w:iCs/>
        </w:rPr>
        <w:t xml:space="preserve"> PBAC noted </w:t>
      </w:r>
      <w:r w:rsidR="001468ED" w:rsidRPr="00121962">
        <w:t>t</w:t>
      </w:r>
      <w:r w:rsidR="001F60A9" w:rsidRPr="00121962">
        <w:t xml:space="preserve">he NHMS acknowledged that </w:t>
      </w:r>
      <w:r w:rsidR="00C31009" w:rsidRPr="00121962">
        <w:t>it did</w:t>
      </w:r>
      <w:r w:rsidR="001F60A9" w:rsidRPr="00121962">
        <w:t xml:space="preserve"> </w:t>
      </w:r>
      <w:r w:rsidR="0012390A">
        <w:t xml:space="preserve">not </w:t>
      </w:r>
      <w:r w:rsidR="001F60A9" w:rsidRPr="00121962">
        <w:t xml:space="preserve">review duration of CKD markers, and may have counted data unrelated to CKD (e.g. AKI, kidney/urogenital infection). As noted in </w:t>
      </w:r>
      <w:r w:rsidR="00E51973" w:rsidRPr="00121962">
        <w:t xml:space="preserve">Table </w:t>
      </w:r>
      <w:r w:rsidR="00E51973">
        <w:t>17</w:t>
      </w:r>
      <w:r w:rsidR="001F60A9" w:rsidRPr="00121962">
        <w:t>, the use of CKD stage</w:t>
      </w:r>
      <w:r w:rsidR="0012390A">
        <w:t> </w:t>
      </w:r>
      <w:r w:rsidR="001F60A9" w:rsidRPr="00121962">
        <w:t>2-3b disease as a proxy for the clinical criteria (i.e. eGFR ≥25 and ≤75</w:t>
      </w:r>
      <w:r w:rsidR="0012390A">
        <w:t> </w:t>
      </w:r>
      <w:r w:rsidR="001F60A9" w:rsidRPr="00121962">
        <w:t>mL/min/1.73</w:t>
      </w:r>
      <w:r w:rsidR="0012390A">
        <w:t> </w:t>
      </w:r>
      <w:r w:rsidR="001F60A9" w:rsidRPr="00121962">
        <w:t>m</w:t>
      </w:r>
      <w:r w:rsidR="001F60A9" w:rsidRPr="00121962">
        <w:rPr>
          <w:vertAlign w:val="superscript"/>
        </w:rPr>
        <w:t>2</w:t>
      </w:r>
      <w:r w:rsidR="00E47DB2" w:rsidRPr="00121962">
        <w:t>; and UACR ≥200 and ≤5000 mg/g</w:t>
      </w:r>
      <w:r w:rsidR="001F60A9" w:rsidRPr="00121962">
        <w:t>) included additional patients with CKD stage 2 disease, and excluded patients with CKD stage 4 disease in the estimated eligible population.</w:t>
      </w:r>
      <w:r w:rsidR="00E47DB2" w:rsidRPr="00121962">
        <w:rPr>
          <w:iCs/>
        </w:rPr>
        <w:t xml:space="preserve"> </w:t>
      </w:r>
      <w:r w:rsidR="00B02B3A" w:rsidRPr="00121962">
        <w:rPr>
          <w:iCs/>
        </w:rPr>
        <w:t xml:space="preserve">The submission acknowledged that this approach may </w:t>
      </w:r>
      <w:r w:rsidR="0012390A">
        <w:rPr>
          <w:iCs/>
        </w:rPr>
        <w:t xml:space="preserve">have </w:t>
      </w:r>
      <w:r w:rsidR="00B02B3A" w:rsidRPr="00121962">
        <w:rPr>
          <w:iCs/>
        </w:rPr>
        <w:t>overestimate</w:t>
      </w:r>
      <w:r w:rsidR="0012390A">
        <w:rPr>
          <w:iCs/>
        </w:rPr>
        <w:t>d</w:t>
      </w:r>
      <w:r w:rsidR="00B02B3A" w:rsidRPr="00121962">
        <w:rPr>
          <w:iCs/>
        </w:rPr>
        <w:t xml:space="preserve"> the financial impact because the proportion of patients with stage</w:t>
      </w:r>
      <w:r w:rsidR="00C31009" w:rsidRPr="00121962">
        <w:rPr>
          <w:iCs/>
        </w:rPr>
        <w:t> </w:t>
      </w:r>
      <w:r w:rsidR="00B02B3A" w:rsidRPr="00121962">
        <w:rPr>
          <w:iCs/>
        </w:rPr>
        <w:t xml:space="preserve">2 disease is a noticeably larger cohort than the proportion with stage 4 disease. However, it suggested that because the data was based on eGFR/UACR measured data not actual diagnoses, and CKD is an underdiagnosed condition particularly in earlier stages of the disease, the submission’s approach “would balance any difference in CKD stage proportions between measured and diagnosed populations”. </w:t>
      </w:r>
      <w:r w:rsidR="00E47DB2" w:rsidRPr="00121962">
        <w:rPr>
          <w:iCs/>
        </w:rPr>
        <w:t>The PBAC noted that in the NHMS, 6.7% were estimated to have microalbuminuria</w:t>
      </w:r>
      <w:r w:rsidR="00402A55" w:rsidRPr="00121962">
        <w:rPr>
          <w:iCs/>
        </w:rPr>
        <w:t xml:space="preserve"> </w:t>
      </w:r>
      <w:r w:rsidR="00402A55" w:rsidRPr="00121962">
        <w:t>(m</w:t>
      </w:r>
      <w:r w:rsidR="00402A55" w:rsidRPr="00121962">
        <w:rPr>
          <w:iCs/>
        </w:rPr>
        <w:t>ales 2.5–25 mg/mmol and females 3.5–35 mg/mmol)</w:t>
      </w:r>
      <w:r w:rsidR="00E47DB2" w:rsidRPr="00121962">
        <w:rPr>
          <w:iCs/>
        </w:rPr>
        <w:t xml:space="preserve">, and only 0.9% </w:t>
      </w:r>
      <w:r w:rsidR="00402A55" w:rsidRPr="00121962">
        <w:rPr>
          <w:iCs/>
        </w:rPr>
        <w:t xml:space="preserve">(males &gt;25 mg/mmol and females &gt;35 mg/mmol) </w:t>
      </w:r>
      <w:r w:rsidR="00E47DB2" w:rsidRPr="00121962">
        <w:rPr>
          <w:iCs/>
        </w:rPr>
        <w:t xml:space="preserve">were estimated to have macroalbuminuria. </w:t>
      </w:r>
      <w:r w:rsidR="00402A55" w:rsidRPr="00121962">
        <w:rPr>
          <w:iCs/>
        </w:rPr>
        <w:t>It considered that very few patients with microalbuminuria were likely to meet the PBS eligibility criteria of 22.6–565</w:t>
      </w:r>
      <w:r w:rsidR="00CE1243" w:rsidRPr="00121962">
        <w:rPr>
          <w:iCs/>
        </w:rPr>
        <w:t> </w:t>
      </w:r>
      <w:r w:rsidR="00402A55" w:rsidRPr="00121962">
        <w:rPr>
          <w:iCs/>
        </w:rPr>
        <w:t>mg/mmol</w:t>
      </w:r>
      <w:r w:rsidR="00E80060" w:rsidRPr="00121962">
        <w:rPr>
          <w:iCs/>
        </w:rPr>
        <w:t>, and therefore the</w:t>
      </w:r>
      <w:r w:rsidR="001904FB" w:rsidRPr="00121962">
        <w:rPr>
          <w:iCs/>
        </w:rPr>
        <w:t xml:space="preserve"> 5.8% used by the submission to determine </w:t>
      </w:r>
      <w:r w:rsidR="00402A55" w:rsidRPr="00121962">
        <w:rPr>
          <w:iCs/>
        </w:rPr>
        <w:t xml:space="preserve">eligibility was likely vastly overestimated. </w:t>
      </w:r>
    </w:p>
    <w:p w14:paraId="3C7E1BDD" w14:textId="77777777" w:rsidR="005D420C" w:rsidRPr="00121962" w:rsidRDefault="005D420C" w:rsidP="0020634E">
      <w:pPr>
        <w:pStyle w:val="ListParagraph"/>
        <w:numPr>
          <w:ilvl w:val="0"/>
          <w:numId w:val="5"/>
        </w:numPr>
        <w:ind w:left="1134"/>
        <w:rPr>
          <w:iCs/>
        </w:rPr>
      </w:pPr>
      <w:r w:rsidRPr="00121962">
        <w:rPr>
          <w:iCs/>
        </w:rPr>
        <w:t>The sources and methods used to estimate the overlapping proportions of eligible CKD patients who would also be eligible for dapagliflozin under the existing T2DM or the proposed HFrEF listings, may not be reliable:</w:t>
      </w:r>
    </w:p>
    <w:p w14:paraId="4CFFCC12" w14:textId="77777777" w:rsidR="005D420C" w:rsidRPr="00121962" w:rsidRDefault="005D420C" w:rsidP="0020634E">
      <w:pPr>
        <w:pStyle w:val="ListParagraph"/>
        <w:numPr>
          <w:ilvl w:val="1"/>
          <w:numId w:val="5"/>
        </w:numPr>
        <w:ind w:left="1560"/>
        <w:rPr>
          <w:iCs/>
        </w:rPr>
      </w:pPr>
      <w:r w:rsidRPr="00121962">
        <w:rPr>
          <w:iCs/>
        </w:rPr>
        <w:t>The calculations used to determine the proportions of patients likely to be treated with PBS subsidised dapagliflozin for T2DM and HFrEF were complex, used multiple factors from different sources and populations, and assumed that age</w:t>
      </w:r>
      <w:r w:rsidR="00391BED" w:rsidRPr="00121962">
        <w:rPr>
          <w:iCs/>
        </w:rPr>
        <w:t>-</w:t>
      </w:r>
      <w:r w:rsidRPr="00121962">
        <w:rPr>
          <w:iCs/>
        </w:rPr>
        <w:t xml:space="preserve">standardised estimates of prevalence related to T2DM and HFrEF in the Australian population using older data (2011-2012) could be applied to the eligible CKD prevalent population. The estimates </w:t>
      </w:r>
      <w:r w:rsidR="00391BED" w:rsidRPr="00121962">
        <w:rPr>
          <w:iCs/>
        </w:rPr>
        <w:t xml:space="preserve">were </w:t>
      </w:r>
      <w:r w:rsidRPr="00121962">
        <w:rPr>
          <w:iCs/>
        </w:rPr>
        <w:t xml:space="preserve">highly uncertain and may underestimate the proportions of CKD patients likely to be treated with dapagliflozin for T2DM or HFrEF; </w:t>
      </w:r>
    </w:p>
    <w:p w14:paraId="0C449FC4" w14:textId="77777777" w:rsidR="005D420C" w:rsidRPr="00121962" w:rsidRDefault="005D420C" w:rsidP="0020634E">
      <w:pPr>
        <w:pStyle w:val="ListParagraph"/>
        <w:numPr>
          <w:ilvl w:val="1"/>
          <w:numId w:val="5"/>
        </w:numPr>
        <w:ind w:left="1560"/>
        <w:rPr>
          <w:iCs/>
        </w:rPr>
      </w:pPr>
      <w:r w:rsidRPr="00121962">
        <w:rPr>
          <w:iCs/>
        </w:rPr>
        <w:t xml:space="preserve">The eligible CKD population with overlapping eligibility for both T2DM and HFrEF (CKD + T2DM + HFrEF) </w:t>
      </w:r>
      <w:r w:rsidR="00BB5BDA" w:rsidRPr="00121962">
        <w:rPr>
          <w:iCs/>
        </w:rPr>
        <w:t xml:space="preserve">was </w:t>
      </w:r>
      <w:r w:rsidRPr="00121962">
        <w:rPr>
          <w:iCs/>
        </w:rPr>
        <w:t>included in the calculations for both T2DM and HFrEF</w:t>
      </w:r>
      <w:r w:rsidR="00391BED" w:rsidRPr="00121962">
        <w:rPr>
          <w:iCs/>
        </w:rPr>
        <w:t>.</w:t>
      </w:r>
    </w:p>
    <w:p w14:paraId="3FB1D1C8" w14:textId="77777777" w:rsidR="009C7271" w:rsidRPr="00121962" w:rsidRDefault="005D420C" w:rsidP="00691E43">
      <w:pPr>
        <w:pStyle w:val="ListParagraph"/>
        <w:numPr>
          <w:ilvl w:val="0"/>
          <w:numId w:val="5"/>
        </w:numPr>
        <w:spacing w:after="240"/>
        <w:ind w:left="1134"/>
        <w:rPr>
          <w:iCs/>
        </w:rPr>
      </w:pPr>
      <w:r w:rsidRPr="00691E43">
        <w:rPr>
          <w:bCs/>
        </w:rPr>
        <w:t>The</w:t>
      </w:r>
      <w:r w:rsidRPr="00121962">
        <w:rPr>
          <w:iCs/>
        </w:rPr>
        <w:t xml:space="preserve"> estimated savings to government health budgets from ESKD avoided assumed the benefits of dapagliflozin observed in the DAPA-CKD trial over 28.5 months, in terms of delayed time to ESKD, </w:t>
      </w:r>
      <w:r w:rsidR="00C31009" w:rsidRPr="00121962">
        <w:rPr>
          <w:iCs/>
        </w:rPr>
        <w:t xml:space="preserve">would </w:t>
      </w:r>
      <w:r w:rsidRPr="00121962">
        <w:rPr>
          <w:iCs/>
        </w:rPr>
        <w:t>remain constant over the first 6 years of listing.</w:t>
      </w:r>
      <w:r w:rsidR="009C7271" w:rsidRPr="00121962">
        <w:rPr>
          <w:iCs/>
        </w:rPr>
        <w:t xml:space="preserve"> Delayed time to ESKD for patients treated with dapagliflozin was interpreted as avoidance of this outcome in the financial estimates. DUSC considered that the costs associated with ESKD would be delayed, but not avoided.</w:t>
      </w:r>
    </w:p>
    <w:p w14:paraId="23C9CC9C" w14:textId="77777777" w:rsidR="009C7271" w:rsidRPr="00121962" w:rsidRDefault="00391BED" w:rsidP="00691E43">
      <w:pPr>
        <w:pStyle w:val="ExecSumBodyText"/>
        <w:rPr>
          <w:bCs/>
        </w:rPr>
      </w:pPr>
      <w:r w:rsidRPr="00691E43">
        <w:t>DUSC</w:t>
      </w:r>
      <w:r w:rsidRPr="00121962">
        <w:t xml:space="preserve"> considered the estimates presented in the submission to be underestimated. Among other matters, it considered the main issues were:</w:t>
      </w:r>
    </w:p>
    <w:p w14:paraId="0FBB462E" w14:textId="77777777" w:rsidR="009C7271" w:rsidRPr="00121962" w:rsidRDefault="00391BED" w:rsidP="009C7271">
      <w:pPr>
        <w:pStyle w:val="ListParagraph"/>
        <w:numPr>
          <w:ilvl w:val="0"/>
          <w:numId w:val="5"/>
        </w:numPr>
        <w:ind w:left="1134"/>
        <w:rPr>
          <w:bCs/>
        </w:rPr>
      </w:pPr>
      <w:r w:rsidRPr="00121962">
        <w:t xml:space="preserve">an </w:t>
      </w:r>
      <w:r w:rsidRPr="00121962">
        <w:rPr>
          <w:bCs/>
        </w:rPr>
        <w:t>underestimation of the diagnosis rate of CKD</w:t>
      </w:r>
      <w:r w:rsidR="009C7271" w:rsidRPr="00121962">
        <w:rPr>
          <w:bCs/>
        </w:rPr>
        <w:t>, noting the increasing screening and diagnosis for CKD in general practice</w:t>
      </w:r>
      <w:r w:rsidRPr="00121962">
        <w:rPr>
          <w:bCs/>
        </w:rPr>
        <w:t xml:space="preserve">; </w:t>
      </w:r>
    </w:p>
    <w:p w14:paraId="1E800D75" w14:textId="77777777" w:rsidR="009C7271" w:rsidRPr="00121962" w:rsidRDefault="00391BED" w:rsidP="009C7271">
      <w:pPr>
        <w:pStyle w:val="ListParagraph"/>
        <w:numPr>
          <w:ilvl w:val="0"/>
          <w:numId w:val="5"/>
        </w:numPr>
        <w:ind w:left="1134"/>
        <w:rPr>
          <w:bCs/>
        </w:rPr>
      </w:pPr>
      <w:r w:rsidRPr="00121962">
        <w:rPr>
          <w:bCs/>
        </w:rPr>
        <w:t xml:space="preserve">an underestimation of the uptake rate by eligible patients; </w:t>
      </w:r>
      <w:r w:rsidR="009C7271" w:rsidRPr="00121962">
        <w:rPr>
          <w:bCs/>
        </w:rPr>
        <w:t>and</w:t>
      </w:r>
    </w:p>
    <w:p w14:paraId="31910491" w14:textId="77777777" w:rsidR="009C7271" w:rsidRPr="00121962" w:rsidRDefault="00391BED" w:rsidP="001F60A9">
      <w:pPr>
        <w:pStyle w:val="ListParagraph"/>
        <w:numPr>
          <w:ilvl w:val="0"/>
          <w:numId w:val="5"/>
        </w:numPr>
        <w:spacing w:after="240"/>
        <w:ind w:left="1134"/>
        <w:rPr>
          <w:bCs/>
        </w:rPr>
      </w:pPr>
      <w:r w:rsidRPr="00121962">
        <w:rPr>
          <w:bCs/>
        </w:rPr>
        <w:t>an underestimation of the duration of treatment</w:t>
      </w:r>
      <w:r w:rsidR="009C7271" w:rsidRPr="00121962">
        <w:rPr>
          <w:bCs/>
        </w:rPr>
        <w:t>, which it expected to be longer due to emphasis on early detection and management and the absence of a stopping rule in the restriction.</w:t>
      </w:r>
    </w:p>
    <w:p w14:paraId="2368F7F5" w14:textId="77777777" w:rsidR="001468ED" w:rsidRPr="00121962" w:rsidRDefault="001468ED" w:rsidP="00691E43">
      <w:pPr>
        <w:pStyle w:val="ExecSumBodyText"/>
        <w:rPr>
          <w:bCs/>
        </w:rPr>
      </w:pPr>
      <w:bookmarkStart w:id="53" w:name="_Ref79569255"/>
      <w:r w:rsidRPr="00121962">
        <w:rPr>
          <w:bCs/>
        </w:rPr>
        <w:t xml:space="preserve">However, </w:t>
      </w:r>
      <w:r w:rsidR="0033712D" w:rsidRPr="00121962">
        <w:rPr>
          <w:bCs/>
        </w:rPr>
        <w:t xml:space="preserve">the PBAC </w:t>
      </w:r>
      <w:r w:rsidR="0007109F" w:rsidRPr="00121962">
        <w:rPr>
          <w:bCs/>
        </w:rPr>
        <w:t xml:space="preserve">noted the DUSC did not recognise </w:t>
      </w:r>
      <w:r w:rsidR="0033712D" w:rsidRPr="00121962">
        <w:rPr>
          <w:bCs/>
        </w:rPr>
        <w:t xml:space="preserve">that </w:t>
      </w:r>
      <w:r w:rsidR="0007109F" w:rsidRPr="00121962">
        <w:t>using</w:t>
      </w:r>
      <w:r w:rsidR="0033712D" w:rsidRPr="00121962">
        <w:t xml:space="preserve"> </w:t>
      </w:r>
      <w:r w:rsidR="0007109F" w:rsidRPr="00121962">
        <w:t xml:space="preserve">CKD stage 2-3b as a proxy </w:t>
      </w:r>
      <w:r w:rsidR="0023294D" w:rsidRPr="00121962">
        <w:t xml:space="preserve">for PBS population </w:t>
      </w:r>
      <w:r w:rsidR="0007109F" w:rsidRPr="00121962">
        <w:t xml:space="preserve">had vastly overestimated </w:t>
      </w:r>
      <w:r w:rsidR="0023294D" w:rsidRPr="00121962">
        <w:t>eligible patients</w:t>
      </w:r>
      <w:r w:rsidR="0007109F" w:rsidRPr="00121962">
        <w:t xml:space="preserve"> based on</w:t>
      </w:r>
      <w:r w:rsidR="0033712D" w:rsidRPr="00121962">
        <w:t xml:space="preserve"> microalbuminuria criteria</w:t>
      </w:r>
      <w:r w:rsidR="0007109F" w:rsidRPr="00121962">
        <w:t xml:space="preserve"> (see paragraph </w:t>
      </w:r>
      <w:r w:rsidR="00E51973">
        <w:t>6.68</w:t>
      </w:r>
      <w:r w:rsidR="0007109F" w:rsidRPr="00121962">
        <w:t>)</w:t>
      </w:r>
      <w:r w:rsidR="0033712D" w:rsidRPr="00121962">
        <w:t>. The PBAC also noted that other conditions excluded from the trial were not deducted from the estimated eligible PBS population.</w:t>
      </w:r>
      <w:bookmarkEnd w:id="53"/>
    </w:p>
    <w:p w14:paraId="0CFD3E36" w14:textId="77777777" w:rsidR="00B87D09" w:rsidRPr="00121962" w:rsidRDefault="0003377C" w:rsidP="003252F3">
      <w:pPr>
        <w:pStyle w:val="ExecSumBodyText"/>
        <w:numPr>
          <w:ilvl w:val="1"/>
          <w:numId w:val="1"/>
        </w:numPr>
      </w:pPr>
      <w:r w:rsidRPr="00121962">
        <w:t>The</w:t>
      </w:r>
      <w:r w:rsidRPr="00121962">
        <w:rPr>
          <w:bCs/>
        </w:rPr>
        <w:t xml:space="preserve"> pre-PBAC response</w:t>
      </w:r>
      <w:r w:rsidR="007054EA" w:rsidRPr="00121962">
        <w:t xml:space="preserve"> provided revised financial estimates</w:t>
      </w:r>
      <w:r w:rsidR="00B87D09" w:rsidRPr="00121962">
        <w:t xml:space="preserve"> which: </w:t>
      </w:r>
    </w:p>
    <w:p w14:paraId="6A4846AD" w14:textId="77777777" w:rsidR="00B87D09" w:rsidRPr="00121962" w:rsidRDefault="00B87D09" w:rsidP="00B87D09">
      <w:pPr>
        <w:pStyle w:val="ListParagraph"/>
        <w:numPr>
          <w:ilvl w:val="0"/>
          <w:numId w:val="5"/>
        </w:numPr>
        <w:ind w:left="1134"/>
      </w:pPr>
      <w:r w:rsidRPr="00121962">
        <w:t>included the revised</w:t>
      </w:r>
      <w:r w:rsidR="007054EA" w:rsidRPr="00121962">
        <w:t xml:space="preserve"> </w:t>
      </w:r>
      <w:r w:rsidRPr="00121962">
        <w:t>DPMQ</w:t>
      </w:r>
      <w:r w:rsidR="007054EA" w:rsidRPr="00121962">
        <w:t xml:space="preserve"> of $</w:t>
      </w:r>
      <w:r w:rsidR="002F0C5E">
        <w:rPr>
          <w:noProof/>
          <w:color w:val="000000"/>
          <w:highlight w:val="black"/>
        </w:rPr>
        <w:t>''''''''''</w:t>
      </w:r>
      <w:r w:rsidRPr="00121962">
        <w:t>;</w:t>
      </w:r>
    </w:p>
    <w:p w14:paraId="71CC495D" w14:textId="77777777" w:rsidR="00B87D09" w:rsidRPr="00121962" w:rsidRDefault="007054EA" w:rsidP="00B87D09">
      <w:pPr>
        <w:pStyle w:val="ListParagraph"/>
        <w:numPr>
          <w:ilvl w:val="0"/>
          <w:numId w:val="5"/>
        </w:numPr>
        <w:ind w:left="1134"/>
      </w:pPr>
      <w:r w:rsidRPr="00121962">
        <w:t xml:space="preserve">increased the increment of diagnosed CKD from 10% in </w:t>
      </w:r>
      <w:r w:rsidR="003252F3" w:rsidRPr="00121962">
        <w:t>Y</w:t>
      </w:r>
      <w:r w:rsidRPr="00121962">
        <w:t xml:space="preserve">ear 1 </w:t>
      </w:r>
      <w:r w:rsidR="003E09BF" w:rsidRPr="00121962">
        <w:t>plus</w:t>
      </w:r>
      <w:r w:rsidRPr="00121962">
        <w:t xml:space="preserve"> 2% increase each year (10-20%), to a 5% increase each year (10-35%)</w:t>
      </w:r>
      <w:r w:rsidR="00B87D09" w:rsidRPr="00121962">
        <w:t>;</w:t>
      </w:r>
    </w:p>
    <w:p w14:paraId="452771EA" w14:textId="77777777" w:rsidR="003252F3" w:rsidRPr="00121962" w:rsidRDefault="007054EA" w:rsidP="003252F3">
      <w:pPr>
        <w:pStyle w:val="ListParagraph"/>
        <w:numPr>
          <w:ilvl w:val="0"/>
          <w:numId w:val="5"/>
        </w:numPr>
        <w:spacing w:after="240"/>
        <w:ind w:left="1134"/>
      </w:pPr>
      <w:r w:rsidRPr="00121962">
        <w:t xml:space="preserve">increased uptake from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 xml:space="preserve">six </w:t>
      </w:r>
      <w:r w:rsidRPr="00121962">
        <w:t xml:space="preserve">years to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six</w:t>
      </w:r>
      <w:r w:rsidRPr="00121962">
        <w:t xml:space="preserve"> years</w:t>
      </w:r>
      <w:r w:rsidR="00691E43">
        <w:t>; and</w:t>
      </w:r>
      <w:r w:rsidRPr="00121962">
        <w:t xml:space="preserve"> </w:t>
      </w:r>
    </w:p>
    <w:p w14:paraId="154A050A" w14:textId="77777777" w:rsidR="0035280F" w:rsidRPr="00121962" w:rsidRDefault="0035280F" w:rsidP="003252F3">
      <w:pPr>
        <w:pStyle w:val="ListParagraph"/>
        <w:numPr>
          <w:ilvl w:val="0"/>
          <w:numId w:val="5"/>
        </w:numPr>
        <w:spacing w:after="240"/>
        <w:ind w:left="1134"/>
      </w:pPr>
      <w:r w:rsidRPr="00121962">
        <w:t>increased the percentage of patients not eligible for PBS-listed dapagliflozin for HFrEF from 97.4% to 97.</w:t>
      </w:r>
      <w:r w:rsidR="00B8762A" w:rsidRPr="00121962">
        <w:t xml:space="preserve">7%, </w:t>
      </w:r>
      <w:r w:rsidR="003E09BF" w:rsidRPr="00121962">
        <w:t xml:space="preserve">by </w:t>
      </w:r>
      <w:r w:rsidR="00A204D6" w:rsidRPr="00121962">
        <w:t xml:space="preserve">narrowing the </w:t>
      </w:r>
      <w:r w:rsidR="00B8762A" w:rsidRPr="00121962">
        <w:t xml:space="preserve">CKD overlap with HFrEF patients (LVEF&lt;40%) </w:t>
      </w:r>
      <w:r w:rsidR="00A204D6" w:rsidRPr="00121962">
        <w:t xml:space="preserve">to those </w:t>
      </w:r>
      <w:r w:rsidR="00B8762A" w:rsidRPr="00121962">
        <w:rPr>
          <w:i/>
          <w:iCs/>
        </w:rPr>
        <w:t>in NHYA Classes II-IV receiving SOC</w:t>
      </w:r>
      <w:r w:rsidR="00B8762A" w:rsidRPr="00121962">
        <w:t>.</w:t>
      </w:r>
    </w:p>
    <w:p w14:paraId="53AFFABE" w14:textId="77777777" w:rsidR="00DC6988" w:rsidRPr="00121962" w:rsidRDefault="007054EA" w:rsidP="00172119">
      <w:pPr>
        <w:pStyle w:val="ExecSumBodyText"/>
      </w:pPr>
      <w:r w:rsidRPr="00121962">
        <w:t>These changes increase</w:t>
      </w:r>
      <w:r w:rsidR="00B87D09" w:rsidRPr="00121962">
        <w:t>d</w:t>
      </w:r>
      <w:r w:rsidRPr="00121962">
        <w:t xml:space="preserve"> the eligible population from </w:t>
      </w:r>
      <w:r w:rsidR="00172119" w:rsidRPr="00172119">
        <w:t>100,000 to &lt; 200,000</w:t>
      </w:r>
      <w:r w:rsidR="00172119">
        <w:t xml:space="preserve"> </w:t>
      </w:r>
      <w:r w:rsidRPr="00121962">
        <w:t xml:space="preserve">in </w:t>
      </w:r>
      <w:r w:rsidR="003252F3" w:rsidRPr="00121962">
        <w:t>Y</w:t>
      </w:r>
      <w:r w:rsidRPr="00121962">
        <w:t xml:space="preserve">ear 6 to </w:t>
      </w:r>
      <w:r w:rsidR="00172119" w:rsidRPr="00172119">
        <w:t>400,000 to &lt; 500,000</w:t>
      </w:r>
      <w:r w:rsidR="00172119">
        <w:t xml:space="preserve"> </w:t>
      </w:r>
      <w:r w:rsidRPr="00121962">
        <w:t xml:space="preserve">in </w:t>
      </w:r>
      <w:r w:rsidR="003252F3" w:rsidRPr="00121962">
        <w:t>Y</w:t>
      </w:r>
      <w:r w:rsidRPr="00121962">
        <w:t xml:space="preserve">ear 6. Given the methods used to estimate </w:t>
      </w:r>
      <w:r w:rsidR="002D2858">
        <w:t xml:space="preserve">patients switching </w:t>
      </w:r>
      <w:r w:rsidRPr="00121962">
        <w:t xml:space="preserve">from empagliflozin, </w:t>
      </w:r>
      <w:r w:rsidR="0092167A" w:rsidRPr="00121962">
        <w:t>these patients</w:t>
      </w:r>
      <w:r w:rsidRPr="00121962">
        <w:t xml:space="preserve"> also increased from </w:t>
      </w:r>
      <w:r w:rsidR="00172119" w:rsidRPr="00172119">
        <w:t>5,000 to &lt; 10,000</w:t>
      </w:r>
      <w:r w:rsidR="00172119">
        <w:t xml:space="preserve"> </w:t>
      </w:r>
      <w:r w:rsidRPr="00121962">
        <w:t xml:space="preserve">in </w:t>
      </w:r>
      <w:r w:rsidR="003252F3" w:rsidRPr="00121962">
        <w:t>Y</w:t>
      </w:r>
      <w:r w:rsidRPr="00121962">
        <w:t xml:space="preserve">ear 6 to </w:t>
      </w:r>
      <w:r w:rsidR="00172119" w:rsidRPr="00172119">
        <w:t>10,000 to &lt; 20,000</w:t>
      </w:r>
      <w:r w:rsidR="00172119">
        <w:t xml:space="preserve"> </w:t>
      </w:r>
      <w:r w:rsidRPr="00121962">
        <w:t xml:space="preserve">in </w:t>
      </w:r>
      <w:r w:rsidR="003252F3" w:rsidRPr="00121962">
        <w:t>Y</w:t>
      </w:r>
      <w:r w:rsidRPr="00121962">
        <w:t>ear 6.</w:t>
      </w:r>
      <w:r w:rsidR="00DC6988" w:rsidRPr="00121962">
        <w:t xml:space="preserve"> In the pre-PBAC response, the </w:t>
      </w:r>
      <w:r w:rsidR="003252F3" w:rsidRPr="00121962">
        <w:t xml:space="preserve">net </w:t>
      </w:r>
      <w:r w:rsidRPr="00121962">
        <w:t xml:space="preserve">cost to the </w:t>
      </w:r>
      <w:r w:rsidR="00691E43">
        <w:t>R/</w:t>
      </w:r>
      <w:r w:rsidRPr="00121962">
        <w:t xml:space="preserve">PBS </w:t>
      </w:r>
      <w:r w:rsidR="003252F3" w:rsidRPr="00121962">
        <w:t xml:space="preserve">(including offsets for empagliflozin) </w:t>
      </w:r>
      <w:r w:rsidR="00DC6988" w:rsidRPr="00121962">
        <w:t>was</w:t>
      </w:r>
      <w:r w:rsidRPr="00121962">
        <w:t xml:space="preserve"> </w:t>
      </w:r>
      <w:r w:rsidR="00172119" w:rsidRPr="00172119">
        <w:t>$40 million to &lt; $50 million</w:t>
      </w:r>
      <w:r w:rsidR="00172119">
        <w:t xml:space="preserve"> </w:t>
      </w:r>
      <w:r w:rsidR="003252F3" w:rsidRPr="00121962">
        <w:t xml:space="preserve">in Year 1, increasing to </w:t>
      </w:r>
      <w:r w:rsidR="00172119" w:rsidRPr="00172119">
        <w:t>$200 million to &lt; $300 million</w:t>
      </w:r>
      <w:r w:rsidR="00172119">
        <w:t xml:space="preserve"> </w:t>
      </w:r>
      <w:r w:rsidRPr="00121962">
        <w:t xml:space="preserve">in </w:t>
      </w:r>
      <w:r w:rsidR="007D0217" w:rsidRPr="00121962">
        <w:t>Y</w:t>
      </w:r>
      <w:r w:rsidRPr="00121962">
        <w:t>ear 6</w:t>
      </w:r>
      <w:r w:rsidR="007D0217" w:rsidRPr="00121962">
        <w:t xml:space="preserve">, an estimated net cost of </w:t>
      </w:r>
      <w:r w:rsidR="00172119" w:rsidRPr="00172119">
        <w:t>$700 million to &lt; $800 million</w:t>
      </w:r>
      <w:r w:rsidR="00172119">
        <w:t xml:space="preserve"> </w:t>
      </w:r>
      <w:r w:rsidR="007D0217" w:rsidRPr="00121962">
        <w:t>over the first six years of listing</w:t>
      </w:r>
      <w:r w:rsidR="00505A22" w:rsidRPr="00121962">
        <w:t xml:space="preserve">. </w:t>
      </w:r>
    </w:p>
    <w:p w14:paraId="21332803" w14:textId="77777777" w:rsidR="003E09BF" w:rsidRPr="00121962" w:rsidRDefault="003E09BF" w:rsidP="00172119">
      <w:pPr>
        <w:pStyle w:val="ExecSumBodyText"/>
      </w:pPr>
      <w:r w:rsidRPr="00121962">
        <w:t xml:space="preserve">The pre-PBAC response presented two scenarios for savings to government health budgets associated with a reduction in ESKD </w:t>
      </w:r>
      <w:r w:rsidR="00F37438" w:rsidRPr="00121962">
        <w:t>costs</w:t>
      </w:r>
      <w:r w:rsidRPr="00121962">
        <w:t xml:space="preserve"> – a 10% reduction and a 50% reduction from the submission base case. The “10% reduction” resulted in savings of </w:t>
      </w:r>
      <w:r w:rsidR="00172119" w:rsidRPr="00172119">
        <w:t>$200 million to &lt; $300 million</w:t>
      </w:r>
      <w:r w:rsidR="00172119">
        <w:t xml:space="preserve"> </w:t>
      </w:r>
      <w:r w:rsidRPr="00121962">
        <w:t xml:space="preserve">in Year 1, increasing to </w:t>
      </w:r>
      <w:r w:rsidR="00172119">
        <w:t xml:space="preserve">&gt; </w:t>
      </w:r>
      <w:r w:rsidRPr="00121962">
        <w:t xml:space="preserve">$1 billion in Year 6 of listing, and an overall net savings to Commonwealth, State and Territory governments of </w:t>
      </w:r>
      <w:r w:rsidR="00172119">
        <w:t xml:space="preserve">&gt; </w:t>
      </w:r>
      <w:r w:rsidRPr="00121962">
        <w:t>$</w:t>
      </w:r>
      <w:r w:rsidR="00172119">
        <w:t>1</w:t>
      </w:r>
      <w:r w:rsidRPr="00121962">
        <w:t xml:space="preserve"> billion over six years. The “50% reduction” resulted in savings of </w:t>
      </w:r>
      <w:r w:rsidR="00172119" w:rsidRPr="00172119">
        <w:t>$100 million to &lt; $200 million</w:t>
      </w:r>
      <w:r w:rsidR="00172119">
        <w:t xml:space="preserve"> </w:t>
      </w:r>
      <w:r w:rsidRPr="00121962">
        <w:t xml:space="preserve">in Year 1, increasing to </w:t>
      </w:r>
      <w:r w:rsidR="00172119" w:rsidRPr="00172119">
        <w:t>$800 million to &lt; $900 million</w:t>
      </w:r>
      <w:r w:rsidR="00172119">
        <w:t xml:space="preserve"> </w:t>
      </w:r>
      <w:r w:rsidRPr="00121962">
        <w:t xml:space="preserve">in Year 6 of listing, and overall net saving of </w:t>
      </w:r>
      <w:r w:rsidR="00172119">
        <w:t xml:space="preserve">&gt; </w:t>
      </w:r>
      <w:r w:rsidRPr="00121962">
        <w:t>$</w:t>
      </w:r>
      <w:r w:rsidR="00172119">
        <w:t>1</w:t>
      </w:r>
      <w:r w:rsidRPr="00121962">
        <w:t xml:space="preserve"> billion over six years.</w:t>
      </w:r>
    </w:p>
    <w:p w14:paraId="4292BE87" w14:textId="77777777" w:rsidR="00505A22" w:rsidRPr="00121962" w:rsidRDefault="00505A22" w:rsidP="00B02B3A">
      <w:pPr>
        <w:pStyle w:val="ExecSumBodyText"/>
        <w:numPr>
          <w:ilvl w:val="1"/>
          <w:numId w:val="1"/>
        </w:numPr>
      </w:pPr>
      <w:r w:rsidRPr="00121962">
        <w:t xml:space="preserve">The pre-PBAC response also provided an analysis incorporating the proportion of patients who </w:t>
      </w:r>
      <w:r w:rsidR="00BB5BDA" w:rsidRPr="00121962">
        <w:t xml:space="preserve">would </w:t>
      </w:r>
      <w:r w:rsidRPr="00121962">
        <w:t xml:space="preserve">stop treatment at the initiation of renal replacement therapy (in line with a potential stopping rule in the restriction). </w:t>
      </w:r>
      <w:r w:rsidR="0018141B" w:rsidRPr="00121962">
        <w:t>The pre-PBAC response stated that</w:t>
      </w:r>
      <w:r w:rsidRPr="00121962">
        <w:t xml:space="preserve"> the proportions discontinuing due to transplant or dialysis per year were derived</w:t>
      </w:r>
      <w:r w:rsidR="0018141B" w:rsidRPr="00121962">
        <w:t xml:space="preserve"> from the model, but the PBAC noted that these values had not been evaluated, and it was unclear how they were obtained. </w:t>
      </w:r>
    </w:p>
    <w:p w14:paraId="12A406CE" w14:textId="77777777" w:rsidR="00DC6988" w:rsidRPr="00121962" w:rsidRDefault="00DC6988">
      <w:pPr>
        <w:jc w:val="left"/>
        <w:rPr>
          <w:rFonts w:asciiTheme="minorHAnsi" w:hAnsiTheme="minorHAnsi"/>
          <w:snapToGrid w:val="0"/>
        </w:rPr>
      </w:pPr>
      <w:r w:rsidRPr="00121962">
        <w:br w:type="page"/>
      </w:r>
    </w:p>
    <w:p w14:paraId="39A5C46F" w14:textId="77777777" w:rsidR="00576972" w:rsidRPr="00121962" w:rsidRDefault="00576972" w:rsidP="00606FBA">
      <w:pPr>
        <w:pStyle w:val="3-SubsectionHeading"/>
      </w:pPr>
      <w:r w:rsidRPr="00121962">
        <w:t>Quality Use of Medicines</w:t>
      </w:r>
      <w:bookmarkEnd w:id="43"/>
      <w:bookmarkEnd w:id="44"/>
    </w:p>
    <w:p w14:paraId="276DA7A0" w14:textId="77777777" w:rsidR="00576972" w:rsidRPr="00121962" w:rsidRDefault="009031BD" w:rsidP="00606FBA">
      <w:pPr>
        <w:pStyle w:val="ExecSumBodyText"/>
      </w:pPr>
      <w:r w:rsidRPr="00121962">
        <w:t>The sponsor stated that comprehensive education will be provided for health care workers and patients, and that activities to support the quality use of medicines and post-marketing surveillance for dapagliflozin are in development.</w:t>
      </w:r>
      <w:r w:rsidR="00F37438" w:rsidRPr="00121962">
        <w:t xml:space="preserve"> </w:t>
      </w:r>
      <w:r w:rsidR="0003377C" w:rsidRPr="00121962">
        <w:t>DUSC considered that for SGLT2 inhibitors there remains further need for GP education and support for peri-procedural practice and ketoacidosis, candidiasis and urinary symptoms.</w:t>
      </w:r>
    </w:p>
    <w:p w14:paraId="34C45BAC" w14:textId="77777777" w:rsidR="00576972" w:rsidRPr="00121962" w:rsidRDefault="00576972" w:rsidP="00606FBA">
      <w:pPr>
        <w:pStyle w:val="3-SubsectionHeading"/>
      </w:pPr>
      <w:bookmarkStart w:id="54" w:name="_Toc22897649"/>
      <w:bookmarkStart w:id="55" w:name="_Toc72322339"/>
      <w:r w:rsidRPr="00121962">
        <w:t>Financial Management – Risk Sharing Arrangements</w:t>
      </w:r>
      <w:bookmarkEnd w:id="54"/>
      <w:bookmarkEnd w:id="55"/>
    </w:p>
    <w:p w14:paraId="6BFDB850" w14:textId="77777777" w:rsidR="00576972" w:rsidRPr="00121962" w:rsidRDefault="00F37438" w:rsidP="00076B24">
      <w:pPr>
        <w:pStyle w:val="ExecSumBodyText"/>
      </w:pPr>
      <w:r w:rsidRPr="00121962">
        <w:t>T</w:t>
      </w:r>
      <w:r w:rsidR="00B052DE" w:rsidRPr="00121962">
        <w:t>he PSCR proposed a</w:t>
      </w:r>
      <w:r w:rsidR="002D2858">
        <w:t xml:space="preserve"> Risk Sharing Arrangement</w:t>
      </w:r>
      <w:r w:rsidR="00B052DE" w:rsidRPr="00121962">
        <w:t xml:space="preserve"> </w:t>
      </w:r>
      <w:r w:rsidR="002D2858">
        <w:t>(</w:t>
      </w:r>
      <w:r w:rsidR="00B052DE" w:rsidRPr="00121962">
        <w:t>RSA</w:t>
      </w:r>
      <w:r w:rsidR="002D2858">
        <w:t>)</w:t>
      </w:r>
      <w:r w:rsidR="00121962">
        <w:t xml:space="preserve">. </w:t>
      </w:r>
      <w:r w:rsidRPr="00121962">
        <w:t>The PSCR claimed that the restriction wording, a proposed weighted price, and a</w:t>
      </w:r>
      <w:r w:rsidR="002D2858">
        <w:t>n</w:t>
      </w:r>
      <w:r w:rsidRPr="00121962">
        <w:t xml:space="preserve"> RSA would address the risk of leakage. The pre-PBAC response was of the strong opinion that a price reduction to </w:t>
      </w:r>
      <w:r w:rsidR="0034435E">
        <w:rPr>
          <w:noProof/>
          <w:color w:val="000000"/>
          <w:highlight w:val="black"/>
        </w:rPr>
        <w:t>''''''''''''</w:t>
      </w:r>
      <w:r w:rsidRPr="00121962">
        <w:t xml:space="preserve"> the </w:t>
      </w:r>
      <w:r w:rsidR="002F0C5E">
        <w:rPr>
          <w:noProof/>
          <w:color w:val="000000"/>
          <w:highlight w:val="black"/>
        </w:rPr>
        <w:t>'''''''''''</w:t>
      </w:r>
      <w:r w:rsidRPr="00121962">
        <w:t xml:space="preserve"> DPMQ negated the need for an RSA, as it would alleviate the risk of leakage between T2DM, HF</w:t>
      </w:r>
      <w:r w:rsidR="00741AE0">
        <w:t>rEF</w:t>
      </w:r>
      <w:r w:rsidRPr="00121962">
        <w:t xml:space="preserve"> and CKD</w:t>
      </w:r>
      <w:r w:rsidR="00121962">
        <w:t xml:space="preserve">. </w:t>
      </w:r>
      <w:r w:rsidRPr="00121962">
        <w:t xml:space="preserve">The PBAC </w:t>
      </w:r>
      <w:r w:rsidR="0063569B">
        <w:t>considered that</w:t>
      </w:r>
      <w:r w:rsidR="0063569B" w:rsidRPr="00121962">
        <w:t xml:space="preserve"> </w:t>
      </w:r>
      <w:r w:rsidRPr="00121962">
        <w:t>the revised price did not address the risk of uncertain financial impact</w:t>
      </w:r>
      <w:r w:rsidR="0063569B">
        <w:t xml:space="preserve"> in a situation where</w:t>
      </w:r>
      <w:r w:rsidR="008B473D">
        <w:t xml:space="preserve"> the R/PBS impact would remain high even after the estimated eligible population was greatly reduced (see paragraph </w:t>
      </w:r>
      <w:r w:rsidR="00E51973">
        <w:t>6.70</w:t>
      </w:r>
      <w:r w:rsidR="008B473D">
        <w:t>)</w:t>
      </w:r>
      <w:r w:rsidR="0063569B">
        <w:t>.</w:t>
      </w:r>
    </w:p>
    <w:p w14:paraId="7F94C54D" w14:textId="77777777" w:rsidR="00DF4FD5" w:rsidRPr="00121962" w:rsidRDefault="00DF4FD5" w:rsidP="00DF4FD5">
      <w:pPr>
        <w:pStyle w:val="3-SubsectionHeading"/>
      </w:pPr>
      <w:bookmarkStart w:id="56" w:name="_Toc72322340"/>
      <w:r w:rsidRPr="00121962">
        <w:t>Additional Information</w:t>
      </w:r>
      <w:bookmarkEnd w:id="56"/>
      <w:r w:rsidRPr="00121962">
        <w:t xml:space="preserve"> </w:t>
      </w:r>
    </w:p>
    <w:p w14:paraId="09621F13" w14:textId="77777777" w:rsidR="00DF4FD5" w:rsidRPr="00121962" w:rsidRDefault="00DF4FD5" w:rsidP="00CB058F">
      <w:pPr>
        <w:pStyle w:val="ExecSumBodyText"/>
      </w:pPr>
      <w:r w:rsidRPr="00121962">
        <w:t>The sponsor presented the estimated combined financial implications to the PBS and health budgets of listing dapagliflozin for the treatment of HFrEF and CKD in Section 5 of both submissions.</w:t>
      </w:r>
      <w:r w:rsidR="00CB058F" w:rsidRPr="00121962">
        <w:t xml:space="preserve"> The approach attempted to account for the existing Type 2 diabetes population, and the overlap between the proposed HFrEF and CKD populations.</w:t>
      </w:r>
      <w:r w:rsidR="00C416EE" w:rsidRPr="00121962">
        <w:t xml:space="preserve"> The PBAC considered revisions to these estimates were required to account for the eligible CKD population, the projected utilisation for T2DM, and the revised price offer. </w:t>
      </w:r>
    </w:p>
    <w:p w14:paraId="144ED85F"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2FCF7E64" w14:textId="77777777" w:rsidR="00544EA9" w:rsidRPr="00121962" w:rsidRDefault="00544EA9" w:rsidP="00544EA9">
      <w:pPr>
        <w:pStyle w:val="2-SectionHeading"/>
        <w:numPr>
          <w:ilvl w:val="0"/>
          <w:numId w:val="1"/>
        </w:numPr>
      </w:pPr>
      <w:bookmarkStart w:id="57" w:name="_Toc341702043"/>
      <w:bookmarkStart w:id="58" w:name="_Toc380742621"/>
      <w:bookmarkStart w:id="59" w:name="_Toc380746188"/>
      <w:bookmarkStart w:id="60" w:name="_Toc380746314"/>
      <w:bookmarkStart w:id="61" w:name="_Toc380746595"/>
      <w:r w:rsidRPr="00121962">
        <w:t>PBAC Outcome</w:t>
      </w:r>
    </w:p>
    <w:p w14:paraId="46309FEA" w14:textId="77777777" w:rsidR="00682036" w:rsidRPr="00121962" w:rsidRDefault="00682036" w:rsidP="00682036">
      <w:pPr>
        <w:pStyle w:val="ExecSumBodyText"/>
        <w:numPr>
          <w:ilvl w:val="1"/>
          <w:numId w:val="1"/>
        </w:numPr>
        <w:rPr>
          <w:i/>
          <w:iCs/>
          <w:strike/>
          <w:lang w:eastAsia="en-US"/>
        </w:rPr>
      </w:pPr>
      <w:bookmarkStart w:id="62" w:name="_Ref79042037"/>
      <w:bookmarkStart w:id="63" w:name="_Hlk79391704"/>
      <w:r w:rsidRPr="00121962">
        <w:rPr>
          <w:lang w:eastAsia="en-US"/>
        </w:rPr>
        <w:t>The PBAC deferred making a recommendation for dapagliflozin for the treatment of patients with chronic kidney disease. The PBAC is</w:t>
      </w:r>
      <w:r w:rsidRPr="00121962">
        <w:rPr>
          <w:color w:val="0070C0"/>
          <w:lang w:eastAsia="en-US"/>
        </w:rPr>
        <w:t xml:space="preserve"> </w:t>
      </w:r>
      <w:r w:rsidRPr="00121962">
        <w:rPr>
          <w:lang w:eastAsia="en-US"/>
        </w:rPr>
        <w:t xml:space="preserve">satisfied that dapagliflozin added to standard care provides, for some patients, a significant improvement in efficacy over standard care alone. The PBAC considered that the listing would be cost effective at the price proposed in the pre-PBAC response (the </w:t>
      </w:r>
      <w:r w:rsidR="00B87690">
        <w:rPr>
          <w:noProof/>
          <w:color w:val="000000"/>
          <w:highlight w:val="black"/>
          <w:lang w:eastAsia="en-US"/>
        </w:rPr>
        <w:t>'''''''''''''''' ''''''''</w:t>
      </w:r>
      <w:r w:rsidRPr="00121962">
        <w:rPr>
          <w:lang w:eastAsia="en-US"/>
        </w:rPr>
        <w:t xml:space="preserve"> price for dapagliflozin for </w:t>
      </w:r>
      <w:r w:rsidR="00B87690">
        <w:rPr>
          <w:noProof/>
          <w:color w:val="000000"/>
          <w:highlight w:val="black"/>
          <w:lang w:eastAsia="en-US"/>
        </w:rPr>
        <w:t>'''''''''''</w:t>
      </w:r>
      <w:r w:rsidRPr="00121962">
        <w:rPr>
          <w:lang w:eastAsia="en-US"/>
        </w:rPr>
        <w:t xml:space="preserve">), and it was therefore of a mind to recommend a General Schedule Authority Required (Streamlined) listing. </w:t>
      </w:r>
      <w:bookmarkStart w:id="64" w:name="_Hlk79392661"/>
      <w:r w:rsidRPr="00121962">
        <w:rPr>
          <w:lang w:eastAsia="en-US"/>
        </w:rPr>
        <w:t xml:space="preserve">However, the PBAC remained concerned about the </w:t>
      </w:r>
      <w:r w:rsidR="009661AD" w:rsidRPr="00121962">
        <w:rPr>
          <w:lang w:eastAsia="en-US"/>
        </w:rPr>
        <w:t xml:space="preserve">uncertainty of the </w:t>
      </w:r>
      <w:r w:rsidR="00247120" w:rsidRPr="00121962">
        <w:rPr>
          <w:lang w:eastAsia="en-US"/>
        </w:rPr>
        <w:t xml:space="preserve">estimated </w:t>
      </w:r>
      <w:r w:rsidR="004B773A">
        <w:rPr>
          <w:lang w:eastAsia="en-US"/>
        </w:rPr>
        <w:t>financial impact</w:t>
      </w:r>
      <w:r w:rsidR="00247120" w:rsidRPr="00121962">
        <w:rPr>
          <w:lang w:eastAsia="en-US"/>
        </w:rPr>
        <w:t xml:space="preserve"> </w:t>
      </w:r>
      <w:r w:rsidR="004B773A">
        <w:rPr>
          <w:lang w:eastAsia="en-US"/>
        </w:rPr>
        <w:t xml:space="preserve">(considering </w:t>
      </w:r>
      <w:r w:rsidR="0079279F">
        <w:rPr>
          <w:lang w:eastAsia="en-US"/>
        </w:rPr>
        <w:t xml:space="preserve">that </w:t>
      </w:r>
      <w:r w:rsidR="004B773A">
        <w:rPr>
          <w:lang w:eastAsia="en-US"/>
        </w:rPr>
        <w:t>the</w:t>
      </w:r>
      <w:bookmarkStart w:id="65" w:name="_Hlk79395022"/>
      <w:r w:rsidR="00247120" w:rsidRPr="00121962">
        <w:rPr>
          <w:lang w:eastAsia="en-US"/>
        </w:rPr>
        <w:t xml:space="preserve"> R/PBS </w:t>
      </w:r>
      <w:r w:rsidR="004B773A">
        <w:rPr>
          <w:lang w:eastAsia="en-US"/>
        </w:rPr>
        <w:t>cost would be high</w:t>
      </w:r>
      <w:r w:rsidR="004B773A" w:rsidRPr="00121962">
        <w:rPr>
          <w:lang w:eastAsia="en-US"/>
        </w:rPr>
        <w:t xml:space="preserve"> </w:t>
      </w:r>
      <w:r w:rsidR="004B773A">
        <w:rPr>
          <w:lang w:eastAsia="en-US"/>
        </w:rPr>
        <w:t>even once the eligible population was greatly reduced as per PBAC advice</w:t>
      </w:r>
      <w:bookmarkEnd w:id="64"/>
      <w:bookmarkEnd w:id="65"/>
      <w:r w:rsidR="004B773A">
        <w:rPr>
          <w:lang w:eastAsia="en-US"/>
        </w:rPr>
        <w:t>)</w:t>
      </w:r>
      <w:r w:rsidRPr="00121962">
        <w:rPr>
          <w:lang w:eastAsia="en-US"/>
        </w:rPr>
        <w:t xml:space="preserve">. </w:t>
      </w:r>
      <w:r w:rsidR="007202F4" w:rsidRPr="007202F4">
        <w:rPr>
          <w:lang w:eastAsia="en-US"/>
        </w:rPr>
        <w:t>The PBAC noted that the proposed population was broader than the DAPA-CKD trial population, and considered that the PBS listing would need to be restricted to those in whom clinical effectiveness had been established and for whom there was no alter</w:t>
      </w:r>
      <w:r w:rsidR="00072512">
        <w:rPr>
          <w:lang w:eastAsia="en-US"/>
        </w:rPr>
        <w:t>n</w:t>
      </w:r>
      <w:r w:rsidR="007202F4" w:rsidRPr="007202F4">
        <w:rPr>
          <w:lang w:eastAsia="en-US"/>
        </w:rPr>
        <w:t>ative therapy available.</w:t>
      </w:r>
      <w:r w:rsidR="007202F4">
        <w:rPr>
          <w:lang w:eastAsia="en-US"/>
        </w:rPr>
        <w:t xml:space="preserve"> </w:t>
      </w:r>
      <w:r w:rsidRPr="00121962">
        <w:rPr>
          <w:lang w:eastAsia="en-US"/>
        </w:rPr>
        <w:t xml:space="preserve">The PBAC </w:t>
      </w:r>
      <w:r w:rsidR="00247120" w:rsidRPr="00121962">
        <w:rPr>
          <w:lang w:eastAsia="en-US"/>
        </w:rPr>
        <w:t xml:space="preserve">also </w:t>
      </w:r>
      <w:r w:rsidRPr="00121962">
        <w:rPr>
          <w:lang w:eastAsia="en-US"/>
        </w:rPr>
        <w:t xml:space="preserve">noted that although the submission had presented additional information to estimate the overall net impact of listing for both CKD and HFrEF (see agenda item 7.01, July 2021 PBAC meeting), it had not provided estimates for total dapagliflozin PBS utilisation including T2DM. The PBAC considered that these estimates were necessary to inform its advice to the Australian Government about an appropriate RSA to ensure that the subsidy of dapagliflozin is restricted to the populations in whom PBAC has considered it cost effective. The PBAC therefore requested that the department obtain these estimates from the sponsor </w:t>
      </w:r>
      <w:r w:rsidR="00A81E42">
        <w:rPr>
          <w:lang w:eastAsia="en-US"/>
        </w:rPr>
        <w:t>before it reconsider</w:t>
      </w:r>
      <w:r w:rsidR="00E20667">
        <w:rPr>
          <w:lang w:eastAsia="en-US"/>
        </w:rPr>
        <w:t>ed</w:t>
      </w:r>
      <w:r w:rsidRPr="00121962">
        <w:rPr>
          <w:lang w:eastAsia="en-US"/>
        </w:rPr>
        <w:t xml:space="preserve"> this submission for CKD (and the resubmission for HFrEF).</w:t>
      </w:r>
      <w:bookmarkEnd w:id="62"/>
    </w:p>
    <w:bookmarkEnd w:id="63"/>
    <w:p w14:paraId="5273A8D3" w14:textId="77777777" w:rsidR="00682036" w:rsidRPr="00121962" w:rsidRDefault="00853308" w:rsidP="00682036">
      <w:pPr>
        <w:widowControl w:val="0"/>
        <w:numPr>
          <w:ilvl w:val="1"/>
          <w:numId w:val="1"/>
        </w:numPr>
        <w:spacing w:after="120"/>
        <w:rPr>
          <w:rFonts w:asciiTheme="minorHAnsi" w:hAnsiTheme="minorHAnsi"/>
          <w:snapToGrid w:val="0"/>
          <w:color w:val="4F81BD" w:themeColor="accent1"/>
        </w:rPr>
      </w:pPr>
      <w:r w:rsidRPr="00121962">
        <w:rPr>
          <w:rFonts w:asciiTheme="minorHAnsi" w:hAnsiTheme="minorHAnsi"/>
          <w:snapToGrid w:val="0"/>
        </w:rPr>
        <w:t xml:space="preserve">The PBAC recognised that there was a high </w:t>
      </w:r>
      <w:r w:rsidR="00E344A9" w:rsidRPr="00121962">
        <w:rPr>
          <w:rFonts w:asciiTheme="minorHAnsi" w:hAnsiTheme="minorHAnsi"/>
          <w:snapToGrid w:val="0"/>
        </w:rPr>
        <w:t xml:space="preserve">and urgent </w:t>
      </w:r>
      <w:r w:rsidRPr="00121962">
        <w:rPr>
          <w:rFonts w:asciiTheme="minorHAnsi" w:hAnsiTheme="minorHAnsi"/>
          <w:snapToGrid w:val="0"/>
        </w:rPr>
        <w:t>unmet clinical need for effective treatments for CKD, not</w:t>
      </w:r>
      <w:r w:rsidR="00E344A9" w:rsidRPr="00121962">
        <w:rPr>
          <w:rFonts w:asciiTheme="minorHAnsi" w:hAnsiTheme="minorHAnsi"/>
          <w:snapToGrid w:val="0"/>
        </w:rPr>
        <w:t>ing</w:t>
      </w:r>
      <w:r w:rsidRPr="00121962">
        <w:rPr>
          <w:rFonts w:asciiTheme="minorHAnsi" w:hAnsiTheme="minorHAnsi"/>
          <w:snapToGrid w:val="0"/>
        </w:rPr>
        <w:t xml:space="preserve"> that there were </w:t>
      </w:r>
      <w:r w:rsidR="00072512">
        <w:rPr>
          <w:rFonts w:asciiTheme="minorHAnsi" w:hAnsiTheme="minorHAnsi"/>
          <w:snapToGrid w:val="0"/>
        </w:rPr>
        <w:t xml:space="preserve">limited </w:t>
      </w:r>
      <w:r w:rsidR="00E344A9" w:rsidRPr="00121962">
        <w:rPr>
          <w:rFonts w:asciiTheme="minorHAnsi" w:hAnsiTheme="minorHAnsi"/>
          <w:snapToGrid w:val="0"/>
        </w:rPr>
        <w:t xml:space="preserve">effective </w:t>
      </w:r>
      <w:r w:rsidRPr="00121962">
        <w:rPr>
          <w:rFonts w:asciiTheme="minorHAnsi" w:hAnsiTheme="minorHAnsi"/>
          <w:snapToGrid w:val="0"/>
        </w:rPr>
        <w:t xml:space="preserve">therapies on the PBS specifically for treatment of </w:t>
      </w:r>
      <w:r w:rsidR="004B58A8" w:rsidRPr="00121962">
        <w:rPr>
          <w:rFonts w:asciiTheme="minorHAnsi" w:hAnsiTheme="minorHAnsi"/>
          <w:snapToGrid w:val="0"/>
        </w:rPr>
        <w:t xml:space="preserve">this </w:t>
      </w:r>
      <w:r w:rsidR="009C4A83" w:rsidRPr="00121962">
        <w:rPr>
          <w:rFonts w:asciiTheme="minorHAnsi" w:hAnsiTheme="minorHAnsi"/>
          <w:snapToGrid w:val="0"/>
        </w:rPr>
        <w:t>life-threatening</w:t>
      </w:r>
      <w:r w:rsidR="004B58A8" w:rsidRPr="00121962">
        <w:rPr>
          <w:rFonts w:asciiTheme="minorHAnsi" w:hAnsiTheme="minorHAnsi"/>
          <w:snapToGrid w:val="0"/>
        </w:rPr>
        <w:t xml:space="preserve"> condition</w:t>
      </w:r>
      <w:r w:rsidRPr="00121962">
        <w:rPr>
          <w:rFonts w:asciiTheme="minorHAnsi" w:hAnsiTheme="minorHAnsi"/>
          <w:snapToGrid w:val="0"/>
        </w:rPr>
        <w:t>.</w:t>
      </w:r>
    </w:p>
    <w:p w14:paraId="3A20982B" w14:textId="77777777" w:rsidR="00853308" w:rsidRPr="00121962" w:rsidRDefault="00853308" w:rsidP="00515DE1">
      <w:pPr>
        <w:pStyle w:val="ExecSumBodyText"/>
        <w:numPr>
          <w:ilvl w:val="1"/>
          <w:numId w:val="1"/>
        </w:numPr>
        <w:rPr>
          <w:lang w:eastAsia="en-US"/>
        </w:rPr>
      </w:pPr>
      <w:bookmarkStart w:id="66" w:name="_Ref79389551"/>
      <w:r w:rsidRPr="00121962">
        <w:rPr>
          <w:lang w:eastAsia="en-US"/>
        </w:rPr>
        <w:t>The PBAC noted that the proposed restriction was aligned with the DAPA-CKD trial in terms of eGFR and UACR eligibility. The PBAC agreed with the ESC that UACR should be expressed both in mg/g and mg/mmol as both are reported in pathology laboratories in Australia</w:t>
      </w:r>
      <w:r w:rsidR="004F01FD" w:rsidRPr="00121962">
        <w:rPr>
          <w:lang w:eastAsia="en-US"/>
        </w:rPr>
        <w:t xml:space="preserve"> (200 – 5,000 mg/g; </w:t>
      </w:r>
      <w:bookmarkStart w:id="67" w:name="_Hlk79386871"/>
      <w:r w:rsidR="004F01FD" w:rsidRPr="00121962">
        <w:rPr>
          <w:lang w:eastAsia="en-US"/>
        </w:rPr>
        <w:t>22.6 – 565 mg/mmol</w:t>
      </w:r>
      <w:bookmarkEnd w:id="67"/>
      <w:r w:rsidR="004F01FD" w:rsidRPr="00121962">
        <w:rPr>
          <w:lang w:eastAsia="en-US"/>
        </w:rPr>
        <w:t>)</w:t>
      </w:r>
      <w:r w:rsidRPr="00121962">
        <w:rPr>
          <w:lang w:eastAsia="en-US"/>
        </w:rPr>
        <w:t xml:space="preserve">. Furthermore, the PBAC agreed with the ESC that the restriction should specifically </w:t>
      </w:r>
      <w:r w:rsidR="00913123" w:rsidRPr="00121962">
        <w:rPr>
          <w:lang w:eastAsia="en-US"/>
        </w:rPr>
        <w:t>require</w:t>
      </w:r>
      <w:r w:rsidRPr="00121962">
        <w:rPr>
          <w:lang w:eastAsia="en-US"/>
        </w:rPr>
        <w:t xml:space="preserve"> that the patient must have sustained evidence of CKD for </w:t>
      </w:r>
      <w:r w:rsidR="00C63BD0" w:rsidRPr="00121962">
        <w:rPr>
          <w:lang w:eastAsia="en-US"/>
        </w:rPr>
        <w:t>three</w:t>
      </w:r>
      <w:r w:rsidRPr="00121962">
        <w:rPr>
          <w:lang w:eastAsia="en-US"/>
        </w:rPr>
        <w:t xml:space="preserve"> months</w:t>
      </w:r>
      <w:r w:rsidR="00514DB1" w:rsidRPr="00121962">
        <w:rPr>
          <w:lang w:eastAsia="en-US"/>
        </w:rPr>
        <w:t xml:space="preserve">. </w:t>
      </w:r>
      <w:r w:rsidR="00913123" w:rsidRPr="00121962">
        <w:rPr>
          <w:lang w:eastAsia="en-US"/>
        </w:rPr>
        <w:t>In line with the trial exclusion criteria and the TGA delegate’s recommended warning, the</w:t>
      </w:r>
      <w:r w:rsidR="00514DB1" w:rsidRPr="00121962">
        <w:rPr>
          <w:lang w:eastAsia="en-US"/>
        </w:rPr>
        <w:t xml:space="preserve"> </w:t>
      </w:r>
      <w:r w:rsidR="00913123" w:rsidRPr="00121962">
        <w:rPr>
          <w:lang w:eastAsia="en-US"/>
        </w:rPr>
        <w:t xml:space="preserve">PBS </w:t>
      </w:r>
      <w:r w:rsidR="00514DB1" w:rsidRPr="00121962">
        <w:rPr>
          <w:lang w:eastAsia="en-US"/>
        </w:rPr>
        <w:t xml:space="preserve">restriction should </w:t>
      </w:r>
      <w:r w:rsidR="00913123" w:rsidRPr="00121962">
        <w:rPr>
          <w:lang w:eastAsia="en-US"/>
        </w:rPr>
        <w:t xml:space="preserve">also </w:t>
      </w:r>
      <w:r w:rsidRPr="00121962">
        <w:rPr>
          <w:lang w:eastAsia="en-US"/>
        </w:rPr>
        <w:t>exclude</w:t>
      </w:r>
      <w:r w:rsidR="00913123" w:rsidRPr="00121962">
        <w:rPr>
          <w:lang w:eastAsia="en-US"/>
        </w:rPr>
        <w:t xml:space="preserve">: patients with </w:t>
      </w:r>
      <w:r w:rsidR="00514DB1" w:rsidRPr="00121962">
        <w:rPr>
          <w:lang w:eastAsia="en-US"/>
        </w:rPr>
        <w:t>polycystic kidney disease, lupus nephritis or ANCA-associated vasculitis</w:t>
      </w:r>
      <w:r w:rsidR="00913123" w:rsidRPr="00121962">
        <w:rPr>
          <w:lang w:eastAsia="en-US"/>
        </w:rPr>
        <w:t xml:space="preserve">; patients </w:t>
      </w:r>
      <w:r w:rsidR="00514DB1" w:rsidRPr="00121962">
        <w:rPr>
          <w:lang w:eastAsia="en-US"/>
        </w:rPr>
        <w:t xml:space="preserve">requiring or with a recent history of </w:t>
      </w:r>
      <w:r w:rsidR="00E1130E" w:rsidRPr="00121962">
        <w:rPr>
          <w:lang w:eastAsia="en-US"/>
        </w:rPr>
        <w:t xml:space="preserve">cytotoxic or </w:t>
      </w:r>
      <w:r w:rsidR="00514DB1" w:rsidRPr="00121962">
        <w:rPr>
          <w:lang w:eastAsia="en-US"/>
        </w:rPr>
        <w:t>immunosuppressive therapy for kidney disease</w:t>
      </w:r>
      <w:r w:rsidR="00913123" w:rsidRPr="00121962">
        <w:rPr>
          <w:lang w:eastAsia="en-US"/>
        </w:rPr>
        <w:t xml:space="preserve">; and patients with </w:t>
      </w:r>
      <w:r w:rsidR="00E1130E" w:rsidRPr="00121962">
        <w:rPr>
          <w:lang w:eastAsia="en-US"/>
        </w:rPr>
        <w:t xml:space="preserve">an </w:t>
      </w:r>
      <w:r w:rsidR="00913123" w:rsidRPr="00121962">
        <w:rPr>
          <w:lang w:eastAsia="en-US"/>
        </w:rPr>
        <w:t>organ transplant.</w:t>
      </w:r>
      <w:r w:rsidR="009F6848" w:rsidRPr="00121962">
        <w:rPr>
          <w:lang w:eastAsia="en-US"/>
        </w:rPr>
        <w:t xml:space="preserve"> </w:t>
      </w:r>
      <w:r w:rsidR="00847DD8">
        <w:rPr>
          <w:lang w:eastAsia="en-US"/>
        </w:rPr>
        <w:t>The PBAC considered that there was uncertain clinical effectiveness and cost effectiveness in these groups given their exclusion from the trial and the</w:t>
      </w:r>
      <w:r w:rsidR="00196AF5">
        <w:rPr>
          <w:lang w:eastAsia="en-US"/>
        </w:rPr>
        <w:t>re</w:t>
      </w:r>
      <w:r w:rsidR="00847DD8">
        <w:rPr>
          <w:lang w:eastAsia="en-US"/>
        </w:rPr>
        <w:t xml:space="preserve"> </w:t>
      </w:r>
      <w:r w:rsidR="00196AF5">
        <w:rPr>
          <w:lang w:eastAsia="en-US"/>
        </w:rPr>
        <w:t xml:space="preserve">may be </w:t>
      </w:r>
      <w:r w:rsidR="00847DD8">
        <w:rPr>
          <w:lang w:eastAsia="en-US"/>
        </w:rPr>
        <w:t xml:space="preserve">different comparators available via the PBS for some of these patients. The PBAC noted that patients with T1DM were excluded from the trial, and that the current dapagliflozin PI warns against use in this group. Given the relatively long clinical experience with dapagliflozin, the PBAC did not consider it necessary to exclude this group from the CKD listing, noting that this would be consistent with the T2DM listing, which also does not explicitly exclude these patients. </w:t>
      </w:r>
      <w:r w:rsidRPr="00121962">
        <w:rPr>
          <w:lang w:eastAsia="en-US"/>
        </w:rPr>
        <w:t>The PBAC noted that the proposed maximum quantity of one pack with five repeats would provide for six months’ treatment, which was suitable for a chronic condition and consistent with the dapagliflozin listings for T2DM.</w:t>
      </w:r>
      <w:bookmarkEnd w:id="66"/>
      <w:r w:rsidR="005E1827">
        <w:rPr>
          <w:lang w:eastAsia="en-US"/>
        </w:rPr>
        <w:t xml:space="preserve"> </w:t>
      </w:r>
      <w:r w:rsidR="005E1827" w:rsidRPr="005E1827">
        <w:rPr>
          <w:lang w:eastAsia="en-US"/>
        </w:rPr>
        <w:t xml:space="preserve">The PBAC noted that the listing in section 3 will need to be updated </w:t>
      </w:r>
      <w:r w:rsidR="00BC4E33">
        <w:rPr>
          <w:lang w:eastAsia="en-US"/>
        </w:rPr>
        <w:t>to</w:t>
      </w:r>
      <w:r w:rsidR="005E1827" w:rsidRPr="005E1827">
        <w:rPr>
          <w:lang w:eastAsia="en-US"/>
        </w:rPr>
        <w:t xml:space="preserve"> include its advice.</w:t>
      </w:r>
      <w:r w:rsidR="005E1827">
        <w:rPr>
          <w:lang w:eastAsia="en-US"/>
        </w:rPr>
        <w:t xml:space="preserve"> </w:t>
      </w:r>
    </w:p>
    <w:p w14:paraId="0F7A8A95" w14:textId="77777777" w:rsidR="000E11EA" w:rsidRPr="00121962" w:rsidRDefault="000E11EA" w:rsidP="00515DE1">
      <w:pPr>
        <w:pStyle w:val="ExecSumBodyText"/>
        <w:numPr>
          <w:ilvl w:val="1"/>
          <w:numId w:val="1"/>
        </w:numPr>
        <w:rPr>
          <w:lang w:eastAsia="en-US"/>
        </w:rPr>
      </w:pPr>
      <w:r w:rsidRPr="00121962">
        <w:rPr>
          <w:lang w:eastAsia="en-US"/>
        </w:rPr>
        <w:t xml:space="preserve">The PBAC noted the </w:t>
      </w:r>
      <w:r w:rsidR="008135F5" w:rsidRPr="00121962">
        <w:rPr>
          <w:lang w:eastAsia="en-US"/>
        </w:rPr>
        <w:t>submission’s proposed restriction did not include stopping criteria, and noted the advice provided in the pre-PBAC response and the sponsor hearing with respect to this issue. The PBAC considered that it would be appropriate to cease treatment on commencement of renal replacement therapy given the lack of evidence to support continued use in this population</w:t>
      </w:r>
      <w:r w:rsidR="00364FF4" w:rsidRPr="00121962">
        <w:rPr>
          <w:lang w:eastAsia="en-US"/>
        </w:rPr>
        <w:t>, but that the restriction need not require patients to cease therapy when their eGFR declined below 25 mL/min/1.71 m</w:t>
      </w:r>
      <w:r w:rsidR="00364FF4" w:rsidRPr="00121962">
        <w:rPr>
          <w:bCs/>
          <w:vertAlign w:val="superscript"/>
        </w:rPr>
        <w:t>2</w:t>
      </w:r>
      <w:r w:rsidR="00364FF4" w:rsidRPr="00121962">
        <w:rPr>
          <w:bCs/>
        </w:rPr>
        <w:t>.</w:t>
      </w:r>
    </w:p>
    <w:p w14:paraId="6B232B40" w14:textId="77777777" w:rsidR="00364FF4" w:rsidRPr="00121962" w:rsidRDefault="00364FF4" w:rsidP="00364FF4">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nominated comparator of standard of care, noting that ACEIs and ARBs (unless contraindicated) are the only pharmacological interventions commonly recommended for the treatment CKD in clinical guidelines. </w:t>
      </w:r>
    </w:p>
    <w:p w14:paraId="3F3F2E23" w14:textId="77777777" w:rsidR="000E11EA" w:rsidRPr="00121962" w:rsidRDefault="000E11EA"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positioning of dapagliflozin as an addition to </w:t>
      </w:r>
      <w:r w:rsidR="008135F5" w:rsidRPr="00121962">
        <w:rPr>
          <w:rFonts w:asciiTheme="minorHAnsi" w:hAnsiTheme="minorHAnsi"/>
          <w:snapToGrid w:val="0"/>
        </w:rPr>
        <w:t>standard of care</w:t>
      </w:r>
      <w:r w:rsidRPr="00121962">
        <w:rPr>
          <w:rFonts w:asciiTheme="minorHAnsi" w:hAnsiTheme="minorHAnsi"/>
          <w:snapToGrid w:val="0"/>
        </w:rPr>
        <w:t xml:space="preserve"> in CKD, administered concurrently with an ACEI or ARB (unless contraindicated). </w:t>
      </w:r>
      <w:r w:rsidR="008135F5" w:rsidRPr="00121962">
        <w:rPr>
          <w:rFonts w:asciiTheme="minorHAnsi" w:hAnsiTheme="minorHAnsi"/>
          <w:snapToGrid w:val="0"/>
        </w:rPr>
        <w:t>Although there were relatively few patients not receiving</w:t>
      </w:r>
      <w:r w:rsidR="00C50430" w:rsidRPr="00121962">
        <w:rPr>
          <w:rFonts w:asciiTheme="minorHAnsi" w:hAnsiTheme="minorHAnsi"/>
          <w:snapToGrid w:val="0"/>
        </w:rPr>
        <w:t xml:space="preserve"> an</w:t>
      </w:r>
      <w:r w:rsidR="008135F5" w:rsidRPr="00121962">
        <w:rPr>
          <w:rFonts w:asciiTheme="minorHAnsi" w:hAnsiTheme="minorHAnsi"/>
          <w:snapToGrid w:val="0"/>
        </w:rPr>
        <w:t xml:space="preserve"> ACEI/ARB in DAPA-CKD, the PBAC agreed with the sponsor hearing that patients with contraindications to these therapies would still be expected to benefit from dapagliflozin and </w:t>
      </w:r>
      <w:r w:rsidR="00C50430" w:rsidRPr="00121962">
        <w:rPr>
          <w:rFonts w:asciiTheme="minorHAnsi" w:hAnsiTheme="minorHAnsi"/>
          <w:snapToGrid w:val="0"/>
        </w:rPr>
        <w:t xml:space="preserve">that they </w:t>
      </w:r>
      <w:r w:rsidR="008135F5" w:rsidRPr="00121962">
        <w:rPr>
          <w:rFonts w:asciiTheme="minorHAnsi" w:hAnsiTheme="minorHAnsi"/>
          <w:snapToGrid w:val="0"/>
        </w:rPr>
        <w:t xml:space="preserve">had </w:t>
      </w:r>
      <w:r w:rsidR="00C63BD0" w:rsidRPr="00121962">
        <w:rPr>
          <w:rFonts w:asciiTheme="minorHAnsi" w:hAnsiTheme="minorHAnsi"/>
          <w:snapToGrid w:val="0"/>
        </w:rPr>
        <w:t xml:space="preserve">even </w:t>
      </w:r>
      <w:r w:rsidR="00C50430" w:rsidRPr="00121962">
        <w:rPr>
          <w:rFonts w:asciiTheme="minorHAnsi" w:hAnsiTheme="minorHAnsi"/>
          <w:snapToGrid w:val="0"/>
        </w:rPr>
        <w:t>greater</w:t>
      </w:r>
      <w:r w:rsidR="008135F5" w:rsidRPr="00121962">
        <w:rPr>
          <w:rFonts w:asciiTheme="minorHAnsi" w:hAnsiTheme="minorHAnsi"/>
          <w:snapToGrid w:val="0"/>
        </w:rPr>
        <w:t xml:space="preserve"> need for an effective treatment option as existing standard of care was unsuitable for them.</w:t>
      </w:r>
      <w:r w:rsidR="00F97C0D">
        <w:rPr>
          <w:rFonts w:asciiTheme="minorHAnsi" w:hAnsiTheme="minorHAnsi"/>
          <w:snapToGrid w:val="0"/>
        </w:rPr>
        <w:t xml:space="preserve"> </w:t>
      </w:r>
      <w:r w:rsidR="00F97C0D" w:rsidRPr="005E1827">
        <w:rPr>
          <w:lang w:eastAsia="en-US"/>
        </w:rPr>
        <w:t xml:space="preserve">The PBAC noted that the listing in section 3 will need to be updated </w:t>
      </w:r>
      <w:r w:rsidR="00BC4E33">
        <w:rPr>
          <w:lang w:eastAsia="en-US"/>
        </w:rPr>
        <w:t>to</w:t>
      </w:r>
      <w:r w:rsidR="00F97C0D" w:rsidRPr="005E1827">
        <w:rPr>
          <w:lang w:eastAsia="en-US"/>
        </w:rPr>
        <w:t xml:space="preserve"> include its advice.</w:t>
      </w:r>
    </w:p>
    <w:p w14:paraId="75D9C02A" w14:textId="77777777" w:rsidR="006D0A77" w:rsidRPr="00121962" w:rsidRDefault="006D0A77"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In terms of the clinical evidence presented, </w:t>
      </w:r>
      <w:r w:rsidR="00515DE1" w:rsidRPr="00121962">
        <w:rPr>
          <w:rFonts w:asciiTheme="minorHAnsi" w:hAnsiTheme="minorHAnsi"/>
          <w:snapToGrid w:val="0"/>
        </w:rPr>
        <w:t>the PBAC agreed with the ESC that there were issues with the DAPA-CKD trial in terms of its likely applicability to the Australian population</w:t>
      </w:r>
      <w:r w:rsidR="004B58A8" w:rsidRPr="00121962">
        <w:rPr>
          <w:rFonts w:asciiTheme="minorHAnsi" w:hAnsiTheme="minorHAnsi"/>
          <w:snapToGrid w:val="0"/>
        </w:rPr>
        <w:t xml:space="preserve">, and that </w:t>
      </w:r>
      <w:r w:rsidR="00515DE1" w:rsidRPr="00121962">
        <w:rPr>
          <w:rFonts w:asciiTheme="minorHAnsi" w:hAnsiTheme="minorHAnsi"/>
          <w:snapToGrid w:val="0"/>
        </w:rPr>
        <w:t xml:space="preserve">the </w:t>
      </w:r>
      <w:r w:rsidR="00515DE1" w:rsidRPr="00121962">
        <w:rPr>
          <w:rFonts w:asciiTheme="minorHAnsi" w:hAnsiTheme="minorHAnsi"/>
          <w:i/>
          <w:iCs/>
          <w:snapToGrid w:val="0"/>
        </w:rPr>
        <w:t xml:space="preserve">post hoc </w:t>
      </w:r>
      <w:r w:rsidR="00515DE1" w:rsidRPr="00121962">
        <w:rPr>
          <w:rFonts w:asciiTheme="minorHAnsi" w:hAnsiTheme="minorHAnsi"/>
          <w:snapToGrid w:val="0"/>
        </w:rPr>
        <w:t xml:space="preserve">CKD only subgroup analysis was unreliable. </w:t>
      </w:r>
      <w:r w:rsidR="004B58A8" w:rsidRPr="00121962">
        <w:rPr>
          <w:rFonts w:asciiTheme="minorHAnsi" w:hAnsiTheme="minorHAnsi"/>
          <w:snapToGrid w:val="0"/>
        </w:rPr>
        <w:t>Nonetheless, the PBAC agreed with the evaluation</w:t>
      </w:r>
      <w:r w:rsidR="004B5F68" w:rsidRPr="00121962">
        <w:rPr>
          <w:rFonts w:asciiTheme="minorHAnsi" w:hAnsiTheme="minorHAnsi"/>
          <w:snapToGrid w:val="0"/>
        </w:rPr>
        <w:t xml:space="preserve">’s conclusion </w:t>
      </w:r>
      <w:r w:rsidR="004B58A8" w:rsidRPr="00121962">
        <w:rPr>
          <w:rFonts w:asciiTheme="minorHAnsi" w:hAnsiTheme="minorHAnsi"/>
          <w:snapToGrid w:val="0"/>
        </w:rPr>
        <w:t>that dapagliflozin plus SOC was superior in terms of effectiveness compared with SOC alone and non</w:t>
      </w:r>
      <w:r w:rsidR="002D2858">
        <w:rPr>
          <w:rFonts w:asciiTheme="minorHAnsi" w:hAnsiTheme="minorHAnsi"/>
          <w:snapToGrid w:val="0"/>
        </w:rPr>
        <w:t>-</w:t>
      </w:r>
      <w:r w:rsidR="004B58A8" w:rsidRPr="00121962">
        <w:rPr>
          <w:rFonts w:asciiTheme="minorHAnsi" w:hAnsiTheme="minorHAnsi"/>
          <w:snapToGrid w:val="0"/>
        </w:rPr>
        <w:t xml:space="preserve">inferior in terms of safety. </w:t>
      </w:r>
      <w:r w:rsidR="001B770A" w:rsidRPr="00121962">
        <w:rPr>
          <w:rFonts w:asciiTheme="minorHAnsi" w:hAnsiTheme="minorHAnsi"/>
          <w:snapToGrid w:val="0"/>
        </w:rPr>
        <w:t xml:space="preserve">It considered that dapagliflozin provided a substantial added benefit in terms of </w:t>
      </w:r>
      <w:r w:rsidR="00772473" w:rsidRPr="00121962">
        <w:rPr>
          <w:rFonts w:asciiTheme="minorHAnsi" w:hAnsiTheme="minorHAnsi"/>
          <w:snapToGrid w:val="0"/>
        </w:rPr>
        <w:t xml:space="preserve">a reduction in </w:t>
      </w:r>
      <w:r w:rsidR="001B770A" w:rsidRPr="00121962">
        <w:rPr>
          <w:rFonts w:asciiTheme="minorHAnsi" w:hAnsiTheme="minorHAnsi"/>
          <w:snapToGrid w:val="0"/>
        </w:rPr>
        <w:t>ESKD</w:t>
      </w:r>
      <w:r w:rsidR="00772473" w:rsidRPr="00121962">
        <w:rPr>
          <w:rFonts w:asciiTheme="minorHAnsi" w:hAnsiTheme="minorHAnsi"/>
          <w:snapToGrid w:val="0"/>
        </w:rPr>
        <w:t xml:space="preserve"> and death (see Tables 4 and 5 above)</w:t>
      </w:r>
      <w:r w:rsidR="001B770A" w:rsidRPr="00121962">
        <w:rPr>
          <w:rFonts w:asciiTheme="minorHAnsi" w:hAnsiTheme="minorHAnsi"/>
          <w:snapToGrid w:val="0"/>
        </w:rPr>
        <w:t xml:space="preserve">. </w:t>
      </w:r>
      <w:r w:rsidR="00402C0C" w:rsidRPr="00121962">
        <w:rPr>
          <w:rFonts w:asciiTheme="minorHAnsi" w:hAnsiTheme="minorHAnsi"/>
          <w:snapToGrid w:val="0"/>
        </w:rPr>
        <w:t>Although there were uncertainties with respect to the clinical evidence, these affected the interpretation of the magnitude of benefit in parts of the Australian CKD population and not the existence of an overall benefit</w:t>
      </w:r>
      <w:r w:rsidR="00214531" w:rsidRPr="00121962">
        <w:rPr>
          <w:rFonts w:asciiTheme="minorHAnsi" w:hAnsiTheme="minorHAnsi"/>
          <w:snapToGrid w:val="0"/>
        </w:rPr>
        <w:t xml:space="preserve"> in the eligible trial population</w:t>
      </w:r>
      <w:r w:rsidR="00402C0C" w:rsidRPr="00121962">
        <w:rPr>
          <w:rFonts w:asciiTheme="minorHAnsi" w:hAnsiTheme="minorHAnsi"/>
          <w:snapToGrid w:val="0"/>
        </w:rPr>
        <w:t>, which was adequately supported by the trial data</w:t>
      </w:r>
      <w:r w:rsidR="004B5F68" w:rsidRPr="00121962">
        <w:rPr>
          <w:rFonts w:asciiTheme="minorHAnsi" w:hAnsiTheme="minorHAnsi"/>
          <w:snapToGrid w:val="0"/>
        </w:rPr>
        <w:t xml:space="preserve"> with a high level of certainty</w:t>
      </w:r>
      <w:r w:rsidR="00402C0C" w:rsidRPr="00121962">
        <w:rPr>
          <w:rFonts w:asciiTheme="minorHAnsi" w:hAnsiTheme="minorHAnsi"/>
          <w:snapToGrid w:val="0"/>
        </w:rPr>
        <w:t xml:space="preserve">. The PBAC considered that the issues identified by ESC were less critical to its decision making given the price reduction to </w:t>
      </w:r>
      <w:r w:rsidR="0034435E">
        <w:rPr>
          <w:rFonts w:asciiTheme="minorHAnsi" w:hAnsiTheme="minorHAnsi"/>
          <w:noProof/>
          <w:snapToGrid w:val="0"/>
          <w:color w:val="000000"/>
          <w:highlight w:val="black"/>
        </w:rPr>
        <w:t>''''''''''''</w:t>
      </w:r>
      <w:r w:rsidR="00402C0C" w:rsidRPr="00121962">
        <w:rPr>
          <w:rFonts w:asciiTheme="minorHAnsi" w:hAnsiTheme="minorHAnsi"/>
          <w:snapToGrid w:val="0"/>
        </w:rPr>
        <w:t xml:space="preserve"> the </w:t>
      </w:r>
      <w:r w:rsidR="002F0C5E">
        <w:rPr>
          <w:rFonts w:asciiTheme="minorHAnsi" w:hAnsiTheme="minorHAnsi"/>
          <w:noProof/>
          <w:snapToGrid w:val="0"/>
          <w:color w:val="000000"/>
          <w:highlight w:val="black"/>
        </w:rPr>
        <w:t>''''''''''''''</w:t>
      </w:r>
      <w:r w:rsidR="00402C0C" w:rsidRPr="00121962">
        <w:rPr>
          <w:rFonts w:asciiTheme="minorHAnsi" w:hAnsiTheme="minorHAnsi"/>
          <w:snapToGrid w:val="0"/>
        </w:rPr>
        <w:t xml:space="preserve"> price in </w:t>
      </w:r>
      <w:r w:rsidR="002F0C5E">
        <w:rPr>
          <w:rFonts w:asciiTheme="minorHAnsi" w:hAnsiTheme="minorHAnsi"/>
          <w:noProof/>
          <w:snapToGrid w:val="0"/>
          <w:color w:val="000000"/>
          <w:highlight w:val="black"/>
        </w:rPr>
        <w:t>''''''''''''</w:t>
      </w:r>
      <w:r w:rsidR="00402C0C" w:rsidRPr="00121962">
        <w:rPr>
          <w:rFonts w:asciiTheme="minorHAnsi" w:hAnsiTheme="minorHAnsi"/>
          <w:snapToGrid w:val="0"/>
        </w:rPr>
        <w:t>, as discussed further below.</w:t>
      </w:r>
    </w:p>
    <w:p w14:paraId="3DAE0817" w14:textId="77777777" w:rsidR="000C6383" w:rsidRPr="00121962" w:rsidRDefault="000D38CA" w:rsidP="000C6383">
      <w:pPr>
        <w:pStyle w:val="ExecSumBodyText"/>
      </w:pPr>
      <w:r w:rsidRPr="00121962">
        <w:t xml:space="preserve">The submission presented a cost-utility analysis of dapagliflozin plus SOC versus SOC alone. The PBAC </w:t>
      </w:r>
      <w:r w:rsidR="00B26391" w:rsidRPr="00121962">
        <w:t>noted that the</w:t>
      </w:r>
      <w:r w:rsidRPr="00121962">
        <w:t xml:space="preserve"> simple model structure</w:t>
      </w:r>
      <w:r w:rsidR="00B26391" w:rsidRPr="00121962">
        <w:t xml:space="preserve"> </w:t>
      </w:r>
      <w:r w:rsidRPr="00121962">
        <w:t>combined different CKD stages in</w:t>
      </w:r>
      <w:r w:rsidR="004B5F68" w:rsidRPr="00121962">
        <w:t>to</w:t>
      </w:r>
      <w:r w:rsidRPr="00121962">
        <w:t xml:space="preserve"> a single CKD health state and did not allow for transitions through CKD stages or between treatment modalities in ESKD</w:t>
      </w:r>
      <w:r w:rsidR="00B26391" w:rsidRPr="00121962">
        <w:t xml:space="preserve">. It agreed with the ESC that the model structure </w:t>
      </w:r>
      <w:r w:rsidRPr="00121962">
        <w:t>was poorly justified, and overly simple</w:t>
      </w:r>
      <w:r w:rsidR="00B26391" w:rsidRPr="00121962">
        <w:t xml:space="preserve">. It also considered that the model had a number of other issues with respect to its time horizon, application of treatment persistence, and ESKD transitions, survival and costs (see </w:t>
      </w:r>
      <w:r w:rsidR="00E51973" w:rsidRPr="00121962">
        <w:t xml:space="preserve">Table </w:t>
      </w:r>
      <w:r w:rsidR="00E51973">
        <w:rPr>
          <w:noProof/>
        </w:rPr>
        <w:t>10</w:t>
      </w:r>
      <w:r w:rsidR="00B26391" w:rsidRPr="00121962">
        <w:t xml:space="preserve"> </w:t>
      </w:r>
      <w:r w:rsidR="009B37BD" w:rsidRPr="00121962">
        <w:t xml:space="preserve">and </w:t>
      </w:r>
      <w:r w:rsidR="009B37BD" w:rsidRPr="00121962">
        <w:rPr>
          <w:rFonts w:cstheme="minorHAnsi"/>
        </w:rPr>
        <w:t xml:space="preserve">paragraph </w:t>
      </w:r>
      <w:r w:rsidR="00E51973">
        <w:rPr>
          <w:rFonts w:eastAsiaTheme="majorEastAsia" w:cstheme="minorHAnsi"/>
          <w:bCs/>
          <w:iCs/>
        </w:rPr>
        <w:t>6.52</w:t>
      </w:r>
      <w:r w:rsidR="009B37BD" w:rsidRPr="00121962">
        <w:rPr>
          <w:rFonts w:ascii="Arial Narrow" w:eastAsiaTheme="majorEastAsia" w:hAnsi="Arial Narrow" w:cstheme="majorBidi"/>
          <w:bCs/>
          <w:iCs/>
          <w:szCs w:val="32"/>
        </w:rPr>
        <w:t xml:space="preserve"> </w:t>
      </w:r>
      <w:r w:rsidR="00B26391" w:rsidRPr="00121962">
        <w:t xml:space="preserve">for details). The </w:t>
      </w:r>
      <w:r w:rsidR="000C6383" w:rsidRPr="00121962">
        <w:t xml:space="preserve">PBAC acknowledged the various sensitivity analyses put forward in the pre-PBAC response, and noted </w:t>
      </w:r>
      <w:r w:rsidR="009B37BD" w:rsidRPr="00121962">
        <w:t>minimal</w:t>
      </w:r>
      <w:r w:rsidR="000C6383" w:rsidRPr="00121962">
        <w:t xml:space="preserve"> variation from the base case analysis, but considered that this did not overcome the fundamental issues with the model structure and reduced confidence in the resulting ICERs. The PBAC noted </w:t>
      </w:r>
      <w:r w:rsidR="009B37BD" w:rsidRPr="00121962">
        <w:t xml:space="preserve">that in </w:t>
      </w:r>
      <w:r w:rsidR="000C6383" w:rsidRPr="00121962">
        <w:t>the revised base case presented in the pre-PBAC response</w:t>
      </w:r>
      <w:r w:rsidR="009B37BD" w:rsidRPr="00121962">
        <w:t xml:space="preserve">, incorporating the price reduction to </w:t>
      </w:r>
      <w:r w:rsidR="0034435E">
        <w:rPr>
          <w:noProof/>
          <w:color w:val="000000"/>
          <w:highlight w:val="black"/>
        </w:rPr>
        <w:t>'''''''''''''</w:t>
      </w:r>
      <w:r w:rsidR="009B37BD" w:rsidRPr="00121962">
        <w:t xml:space="preserve"> the </w:t>
      </w:r>
      <w:r w:rsidR="002F0C5E">
        <w:rPr>
          <w:noProof/>
          <w:color w:val="000000"/>
          <w:highlight w:val="black"/>
        </w:rPr>
        <w:t>'''''''''''''' ''''''''''''</w:t>
      </w:r>
      <w:r w:rsidR="009B37BD" w:rsidRPr="00121962">
        <w:t xml:space="preserve"> price </w:t>
      </w:r>
      <w:r w:rsidR="00BE4210">
        <w:t xml:space="preserve">and various other adjustments, </w:t>
      </w:r>
      <w:r w:rsidR="009B37BD" w:rsidRPr="00121962">
        <w:t>dapagliflozin remained dominant</w:t>
      </w:r>
      <w:r w:rsidR="000C6383" w:rsidRPr="00121962">
        <w:t xml:space="preserve"> (</w:t>
      </w:r>
      <w:r w:rsidR="009B37BD" w:rsidRPr="00121962">
        <w:t xml:space="preserve">see </w:t>
      </w:r>
      <w:r w:rsidR="00E51973" w:rsidRPr="00121962">
        <w:t xml:space="preserve">Table </w:t>
      </w:r>
      <w:r w:rsidR="00E51973">
        <w:rPr>
          <w:noProof/>
        </w:rPr>
        <w:t>14</w:t>
      </w:r>
      <w:r w:rsidR="000C6383" w:rsidRPr="00121962">
        <w:t>). The PBAC remained concerned that the model structure was not robust, however, at the reduced price the Committee was confident that the ICER would be in an acceptable range, comparable to other treatments for chronic conditions. Overall, the PBAC considered a CKD listing would be cost</w:t>
      </w:r>
      <w:r w:rsidR="007E5E38" w:rsidRPr="00121962">
        <w:t xml:space="preserve"> </w:t>
      </w:r>
      <w:r w:rsidR="000C6383" w:rsidRPr="00121962">
        <w:t xml:space="preserve">effective at the </w:t>
      </w:r>
      <w:r w:rsidR="002F0C5E">
        <w:rPr>
          <w:noProof/>
          <w:color w:val="000000"/>
          <w:highlight w:val="black"/>
        </w:rPr>
        <w:t>'''''''''''</w:t>
      </w:r>
      <w:r w:rsidR="000C6383" w:rsidRPr="00121962">
        <w:t xml:space="preserve"> price. </w:t>
      </w:r>
    </w:p>
    <w:p w14:paraId="58792582" w14:textId="77777777" w:rsidR="001A3C8B" w:rsidRPr="00121962" w:rsidRDefault="001A3C8B" w:rsidP="007C0141">
      <w:pPr>
        <w:pStyle w:val="ExecSumBodyText"/>
      </w:pPr>
      <w:r w:rsidRPr="00121962">
        <w:t xml:space="preserve">In terms of the financial implications, the PBAC agreed with the evaluation </w:t>
      </w:r>
      <w:r w:rsidR="009618AA" w:rsidRPr="00121962">
        <w:t xml:space="preserve">that </w:t>
      </w:r>
      <w:r w:rsidR="0051294F" w:rsidRPr="00121962">
        <w:t>several</w:t>
      </w:r>
      <w:r w:rsidR="009618AA" w:rsidRPr="00121962">
        <w:t xml:space="preserve"> uncertainties existed</w:t>
      </w:r>
      <w:r w:rsidR="0051294F" w:rsidRPr="00121962">
        <w:t xml:space="preserve"> including the estimation of the eligible population, the estimation of the overlapping populations with T2DM and H</w:t>
      </w:r>
      <w:r w:rsidR="00F64E03" w:rsidRPr="00121962">
        <w:t>F</w:t>
      </w:r>
      <w:r w:rsidR="0051294F" w:rsidRPr="00121962">
        <w:t xml:space="preserve">rEF, and the estimated net savings to government health budgets from ESKD </w:t>
      </w:r>
      <w:r w:rsidR="006913D1">
        <w:t>delayed</w:t>
      </w:r>
      <w:r w:rsidR="006913D1" w:rsidRPr="00121962">
        <w:t xml:space="preserve"> </w:t>
      </w:r>
      <w:r w:rsidR="0051294F" w:rsidRPr="00121962">
        <w:t xml:space="preserve">(paragraph </w:t>
      </w:r>
      <w:r w:rsidR="00E51973">
        <w:t>6.68</w:t>
      </w:r>
      <w:r w:rsidR="0051294F" w:rsidRPr="00121962">
        <w:t>). It also agreed with the DUSC that the diagnosis rate, uptake rate and duration of treatment were likely underestimated</w:t>
      </w:r>
      <w:r w:rsidR="007C0141" w:rsidRPr="00121962">
        <w:t xml:space="preserve">, and considered that the adjustments made with respect to these </w:t>
      </w:r>
      <w:r w:rsidR="00F64E03" w:rsidRPr="00121962">
        <w:t xml:space="preserve">inputs </w:t>
      </w:r>
      <w:r w:rsidR="007C0141" w:rsidRPr="00121962">
        <w:t xml:space="preserve">in the pre-PBAC response </w:t>
      </w:r>
      <w:r w:rsidR="003B2A5D" w:rsidRPr="00121962">
        <w:t>were appropriate</w:t>
      </w:r>
      <w:r w:rsidR="007C0141" w:rsidRPr="00121962">
        <w:t>.</w:t>
      </w:r>
      <w:r w:rsidR="0051294F" w:rsidRPr="00121962">
        <w:t xml:space="preserve"> The PBAC considered that treatment duration would in part be determined </w:t>
      </w:r>
      <w:r w:rsidR="00E20667">
        <w:t xml:space="preserve">by </w:t>
      </w:r>
      <w:r w:rsidR="00730258">
        <w:t>a requirement in the restriction to cease treatment on commencement of renal replacement therapy</w:t>
      </w:r>
      <w:r w:rsidR="0051294F" w:rsidRPr="00121962">
        <w:t xml:space="preserve">, and </w:t>
      </w:r>
      <w:r w:rsidR="007C0141" w:rsidRPr="00121962">
        <w:t>noted</w:t>
      </w:r>
      <w:r w:rsidR="0051294F" w:rsidRPr="00121962">
        <w:t xml:space="preserve"> </w:t>
      </w:r>
      <w:r w:rsidR="007C0141" w:rsidRPr="00121962">
        <w:t xml:space="preserve">that </w:t>
      </w:r>
      <w:r w:rsidR="0051294F" w:rsidRPr="00121962">
        <w:t>although the pre-PBAC response had provided an appropriate scenario analysis, it was unclear how the proportion of discontinuing patients were derived</w:t>
      </w:r>
      <w:r w:rsidR="00DE43F9">
        <w:t>, and this would need to be clarified in revised estimates obtained from the sponsor</w:t>
      </w:r>
      <w:r w:rsidR="0051294F" w:rsidRPr="00121962">
        <w:t>.</w:t>
      </w:r>
    </w:p>
    <w:p w14:paraId="3AA0CD2F" w14:textId="77777777" w:rsidR="00D92488" w:rsidRPr="00121962" w:rsidRDefault="0089738D" w:rsidP="00172119">
      <w:pPr>
        <w:pStyle w:val="ExecSumBodyText"/>
      </w:pPr>
      <w:r w:rsidRPr="00121962">
        <w:t xml:space="preserve">Although the price reduction and other adjustments in the pre-PBAC response reduced the overall estimated R/PBS impact to </w:t>
      </w:r>
      <w:r w:rsidR="00172119" w:rsidRPr="00172119">
        <w:t>$700 million to &lt; $800 million</w:t>
      </w:r>
      <w:r w:rsidR="00172119">
        <w:t xml:space="preserve"> </w:t>
      </w:r>
      <w:r w:rsidRPr="00121962">
        <w:t xml:space="preserve">over six years, the PBAC considered that the eligible population had been vastly overestimated. Specifically, the PBAC considered that the use of CKD stage 2-3b disease in the NHMS as a proxy for the PBS clinical criteria (i.e. eGFR ≥25 and ≤75 </w:t>
      </w:r>
      <w:bookmarkStart w:id="68" w:name="_Hlk79389189"/>
      <w:r w:rsidRPr="00121962">
        <w:t>mL/min/1.73 m</w:t>
      </w:r>
      <w:r w:rsidRPr="00121962">
        <w:rPr>
          <w:vertAlign w:val="superscript"/>
        </w:rPr>
        <w:t>2</w:t>
      </w:r>
      <w:bookmarkEnd w:id="68"/>
      <w:r w:rsidRPr="00121962">
        <w:t>; and UACR ≥200 and ≤5000 mg/g) had included a likely substantial number of patients who would not be eligible for PBS subsidy in terms of albuminuria</w:t>
      </w:r>
      <w:r w:rsidR="00F967A6">
        <w:t xml:space="preserve">. </w:t>
      </w:r>
      <w:r w:rsidR="00F23025" w:rsidRPr="00121962">
        <w:t xml:space="preserve">The eligible population would be closer to 0.9% than 5.8% of </w:t>
      </w:r>
      <w:r w:rsidR="00E20667">
        <w:t>un</w:t>
      </w:r>
      <w:r w:rsidR="00F23025" w:rsidRPr="00121962">
        <w:t>diagnosed CKD</w:t>
      </w:r>
      <w:r w:rsidR="00E20667">
        <w:t>, that is closer to 9% than 58% of diagnosed</w:t>
      </w:r>
      <w:r w:rsidR="007B735D" w:rsidRPr="00121962">
        <w:t xml:space="preserve"> </w:t>
      </w:r>
      <w:r w:rsidR="00F23025" w:rsidRPr="00121962">
        <w:t xml:space="preserve">(see paragraph </w:t>
      </w:r>
      <w:r w:rsidR="00E51973">
        <w:t>6.68</w:t>
      </w:r>
      <w:r w:rsidR="00F23025" w:rsidRPr="00121962">
        <w:t xml:space="preserve">). </w:t>
      </w:r>
      <w:r w:rsidR="007B735D" w:rsidRPr="00121962">
        <w:t xml:space="preserve">In addition, the NHMS may </w:t>
      </w:r>
      <w:r w:rsidR="00CB581B" w:rsidRPr="00121962">
        <w:t xml:space="preserve">have included patients with transient disease, and </w:t>
      </w:r>
      <w:r w:rsidR="00AE4670" w:rsidRPr="00121962">
        <w:t>would have also counted other patients</w:t>
      </w:r>
      <w:r w:rsidR="00CB581B" w:rsidRPr="00121962">
        <w:t xml:space="preserve"> the PBAC recommended be excluded from the restriction (</w:t>
      </w:r>
      <w:r w:rsidR="00822327" w:rsidRPr="00121962">
        <w:t>those noted in</w:t>
      </w:r>
      <w:r w:rsidR="00CB581B" w:rsidRPr="00121962">
        <w:t xml:space="preserve"> paragraph </w:t>
      </w:r>
      <w:r w:rsidR="00E51973">
        <w:t>7.3</w:t>
      </w:r>
      <w:r w:rsidR="00CB581B" w:rsidRPr="00121962">
        <w:t>)</w:t>
      </w:r>
      <w:r w:rsidR="00134C2F">
        <w:t>, who would need to be excluded from revised estimates</w:t>
      </w:r>
      <w:r w:rsidR="00CB581B" w:rsidRPr="00121962">
        <w:t>.</w:t>
      </w:r>
      <w:r w:rsidR="00A80C1A" w:rsidRPr="00121962">
        <w:t xml:space="preserve"> </w:t>
      </w:r>
    </w:p>
    <w:p w14:paraId="45EC5F90" w14:textId="77777777" w:rsidR="00347601" w:rsidRPr="00121962" w:rsidRDefault="00A80C1A" w:rsidP="00947FF8">
      <w:pPr>
        <w:pStyle w:val="ExecSumBodyText"/>
      </w:pPr>
      <w:r w:rsidRPr="00121962">
        <w:t xml:space="preserve">In terms of the overlapping population with </w:t>
      </w:r>
      <w:r w:rsidR="00985AC6" w:rsidRPr="00121962">
        <w:t xml:space="preserve">T2DM, the PBAC noted that </w:t>
      </w:r>
      <w:r w:rsidR="00947FF8" w:rsidRPr="00121962">
        <w:t>based on assumptions around</w:t>
      </w:r>
      <w:r w:rsidR="00985AC6" w:rsidRPr="00121962">
        <w:t xml:space="preserve"> Figure 5.1.1 of the submission</w:t>
      </w:r>
      <w:r w:rsidR="003B2A5D" w:rsidRPr="00121962">
        <w:t xml:space="preserve"> (</w:t>
      </w:r>
      <w:r w:rsidR="00985AC6" w:rsidRPr="00121962">
        <w:t>a figure adapted from AIHW 2014 concerning the overlap between CVD, CKD, and T2DM</w:t>
      </w:r>
      <w:r w:rsidR="003B2A5D" w:rsidRPr="00121962">
        <w:t>)</w:t>
      </w:r>
      <w:r w:rsidR="00985AC6" w:rsidRPr="00121962">
        <w:t xml:space="preserve"> </w:t>
      </w:r>
      <w:r w:rsidR="00947FF8" w:rsidRPr="00121962">
        <w:t>the proportion of CKD patients not eligible under the T2DM restriction could be as low as 8</w:t>
      </w:r>
      <w:r w:rsidR="001219FC">
        <w:t>3</w:t>
      </w:r>
      <w:r w:rsidR="00947FF8" w:rsidRPr="00121962">
        <w:t>.2%</w:t>
      </w:r>
      <w:r w:rsidR="006913D1">
        <w:t xml:space="preserve"> (see paragraph </w:t>
      </w:r>
      <w:r w:rsidR="00E51973">
        <w:t>6.61</w:t>
      </w:r>
      <w:r w:rsidR="006913D1">
        <w:t>)</w:t>
      </w:r>
      <w:r w:rsidR="00985AC6" w:rsidRPr="00121962">
        <w:t>.</w:t>
      </w:r>
      <w:r w:rsidR="00A807C1" w:rsidRPr="00121962">
        <w:t xml:space="preserve"> </w:t>
      </w:r>
      <w:r w:rsidR="00A331FC">
        <w:t xml:space="preserve">This compares to 93.4% used in the submission estimates. </w:t>
      </w:r>
      <w:r w:rsidR="00A807C1" w:rsidRPr="00121962">
        <w:t xml:space="preserve">In terms of the estimated savings, the PBAC agreed with the DUSC that savings associated with ESKD would be delayed but not avoided, and also noted that the impact for the Australian Government </w:t>
      </w:r>
      <w:r w:rsidR="00060264">
        <w:t xml:space="preserve">would need the impact for </w:t>
      </w:r>
      <w:r w:rsidR="00A807C1" w:rsidRPr="00121962">
        <w:t xml:space="preserve">State/Territory Governments </w:t>
      </w:r>
      <w:r w:rsidR="00060264">
        <w:t>removed from the financial estimates</w:t>
      </w:r>
      <w:r w:rsidR="00121962">
        <w:t xml:space="preserve">. </w:t>
      </w:r>
      <w:r w:rsidRPr="00121962">
        <w:t xml:space="preserve">Overall, the PBAC considered that the financial impact was </w:t>
      </w:r>
      <w:r w:rsidR="00947FF8" w:rsidRPr="00121962">
        <w:t>overestimated</w:t>
      </w:r>
      <w:r w:rsidR="00C344E9">
        <w:t>, but would remain high even once the eligible population was greatly reduced as per PBAC advice</w:t>
      </w:r>
      <w:r w:rsidR="003B2A5D" w:rsidRPr="00121962">
        <w:t>.</w:t>
      </w:r>
      <w:r w:rsidR="00A807C1" w:rsidRPr="00121962">
        <w:t xml:space="preserve"> </w:t>
      </w:r>
    </w:p>
    <w:p w14:paraId="181AE8D6" w14:textId="77777777" w:rsidR="005005EC" w:rsidRPr="00121962" w:rsidRDefault="00947FF8" w:rsidP="00715D5C">
      <w:pPr>
        <w:pStyle w:val="ExecSumBodyText"/>
      </w:pPr>
      <w:r w:rsidRPr="00121962">
        <w:t xml:space="preserve">In addition, the PBAC recalled the DUSC’s advice for </w:t>
      </w:r>
      <w:r w:rsidR="005005EC" w:rsidRPr="00121962">
        <w:t>the previous HFrEF submission</w:t>
      </w:r>
      <w:r w:rsidRPr="00121962">
        <w:t xml:space="preserve"> that that the risk of leakage is likely to be high as dapagliflozin is already well-known to prescribers and that there may also be an increase in patients utilising the diabetes restriction due to the positive outcomes for other diseases (paragraph 6.60, dapagliflozin </w:t>
      </w:r>
      <w:r w:rsidR="00715D5C" w:rsidRPr="00715D5C">
        <w:t>Public Summary Document</w:t>
      </w:r>
      <w:r w:rsidRPr="00121962">
        <w:t>, November 2020 PBAC meeting).</w:t>
      </w:r>
      <w:r w:rsidR="005005EC" w:rsidRPr="00121962">
        <w:t xml:space="preserve"> The PBAC considered that this risk applied also to the CKD listing. Importantly, the PBAC </w:t>
      </w:r>
      <w:r w:rsidR="003B2A5D" w:rsidRPr="00121962">
        <w:t>also considered</w:t>
      </w:r>
      <w:r w:rsidR="005005EC" w:rsidRPr="00121962">
        <w:t xml:space="preserve"> that the price reduction </w:t>
      </w:r>
      <w:r w:rsidR="003B2A5D" w:rsidRPr="00121962">
        <w:t xml:space="preserve">did not </w:t>
      </w:r>
      <w:r w:rsidR="005005EC" w:rsidRPr="00121962">
        <w:t xml:space="preserve">remove the </w:t>
      </w:r>
      <w:r w:rsidR="003B2A5D" w:rsidRPr="00121962">
        <w:t xml:space="preserve">overall </w:t>
      </w:r>
      <w:r w:rsidR="005005EC" w:rsidRPr="00121962">
        <w:t xml:space="preserve">uncertainties with the estimates, and it recommended that an RSA would be needed to manage the risk of </w:t>
      </w:r>
      <w:r w:rsidR="00A807C1" w:rsidRPr="00121962">
        <w:t>an uncertain patient population</w:t>
      </w:r>
      <w:r w:rsidR="005005EC" w:rsidRPr="00121962">
        <w:t>. Finally, the PBAC considered that financial estimates for the dapagliflozin market across T2DM, HFrEF and CKD were needed to inform its deliberations about how best to ensure that PBS subsidy be limited to only those patients in whom it had determined its use would be cost effective.</w:t>
      </w:r>
    </w:p>
    <w:p w14:paraId="5B632532" w14:textId="77777777" w:rsidR="00544EA9" w:rsidRPr="00121962" w:rsidRDefault="00544EA9" w:rsidP="00544EA9">
      <w:pPr>
        <w:spacing w:before="240"/>
        <w:rPr>
          <w:rFonts w:asciiTheme="minorHAnsi" w:hAnsiTheme="minorHAnsi"/>
          <w:b/>
          <w:bCs/>
          <w:snapToGrid w:val="0"/>
        </w:rPr>
      </w:pPr>
      <w:r w:rsidRPr="00121962">
        <w:rPr>
          <w:rFonts w:asciiTheme="minorHAnsi" w:hAnsiTheme="minorHAnsi"/>
          <w:b/>
          <w:bCs/>
          <w:snapToGrid w:val="0"/>
        </w:rPr>
        <w:t>Outcome:</w:t>
      </w:r>
    </w:p>
    <w:p w14:paraId="0596C5A3" w14:textId="77777777" w:rsidR="00544EA9" w:rsidRPr="00121962" w:rsidRDefault="00544EA9" w:rsidP="00544EA9">
      <w:pPr>
        <w:rPr>
          <w:rFonts w:asciiTheme="minorHAnsi" w:hAnsiTheme="minorHAnsi"/>
          <w:bCs/>
          <w:snapToGrid w:val="0"/>
        </w:rPr>
      </w:pPr>
      <w:r w:rsidRPr="00121962">
        <w:rPr>
          <w:rFonts w:asciiTheme="minorHAnsi" w:hAnsiTheme="minorHAnsi"/>
          <w:bCs/>
          <w:snapToGrid w:val="0"/>
        </w:rPr>
        <w:t>Deferred</w:t>
      </w:r>
    </w:p>
    <w:bookmarkEnd w:id="57"/>
    <w:bookmarkEnd w:id="58"/>
    <w:bookmarkEnd w:id="59"/>
    <w:bookmarkEnd w:id="60"/>
    <w:bookmarkEnd w:id="61"/>
    <w:p w14:paraId="0428A2DC" w14:textId="77777777" w:rsidR="00544EA9" w:rsidRDefault="00544EA9" w:rsidP="00544EA9">
      <w:pPr>
        <w:widowControl w:val="0"/>
        <w:rPr>
          <w:rFonts w:asciiTheme="minorHAnsi" w:hAnsiTheme="minorHAnsi"/>
          <w:b/>
          <w:bCs/>
          <w:snapToGrid w:val="0"/>
        </w:rPr>
      </w:pPr>
    </w:p>
    <w:p w14:paraId="25FC7E95" w14:textId="77777777" w:rsidR="00186851" w:rsidRDefault="00186851" w:rsidP="00544EA9">
      <w:pPr>
        <w:widowControl w:val="0"/>
        <w:rPr>
          <w:rFonts w:asciiTheme="minorHAnsi" w:hAnsiTheme="minorHAnsi"/>
          <w:b/>
          <w:bCs/>
          <w:snapToGrid w:val="0"/>
        </w:rPr>
      </w:pPr>
    </w:p>
    <w:p w14:paraId="6290D77E" w14:textId="77777777" w:rsidR="00186851" w:rsidRDefault="00186851" w:rsidP="00544EA9">
      <w:pPr>
        <w:widowControl w:val="0"/>
        <w:rPr>
          <w:rFonts w:asciiTheme="minorHAnsi" w:hAnsiTheme="minorHAnsi"/>
          <w:b/>
          <w:bCs/>
          <w:snapToGrid w:val="0"/>
        </w:rPr>
      </w:pPr>
    </w:p>
    <w:p w14:paraId="69A7F3E8" w14:textId="77777777" w:rsidR="00186851" w:rsidRDefault="00186851" w:rsidP="00544EA9">
      <w:pPr>
        <w:widowControl w:val="0"/>
        <w:rPr>
          <w:rFonts w:asciiTheme="minorHAnsi" w:hAnsiTheme="minorHAnsi"/>
          <w:b/>
          <w:bCs/>
          <w:snapToGrid w:val="0"/>
        </w:rPr>
      </w:pPr>
    </w:p>
    <w:p w14:paraId="6B450423" w14:textId="77777777" w:rsidR="00186851" w:rsidRDefault="00186851" w:rsidP="00544EA9">
      <w:pPr>
        <w:widowControl w:val="0"/>
        <w:rPr>
          <w:rFonts w:asciiTheme="minorHAnsi" w:hAnsiTheme="minorHAnsi"/>
          <w:b/>
          <w:bCs/>
          <w:snapToGrid w:val="0"/>
        </w:rPr>
      </w:pPr>
    </w:p>
    <w:p w14:paraId="51BCB264" w14:textId="77777777" w:rsidR="00186851" w:rsidRDefault="00186851" w:rsidP="00544EA9">
      <w:pPr>
        <w:widowControl w:val="0"/>
        <w:rPr>
          <w:rFonts w:asciiTheme="minorHAnsi" w:hAnsiTheme="minorHAnsi"/>
          <w:b/>
          <w:bCs/>
          <w:snapToGrid w:val="0"/>
        </w:rPr>
      </w:pPr>
    </w:p>
    <w:p w14:paraId="4F1493F3" w14:textId="77777777" w:rsidR="00186851" w:rsidRDefault="00186851" w:rsidP="00544EA9">
      <w:pPr>
        <w:widowControl w:val="0"/>
        <w:rPr>
          <w:rFonts w:asciiTheme="minorHAnsi" w:hAnsiTheme="minorHAnsi"/>
          <w:b/>
          <w:bCs/>
          <w:snapToGrid w:val="0"/>
        </w:rPr>
      </w:pPr>
    </w:p>
    <w:p w14:paraId="637CA126" w14:textId="77777777" w:rsidR="00186851" w:rsidRDefault="00186851" w:rsidP="00544EA9">
      <w:pPr>
        <w:widowControl w:val="0"/>
        <w:rPr>
          <w:rFonts w:asciiTheme="minorHAnsi" w:hAnsiTheme="minorHAnsi"/>
          <w:b/>
          <w:bCs/>
          <w:snapToGrid w:val="0"/>
        </w:rPr>
      </w:pPr>
    </w:p>
    <w:p w14:paraId="3F3F20C5" w14:textId="77777777" w:rsidR="00186851" w:rsidRDefault="00186851" w:rsidP="00544EA9">
      <w:pPr>
        <w:widowControl w:val="0"/>
        <w:rPr>
          <w:rFonts w:asciiTheme="minorHAnsi" w:hAnsiTheme="minorHAnsi"/>
          <w:b/>
          <w:bCs/>
          <w:snapToGrid w:val="0"/>
        </w:rPr>
      </w:pPr>
    </w:p>
    <w:p w14:paraId="73D909F8" w14:textId="77777777" w:rsidR="00186851" w:rsidRDefault="00186851" w:rsidP="00544EA9">
      <w:pPr>
        <w:widowControl w:val="0"/>
        <w:rPr>
          <w:rFonts w:asciiTheme="minorHAnsi" w:hAnsiTheme="minorHAnsi"/>
          <w:b/>
          <w:bCs/>
          <w:snapToGrid w:val="0"/>
        </w:rPr>
      </w:pPr>
    </w:p>
    <w:p w14:paraId="68605837" w14:textId="77777777" w:rsidR="00186851" w:rsidRDefault="00186851" w:rsidP="00544EA9">
      <w:pPr>
        <w:widowControl w:val="0"/>
        <w:rPr>
          <w:rFonts w:asciiTheme="minorHAnsi" w:hAnsiTheme="minorHAnsi"/>
          <w:b/>
          <w:bCs/>
          <w:snapToGrid w:val="0"/>
        </w:rPr>
      </w:pPr>
    </w:p>
    <w:p w14:paraId="53253030" w14:textId="77777777" w:rsidR="00186851" w:rsidRDefault="00186851" w:rsidP="00544EA9">
      <w:pPr>
        <w:widowControl w:val="0"/>
        <w:rPr>
          <w:rFonts w:asciiTheme="minorHAnsi" w:hAnsiTheme="minorHAnsi"/>
          <w:b/>
          <w:bCs/>
          <w:snapToGrid w:val="0"/>
        </w:rPr>
      </w:pPr>
    </w:p>
    <w:p w14:paraId="54B68517" w14:textId="77777777" w:rsidR="00186851" w:rsidRDefault="00186851" w:rsidP="00544EA9">
      <w:pPr>
        <w:widowControl w:val="0"/>
        <w:rPr>
          <w:rFonts w:asciiTheme="minorHAnsi" w:hAnsiTheme="minorHAnsi"/>
          <w:b/>
          <w:bCs/>
          <w:snapToGrid w:val="0"/>
        </w:rPr>
      </w:pPr>
    </w:p>
    <w:p w14:paraId="791CB385" w14:textId="77777777" w:rsidR="00186851" w:rsidRDefault="00186851" w:rsidP="00544EA9">
      <w:pPr>
        <w:widowControl w:val="0"/>
        <w:rPr>
          <w:rFonts w:asciiTheme="minorHAnsi" w:hAnsiTheme="minorHAnsi"/>
          <w:b/>
          <w:bCs/>
          <w:snapToGrid w:val="0"/>
        </w:rPr>
      </w:pPr>
    </w:p>
    <w:p w14:paraId="5D1FF24C" w14:textId="77777777" w:rsidR="00186851" w:rsidRDefault="00186851" w:rsidP="00544EA9">
      <w:pPr>
        <w:widowControl w:val="0"/>
        <w:rPr>
          <w:rFonts w:asciiTheme="minorHAnsi" w:hAnsiTheme="minorHAnsi"/>
          <w:b/>
          <w:bCs/>
          <w:snapToGrid w:val="0"/>
        </w:rPr>
      </w:pPr>
    </w:p>
    <w:p w14:paraId="2D9F268D" w14:textId="77777777" w:rsidR="00186851" w:rsidRDefault="00186851" w:rsidP="00544EA9">
      <w:pPr>
        <w:widowControl w:val="0"/>
        <w:rPr>
          <w:rFonts w:asciiTheme="minorHAnsi" w:hAnsiTheme="minorHAnsi"/>
          <w:b/>
          <w:bCs/>
          <w:snapToGrid w:val="0"/>
        </w:rPr>
      </w:pPr>
    </w:p>
    <w:p w14:paraId="4D96BA00" w14:textId="77777777" w:rsidR="00186851" w:rsidRDefault="00186851" w:rsidP="00544EA9">
      <w:pPr>
        <w:widowControl w:val="0"/>
        <w:rPr>
          <w:rFonts w:asciiTheme="minorHAnsi" w:hAnsiTheme="minorHAnsi"/>
          <w:b/>
          <w:bCs/>
          <w:snapToGrid w:val="0"/>
        </w:rPr>
      </w:pPr>
    </w:p>
    <w:p w14:paraId="2A6A767B" w14:textId="77777777" w:rsidR="00186851" w:rsidRDefault="00186851" w:rsidP="00544EA9">
      <w:pPr>
        <w:widowControl w:val="0"/>
        <w:rPr>
          <w:rFonts w:asciiTheme="minorHAnsi" w:hAnsiTheme="minorHAnsi"/>
          <w:b/>
          <w:bCs/>
          <w:snapToGrid w:val="0"/>
        </w:rPr>
      </w:pPr>
    </w:p>
    <w:p w14:paraId="5150166A" w14:textId="77777777" w:rsidR="00186851" w:rsidRDefault="00186851" w:rsidP="00544EA9">
      <w:pPr>
        <w:widowControl w:val="0"/>
        <w:rPr>
          <w:rFonts w:asciiTheme="minorHAnsi" w:hAnsiTheme="minorHAnsi"/>
          <w:b/>
          <w:bCs/>
          <w:snapToGrid w:val="0"/>
        </w:rPr>
      </w:pPr>
    </w:p>
    <w:p w14:paraId="0878B029" w14:textId="77777777" w:rsidR="00186851" w:rsidRDefault="00186851" w:rsidP="00544EA9">
      <w:pPr>
        <w:widowControl w:val="0"/>
        <w:rPr>
          <w:rFonts w:asciiTheme="minorHAnsi" w:hAnsiTheme="minorHAnsi"/>
          <w:b/>
          <w:bCs/>
          <w:snapToGrid w:val="0"/>
        </w:rPr>
      </w:pPr>
    </w:p>
    <w:p w14:paraId="190ACB98" w14:textId="77777777" w:rsidR="00186851" w:rsidRDefault="00186851" w:rsidP="00544EA9">
      <w:pPr>
        <w:widowControl w:val="0"/>
        <w:rPr>
          <w:rFonts w:asciiTheme="minorHAnsi" w:hAnsiTheme="minorHAnsi"/>
          <w:b/>
          <w:bCs/>
          <w:snapToGrid w:val="0"/>
        </w:rPr>
      </w:pPr>
    </w:p>
    <w:p w14:paraId="4E31509F" w14:textId="77777777" w:rsidR="00186851" w:rsidRDefault="00186851" w:rsidP="00544EA9">
      <w:pPr>
        <w:widowControl w:val="0"/>
        <w:rPr>
          <w:rFonts w:asciiTheme="minorHAnsi" w:hAnsiTheme="minorHAnsi"/>
          <w:b/>
          <w:bCs/>
          <w:snapToGrid w:val="0"/>
        </w:rPr>
      </w:pPr>
    </w:p>
    <w:p w14:paraId="54EECBC3" w14:textId="77777777" w:rsidR="00186851" w:rsidRDefault="00186851" w:rsidP="00544EA9">
      <w:pPr>
        <w:widowControl w:val="0"/>
        <w:rPr>
          <w:rFonts w:asciiTheme="minorHAnsi" w:hAnsiTheme="minorHAnsi"/>
          <w:b/>
          <w:bCs/>
          <w:snapToGrid w:val="0"/>
        </w:rPr>
      </w:pPr>
    </w:p>
    <w:p w14:paraId="680BD62C" w14:textId="77777777" w:rsidR="00186851" w:rsidRDefault="00186851" w:rsidP="00544EA9">
      <w:pPr>
        <w:widowControl w:val="0"/>
        <w:rPr>
          <w:rFonts w:asciiTheme="minorHAnsi" w:hAnsiTheme="minorHAnsi"/>
          <w:b/>
          <w:bCs/>
          <w:snapToGrid w:val="0"/>
        </w:rPr>
      </w:pPr>
    </w:p>
    <w:p w14:paraId="29244A20" w14:textId="77777777" w:rsidR="00186851" w:rsidRDefault="00186851" w:rsidP="00544EA9">
      <w:pPr>
        <w:widowControl w:val="0"/>
        <w:rPr>
          <w:rFonts w:asciiTheme="minorHAnsi" w:hAnsiTheme="minorHAnsi"/>
          <w:b/>
          <w:bCs/>
          <w:snapToGrid w:val="0"/>
        </w:rPr>
      </w:pPr>
    </w:p>
    <w:p w14:paraId="703C75EE" w14:textId="77777777" w:rsidR="00186851" w:rsidRDefault="00186851" w:rsidP="00544EA9">
      <w:pPr>
        <w:widowControl w:val="0"/>
        <w:rPr>
          <w:rFonts w:asciiTheme="minorHAnsi" w:hAnsiTheme="minorHAnsi"/>
          <w:b/>
          <w:bCs/>
          <w:snapToGrid w:val="0"/>
        </w:rPr>
      </w:pPr>
    </w:p>
    <w:p w14:paraId="5A85102A" w14:textId="77777777" w:rsidR="00186851" w:rsidRDefault="00186851" w:rsidP="00544EA9">
      <w:pPr>
        <w:widowControl w:val="0"/>
        <w:rPr>
          <w:rFonts w:asciiTheme="minorHAnsi" w:hAnsiTheme="minorHAnsi"/>
          <w:b/>
          <w:bCs/>
          <w:snapToGrid w:val="0"/>
        </w:rPr>
      </w:pPr>
    </w:p>
    <w:p w14:paraId="3DC9F9E5" w14:textId="77777777" w:rsidR="00186851" w:rsidRDefault="00186851" w:rsidP="00544EA9">
      <w:pPr>
        <w:widowControl w:val="0"/>
        <w:rPr>
          <w:rFonts w:asciiTheme="minorHAnsi" w:hAnsiTheme="minorHAnsi"/>
          <w:b/>
          <w:bCs/>
          <w:snapToGrid w:val="0"/>
        </w:rPr>
      </w:pPr>
    </w:p>
    <w:p w14:paraId="0884897B" w14:textId="77777777" w:rsidR="00186851" w:rsidRDefault="00186851" w:rsidP="00544EA9">
      <w:pPr>
        <w:widowControl w:val="0"/>
        <w:rPr>
          <w:rFonts w:asciiTheme="minorHAnsi" w:hAnsiTheme="minorHAnsi"/>
          <w:b/>
          <w:bCs/>
          <w:snapToGrid w:val="0"/>
        </w:rPr>
      </w:pPr>
    </w:p>
    <w:p w14:paraId="5F9AEB81" w14:textId="77777777" w:rsidR="00186851" w:rsidRDefault="00186851" w:rsidP="00544EA9">
      <w:pPr>
        <w:widowControl w:val="0"/>
        <w:rPr>
          <w:rFonts w:asciiTheme="minorHAnsi" w:hAnsiTheme="minorHAnsi"/>
          <w:b/>
          <w:bCs/>
          <w:snapToGrid w:val="0"/>
        </w:rPr>
      </w:pPr>
    </w:p>
    <w:p w14:paraId="55499A11" w14:textId="77777777" w:rsidR="00186851" w:rsidRDefault="00186851" w:rsidP="00544EA9">
      <w:pPr>
        <w:widowControl w:val="0"/>
        <w:rPr>
          <w:rFonts w:asciiTheme="minorHAnsi" w:hAnsiTheme="minorHAnsi"/>
          <w:b/>
          <w:bCs/>
          <w:snapToGrid w:val="0"/>
        </w:rPr>
      </w:pPr>
    </w:p>
    <w:p w14:paraId="03A84EBA" w14:textId="77777777" w:rsidR="00186851" w:rsidRPr="001F69C7" w:rsidRDefault="00186851" w:rsidP="001F69C7">
      <w:pPr>
        <w:pStyle w:val="GeneralHeading"/>
        <w:spacing w:before="360"/>
        <w:rPr>
          <w:rFonts w:cstheme="minorHAnsi"/>
          <w:b w:val="0"/>
          <w:szCs w:val="28"/>
        </w:rPr>
      </w:pPr>
      <w:r w:rsidRPr="00957087">
        <w:rPr>
          <w:color w:val="FF0000"/>
        </w:rPr>
        <w:t xml:space="preserve">Addendum to the July 2021 PBAC </w:t>
      </w:r>
      <w:r w:rsidR="00B93A18">
        <w:rPr>
          <w:color w:val="FF0000"/>
        </w:rPr>
        <w:t>PSD</w:t>
      </w:r>
      <w:r w:rsidRPr="00957087">
        <w:rPr>
          <w:color w:val="FF0000"/>
        </w:rPr>
        <w:t>:</w:t>
      </w:r>
    </w:p>
    <w:p w14:paraId="6AE0F329" w14:textId="77777777" w:rsidR="00186851" w:rsidRPr="00644691" w:rsidRDefault="00186851" w:rsidP="00186851">
      <w:pPr>
        <w:pStyle w:val="1-MainHeading"/>
      </w:pPr>
      <w:r>
        <w:t>4.02</w:t>
      </w:r>
      <w:r w:rsidRPr="00644691">
        <w:tab/>
        <w:t>DAPAGLIFLOZIN,</w:t>
      </w:r>
      <w:r w:rsidRPr="00644691">
        <w:br/>
        <w:t>Tablet 10 mg,</w:t>
      </w:r>
      <w:r w:rsidRPr="00644691">
        <w:br/>
        <w:t>Forxiga</w:t>
      </w:r>
      <w:r w:rsidRPr="00644691">
        <w:rPr>
          <w:rFonts w:cstheme="minorHAnsi"/>
        </w:rPr>
        <w:t>®</w:t>
      </w:r>
      <w:r w:rsidRPr="00644691">
        <w:t>,</w:t>
      </w:r>
      <w:r w:rsidRPr="00644691">
        <w:br/>
        <w:t>AstraZeneca Pty Ltd</w:t>
      </w:r>
    </w:p>
    <w:p w14:paraId="52DD5192" w14:textId="77777777" w:rsidR="00186851" w:rsidRDefault="00186851" w:rsidP="00186851">
      <w:pPr>
        <w:pStyle w:val="2-SectionHeading"/>
        <w:numPr>
          <w:ilvl w:val="0"/>
          <w:numId w:val="1"/>
        </w:numPr>
      </w:pPr>
      <w:r>
        <w:t>Background</w:t>
      </w:r>
    </w:p>
    <w:p w14:paraId="0F8F3A9D" w14:textId="77777777" w:rsidR="00186851" w:rsidRDefault="00186851" w:rsidP="00186851">
      <w:pPr>
        <w:pStyle w:val="ExecSumBodyText"/>
        <w:numPr>
          <w:ilvl w:val="1"/>
          <w:numId w:val="1"/>
        </w:numPr>
      </w:pPr>
      <w:r>
        <w:t xml:space="preserve">At its July 2021 meeting, the PBAC deferred its decision about the PBS listing of dapagliflozin </w:t>
      </w:r>
      <w:r w:rsidRPr="00BE06C8">
        <w:t>for the treatment of patients with</w:t>
      </w:r>
      <w:r>
        <w:t xml:space="preserve"> chronic kidney disease (CKD). The PBAC also deferred its decision with respect to a concurrent submission for dapagliflozin for heart failure with reduced ejection fraction (HFrEF). As noted in paragraph 7.1 above, the decision was deferred as the submission had estimated the overall net impact of the HFrEF and CKD listings, but had not provided estimates with respect to the existing T2DM indication. The PBAC had requested that the department obtain these estimates from the sponsor, as it “considered </w:t>
      </w:r>
      <w:r w:rsidRPr="006D5632">
        <w:t xml:space="preserve">that financial estimates for the dapagliflozin market across T2DM, HFrEF and CKD were </w:t>
      </w:r>
      <w:bookmarkStart w:id="69" w:name="_Hlk84514193"/>
      <w:r w:rsidRPr="006D5632">
        <w:t>needed to inform its deliberations about how best to ensure that PBS subsidy be limited to only those patients in whom it had determined its use would be cost effective</w:t>
      </w:r>
      <w:bookmarkEnd w:id="69"/>
      <w:r>
        <w:t>” (paragraph 7.12).</w:t>
      </w:r>
    </w:p>
    <w:p w14:paraId="04C85415" w14:textId="77777777" w:rsidR="00186851" w:rsidRDefault="00186851" w:rsidP="00186851">
      <w:pPr>
        <w:pStyle w:val="ExecSumBodyText"/>
        <w:numPr>
          <w:ilvl w:val="1"/>
          <w:numId w:val="1"/>
        </w:numPr>
      </w:pPr>
      <w:r>
        <w:t xml:space="preserve">The department obtained additional information from the sponsor in August 2021, which the PBAC considered at its September 2021 meeting. </w:t>
      </w:r>
    </w:p>
    <w:p w14:paraId="144E6234" w14:textId="77777777" w:rsidR="00186851" w:rsidRPr="007C48A2" w:rsidRDefault="00186851" w:rsidP="00186851">
      <w:pPr>
        <w:pStyle w:val="ExecSumBodyText"/>
        <w:numPr>
          <w:ilvl w:val="1"/>
          <w:numId w:val="1"/>
        </w:numPr>
      </w:pPr>
      <w:r>
        <w:t xml:space="preserve">For the CKD submission, the PBAC had previously considered that there were several uncertainties with respect to the estimation of the eligible population, the estimation of the overlapping populations with T2DM and HFrEF, and the estimated net savings to government health budgets from ESKD delayed (paragraph 7.9). Overall, the PBAC considered that the financial impact for CKD presented in the July 2021 submission was overestimated, but would remain high even </w:t>
      </w:r>
      <w:r w:rsidRPr="007C48A2">
        <w:t>once the eligible population was reduced as per PBAC advice</w:t>
      </w:r>
      <w:r>
        <w:t xml:space="preserve"> (paragraphs 7.10 and 7.11)</w:t>
      </w:r>
      <w:r w:rsidRPr="007C48A2">
        <w:t>.</w:t>
      </w:r>
    </w:p>
    <w:p w14:paraId="1E1A1DB0" w14:textId="77777777" w:rsidR="00186851" w:rsidRDefault="00186851" w:rsidP="00186851">
      <w:pPr>
        <w:pStyle w:val="2-SectionHeading"/>
        <w:numPr>
          <w:ilvl w:val="0"/>
          <w:numId w:val="1"/>
        </w:numPr>
      </w:pPr>
      <w:r w:rsidRPr="00AA6FB3">
        <w:t>Consideration of the evidence</w:t>
      </w:r>
      <w:bookmarkStart w:id="70" w:name="_Ref80776715"/>
      <w:bookmarkStart w:id="71" w:name="_Toc80808801"/>
    </w:p>
    <w:p w14:paraId="6AF1B6A3" w14:textId="77777777" w:rsidR="00186851" w:rsidRPr="00AA6FB3" w:rsidRDefault="00186851" w:rsidP="00186851">
      <w:pPr>
        <w:pStyle w:val="3-SubsectionHeading"/>
      </w:pPr>
      <w:r>
        <w:t>Revised CKD estimates</w:t>
      </w:r>
    </w:p>
    <w:p w14:paraId="55F872EA" w14:textId="77777777" w:rsidR="00186851" w:rsidRDefault="00186851" w:rsidP="00186851">
      <w:pPr>
        <w:pStyle w:val="ExecSumBodyText"/>
        <w:numPr>
          <w:ilvl w:val="1"/>
          <w:numId w:val="1"/>
        </w:numPr>
      </w:pPr>
      <w:r w:rsidRPr="00CB4932">
        <w:t xml:space="preserve">Compared </w:t>
      </w:r>
      <w:r>
        <w:t>to the July 2021 submission, the overall financial estimates presented by the sponsor were reduced (</w:t>
      </w:r>
      <w:r w:rsidR="00614557" w:rsidRPr="00614557">
        <w:t xml:space="preserve">$800 million to &lt; $900 million </w:t>
      </w:r>
      <w:r>
        <w:t xml:space="preserve">to </w:t>
      </w:r>
      <w:r w:rsidR="00614557" w:rsidRPr="00614557">
        <w:t>$500 million to &lt; $600 million</w:t>
      </w:r>
      <w:r w:rsidR="00614557" w:rsidRPr="00614557" w:rsidDel="00614557">
        <w:t xml:space="preserve"> </w:t>
      </w:r>
      <w:r>
        <w:t xml:space="preserve">over six years, see Table </w:t>
      </w:r>
      <w:r>
        <w:rPr>
          <w:noProof/>
        </w:rPr>
        <w:t>20</w:t>
      </w:r>
      <w:r>
        <w:t xml:space="preserve"> below). This was in part due to the application of changes applied in the pre-PBAC response, which PBAC had previously considered reasonable (a revised lower DPMQ o</w:t>
      </w:r>
      <w:r w:rsidRPr="00634F67">
        <w:t>f $</w:t>
      </w:r>
      <w:r w:rsidR="00164731">
        <w:rPr>
          <w:noProof/>
          <w:color w:val="000000"/>
          <w:highlight w:val="black"/>
        </w:rPr>
        <w:t>'''''''''''</w:t>
      </w:r>
      <w:r w:rsidRPr="00634F67">
        <w:t>, increased</w:t>
      </w:r>
      <w:r>
        <w:t xml:space="preserve"> annual CKD diagnosis rate and treatment uptake, and application of a stopping rule).</w:t>
      </w:r>
    </w:p>
    <w:p w14:paraId="375D63D5" w14:textId="77777777" w:rsidR="00186851" w:rsidRDefault="00186851" w:rsidP="00186851">
      <w:pPr>
        <w:pStyle w:val="ExecSumBodyText"/>
        <w:numPr>
          <w:ilvl w:val="1"/>
          <w:numId w:val="1"/>
        </w:numPr>
      </w:pPr>
      <w:r>
        <w:t>Further changes made were:</w:t>
      </w:r>
    </w:p>
    <w:p w14:paraId="14CBC0A4" w14:textId="77777777" w:rsidR="00186851" w:rsidRDefault="00186851" w:rsidP="00186851">
      <w:pPr>
        <w:pStyle w:val="ListParagraph"/>
        <w:numPr>
          <w:ilvl w:val="0"/>
          <w:numId w:val="5"/>
        </w:numPr>
        <w:ind w:left="1134"/>
      </w:pPr>
      <w:r>
        <w:t>A decrease in the estimated proportion of diagnosed CKD patients meeting the PBS restriction criteria in terms of eGFR and UACR (from 58% to 49%, based on CKD stage estimates used as proxies for the PBS criteria);</w:t>
      </w:r>
    </w:p>
    <w:p w14:paraId="67AA1A62" w14:textId="77777777" w:rsidR="00186851" w:rsidRDefault="00186851" w:rsidP="00186851">
      <w:pPr>
        <w:pStyle w:val="ListParagraph"/>
        <w:numPr>
          <w:ilvl w:val="0"/>
          <w:numId w:val="5"/>
        </w:numPr>
        <w:ind w:left="1134"/>
      </w:pPr>
      <w:r>
        <w:t>A decrease in the overlapping population with T2DM (from 93.4% to 88.3%);</w:t>
      </w:r>
    </w:p>
    <w:p w14:paraId="03C31465" w14:textId="77777777" w:rsidR="00186851" w:rsidRDefault="00186851" w:rsidP="00186851">
      <w:pPr>
        <w:pStyle w:val="ListParagraph"/>
        <w:numPr>
          <w:ilvl w:val="0"/>
          <w:numId w:val="5"/>
        </w:numPr>
        <w:ind w:left="1134"/>
      </w:pPr>
      <w:r>
        <w:t xml:space="preserve">Exclusion of patients with polycystic kidney disease, ANCA-associated vasculitis, and lupus nephritis; </w:t>
      </w:r>
    </w:p>
    <w:p w14:paraId="6DF224A8" w14:textId="77777777" w:rsidR="00186851" w:rsidRDefault="00186851" w:rsidP="00186851">
      <w:pPr>
        <w:pStyle w:val="ListParagraph"/>
        <w:numPr>
          <w:ilvl w:val="0"/>
          <w:numId w:val="5"/>
        </w:numPr>
        <w:ind w:left="1134"/>
      </w:pPr>
      <w:r>
        <w:t>A decrease in the p</w:t>
      </w:r>
      <w:r w:rsidRPr="00F577F8">
        <w:t>roportion of CKD patients not eligible for PBS-listed SGLT2 inhibitors for T2DM (HbA1c ≤7.0%)</w:t>
      </w:r>
      <w:r>
        <w:t>, from 93.4% to 88.3%; and</w:t>
      </w:r>
    </w:p>
    <w:p w14:paraId="7D75232F" w14:textId="77777777" w:rsidR="00186851" w:rsidRDefault="00186851" w:rsidP="00186851">
      <w:pPr>
        <w:pStyle w:val="ListParagraph"/>
        <w:numPr>
          <w:ilvl w:val="0"/>
          <w:numId w:val="5"/>
        </w:numPr>
        <w:ind w:left="1134"/>
      </w:pPr>
      <w:r>
        <w:t>An increase in the p</w:t>
      </w:r>
      <w:r w:rsidRPr="00F577F8">
        <w:t>roportion of CKD patients not eligible for PBS-listed dapagliflozin for HFrEF</w:t>
      </w:r>
      <w:r>
        <w:t>, from 97.4% to 97.7% (which was also previously applied in the pre-PBAC response).</w:t>
      </w:r>
    </w:p>
    <w:p w14:paraId="11D3C07B" w14:textId="77777777" w:rsidR="00186851" w:rsidRPr="00935817" w:rsidRDefault="00186851" w:rsidP="00186851">
      <w:pPr>
        <w:pStyle w:val="ExecSumBodyText"/>
        <w:numPr>
          <w:ilvl w:val="1"/>
          <w:numId w:val="1"/>
        </w:numPr>
        <w:spacing w:before="240"/>
      </w:pPr>
      <w:r>
        <w:t xml:space="preserve">Table </w:t>
      </w:r>
      <w:r>
        <w:rPr>
          <w:noProof/>
        </w:rPr>
        <w:t>19</w:t>
      </w:r>
      <w:r>
        <w:t xml:space="preserve"> </w:t>
      </w:r>
      <w:r w:rsidRPr="00935817">
        <w:t>below</w:t>
      </w:r>
      <w:r>
        <w:t xml:space="preserve"> outlines the methods and assumptions used in the financial estimates presented to PBAC in July 2021 and September 2021.</w:t>
      </w:r>
    </w:p>
    <w:p w14:paraId="038BF2A6" w14:textId="77777777" w:rsidR="00186851" w:rsidRDefault="00186851" w:rsidP="00186851">
      <w:pPr>
        <w:pStyle w:val="5Tableheaders"/>
        <w:keepNext/>
      </w:pPr>
      <w:bookmarkStart w:id="72" w:name="_Ref83968489"/>
      <w:r>
        <w:t xml:space="preserve">Table </w:t>
      </w:r>
      <w:r>
        <w:rPr>
          <w:noProof/>
        </w:rPr>
        <w:t>19</w:t>
      </w:r>
      <w:bookmarkEnd w:id="72"/>
      <w:r>
        <w:t>:</w:t>
      </w:r>
      <w:r w:rsidRPr="00B10FDD">
        <w:t xml:space="preserve"> </w:t>
      </w:r>
      <w:r>
        <w:t>Key inputs</w:t>
      </w:r>
      <w:r w:rsidRPr="00B10FDD">
        <w:t xml:space="preserve"> used in the</w:t>
      </w:r>
      <w:r>
        <w:t xml:space="preserve"> financial estimates presented to PBAC in July 2021 and September 2021, for</w:t>
      </w:r>
      <w:r w:rsidRPr="00B10FDD">
        <w:t xml:space="preserve"> </w:t>
      </w:r>
      <w:r>
        <w:t>chronic kidney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120"/>
        <w:gridCol w:w="2694"/>
        <w:gridCol w:w="1931"/>
      </w:tblGrid>
      <w:tr w:rsidR="00186851" w:rsidRPr="00A832D4" w14:paraId="315F865A" w14:textId="77777777" w:rsidTr="00186851">
        <w:trPr>
          <w:cantSplit/>
          <w:tblHeader/>
        </w:trPr>
        <w:tc>
          <w:tcPr>
            <w:tcW w:w="705" w:type="pct"/>
            <w:vMerge w:val="restart"/>
            <w:shd w:val="clear" w:color="auto" w:fill="auto"/>
            <w:vAlign w:val="center"/>
          </w:tcPr>
          <w:p w14:paraId="2AE8741E"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Parameter</w:t>
            </w:r>
          </w:p>
        </w:tc>
        <w:tc>
          <w:tcPr>
            <w:tcW w:w="3223" w:type="pct"/>
            <w:gridSpan w:val="2"/>
            <w:shd w:val="clear" w:color="auto" w:fill="auto"/>
            <w:vAlign w:val="center"/>
          </w:tcPr>
          <w:p w14:paraId="32BB6403"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Value applied and source</w:t>
            </w:r>
          </w:p>
        </w:tc>
        <w:tc>
          <w:tcPr>
            <w:tcW w:w="1072" w:type="pct"/>
            <w:vMerge w:val="restart"/>
          </w:tcPr>
          <w:p w14:paraId="59F89B02" w14:textId="77777777" w:rsidR="00186851" w:rsidRPr="00A832D4" w:rsidRDefault="00186851" w:rsidP="00186851">
            <w:pPr>
              <w:jc w:val="center"/>
              <w:rPr>
                <w:rFonts w:ascii="Arial Narrow" w:hAnsi="Arial Narrow"/>
                <w:b/>
                <w:bCs/>
                <w:sz w:val="20"/>
                <w:szCs w:val="20"/>
              </w:rPr>
            </w:pPr>
            <w:r>
              <w:rPr>
                <w:rFonts w:ascii="Arial Narrow" w:hAnsi="Arial Narrow"/>
                <w:b/>
                <w:bCs/>
                <w:sz w:val="20"/>
                <w:szCs w:val="20"/>
              </w:rPr>
              <w:t>PBAC view (as per section 11 Outcome)</w:t>
            </w:r>
          </w:p>
        </w:tc>
      </w:tr>
      <w:tr w:rsidR="00186851" w:rsidRPr="00A832D4" w14:paraId="401AD35C" w14:textId="77777777" w:rsidTr="00186851">
        <w:trPr>
          <w:cantSplit/>
        </w:trPr>
        <w:tc>
          <w:tcPr>
            <w:tcW w:w="705" w:type="pct"/>
            <w:vMerge/>
            <w:shd w:val="clear" w:color="auto" w:fill="D9D9D9"/>
          </w:tcPr>
          <w:p w14:paraId="38B1F061" w14:textId="77777777" w:rsidR="00186851" w:rsidRPr="00A832D4" w:rsidRDefault="00186851" w:rsidP="00186851">
            <w:pPr>
              <w:jc w:val="left"/>
              <w:rPr>
                <w:rFonts w:ascii="Arial Narrow" w:hAnsi="Arial Narrow"/>
                <w:b/>
                <w:bCs/>
                <w:sz w:val="20"/>
                <w:szCs w:val="20"/>
              </w:rPr>
            </w:pPr>
          </w:p>
        </w:tc>
        <w:tc>
          <w:tcPr>
            <w:tcW w:w="1730" w:type="pct"/>
            <w:shd w:val="clear" w:color="auto" w:fill="auto"/>
            <w:vAlign w:val="center"/>
          </w:tcPr>
          <w:p w14:paraId="1D5F903C"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July 2021</w:t>
            </w:r>
            <w:r>
              <w:rPr>
                <w:rFonts w:ascii="Arial Narrow" w:hAnsi="Arial Narrow"/>
                <w:b/>
                <w:bCs/>
                <w:sz w:val="20"/>
                <w:szCs w:val="20"/>
              </w:rPr>
              <w:t xml:space="preserve"> submission</w:t>
            </w:r>
          </w:p>
        </w:tc>
        <w:tc>
          <w:tcPr>
            <w:tcW w:w="1494" w:type="pct"/>
            <w:shd w:val="clear" w:color="auto" w:fill="auto"/>
            <w:vAlign w:val="center"/>
          </w:tcPr>
          <w:p w14:paraId="762CFCD9" w14:textId="77777777" w:rsidR="00186851" w:rsidRPr="00A832D4" w:rsidRDefault="00186851" w:rsidP="00186851">
            <w:pPr>
              <w:jc w:val="center"/>
              <w:rPr>
                <w:rFonts w:ascii="Arial Narrow" w:hAnsi="Arial Narrow"/>
                <w:b/>
                <w:bCs/>
                <w:iCs/>
                <w:sz w:val="20"/>
                <w:szCs w:val="20"/>
              </w:rPr>
            </w:pPr>
            <w:r w:rsidRPr="00A832D4">
              <w:rPr>
                <w:rFonts w:ascii="Arial Narrow" w:hAnsi="Arial Narrow"/>
                <w:b/>
                <w:bCs/>
                <w:iCs/>
                <w:sz w:val="20"/>
                <w:szCs w:val="20"/>
              </w:rPr>
              <w:t>September 2021</w:t>
            </w:r>
            <w:r>
              <w:rPr>
                <w:rFonts w:ascii="Arial Narrow" w:hAnsi="Arial Narrow"/>
                <w:b/>
                <w:bCs/>
                <w:iCs/>
                <w:sz w:val="20"/>
                <w:szCs w:val="20"/>
              </w:rPr>
              <w:t xml:space="preserve"> estimates</w:t>
            </w:r>
          </w:p>
        </w:tc>
        <w:tc>
          <w:tcPr>
            <w:tcW w:w="1072" w:type="pct"/>
            <w:vMerge/>
          </w:tcPr>
          <w:p w14:paraId="36ED13BC" w14:textId="77777777" w:rsidR="00186851" w:rsidRPr="00A832D4" w:rsidRDefault="00186851" w:rsidP="00186851">
            <w:pPr>
              <w:jc w:val="center"/>
              <w:rPr>
                <w:rFonts w:ascii="Arial Narrow" w:hAnsi="Arial Narrow"/>
                <w:b/>
                <w:bCs/>
                <w:iCs/>
                <w:sz w:val="20"/>
                <w:szCs w:val="20"/>
              </w:rPr>
            </w:pPr>
          </w:p>
        </w:tc>
      </w:tr>
      <w:tr w:rsidR="00186851" w:rsidRPr="00A832D4" w14:paraId="2885BB11" w14:textId="77777777" w:rsidTr="00186851">
        <w:trPr>
          <w:cantSplit/>
        </w:trPr>
        <w:tc>
          <w:tcPr>
            <w:tcW w:w="705" w:type="pct"/>
            <w:shd w:val="clear" w:color="auto" w:fill="auto"/>
          </w:tcPr>
          <w:p w14:paraId="602B55E0"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Australian adults (%) with biomedical data suggesting CKD </w:t>
            </w:r>
          </w:p>
        </w:tc>
        <w:tc>
          <w:tcPr>
            <w:tcW w:w="1730" w:type="pct"/>
            <w:shd w:val="clear" w:color="auto" w:fill="auto"/>
          </w:tcPr>
          <w:p w14:paraId="798A49F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 prevalence of 10%,</w:t>
            </w:r>
          </w:p>
          <w:p w14:paraId="49446F88"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based on patient biomedical data (2011-12 NHMS) and KHA (2012) definition of CKD</w:t>
            </w:r>
          </w:p>
          <w:p w14:paraId="6177965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Year 1: 2,075,792 to Year 6: 2,239,310</w:t>
            </w:r>
          </w:p>
          <w:p w14:paraId="43CF4A97" w14:textId="77777777" w:rsidR="00186851" w:rsidRPr="00A832D4" w:rsidRDefault="00186851" w:rsidP="00186851">
            <w:pPr>
              <w:jc w:val="center"/>
              <w:rPr>
                <w:rFonts w:ascii="Arial Narrow" w:hAnsi="Arial Narrow"/>
                <w:sz w:val="20"/>
                <w:szCs w:val="20"/>
              </w:rPr>
            </w:pPr>
          </w:p>
          <w:p w14:paraId="026D6B89" w14:textId="77777777" w:rsidR="00186851" w:rsidRPr="00A832D4" w:rsidRDefault="00186851" w:rsidP="00186851">
            <w:pPr>
              <w:jc w:val="center"/>
              <w:rPr>
                <w:rFonts w:ascii="Arial Narrow" w:hAnsi="Arial Narrow"/>
                <w:b/>
                <w:bCs/>
                <w:sz w:val="20"/>
                <w:szCs w:val="20"/>
              </w:rPr>
            </w:pPr>
            <w:r w:rsidRPr="00A832D4">
              <w:rPr>
                <w:rFonts w:ascii="Arial Narrow" w:hAnsi="Arial Narrow"/>
                <w:b/>
                <w:sz w:val="20"/>
                <w:szCs w:val="20"/>
              </w:rPr>
              <w:t>PBAC consideration:</w:t>
            </w:r>
          </w:p>
          <w:p w14:paraId="3AC310BB" w14:textId="77777777" w:rsidR="00186851" w:rsidRPr="00A832D4" w:rsidRDefault="00186851" w:rsidP="00186851">
            <w:pPr>
              <w:jc w:val="center"/>
              <w:rPr>
                <w:rFonts w:ascii="Arial Narrow" w:hAnsi="Arial Narrow"/>
                <w:sz w:val="20"/>
                <w:szCs w:val="20"/>
              </w:rPr>
            </w:pPr>
            <w:r>
              <w:rPr>
                <w:rFonts w:ascii="Arial Narrow" w:hAnsi="Arial Narrow"/>
                <w:iCs/>
                <w:sz w:val="20"/>
                <w:szCs w:val="20"/>
              </w:rPr>
              <w:t>PBAC n</w:t>
            </w:r>
            <w:r w:rsidRPr="00A832D4">
              <w:rPr>
                <w:rFonts w:ascii="Arial Narrow" w:hAnsi="Arial Narrow"/>
                <w:iCs/>
                <w:sz w:val="20"/>
                <w:szCs w:val="20"/>
              </w:rPr>
              <w:t xml:space="preserve">oted </w:t>
            </w:r>
            <w:r w:rsidRPr="00A832D4">
              <w:rPr>
                <w:rFonts w:ascii="Arial Narrow" w:hAnsi="Arial Narrow"/>
                <w:sz w:val="20"/>
                <w:szCs w:val="20"/>
              </w:rPr>
              <w:t>the NHMS did not review duration of CKD markers, and may have counted data unrelated to CKD (e.g. AKI, kidney/urogenital infection)</w:t>
            </w:r>
            <w:r>
              <w:rPr>
                <w:rFonts w:ascii="Arial Narrow" w:hAnsi="Arial Narrow"/>
                <w:sz w:val="20"/>
                <w:szCs w:val="20"/>
              </w:rPr>
              <w:t xml:space="preserve"> (para 6.68)</w:t>
            </w:r>
            <w:r w:rsidRPr="00A832D4">
              <w:rPr>
                <w:rFonts w:ascii="Arial Narrow" w:hAnsi="Arial Narrow"/>
                <w:sz w:val="20"/>
                <w:szCs w:val="20"/>
              </w:rPr>
              <w:t>.</w:t>
            </w:r>
          </w:p>
        </w:tc>
        <w:tc>
          <w:tcPr>
            <w:tcW w:w="1494" w:type="pct"/>
            <w:shd w:val="clear" w:color="auto" w:fill="auto"/>
          </w:tcPr>
          <w:p w14:paraId="6865A4FC"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Year 1: 2,075,792 to Year 6: 2,239,310</w:t>
            </w:r>
          </w:p>
          <w:p w14:paraId="1E773A3B" w14:textId="77777777" w:rsidR="00186851" w:rsidRPr="00A832D4" w:rsidRDefault="00186851" w:rsidP="00186851">
            <w:pPr>
              <w:jc w:val="left"/>
              <w:rPr>
                <w:rFonts w:ascii="Arial Narrow" w:hAnsi="Arial Narrow"/>
                <w:iCs/>
                <w:sz w:val="20"/>
                <w:szCs w:val="20"/>
                <w:highlight w:val="yellow"/>
              </w:rPr>
            </w:pPr>
          </w:p>
          <w:p w14:paraId="5F01A560"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 from the original submission and a likely overestimate.</w:t>
            </w:r>
          </w:p>
          <w:p w14:paraId="5D3239B3" w14:textId="77777777" w:rsidR="00186851" w:rsidRPr="00A832D4" w:rsidRDefault="00186851" w:rsidP="00186851">
            <w:pPr>
              <w:jc w:val="left"/>
              <w:rPr>
                <w:rFonts w:ascii="Arial Narrow" w:hAnsi="Arial Narrow"/>
                <w:iCs/>
                <w:sz w:val="20"/>
                <w:szCs w:val="20"/>
                <w:highlight w:val="yellow"/>
              </w:rPr>
            </w:pPr>
          </w:p>
        </w:tc>
        <w:tc>
          <w:tcPr>
            <w:tcW w:w="1072" w:type="pct"/>
          </w:tcPr>
          <w:p w14:paraId="6ADC8275"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Reasonable, but highly uncertain</w:t>
            </w:r>
          </w:p>
        </w:tc>
      </w:tr>
      <w:tr w:rsidR="00186851" w:rsidRPr="00A832D4" w14:paraId="129085A7" w14:textId="77777777" w:rsidTr="00186851">
        <w:trPr>
          <w:cantSplit/>
        </w:trPr>
        <w:tc>
          <w:tcPr>
            <w:tcW w:w="705" w:type="pct"/>
            <w:shd w:val="clear" w:color="auto" w:fill="auto"/>
          </w:tcPr>
          <w:p w14:paraId="2D6638B2"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Adults (%) with biomedical data suggesting CKD, likely to be diagnosed with CKD </w:t>
            </w:r>
          </w:p>
        </w:tc>
        <w:tc>
          <w:tcPr>
            <w:tcW w:w="1730" w:type="pct"/>
            <w:shd w:val="clear" w:color="auto" w:fill="auto"/>
          </w:tcPr>
          <w:p w14:paraId="4599BD03"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Rate of diagnosis of 10% based on survey of self-reported kidney disease</w:t>
            </w:r>
          </w:p>
          <w:p w14:paraId="35F4E658"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Year 1: 10% (2011-12 AHS)</w:t>
            </w:r>
          </w:p>
          <w:p w14:paraId="0F359809"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 annual 2% increase to Year 6: 20%</w:t>
            </w:r>
          </w:p>
          <w:p w14:paraId="1616517C" w14:textId="77777777" w:rsidR="00186851" w:rsidRDefault="00186851" w:rsidP="00186851">
            <w:pPr>
              <w:jc w:val="center"/>
              <w:rPr>
                <w:rFonts w:ascii="Arial Narrow" w:hAnsi="Arial Narrow"/>
                <w:sz w:val="20"/>
                <w:szCs w:val="20"/>
              </w:rPr>
            </w:pPr>
            <w:r w:rsidRPr="00A832D4">
              <w:rPr>
                <w:rFonts w:ascii="Arial Narrow" w:hAnsi="Arial Narrow"/>
                <w:sz w:val="20"/>
                <w:szCs w:val="20"/>
              </w:rPr>
              <w:t>Number of patients: Year 1: 207,579 to Year 6: 447,862</w:t>
            </w:r>
            <w:r>
              <w:rPr>
                <w:rFonts w:ascii="Arial Narrow" w:hAnsi="Arial Narrow"/>
                <w:sz w:val="20"/>
                <w:szCs w:val="20"/>
              </w:rPr>
              <w:t>.</w:t>
            </w:r>
          </w:p>
          <w:p w14:paraId="7140CF12" w14:textId="77777777" w:rsidR="00186851" w:rsidRDefault="00186851" w:rsidP="00186851">
            <w:pPr>
              <w:jc w:val="center"/>
              <w:rPr>
                <w:rFonts w:ascii="Arial Narrow" w:hAnsi="Arial Narrow"/>
                <w:sz w:val="20"/>
                <w:szCs w:val="20"/>
              </w:rPr>
            </w:pPr>
            <w:r w:rsidRPr="00AD7CAC">
              <w:rPr>
                <w:rFonts w:ascii="Arial Narrow" w:hAnsi="Arial Narrow"/>
                <w:sz w:val="20"/>
                <w:szCs w:val="20"/>
              </w:rPr>
              <w:t>Revised in the pre-PBAC response to annual 5% increase to Year 6: 35%</w:t>
            </w:r>
            <w:r>
              <w:rPr>
                <w:rFonts w:ascii="Arial Narrow" w:hAnsi="Arial Narrow"/>
                <w:sz w:val="20"/>
                <w:szCs w:val="20"/>
              </w:rPr>
              <w:t xml:space="preserve">. </w:t>
            </w:r>
          </w:p>
          <w:p w14:paraId="5E54DB40" w14:textId="77777777" w:rsidR="00186851" w:rsidRDefault="00186851" w:rsidP="00186851">
            <w:pPr>
              <w:jc w:val="center"/>
              <w:rPr>
                <w:rFonts w:ascii="Arial Narrow" w:hAnsi="Arial Narrow"/>
                <w:sz w:val="20"/>
                <w:szCs w:val="20"/>
              </w:rPr>
            </w:pPr>
          </w:p>
          <w:p w14:paraId="786C0DDF" w14:textId="77777777" w:rsidR="00186851" w:rsidRDefault="00186851" w:rsidP="00186851">
            <w:pPr>
              <w:jc w:val="center"/>
              <w:rPr>
                <w:rFonts w:ascii="Arial Narrow" w:hAnsi="Arial Narrow"/>
                <w:b/>
                <w:bCs/>
                <w:sz w:val="20"/>
                <w:szCs w:val="20"/>
              </w:rPr>
            </w:pPr>
            <w:r>
              <w:rPr>
                <w:rFonts w:ascii="Arial Narrow" w:hAnsi="Arial Narrow"/>
                <w:b/>
                <w:bCs/>
                <w:sz w:val="20"/>
                <w:szCs w:val="20"/>
              </w:rPr>
              <w:t>PBAC consideration:</w:t>
            </w:r>
          </w:p>
          <w:p w14:paraId="645D2C3B" w14:textId="77777777" w:rsidR="00186851" w:rsidRPr="00A832D4" w:rsidRDefault="00186851" w:rsidP="00186851">
            <w:pPr>
              <w:jc w:val="center"/>
              <w:rPr>
                <w:rFonts w:ascii="Arial Narrow" w:hAnsi="Arial Narrow"/>
                <w:sz w:val="20"/>
                <w:szCs w:val="20"/>
              </w:rPr>
            </w:pPr>
            <w:r>
              <w:rPr>
                <w:rFonts w:ascii="Arial Narrow" w:hAnsi="Arial Narrow"/>
                <w:sz w:val="20"/>
                <w:szCs w:val="20"/>
              </w:rPr>
              <w:t xml:space="preserve">PBAC agreed with the DUSC that the diagnosis rate was likely underestimated, and considered that the adjustment made in the pre-PBAC response was appropriate (para 7.9). </w:t>
            </w:r>
          </w:p>
        </w:tc>
        <w:tc>
          <w:tcPr>
            <w:tcW w:w="1494" w:type="pct"/>
            <w:shd w:val="clear" w:color="auto" w:fill="auto"/>
          </w:tcPr>
          <w:p w14:paraId="6576B5F6"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Number of patients</w:t>
            </w:r>
            <w:r>
              <w:rPr>
                <w:rFonts w:ascii="Arial Narrow" w:hAnsi="Arial Narrow"/>
                <w:sz w:val="20"/>
                <w:szCs w:val="20"/>
              </w:rPr>
              <w:t xml:space="preserve"> as per pre-PBAC response</w:t>
            </w:r>
            <w:r w:rsidRPr="00A832D4">
              <w:rPr>
                <w:rFonts w:ascii="Arial Narrow" w:hAnsi="Arial Narrow"/>
                <w:sz w:val="20"/>
                <w:szCs w:val="20"/>
              </w:rPr>
              <w:t xml:space="preserve">: Year 1: </w:t>
            </w:r>
            <w:r w:rsidRPr="00A832D4">
              <w:rPr>
                <w:rFonts w:ascii="Arial Narrow" w:hAnsi="Arial Narrow" w:cs="Calibri"/>
                <w:color w:val="000000"/>
                <w:sz w:val="20"/>
                <w:szCs w:val="20"/>
              </w:rPr>
              <w:t xml:space="preserve">207,579 to Year 6: 783,759 </w:t>
            </w:r>
          </w:p>
          <w:p w14:paraId="162F991A" w14:textId="77777777" w:rsidR="00186851" w:rsidRPr="00A832D4" w:rsidRDefault="00186851" w:rsidP="00186851">
            <w:pPr>
              <w:jc w:val="left"/>
              <w:rPr>
                <w:rFonts w:ascii="Arial Narrow" w:hAnsi="Arial Narrow"/>
                <w:iCs/>
                <w:sz w:val="20"/>
                <w:szCs w:val="20"/>
              </w:rPr>
            </w:pPr>
          </w:p>
          <w:p w14:paraId="3B114227" w14:textId="77777777" w:rsidR="00186851" w:rsidRPr="00A832D4" w:rsidRDefault="00186851" w:rsidP="00186851">
            <w:pPr>
              <w:jc w:val="left"/>
              <w:rPr>
                <w:rFonts w:ascii="Arial Narrow" w:hAnsi="Arial Narrow"/>
                <w:iCs/>
                <w:sz w:val="20"/>
                <w:szCs w:val="20"/>
              </w:rPr>
            </w:pPr>
          </w:p>
        </w:tc>
        <w:tc>
          <w:tcPr>
            <w:tcW w:w="1072" w:type="pct"/>
          </w:tcPr>
          <w:p w14:paraId="2023A57E" w14:textId="77777777" w:rsidR="00186851" w:rsidRPr="00A832D4" w:rsidDel="006659BB" w:rsidRDefault="00186851" w:rsidP="00186851">
            <w:pPr>
              <w:jc w:val="left"/>
              <w:rPr>
                <w:rFonts w:ascii="Arial Narrow" w:hAnsi="Arial Narrow"/>
                <w:iCs/>
                <w:sz w:val="20"/>
                <w:szCs w:val="20"/>
              </w:rPr>
            </w:pPr>
            <w:r>
              <w:rPr>
                <w:rFonts w:ascii="Arial Narrow" w:hAnsi="Arial Narrow"/>
                <w:iCs/>
                <w:sz w:val="20"/>
                <w:szCs w:val="20"/>
              </w:rPr>
              <w:t xml:space="preserve">Remained reasonable as aligned with DUSC advice that there is increasing screening and diagnosis of CKD in general practice. </w:t>
            </w:r>
          </w:p>
        </w:tc>
      </w:tr>
      <w:tr w:rsidR="00186851" w:rsidRPr="00A832D4" w14:paraId="601D3A80" w14:textId="77777777" w:rsidTr="00186851">
        <w:trPr>
          <w:cantSplit/>
        </w:trPr>
        <w:tc>
          <w:tcPr>
            <w:tcW w:w="705" w:type="pct"/>
            <w:shd w:val="clear" w:color="auto" w:fill="auto"/>
          </w:tcPr>
          <w:p w14:paraId="4D6417F5" w14:textId="77777777" w:rsidR="00186851" w:rsidRPr="00A832D4" w:rsidRDefault="00186851" w:rsidP="00186851">
            <w:pPr>
              <w:jc w:val="left"/>
              <w:rPr>
                <w:rFonts w:ascii="Arial Narrow" w:hAnsi="Arial Narrow"/>
                <w:sz w:val="20"/>
                <w:szCs w:val="20"/>
              </w:rPr>
            </w:pPr>
            <w:r>
              <w:rPr>
                <w:rFonts w:ascii="Arial Narrow" w:hAnsi="Arial Narrow"/>
                <w:sz w:val="20"/>
                <w:szCs w:val="20"/>
              </w:rPr>
              <w:t xml:space="preserve">Proportion of patients meeting the PBS criteria </w:t>
            </w:r>
            <w:bookmarkStart w:id="73" w:name="_Hlk83988134"/>
            <w:r>
              <w:rPr>
                <w:rFonts w:ascii="Arial Narrow" w:hAnsi="Arial Narrow"/>
                <w:sz w:val="20"/>
                <w:szCs w:val="20"/>
              </w:rPr>
              <w:t>in terms of eGFR of</w:t>
            </w:r>
            <w:r w:rsidRPr="00A832D4">
              <w:rPr>
                <w:rFonts w:ascii="Arial Narrow" w:hAnsi="Arial Narrow"/>
                <w:sz w:val="20"/>
                <w:szCs w:val="20"/>
              </w:rPr>
              <w:t xml:space="preserve"> 25–75 mL/min/1.73 m</w:t>
            </w:r>
            <w:r w:rsidRPr="00A832D4">
              <w:rPr>
                <w:rFonts w:ascii="Arial Narrow" w:hAnsi="Arial Narrow"/>
                <w:sz w:val="20"/>
                <w:szCs w:val="20"/>
                <w:vertAlign w:val="superscript"/>
              </w:rPr>
              <w:t>2</w:t>
            </w:r>
            <w:r w:rsidRPr="00A832D4">
              <w:rPr>
                <w:rFonts w:ascii="Arial Narrow" w:hAnsi="Arial Narrow"/>
                <w:sz w:val="20"/>
                <w:szCs w:val="20"/>
              </w:rPr>
              <w:t xml:space="preserve"> and a UACR of 200–5000 mg/g</w:t>
            </w:r>
            <w:bookmarkEnd w:id="73"/>
          </w:p>
        </w:tc>
        <w:tc>
          <w:tcPr>
            <w:tcW w:w="1730" w:type="pct"/>
            <w:shd w:val="clear" w:color="auto" w:fill="auto"/>
          </w:tcPr>
          <w:p w14:paraId="13F7E600" w14:textId="77777777" w:rsidR="00186851" w:rsidRDefault="00186851" w:rsidP="00186851">
            <w:pPr>
              <w:jc w:val="center"/>
              <w:rPr>
                <w:rFonts w:ascii="Arial Narrow" w:hAnsi="Arial Narrow"/>
                <w:sz w:val="20"/>
                <w:szCs w:val="20"/>
              </w:rPr>
            </w:pPr>
            <w:r>
              <w:rPr>
                <w:rFonts w:ascii="Arial Narrow" w:hAnsi="Arial Narrow"/>
                <w:sz w:val="20"/>
                <w:szCs w:val="20"/>
              </w:rPr>
              <w:t>CKD stages 2-3b used as proxy.</w:t>
            </w:r>
          </w:p>
          <w:p w14:paraId="283F593B"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w:t>
            </w:r>
            <w:r>
              <w:rPr>
                <w:rFonts w:ascii="Arial Narrow" w:hAnsi="Arial Narrow"/>
                <w:sz w:val="20"/>
                <w:szCs w:val="20"/>
              </w:rPr>
              <w:t xml:space="preserve"> </w:t>
            </w:r>
            <w:r w:rsidRPr="00A832D4">
              <w:rPr>
                <w:rFonts w:ascii="Arial Narrow" w:hAnsi="Arial Narrow"/>
                <w:sz w:val="20"/>
                <w:szCs w:val="20"/>
              </w:rPr>
              <w:t>based on biomedical data (2011-12 NHMS)</w:t>
            </w:r>
          </w:p>
          <w:p w14:paraId="214EEE00"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5.8% (sum of % undiagnosed CKD 2-3b)</w:t>
            </w:r>
          </w:p>
          <w:p w14:paraId="6C0D2700"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58% (% of diagnosed CKD; 0.058 / 0.10)</w:t>
            </w:r>
          </w:p>
          <w:p w14:paraId="4F9E2342"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Number of patients: Year 1: 120,396 to Year 6: 259,760</w:t>
            </w:r>
          </w:p>
          <w:p w14:paraId="00BB895A" w14:textId="77777777" w:rsidR="00186851" w:rsidRPr="00A832D4" w:rsidRDefault="00186851" w:rsidP="00186851">
            <w:pPr>
              <w:jc w:val="center"/>
              <w:rPr>
                <w:rFonts w:ascii="Arial Narrow" w:hAnsi="Arial Narrow"/>
                <w:b/>
                <w:bCs/>
                <w:sz w:val="20"/>
                <w:szCs w:val="20"/>
              </w:rPr>
            </w:pPr>
          </w:p>
          <w:p w14:paraId="3590E42A" w14:textId="77777777" w:rsidR="00186851" w:rsidRPr="00A832D4" w:rsidRDefault="00186851" w:rsidP="00186851">
            <w:pPr>
              <w:jc w:val="center"/>
              <w:rPr>
                <w:rFonts w:ascii="Arial Narrow" w:hAnsi="Arial Narrow"/>
                <w:b/>
                <w:bCs/>
                <w:sz w:val="20"/>
                <w:szCs w:val="20"/>
              </w:rPr>
            </w:pPr>
            <w:r w:rsidRPr="00A832D4">
              <w:rPr>
                <w:rFonts w:ascii="Arial Narrow" w:hAnsi="Arial Narrow"/>
                <w:b/>
                <w:sz w:val="20"/>
                <w:szCs w:val="20"/>
              </w:rPr>
              <w:t>PBAC consideration:</w:t>
            </w:r>
          </w:p>
          <w:p w14:paraId="128DE80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 xml:space="preserve">PBAC considered using CKD stage 2-3b only as a proxy for PBS population had vastly overestimated eligible patients (para </w:t>
            </w:r>
            <w:r>
              <w:rPr>
                <w:rFonts w:ascii="Arial Narrow" w:hAnsi="Arial Narrow"/>
                <w:sz w:val="20"/>
                <w:szCs w:val="20"/>
              </w:rPr>
              <w:t>6.70</w:t>
            </w:r>
            <w:r w:rsidRPr="00A832D4">
              <w:rPr>
                <w:rFonts w:ascii="Arial Narrow" w:hAnsi="Arial Narrow"/>
                <w:sz w:val="20"/>
                <w:szCs w:val="20"/>
              </w:rPr>
              <w:t>).</w:t>
            </w:r>
          </w:p>
          <w:p w14:paraId="690AAEB4" w14:textId="77777777" w:rsidR="00186851" w:rsidRPr="00A832D4" w:rsidRDefault="00186851" w:rsidP="00186851">
            <w:pPr>
              <w:jc w:val="center"/>
              <w:rPr>
                <w:rFonts w:ascii="Arial Narrow" w:hAnsi="Arial Narrow"/>
                <w:sz w:val="20"/>
                <w:szCs w:val="20"/>
              </w:rPr>
            </w:pPr>
          </w:p>
          <w:p w14:paraId="59DD13A5"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 xml:space="preserve">PBAC noted that in the NHMS, 6.7% were estimated to have microalbuminuria </w:t>
            </w:r>
            <w:r w:rsidRPr="00A832D4">
              <w:rPr>
                <w:rFonts w:ascii="Arial Narrow" w:hAnsi="Arial Narrow"/>
                <w:sz w:val="20"/>
                <w:szCs w:val="20"/>
              </w:rPr>
              <w:t>(m</w:t>
            </w:r>
            <w:r w:rsidRPr="00A832D4">
              <w:rPr>
                <w:rFonts w:ascii="Arial Narrow" w:hAnsi="Arial Narrow"/>
                <w:iCs/>
                <w:sz w:val="20"/>
                <w:szCs w:val="20"/>
              </w:rPr>
              <w:t>ales 2.5–25 mg/mmol and females 3.5–35 mg/mmol), and only 0.9% (males &gt;25</w:t>
            </w:r>
            <w:r>
              <w:rPr>
                <w:rFonts w:ascii="Arial Narrow" w:hAnsi="Arial Narrow"/>
                <w:iCs/>
                <w:sz w:val="20"/>
                <w:szCs w:val="20"/>
              </w:rPr>
              <w:t> </w:t>
            </w:r>
            <w:r w:rsidRPr="00A832D4">
              <w:rPr>
                <w:rFonts w:ascii="Arial Narrow" w:hAnsi="Arial Narrow"/>
                <w:iCs/>
                <w:sz w:val="20"/>
                <w:szCs w:val="20"/>
              </w:rPr>
              <w:t>mg/mmol and females &gt;35 mg/mmol) were estimated to have macroalbuminuria. PBAC considered that very few patients with microalbuminuria were likely to meet the PBS eligibility criteria of 22.6–565 mg/mmol, and therefore the 5.8% used by the submission to determine eligibility was likely vastly overestimated</w:t>
            </w:r>
            <w:r>
              <w:rPr>
                <w:rFonts w:ascii="Arial Narrow" w:hAnsi="Arial Narrow"/>
                <w:iCs/>
                <w:sz w:val="20"/>
                <w:szCs w:val="20"/>
              </w:rPr>
              <w:t xml:space="preserve"> (para 6.68)</w:t>
            </w:r>
            <w:r w:rsidRPr="00A832D4">
              <w:rPr>
                <w:rFonts w:ascii="Arial Narrow" w:hAnsi="Arial Narrow"/>
                <w:iCs/>
                <w:sz w:val="20"/>
                <w:szCs w:val="20"/>
              </w:rPr>
              <w:t>.</w:t>
            </w:r>
          </w:p>
        </w:tc>
        <w:tc>
          <w:tcPr>
            <w:tcW w:w="1494" w:type="pct"/>
            <w:shd w:val="clear" w:color="auto" w:fill="auto"/>
          </w:tcPr>
          <w:p w14:paraId="11477C22" w14:textId="77777777" w:rsidR="00186851" w:rsidRDefault="00186851" w:rsidP="00186851">
            <w:pPr>
              <w:jc w:val="left"/>
              <w:rPr>
                <w:rFonts w:ascii="Arial Narrow" w:hAnsi="Arial Narrow" w:cs="Times New Roman"/>
                <w:bCs/>
                <w:sz w:val="20"/>
                <w:szCs w:val="20"/>
              </w:rPr>
            </w:pPr>
            <w:r>
              <w:rPr>
                <w:rFonts w:ascii="Arial Narrow" w:hAnsi="Arial Narrow" w:cs="Times New Roman"/>
                <w:bCs/>
                <w:sz w:val="20"/>
                <w:szCs w:val="20"/>
              </w:rPr>
              <w:t>CKD stages 3a and 3b used as proxy.</w:t>
            </w:r>
          </w:p>
          <w:p w14:paraId="7E71D9FF" w14:textId="77777777" w:rsidR="00186851" w:rsidRPr="00A832D4" w:rsidRDefault="00186851" w:rsidP="00186851">
            <w:pPr>
              <w:jc w:val="left"/>
              <w:rPr>
                <w:rFonts w:ascii="Arial Narrow" w:hAnsi="Arial Narrow" w:cs="Times New Roman"/>
                <w:bCs/>
                <w:sz w:val="20"/>
                <w:szCs w:val="20"/>
              </w:rPr>
            </w:pPr>
            <w:r w:rsidRPr="00A832D4">
              <w:rPr>
                <w:rFonts w:ascii="Arial Narrow" w:hAnsi="Arial Narrow" w:cs="Times New Roman"/>
                <w:bCs/>
                <w:sz w:val="20"/>
                <w:szCs w:val="20"/>
              </w:rPr>
              <w:t xml:space="preserve">Number of patients: Year 1: 101,734 to Year 6: 260,835 </w:t>
            </w:r>
          </w:p>
          <w:p w14:paraId="70C50DEF" w14:textId="77777777" w:rsidR="00186851" w:rsidRPr="00A832D4" w:rsidRDefault="00186851" w:rsidP="00186851">
            <w:pPr>
              <w:jc w:val="left"/>
              <w:rPr>
                <w:rFonts w:ascii="Arial Narrow" w:hAnsi="Arial Narrow"/>
                <w:sz w:val="20"/>
                <w:szCs w:val="20"/>
              </w:rPr>
            </w:pPr>
          </w:p>
          <w:p w14:paraId="52B4853B"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The </w:t>
            </w:r>
            <w:r>
              <w:rPr>
                <w:rFonts w:ascii="Arial Narrow" w:hAnsi="Arial Narrow"/>
                <w:sz w:val="20"/>
                <w:szCs w:val="20"/>
              </w:rPr>
              <w:t>sponsor</w:t>
            </w:r>
            <w:r w:rsidRPr="00A832D4">
              <w:rPr>
                <w:rFonts w:ascii="Arial Narrow" w:hAnsi="Arial Narrow"/>
                <w:sz w:val="20"/>
                <w:szCs w:val="20"/>
              </w:rPr>
              <w:t xml:space="preserve"> claim</w:t>
            </w:r>
            <w:r>
              <w:rPr>
                <w:rFonts w:ascii="Arial Narrow" w:hAnsi="Arial Narrow"/>
                <w:sz w:val="20"/>
                <w:szCs w:val="20"/>
              </w:rPr>
              <w:t>ed</w:t>
            </w:r>
            <w:r w:rsidRPr="00A832D4">
              <w:rPr>
                <w:rFonts w:ascii="Arial Narrow" w:hAnsi="Arial Narrow"/>
                <w:sz w:val="20"/>
                <w:szCs w:val="20"/>
              </w:rPr>
              <w:t xml:space="preserve"> that it did not identify relevant data to inform the assumptions for the proportion of patients with micro- or macroalbuminuria by disease stage.</w:t>
            </w:r>
          </w:p>
          <w:p w14:paraId="72680890" w14:textId="77777777" w:rsidR="00186851" w:rsidRPr="00A832D4" w:rsidRDefault="00186851" w:rsidP="00186851">
            <w:pPr>
              <w:jc w:val="left"/>
              <w:rPr>
                <w:rFonts w:ascii="Arial Narrow" w:hAnsi="Arial Narrow"/>
                <w:sz w:val="20"/>
                <w:szCs w:val="20"/>
              </w:rPr>
            </w:pPr>
          </w:p>
          <w:p w14:paraId="1C1D7E3E" w14:textId="77777777" w:rsidR="00186851" w:rsidRDefault="00186851" w:rsidP="00186851">
            <w:pPr>
              <w:jc w:val="left"/>
              <w:rPr>
                <w:rFonts w:ascii="Arial Narrow" w:hAnsi="Arial Narrow"/>
                <w:sz w:val="20"/>
                <w:szCs w:val="20"/>
              </w:rPr>
            </w:pPr>
            <w:r w:rsidRPr="00A832D4">
              <w:rPr>
                <w:rFonts w:ascii="Arial Narrow" w:hAnsi="Arial Narrow"/>
                <w:sz w:val="20"/>
                <w:szCs w:val="20"/>
              </w:rPr>
              <w:t xml:space="preserve">The proportion of CKD patients </w:t>
            </w:r>
            <w:r>
              <w:rPr>
                <w:rFonts w:ascii="Arial Narrow" w:hAnsi="Arial Narrow"/>
                <w:sz w:val="20"/>
                <w:szCs w:val="20"/>
              </w:rPr>
              <w:t>s</w:t>
            </w:r>
            <w:r w:rsidRPr="00A832D4">
              <w:rPr>
                <w:rFonts w:ascii="Arial Narrow" w:hAnsi="Arial Narrow"/>
                <w:sz w:val="20"/>
                <w:szCs w:val="20"/>
              </w:rPr>
              <w:t xml:space="preserve">tages 3a and 3b </w:t>
            </w:r>
            <w:r>
              <w:rPr>
                <w:rFonts w:ascii="Arial Narrow" w:hAnsi="Arial Narrow"/>
                <w:sz w:val="20"/>
                <w:szCs w:val="20"/>
              </w:rPr>
              <w:t>was</w:t>
            </w:r>
            <w:r w:rsidRPr="00A832D4">
              <w:rPr>
                <w:rFonts w:ascii="Arial Narrow" w:hAnsi="Arial Narrow"/>
                <w:sz w:val="20"/>
                <w:szCs w:val="20"/>
              </w:rPr>
              <w:t xml:space="preserve"> assumed to be 49%, based on</w:t>
            </w:r>
            <w:r>
              <w:rPr>
                <w:rFonts w:ascii="Arial Narrow" w:hAnsi="Arial Narrow"/>
                <w:sz w:val="20"/>
                <w:szCs w:val="20"/>
              </w:rPr>
              <w:t xml:space="preserve"> an</w:t>
            </w:r>
            <w:r w:rsidRPr="00A832D4">
              <w:rPr>
                <w:rFonts w:ascii="Arial Narrow" w:hAnsi="Arial Narrow"/>
                <w:sz w:val="20"/>
                <w:szCs w:val="20"/>
              </w:rPr>
              <w:t xml:space="preserve"> average </w:t>
            </w:r>
            <w:r>
              <w:rPr>
                <w:rFonts w:ascii="Arial Narrow" w:hAnsi="Arial Narrow"/>
                <w:sz w:val="20"/>
                <w:szCs w:val="20"/>
              </w:rPr>
              <w:t xml:space="preserve">of </w:t>
            </w:r>
            <w:r w:rsidRPr="00A832D4">
              <w:rPr>
                <w:rFonts w:ascii="Arial Narrow" w:hAnsi="Arial Narrow"/>
                <w:sz w:val="20"/>
                <w:szCs w:val="20"/>
              </w:rPr>
              <w:t>the proportion of patients in these stages across five data sources: the National Prescribing Service (NPS) MedicineWise’s MedicineInsight dataset (n=1.3 million)</w:t>
            </w:r>
            <w:r>
              <w:rPr>
                <w:rFonts w:ascii="Arial Narrow" w:hAnsi="Arial Narrow"/>
                <w:sz w:val="20"/>
                <w:szCs w:val="20"/>
              </w:rPr>
              <w:t>;</w:t>
            </w:r>
            <w:r w:rsidRPr="00A832D4">
              <w:rPr>
                <w:rFonts w:ascii="Arial Narrow" w:hAnsi="Arial Narrow"/>
                <w:sz w:val="20"/>
                <w:szCs w:val="20"/>
              </w:rPr>
              <w:t xml:space="preserve"> 2011-2012 NHMS</w:t>
            </w:r>
            <w:r>
              <w:rPr>
                <w:rFonts w:ascii="Arial Narrow" w:hAnsi="Arial Narrow"/>
                <w:sz w:val="20"/>
                <w:szCs w:val="20"/>
              </w:rPr>
              <w:t>;</w:t>
            </w:r>
            <w:r w:rsidRPr="00A832D4">
              <w:rPr>
                <w:rFonts w:ascii="Arial Narrow" w:hAnsi="Arial Narrow"/>
                <w:sz w:val="20"/>
                <w:szCs w:val="20"/>
              </w:rPr>
              <w:t xml:space="preserve"> CKD Queensland Registry (n=1051)</w:t>
            </w:r>
            <w:r>
              <w:rPr>
                <w:rFonts w:ascii="Arial Narrow" w:hAnsi="Arial Narrow"/>
                <w:sz w:val="20"/>
                <w:szCs w:val="20"/>
              </w:rPr>
              <w:t>;</w:t>
            </w:r>
            <w:r w:rsidRPr="00A832D4">
              <w:rPr>
                <w:rFonts w:ascii="Arial Narrow" w:hAnsi="Arial Narrow"/>
                <w:sz w:val="20"/>
                <w:szCs w:val="20"/>
              </w:rPr>
              <w:t xml:space="preserve"> and two QLD registries (Mallett 2014</w:t>
            </w:r>
            <w:r>
              <w:rPr>
                <w:rFonts w:ascii="Arial Narrow" w:hAnsi="Arial Narrow"/>
                <w:sz w:val="20"/>
                <w:szCs w:val="20"/>
              </w:rPr>
              <w:t>,</w:t>
            </w:r>
            <w:r w:rsidRPr="00A832D4">
              <w:rPr>
                <w:rFonts w:ascii="Arial Narrow" w:hAnsi="Arial Narrow"/>
                <w:sz w:val="20"/>
                <w:szCs w:val="20"/>
              </w:rPr>
              <w:t xml:space="preserve"> n=2935 and Mahmoud 2017</w:t>
            </w:r>
            <w:r>
              <w:rPr>
                <w:rFonts w:ascii="Arial Narrow" w:hAnsi="Arial Narrow"/>
                <w:sz w:val="20"/>
                <w:szCs w:val="20"/>
              </w:rPr>
              <w:t>,</w:t>
            </w:r>
            <w:r w:rsidRPr="00A832D4">
              <w:rPr>
                <w:rFonts w:ascii="Arial Narrow" w:hAnsi="Arial Narrow"/>
                <w:sz w:val="20"/>
                <w:szCs w:val="20"/>
              </w:rPr>
              <w:t xml:space="preserve"> n=1265)</w:t>
            </w:r>
            <w:r>
              <w:rPr>
                <w:rFonts w:ascii="Arial Narrow" w:hAnsi="Arial Narrow"/>
                <w:sz w:val="20"/>
                <w:szCs w:val="20"/>
              </w:rPr>
              <w:t>.</w:t>
            </w:r>
          </w:p>
          <w:p w14:paraId="3280C2CD" w14:textId="77777777" w:rsidR="00186851" w:rsidRDefault="00186851" w:rsidP="00186851">
            <w:pPr>
              <w:jc w:val="left"/>
              <w:rPr>
                <w:rFonts w:ascii="Arial Narrow" w:hAnsi="Arial Narrow"/>
                <w:sz w:val="20"/>
                <w:szCs w:val="20"/>
              </w:rPr>
            </w:pPr>
          </w:p>
          <w:p w14:paraId="10BE07BF" w14:textId="77777777" w:rsidR="00186851" w:rsidRPr="00A832D4" w:rsidRDefault="00186851" w:rsidP="00186851">
            <w:pPr>
              <w:jc w:val="left"/>
              <w:rPr>
                <w:rFonts w:ascii="Arial Narrow" w:hAnsi="Arial Narrow"/>
                <w:iCs/>
                <w:sz w:val="20"/>
                <w:szCs w:val="20"/>
              </w:rPr>
            </w:pPr>
            <w:r>
              <w:rPr>
                <w:rFonts w:ascii="Arial Narrow" w:hAnsi="Arial Narrow"/>
                <w:sz w:val="20"/>
                <w:szCs w:val="20"/>
              </w:rPr>
              <w:t>In NHMS data only, the proportion of CKD patients with stages 3a and 3b was 33.3%, and the sponsor applied this value in a scenario analysis.</w:t>
            </w:r>
          </w:p>
        </w:tc>
        <w:tc>
          <w:tcPr>
            <w:tcW w:w="1072" w:type="pct"/>
          </w:tcPr>
          <w:p w14:paraId="653BD29F" w14:textId="77777777" w:rsidR="00186851" w:rsidRDefault="00186851" w:rsidP="00186851">
            <w:pPr>
              <w:jc w:val="left"/>
              <w:rPr>
                <w:rFonts w:ascii="Arial Narrow" w:hAnsi="Arial Narrow" w:cs="Times New Roman"/>
                <w:bCs/>
                <w:sz w:val="20"/>
                <w:szCs w:val="20"/>
              </w:rPr>
            </w:pPr>
            <w:r>
              <w:rPr>
                <w:rFonts w:ascii="Arial Narrow" w:hAnsi="Arial Narrow" w:cs="Times New Roman"/>
                <w:bCs/>
                <w:sz w:val="20"/>
                <w:szCs w:val="20"/>
              </w:rPr>
              <w:t>R</w:t>
            </w:r>
            <w:r w:rsidRPr="004D4F88">
              <w:rPr>
                <w:rFonts w:ascii="Arial Narrow" w:hAnsi="Arial Narrow" w:cs="Times New Roman"/>
                <w:bCs/>
                <w:sz w:val="20"/>
                <w:szCs w:val="20"/>
              </w:rPr>
              <w:t xml:space="preserve">emained </w:t>
            </w:r>
            <w:r>
              <w:rPr>
                <w:rFonts w:ascii="Arial Narrow" w:hAnsi="Arial Narrow" w:cs="Times New Roman"/>
                <w:bCs/>
                <w:sz w:val="20"/>
                <w:szCs w:val="20"/>
              </w:rPr>
              <w:t>very significantly</w:t>
            </w:r>
            <w:r w:rsidRPr="004D4F88">
              <w:rPr>
                <w:rFonts w:ascii="Arial Narrow" w:hAnsi="Arial Narrow" w:cs="Times New Roman"/>
                <w:bCs/>
                <w:sz w:val="20"/>
                <w:szCs w:val="20"/>
              </w:rPr>
              <w:t xml:space="preserve"> overestimated; PBAC previously considered that that the estimate would be </w:t>
            </w:r>
            <w:bookmarkStart w:id="74" w:name="_Hlk83985541"/>
            <w:r w:rsidRPr="004D4F88">
              <w:rPr>
                <w:rFonts w:ascii="Arial Narrow" w:hAnsi="Arial Narrow" w:cs="Times New Roman"/>
                <w:bCs/>
                <w:sz w:val="20"/>
                <w:szCs w:val="20"/>
              </w:rPr>
              <w:t xml:space="preserve">closer to 0.9% than 5.8% of </w:t>
            </w:r>
            <w:r>
              <w:rPr>
                <w:rFonts w:ascii="Arial Narrow" w:hAnsi="Arial Narrow" w:cs="Times New Roman"/>
                <w:bCs/>
                <w:sz w:val="20"/>
                <w:szCs w:val="20"/>
              </w:rPr>
              <w:t>un</w:t>
            </w:r>
            <w:r w:rsidRPr="004D4F88">
              <w:rPr>
                <w:rFonts w:ascii="Arial Narrow" w:hAnsi="Arial Narrow" w:cs="Times New Roman"/>
                <w:bCs/>
                <w:sz w:val="20"/>
                <w:szCs w:val="20"/>
              </w:rPr>
              <w:t>diagnosed CKD</w:t>
            </w:r>
            <w:r>
              <w:rPr>
                <w:rFonts w:ascii="Arial Narrow" w:hAnsi="Arial Narrow" w:cs="Times New Roman"/>
                <w:bCs/>
                <w:sz w:val="20"/>
                <w:szCs w:val="20"/>
              </w:rPr>
              <w:t xml:space="preserve">; </w:t>
            </w:r>
            <w:r w:rsidRPr="004D4F88">
              <w:rPr>
                <w:rFonts w:ascii="Arial Narrow" w:hAnsi="Arial Narrow" w:cs="Times New Roman"/>
                <w:bCs/>
                <w:sz w:val="20"/>
                <w:szCs w:val="20"/>
              </w:rPr>
              <w:t>that is, closer to 9% than 58%</w:t>
            </w:r>
            <w:r>
              <w:rPr>
                <w:rFonts w:ascii="Arial Narrow" w:hAnsi="Arial Narrow" w:cs="Times New Roman"/>
                <w:bCs/>
                <w:sz w:val="20"/>
                <w:szCs w:val="20"/>
              </w:rPr>
              <w:t xml:space="preserve"> of diagnosed</w:t>
            </w:r>
            <w:r w:rsidRPr="004D4F88">
              <w:rPr>
                <w:rFonts w:ascii="Arial Narrow" w:hAnsi="Arial Narrow" w:cs="Times New Roman"/>
                <w:bCs/>
                <w:sz w:val="20"/>
                <w:szCs w:val="20"/>
              </w:rPr>
              <w:t xml:space="preserve">. </w:t>
            </w:r>
            <w:bookmarkEnd w:id="74"/>
          </w:p>
          <w:p w14:paraId="430C0C5B" w14:textId="77777777" w:rsidR="00186851" w:rsidRDefault="00186851" w:rsidP="00186851">
            <w:pPr>
              <w:jc w:val="left"/>
              <w:rPr>
                <w:rFonts w:ascii="Arial Narrow" w:hAnsi="Arial Narrow" w:cs="Times New Roman"/>
                <w:bCs/>
                <w:sz w:val="20"/>
                <w:szCs w:val="20"/>
              </w:rPr>
            </w:pPr>
          </w:p>
          <w:p w14:paraId="4042DCCB" w14:textId="77777777" w:rsidR="00186851" w:rsidRDefault="00186851" w:rsidP="00186851">
            <w:pPr>
              <w:jc w:val="left"/>
              <w:rPr>
                <w:rFonts w:ascii="Arial Narrow" w:hAnsi="Arial Narrow" w:cs="Times New Roman"/>
                <w:bCs/>
                <w:sz w:val="20"/>
                <w:szCs w:val="20"/>
              </w:rPr>
            </w:pPr>
          </w:p>
        </w:tc>
      </w:tr>
      <w:tr w:rsidR="00186851" w:rsidRPr="00A832D4" w14:paraId="7A09C045" w14:textId="77777777" w:rsidTr="00186851">
        <w:trPr>
          <w:cantSplit/>
        </w:trPr>
        <w:tc>
          <w:tcPr>
            <w:tcW w:w="705" w:type="pct"/>
            <w:shd w:val="clear" w:color="auto" w:fill="auto"/>
          </w:tcPr>
          <w:p w14:paraId="5C5A29C6" w14:textId="77777777" w:rsidR="00186851" w:rsidRPr="00A832D4" w:rsidRDefault="00186851" w:rsidP="00186851">
            <w:pPr>
              <w:jc w:val="left"/>
              <w:rPr>
                <w:rFonts w:ascii="Arial Narrow" w:hAnsi="Arial Narrow"/>
                <w:sz w:val="20"/>
                <w:szCs w:val="20"/>
              </w:rPr>
            </w:pPr>
            <w:r>
              <w:rPr>
                <w:rFonts w:ascii="Arial Narrow" w:hAnsi="Arial Narrow"/>
                <w:sz w:val="20"/>
                <w:szCs w:val="20"/>
              </w:rPr>
              <w:t>P</w:t>
            </w:r>
            <w:r w:rsidRPr="00A832D4">
              <w:rPr>
                <w:rFonts w:ascii="Arial Narrow" w:hAnsi="Arial Narrow"/>
                <w:sz w:val="20"/>
                <w:szCs w:val="20"/>
              </w:rPr>
              <w:t>atients with polycystic kidney disease, lupus nephritis and ANCA-associated vasculitis.</w:t>
            </w:r>
          </w:p>
        </w:tc>
        <w:tc>
          <w:tcPr>
            <w:tcW w:w="1730" w:type="pct"/>
            <w:shd w:val="clear" w:color="auto" w:fill="auto"/>
          </w:tcPr>
          <w:p w14:paraId="0A0172A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Original financial estimates included these subpopulations.</w:t>
            </w:r>
          </w:p>
          <w:p w14:paraId="7497ABA8" w14:textId="77777777" w:rsidR="00186851" w:rsidRPr="00A832D4" w:rsidRDefault="00186851" w:rsidP="00186851">
            <w:pPr>
              <w:jc w:val="center"/>
              <w:rPr>
                <w:rFonts w:ascii="Arial Narrow" w:hAnsi="Arial Narrow"/>
                <w:sz w:val="20"/>
                <w:szCs w:val="20"/>
              </w:rPr>
            </w:pPr>
          </w:p>
          <w:p w14:paraId="79A14111"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PBAC consideration:</w:t>
            </w:r>
          </w:p>
          <w:p w14:paraId="3A4A1EE4" w14:textId="77777777" w:rsidR="00186851" w:rsidRPr="00A832D4" w:rsidRDefault="00186851" w:rsidP="00186851">
            <w:pPr>
              <w:jc w:val="center"/>
              <w:rPr>
                <w:rFonts w:ascii="Arial Narrow" w:hAnsi="Arial Narrow"/>
                <w:b/>
                <w:bCs/>
                <w:sz w:val="20"/>
                <w:szCs w:val="20"/>
              </w:rPr>
            </w:pPr>
            <w:r w:rsidRPr="00A832D4">
              <w:rPr>
                <w:rFonts w:ascii="Arial Narrow" w:hAnsi="Arial Narrow"/>
                <w:sz w:val="20"/>
                <w:szCs w:val="20"/>
              </w:rPr>
              <w:t xml:space="preserve">PBS restriction </w:t>
            </w:r>
            <w:r>
              <w:rPr>
                <w:rFonts w:ascii="Arial Narrow" w:hAnsi="Arial Narrow"/>
                <w:sz w:val="20"/>
                <w:szCs w:val="20"/>
              </w:rPr>
              <w:t xml:space="preserve">and estimates </w:t>
            </w:r>
            <w:r w:rsidRPr="00A832D4">
              <w:rPr>
                <w:rFonts w:ascii="Arial Narrow" w:hAnsi="Arial Narrow"/>
                <w:sz w:val="20"/>
                <w:szCs w:val="20"/>
              </w:rPr>
              <w:t xml:space="preserve">should also exclude: patients with polycystic kidney disease, lupus nephritis or ANCA-associated vasculitis; </w:t>
            </w:r>
            <w:bookmarkStart w:id="75" w:name="_Hlk83968774"/>
            <w:r w:rsidRPr="00A832D4">
              <w:rPr>
                <w:rFonts w:ascii="Arial Narrow" w:hAnsi="Arial Narrow"/>
                <w:sz w:val="20"/>
                <w:szCs w:val="20"/>
              </w:rPr>
              <w:t xml:space="preserve">patients requiring or with a recent history of cytotoxic or immunosuppressive therapy for kidney disease; and patients with an organ transplant </w:t>
            </w:r>
            <w:bookmarkEnd w:id="75"/>
            <w:r>
              <w:rPr>
                <w:rFonts w:ascii="Arial Narrow" w:hAnsi="Arial Narrow"/>
                <w:sz w:val="20"/>
                <w:szCs w:val="20"/>
              </w:rPr>
              <w:t>(</w:t>
            </w:r>
            <w:r w:rsidRPr="00A832D4">
              <w:rPr>
                <w:rFonts w:ascii="Arial Narrow" w:hAnsi="Arial Narrow"/>
                <w:sz w:val="20"/>
                <w:szCs w:val="20"/>
              </w:rPr>
              <w:t>para</w:t>
            </w:r>
            <w:r>
              <w:rPr>
                <w:rFonts w:ascii="Arial Narrow" w:hAnsi="Arial Narrow"/>
                <w:sz w:val="20"/>
                <w:szCs w:val="20"/>
              </w:rPr>
              <w:t>s</w:t>
            </w:r>
            <w:r w:rsidRPr="00A832D4">
              <w:rPr>
                <w:rFonts w:ascii="Arial Narrow" w:hAnsi="Arial Narrow"/>
                <w:sz w:val="20"/>
                <w:szCs w:val="20"/>
              </w:rPr>
              <w:t xml:space="preserve"> </w:t>
            </w:r>
            <w:r>
              <w:rPr>
                <w:rFonts w:ascii="Arial Narrow" w:hAnsi="Arial Narrow"/>
                <w:sz w:val="20"/>
                <w:szCs w:val="20"/>
              </w:rPr>
              <w:t>7.3 and 7.10).</w:t>
            </w:r>
          </w:p>
        </w:tc>
        <w:tc>
          <w:tcPr>
            <w:tcW w:w="1494" w:type="pct"/>
            <w:shd w:val="clear" w:color="auto" w:fill="auto"/>
          </w:tcPr>
          <w:p w14:paraId="488FD217" w14:textId="77777777" w:rsidR="00186851" w:rsidRPr="00A832D4" w:rsidRDefault="00186851" w:rsidP="00186851">
            <w:pPr>
              <w:jc w:val="left"/>
              <w:rPr>
                <w:rFonts w:ascii="Arial Narrow" w:hAnsi="Arial Narrow"/>
                <w:sz w:val="20"/>
                <w:szCs w:val="20"/>
              </w:rPr>
            </w:pPr>
            <w:r>
              <w:rPr>
                <w:rFonts w:ascii="Arial Narrow" w:hAnsi="Arial Narrow"/>
                <w:iCs/>
                <w:sz w:val="20"/>
                <w:szCs w:val="20"/>
              </w:rPr>
              <w:t>E</w:t>
            </w:r>
            <w:r w:rsidRPr="00A832D4">
              <w:rPr>
                <w:rFonts w:ascii="Arial Narrow" w:hAnsi="Arial Narrow"/>
                <w:iCs/>
                <w:sz w:val="20"/>
                <w:szCs w:val="20"/>
              </w:rPr>
              <w:t>xclude</w:t>
            </w:r>
            <w:r>
              <w:rPr>
                <w:rFonts w:ascii="Arial Narrow" w:hAnsi="Arial Narrow"/>
                <w:iCs/>
                <w:sz w:val="20"/>
                <w:szCs w:val="20"/>
              </w:rPr>
              <w:t>d</w:t>
            </w:r>
            <w:r w:rsidRPr="00A832D4">
              <w:rPr>
                <w:rFonts w:ascii="Arial Narrow" w:hAnsi="Arial Narrow"/>
                <w:iCs/>
                <w:sz w:val="20"/>
                <w:szCs w:val="20"/>
              </w:rPr>
              <w:t xml:space="preserve"> patients with </w:t>
            </w:r>
            <w:r w:rsidRPr="00A832D4">
              <w:rPr>
                <w:rFonts w:ascii="Arial Narrow" w:hAnsi="Arial Narrow"/>
                <w:sz w:val="20"/>
                <w:szCs w:val="20"/>
              </w:rPr>
              <w:t>polycystic kidney disease, lupus nephritis or ANCA-associated vasculitis. Based on Queensland registry data presented in Mallett et al 2014, assume</w:t>
            </w:r>
            <w:r>
              <w:rPr>
                <w:rFonts w:ascii="Arial Narrow" w:hAnsi="Arial Narrow"/>
                <w:sz w:val="20"/>
                <w:szCs w:val="20"/>
              </w:rPr>
              <w:t>d</w:t>
            </w:r>
            <w:r w:rsidRPr="00A832D4">
              <w:rPr>
                <w:rFonts w:ascii="Arial Narrow" w:hAnsi="Arial Narrow"/>
                <w:sz w:val="20"/>
                <w:szCs w:val="20"/>
              </w:rPr>
              <w:t xml:space="preserve"> 94.34% of CKD patients do not have these conditions.</w:t>
            </w:r>
          </w:p>
          <w:p w14:paraId="507B9E36" w14:textId="77777777" w:rsidR="00186851" w:rsidRPr="00A832D4" w:rsidRDefault="00186851" w:rsidP="00186851">
            <w:pPr>
              <w:jc w:val="left"/>
              <w:rPr>
                <w:rFonts w:ascii="Arial Narrow" w:hAnsi="Arial Narrow"/>
                <w:iCs/>
                <w:sz w:val="20"/>
                <w:szCs w:val="20"/>
              </w:rPr>
            </w:pPr>
          </w:p>
          <w:p w14:paraId="31716000" w14:textId="77777777" w:rsidR="00186851" w:rsidRPr="00A832D4" w:rsidRDefault="00186851" w:rsidP="00186851">
            <w:pPr>
              <w:jc w:val="left"/>
              <w:rPr>
                <w:rFonts w:ascii="Arial Narrow" w:hAnsi="Arial Narrow"/>
                <w:iCs/>
                <w:sz w:val="20"/>
                <w:szCs w:val="20"/>
              </w:rPr>
            </w:pPr>
          </w:p>
        </w:tc>
        <w:tc>
          <w:tcPr>
            <w:tcW w:w="1072" w:type="pct"/>
          </w:tcPr>
          <w:p w14:paraId="657CA66E" w14:textId="77777777" w:rsidR="00186851" w:rsidRPr="00A832D4" w:rsidDel="00694B85" w:rsidRDefault="00186851" w:rsidP="00186851">
            <w:pPr>
              <w:jc w:val="left"/>
              <w:rPr>
                <w:rFonts w:ascii="Arial Narrow" w:hAnsi="Arial Narrow"/>
                <w:iCs/>
                <w:sz w:val="20"/>
                <w:szCs w:val="20"/>
              </w:rPr>
            </w:pPr>
            <w:r>
              <w:rPr>
                <w:rFonts w:ascii="Arial Narrow" w:hAnsi="Arial Narrow"/>
                <w:iCs/>
                <w:sz w:val="20"/>
                <w:szCs w:val="20"/>
              </w:rPr>
              <w:t xml:space="preserve">The applicability of Queensland data was unknown, and patients with a history of cytotoxic or immunosuppressive therapy for kidney disease, or an organ transplant had not been excluded. </w:t>
            </w:r>
            <w:bookmarkStart w:id="76" w:name="_Hlk83972563"/>
            <w:r>
              <w:rPr>
                <w:rFonts w:ascii="Arial Narrow" w:hAnsi="Arial Narrow"/>
                <w:iCs/>
                <w:sz w:val="20"/>
                <w:szCs w:val="20"/>
              </w:rPr>
              <w:t>As the overall impact of further changes was likely to be small, these estimates were reasonable.</w:t>
            </w:r>
            <w:bookmarkEnd w:id="76"/>
          </w:p>
        </w:tc>
      </w:tr>
      <w:tr w:rsidR="00186851" w:rsidRPr="00A832D4" w14:paraId="72F0347D" w14:textId="77777777" w:rsidTr="00186851">
        <w:trPr>
          <w:cantSplit/>
        </w:trPr>
        <w:tc>
          <w:tcPr>
            <w:tcW w:w="705" w:type="pct"/>
            <w:shd w:val="clear" w:color="auto" w:fill="auto"/>
          </w:tcPr>
          <w:p w14:paraId="63221000"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Adults (%) with biomedical data suggesting CKD, with/without overlapping comorbidities of T2DM and/or CVD </w:t>
            </w:r>
          </w:p>
        </w:tc>
        <w:tc>
          <w:tcPr>
            <w:tcW w:w="1730" w:type="pct"/>
            <w:shd w:val="clear" w:color="auto" w:fill="auto"/>
          </w:tcPr>
          <w:p w14:paraId="2CCCB06F"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only: 4.9%</w:t>
            </w:r>
          </w:p>
          <w:p w14:paraId="4399636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CVD: 3.5%</w:t>
            </w:r>
          </w:p>
          <w:p w14:paraId="6E87080F"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T2DM: 0.6%</w:t>
            </w:r>
          </w:p>
          <w:p w14:paraId="4D4D16A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CVD + T2DM: 1.1% (2011-12 AHS)</w:t>
            </w:r>
          </w:p>
          <w:p w14:paraId="216A80B3" w14:textId="77777777" w:rsidR="00186851" w:rsidRPr="00A832D4" w:rsidRDefault="00186851" w:rsidP="00186851">
            <w:pPr>
              <w:jc w:val="center"/>
              <w:rPr>
                <w:rFonts w:ascii="Arial Narrow" w:hAnsi="Arial Narrow"/>
                <w:sz w:val="20"/>
                <w:szCs w:val="20"/>
              </w:rPr>
            </w:pPr>
          </w:p>
          <w:p w14:paraId="0DD814D1"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Evaluation comments:</w:t>
            </w:r>
          </w:p>
          <w:p w14:paraId="35A35BD6"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 xml:space="preserve">2011-2012 AHS data is the most recent reliable Australian data, but may not reflect current Australian setting. Estimates were based on older 2011-2012 biomedical data (NHMS 2013) and were highly </w:t>
            </w:r>
            <w:r w:rsidRPr="008B0C5A">
              <w:rPr>
                <w:rFonts w:ascii="Arial Narrow" w:hAnsi="Arial Narrow"/>
                <w:iCs/>
                <w:sz w:val="20"/>
                <w:szCs w:val="20"/>
              </w:rPr>
              <w:t>uncertain (</w:t>
            </w:r>
            <w:r w:rsidRPr="008B0C5A">
              <w:rPr>
                <w:rFonts w:ascii="Arial Narrow" w:hAnsi="Arial Narrow"/>
                <w:sz w:val="20"/>
                <w:szCs w:val="20"/>
              </w:rPr>
              <w:t xml:space="preserve">Table </w:t>
            </w:r>
            <w:r w:rsidRPr="008B0C5A">
              <w:rPr>
                <w:rFonts w:ascii="Arial Narrow" w:hAnsi="Arial Narrow"/>
                <w:noProof/>
                <w:sz w:val="20"/>
                <w:szCs w:val="20"/>
              </w:rPr>
              <w:t>17</w:t>
            </w:r>
            <w:r w:rsidRPr="008B0C5A">
              <w:rPr>
                <w:rFonts w:ascii="Arial Narrow" w:hAnsi="Arial Narrow"/>
                <w:iCs/>
                <w:sz w:val="20"/>
                <w:szCs w:val="20"/>
              </w:rPr>
              <w:t>).</w:t>
            </w:r>
          </w:p>
        </w:tc>
        <w:tc>
          <w:tcPr>
            <w:tcW w:w="1494" w:type="pct"/>
            <w:shd w:val="clear" w:color="auto" w:fill="auto"/>
          </w:tcPr>
          <w:p w14:paraId="5706E646"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w:t>
            </w:r>
          </w:p>
        </w:tc>
        <w:tc>
          <w:tcPr>
            <w:tcW w:w="1072" w:type="pct"/>
          </w:tcPr>
          <w:p w14:paraId="3EBCFAD9"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R</w:t>
            </w:r>
            <w:r w:rsidRPr="00B61CE1">
              <w:rPr>
                <w:rFonts w:ascii="Arial Narrow" w:hAnsi="Arial Narrow"/>
                <w:iCs/>
                <w:sz w:val="20"/>
                <w:szCs w:val="20"/>
              </w:rPr>
              <w:t>emained highly uncertain as based on older 2011-2012 data, although reasonable to use as this was the most recent reliable Australian data.</w:t>
            </w:r>
          </w:p>
        </w:tc>
      </w:tr>
      <w:tr w:rsidR="00186851" w:rsidRPr="00A832D4" w14:paraId="78F91713" w14:textId="77777777" w:rsidTr="00186851">
        <w:trPr>
          <w:cantSplit/>
        </w:trPr>
        <w:tc>
          <w:tcPr>
            <w:tcW w:w="705" w:type="pct"/>
            <w:shd w:val="clear" w:color="auto" w:fill="auto"/>
          </w:tcPr>
          <w:p w14:paraId="041AA191" w14:textId="77777777" w:rsidR="00186851" w:rsidRPr="00A832D4" w:rsidRDefault="00186851" w:rsidP="00186851">
            <w:pPr>
              <w:jc w:val="left"/>
              <w:rPr>
                <w:rFonts w:ascii="Arial Narrow" w:hAnsi="Arial Narrow"/>
                <w:sz w:val="20"/>
                <w:szCs w:val="20"/>
              </w:rPr>
            </w:pPr>
            <w:bookmarkStart w:id="77" w:name="_Hlk83931325"/>
            <w:r w:rsidRPr="00A832D4">
              <w:rPr>
                <w:rFonts w:ascii="Arial Narrow" w:hAnsi="Arial Narrow"/>
                <w:sz w:val="20"/>
                <w:szCs w:val="20"/>
              </w:rPr>
              <w:t>Proportion of CKD patients not eligible for PBS-listed SGLT2 inhibitors for T2DM (HbA1c ≤7.0%)</w:t>
            </w:r>
            <w:bookmarkEnd w:id="77"/>
          </w:p>
        </w:tc>
        <w:tc>
          <w:tcPr>
            <w:tcW w:w="1730" w:type="pct"/>
            <w:shd w:val="clear" w:color="auto" w:fill="auto"/>
          </w:tcPr>
          <w:p w14:paraId="0CB4D86C"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93.4% based on following factors:</w:t>
            </w:r>
          </w:p>
          <w:p w14:paraId="10DF692D"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Diabetics with T2DM: 88% (AUSDIAB 2012)</w:t>
            </w:r>
          </w:p>
          <w:p w14:paraId="65D290D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T2DM eligible for SGLT2i: 44.4% (AUSDIAB 2012)</w:t>
            </w:r>
          </w:p>
          <w:p w14:paraId="5A0AF8AB"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Morbidity overlap CKD + T2DM: 0.6%; and</w:t>
            </w:r>
          </w:p>
          <w:p w14:paraId="71F2A849" w14:textId="77777777" w:rsidR="00186851" w:rsidRPr="00D43118" w:rsidRDefault="00186851" w:rsidP="00186851">
            <w:pPr>
              <w:jc w:val="center"/>
              <w:rPr>
                <w:rFonts w:ascii="Arial Narrow" w:hAnsi="Arial Narrow"/>
                <w:sz w:val="20"/>
                <w:szCs w:val="20"/>
              </w:rPr>
            </w:pPr>
            <w:r w:rsidRPr="00A832D4">
              <w:rPr>
                <w:rFonts w:ascii="Arial Narrow" w:hAnsi="Arial Narrow"/>
                <w:sz w:val="20"/>
                <w:szCs w:val="20"/>
              </w:rPr>
              <w:t xml:space="preserve">CKD + CVD </w:t>
            </w:r>
            <w:r w:rsidRPr="00D43118">
              <w:rPr>
                <w:rFonts w:ascii="Arial Narrow" w:hAnsi="Arial Narrow"/>
                <w:sz w:val="20"/>
                <w:szCs w:val="20"/>
              </w:rPr>
              <w:t>+ T2DM: 1.1% (2011-12 AHS)</w:t>
            </w:r>
          </w:p>
          <w:p w14:paraId="052EF581" w14:textId="77777777" w:rsidR="00186851" w:rsidRPr="00D43118" w:rsidRDefault="00186851" w:rsidP="00186851">
            <w:pPr>
              <w:jc w:val="center"/>
              <w:rPr>
                <w:rFonts w:ascii="Arial Narrow" w:hAnsi="Arial Narrow"/>
                <w:sz w:val="20"/>
                <w:szCs w:val="20"/>
              </w:rPr>
            </w:pPr>
          </w:p>
          <w:p w14:paraId="758D0870" w14:textId="77777777" w:rsidR="00186851" w:rsidRPr="00D43118" w:rsidRDefault="00186851" w:rsidP="00186851">
            <w:pPr>
              <w:jc w:val="center"/>
              <w:rPr>
                <w:rFonts w:ascii="Arial Narrow" w:hAnsi="Arial Narrow"/>
                <w:b/>
                <w:bCs/>
                <w:sz w:val="20"/>
                <w:szCs w:val="20"/>
              </w:rPr>
            </w:pPr>
            <w:r w:rsidRPr="00D43118">
              <w:rPr>
                <w:rFonts w:ascii="Arial Narrow" w:hAnsi="Arial Narrow"/>
                <w:b/>
                <w:bCs/>
                <w:sz w:val="20"/>
                <w:szCs w:val="20"/>
              </w:rPr>
              <w:t>PBAC consideration:</w:t>
            </w:r>
          </w:p>
          <w:p w14:paraId="3E89A1D4" w14:textId="77777777" w:rsidR="00186851" w:rsidRPr="00A832D4" w:rsidRDefault="00186851" w:rsidP="00186851">
            <w:pPr>
              <w:jc w:val="center"/>
              <w:rPr>
                <w:rFonts w:ascii="Arial Narrow" w:hAnsi="Arial Narrow"/>
                <w:sz w:val="20"/>
                <w:szCs w:val="20"/>
              </w:rPr>
            </w:pPr>
            <w:r w:rsidRPr="00D43118">
              <w:rPr>
                <w:rFonts w:ascii="Arial Narrow" w:hAnsi="Arial Narrow"/>
                <w:sz w:val="20"/>
                <w:szCs w:val="20"/>
              </w:rPr>
              <w:t xml:space="preserve">Based </w:t>
            </w:r>
            <w:r>
              <w:rPr>
                <w:rFonts w:ascii="Arial Narrow" w:hAnsi="Arial Narrow"/>
                <w:sz w:val="20"/>
                <w:szCs w:val="20"/>
              </w:rPr>
              <w:t xml:space="preserve">on </w:t>
            </w:r>
            <w:r w:rsidRPr="00D43118">
              <w:rPr>
                <w:rFonts w:ascii="Arial Narrow" w:hAnsi="Arial Narrow"/>
                <w:sz w:val="20"/>
                <w:szCs w:val="20"/>
              </w:rPr>
              <w:t>AIHW</w:t>
            </w:r>
            <w:r>
              <w:rPr>
                <w:rFonts w:ascii="Arial Narrow" w:hAnsi="Arial Narrow"/>
                <w:sz w:val="20"/>
                <w:szCs w:val="20"/>
              </w:rPr>
              <w:t xml:space="preserve"> 2014</w:t>
            </w:r>
            <w:r w:rsidRPr="00D43118">
              <w:rPr>
                <w:rFonts w:ascii="Arial Narrow" w:hAnsi="Arial Narrow"/>
                <w:sz w:val="20"/>
                <w:szCs w:val="20"/>
              </w:rPr>
              <w:t xml:space="preserve"> analysis of NHMS 2011-2012 data, could be as low as 83.2%, although the PBAC acknowledged that this estimate</w:t>
            </w:r>
            <w:r>
              <w:rPr>
                <w:rFonts w:ascii="Arial Narrow" w:hAnsi="Arial Narrow"/>
                <w:sz w:val="20"/>
                <w:szCs w:val="20"/>
              </w:rPr>
              <w:t xml:space="preserve"> did not explicitly account for eligibility according to the existing and proposed PBS restrictions (para 6.61)</w:t>
            </w:r>
          </w:p>
        </w:tc>
        <w:tc>
          <w:tcPr>
            <w:tcW w:w="1494" w:type="pct"/>
            <w:shd w:val="clear" w:color="auto" w:fill="auto"/>
          </w:tcPr>
          <w:p w14:paraId="411226A5" w14:textId="77777777" w:rsidR="00186851" w:rsidRPr="00A832D4" w:rsidRDefault="00186851" w:rsidP="00186851">
            <w:pPr>
              <w:jc w:val="left"/>
              <w:rPr>
                <w:rFonts w:ascii="Arial Narrow" w:hAnsi="Arial Narrow"/>
                <w:b/>
                <w:sz w:val="20"/>
                <w:szCs w:val="20"/>
              </w:rPr>
            </w:pPr>
            <w:r>
              <w:rPr>
                <w:rFonts w:ascii="Arial Narrow" w:hAnsi="Arial Narrow"/>
                <w:iCs/>
                <w:sz w:val="20"/>
                <w:szCs w:val="20"/>
              </w:rPr>
              <w:t>Sponsor</w:t>
            </w:r>
            <w:r w:rsidRPr="00A832D4">
              <w:rPr>
                <w:rFonts w:ascii="Arial Narrow" w:hAnsi="Arial Narrow"/>
                <w:iCs/>
                <w:sz w:val="20"/>
                <w:szCs w:val="20"/>
              </w:rPr>
              <w:t xml:space="preserve"> used a midpoint of </w:t>
            </w:r>
            <w:r w:rsidRPr="00A832D4">
              <w:rPr>
                <w:rFonts w:ascii="Arial Narrow" w:hAnsi="Arial Narrow"/>
                <w:sz w:val="20"/>
                <w:szCs w:val="20"/>
              </w:rPr>
              <w:t>88.3% based on its original assumption of 93.4% and PBAC’s suggested proportion of 83.</w:t>
            </w:r>
            <w:r>
              <w:rPr>
                <w:rFonts w:ascii="Arial Narrow" w:hAnsi="Arial Narrow"/>
                <w:sz w:val="20"/>
                <w:szCs w:val="20"/>
              </w:rPr>
              <w:t>2</w:t>
            </w:r>
            <w:r w:rsidRPr="00A832D4">
              <w:rPr>
                <w:rFonts w:ascii="Arial Narrow" w:hAnsi="Arial Narrow"/>
                <w:sz w:val="20"/>
                <w:szCs w:val="20"/>
              </w:rPr>
              <w:t>%</w:t>
            </w:r>
            <w:r>
              <w:rPr>
                <w:rFonts w:ascii="Arial Narrow" w:hAnsi="Arial Narrow"/>
                <w:sz w:val="20"/>
                <w:szCs w:val="20"/>
              </w:rPr>
              <w:t xml:space="preserve"> (the latter was applied in a scenario analysis)</w:t>
            </w:r>
            <w:r w:rsidRPr="00A832D4">
              <w:rPr>
                <w:rFonts w:ascii="Arial Narrow" w:hAnsi="Arial Narrow"/>
                <w:sz w:val="20"/>
                <w:szCs w:val="20"/>
              </w:rPr>
              <w:t>.</w:t>
            </w:r>
            <w:r w:rsidRPr="00A832D4">
              <w:rPr>
                <w:rFonts w:ascii="Arial Narrow" w:hAnsi="Arial Narrow"/>
                <w:b/>
                <w:sz w:val="20"/>
                <w:szCs w:val="20"/>
              </w:rPr>
              <w:t xml:space="preserve"> </w:t>
            </w:r>
          </w:p>
          <w:p w14:paraId="70615F9B" w14:textId="77777777" w:rsidR="00186851" w:rsidRPr="009E5AEE" w:rsidRDefault="00186851" w:rsidP="00186851">
            <w:pPr>
              <w:jc w:val="left"/>
              <w:rPr>
                <w:rFonts w:ascii="Arial Narrow" w:hAnsi="Arial Narrow"/>
                <w:bCs/>
                <w:sz w:val="20"/>
                <w:szCs w:val="20"/>
              </w:rPr>
            </w:pPr>
          </w:p>
          <w:p w14:paraId="629DAB14" w14:textId="77777777" w:rsidR="00186851" w:rsidRPr="00A832D4" w:rsidRDefault="00186851" w:rsidP="00186851">
            <w:pPr>
              <w:jc w:val="left"/>
              <w:rPr>
                <w:rFonts w:ascii="Arial Narrow" w:hAnsi="Arial Narrow"/>
                <w:bCs/>
                <w:sz w:val="20"/>
                <w:szCs w:val="20"/>
              </w:rPr>
            </w:pPr>
          </w:p>
          <w:p w14:paraId="55B8FC26" w14:textId="77777777" w:rsidR="00186851" w:rsidRPr="00A832D4" w:rsidRDefault="00186851" w:rsidP="00186851">
            <w:pPr>
              <w:jc w:val="left"/>
              <w:rPr>
                <w:rFonts w:ascii="Arial Narrow" w:hAnsi="Arial Narrow"/>
                <w:b/>
                <w:sz w:val="20"/>
                <w:szCs w:val="20"/>
                <w:u w:val="single"/>
              </w:rPr>
            </w:pPr>
          </w:p>
          <w:p w14:paraId="34AE2E7F" w14:textId="77777777" w:rsidR="00186851" w:rsidRPr="00A832D4" w:rsidRDefault="00186851" w:rsidP="00186851">
            <w:pPr>
              <w:jc w:val="left"/>
              <w:rPr>
                <w:rFonts w:ascii="Arial Narrow" w:hAnsi="Arial Narrow"/>
                <w:iCs/>
                <w:sz w:val="20"/>
                <w:szCs w:val="20"/>
              </w:rPr>
            </w:pPr>
          </w:p>
        </w:tc>
        <w:tc>
          <w:tcPr>
            <w:tcW w:w="1072" w:type="pct"/>
          </w:tcPr>
          <w:p w14:paraId="193A9F2C" w14:textId="77777777" w:rsidR="00186851" w:rsidRPr="008B0C5A" w:rsidDel="006659BB" w:rsidRDefault="00186851" w:rsidP="00186851">
            <w:pPr>
              <w:jc w:val="left"/>
              <w:rPr>
                <w:rFonts w:ascii="Arial Narrow" w:hAnsi="Arial Narrow"/>
                <w:iCs/>
                <w:sz w:val="20"/>
                <w:szCs w:val="20"/>
              </w:rPr>
            </w:pPr>
            <w:r w:rsidRPr="008B0C5A">
              <w:rPr>
                <w:rFonts w:ascii="Arial Narrow" w:hAnsi="Arial Narrow"/>
                <w:iCs/>
                <w:sz w:val="20"/>
                <w:szCs w:val="20"/>
              </w:rPr>
              <w:t>Remained a likely overestimate, but the revised value was more reasonable in the absence of alternative evidence.</w:t>
            </w:r>
          </w:p>
        </w:tc>
      </w:tr>
      <w:tr w:rsidR="00186851" w:rsidRPr="00A832D4" w14:paraId="531ECA97" w14:textId="77777777" w:rsidTr="00186851">
        <w:trPr>
          <w:cantSplit/>
        </w:trPr>
        <w:tc>
          <w:tcPr>
            <w:tcW w:w="705" w:type="pct"/>
            <w:shd w:val="clear" w:color="auto" w:fill="auto"/>
          </w:tcPr>
          <w:p w14:paraId="06F727AC"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Proportion of CKD patients not eligible for PBS-listed dapagliflozin for HFrEF</w:t>
            </w:r>
          </w:p>
        </w:tc>
        <w:tc>
          <w:tcPr>
            <w:tcW w:w="1730" w:type="pct"/>
            <w:shd w:val="clear" w:color="auto" w:fill="auto"/>
          </w:tcPr>
          <w:p w14:paraId="52B9970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97.4% based on the following factors:</w:t>
            </w:r>
          </w:p>
          <w:p w14:paraId="34E39B18"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Adults with CVD: 22% (AIHW 2014)</w:t>
            </w:r>
          </w:p>
          <w:p w14:paraId="1AC1C05D"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Adults with HF: 2.2% (Liew et al. 2020)</w:t>
            </w:r>
          </w:p>
          <w:p w14:paraId="15FD5EB1" w14:textId="77777777" w:rsidR="00186851" w:rsidRPr="00A832D4" w:rsidRDefault="00186851" w:rsidP="00186851">
            <w:pPr>
              <w:jc w:val="center"/>
              <w:rPr>
                <w:rFonts w:ascii="Arial Narrow" w:hAnsi="Arial Narrow"/>
                <w:iCs/>
                <w:sz w:val="20"/>
                <w:szCs w:val="20"/>
              </w:rPr>
            </w:pPr>
            <w:r w:rsidRPr="00A832D4">
              <w:rPr>
                <w:rFonts w:ascii="Arial Narrow" w:hAnsi="Arial Narrow"/>
                <w:sz w:val="20"/>
                <w:szCs w:val="20"/>
              </w:rPr>
              <w:t>HF likely to be HFrEF: 57% (</w:t>
            </w:r>
            <w:r w:rsidRPr="00A832D4">
              <w:rPr>
                <w:rFonts w:ascii="Arial Narrow" w:hAnsi="Arial Narrow"/>
                <w:iCs/>
                <w:sz w:val="20"/>
                <w:szCs w:val="20"/>
              </w:rPr>
              <w:t>SNAPSHOT-HF data)</w:t>
            </w:r>
          </w:p>
          <w:p w14:paraId="34267AE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Morbidity overlap CKD + CVD: 3.5%; and</w:t>
            </w:r>
          </w:p>
          <w:p w14:paraId="4345B826" w14:textId="77777777" w:rsidR="00186851" w:rsidRDefault="00186851" w:rsidP="00186851">
            <w:pPr>
              <w:jc w:val="center"/>
              <w:rPr>
                <w:rFonts w:ascii="Arial Narrow" w:hAnsi="Arial Narrow"/>
                <w:sz w:val="20"/>
                <w:szCs w:val="20"/>
              </w:rPr>
            </w:pPr>
            <w:r w:rsidRPr="00A832D4">
              <w:rPr>
                <w:rFonts w:ascii="Arial Narrow" w:hAnsi="Arial Narrow"/>
                <w:sz w:val="20"/>
                <w:szCs w:val="20"/>
              </w:rPr>
              <w:t>CKD + CVD + T2DM: 1.1% (2011-12 AHS)</w:t>
            </w:r>
          </w:p>
          <w:p w14:paraId="64B6678A" w14:textId="77777777" w:rsidR="00186851" w:rsidRDefault="00186851" w:rsidP="00186851">
            <w:pPr>
              <w:jc w:val="center"/>
              <w:rPr>
                <w:rFonts w:ascii="Arial Narrow" w:hAnsi="Arial Narrow"/>
                <w:sz w:val="20"/>
                <w:szCs w:val="20"/>
              </w:rPr>
            </w:pPr>
          </w:p>
          <w:p w14:paraId="44AEFBE3" w14:textId="77777777" w:rsidR="00186851" w:rsidRPr="00A832D4" w:rsidRDefault="00186851" w:rsidP="00186851">
            <w:pPr>
              <w:jc w:val="center"/>
              <w:rPr>
                <w:rFonts w:ascii="Arial Narrow" w:hAnsi="Arial Narrow"/>
                <w:sz w:val="20"/>
                <w:szCs w:val="20"/>
              </w:rPr>
            </w:pPr>
            <w:r>
              <w:rPr>
                <w:rFonts w:ascii="Arial Narrow" w:hAnsi="Arial Narrow"/>
                <w:sz w:val="20"/>
                <w:szCs w:val="20"/>
              </w:rPr>
              <w:t>Revised in the pre-PBAC response to 97.7%, by narrowing the CKD overlap with HFrEF patients (LVEF&lt;40%) to those in NHYA Classes II-IV receiving SOC.</w:t>
            </w:r>
          </w:p>
        </w:tc>
        <w:tc>
          <w:tcPr>
            <w:tcW w:w="1494" w:type="pct"/>
            <w:shd w:val="clear" w:color="auto" w:fill="auto"/>
          </w:tcPr>
          <w:p w14:paraId="08021CBE" w14:textId="77777777" w:rsidR="00186851" w:rsidRPr="00A832D4" w:rsidRDefault="00186851" w:rsidP="00186851">
            <w:pPr>
              <w:jc w:val="left"/>
              <w:rPr>
                <w:rFonts w:ascii="Arial Narrow" w:hAnsi="Arial Narrow"/>
                <w:i/>
                <w:sz w:val="20"/>
                <w:szCs w:val="20"/>
              </w:rPr>
            </w:pPr>
            <w:r>
              <w:rPr>
                <w:rFonts w:ascii="Arial Narrow" w:hAnsi="Arial Narrow"/>
                <w:bCs/>
                <w:sz w:val="20"/>
                <w:szCs w:val="20"/>
              </w:rPr>
              <w:t>As per pre-PBAC response.</w:t>
            </w:r>
          </w:p>
        </w:tc>
        <w:tc>
          <w:tcPr>
            <w:tcW w:w="1072" w:type="pct"/>
          </w:tcPr>
          <w:p w14:paraId="5415605E" w14:textId="77777777" w:rsidR="00186851" w:rsidRDefault="00186851" w:rsidP="00186851">
            <w:pPr>
              <w:jc w:val="left"/>
              <w:rPr>
                <w:rFonts w:ascii="Arial Narrow" w:hAnsi="Arial Narrow"/>
                <w:bCs/>
                <w:sz w:val="20"/>
                <w:szCs w:val="20"/>
              </w:rPr>
            </w:pPr>
            <w:r>
              <w:rPr>
                <w:rFonts w:ascii="Arial Narrow" w:hAnsi="Arial Narrow"/>
                <w:bCs/>
                <w:sz w:val="20"/>
                <w:szCs w:val="20"/>
              </w:rPr>
              <w:t>R</w:t>
            </w:r>
            <w:r w:rsidRPr="00B61CE1">
              <w:rPr>
                <w:rFonts w:ascii="Arial Narrow" w:hAnsi="Arial Narrow"/>
                <w:bCs/>
                <w:sz w:val="20"/>
                <w:szCs w:val="20"/>
              </w:rPr>
              <w:t>emained highly uncertain, but likely reasonable in the absence of alternative evidence.</w:t>
            </w:r>
          </w:p>
        </w:tc>
      </w:tr>
      <w:tr w:rsidR="00186851" w:rsidRPr="00A832D4" w14:paraId="4BBD6918" w14:textId="77777777" w:rsidTr="00186851">
        <w:trPr>
          <w:cantSplit/>
        </w:trPr>
        <w:tc>
          <w:tcPr>
            <w:tcW w:w="705" w:type="pct"/>
            <w:shd w:val="clear" w:color="auto" w:fill="auto"/>
          </w:tcPr>
          <w:p w14:paraId="5F4EF7E4"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Treatment adherence </w:t>
            </w:r>
          </w:p>
        </w:tc>
        <w:tc>
          <w:tcPr>
            <w:tcW w:w="1730" w:type="pct"/>
            <w:shd w:val="clear" w:color="auto" w:fill="auto"/>
          </w:tcPr>
          <w:p w14:paraId="7388DB63"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98.6% for dapagliflozin and empagliflozin</w:t>
            </w:r>
          </w:p>
          <w:p w14:paraId="645564F1" w14:textId="77777777" w:rsidR="00186851" w:rsidRPr="00A832D4" w:rsidRDefault="00186851" w:rsidP="00186851">
            <w:pPr>
              <w:jc w:val="center"/>
              <w:rPr>
                <w:rFonts w:ascii="Arial Narrow" w:hAnsi="Arial Narrow"/>
                <w:sz w:val="20"/>
                <w:szCs w:val="20"/>
              </w:rPr>
            </w:pPr>
          </w:p>
          <w:p w14:paraId="3B0E54AE"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Evaluation comments:</w:t>
            </w:r>
          </w:p>
          <w:p w14:paraId="2FD37CF7"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Derived from the DAPA-CKD trial. May not be applicable to clinical practice</w:t>
            </w:r>
            <w:r>
              <w:rPr>
                <w:rFonts w:ascii="Arial Narrow" w:hAnsi="Arial Narrow"/>
                <w:iCs/>
                <w:sz w:val="20"/>
                <w:szCs w:val="20"/>
              </w:rPr>
              <w:t xml:space="preserve"> </w:t>
            </w:r>
            <w:r w:rsidRPr="008B0C5A">
              <w:rPr>
                <w:rFonts w:ascii="Arial Narrow" w:hAnsi="Arial Narrow"/>
                <w:iCs/>
                <w:sz w:val="20"/>
                <w:szCs w:val="20"/>
              </w:rPr>
              <w:t>(</w:t>
            </w:r>
            <w:r w:rsidRPr="008B0C5A">
              <w:rPr>
                <w:rFonts w:ascii="Arial Narrow" w:hAnsi="Arial Narrow"/>
                <w:sz w:val="20"/>
                <w:szCs w:val="20"/>
              </w:rPr>
              <w:t xml:space="preserve">Table </w:t>
            </w:r>
            <w:r w:rsidRPr="008B0C5A">
              <w:rPr>
                <w:rFonts w:ascii="Arial Narrow" w:hAnsi="Arial Narrow"/>
                <w:noProof/>
                <w:sz w:val="20"/>
                <w:szCs w:val="20"/>
              </w:rPr>
              <w:t>17</w:t>
            </w:r>
            <w:r w:rsidRPr="008B0C5A">
              <w:rPr>
                <w:rFonts w:ascii="Arial Narrow" w:hAnsi="Arial Narrow"/>
                <w:iCs/>
                <w:sz w:val="20"/>
                <w:szCs w:val="20"/>
              </w:rPr>
              <w:t>)</w:t>
            </w:r>
            <w:r>
              <w:rPr>
                <w:rFonts w:ascii="Arial Narrow" w:hAnsi="Arial Narrow"/>
                <w:iCs/>
                <w:sz w:val="20"/>
                <w:szCs w:val="20"/>
              </w:rPr>
              <w:t>.</w:t>
            </w:r>
          </w:p>
        </w:tc>
        <w:tc>
          <w:tcPr>
            <w:tcW w:w="1494" w:type="pct"/>
            <w:shd w:val="clear" w:color="auto" w:fill="auto"/>
          </w:tcPr>
          <w:p w14:paraId="5F6DDCD5"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w:t>
            </w:r>
          </w:p>
        </w:tc>
        <w:tc>
          <w:tcPr>
            <w:tcW w:w="1072" w:type="pct"/>
          </w:tcPr>
          <w:p w14:paraId="14BDADB3" w14:textId="77777777" w:rsidR="00186851" w:rsidRPr="00A832D4" w:rsidRDefault="00186851" w:rsidP="00186851">
            <w:pPr>
              <w:jc w:val="left"/>
              <w:rPr>
                <w:rFonts w:ascii="Arial Narrow" w:hAnsi="Arial Narrow"/>
                <w:iCs/>
                <w:sz w:val="20"/>
                <w:szCs w:val="20"/>
              </w:rPr>
            </w:pPr>
            <w:r w:rsidRPr="009C5A03">
              <w:rPr>
                <w:rFonts w:ascii="Arial Narrow" w:hAnsi="Arial Narrow"/>
                <w:iCs/>
                <w:sz w:val="20"/>
                <w:szCs w:val="20"/>
              </w:rPr>
              <w:t xml:space="preserve">May not be applicable to clinical practice. </w:t>
            </w:r>
            <w:bookmarkStart w:id="78" w:name="_Hlk83979075"/>
            <w:r w:rsidRPr="009C5A03">
              <w:rPr>
                <w:rFonts w:ascii="Arial Narrow" w:hAnsi="Arial Narrow"/>
                <w:iCs/>
                <w:sz w:val="20"/>
                <w:szCs w:val="20"/>
              </w:rPr>
              <w:t xml:space="preserve">PBAC noted that adherence in DAPA-HF was 96.7%, but the HFrEF resubmission had applied adherence of 85% in its financial estimates (Table 12, 7.01 dapagliflozin </w:t>
            </w:r>
            <w:r w:rsidR="008A29AA">
              <w:rPr>
                <w:rFonts w:ascii="Arial Narrow" w:hAnsi="Arial Narrow"/>
                <w:iCs/>
                <w:sz w:val="20"/>
                <w:szCs w:val="20"/>
              </w:rPr>
              <w:t>PSD</w:t>
            </w:r>
            <w:r w:rsidRPr="009C5A03">
              <w:rPr>
                <w:rFonts w:ascii="Arial Narrow" w:hAnsi="Arial Narrow"/>
                <w:iCs/>
                <w:sz w:val="20"/>
                <w:szCs w:val="20"/>
              </w:rPr>
              <w:t xml:space="preserve">, July 2021 PBAC meeting). PBAC considered that there was no reason to expect that </w:t>
            </w:r>
            <w:r>
              <w:rPr>
                <w:rFonts w:ascii="Arial Narrow" w:hAnsi="Arial Narrow"/>
                <w:iCs/>
                <w:sz w:val="20"/>
                <w:szCs w:val="20"/>
              </w:rPr>
              <w:t>adherence</w:t>
            </w:r>
            <w:r w:rsidRPr="009C5A03">
              <w:rPr>
                <w:rFonts w:ascii="Arial Narrow" w:hAnsi="Arial Narrow"/>
                <w:iCs/>
                <w:sz w:val="20"/>
                <w:szCs w:val="20"/>
              </w:rPr>
              <w:t xml:space="preserve"> for CKD would be higher.</w:t>
            </w:r>
            <w:bookmarkEnd w:id="78"/>
          </w:p>
        </w:tc>
      </w:tr>
      <w:tr w:rsidR="00186851" w:rsidRPr="00A832D4" w14:paraId="2CF7FB13" w14:textId="77777777" w:rsidTr="00186851">
        <w:trPr>
          <w:cantSplit/>
        </w:trPr>
        <w:tc>
          <w:tcPr>
            <w:tcW w:w="3928" w:type="pct"/>
            <w:gridSpan w:val="3"/>
            <w:shd w:val="clear" w:color="auto" w:fill="auto"/>
          </w:tcPr>
          <w:p w14:paraId="3C7598FB" w14:textId="77777777" w:rsidR="00186851" w:rsidRPr="00A832D4" w:rsidRDefault="00186851" w:rsidP="00186851">
            <w:pPr>
              <w:keepNext/>
              <w:jc w:val="left"/>
              <w:rPr>
                <w:rFonts w:ascii="Arial Narrow" w:hAnsi="Arial Narrow"/>
                <w:b/>
                <w:i/>
                <w:sz w:val="20"/>
                <w:szCs w:val="20"/>
              </w:rPr>
            </w:pPr>
            <w:r w:rsidRPr="00A832D4">
              <w:rPr>
                <w:rFonts w:ascii="Arial Narrow" w:hAnsi="Arial Narrow"/>
                <w:b/>
                <w:sz w:val="20"/>
                <w:szCs w:val="20"/>
              </w:rPr>
              <w:t>Treatment utilisation</w:t>
            </w:r>
          </w:p>
        </w:tc>
        <w:tc>
          <w:tcPr>
            <w:tcW w:w="1072" w:type="pct"/>
          </w:tcPr>
          <w:p w14:paraId="067AB82B" w14:textId="77777777" w:rsidR="00186851" w:rsidRPr="00A832D4" w:rsidRDefault="00186851" w:rsidP="00186851">
            <w:pPr>
              <w:keepNext/>
              <w:jc w:val="left"/>
              <w:rPr>
                <w:rFonts w:ascii="Arial Narrow" w:hAnsi="Arial Narrow"/>
                <w:b/>
                <w:sz w:val="20"/>
                <w:szCs w:val="20"/>
              </w:rPr>
            </w:pPr>
          </w:p>
        </w:tc>
      </w:tr>
      <w:tr w:rsidR="00186851" w:rsidRPr="00A832D4" w14:paraId="258673F5" w14:textId="77777777" w:rsidTr="00186851">
        <w:trPr>
          <w:cantSplit/>
        </w:trPr>
        <w:tc>
          <w:tcPr>
            <w:tcW w:w="705" w:type="pct"/>
            <w:shd w:val="clear" w:color="auto" w:fill="auto"/>
          </w:tcPr>
          <w:p w14:paraId="4067DD3F"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 xml:space="preserve">Uptake of dapagliflozin </w:t>
            </w:r>
          </w:p>
        </w:tc>
        <w:tc>
          <w:tcPr>
            <w:tcW w:w="1730" w:type="pct"/>
            <w:shd w:val="clear" w:color="auto" w:fill="auto"/>
          </w:tcPr>
          <w:p w14:paraId="6B9F8F74"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 xml:space="preserve">% in Year 1 increasing to </w:t>
            </w:r>
            <w:r>
              <w:rPr>
                <w:rFonts w:ascii="Arial Narrow" w:hAnsi="Arial Narrow"/>
                <w:noProof/>
                <w:color w:val="000000"/>
                <w:sz w:val="20"/>
                <w:szCs w:val="20"/>
                <w:highlight w:val="black"/>
              </w:rPr>
              <w:t>''''''</w:t>
            </w:r>
            <w:r w:rsidR="00186851" w:rsidRPr="00865CD1">
              <w:rPr>
                <w:rFonts w:ascii="Arial Narrow" w:hAnsi="Arial Narrow"/>
                <w:sz w:val="20"/>
                <w:szCs w:val="20"/>
              </w:rPr>
              <w:t>% in Years 3-6. Increased in the pre-PBAC response.</w:t>
            </w:r>
          </w:p>
          <w:p w14:paraId="634F3F9D" w14:textId="77777777" w:rsidR="00186851" w:rsidRPr="00865CD1" w:rsidRDefault="00186851" w:rsidP="00186851">
            <w:pPr>
              <w:jc w:val="center"/>
              <w:rPr>
                <w:rFonts w:ascii="Arial Narrow" w:hAnsi="Arial Narrow"/>
                <w:sz w:val="20"/>
                <w:szCs w:val="20"/>
              </w:rPr>
            </w:pPr>
          </w:p>
          <w:p w14:paraId="72484838" w14:textId="77777777" w:rsidR="00186851" w:rsidRPr="00865CD1" w:rsidRDefault="00186851" w:rsidP="00186851">
            <w:pPr>
              <w:jc w:val="center"/>
              <w:rPr>
                <w:rFonts w:ascii="Arial Narrow" w:hAnsi="Arial Narrow"/>
                <w:b/>
                <w:bCs/>
                <w:sz w:val="20"/>
                <w:szCs w:val="20"/>
              </w:rPr>
            </w:pPr>
            <w:r w:rsidRPr="00865CD1">
              <w:rPr>
                <w:rFonts w:ascii="Arial Narrow" w:hAnsi="Arial Narrow"/>
                <w:b/>
                <w:bCs/>
                <w:sz w:val="20"/>
                <w:szCs w:val="20"/>
              </w:rPr>
              <w:t>PBAC consideration:</w:t>
            </w:r>
          </w:p>
          <w:p w14:paraId="5A07728B"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PBAC agreed with the DUSC that the uptake rate was likely underestimated, and considered that the adjustment made in the pre-PBAC response was appropriate (para 7.9).</w:t>
            </w:r>
          </w:p>
        </w:tc>
        <w:tc>
          <w:tcPr>
            <w:tcW w:w="1494" w:type="pct"/>
            <w:shd w:val="clear" w:color="auto" w:fill="auto"/>
          </w:tcPr>
          <w:p w14:paraId="6AC23568"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Revised as per the pre-PBAC response, i.e.:</w:t>
            </w:r>
          </w:p>
          <w:p w14:paraId="3787BABD"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Year 1-6=</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w:t>
            </w:r>
          </w:p>
        </w:tc>
        <w:tc>
          <w:tcPr>
            <w:tcW w:w="1072" w:type="pct"/>
          </w:tcPr>
          <w:p w14:paraId="6D13A3F9"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w:t>
            </w:r>
            <w:r w:rsidRPr="00B61CE1">
              <w:rPr>
                <w:rFonts w:ascii="Arial Narrow" w:hAnsi="Arial Narrow"/>
                <w:iCs/>
                <w:sz w:val="20"/>
                <w:szCs w:val="20"/>
              </w:rPr>
              <w:t>ncertain, although adjustments remained appropriate as they aligned with DUSC’s advice that the submission had originally underestimated the uptake.</w:t>
            </w:r>
          </w:p>
        </w:tc>
      </w:tr>
      <w:tr w:rsidR="00186851" w:rsidRPr="00A832D4" w14:paraId="41651F56" w14:textId="77777777" w:rsidTr="00186851">
        <w:trPr>
          <w:cantSplit/>
        </w:trPr>
        <w:tc>
          <w:tcPr>
            <w:tcW w:w="705" w:type="pct"/>
            <w:shd w:val="clear" w:color="auto" w:fill="auto"/>
          </w:tcPr>
          <w:p w14:paraId="321B3215"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Proportion of patients with CKD taking SGLT2 inhibitors (SGLT2i) for T2DM</w:t>
            </w:r>
          </w:p>
        </w:tc>
        <w:tc>
          <w:tcPr>
            <w:tcW w:w="1730" w:type="pct"/>
            <w:shd w:val="clear" w:color="auto" w:fill="auto"/>
          </w:tcPr>
          <w:p w14:paraId="585D0C52"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Assumed to be equivalent to the population excluded as eligible for SGLT2i therapies</w:t>
            </w:r>
          </w:p>
          <w:p w14:paraId="04AE8494"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 (</w:t>
            </w:r>
            <w:r>
              <w:rPr>
                <w:rFonts w:ascii="Arial Narrow" w:hAnsi="Arial Narrow"/>
                <w:noProof/>
                <w:color w:val="000000"/>
                <w:sz w:val="20"/>
                <w:szCs w:val="20"/>
                <w:highlight w:val="black"/>
              </w:rPr>
              <w:t>'''</w:t>
            </w:r>
            <w:r w:rsidR="00186851" w:rsidRPr="00865CD1">
              <w:rPr>
                <w:rFonts w:ascii="Arial Narrow" w:hAnsi="Arial Narrow"/>
                <w:sz w:val="20"/>
                <w:szCs w:val="20"/>
              </w:rPr>
              <w:t>-</w:t>
            </w:r>
            <w:r>
              <w:rPr>
                <w:rFonts w:ascii="Arial Narrow" w:hAnsi="Arial Narrow"/>
                <w:noProof/>
                <w:color w:val="000000"/>
                <w:sz w:val="20"/>
                <w:szCs w:val="20"/>
                <w:highlight w:val="black"/>
              </w:rPr>
              <w:t>'''''''''''</w:t>
            </w:r>
            <w:r w:rsidR="00186851" w:rsidRPr="00865CD1">
              <w:rPr>
                <w:rFonts w:ascii="Arial Narrow" w:hAnsi="Arial Narrow"/>
                <w:sz w:val="20"/>
                <w:szCs w:val="20"/>
              </w:rPr>
              <w:t>%)</w:t>
            </w:r>
          </w:p>
          <w:p w14:paraId="3620CCA0" w14:textId="77777777" w:rsidR="00186851" w:rsidRPr="00865CD1" w:rsidRDefault="00186851" w:rsidP="00186851">
            <w:pPr>
              <w:jc w:val="center"/>
              <w:rPr>
                <w:rFonts w:ascii="Arial Narrow" w:hAnsi="Arial Narrow"/>
                <w:sz w:val="20"/>
                <w:szCs w:val="20"/>
              </w:rPr>
            </w:pPr>
          </w:p>
          <w:p w14:paraId="2356EC12"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 xml:space="preserve">Assumed empagliflozin </w:t>
            </w:r>
            <w:r w:rsidR="00164731">
              <w:rPr>
                <w:rFonts w:ascii="Arial Narrow" w:hAnsi="Arial Narrow"/>
                <w:noProof/>
                <w:color w:val="000000"/>
                <w:sz w:val="20"/>
                <w:szCs w:val="20"/>
                <w:highlight w:val="black"/>
              </w:rPr>
              <w:t>'''''''</w:t>
            </w:r>
            <w:r w:rsidRPr="00865CD1">
              <w:rPr>
                <w:rFonts w:ascii="Arial Narrow" w:hAnsi="Arial Narrow"/>
                <w:sz w:val="20"/>
                <w:szCs w:val="20"/>
              </w:rPr>
              <w:t xml:space="preserve">%; </w:t>
            </w:r>
          </w:p>
          <w:p w14:paraId="58AB2F20"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 xml:space="preserve">dapagliflozin </w:t>
            </w:r>
            <w:r w:rsidR="00164731">
              <w:rPr>
                <w:rFonts w:ascii="Arial Narrow" w:hAnsi="Arial Narrow"/>
                <w:noProof/>
                <w:color w:val="000000"/>
                <w:sz w:val="20"/>
                <w:szCs w:val="20"/>
                <w:highlight w:val="black"/>
              </w:rPr>
              <w:t>''''''</w:t>
            </w:r>
            <w:r w:rsidRPr="00865CD1">
              <w:rPr>
                <w:rFonts w:ascii="Arial Narrow" w:hAnsi="Arial Narrow"/>
                <w:sz w:val="20"/>
                <w:szCs w:val="20"/>
              </w:rPr>
              <w:t>%</w:t>
            </w:r>
          </w:p>
        </w:tc>
        <w:tc>
          <w:tcPr>
            <w:tcW w:w="1494" w:type="pct"/>
            <w:shd w:val="clear" w:color="auto" w:fill="auto"/>
          </w:tcPr>
          <w:p w14:paraId="3A3BCE7E"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 xml:space="preserve">Increased to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(i.e. due to proportion ineligible being reduced from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to </w:t>
            </w:r>
            <w:r w:rsidR="00164731">
              <w:rPr>
                <w:rFonts w:ascii="Arial Narrow" w:hAnsi="Arial Narrow"/>
                <w:iCs/>
                <w:noProof/>
                <w:color w:val="000000"/>
                <w:sz w:val="20"/>
                <w:szCs w:val="20"/>
                <w:highlight w:val="black"/>
              </w:rPr>
              <w:t>'''''''''''</w:t>
            </w:r>
            <w:r w:rsidRPr="00865CD1">
              <w:rPr>
                <w:rFonts w:ascii="Arial Narrow" w:hAnsi="Arial Narrow"/>
                <w:iCs/>
                <w:sz w:val="20"/>
                <w:szCs w:val="20"/>
              </w:rPr>
              <w:t>%).</w:t>
            </w:r>
          </w:p>
          <w:p w14:paraId="236D98E2" w14:textId="77777777" w:rsidR="00186851" w:rsidRPr="00865CD1" w:rsidRDefault="00186851" w:rsidP="00186851">
            <w:pPr>
              <w:jc w:val="left"/>
              <w:rPr>
                <w:rFonts w:ascii="Arial Narrow" w:hAnsi="Arial Narrow"/>
                <w:iCs/>
                <w:sz w:val="20"/>
                <w:szCs w:val="20"/>
              </w:rPr>
            </w:pPr>
          </w:p>
          <w:p w14:paraId="3E8ED92A"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 xml:space="preserve">Market share split of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empagliflozin and </w:t>
            </w:r>
            <w:r w:rsidR="00164731">
              <w:rPr>
                <w:rFonts w:ascii="Arial Narrow" w:hAnsi="Arial Narrow"/>
                <w:iCs/>
                <w:noProof/>
                <w:color w:val="000000"/>
                <w:sz w:val="20"/>
                <w:szCs w:val="20"/>
                <w:highlight w:val="black"/>
              </w:rPr>
              <w:t>''''''</w:t>
            </w:r>
            <w:r w:rsidRPr="00865CD1">
              <w:rPr>
                <w:rFonts w:ascii="Arial Narrow" w:hAnsi="Arial Narrow"/>
                <w:iCs/>
                <w:sz w:val="20"/>
                <w:szCs w:val="20"/>
              </w:rPr>
              <w:t>% dapagliflozin was retained</w:t>
            </w:r>
          </w:p>
        </w:tc>
        <w:tc>
          <w:tcPr>
            <w:tcW w:w="1072" w:type="pct"/>
          </w:tcPr>
          <w:p w14:paraId="092DE98B"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Uncertain, but reasonable.</w:t>
            </w:r>
          </w:p>
        </w:tc>
      </w:tr>
      <w:tr w:rsidR="00186851" w:rsidRPr="00A832D4" w14:paraId="0697E28E" w14:textId="77777777" w:rsidTr="00186851">
        <w:trPr>
          <w:cantSplit/>
        </w:trPr>
        <w:tc>
          <w:tcPr>
            <w:tcW w:w="705" w:type="pct"/>
            <w:shd w:val="clear" w:color="auto" w:fill="auto"/>
          </w:tcPr>
          <w:p w14:paraId="5F6FF5AA"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Empagliflozin users switching to dapagliflozin</w:t>
            </w:r>
          </w:p>
        </w:tc>
        <w:tc>
          <w:tcPr>
            <w:tcW w:w="1730" w:type="pct"/>
            <w:shd w:val="clear" w:color="auto" w:fill="auto"/>
          </w:tcPr>
          <w:p w14:paraId="65306946"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w:t>
            </w:r>
          </w:p>
        </w:tc>
        <w:tc>
          <w:tcPr>
            <w:tcW w:w="1494" w:type="pct"/>
            <w:shd w:val="clear" w:color="auto" w:fill="auto"/>
          </w:tcPr>
          <w:p w14:paraId="0D439F90"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Assumption retained.</w:t>
            </w:r>
          </w:p>
        </w:tc>
        <w:tc>
          <w:tcPr>
            <w:tcW w:w="1072" w:type="pct"/>
          </w:tcPr>
          <w:p w14:paraId="764D17D3"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Uncertain assumption.</w:t>
            </w:r>
          </w:p>
        </w:tc>
      </w:tr>
      <w:tr w:rsidR="00186851" w:rsidRPr="00A832D4" w14:paraId="4B0171CE" w14:textId="77777777" w:rsidTr="00186851">
        <w:trPr>
          <w:cantSplit/>
        </w:trPr>
        <w:tc>
          <w:tcPr>
            <w:tcW w:w="705" w:type="pct"/>
            <w:shd w:val="clear" w:color="auto" w:fill="auto"/>
          </w:tcPr>
          <w:p w14:paraId="0BDB2074" w14:textId="77777777" w:rsidR="00186851" w:rsidRPr="00A832D4" w:rsidRDefault="00186851" w:rsidP="00186851">
            <w:pPr>
              <w:jc w:val="left"/>
              <w:rPr>
                <w:rFonts w:ascii="Arial Narrow" w:hAnsi="Arial Narrow"/>
                <w:sz w:val="20"/>
                <w:szCs w:val="20"/>
              </w:rPr>
            </w:pPr>
            <w:r>
              <w:rPr>
                <w:rFonts w:ascii="Arial Narrow" w:hAnsi="Arial Narrow"/>
                <w:sz w:val="20"/>
                <w:szCs w:val="20"/>
              </w:rPr>
              <w:t>Proportion of patients who do not initiate RRT (i.e. application of a ‘stopping rule’)</w:t>
            </w:r>
          </w:p>
        </w:tc>
        <w:tc>
          <w:tcPr>
            <w:tcW w:w="1730" w:type="pct"/>
            <w:shd w:val="clear" w:color="auto" w:fill="auto"/>
          </w:tcPr>
          <w:p w14:paraId="7078C4D3" w14:textId="77777777" w:rsidR="00186851" w:rsidRDefault="00186851" w:rsidP="00186851">
            <w:pPr>
              <w:jc w:val="center"/>
              <w:rPr>
                <w:rFonts w:ascii="Arial Narrow" w:hAnsi="Arial Narrow"/>
                <w:sz w:val="20"/>
                <w:szCs w:val="20"/>
              </w:rPr>
            </w:pPr>
            <w:r>
              <w:rPr>
                <w:rFonts w:ascii="Arial Narrow" w:hAnsi="Arial Narrow"/>
                <w:sz w:val="20"/>
                <w:szCs w:val="20"/>
              </w:rPr>
              <w:t xml:space="preserve">The original submission did not incorporate a stopping rule, however the pre-PBAC response did present an estimates scenario to account for a restriction criterion requiring discontinuation of treatment at initiation of renal replacement therapy (RRT; dialysis or transplant). </w:t>
            </w:r>
            <w:bookmarkStart w:id="79" w:name="_Hlk83987367"/>
            <w:r>
              <w:rPr>
                <w:rFonts w:ascii="Arial Narrow" w:hAnsi="Arial Narrow"/>
                <w:sz w:val="20"/>
                <w:szCs w:val="20"/>
              </w:rPr>
              <w:t xml:space="preserve">The sponsor claimed that the proportions of patients discontinuing at RRT was derived from the economic model in section 3 of the submission. </w:t>
            </w:r>
          </w:p>
          <w:p w14:paraId="6423C5D1" w14:textId="77777777" w:rsidR="00186851" w:rsidRDefault="00186851" w:rsidP="00186851">
            <w:pPr>
              <w:jc w:val="center"/>
              <w:rPr>
                <w:rFonts w:ascii="Arial Narrow" w:hAnsi="Arial Narrow"/>
                <w:sz w:val="20"/>
                <w:szCs w:val="20"/>
              </w:rPr>
            </w:pPr>
            <w:r>
              <w:rPr>
                <w:rFonts w:ascii="Arial Narrow" w:hAnsi="Arial Narrow"/>
                <w:sz w:val="20"/>
                <w:szCs w:val="20"/>
              </w:rPr>
              <w:t xml:space="preserve">Proportions continuing were Yrs 1-6: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w:t>
            </w:r>
          </w:p>
          <w:bookmarkEnd w:id="79"/>
          <w:p w14:paraId="4B68C3CF" w14:textId="77777777" w:rsidR="00186851" w:rsidRDefault="00186851" w:rsidP="00186851">
            <w:pPr>
              <w:jc w:val="center"/>
              <w:rPr>
                <w:rFonts w:ascii="Arial Narrow" w:hAnsi="Arial Narrow"/>
                <w:sz w:val="20"/>
                <w:szCs w:val="20"/>
              </w:rPr>
            </w:pPr>
          </w:p>
          <w:p w14:paraId="0D2CB0B9" w14:textId="77777777" w:rsidR="00186851" w:rsidRDefault="00186851" w:rsidP="00186851">
            <w:pPr>
              <w:jc w:val="center"/>
              <w:rPr>
                <w:rFonts w:ascii="Arial Narrow" w:hAnsi="Arial Narrow"/>
                <w:b/>
                <w:bCs/>
                <w:sz w:val="20"/>
                <w:szCs w:val="20"/>
              </w:rPr>
            </w:pPr>
            <w:r>
              <w:rPr>
                <w:rFonts w:ascii="Arial Narrow" w:hAnsi="Arial Narrow"/>
                <w:b/>
                <w:bCs/>
                <w:sz w:val="20"/>
                <w:szCs w:val="20"/>
              </w:rPr>
              <w:t>PBAC consideration:</w:t>
            </w:r>
          </w:p>
          <w:p w14:paraId="0684587E" w14:textId="77777777" w:rsidR="00186851" w:rsidRDefault="00186851" w:rsidP="00186851">
            <w:pPr>
              <w:jc w:val="center"/>
              <w:rPr>
                <w:rFonts w:ascii="Arial Narrow" w:hAnsi="Arial Narrow"/>
                <w:sz w:val="20"/>
                <w:szCs w:val="20"/>
              </w:rPr>
            </w:pPr>
            <w:r w:rsidRPr="004C2729">
              <w:rPr>
                <w:rFonts w:ascii="Arial Narrow" w:hAnsi="Arial Narrow"/>
                <w:sz w:val="20"/>
                <w:szCs w:val="20"/>
              </w:rPr>
              <w:t xml:space="preserve">The PBAC considered that it would be appropriate to cease treatment on commencement of </w:t>
            </w:r>
            <w:r>
              <w:rPr>
                <w:rFonts w:ascii="Arial Narrow" w:hAnsi="Arial Narrow"/>
                <w:sz w:val="20"/>
                <w:szCs w:val="20"/>
              </w:rPr>
              <w:t>RRT</w:t>
            </w:r>
            <w:r w:rsidRPr="004C2729">
              <w:rPr>
                <w:rFonts w:ascii="Arial Narrow" w:hAnsi="Arial Narrow"/>
                <w:sz w:val="20"/>
                <w:szCs w:val="20"/>
              </w:rPr>
              <w:t xml:space="preserve"> given the lack of evidence to support continued use in this population</w:t>
            </w:r>
            <w:r>
              <w:rPr>
                <w:rFonts w:ascii="Arial Narrow" w:hAnsi="Arial Narrow"/>
                <w:sz w:val="20"/>
                <w:szCs w:val="20"/>
              </w:rPr>
              <w:t xml:space="preserve"> (para 7.4).</w:t>
            </w:r>
          </w:p>
          <w:p w14:paraId="1E437E7E" w14:textId="77777777" w:rsidR="00186851" w:rsidRPr="004C2729" w:rsidRDefault="00186851" w:rsidP="00186851">
            <w:pPr>
              <w:jc w:val="center"/>
              <w:rPr>
                <w:rFonts w:ascii="Arial Narrow" w:hAnsi="Arial Narrow"/>
                <w:sz w:val="20"/>
                <w:szCs w:val="20"/>
              </w:rPr>
            </w:pPr>
            <w:r>
              <w:rPr>
                <w:rFonts w:ascii="Arial Narrow" w:hAnsi="Arial Narrow"/>
                <w:sz w:val="20"/>
                <w:szCs w:val="20"/>
              </w:rPr>
              <w:t xml:space="preserve">The PBAC noted that although </w:t>
            </w:r>
            <w:r w:rsidRPr="004C2729">
              <w:rPr>
                <w:rFonts w:ascii="Arial Narrow" w:hAnsi="Arial Narrow"/>
                <w:sz w:val="20"/>
                <w:szCs w:val="20"/>
              </w:rPr>
              <w:t>the pre-PBAC response had provided an appropriate scenario analysis, it was unclear how the proportion of discontinuing patients were derived, and this would need to be clarified in revised estimates obtained from the sponsor</w:t>
            </w:r>
            <w:r>
              <w:rPr>
                <w:rFonts w:ascii="Arial Narrow" w:hAnsi="Arial Narrow"/>
                <w:sz w:val="20"/>
                <w:szCs w:val="20"/>
              </w:rPr>
              <w:t xml:space="preserve"> (para 7.9).</w:t>
            </w:r>
          </w:p>
        </w:tc>
        <w:tc>
          <w:tcPr>
            <w:tcW w:w="1494" w:type="pct"/>
            <w:shd w:val="clear" w:color="auto" w:fill="auto"/>
          </w:tcPr>
          <w:p w14:paraId="1E585B67" w14:textId="77777777" w:rsidR="00186851" w:rsidRDefault="00186851" w:rsidP="00186851">
            <w:pPr>
              <w:jc w:val="left"/>
              <w:rPr>
                <w:rFonts w:ascii="Arial Narrow" w:hAnsi="Arial Narrow"/>
                <w:iCs/>
                <w:sz w:val="20"/>
                <w:szCs w:val="20"/>
              </w:rPr>
            </w:pPr>
            <w:r>
              <w:rPr>
                <w:rFonts w:ascii="Arial Narrow" w:hAnsi="Arial Narrow"/>
                <w:iCs/>
                <w:sz w:val="20"/>
                <w:szCs w:val="20"/>
              </w:rPr>
              <w:t>Stopping rule applied as per scenario analysis in pre-PBAC response.</w:t>
            </w:r>
          </w:p>
          <w:p w14:paraId="3EB737AA" w14:textId="77777777" w:rsidR="00186851" w:rsidRDefault="00186851" w:rsidP="00186851">
            <w:pPr>
              <w:jc w:val="left"/>
              <w:rPr>
                <w:rFonts w:ascii="Arial Narrow" w:hAnsi="Arial Narrow"/>
                <w:iCs/>
                <w:sz w:val="20"/>
                <w:szCs w:val="20"/>
              </w:rPr>
            </w:pPr>
          </w:p>
          <w:p w14:paraId="15DF45E8" w14:textId="77777777" w:rsidR="00186851" w:rsidRDefault="00186851" w:rsidP="00186851">
            <w:pPr>
              <w:jc w:val="left"/>
              <w:rPr>
                <w:rFonts w:ascii="Arial Narrow" w:hAnsi="Arial Narrow"/>
                <w:iCs/>
                <w:sz w:val="20"/>
                <w:szCs w:val="20"/>
              </w:rPr>
            </w:pPr>
            <w:r>
              <w:rPr>
                <w:rFonts w:ascii="Arial Narrow" w:hAnsi="Arial Narrow"/>
                <w:iCs/>
                <w:sz w:val="20"/>
                <w:szCs w:val="20"/>
              </w:rPr>
              <w:t>The sponsor explained that:</w:t>
            </w:r>
          </w:p>
          <w:p w14:paraId="3189A442" w14:textId="77777777" w:rsidR="00186851" w:rsidRDefault="00186851" w:rsidP="00186851">
            <w:pPr>
              <w:jc w:val="left"/>
              <w:rPr>
                <w:rFonts w:ascii="Arial Narrow" w:hAnsi="Arial Narrow"/>
                <w:iCs/>
                <w:sz w:val="20"/>
                <w:szCs w:val="20"/>
              </w:rPr>
            </w:pPr>
            <w:r>
              <w:rPr>
                <w:rFonts w:ascii="Arial Narrow" w:hAnsi="Arial Narrow"/>
                <w:iCs/>
                <w:sz w:val="20"/>
                <w:szCs w:val="20"/>
              </w:rPr>
              <w:t xml:space="preserve">- </w:t>
            </w:r>
            <w:r w:rsidRPr="004C2729">
              <w:rPr>
                <w:rFonts w:ascii="Arial Narrow" w:hAnsi="Arial Narrow"/>
                <w:iCs/>
                <w:sz w:val="20"/>
                <w:szCs w:val="20"/>
              </w:rPr>
              <w:t>Firstly, the proportion of patients progressing to ESKD per year in the dapagliflozin and placebo arms was estimated from the time to ESKD Kaplan-Meier data with lognormal parametric extrapolation.</w:t>
            </w:r>
          </w:p>
          <w:p w14:paraId="086F3CB1"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w:t>
            </w:r>
            <w:r w:rsidRPr="004C2729">
              <w:rPr>
                <w:rFonts w:ascii="Arial Narrow" w:hAnsi="Arial Narrow"/>
                <w:iCs/>
                <w:sz w:val="20"/>
                <w:szCs w:val="20"/>
              </w:rPr>
              <w:t xml:space="preserve"> Secondly, the prevalence data of treated (receiving transplant or dialysis) and untreated ESKD (receiving conservative management) patients from the Australia and New Zealand Dialysis &amp; Transplant Registry (ANZDATA) was applied to the proportion of patients progressing to ESKD to estimate the proportion of those patients receiving RRT.</w:t>
            </w:r>
          </w:p>
        </w:tc>
        <w:tc>
          <w:tcPr>
            <w:tcW w:w="1072" w:type="pct"/>
          </w:tcPr>
          <w:p w14:paraId="2E77F512" w14:textId="77777777" w:rsidR="00186851" w:rsidRDefault="00186851" w:rsidP="00186851">
            <w:pPr>
              <w:jc w:val="left"/>
              <w:rPr>
                <w:rFonts w:ascii="Arial Narrow" w:hAnsi="Arial Narrow"/>
                <w:iCs/>
                <w:sz w:val="20"/>
                <w:szCs w:val="20"/>
              </w:rPr>
            </w:pPr>
            <w:r>
              <w:rPr>
                <w:rFonts w:ascii="Arial Narrow" w:hAnsi="Arial Narrow"/>
                <w:iCs/>
                <w:sz w:val="20"/>
                <w:szCs w:val="20"/>
              </w:rPr>
              <w:t>Appropriate; additional explanation of method applied was satisfactory.</w:t>
            </w:r>
          </w:p>
        </w:tc>
      </w:tr>
      <w:tr w:rsidR="00186851" w:rsidRPr="00A832D4" w14:paraId="497D30D4" w14:textId="77777777" w:rsidTr="00186851">
        <w:trPr>
          <w:cantSplit/>
        </w:trPr>
        <w:tc>
          <w:tcPr>
            <w:tcW w:w="705" w:type="pct"/>
            <w:shd w:val="clear" w:color="auto" w:fill="auto"/>
          </w:tcPr>
          <w:p w14:paraId="1177C381" w14:textId="77777777" w:rsidR="00186851" w:rsidRDefault="00186851" w:rsidP="00186851">
            <w:pPr>
              <w:jc w:val="left"/>
              <w:rPr>
                <w:rFonts w:ascii="Arial Narrow" w:hAnsi="Arial Narrow"/>
                <w:sz w:val="20"/>
                <w:szCs w:val="20"/>
              </w:rPr>
            </w:pPr>
            <w:r w:rsidRPr="00227539">
              <w:rPr>
                <w:rFonts w:ascii="Arial Narrow" w:hAnsi="Arial Narrow"/>
                <w:sz w:val="20"/>
                <w:szCs w:val="20"/>
              </w:rPr>
              <w:t>ESKD savings</w:t>
            </w:r>
          </w:p>
        </w:tc>
        <w:tc>
          <w:tcPr>
            <w:tcW w:w="1730" w:type="pct"/>
            <w:shd w:val="clear" w:color="auto" w:fill="auto"/>
          </w:tcPr>
          <w:p w14:paraId="3A93F345" w14:textId="77777777" w:rsidR="00186851" w:rsidRDefault="00186851" w:rsidP="00186851">
            <w:pPr>
              <w:jc w:val="center"/>
              <w:rPr>
                <w:rFonts w:ascii="Arial Narrow" w:hAnsi="Arial Narrow"/>
                <w:sz w:val="20"/>
                <w:szCs w:val="20"/>
              </w:rPr>
            </w:pPr>
            <w:r>
              <w:rPr>
                <w:rFonts w:ascii="Arial Narrow" w:hAnsi="Arial Narrow"/>
                <w:sz w:val="20"/>
                <w:szCs w:val="20"/>
              </w:rPr>
              <w:t>Events and costs derived from the economic evaluation.</w:t>
            </w:r>
          </w:p>
          <w:p w14:paraId="58E87BE0" w14:textId="77777777" w:rsidR="00186851" w:rsidRDefault="00186851" w:rsidP="00186851">
            <w:pPr>
              <w:jc w:val="center"/>
              <w:rPr>
                <w:rFonts w:ascii="Arial Narrow" w:hAnsi="Arial Narrow"/>
                <w:sz w:val="20"/>
                <w:szCs w:val="20"/>
              </w:rPr>
            </w:pPr>
          </w:p>
          <w:p w14:paraId="69E52A19" w14:textId="77777777" w:rsidR="00186851" w:rsidRDefault="00186851" w:rsidP="00186851">
            <w:pPr>
              <w:jc w:val="center"/>
              <w:rPr>
                <w:rFonts w:ascii="Arial Narrow" w:hAnsi="Arial Narrow"/>
                <w:b/>
                <w:bCs/>
                <w:sz w:val="20"/>
                <w:szCs w:val="20"/>
              </w:rPr>
            </w:pPr>
            <w:r>
              <w:rPr>
                <w:rFonts w:ascii="Arial Narrow" w:hAnsi="Arial Narrow"/>
                <w:b/>
                <w:bCs/>
                <w:sz w:val="20"/>
                <w:szCs w:val="20"/>
              </w:rPr>
              <w:t xml:space="preserve">PBAC consideration: </w:t>
            </w:r>
          </w:p>
          <w:p w14:paraId="178CE63D" w14:textId="77777777" w:rsidR="00186851" w:rsidRPr="00E46CCA" w:rsidRDefault="00186851" w:rsidP="00186851">
            <w:pPr>
              <w:jc w:val="center"/>
              <w:rPr>
                <w:rFonts w:ascii="Arial Narrow" w:hAnsi="Arial Narrow"/>
                <w:sz w:val="20"/>
                <w:szCs w:val="20"/>
              </w:rPr>
            </w:pPr>
            <w:r>
              <w:rPr>
                <w:rFonts w:ascii="Arial Narrow" w:hAnsi="Arial Narrow"/>
                <w:sz w:val="20"/>
                <w:szCs w:val="20"/>
              </w:rPr>
              <w:t>T</w:t>
            </w:r>
            <w:r w:rsidRPr="00E46CCA">
              <w:rPr>
                <w:rFonts w:ascii="Arial Narrow" w:hAnsi="Arial Narrow"/>
                <w:sz w:val="20"/>
                <w:szCs w:val="20"/>
              </w:rPr>
              <w:t>he PBAC agreed with the DUSC that savings associated with ESKD would be delayed but not avoided, and also noted that the impact for the Australian Government would need the impact for State/Territory Governments removed from the financial estimates</w:t>
            </w:r>
            <w:r>
              <w:rPr>
                <w:rFonts w:ascii="Arial Narrow" w:hAnsi="Arial Narrow"/>
                <w:sz w:val="20"/>
                <w:szCs w:val="20"/>
              </w:rPr>
              <w:t xml:space="preserve"> (para 7.11)</w:t>
            </w:r>
          </w:p>
        </w:tc>
        <w:tc>
          <w:tcPr>
            <w:tcW w:w="1494" w:type="pct"/>
            <w:shd w:val="clear" w:color="auto" w:fill="auto"/>
          </w:tcPr>
          <w:p w14:paraId="13696DE2" w14:textId="77777777" w:rsidR="00186851" w:rsidRDefault="00186851" w:rsidP="00186851">
            <w:pPr>
              <w:jc w:val="left"/>
              <w:rPr>
                <w:rFonts w:ascii="Arial Narrow" w:hAnsi="Arial Narrow"/>
                <w:iCs/>
                <w:sz w:val="20"/>
                <w:szCs w:val="20"/>
              </w:rPr>
            </w:pPr>
            <w:r>
              <w:rPr>
                <w:rFonts w:ascii="Arial Narrow" w:hAnsi="Arial Narrow"/>
                <w:iCs/>
                <w:sz w:val="20"/>
                <w:szCs w:val="20"/>
              </w:rPr>
              <w:t>All ESKD savings removed from estimates</w:t>
            </w:r>
          </w:p>
        </w:tc>
        <w:tc>
          <w:tcPr>
            <w:tcW w:w="1072" w:type="pct"/>
          </w:tcPr>
          <w:p w14:paraId="4EA921A9" w14:textId="77777777" w:rsidR="00186851" w:rsidRDefault="00186851" w:rsidP="00186851">
            <w:pPr>
              <w:jc w:val="left"/>
              <w:rPr>
                <w:rFonts w:ascii="Arial Narrow" w:hAnsi="Arial Narrow"/>
                <w:iCs/>
                <w:sz w:val="20"/>
                <w:szCs w:val="20"/>
              </w:rPr>
            </w:pPr>
            <w:r w:rsidRPr="00A32BCE">
              <w:rPr>
                <w:rFonts w:ascii="Arial Narrow" w:hAnsi="Arial Narrow"/>
                <w:iCs/>
                <w:sz w:val="20"/>
                <w:szCs w:val="20"/>
              </w:rPr>
              <w:t>Excluding all ESKD savings was reasonable in the context of substantial uncertainty, the majority of savings accruing to State/Territory budgets, and because ESKD savings to all budgets would be mostly delayed, rather than avoided entirely.</w:t>
            </w:r>
          </w:p>
        </w:tc>
      </w:tr>
    </w:tbl>
    <w:p w14:paraId="62C70616" w14:textId="77777777" w:rsidR="00186851" w:rsidRDefault="00186851" w:rsidP="00186851">
      <w:pPr>
        <w:pStyle w:val="5TableFooter"/>
      </w:pPr>
      <w:r w:rsidRPr="00E00925">
        <w:t xml:space="preserve">Source: Table 4.1.1, p134 and Table 4.2.1, p138 of the July 2021 dapagliflozin CKD submission; pre-PBAC response from July 2021; </w:t>
      </w:r>
      <w:r>
        <w:t xml:space="preserve">PBAC </w:t>
      </w:r>
      <w:r w:rsidR="00BF4B34">
        <w:t xml:space="preserve">PSD </w:t>
      </w:r>
      <w:r>
        <w:t xml:space="preserve">from July 2021; </w:t>
      </w:r>
      <w:r w:rsidRPr="00E00925">
        <w:t>Attachment 3 financial estimates model provided with the additional information in August 2021.</w:t>
      </w:r>
    </w:p>
    <w:p w14:paraId="0841685E" w14:textId="77777777" w:rsidR="006507F2" w:rsidRPr="00C5543C" w:rsidRDefault="006507F2" w:rsidP="00186851">
      <w:pPr>
        <w:pStyle w:val="5TableFooter"/>
      </w:pPr>
      <w:r>
        <w:t>PSD: Public Summary Document</w:t>
      </w:r>
    </w:p>
    <w:p w14:paraId="504D809D" w14:textId="77777777" w:rsidR="00186851" w:rsidRPr="00DC1833" w:rsidRDefault="00186851" w:rsidP="00186851">
      <w:pPr>
        <w:pStyle w:val="ExecSumBodyText"/>
        <w:numPr>
          <w:ilvl w:val="1"/>
          <w:numId w:val="1"/>
        </w:numPr>
        <w:spacing w:before="120"/>
      </w:pPr>
      <w:r w:rsidRPr="00DC1833">
        <w:t>The table below presents a comparison of the financial estimates between the July</w:t>
      </w:r>
      <w:r>
        <w:t> </w:t>
      </w:r>
      <w:r w:rsidRPr="00DC1833">
        <w:t>2021 submission and</w:t>
      </w:r>
      <w:r>
        <w:t xml:space="preserve"> the additional </w:t>
      </w:r>
      <w:r w:rsidRPr="00DC1833">
        <w:t>information considered in September 2021</w:t>
      </w:r>
      <w:r>
        <w:t xml:space="preserve"> (excluding ESKD costs avoided in both cases)</w:t>
      </w:r>
      <w:r w:rsidRPr="00DC1833">
        <w:t>.</w:t>
      </w:r>
      <w:r>
        <w:t xml:space="preserve"> The estimated total patients increased from the original submission, but decreased from the pre-PBAC response (</w:t>
      </w:r>
      <w:r w:rsidR="00802E34" w:rsidRPr="00802E34">
        <w:t>1,000,000 to &lt; 2,000,000</w:t>
      </w:r>
      <w:r w:rsidR="00802E34">
        <w:t xml:space="preserve"> </w:t>
      </w:r>
      <w:r>
        <w:t xml:space="preserve">compared with </w:t>
      </w:r>
      <w:r w:rsidR="00802E34" w:rsidRPr="00802E34">
        <w:t>700,000 to &lt; 800,000</w:t>
      </w:r>
      <w:r w:rsidR="00802E34">
        <w:t xml:space="preserve"> </w:t>
      </w:r>
      <w:r>
        <w:t xml:space="preserve">and </w:t>
      </w:r>
      <w:r w:rsidR="00802E34" w:rsidRPr="00802E34">
        <w:t>1,000,000 to &lt; 2,000,000</w:t>
      </w:r>
      <w:r w:rsidR="00802E34">
        <w:t xml:space="preserve"> </w:t>
      </w:r>
      <w:r>
        <w:t>respectively). The estimated financial impact decreased compared with both the original submission and the pre-PBAC response (</w:t>
      </w:r>
      <w:r w:rsidR="00614557" w:rsidRPr="00614557">
        <w:t xml:space="preserve">$500 million to &lt; $600 million </w:t>
      </w:r>
      <w:r>
        <w:t xml:space="preserve">compared with </w:t>
      </w:r>
      <w:r w:rsidR="00614557" w:rsidRPr="00614557">
        <w:t>$800 million to &lt; $900 million</w:t>
      </w:r>
      <w:r w:rsidR="00614557" w:rsidRPr="00614557" w:rsidDel="00614557">
        <w:t xml:space="preserve"> </w:t>
      </w:r>
      <w:r>
        <w:t xml:space="preserve">and </w:t>
      </w:r>
      <w:r w:rsidR="00614557" w:rsidRPr="00614557">
        <w:t>$700 million to &lt; $800 million</w:t>
      </w:r>
      <w:r w:rsidR="00614557">
        <w:t xml:space="preserve"> </w:t>
      </w:r>
      <w:r>
        <w:t>respectively).</w:t>
      </w:r>
    </w:p>
    <w:p w14:paraId="484BF627" w14:textId="77777777" w:rsidR="00186851" w:rsidRPr="00B10FDD" w:rsidRDefault="00186851" w:rsidP="00186851">
      <w:pPr>
        <w:pStyle w:val="5Tableheaders"/>
        <w:keepNext/>
        <w:keepLines/>
      </w:pPr>
      <w:bookmarkStart w:id="80" w:name="_Ref83102280"/>
      <w:bookmarkStart w:id="81" w:name="_Ref83102276"/>
      <w:r>
        <w:t xml:space="preserve">Table </w:t>
      </w:r>
      <w:r>
        <w:rPr>
          <w:noProof/>
        </w:rPr>
        <w:t>20</w:t>
      </w:r>
      <w:bookmarkEnd w:id="80"/>
      <w:r>
        <w:t xml:space="preserve">: </w:t>
      </w:r>
      <w:r w:rsidRPr="00B10FDD">
        <w:t xml:space="preserve">Comparison of the </w:t>
      </w:r>
      <w:r>
        <w:t>financial</w:t>
      </w:r>
      <w:r w:rsidRPr="00B10FDD">
        <w:t xml:space="preserve"> estimates </w:t>
      </w:r>
      <w:r>
        <w:t>presented to the PBAC in</w:t>
      </w:r>
      <w:r w:rsidRPr="00B10FDD">
        <w:t xml:space="preserve"> July 2021</w:t>
      </w:r>
      <w:r>
        <w:t xml:space="preserve"> and September 2021</w:t>
      </w:r>
      <w:bookmarkEnd w:id="81"/>
    </w:p>
    <w:tbl>
      <w:tblPr>
        <w:tblStyle w:val="TableGrid"/>
        <w:tblW w:w="5185" w:type="pct"/>
        <w:tblLayout w:type="fixed"/>
        <w:tblLook w:val="04A0" w:firstRow="1" w:lastRow="0" w:firstColumn="1" w:lastColumn="0" w:noHBand="0" w:noVBand="1"/>
        <w:tblCaption w:val="Table 20: Comparison of the financial estimates presented to the PBAC in July 2021 and September 2021"/>
      </w:tblPr>
      <w:tblGrid>
        <w:gridCol w:w="1555"/>
        <w:gridCol w:w="1066"/>
        <w:gridCol w:w="1066"/>
        <w:gridCol w:w="1128"/>
        <w:gridCol w:w="1134"/>
        <w:gridCol w:w="1134"/>
        <w:gridCol w:w="1134"/>
        <w:gridCol w:w="1134"/>
      </w:tblGrid>
      <w:tr w:rsidR="00186851" w:rsidRPr="00973A2A" w14:paraId="2C2DE475" w14:textId="77777777" w:rsidTr="00A47FAC">
        <w:trPr>
          <w:trHeight w:val="113"/>
          <w:tblHeader/>
        </w:trPr>
        <w:tc>
          <w:tcPr>
            <w:tcW w:w="1555" w:type="dxa"/>
            <w:tcBorders>
              <w:top w:val="single" w:sz="4" w:space="0" w:color="auto"/>
              <w:left w:val="single" w:sz="4" w:space="0" w:color="auto"/>
              <w:bottom w:val="single" w:sz="4" w:space="0" w:color="auto"/>
              <w:right w:val="single" w:sz="4" w:space="0" w:color="auto"/>
            </w:tcBorders>
          </w:tcPr>
          <w:p w14:paraId="252F1E52" w14:textId="77777777" w:rsidR="00186851" w:rsidRPr="00973A2A" w:rsidRDefault="00186851" w:rsidP="00186851">
            <w:pPr>
              <w:keepNext/>
              <w:keepLines/>
              <w:ind w:left="-113" w:right="-113"/>
              <w:jc w:val="left"/>
              <w:rPr>
                <w:rFonts w:ascii="Arial Narrow" w:hAnsi="Arial Narrow"/>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F5B3"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9991"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F25F"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DDD0"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29FD"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95F1"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1FE2"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 xml:space="preserve">6-year </w:t>
            </w:r>
          </w:p>
          <w:p w14:paraId="0226F912"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total cost</w:t>
            </w:r>
          </w:p>
        </w:tc>
      </w:tr>
      <w:tr w:rsidR="00186851" w:rsidRPr="00973A2A" w14:paraId="232BAC3E"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vAlign w:val="center"/>
          </w:tcPr>
          <w:p w14:paraId="77A229D4" w14:textId="77777777" w:rsidR="00186851" w:rsidRPr="00973A2A" w:rsidRDefault="00186851" w:rsidP="00186851">
            <w:pPr>
              <w:keepNext/>
              <w:keepLines/>
              <w:ind w:left="-113" w:right="-113"/>
              <w:jc w:val="left"/>
              <w:rPr>
                <w:rFonts w:ascii="Arial Narrow" w:hAnsi="Arial Narrow" w:cs="Calibri"/>
                <w:b/>
                <w:bCs/>
                <w:color w:val="000000"/>
                <w:sz w:val="20"/>
                <w:szCs w:val="20"/>
                <w:lang w:eastAsia="en-US"/>
              </w:rPr>
            </w:pPr>
            <w:r w:rsidRPr="00973A2A">
              <w:rPr>
                <w:rFonts w:ascii="Arial Narrow" w:hAnsi="Arial Narrow" w:cs="Calibri"/>
                <w:b/>
                <w:bCs/>
                <w:color w:val="000000"/>
                <w:sz w:val="20"/>
                <w:szCs w:val="20"/>
                <w:lang w:eastAsia="en-US"/>
              </w:rPr>
              <w:t>Estimated total patients</w:t>
            </w:r>
          </w:p>
        </w:tc>
      </w:tr>
      <w:tr w:rsidR="00186851" w:rsidRPr="00973A2A" w14:paraId="32D20E74"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D7B94AC"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 xml:space="preserve">July 2021 </w:t>
            </w:r>
          </w:p>
        </w:tc>
        <w:tc>
          <w:tcPr>
            <w:tcW w:w="1066" w:type="dxa"/>
            <w:tcBorders>
              <w:bottom w:val="single" w:sz="4" w:space="0" w:color="auto"/>
            </w:tcBorders>
            <w:hideMark/>
          </w:tcPr>
          <w:p w14:paraId="690375A1"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1</w:t>
            </w:r>
          </w:p>
        </w:tc>
        <w:tc>
          <w:tcPr>
            <w:tcW w:w="1066" w:type="dxa"/>
            <w:tcBorders>
              <w:bottom w:val="single" w:sz="4" w:space="0" w:color="auto"/>
            </w:tcBorders>
            <w:hideMark/>
          </w:tcPr>
          <w:p w14:paraId="44C497F3"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2</w:t>
            </w:r>
          </w:p>
        </w:tc>
        <w:tc>
          <w:tcPr>
            <w:tcW w:w="1128" w:type="dxa"/>
            <w:tcBorders>
              <w:bottom w:val="single" w:sz="4" w:space="0" w:color="auto"/>
            </w:tcBorders>
            <w:hideMark/>
          </w:tcPr>
          <w:p w14:paraId="450625C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17E4681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3078F1B3"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2ADD293C"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3A809"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68FDE73D"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813FEC" w14:textId="77777777" w:rsidR="00186851" w:rsidRPr="00973A2A" w:rsidRDefault="00186851" w:rsidP="00186851">
            <w:pPr>
              <w:keepNext/>
              <w:keepLines/>
              <w:ind w:left="-113" w:right="-113"/>
              <w:jc w:val="left"/>
              <w:rPr>
                <w:rFonts w:ascii="Arial Narrow" w:hAnsi="Arial Narrow"/>
                <w:sz w:val="20"/>
                <w:szCs w:val="20"/>
                <w:lang w:eastAsia="en-US"/>
              </w:rPr>
            </w:pPr>
            <w:r>
              <w:rPr>
                <w:rFonts w:ascii="Arial Narrow" w:hAnsi="Arial Narrow"/>
                <w:sz w:val="20"/>
                <w:szCs w:val="20"/>
                <w:lang w:eastAsia="en-US"/>
              </w:rPr>
              <w:t>July 2021 prePBAC</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14:paraId="5C7E2686"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2</w:t>
            </w:r>
          </w:p>
        </w:tc>
        <w:tc>
          <w:tcPr>
            <w:tcW w:w="1066" w:type="dxa"/>
            <w:tcBorders>
              <w:top w:val="single" w:sz="4" w:space="0" w:color="auto"/>
              <w:left w:val="nil"/>
              <w:bottom w:val="single" w:sz="4" w:space="0" w:color="auto"/>
              <w:right w:val="single" w:sz="4" w:space="0" w:color="auto"/>
            </w:tcBorders>
            <w:shd w:val="clear" w:color="000000" w:fill="FFFFFF"/>
            <w:vAlign w:val="center"/>
          </w:tcPr>
          <w:p w14:paraId="6E98C67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28" w:type="dxa"/>
            <w:tcBorders>
              <w:top w:val="single" w:sz="4" w:space="0" w:color="auto"/>
              <w:left w:val="nil"/>
              <w:bottom w:val="single" w:sz="4" w:space="0" w:color="auto"/>
              <w:right w:val="single" w:sz="4" w:space="0" w:color="auto"/>
            </w:tcBorders>
            <w:shd w:val="clear" w:color="000000" w:fill="FFFFFF"/>
            <w:vAlign w:val="center"/>
          </w:tcPr>
          <w:p w14:paraId="76035AC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BEC5D4"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B85D1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D8E832"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5084A7"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6C0B9A78"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F9CF090"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September 2021</w:t>
            </w:r>
          </w:p>
        </w:tc>
        <w:tc>
          <w:tcPr>
            <w:tcW w:w="1066" w:type="dxa"/>
            <w:tcBorders>
              <w:top w:val="single" w:sz="4" w:space="0" w:color="auto"/>
              <w:left w:val="single" w:sz="4" w:space="0" w:color="auto"/>
              <w:bottom w:val="single" w:sz="4" w:space="0" w:color="auto"/>
              <w:right w:val="single" w:sz="4" w:space="0" w:color="auto"/>
            </w:tcBorders>
            <w:shd w:val="clear" w:color="000000" w:fill="FFFFFF"/>
            <w:hideMark/>
          </w:tcPr>
          <w:p w14:paraId="72C5C99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7</w:t>
            </w:r>
          </w:p>
        </w:tc>
        <w:tc>
          <w:tcPr>
            <w:tcW w:w="1066" w:type="dxa"/>
            <w:tcBorders>
              <w:top w:val="single" w:sz="4" w:space="0" w:color="auto"/>
              <w:left w:val="nil"/>
              <w:bottom w:val="single" w:sz="4" w:space="0" w:color="auto"/>
              <w:right w:val="single" w:sz="4" w:space="0" w:color="auto"/>
            </w:tcBorders>
            <w:shd w:val="clear" w:color="000000" w:fill="FFFFFF"/>
            <w:hideMark/>
          </w:tcPr>
          <w:p w14:paraId="28D444E8"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28" w:type="dxa"/>
            <w:tcBorders>
              <w:top w:val="single" w:sz="4" w:space="0" w:color="auto"/>
              <w:left w:val="nil"/>
              <w:bottom w:val="single" w:sz="4" w:space="0" w:color="auto"/>
              <w:right w:val="single" w:sz="4" w:space="0" w:color="auto"/>
            </w:tcBorders>
            <w:shd w:val="clear" w:color="000000" w:fill="FFFFFF"/>
            <w:hideMark/>
          </w:tcPr>
          <w:p w14:paraId="72644D06"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hideMark/>
          </w:tcPr>
          <w:p w14:paraId="0CEBC9B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hideMark/>
          </w:tcPr>
          <w:p w14:paraId="4CA6C9CC"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000000" w:fill="FFFFFF"/>
            <w:hideMark/>
          </w:tcPr>
          <w:p w14:paraId="3598802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971B2"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58A51210"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31E183" w14:textId="77777777" w:rsidR="00186851" w:rsidRPr="00973A2A" w:rsidRDefault="00186851" w:rsidP="00186851">
            <w:pPr>
              <w:keepNext/>
              <w:keepLines/>
              <w:ind w:left="-113" w:right="-113"/>
              <w:jc w:val="left"/>
              <w:rPr>
                <w:rFonts w:ascii="Arial Narrow" w:hAnsi="Arial Narrow"/>
                <w:b/>
                <w:bCs/>
                <w:sz w:val="20"/>
                <w:szCs w:val="20"/>
                <w:lang w:eastAsia="en-US"/>
              </w:rPr>
            </w:pPr>
            <w:r w:rsidRPr="00973A2A">
              <w:rPr>
                <w:rFonts w:ascii="Arial Narrow" w:hAnsi="Arial Narrow" w:cs="Calibri"/>
                <w:b/>
                <w:bCs/>
                <w:color w:val="000000"/>
                <w:sz w:val="20"/>
                <w:szCs w:val="20"/>
                <w:lang w:eastAsia="en-US"/>
              </w:rPr>
              <w:t>Scripts</w:t>
            </w:r>
            <w:r w:rsidRPr="00973A2A">
              <w:rPr>
                <w:rFonts w:ascii="Arial Narrow" w:hAnsi="Arial Narrow"/>
                <w:b/>
                <w:bCs/>
                <w:sz w:val="20"/>
                <w:szCs w:val="20"/>
                <w:lang w:eastAsia="en-US"/>
              </w:rPr>
              <w:t xml:space="preserve"> dispensed (13.045 scripts per year x 98.6% compliance for both July and September estimates)</w:t>
            </w:r>
          </w:p>
        </w:tc>
      </w:tr>
      <w:tr w:rsidR="00186851" w:rsidRPr="00973A2A" w14:paraId="15ED3EFB"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4FB2E7D9"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July 2021</w:t>
            </w:r>
          </w:p>
        </w:tc>
        <w:tc>
          <w:tcPr>
            <w:tcW w:w="1066" w:type="dxa"/>
            <w:tcBorders>
              <w:top w:val="single" w:sz="4" w:space="0" w:color="auto"/>
            </w:tcBorders>
            <w:hideMark/>
          </w:tcPr>
          <w:p w14:paraId="1D75493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8</w:t>
            </w:r>
          </w:p>
        </w:tc>
        <w:tc>
          <w:tcPr>
            <w:tcW w:w="1066" w:type="dxa"/>
            <w:tcBorders>
              <w:top w:val="single" w:sz="4" w:space="0" w:color="auto"/>
            </w:tcBorders>
            <w:hideMark/>
          </w:tcPr>
          <w:p w14:paraId="3786DDEF"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tcBorders>
            <w:hideMark/>
          </w:tcPr>
          <w:p w14:paraId="4BFCE594"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40002ABE"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61749BE7"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518DE7C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2791E"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6AE0284E"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95D6CF" w14:textId="77777777" w:rsidR="00186851" w:rsidRPr="00973A2A" w:rsidRDefault="00186851" w:rsidP="00186851">
            <w:pPr>
              <w:keepNext/>
              <w:keepLines/>
              <w:ind w:left="-113" w:right="-113"/>
              <w:jc w:val="left"/>
              <w:rPr>
                <w:rFonts w:ascii="Arial Narrow" w:hAnsi="Arial Narrow"/>
                <w:sz w:val="20"/>
                <w:szCs w:val="20"/>
                <w:lang w:eastAsia="en-US"/>
              </w:rPr>
            </w:pPr>
            <w:r>
              <w:rPr>
                <w:rFonts w:ascii="Arial Narrow" w:hAnsi="Arial Narrow"/>
                <w:sz w:val="20"/>
                <w:szCs w:val="20"/>
                <w:lang w:eastAsia="en-US"/>
              </w:rPr>
              <w:t>July 2021 prePBAC</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14:paraId="145EA2D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066" w:type="dxa"/>
            <w:tcBorders>
              <w:top w:val="single" w:sz="4" w:space="0" w:color="auto"/>
              <w:left w:val="nil"/>
              <w:bottom w:val="single" w:sz="4" w:space="0" w:color="auto"/>
              <w:right w:val="single" w:sz="4" w:space="0" w:color="auto"/>
            </w:tcBorders>
            <w:shd w:val="clear" w:color="000000" w:fill="FFFFFF"/>
            <w:vAlign w:val="center"/>
          </w:tcPr>
          <w:p w14:paraId="0D98B05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left w:val="nil"/>
              <w:bottom w:val="single" w:sz="4" w:space="0" w:color="auto"/>
              <w:right w:val="single" w:sz="4" w:space="0" w:color="auto"/>
            </w:tcBorders>
            <w:shd w:val="clear" w:color="000000" w:fill="FFFFFF"/>
            <w:vAlign w:val="center"/>
          </w:tcPr>
          <w:p w14:paraId="35B2154F"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E83C6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625146"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D4CF0F"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184A1E"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3423BE03"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4771626"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September 2021</w:t>
            </w:r>
          </w:p>
        </w:tc>
        <w:tc>
          <w:tcPr>
            <w:tcW w:w="1066" w:type="dxa"/>
            <w:tcBorders>
              <w:top w:val="single" w:sz="4" w:space="0" w:color="auto"/>
              <w:left w:val="single" w:sz="4" w:space="0" w:color="auto"/>
              <w:bottom w:val="single" w:sz="4" w:space="0" w:color="auto"/>
              <w:right w:val="single" w:sz="4" w:space="0" w:color="auto"/>
            </w:tcBorders>
            <w:shd w:val="clear" w:color="000000" w:fill="FFFFFF"/>
            <w:hideMark/>
          </w:tcPr>
          <w:p w14:paraId="5799732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14</w:t>
            </w:r>
          </w:p>
        </w:tc>
        <w:tc>
          <w:tcPr>
            <w:tcW w:w="1066" w:type="dxa"/>
            <w:tcBorders>
              <w:top w:val="single" w:sz="4" w:space="0" w:color="auto"/>
              <w:left w:val="nil"/>
              <w:bottom w:val="single" w:sz="4" w:space="0" w:color="auto"/>
              <w:right w:val="single" w:sz="4" w:space="0" w:color="auto"/>
            </w:tcBorders>
            <w:shd w:val="clear" w:color="000000" w:fill="FFFFFF"/>
            <w:hideMark/>
          </w:tcPr>
          <w:p w14:paraId="34E3F76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left w:val="nil"/>
              <w:bottom w:val="single" w:sz="4" w:space="0" w:color="auto"/>
              <w:right w:val="single" w:sz="4" w:space="0" w:color="auto"/>
            </w:tcBorders>
            <w:shd w:val="clear" w:color="000000" w:fill="FFFFFF"/>
            <w:hideMark/>
          </w:tcPr>
          <w:p w14:paraId="2897593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left w:val="nil"/>
              <w:bottom w:val="single" w:sz="4" w:space="0" w:color="auto"/>
              <w:right w:val="single" w:sz="4" w:space="0" w:color="auto"/>
            </w:tcBorders>
            <w:shd w:val="clear" w:color="000000" w:fill="FFFFFF"/>
            <w:hideMark/>
          </w:tcPr>
          <w:p w14:paraId="5146D6FE"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nil"/>
              <w:bottom w:val="single" w:sz="4" w:space="0" w:color="auto"/>
              <w:right w:val="single" w:sz="4" w:space="0" w:color="auto"/>
            </w:tcBorders>
            <w:shd w:val="clear" w:color="000000" w:fill="FFFFFF"/>
            <w:hideMark/>
          </w:tcPr>
          <w:p w14:paraId="25B2AEB5"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000000" w:fill="FFFFFF"/>
            <w:hideMark/>
          </w:tcPr>
          <w:p w14:paraId="52E526D3"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0F5B06"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7B13E39E"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3D41D8" w14:textId="77777777" w:rsidR="00186851" w:rsidRPr="00973A2A" w:rsidRDefault="00186851" w:rsidP="00186851">
            <w:pPr>
              <w:keepNext/>
              <w:keepLines/>
              <w:ind w:left="-113" w:right="-113"/>
              <w:jc w:val="left"/>
              <w:rPr>
                <w:rFonts w:ascii="Arial Narrow" w:hAnsi="Arial Narrow"/>
                <w:b/>
                <w:bCs/>
                <w:sz w:val="20"/>
                <w:szCs w:val="20"/>
                <w:lang w:eastAsia="en-US"/>
              </w:rPr>
            </w:pPr>
            <w:r w:rsidRPr="00973A2A">
              <w:rPr>
                <w:rFonts w:ascii="Arial Narrow" w:hAnsi="Arial Narrow"/>
                <w:b/>
                <w:bCs/>
                <w:sz w:val="20"/>
                <w:szCs w:val="20"/>
                <w:lang w:eastAsia="en-US"/>
              </w:rPr>
              <w:t>Cost to R/PBS (less copayments)</w:t>
            </w:r>
          </w:p>
        </w:tc>
      </w:tr>
      <w:tr w:rsidR="00186851" w:rsidRPr="00973A2A" w14:paraId="446FE9BD"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451010AB"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145C5C19"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15</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3645D4BE" w14:textId="7FC42084"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16</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2FFF5690" w14:textId="5743D850"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A8AE79"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3A41D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FC552F"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5CA697"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04A64140"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66CD4E" w14:textId="77777777" w:rsidR="00186851" w:rsidRPr="00865CD1" w:rsidRDefault="00186851" w:rsidP="00186851">
            <w:pPr>
              <w:keepNext/>
              <w:keepLines/>
              <w:ind w:left="-113" w:right="-113"/>
              <w:jc w:val="left"/>
              <w:rPr>
                <w:rFonts w:ascii="Arial Narrow" w:hAnsi="Arial Narrow"/>
                <w:b/>
                <w:bCs/>
                <w:sz w:val="20"/>
                <w:szCs w:val="20"/>
                <w:lang w:eastAsia="en-US"/>
              </w:rPr>
            </w:pPr>
            <w:r w:rsidRPr="00865CD1">
              <w:rPr>
                <w:rFonts w:ascii="Arial Narrow" w:hAnsi="Arial Narrow"/>
                <w:sz w:val="20"/>
                <w:szCs w:val="20"/>
                <w:lang w:eastAsia="en-US"/>
              </w:rPr>
              <w:t xml:space="preserve">July 2021 prePBAC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6DEF46A" w14:textId="1931DB32"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19</w:t>
            </w:r>
          </w:p>
        </w:tc>
        <w:tc>
          <w:tcPr>
            <w:tcW w:w="1066" w:type="dxa"/>
            <w:tcBorders>
              <w:top w:val="single" w:sz="4" w:space="0" w:color="auto"/>
              <w:left w:val="nil"/>
              <w:bottom w:val="single" w:sz="4" w:space="0" w:color="auto"/>
              <w:right w:val="single" w:sz="4" w:space="0" w:color="auto"/>
            </w:tcBorders>
            <w:shd w:val="clear" w:color="auto" w:fill="auto"/>
            <w:vAlign w:val="center"/>
          </w:tcPr>
          <w:p w14:paraId="7253607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20</w:t>
            </w:r>
          </w:p>
        </w:tc>
        <w:tc>
          <w:tcPr>
            <w:tcW w:w="1128" w:type="dxa"/>
            <w:tcBorders>
              <w:top w:val="single" w:sz="4" w:space="0" w:color="auto"/>
              <w:left w:val="nil"/>
              <w:bottom w:val="single" w:sz="4" w:space="0" w:color="auto"/>
              <w:right w:val="single" w:sz="4" w:space="0" w:color="auto"/>
            </w:tcBorders>
            <w:shd w:val="clear" w:color="auto" w:fill="auto"/>
            <w:vAlign w:val="center"/>
          </w:tcPr>
          <w:p w14:paraId="03A9C7C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0BB89"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745BE" w14:textId="5F1E9F23"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0B7519" w14:textId="39F4615B"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980937"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40618F59"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7921E58D"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24703FFF" w14:textId="0B2FE089"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21</w:t>
            </w:r>
          </w:p>
        </w:tc>
        <w:tc>
          <w:tcPr>
            <w:tcW w:w="1066" w:type="dxa"/>
            <w:tcBorders>
              <w:top w:val="single" w:sz="4" w:space="0" w:color="auto"/>
              <w:left w:val="nil"/>
              <w:bottom w:val="single" w:sz="4" w:space="0" w:color="auto"/>
              <w:right w:val="single" w:sz="4" w:space="0" w:color="auto"/>
            </w:tcBorders>
            <w:shd w:val="clear" w:color="auto" w:fill="auto"/>
            <w:hideMark/>
          </w:tcPr>
          <w:p w14:paraId="0153D12A" w14:textId="5A121E46"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22</w:t>
            </w:r>
          </w:p>
        </w:tc>
        <w:tc>
          <w:tcPr>
            <w:tcW w:w="1128" w:type="dxa"/>
            <w:tcBorders>
              <w:top w:val="single" w:sz="4" w:space="0" w:color="auto"/>
              <w:left w:val="nil"/>
              <w:bottom w:val="single" w:sz="4" w:space="0" w:color="auto"/>
              <w:right w:val="single" w:sz="4" w:space="0" w:color="auto"/>
            </w:tcBorders>
            <w:shd w:val="clear" w:color="auto" w:fill="auto"/>
            <w:hideMark/>
          </w:tcPr>
          <w:p w14:paraId="078BDC3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hideMark/>
          </w:tcPr>
          <w:p w14:paraId="1B8C57B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hideMark/>
          </w:tcPr>
          <w:p w14:paraId="720EDB9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hideMark/>
          </w:tcPr>
          <w:p w14:paraId="3F0C1873" w14:textId="5292DE04"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12C021"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1CC04B31"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Pr>
          <w:p w14:paraId="79C52F9B" w14:textId="77777777" w:rsidR="00186851" w:rsidRPr="00973A2A" w:rsidRDefault="00186851" w:rsidP="00186851">
            <w:pPr>
              <w:ind w:left="-113" w:right="-113"/>
              <w:jc w:val="left"/>
              <w:rPr>
                <w:rFonts w:ascii="Arial Narrow" w:hAnsi="Arial Narrow" w:cs="Calibri"/>
                <w:color w:val="000000" w:themeColor="text1"/>
                <w:sz w:val="20"/>
                <w:szCs w:val="20"/>
                <w:lang w:eastAsia="en-US"/>
              </w:rPr>
            </w:pPr>
            <w:r w:rsidRPr="00973A2A">
              <w:rPr>
                <w:rFonts w:ascii="Arial Narrow" w:hAnsi="Arial Narrow"/>
                <w:b/>
                <w:bCs/>
                <w:sz w:val="20"/>
                <w:szCs w:val="20"/>
              </w:rPr>
              <w:t>Net savings of empagliflozin (less copayments)</w:t>
            </w:r>
          </w:p>
        </w:tc>
      </w:tr>
      <w:tr w:rsidR="00186851" w:rsidRPr="00973A2A" w14:paraId="78B375CE"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115046"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Borders>
              <w:top w:val="single" w:sz="4" w:space="0" w:color="auto"/>
            </w:tcBorders>
          </w:tcPr>
          <w:p w14:paraId="6B414D1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tcBorders>
          </w:tcPr>
          <w:p w14:paraId="433860E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tcBorders>
          </w:tcPr>
          <w:p w14:paraId="64E9374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61FAB10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69672F2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368855B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E0F73"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4B047576"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BB6789"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prePBAC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7FA473"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left w:val="nil"/>
              <w:bottom w:val="single" w:sz="4" w:space="0" w:color="auto"/>
              <w:right w:val="single" w:sz="4" w:space="0" w:color="auto"/>
            </w:tcBorders>
            <w:shd w:val="clear" w:color="auto" w:fill="auto"/>
            <w:vAlign w:val="center"/>
          </w:tcPr>
          <w:p w14:paraId="3AD493A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left w:val="nil"/>
              <w:bottom w:val="single" w:sz="4" w:space="0" w:color="auto"/>
              <w:right w:val="single" w:sz="4" w:space="0" w:color="auto"/>
            </w:tcBorders>
            <w:shd w:val="clear" w:color="auto" w:fill="auto"/>
            <w:vAlign w:val="center"/>
          </w:tcPr>
          <w:p w14:paraId="0831A9F7"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522DF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BA3047"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DADBA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95091"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60D4B855"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1AFED8"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77AF692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left w:val="nil"/>
              <w:bottom w:val="single" w:sz="4" w:space="0" w:color="auto"/>
              <w:right w:val="single" w:sz="4" w:space="0" w:color="auto"/>
            </w:tcBorders>
            <w:shd w:val="clear" w:color="auto" w:fill="auto"/>
          </w:tcPr>
          <w:p w14:paraId="1F62D2D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left w:val="nil"/>
              <w:bottom w:val="single" w:sz="4" w:space="0" w:color="auto"/>
              <w:right w:val="single" w:sz="4" w:space="0" w:color="auto"/>
            </w:tcBorders>
            <w:shd w:val="clear" w:color="auto" w:fill="auto"/>
          </w:tcPr>
          <w:p w14:paraId="2D3F66BC"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745511F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7E9EF82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33A2349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8C259"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1B40D2C2"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Pr>
          <w:p w14:paraId="5BB07336" w14:textId="77777777" w:rsidR="00186851" w:rsidRPr="00865CD1" w:rsidRDefault="00186851" w:rsidP="00186851">
            <w:pPr>
              <w:keepNext/>
              <w:keepLines/>
              <w:ind w:left="-113" w:right="-113"/>
              <w:jc w:val="left"/>
              <w:rPr>
                <w:rFonts w:ascii="Arial Narrow" w:hAnsi="Arial Narrow"/>
                <w:b/>
                <w:bCs/>
                <w:sz w:val="20"/>
                <w:szCs w:val="20"/>
                <w:lang w:eastAsia="en-US"/>
              </w:rPr>
            </w:pPr>
            <w:r w:rsidRPr="00865CD1">
              <w:rPr>
                <w:rFonts w:ascii="Arial Narrow" w:hAnsi="Arial Narrow"/>
                <w:b/>
                <w:bCs/>
                <w:sz w:val="20"/>
                <w:szCs w:val="20"/>
                <w:lang w:eastAsia="en-US"/>
              </w:rPr>
              <w:t>Net cost to R/PBS (less copayments)</w:t>
            </w:r>
          </w:p>
        </w:tc>
      </w:tr>
      <w:tr w:rsidR="00186851" w:rsidRPr="00973A2A" w14:paraId="5030BB31"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E224C9"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Pr>
          <w:p w14:paraId="1EA9F15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15</w:t>
            </w:r>
          </w:p>
        </w:tc>
        <w:tc>
          <w:tcPr>
            <w:tcW w:w="1066" w:type="dxa"/>
          </w:tcPr>
          <w:p w14:paraId="789D350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16</w:t>
            </w:r>
          </w:p>
        </w:tc>
        <w:tc>
          <w:tcPr>
            <w:tcW w:w="1128" w:type="dxa"/>
          </w:tcPr>
          <w:p w14:paraId="420943BC" w14:textId="6B7A4321"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787861A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3D4651A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4DB655F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670BF130" w14:textId="77777777" w:rsidR="00186851" w:rsidRPr="00865CD1" w:rsidRDefault="00186851" w:rsidP="00186851">
            <w:pPr>
              <w:keepNext/>
              <w:keepLines/>
              <w:ind w:left="-113" w:right="-113"/>
              <w:jc w:val="center"/>
              <w:rPr>
                <w:rFonts w:ascii="Arial Narrow" w:hAnsi="Arial Narrow" w:cs="Calibri"/>
                <w:color w:val="000000" w:themeColor="text1"/>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24</w:t>
            </w:r>
          </w:p>
        </w:tc>
      </w:tr>
      <w:tr w:rsidR="00186851" w:rsidRPr="00973A2A" w14:paraId="00BECD0B"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8A3132" w14:textId="77777777" w:rsidR="00186851" w:rsidRPr="00865CD1" w:rsidRDefault="00186851" w:rsidP="00186851">
            <w:pPr>
              <w:keepNext/>
              <w:keepLines/>
              <w:ind w:left="-113" w:right="-113"/>
              <w:rPr>
                <w:rFonts w:ascii="Arial Narrow" w:hAnsi="Arial Narrow"/>
                <w:sz w:val="20"/>
                <w:szCs w:val="20"/>
                <w:lang w:eastAsia="en-US"/>
              </w:rPr>
            </w:pPr>
            <w:r w:rsidRPr="00865CD1">
              <w:rPr>
                <w:rFonts w:ascii="Arial Narrow" w:hAnsi="Arial Narrow"/>
                <w:sz w:val="20"/>
                <w:szCs w:val="20"/>
                <w:lang w:eastAsia="en-US"/>
              </w:rPr>
              <w:t xml:space="preserve">July 2021 prePBAC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8E48AB"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19</w:t>
            </w:r>
          </w:p>
        </w:tc>
        <w:tc>
          <w:tcPr>
            <w:tcW w:w="1066" w:type="dxa"/>
            <w:tcBorders>
              <w:top w:val="single" w:sz="4" w:space="0" w:color="auto"/>
              <w:left w:val="nil"/>
              <w:bottom w:val="single" w:sz="4" w:space="0" w:color="auto"/>
              <w:right w:val="single" w:sz="4" w:space="0" w:color="auto"/>
            </w:tcBorders>
            <w:shd w:val="clear" w:color="auto" w:fill="auto"/>
            <w:vAlign w:val="center"/>
          </w:tcPr>
          <w:p w14:paraId="3586AB8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15</w:t>
            </w:r>
          </w:p>
        </w:tc>
        <w:tc>
          <w:tcPr>
            <w:tcW w:w="1128" w:type="dxa"/>
            <w:tcBorders>
              <w:top w:val="single" w:sz="4" w:space="0" w:color="auto"/>
              <w:left w:val="nil"/>
              <w:bottom w:val="single" w:sz="4" w:space="0" w:color="auto"/>
              <w:right w:val="single" w:sz="4" w:space="0" w:color="auto"/>
            </w:tcBorders>
            <w:shd w:val="clear" w:color="auto" w:fill="auto"/>
            <w:vAlign w:val="center"/>
          </w:tcPr>
          <w:p w14:paraId="0A701B7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B470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0AF5C" w14:textId="6402F23C"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431C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vAlign w:val="center"/>
          </w:tcPr>
          <w:p w14:paraId="084601C6" w14:textId="47508123"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352081">
              <w:rPr>
                <w:rFonts w:ascii="Arial Narrow" w:hAnsi="Arial Narrow" w:cs="Calibri"/>
                <w:noProof/>
                <w:color w:val="000000"/>
                <w:sz w:val="20"/>
                <w:szCs w:val="20"/>
                <w:highlight w:val="black"/>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25</w:t>
            </w:r>
          </w:p>
        </w:tc>
      </w:tr>
      <w:tr w:rsidR="00186851" w:rsidRPr="00973A2A" w14:paraId="519C2833"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2CCD6BE"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7757164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21</w:t>
            </w:r>
          </w:p>
        </w:tc>
        <w:tc>
          <w:tcPr>
            <w:tcW w:w="1066" w:type="dxa"/>
            <w:tcBorders>
              <w:top w:val="single" w:sz="4" w:space="0" w:color="auto"/>
              <w:left w:val="nil"/>
              <w:bottom w:val="single" w:sz="4" w:space="0" w:color="auto"/>
              <w:right w:val="single" w:sz="4" w:space="0" w:color="auto"/>
            </w:tcBorders>
            <w:shd w:val="clear" w:color="auto" w:fill="auto"/>
          </w:tcPr>
          <w:p w14:paraId="62FDC22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22</w:t>
            </w:r>
          </w:p>
        </w:tc>
        <w:tc>
          <w:tcPr>
            <w:tcW w:w="1128" w:type="dxa"/>
            <w:tcBorders>
              <w:top w:val="single" w:sz="4" w:space="0" w:color="auto"/>
              <w:left w:val="nil"/>
              <w:bottom w:val="single" w:sz="4" w:space="0" w:color="auto"/>
              <w:right w:val="single" w:sz="4" w:space="0" w:color="auto"/>
            </w:tcBorders>
            <w:shd w:val="clear" w:color="auto" w:fill="auto"/>
          </w:tcPr>
          <w:p w14:paraId="3C0DF7B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tcPr>
          <w:p w14:paraId="7EE4B4A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26F3DCC3" w14:textId="77777777" w:rsidR="00186851" w:rsidRPr="00865CD1" w:rsidRDefault="00186851" w:rsidP="00186851">
            <w:pPr>
              <w:keepNext/>
              <w:keepLines/>
              <w:ind w:left="-113" w:right="-113"/>
              <w:jc w:val="center"/>
              <w:rPr>
                <w:rFonts w:ascii="Arial Narrow" w:hAnsi="Arial Narrow" w:cs="Calibri"/>
                <w:color w:val="000000"/>
                <w:sz w:val="20"/>
                <w:szCs w:val="20"/>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tcPr>
          <w:p w14:paraId="7468FA2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tcPr>
          <w:p w14:paraId="7A52B2A4" w14:textId="77777777" w:rsidR="00186851" w:rsidRPr="00865CD1" w:rsidRDefault="00186851" w:rsidP="00186851">
            <w:pPr>
              <w:keepNext/>
              <w:keepLines/>
              <w:ind w:left="-113" w:right="-113"/>
              <w:jc w:val="center"/>
              <w:rPr>
                <w:rFonts w:ascii="Arial Narrow" w:hAnsi="Arial Narrow" w:cs="Calibri"/>
                <w:color w:val="000000" w:themeColor="text1"/>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26</w:t>
            </w:r>
          </w:p>
        </w:tc>
      </w:tr>
    </w:tbl>
    <w:p w14:paraId="6EBF18A5" w14:textId="77777777" w:rsidR="00186851" w:rsidRDefault="00186851" w:rsidP="00186851">
      <w:pPr>
        <w:pStyle w:val="5TableFooter"/>
        <w:keepNext/>
        <w:keepLines/>
      </w:pPr>
      <w:r w:rsidRPr="009E5AEE">
        <w:t xml:space="preserve">Source: Table 18, dapagliflozin, </w:t>
      </w:r>
      <w:r w:rsidR="00BF4B34">
        <w:t>PSD</w:t>
      </w:r>
      <w:r w:rsidRPr="009E5AEE">
        <w:t>, July 2021 PBAC meeting; Table 7, p19 of the additional information provided in August 2021</w:t>
      </w:r>
      <w:r>
        <w:t>.</w:t>
      </w:r>
    </w:p>
    <w:p w14:paraId="34217644" w14:textId="77777777" w:rsidR="00186851" w:rsidRDefault="00186851" w:rsidP="00186851">
      <w:pPr>
        <w:pStyle w:val="5TableFooter"/>
        <w:keepLines/>
      </w:pPr>
      <w:r w:rsidRPr="00DC1833">
        <w:rPr>
          <w:vertAlign w:val="superscript"/>
        </w:rPr>
        <w:t>a</w:t>
      </w:r>
      <w:r w:rsidRPr="00B10FDD">
        <w:t xml:space="preserve"> Based on </w:t>
      </w:r>
      <w:r>
        <w:t>original proposed DPMQ</w:t>
      </w:r>
      <w:r w:rsidRPr="00B10FDD">
        <w:t xml:space="preserve"> </w:t>
      </w:r>
      <w:r>
        <w:t xml:space="preserve">of </w:t>
      </w:r>
      <w:r w:rsidRPr="00B10FDD">
        <w:t>$</w:t>
      </w:r>
      <w:r w:rsidR="00164731">
        <w:rPr>
          <w:noProof/>
          <w:color w:val="000000"/>
          <w:highlight w:val="black"/>
        </w:rPr>
        <w:t>'''''''''''''''</w:t>
      </w:r>
    </w:p>
    <w:p w14:paraId="02C2E027" w14:textId="77777777" w:rsidR="00186851" w:rsidRPr="00634F67" w:rsidRDefault="00186851" w:rsidP="00186851">
      <w:pPr>
        <w:pStyle w:val="5TableFooter"/>
        <w:keepLines/>
      </w:pPr>
      <w:r>
        <w:rPr>
          <w:sz w:val="20"/>
          <w:szCs w:val="20"/>
          <w:vertAlign w:val="superscript"/>
        </w:rPr>
        <w:t>b</w:t>
      </w:r>
      <w:r>
        <w:rPr>
          <w:vertAlign w:val="superscript"/>
        </w:rPr>
        <w:t xml:space="preserve"> </w:t>
      </w:r>
      <w:r w:rsidRPr="00A32BCE">
        <w:t xml:space="preserve">Based on </w:t>
      </w:r>
      <w:r>
        <w:t xml:space="preserve">revised DPMQ </w:t>
      </w:r>
      <w:r w:rsidRPr="00634F67">
        <w:t>of $</w:t>
      </w:r>
      <w:r w:rsidR="00164731">
        <w:rPr>
          <w:noProof/>
          <w:color w:val="000000"/>
          <w:highlight w:val="black"/>
        </w:rPr>
        <w:t>''''''''''''</w:t>
      </w:r>
      <w:r w:rsidRPr="00634F67">
        <w:t xml:space="preserve">, price for the </w:t>
      </w:r>
      <w:r w:rsidR="00164731">
        <w:rPr>
          <w:noProof/>
          <w:color w:val="000000"/>
          <w:highlight w:val="black"/>
        </w:rPr>
        <w:t>''''''''''''''</w:t>
      </w:r>
      <w:r w:rsidRPr="00634F67">
        <w:t xml:space="preserve"> listing as at 1 June 2021.</w:t>
      </w:r>
    </w:p>
    <w:p w14:paraId="091DFCA8" w14:textId="77777777" w:rsidR="00AA6EFC" w:rsidRDefault="00186851" w:rsidP="00AA6EFC">
      <w:pPr>
        <w:pStyle w:val="5TableFooter"/>
        <w:keepLines/>
      </w:pPr>
      <w:r w:rsidRPr="00634F67">
        <w:rPr>
          <w:vertAlign w:val="superscript"/>
        </w:rPr>
        <w:t>c</w:t>
      </w:r>
      <w:r w:rsidRPr="00634F67">
        <w:t xml:space="preserve"> Based on revised DPMQ $</w:t>
      </w:r>
      <w:r w:rsidR="00164731">
        <w:rPr>
          <w:noProof/>
          <w:color w:val="000000"/>
          <w:highlight w:val="black"/>
        </w:rPr>
        <w:t>''''''''''''''</w:t>
      </w:r>
      <w:r w:rsidRPr="00634F67">
        <w:t xml:space="preserve">, price for the </w:t>
      </w:r>
      <w:r w:rsidR="00164731">
        <w:rPr>
          <w:noProof/>
          <w:color w:val="000000"/>
          <w:highlight w:val="black"/>
        </w:rPr>
        <w:t>''''''''''''''''</w:t>
      </w:r>
      <w:r w:rsidRPr="00634F67">
        <w:t xml:space="preserve"> listing</w:t>
      </w:r>
      <w:r>
        <w:t xml:space="preserve"> as at 1 July 2021.</w:t>
      </w:r>
    </w:p>
    <w:p w14:paraId="5E726D42" w14:textId="77777777" w:rsidR="00AA6EFC" w:rsidRDefault="00AA6EFC" w:rsidP="00AA6EFC">
      <w:pPr>
        <w:pStyle w:val="5TableFooter"/>
        <w:keepLines/>
        <w:rPr>
          <w:i/>
          <w:iCs/>
        </w:rPr>
      </w:pPr>
      <w:r>
        <w:rPr>
          <w:i/>
          <w:iCs/>
        </w:rPr>
        <w:t>The redacted values correspond to the following ranges</w:t>
      </w:r>
    </w:p>
    <w:p w14:paraId="66D65E99" w14:textId="77777777" w:rsidR="00AA6EFC" w:rsidRDefault="00AA6EFC" w:rsidP="00AA6EFC">
      <w:pPr>
        <w:pStyle w:val="5TableFooter"/>
        <w:keepLines/>
        <w:rPr>
          <w:i/>
          <w:iCs/>
        </w:rPr>
      </w:pPr>
      <w:r>
        <w:rPr>
          <w:i/>
          <w:iCs/>
          <w:vertAlign w:val="superscript"/>
        </w:rPr>
        <w:t>1</w:t>
      </w:r>
      <w:r w:rsidRPr="00AA6EFC">
        <w:rPr>
          <w:i/>
          <w:iCs/>
        </w:rPr>
        <w:t>50,000 to &lt; 60,000</w:t>
      </w:r>
    </w:p>
    <w:p w14:paraId="48F7F823" w14:textId="77777777" w:rsidR="00AA6EFC" w:rsidRDefault="00AA6EFC" w:rsidP="00AA6EFC">
      <w:pPr>
        <w:pStyle w:val="5TableFooter"/>
        <w:keepLines/>
        <w:rPr>
          <w:i/>
          <w:iCs/>
        </w:rPr>
      </w:pPr>
      <w:r>
        <w:rPr>
          <w:i/>
          <w:iCs/>
          <w:vertAlign w:val="superscript"/>
        </w:rPr>
        <w:t>2</w:t>
      </w:r>
      <w:r w:rsidRPr="00AA6EFC">
        <w:rPr>
          <w:i/>
          <w:iCs/>
        </w:rPr>
        <w:t>80,000 to &lt; 90,000</w:t>
      </w:r>
    </w:p>
    <w:p w14:paraId="6BF72769" w14:textId="77777777" w:rsidR="00AA6EFC" w:rsidRDefault="00AA6EFC" w:rsidP="00AA6EFC">
      <w:pPr>
        <w:pStyle w:val="5TableFooter"/>
        <w:keepLines/>
        <w:rPr>
          <w:i/>
          <w:iCs/>
        </w:rPr>
      </w:pPr>
      <w:r>
        <w:rPr>
          <w:i/>
          <w:iCs/>
          <w:vertAlign w:val="superscript"/>
        </w:rPr>
        <w:t>3</w:t>
      </w:r>
      <w:r w:rsidRPr="00AA6EFC">
        <w:rPr>
          <w:i/>
          <w:iCs/>
        </w:rPr>
        <w:t>100,000 to &lt; 200,000</w:t>
      </w:r>
    </w:p>
    <w:p w14:paraId="03AFD90A" w14:textId="77777777" w:rsidR="00AA6EFC" w:rsidRDefault="00AA6EFC" w:rsidP="00AA6EFC">
      <w:pPr>
        <w:pStyle w:val="5TableFooter"/>
        <w:keepLines/>
        <w:rPr>
          <w:i/>
          <w:iCs/>
        </w:rPr>
      </w:pPr>
      <w:r>
        <w:rPr>
          <w:i/>
          <w:iCs/>
          <w:vertAlign w:val="superscript"/>
        </w:rPr>
        <w:t>4</w:t>
      </w:r>
      <w:r w:rsidRPr="00AA6EFC">
        <w:rPr>
          <w:i/>
          <w:iCs/>
        </w:rPr>
        <w:t>200,000 to &lt; 300,000</w:t>
      </w:r>
    </w:p>
    <w:p w14:paraId="0C260BB5" w14:textId="77777777" w:rsidR="00AA6EFC" w:rsidRDefault="00AA6EFC" w:rsidP="00AA6EFC">
      <w:pPr>
        <w:pStyle w:val="5TableFooter"/>
        <w:keepLines/>
        <w:rPr>
          <w:i/>
          <w:iCs/>
        </w:rPr>
      </w:pPr>
      <w:r>
        <w:rPr>
          <w:i/>
          <w:iCs/>
          <w:vertAlign w:val="superscript"/>
        </w:rPr>
        <w:t>5</w:t>
      </w:r>
      <w:r w:rsidRPr="00AA6EFC">
        <w:rPr>
          <w:i/>
          <w:iCs/>
        </w:rPr>
        <w:t>300,000 to &lt; 400,000</w:t>
      </w:r>
    </w:p>
    <w:p w14:paraId="2A9BE5A3" w14:textId="77777777" w:rsidR="00AA6EFC" w:rsidRDefault="00AA6EFC" w:rsidP="00AA6EFC">
      <w:pPr>
        <w:pStyle w:val="5TableFooter"/>
        <w:keepLines/>
        <w:rPr>
          <w:i/>
          <w:iCs/>
        </w:rPr>
      </w:pPr>
      <w:r>
        <w:rPr>
          <w:i/>
          <w:iCs/>
          <w:vertAlign w:val="superscript"/>
        </w:rPr>
        <w:t>6</w:t>
      </w:r>
      <w:r w:rsidRPr="00AA6EFC">
        <w:rPr>
          <w:i/>
          <w:iCs/>
        </w:rPr>
        <w:t>400,000 to &lt; 500,000</w:t>
      </w:r>
    </w:p>
    <w:p w14:paraId="39C5719C" w14:textId="77777777" w:rsidR="00AA6EFC" w:rsidRDefault="00715924" w:rsidP="00AA6EFC">
      <w:pPr>
        <w:pStyle w:val="5TableFooter"/>
        <w:keepLines/>
        <w:rPr>
          <w:i/>
          <w:iCs/>
        </w:rPr>
      </w:pPr>
      <w:r>
        <w:rPr>
          <w:i/>
          <w:iCs/>
          <w:vertAlign w:val="superscript"/>
        </w:rPr>
        <w:t>7</w:t>
      </w:r>
      <w:r w:rsidRPr="00715924">
        <w:rPr>
          <w:i/>
          <w:iCs/>
        </w:rPr>
        <w:t>60,000 to &lt; 70,000</w:t>
      </w:r>
    </w:p>
    <w:p w14:paraId="66A44DE1" w14:textId="77777777" w:rsidR="00715924" w:rsidRDefault="00715924" w:rsidP="00AA6EFC">
      <w:pPr>
        <w:pStyle w:val="5TableFooter"/>
        <w:keepLines/>
        <w:rPr>
          <w:i/>
          <w:iCs/>
        </w:rPr>
      </w:pPr>
      <w:r>
        <w:rPr>
          <w:i/>
          <w:iCs/>
          <w:vertAlign w:val="superscript"/>
        </w:rPr>
        <w:t>8</w:t>
      </w:r>
      <w:r w:rsidRPr="00715924">
        <w:rPr>
          <w:i/>
          <w:iCs/>
        </w:rPr>
        <w:t>700,000 to &lt; 800,000</w:t>
      </w:r>
    </w:p>
    <w:p w14:paraId="484C9345" w14:textId="77777777" w:rsidR="00715924" w:rsidRDefault="00715924" w:rsidP="00AA6EFC">
      <w:pPr>
        <w:pStyle w:val="5TableFooter"/>
        <w:keepLines/>
        <w:rPr>
          <w:i/>
          <w:iCs/>
        </w:rPr>
      </w:pPr>
      <w:r>
        <w:rPr>
          <w:i/>
          <w:iCs/>
          <w:vertAlign w:val="superscript"/>
        </w:rPr>
        <w:t>9</w:t>
      </w:r>
      <w:r w:rsidRPr="00715924">
        <w:rPr>
          <w:i/>
          <w:iCs/>
        </w:rPr>
        <w:t>1,000,000 to &lt; 2,000,000</w:t>
      </w:r>
    </w:p>
    <w:p w14:paraId="3CBA9270" w14:textId="77777777" w:rsidR="00715924" w:rsidRDefault="00715924" w:rsidP="00AA6EFC">
      <w:pPr>
        <w:pStyle w:val="5TableFooter"/>
        <w:keepLines/>
        <w:rPr>
          <w:i/>
          <w:iCs/>
        </w:rPr>
      </w:pPr>
      <w:r>
        <w:rPr>
          <w:i/>
          <w:iCs/>
          <w:vertAlign w:val="superscript"/>
        </w:rPr>
        <w:t>10</w:t>
      </w:r>
      <w:r w:rsidRPr="00715924">
        <w:rPr>
          <w:i/>
          <w:iCs/>
        </w:rPr>
        <w:t>2,000,000 to &lt; 3,000,000</w:t>
      </w:r>
    </w:p>
    <w:p w14:paraId="5C909A64" w14:textId="77777777" w:rsidR="00715924" w:rsidRDefault="00715924" w:rsidP="00AA6EFC">
      <w:pPr>
        <w:pStyle w:val="5TableFooter"/>
        <w:keepLines/>
        <w:rPr>
          <w:i/>
          <w:iCs/>
        </w:rPr>
      </w:pPr>
      <w:r>
        <w:rPr>
          <w:i/>
          <w:iCs/>
          <w:vertAlign w:val="superscript"/>
        </w:rPr>
        <w:t>11</w:t>
      </w:r>
      <w:r w:rsidRPr="00715924">
        <w:rPr>
          <w:i/>
          <w:iCs/>
        </w:rPr>
        <w:t>3,000,000 to &lt; 4,000,000</w:t>
      </w:r>
    </w:p>
    <w:p w14:paraId="327FE803" w14:textId="77777777" w:rsidR="00715924" w:rsidRDefault="00715924" w:rsidP="00AA6EFC">
      <w:pPr>
        <w:pStyle w:val="5TableFooter"/>
        <w:keepLines/>
        <w:rPr>
          <w:i/>
          <w:iCs/>
        </w:rPr>
      </w:pPr>
      <w:r>
        <w:rPr>
          <w:i/>
          <w:iCs/>
          <w:vertAlign w:val="superscript"/>
        </w:rPr>
        <w:t>12</w:t>
      </w:r>
      <w:r w:rsidRPr="00715924">
        <w:rPr>
          <w:i/>
          <w:iCs/>
        </w:rPr>
        <w:t xml:space="preserve">4,000,000 to &lt; </w:t>
      </w:r>
      <w:r>
        <w:rPr>
          <w:i/>
          <w:iCs/>
        </w:rPr>
        <w:t>5</w:t>
      </w:r>
      <w:r w:rsidRPr="00715924">
        <w:rPr>
          <w:i/>
          <w:iCs/>
        </w:rPr>
        <w:t>,000,000</w:t>
      </w:r>
    </w:p>
    <w:p w14:paraId="6FF49454" w14:textId="77777777" w:rsidR="00715924" w:rsidRDefault="00715924" w:rsidP="00AA6EFC">
      <w:pPr>
        <w:pStyle w:val="5TableFooter"/>
        <w:keepLines/>
        <w:rPr>
          <w:i/>
          <w:iCs/>
        </w:rPr>
      </w:pPr>
      <w:r>
        <w:rPr>
          <w:i/>
          <w:iCs/>
          <w:vertAlign w:val="superscript"/>
        </w:rPr>
        <w:t>13</w:t>
      </w:r>
      <w:r>
        <w:rPr>
          <w:i/>
          <w:iCs/>
        </w:rPr>
        <w:t>5</w:t>
      </w:r>
      <w:r w:rsidRPr="00715924">
        <w:rPr>
          <w:i/>
          <w:iCs/>
        </w:rPr>
        <w:t>,000,000 to &lt; 6,000,000</w:t>
      </w:r>
    </w:p>
    <w:p w14:paraId="14EB412C" w14:textId="77777777" w:rsidR="00715924" w:rsidRDefault="00715924" w:rsidP="00AA6EFC">
      <w:pPr>
        <w:pStyle w:val="5TableFooter"/>
        <w:keepLines/>
        <w:rPr>
          <w:i/>
          <w:iCs/>
        </w:rPr>
      </w:pPr>
      <w:r>
        <w:rPr>
          <w:i/>
          <w:iCs/>
          <w:vertAlign w:val="superscript"/>
        </w:rPr>
        <w:t>14</w:t>
      </w:r>
      <w:r w:rsidRPr="00715924">
        <w:rPr>
          <w:i/>
          <w:iCs/>
        </w:rPr>
        <w:t>800,000 to &lt; 900,000</w:t>
      </w:r>
    </w:p>
    <w:p w14:paraId="202FE2C5" w14:textId="77777777" w:rsidR="00715924" w:rsidRDefault="00715924" w:rsidP="00AA6EFC">
      <w:pPr>
        <w:pStyle w:val="5TableFooter"/>
        <w:keepLines/>
        <w:rPr>
          <w:i/>
          <w:iCs/>
        </w:rPr>
      </w:pPr>
      <w:r>
        <w:rPr>
          <w:i/>
          <w:iCs/>
          <w:vertAlign w:val="superscript"/>
        </w:rPr>
        <w:t>15</w:t>
      </w:r>
      <w:r w:rsidRPr="00715924">
        <w:rPr>
          <w:i/>
          <w:iCs/>
        </w:rPr>
        <w:t>$60 million to &lt; $70 million</w:t>
      </w:r>
    </w:p>
    <w:p w14:paraId="681B525E" w14:textId="77777777" w:rsidR="00125BA5" w:rsidRDefault="00125BA5" w:rsidP="00AA6EFC">
      <w:pPr>
        <w:pStyle w:val="5TableFooter"/>
        <w:keepLines/>
        <w:rPr>
          <w:i/>
          <w:iCs/>
        </w:rPr>
      </w:pPr>
      <w:r>
        <w:rPr>
          <w:i/>
          <w:iCs/>
          <w:vertAlign w:val="superscript"/>
        </w:rPr>
        <w:t>16</w:t>
      </w:r>
      <w:r w:rsidRPr="00125BA5">
        <w:rPr>
          <w:i/>
          <w:iCs/>
        </w:rPr>
        <w:t>$90 million to &lt; $100 million</w:t>
      </w:r>
    </w:p>
    <w:p w14:paraId="7B33BFD4" w14:textId="77777777" w:rsidR="00125BA5" w:rsidRDefault="00125BA5" w:rsidP="00AA6EFC">
      <w:pPr>
        <w:pStyle w:val="5TableFooter"/>
        <w:keepLines/>
        <w:rPr>
          <w:i/>
          <w:iCs/>
        </w:rPr>
      </w:pPr>
      <w:r>
        <w:rPr>
          <w:i/>
          <w:iCs/>
          <w:vertAlign w:val="superscript"/>
        </w:rPr>
        <w:t>17</w:t>
      </w:r>
      <w:r w:rsidRPr="00125BA5">
        <w:rPr>
          <w:i/>
          <w:iCs/>
        </w:rPr>
        <w:t>$100 million to &lt; $200 million</w:t>
      </w:r>
    </w:p>
    <w:p w14:paraId="0B532680" w14:textId="77777777" w:rsidR="00125BA5" w:rsidRDefault="00125BA5" w:rsidP="00AA6EFC">
      <w:pPr>
        <w:pStyle w:val="5TableFooter"/>
        <w:keepLines/>
        <w:rPr>
          <w:i/>
          <w:iCs/>
        </w:rPr>
      </w:pPr>
      <w:r>
        <w:rPr>
          <w:i/>
          <w:iCs/>
          <w:vertAlign w:val="superscript"/>
        </w:rPr>
        <w:t>18</w:t>
      </w:r>
      <w:r w:rsidRPr="00125BA5">
        <w:rPr>
          <w:i/>
          <w:iCs/>
        </w:rPr>
        <w:t>$200 million to &lt; $300 million</w:t>
      </w:r>
    </w:p>
    <w:p w14:paraId="0FF8A0FE" w14:textId="77777777" w:rsidR="00125BA5" w:rsidRDefault="00125BA5" w:rsidP="00AA6EFC">
      <w:pPr>
        <w:pStyle w:val="5TableFooter"/>
        <w:keepLines/>
        <w:rPr>
          <w:i/>
          <w:iCs/>
        </w:rPr>
      </w:pPr>
      <w:r>
        <w:rPr>
          <w:i/>
          <w:iCs/>
          <w:vertAlign w:val="superscript"/>
        </w:rPr>
        <w:t>19</w:t>
      </w:r>
      <w:r w:rsidRPr="00125BA5">
        <w:rPr>
          <w:i/>
          <w:iCs/>
        </w:rPr>
        <w:t>$40 million to &lt; $50 million</w:t>
      </w:r>
    </w:p>
    <w:p w14:paraId="5044F55B" w14:textId="77777777" w:rsidR="00125BA5" w:rsidRDefault="00125BA5" w:rsidP="00AA6EFC">
      <w:pPr>
        <w:pStyle w:val="5TableFooter"/>
        <w:keepLines/>
        <w:rPr>
          <w:i/>
          <w:iCs/>
        </w:rPr>
      </w:pPr>
      <w:r>
        <w:rPr>
          <w:i/>
          <w:iCs/>
          <w:vertAlign w:val="superscript"/>
        </w:rPr>
        <w:t>20</w:t>
      </w:r>
      <w:r w:rsidRPr="00125BA5">
        <w:rPr>
          <w:i/>
          <w:iCs/>
        </w:rPr>
        <w:t>$70 million to &lt; $80 million</w:t>
      </w:r>
    </w:p>
    <w:p w14:paraId="00859009" w14:textId="77777777" w:rsidR="00125BA5" w:rsidRDefault="00125BA5" w:rsidP="00AA6EFC">
      <w:pPr>
        <w:pStyle w:val="5TableFooter"/>
        <w:keepLines/>
        <w:rPr>
          <w:i/>
          <w:iCs/>
        </w:rPr>
      </w:pPr>
      <w:r>
        <w:rPr>
          <w:i/>
          <w:iCs/>
          <w:vertAlign w:val="superscript"/>
        </w:rPr>
        <w:t>21</w:t>
      </w:r>
      <w:r w:rsidRPr="00125BA5">
        <w:rPr>
          <w:i/>
          <w:iCs/>
        </w:rPr>
        <w:t>$30 million to &lt; $40 million</w:t>
      </w:r>
    </w:p>
    <w:p w14:paraId="1EF352EF" w14:textId="77777777" w:rsidR="00125BA5" w:rsidRDefault="00125BA5" w:rsidP="00AA6EFC">
      <w:pPr>
        <w:pStyle w:val="5TableFooter"/>
        <w:keepLines/>
        <w:rPr>
          <w:i/>
          <w:iCs/>
        </w:rPr>
      </w:pPr>
      <w:r>
        <w:rPr>
          <w:i/>
          <w:iCs/>
          <w:vertAlign w:val="superscript"/>
        </w:rPr>
        <w:t>22</w:t>
      </w:r>
      <w:r w:rsidRPr="00125BA5">
        <w:rPr>
          <w:i/>
          <w:iCs/>
        </w:rPr>
        <w:t>$50 million to &lt; $60 million</w:t>
      </w:r>
    </w:p>
    <w:p w14:paraId="77C14E00" w14:textId="77777777" w:rsidR="00125BA5" w:rsidRDefault="00125BA5" w:rsidP="00AA6EFC">
      <w:pPr>
        <w:pStyle w:val="5TableFooter"/>
        <w:keepLines/>
        <w:rPr>
          <w:i/>
          <w:iCs/>
        </w:rPr>
      </w:pPr>
      <w:r>
        <w:rPr>
          <w:i/>
          <w:iCs/>
          <w:vertAlign w:val="superscript"/>
        </w:rPr>
        <w:t>23</w:t>
      </w:r>
      <w:r w:rsidRPr="00125BA5">
        <w:rPr>
          <w:i/>
          <w:iCs/>
        </w:rPr>
        <w:t>$0 to &lt; $10 million</w:t>
      </w:r>
    </w:p>
    <w:p w14:paraId="4DDA3DAA" w14:textId="77777777" w:rsidR="00125BA5" w:rsidRDefault="00125BA5" w:rsidP="00AA6EFC">
      <w:pPr>
        <w:pStyle w:val="5TableFooter"/>
        <w:keepLines/>
        <w:rPr>
          <w:i/>
          <w:iCs/>
        </w:rPr>
      </w:pPr>
      <w:r>
        <w:rPr>
          <w:i/>
          <w:iCs/>
          <w:vertAlign w:val="superscript"/>
        </w:rPr>
        <w:t>24</w:t>
      </w:r>
      <w:r w:rsidRPr="00125BA5">
        <w:rPr>
          <w:i/>
          <w:iCs/>
        </w:rPr>
        <w:t>$800 million to &lt; $900 million</w:t>
      </w:r>
    </w:p>
    <w:p w14:paraId="487C74F4" w14:textId="77777777" w:rsidR="00B317E2" w:rsidRDefault="00B317E2" w:rsidP="00AA6EFC">
      <w:pPr>
        <w:pStyle w:val="5TableFooter"/>
        <w:keepLines/>
        <w:rPr>
          <w:i/>
          <w:iCs/>
        </w:rPr>
      </w:pPr>
      <w:r>
        <w:rPr>
          <w:i/>
          <w:iCs/>
          <w:vertAlign w:val="superscript"/>
        </w:rPr>
        <w:t>25</w:t>
      </w:r>
      <w:r w:rsidRPr="00B317E2">
        <w:rPr>
          <w:i/>
          <w:iCs/>
        </w:rPr>
        <w:t>$700 million to &lt; $800 million</w:t>
      </w:r>
    </w:p>
    <w:p w14:paraId="699F9871" w14:textId="77777777" w:rsidR="00B317E2" w:rsidRDefault="00B317E2" w:rsidP="00AA6EFC">
      <w:pPr>
        <w:pStyle w:val="5TableFooter"/>
        <w:keepLines/>
        <w:rPr>
          <w:i/>
          <w:iCs/>
        </w:rPr>
      </w:pPr>
      <w:r>
        <w:rPr>
          <w:i/>
          <w:iCs/>
          <w:vertAlign w:val="superscript"/>
        </w:rPr>
        <w:t>26</w:t>
      </w:r>
      <w:r w:rsidRPr="00B317E2">
        <w:rPr>
          <w:i/>
          <w:iCs/>
        </w:rPr>
        <w:t>$500 million to &lt; $600 million</w:t>
      </w:r>
    </w:p>
    <w:p w14:paraId="2AA82528" w14:textId="77777777" w:rsidR="00AA6EFC" w:rsidRPr="00AA6EFC" w:rsidRDefault="00AA6EFC" w:rsidP="00AA6EFC">
      <w:pPr>
        <w:pStyle w:val="5TableFooter"/>
        <w:keepLines/>
        <w:rPr>
          <w:i/>
          <w:iCs/>
        </w:rPr>
      </w:pPr>
    </w:p>
    <w:p w14:paraId="0FA63DE9" w14:textId="77777777" w:rsidR="00186851" w:rsidRPr="009E5AEE" w:rsidRDefault="00186851" w:rsidP="00186851">
      <w:pPr>
        <w:pStyle w:val="ExecSumBodyText"/>
        <w:numPr>
          <w:ilvl w:val="1"/>
          <w:numId w:val="1"/>
        </w:numPr>
      </w:pPr>
      <w:r w:rsidRPr="009E5AEE">
        <w:t>The sponsor also provided scenario analyses</w:t>
      </w:r>
      <w:r>
        <w:t>:</w:t>
      </w:r>
    </w:p>
    <w:p w14:paraId="77A1C6F8" w14:textId="77777777" w:rsidR="00186851" w:rsidRPr="009E5AEE" w:rsidRDefault="00186851" w:rsidP="00186851">
      <w:pPr>
        <w:pStyle w:val="ListParagraph"/>
        <w:numPr>
          <w:ilvl w:val="0"/>
          <w:numId w:val="5"/>
        </w:numPr>
        <w:ind w:left="1134"/>
      </w:pPr>
      <w:r w:rsidRPr="00ED5EDE">
        <w:rPr>
          <w:u w:val="single"/>
        </w:rPr>
        <w:t>Scenario A</w:t>
      </w:r>
      <w:r w:rsidRPr="009E5AEE">
        <w:t>: using CKD stage 3a and 3b from the 2011-2012 NHMS dataset as a proxy for patients who meet the PBS restriction in terms of eGFR and UACR (33.3%, compared to 49% in revised estimates, and 58% in the July 2021 submission). The sponsor considered that this approach was conservative.</w:t>
      </w:r>
    </w:p>
    <w:p w14:paraId="145B0232" w14:textId="77777777" w:rsidR="00186851" w:rsidRDefault="00186851" w:rsidP="00186851">
      <w:pPr>
        <w:pStyle w:val="ListParagraph"/>
        <w:numPr>
          <w:ilvl w:val="0"/>
          <w:numId w:val="5"/>
        </w:numPr>
        <w:ind w:left="1134"/>
      </w:pPr>
      <w:r w:rsidRPr="00ED5EDE">
        <w:rPr>
          <w:u w:val="single"/>
        </w:rPr>
        <w:t>Scenario B</w:t>
      </w:r>
      <w:r w:rsidRPr="009E5AEE">
        <w:t xml:space="preserve">: assuming that the proportion of CKD patients not eligible for PBS-listed SGLTi for T2DM (HbA1c ≤7.0%) was 83.2%, </w:t>
      </w:r>
      <w:r>
        <w:t>compared with</w:t>
      </w:r>
      <w:r w:rsidRPr="009E5AEE">
        <w:t xml:space="preserve"> 88.3% in the revised estimates, and 93.4% in the July 2021 submission. </w:t>
      </w:r>
    </w:p>
    <w:p w14:paraId="026FF370" w14:textId="77777777" w:rsidR="00186851" w:rsidRPr="009E5AEE" w:rsidRDefault="00186851" w:rsidP="00186851">
      <w:pPr>
        <w:pStyle w:val="ExecSumBodyText"/>
        <w:numPr>
          <w:ilvl w:val="1"/>
          <w:numId w:val="1"/>
        </w:numPr>
        <w:spacing w:before="240"/>
      </w:pPr>
      <w:r>
        <w:t xml:space="preserve">The scenarios resulted in a net financial impact to the R/PBS of </w:t>
      </w:r>
      <w:r w:rsidR="00B317E2" w:rsidRPr="00B317E2">
        <w:t>$300 million to &lt; $400 million</w:t>
      </w:r>
      <w:r w:rsidR="00B317E2" w:rsidRPr="00B317E2" w:rsidDel="00B317E2">
        <w:t xml:space="preserve"> </w:t>
      </w:r>
      <w:r>
        <w:t xml:space="preserve">and </w:t>
      </w:r>
      <w:r w:rsidR="00B317E2" w:rsidRPr="00B317E2">
        <w:t>$500 million to &lt; $600 million</w:t>
      </w:r>
      <w:r w:rsidR="00B317E2" w:rsidRPr="00B317E2" w:rsidDel="00B317E2">
        <w:t xml:space="preserve"> </w:t>
      </w:r>
      <w:r>
        <w:t>over six years, and are shown in the table below (</w:t>
      </w:r>
      <w:r w:rsidR="00B317E2" w:rsidRPr="00B317E2">
        <w:t>700,000 to &lt; 800,000</w:t>
      </w:r>
      <w:r w:rsidR="00B317E2">
        <w:t xml:space="preserve"> </w:t>
      </w:r>
      <w:r>
        <w:t xml:space="preserve">and </w:t>
      </w:r>
      <w:r w:rsidR="00B317E2" w:rsidRPr="00B317E2">
        <w:t>1,000,000 to &lt; 2,000,000</w:t>
      </w:r>
      <w:r w:rsidR="00B317E2">
        <w:t xml:space="preserve"> </w:t>
      </w:r>
      <w:r>
        <w:t>patients respectively).</w:t>
      </w:r>
    </w:p>
    <w:p w14:paraId="1BDAB6CD" w14:textId="77777777" w:rsidR="00186851" w:rsidRPr="009E5AEE" w:rsidRDefault="00186851" w:rsidP="00186851">
      <w:pPr>
        <w:pStyle w:val="TableFigureCaption"/>
        <w:spacing w:before="240"/>
        <w:rPr>
          <w:highlight w:val="yellow"/>
        </w:rPr>
      </w:pPr>
      <w:r>
        <w:t xml:space="preserve">Table </w:t>
      </w:r>
      <w:r>
        <w:rPr>
          <w:noProof/>
        </w:rPr>
        <w:t>21</w:t>
      </w:r>
      <w:r>
        <w:t>: Scenario analyses presented in September 2021</w:t>
      </w:r>
    </w:p>
    <w:tbl>
      <w:tblPr>
        <w:tblStyle w:val="TableGrid"/>
        <w:tblW w:w="5000" w:type="pct"/>
        <w:tblLayout w:type="fixed"/>
        <w:tblLook w:val="04A0" w:firstRow="1" w:lastRow="0" w:firstColumn="1" w:lastColumn="0" w:noHBand="0" w:noVBand="1"/>
        <w:tblCaption w:val="Table 21: Scenario analyses presented in September 2021"/>
      </w:tblPr>
      <w:tblGrid>
        <w:gridCol w:w="1838"/>
        <w:gridCol w:w="1196"/>
        <w:gridCol w:w="1197"/>
        <w:gridCol w:w="1196"/>
        <w:gridCol w:w="1197"/>
        <w:gridCol w:w="1196"/>
        <w:gridCol w:w="1197"/>
      </w:tblGrid>
      <w:tr w:rsidR="00186851" w:rsidRPr="002B2F8F" w14:paraId="44FC8DE3" w14:textId="77777777" w:rsidTr="00A47FAC">
        <w:trPr>
          <w:trHeight w:val="113"/>
          <w:tblHead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0A3A946"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Estimated total patients</w:t>
            </w:r>
          </w:p>
        </w:tc>
        <w:tc>
          <w:tcPr>
            <w:tcW w:w="1196" w:type="dxa"/>
            <w:vAlign w:val="center"/>
          </w:tcPr>
          <w:p w14:paraId="11A1A1E6"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1</w:t>
            </w:r>
          </w:p>
        </w:tc>
        <w:tc>
          <w:tcPr>
            <w:tcW w:w="1197" w:type="dxa"/>
            <w:vAlign w:val="center"/>
          </w:tcPr>
          <w:p w14:paraId="00CCA244"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2</w:t>
            </w:r>
          </w:p>
        </w:tc>
        <w:tc>
          <w:tcPr>
            <w:tcW w:w="1196" w:type="dxa"/>
            <w:vAlign w:val="center"/>
          </w:tcPr>
          <w:p w14:paraId="4579B689"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7" w:type="dxa"/>
            <w:vAlign w:val="center"/>
          </w:tcPr>
          <w:p w14:paraId="695C8993"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6" w:type="dxa"/>
            <w:vAlign w:val="center"/>
          </w:tcPr>
          <w:p w14:paraId="1E16AF9C"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7" w:type="dxa"/>
            <w:vAlign w:val="center"/>
          </w:tcPr>
          <w:p w14:paraId="675BBA07"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4</w:t>
            </w:r>
          </w:p>
        </w:tc>
      </w:tr>
      <w:tr w:rsidR="00186851" w:rsidRPr="002B2F8F" w14:paraId="65358171"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7DC1429"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Net cost to R/PBS (less copayments)</w:t>
            </w:r>
          </w:p>
        </w:tc>
        <w:tc>
          <w:tcPr>
            <w:tcW w:w="1196" w:type="dxa"/>
            <w:vAlign w:val="center"/>
          </w:tcPr>
          <w:p w14:paraId="40FE2271"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5</w:t>
            </w:r>
          </w:p>
        </w:tc>
        <w:tc>
          <w:tcPr>
            <w:tcW w:w="1197" w:type="dxa"/>
            <w:vAlign w:val="center"/>
          </w:tcPr>
          <w:p w14:paraId="707C0FB5"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6</w:t>
            </w:r>
          </w:p>
        </w:tc>
        <w:tc>
          <w:tcPr>
            <w:tcW w:w="1196" w:type="dxa"/>
            <w:vAlign w:val="center"/>
          </w:tcPr>
          <w:p w14:paraId="6273779B"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7</w:t>
            </w:r>
          </w:p>
        </w:tc>
        <w:tc>
          <w:tcPr>
            <w:tcW w:w="1197" w:type="dxa"/>
            <w:vAlign w:val="center"/>
          </w:tcPr>
          <w:p w14:paraId="02C06209"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8</w:t>
            </w:r>
          </w:p>
        </w:tc>
        <w:tc>
          <w:tcPr>
            <w:tcW w:w="1196" w:type="dxa"/>
            <w:vAlign w:val="center"/>
          </w:tcPr>
          <w:p w14:paraId="297D95E3"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9</w:t>
            </w:r>
          </w:p>
        </w:tc>
        <w:tc>
          <w:tcPr>
            <w:tcW w:w="1197" w:type="dxa"/>
            <w:vAlign w:val="center"/>
          </w:tcPr>
          <w:p w14:paraId="51EBFC29"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r>
      <w:tr w:rsidR="00186851" w:rsidRPr="002B2F8F" w14:paraId="50AF2982"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B3B001"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Estimated total patients</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873FC0B"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11</w:t>
            </w:r>
          </w:p>
        </w:tc>
        <w:tc>
          <w:tcPr>
            <w:tcW w:w="1197" w:type="dxa"/>
            <w:tcBorders>
              <w:top w:val="single" w:sz="4" w:space="0" w:color="auto"/>
              <w:left w:val="nil"/>
              <w:bottom w:val="single" w:sz="4" w:space="0" w:color="auto"/>
              <w:right w:val="single" w:sz="4" w:space="0" w:color="auto"/>
            </w:tcBorders>
            <w:shd w:val="clear" w:color="auto" w:fill="auto"/>
            <w:vAlign w:val="center"/>
          </w:tcPr>
          <w:p w14:paraId="3498F821"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6B73E46D"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3</w:t>
            </w:r>
          </w:p>
        </w:tc>
        <w:tc>
          <w:tcPr>
            <w:tcW w:w="1197" w:type="dxa"/>
            <w:tcBorders>
              <w:top w:val="single" w:sz="4" w:space="0" w:color="auto"/>
              <w:left w:val="nil"/>
              <w:bottom w:val="single" w:sz="4" w:space="0" w:color="auto"/>
              <w:right w:val="single" w:sz="4" w:space="0" w:color="auto"/>
            </w:tcBorders>
            <w:shd w:val="clear" w:color="auto" w:fill="auto"/>
            <w:vAlign w:val="center"/>
          </w:tcPr>
          <w:p w14:paraId="580F0CA7"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3</w:t>
            </w:r>
          </w:p>
        </w:tc>
        <w:tc>
          <w:tcPr>
            <w:tcW w:w="1196" w:type="dxa"/>
            <w:tcBorders>
              <w:top w:val="single" w:sz="4" w:space="0" w:color="auto"/>
              <w:left w:val="nil"/>
              <w:bottom w:val="single" w:sz="4" w:space="0" w:color="auto"/>
              <w:right w:val="single" w:sz="4" w:space="0" w:color="auto"/>
            </w:tcBorders>
            <w:shd w:val="clear" w:color="auto" w:fill="auto"/>
            <w:vAlign w:val="center"/>
          </w:tcPr>
          <w:p w14:paraId="5465419A"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4</w:t>
            </w:r>
          </w:p>
        </w:tc>
        <w:tc>
          <w:tcPr>
            <w:tcW w:w="1197" w:type="dxa"/>
            <w:tcBorders>
              <w:top w:val="single" w:sz="4" w:space="0" w:color="auto"/>
              <w:left w:val="nil"/>
              <w:bottom w:val="single" w:sz="4" w:space="0" w:color="auto"/>
              <w:right w:val="single" w:sz="4" w:space="0" w:color="auto"/>
            </w:tcBorders>
            <w:shd w:val="clear" w:color="auto" w:fill="auto"/>
            <w:vAlign w:val="center"/>
          </w:tcPr>
          <w:p w14:paraId="4B92901B"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4</w:t>
            </w:r>
          </w:p>
        </w:tc>
      </w:tr>
      <w:tr w:rsidR="00186851" w:rsidRPr="002B2F8F" w14:paraId="1FD2697C"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AD847ED"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Net cost to R/PBS (less copayments)</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64C37ED"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6</w:t>
            </w:r>
          </w:p>
        </w:tc>
        <w:tc>
          <w:tcPr>
            <w:tcW w:w="1197" w:type="dxa"/>
            <w:tcBorders>
              <w:top w:val="single" w:sz="4" w:space="0" w:color="auto"/>
              <w:left w:val="nil"/>
              <w:bottom w:val="single" w:sz="4" w:space="0" w:color="auto"/>
              <w:right w:val="single" w:sz="4" w:space="0" w:color="auto"/>
            </w:tcBorders>
            <w:shd w:val="clear" w:color="auto" w:fill="auto"/>
            <w:vAlign w:val="center"/>
          </w:tcPr>
          <w:p w14:paraId="350A3712"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7</w:t>
            </w:r>
          </w:p>
        </w:tc>
        <w:tc>
          <w:tcPr>
            <w:tcW w:w="1196" w:type="dxa"/>
            <w:tcBorders>
              <w:top w:val="single" w:sz="4" w:space="0" w:color="auto"/>
              <w:left w:val="nil"/>
              <w:bottom w:val="single" w:sz="4" w:space="0" w:color="auto"/>
              <w:right w:val="single" w:sz="4" w:space="0" w:color="auto"/>
            </w:tcBorders>
            <w:shd w:val="clear" w:color="auto" w:fill="auto"/>
            <w:vAlign w:val="center"/>
          </w:tcPr>
          <w:p w14:paraId="63EF7B50"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8</w:t>
            </w:r>
          </w:p>
        </w:tc>
        <w:tc>
          <w:tcPr>
            <w:tcW w:w="1197" w:type="dxa"/>
            <w:tcBorders>
              <w:top w:val="single" w:sz="4" w:space="0" w:color="auto"/>
              <w:left w:val="nil"/>
              <w:bottom w:val="single" w:sz="4" w:space="0" w:color="auto"/>
              <w:right w:val="single" w:sz="4" w:space="0" w:color="auto"/>
            </w:tcBorders>
            <w:shd w:val="clear" w:color="auto" w:fill="auto"/>
            <w:vAlign w:val="center"/>
          </w:tcPr>
          <w:p w14:paraId="755A9ABB"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13</w:t>
            </w:r>
          </w:p>
        </w:tc>
        <w:tc>
          <w:tcPr>
            <w:tcW w:w="1196" w:type="dxa"/>
            <w:tcBorders>
              <w:top w:val="single" w:sz="4" w:space="0" w:color="auto"/>
              <w:left w:val="nil"/>
              <w:bottom w:val="single" w:sz="4" w:space="0" w:color="auto"/>
              <w:right w:val="single" w:sz="4" w:space="0" w:color="auto"/>
            </w:tcBorders>
            <w:shd w:val="clear" w:color="auto" w:fill="auto"/>
            <w:vAlign w:val="center"/>
          </w:tcPr>
          <w:p w14:paraId="2FEEDCA3"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c>
          <w:tcPr>
            <w:tcW w:w="1197" w:type="dxa"/>
            <w:tcBorders>
              <w:top w:val="single" w:sz="4" w:space="0" w:color="auto"/>
              <w:left w:val="nil"/>
              <w:bottom w:val="single" w:sz="4" w:space="0" w:color="auto"/>
              <w:right w:val="single" w:sz="4" w:space="0" w:color="auto"/>
            </w:tcBorders>
            <w:shd w:val="clear" w:color="auto" w:fill="auto"/>
            <w:vAlign w:val="center"/>
          </w:tcPr>
          <w:p w14:paraId="799337D9"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r>
    </w:tbl>
    <w:p w14:paraId="66257204" w14:textId="77777777" w:rsidR="00186851" w:rsidRDefault="00186851" w:rsidP="00B317E2">
      <w:pPr>
        <w:pStyle w:val="TableFooter"/>
        <w:spacing w:after="0"/>
      </w:pPr>
      <w:r w:rsidRPr="002B2F8F">
        <w:t>Source: Table 8, pp20-21 of the additional information provided in August 2021.</w:t>
      </w:r>
    </w:p>
    <w:p w14:paraId="4593F798" w14:textId="77777777" w:rsidR="00B317E2" w:rsidRDefault="00B317E2" w:rsidP="00B317E2">
      <w:pPr>
        <w:pStyle w:val="TableFooter"/>
        <w:spacing w:after="0"/>
        <w:rPr>
          <w:i/>
          <w:iCs/>
        </w:rPr>
      </w:pPr>
      <w:r>
        <w:rPr>
          <w:i/>
          <w:iCs/>
        </w:rPr>
        <w:t>The redacted values correspond to the following ranges</w:t>
      </w:r>
    </w:p>
    <w:p w14:paraId="588E4A86" w14:textId="77777777" w:rsidR="00B317E2" w:rsidRDefault="00B317E2" w:rsidP="00B317E2">
      <w:pPr>
        <w:pStyle w:val="TableFooter"/>
        <w:spacing w:after="0"/>
        <w:rPr>
          <w:i/>
          <w:iCs/>
        </w:rPr>
      </w:pPr>
      <w:r>
        <w:rPr>
          <w:i/>
          <w:iCs/>
          <w:vertAlign w:val="superscript"/>
        </w:rPr>
        <w:t>1</w:t>
      </w:r>
      <w:r w:rsidRPr="00B317E2">
        <w:rPr>
          <w:i/>
          <w:iCs/>
        </w:rPr>
        <w:t>40,000 to &lt; 50,000</w:t>
      </w:r>
    </w:p>
    <w:p w14:paraId="65CDDB62" w14:textId="77777777" w:rsidR="00B317E2" w:rsidRDefault="00B317E2" w:rsidP="00B317E2">
      <w:pPr>
        <w:pStyle w:val="TableFooter"/>
        <w:spacing w:after="0"/>
        <w:rPr>
          <w:i/>
          <w:iCs/>
        </w:rPr>
      </w:pPr>
      <w:r>
        <w:rPr>
          <w:i/>
          <w:iCs/>
          <w:vertAlign w:val="superscript"/>
        </w:rPr>
        <w:t>2</w:t>
      </w:r>
      <w:r w:rsidRPr="00B317E2">
        <w:rPr>
          <w:i/>
          <w:iCs/>
        </w:rPr>
        <w:t>70,000 to &lt; 80,000</w:t>
      </w:r>
    </w:p>
    <w:p w14:paraId="25661D3D" w14:textId="77777777" w:rsidR="00B317E2" w:rsidRDefault="00B317E2" w:rsidP="00B317E2">
      <w:pPr>
        <w:pStyle w:val="TableFooter"/>
        <w:spacing w:after="0"/>
        <w:rPr>
          <w:i/>
          <w:iCs/>
        </w:rPr>
      </w:pPr>
      <w:r>
        <w:rPr>
          <w:i/>
          <w:iCs/>
          <w:vertAlign w:val="superscript"/>
        </w:rPr>
        <w:t>3</w:t>
      </w:r>
      <w:r w:rsidRPr="00B317E2">
        <w:rPr>
          <w:i/>
          <w:iCs/>
        </w:rPr>
        <w:t>100,000 to &lt; 200,000</w:t>
      </w:r>
    </w:p>
    <w:p w14:paraId="597C7072" w14:textId="77777777" w:rsidR="00536A2D" w:rsidRDefault="00536A2D" w:rsidP="00B317E2">
      <w:pPr>
        <w:pStyle w:val="TableFooter"/>
        <w:spacing w:after="0"/>
        <w:rPr>
          <w:i/>
          <w:iCs/>
        </w:rPr>
      </w:pPr>
      <w:r>
        <w:rPr>
          <w:i/>
          <w:iCs/>
          <w:vertAlign w:val="superscript"/>
        </w:rPr>
        <w:t>4</w:t>
      </w:r>
      <w:r w:rsidRPr="00536A2D">
        <w:rPr>
          <w:i/>
          <w:iCs/>
        </w:rPr>
        <w:t>200,000 to &lt; 300,000</w:t>
      </w:r>
    </w:p>
    <w:p w14:paraId="15F2A39A" w14:textId="77777777" w:rsidR="00536A2D" w:rsidRDefault="00536A2D" w:rsidP="00B317E2">
      <w:pPr>
        <w:pStyle w:val="TableFooter"/>
        <w:spacing w:after="0"/>
        <w:rPr>
          <w:i/>
          <w:iCs/>
        </w:rPr>
      </w:pPr>
      <w:r>
        <w:rPr>
          <w:i/>
          <w:iCs/>
          <w:vertAlign w:val="superscript"/>
        </w:rPr>
        <w:t>5</w:t>
      </w:r>
      <w:r w:rsidRPr="00536A2D">
        <w:rPr>
          <w:i/>
          <w:iCs/>
        </w:rPr>
        <w:t>$20 million to &lt; $30 million</w:t>
      </w:r>
    </w:p>
    <w:p w14:paraId="187B0AC9" w14:textId="77777777" w:rsidR="00536A2D" w:rsidRDefault="00536A2D" w:rsidP="00B317E2">
      <w:pPr>
        <w:pStyle w:val="TableFooter"/>
        <w:spacing w:after="0"/>
        <w:rPr>
          <w:i/>
          <w:iCs/>
        </w:rPr>
      </w:pPr>
      <w:r>
        <w:rPr>
          <w:i/>
          <w:iCs/>
          <w:vertAlign w:val="superscript"/>
        </w:rPr>
        <w:t>6</w:t>
      </w:r>
      <w:r w:rsidRPr="00536A2D">
        <w:rPr>
          <w:i/>
          <w:iCs/>
        </w:rPr>
        <w:t>$30 million to &lt; $40 million</w:t>
      </w:r>
    </w:p>
    <w:p w14:paraId="43599191" w14:textId="77777777" w:rsidR="00536A2D" w:rsidRDefault="00536A2D" w:rsidP="00B317E2">
      <w:pPr>
        <w:pStyle w:val="TableFooter"/>
        <w:spacing w:after="0"/>
        <w:rPr>
          <w:i/>
          <w:iCs/>
        </w:rPr>
      </w:pPr>
      <w:r>
        <w:rPr>
          <w:i/>
          <w:iCs/>
          <w:vertAlign w:val="superscript"/>
        </w:rPr>
        <w:t>7</w:t>
      </w:r>
      <w:r w:rsidRPr="00536A2D">
        <w:rPr>
          <w:i/>
          <w:iCs/>
        </w:rPr>
        <w:t>$40 million to &lt; $50 million</w:t>
      </w:r>
    </w:p>
    <w:p w14:paraId="5E324BA1" w14:textId="77777777" w:rsidR="00536A2D" w:rsidRDefault="00536A2D" w:rsidP="00B317E2">
      <w:pPr>
        <w:pStyle w:val="TableFooter"/>
        <w:spacing w:after="0"/>
        <w:rPr>
          <w:i/>
          <w:iCs/>
        </w:rPr>
      </w:pPr>
      <w:r>
        <w:rPr>
          <w:i/>
          <w:iCs/>
          <w:vertAlign w:val="superscript"/>
        </w:rPr>
        <w:t>8</w:t>
      </w:r>
      <w:r w:rsidRPr="00536A2D">
        <w:rPr>
          <w:i/>
          <w:iCs/>
        </w:rPr>
        <w:t>$60 million to &lt; $70 million</w:t>
      </w:r>
    </w:p>
    <w:p w14:paraId="4A8C452A" w14:textId="77777777" w:rsidR="00536A2D" w:rsidRDefault="00536A2D" w:rsidP="00B317E2">
      <w:pPr>
        <w:pStyle w:val="TableFooter"/>
        <w:spacing w:after="0"/>
        <w:rPr>
          <w:i/>
          <w:iCs/>
        </w:rPr>
      </w:pPr>
      <w:r>
        <w:rPr>
          <w:i/>
          <w:iCs/>
          <w:vertAlign w:val="superscript"/>
        </w:rPr>
        <w:t>9</w:t>
      </w:r>
      <w:r w:rsidRPr="00536A2D">
        <w:rPr>
          <w:i/>
          <w:iCs/>
        </w:rPr>
        <w:t>$80 million to &lt; $90 million</w:t>
      </w:r>
    </w:p>
    <w:p w14:paraId="024648C2" w14:textId="77777777" w:rsidR="00536A2D" w:rsidRDefault="00536A2D" w:rsidP="00B317E2">
      <w:pPr>
        <w:pStyle w:val="TableFooter"/>
        <w:spacing w:after="0"/>
        <w:rPr>
          <w:i/>
          <w:iCs/>
        </w:rPr>
      </w:pPr>
      <w:r>
        <w:rPr>
          <w:i/>
          <w:iCs/>
          <w:vertAlign w:val="superscript"/>
        </w:rPr>
        <w:t>10</w:t>
      </w:r>
      <w:r w:rsidRPr="00536A2D">
        <w:rPr>
          <w:i/>
          <w:iCs/>
        </w:rPr>
        <w:t>$100 million to &lt; $200 million</w:t>
      </w:r>
    </w:p>
    <w:p w14:paraId="5D61EE8D" w14:textId="77777777" w:rsidR="00536A2D" w:rsidRDefault="00536A2D" w:rsidP="00B317E2">
      <w:pPr>
        <w:pStyle w:val="TableFooter"/>
        <w:spacing w:after="0"/>
        <w:rPr>
          <w:i/>
          <w:iCs/>
        </w:rPr>
      </w:pPr>
      <w:r>
        <w:rPr>
          <w:i/>
          <w:iCs/>
          <w:vertAlign w:val="superscript"/>
        </w:rPr>
        <w:t>11</w:t>
      </w:r>
      <w:r w:rsidRPr="00536A2D">
        <w:rPr>
          <w:i/>
          <w:iCs/>
        </w:rPr>
        <w:t>60,000 to &lt; 70,000</w:t>
      </w:r>
    </w:p>
    <w:p w14:paraId="11097A49" w14:textId="77777777" w:rsidR="00536A2D" w:rsidRDefault="00536A2D" w:rsidP="00B317E2">
      <w:pPr>
        <w:pStyle w:val="TableFooter"/>
        <w:spacing w:after="0"/>
        <w:rPr>
          <w:i/>
          <w:iCs/>
        </w:rPr>
      </w:pPr>
      <w:r>
        <w:rPr>
          <w:i/>
          <w:iCs/>
          <w:vertAlign w:val="superscript"/>
        </w:rPr>
        <w:t>12</w:t>
      </w:r>
      <w:r w:rsidRPr="00536A2D">
        <w:rPr>
          <w:i/>
          <w:iCs/>
        </w:rPr>
        <w:t>90,000 to &lt; 100,000</w:t>
      </w:r>
    </w:p>
    <w:p w14:paraId="33A4EB95" w14:textId="77777777" w:rsidR="00536A2D" w:rsidRDefault="00536A2D" w:rsidP="00B317E2">
      <w:pPr>
        <w:pStyle w:val="TableFooter"/>
        <w:spacing w:after="0"/>
        <w:rPr>
          <w:i/>
          <w:iCs/>
        </w:rPr>
      </w:pPr>
      <w:r>
        <w:rPr>
          <w:i/>
          <w:iCs/>
          <w:vertAlign w:val="superscript"/>
        </w:rPr>
        <w:t>13</w:t>
      </w:r>
      <w:r w:rsidRPr="00536A2D">
        <w:rPr>
          <w:i/>
          <w:iCs/>
        </w:rPr>
        <w:t>$90 million to &lt; $100 million</w:t>
      </w:r>
    </w:p>
    <w:p w14:paraId="58EE7B49" w14:textId="77777777" w:rsidR="00B317E2" w:rsidRPr="00B317E2" w:rsidRDefault="00B317E2" w:rsidP="00B317E2">
      <w:pPr>
        <w:pStyle w:val="TableFooter"/>
        <w:spacing w:after="0"/>
        <w:rPr>
          <w:i/>
          <w:iCs/>
        </w:rPr>
      </w:pPr>
    </w:p>
    <w:p w14:paraId="4FFC7649" w14:textId="77777777" w:rsidR="00186851" w:rsidRDefault="00186851" w:rsidP="00186851">
      <w:pPr>
        <w:pStyle w:val="3-SubsectionHeading"/>
      </w:pPr>
      <w:r>
        <w:t>Combined estimates for HFrEF, CKD and T2DM</w:t>
      </w:r>
    </w:p>
    <w:p w14:paraId="2352B566" w14:textId="77777777" w:rsidR="00186851" w:rsidRPr="00AA7572" w:rsidRDefault="00186851" w:rsidP="00186851">
      <w:pPr>
        <w:pStyle w:val="ExecSumBodyText"/>
        <w:numPr>
          <w:ilvl w:val="1"/>
          <w:numId w:val="1"/>
        </w:numPr>
      </w:pPr>
      <w:r w:rsidRPr="00AA7572">
        <w:t xml:space="preserve">The table below presents a summary of the revised estimates for </w:t>
      </w:r>
      <w:r w:rsidRPr="0059408E">
        <w:t>the net impact of listing dapagliflozin HFrEF and CKD on the R/PBS, along with the estimated net impact for the current T2DM dapagliflozin listing. Estimates were also presented for the total SGLT2 inhibitor market. The sponsor noted that these estimates were based on a market share approach, and the analysis assumed no growth of the oral T2DM market</w:t>
      </w:r>
      <w:r w:rsidRPr="008166E7">
        <w:t xml:space="preserve"> </w:t>
      </w:r>
      <w:r>
        <w:t>would be</w:t>
      </w:r>
      <w:r w:rsidRPr="008166E7">
        <w:t xml:space="preserve"> attributable to the </w:t>
      </w:r>
      <w:r>
        <w:t>proposed</w:t>
      </w:r>
      <w:r w:rsidRPr="008166E7">
        <w:t xml:space="preserve"> HFrEF and CKD listings</w:t>
      </w:r>
      <w:r>
        <w:t>. The sponsor considered this to be a conservative assumption as it claimed that a substantial proportion of T2DM patients are not treated optimally.</w:t>
      </w:r>
    </w:p>
    <w:p w14:paraId="3705CC98" w14:textId="77777777" w:rsidR="00186851" w:rsidRPr="00FA4126" w:rsidRDefault="00186851" w:rsidP="00186851">
      <w:pPr>
        <w:pStyle w:val="5Tableheaders"/>
        <w:keepNext/>
      </w:pPr>
      <w:bookmarkStart w:id="82" w:name="_Ref83102350"/>
      <w:r w:rsidRPr="00FA4126">
        <w:t xml:space="preserve">Table </w:t>
      </w:r>
      <w:r>
        <w:rPr>
          <w:noProof/>
        </w:rPr>
        <w:t>22</w:t>
      </w:r>
      <w:bookmarkEnd w:id="70"/>
      <w:bookmarkEnd w:id="82"/>
      <w:r w:rsidRPr="00FA4126">
        <w:rPr>
          <w:noProof/>
        </w:rPr>
        <w:t xml:space="preserve">: </w:t>
      </w:r>
      <w:r>
        <w:t>Estimated</w:t>
      </w:r>
      <w:r w:rsidRPr="00FA4126">
        <w:t xml:space="preserve"> net cost to R/PBS across currently listed and </w:t>
      </w:r>
      <w:r>
        <w:t>proposed</w:t>
      </w:r>
      <w:r w:rsidRPr="00FA4126">
        <w:t xml:space="preserve"> dapagliflozin indications</w:t>
      </w:r>
      <w:bookmarkEnd w:id="71"/>
    </w:p>
    <w:tbl>
      <w:tblPr>
        <w:tblStyle w:val="TableGrid"/>
        <w:tblW w:w="5264" w:type="pct"/>
        <w:tblLayout w:type="fixed"/>
        <w:tblLook w:val="04A0" w:firstRow="1" w:lastRow="0" w:firstColumn="1" w:lastColumn="0" w:noHBand="0" w:noVBand="1"/>
        <w:tblCaption w:val="Table 22: Estimated net cost to R/PBS across currently listed and proposed dapagliflozin indications"/>
      </w:tblPr>
      <w:tblGrid>
        <w:gridCol w:w="830"/>
        <w:gridCol w:w="1150"/>
        <w:gridCol w:w="1276"/>
        <w:gridCol w:w="1275"/>
        <w:gridCol w:w="1276"/>
        <w:gridCol w:w="1276"/>
        <w:gridCol w:w="1276"/>
        <w:gridCol w:w="1134"/>
      </w:tblGrid>
      <w:tr w:rsidR="00186851" w:rsidRPr="000A3B6E" w14:paraId="6D6FEEDA" w14:textId="77777777" w:rsidTr="00B87690">
        <w:trPr>
          <w:trHeight w:val="462"/>
          <w:tblHeader/>
        </w:trPr>
        <w:tc>
          <w:tcPr>
            <w:tcW w:w="830" w:type="dxa"/>
          </w:tcPr>
          <w:p w14:paraId="7486A215" w14:textId="77777777" w:rsidR="00186851" w:rsidRPr="00B412F9" w:rsidRDefault="00186851" w:rsidP="00186851">
            <w:pPr>
              <w:pStyle w:val="Tabletext0"/>
              <w:keepNext/>
              <w:keepLines/>
              <w:rPr>
                <w:rFonts w:cs="Arial"/>
                <w:b/>
                <w:bCs/>
              </w:rPr>
            </w:pPr>
            <w:r w:rsidRPr="00B412F9">
              <w:rPr>
                <w:rFonts w:cs="Arial"/>
                <w:b/>
                <w:bCs/>
              </w:rPr>
              <w:t>Indication/s</w:t>
            </w:r>
          </w:p>
        </w:tc>
        <w:tc>
          <w:tcPr>
            <w:tcW w:w="1150" w:type="dxa"/>
          </w:tcPr>
          <w:p w14:paraId="6C04E8AD" w14:textId="77777777" w:rsidR="00186851" w:rsidRPr="000A3B6E" w:rsidRDefault="00186851" w:rsidP="00186851">
            <w:pPr>
              <w:pStyle w:val="Tabletext0"/>
              <w:keepNext/>
              <w:keepLines/>
              <w:jc w:val="center"/>
              <w:rPr>
                <w:rFonts w:cs="Arial"/>
                <w:b/>
                <w:bCs/>
              </w:rPr>
            </w:pPr>
            <w:r>
              <w:rPr>
                <w:rFonts w:cs="Arial"/>
                <w:b/>
                <w:bCs/>
              </w:rPr>
              <w:t>B</w:t>
            </w:r>
            <w:r w:rsidRPr="000A3B6E">
              <w:rPr>
                <w:rFonts w:cs="Arial"/>
                <w:b/>
                <w:bCs/>
              </w:rPr>
              <w:t>aseline (2020/</w:t>
            </w:r>
            <w:r>
              <w:rPr>
                <w:rFonts w:cs="Arial"/>
                <w:b/>
                <w:bCs/>
              </w:rPr>
              <w:t>20</w:t>
            </w:r>
            <w:r w:rsidRPr="000A3B6E">
              <w:rPr>
                <w:rFonts w:cs="Arial"/>
                <w:b/>
                <w:bCs/>
              </w:rPr>
              <w:t>21)</w:t>
            </w:r>
          </w:p>
        </w:tc>
        <w:tc>
          <w:tcPr>
            <w:tcW w:w="1276" w:type="dxa"/>
            <w:vAlign w:val="center"/>
          </w:tcPr>
          <w:p w14:paraId="135F282A" w14:textId="77777777" w:rsidR="00186851" w:rsidRPr="000A3B6E" w:rsidRDefault="00186851" w:rsidP="00186851">
            <w:pPr>
              <w:pStyle w:val="Tabletext0"/>
              <w:keepNext/>
              <w:keepLines/>
              <w:jc w:val="center"/>
              <w:rPr>
                <w:rFonts w:cs="Arial"/>
                <w:b/>
                <w:bCs/>
              </w:rPr>
            </w:pPr>
            <w:r w:rsidRPr="000A3B6E">
              <w:rPr>
                <w:rFonts w:cs="Arial"/>
                <w:b/>
                <w:bCs/>
              </w:rPr>
              <w:t>2022</w:t>
            </w:r>
          </w:p>
        </w:tc>
        <w:tc>
          <w:tcPr>
            <w:tcW w:w="1275" w:type="dxa"/>
            <w:vAlign w:val="center"/>
          </w:tcPr>
          <w:p w14:paraId="44949BB7" w14:textId="77777777" w:rsidR="00186851" w:rsidRPr="000A3B6E" w:rsidRDefault="00186851" w:rsidP="00186851">
            <w:pPr>
              <w:pStyle w:val="Tabletext0"/>
              <w:keepNext/>
              <w:keepLines/>
              <w:jc w:val="center"/>
              <w:rPr>
                <w:rFonts w:cs="Arial"/>
                <w:b/>
                <w:bCs/>
              </w:rPr>
            </w:pPr>
            <w:r w:rsidRPr="000A3B6E">
              <w:rPr>
                <w:rFonts w:cs="Arial"/>
                <w:b/>
                <w:bCs/>
              </w:rPr>
              <w:t>2023</w:t>
            </w:r>
          </w:p>
        </w:tc>
        <w:tc>
          <w:tcPr>
            <w:tcW w:w="1276" w:type="dxa"/>
            <w:vAlign w:val="center"/>
          </w:tcPr>
          <w:p w14:paraId="142687C3" w14:textId="77777777" w:rsidR="00186851" w:rsidRPr="000A3B6E" w:rsidRDefault="00186851" w:rsidP="00186851">
            <w:pPr>
              <w:pStyle w:val="Tabletext0"/>
              <w:keepNext/>
              <w:keepLines/>
              <w:jc w:val="center"/>
              <w:rPr>
                <w:rFonts w:cs="Arial"/>
                <w:b/>
                <w:bCs/>
              </w:rPr>
            </w:pPr>
            <w:r w:rsidRPr="000A3B6E">
              <w:rPr>
                <w:rFonts w:cs="Arial"/>
                <w:b/>
                <w:bCs/>
              </w:rPr>
              <w:t>2024</w:t>
            </w:r>
          </w:p>
        </w:tc>
        <w:tc>
          <w:tcPr>
            <w:tcW w:w="1276" w:type="dxa"/>
            <w:vAlign w:val="center"/>
          </w:tcPr>
          <w:p w14:paraId="2532F3DF" w14:textId="77777777" w:rsidR="00186851" w:rsidRPr="000A3B6E" w:rsidRDefault="00186851" w:rsidP="00186851">
            <w:pPr>
              <w:pStyle w:val="Tabletext0"/>
              <w:keepNext/>
              <w:keepLines/>
              <w:jc w:val="center"/>
              <w:rPr>
                <w:rFonts w:cs="Arial"/>
                <w:b/>
                <w:bCs/>
              </w:rPr>
            </w:pPr>
            <w:r w:rsidRPr="000A3B6E">
              <w:rPr>
                <w:rFonts w:cs="Arial"/>
                <w:b/>
                <w:bCs/>
              </w:rPr>
              <w:t>2025</w:t>
            </w:r>
          </w:p>
        </w:tc>
        <w:tc>
          <w:tcPr>
            <w:tcW w:w="1276" w:type="dxa"/>
            <w:vAlign w:val="center"/>
          </w:tcPr>
          <w:p w14:paraId="2EC2760C" w14:textId="77777777" w:rsidR="00186851" w:rsidRPr="000A3B6E" w:rsidRDefault="00186851" w:rsidP="00186851">
            <w:pPr>
              <w:pStyle w:val="Tabletext0"/>
              <w:keepNext/>
              <w:keepLines/>
              <w:jc w:val="center"/>
              <w:rPr>
                <w:rFonts w:cs="Arial"/>
                <w:b/>
                <w:bCs/>
              </w:rPr>
            </w:pPr>
            <w:r w:rsidRPr="000A3B6E">
              <w:rPr>
                <w:rFonts w:cs="Arial"/>
                <w:b/>
                <w:bCs/>
              </w:rPr>
              <w:t>2026</w:t>
            </w:r>
          </w:p>
        </w:tc>
        <w:tc>
          <w:tcPr>
            <w:tcW w:w="1134" w:type="dxa"/>
            <w:vAlign w:val="center"/>
          </w:tcPr>
          <w:p w14:paraId="75378180" w14:textId="77777777" w:rsidR="00186851" w:rsidRPr="000A3B6E" w:rsidRDefault="00186851" w:rsidP="00186851">
            <w:pPr>
              <w:pStyle w:val="Tabletext0"/>
              <w:keepNext/>
              <w:keepLines/>
              <w:jc w:val="center"/>
              <w:rPr>
                <w:rFonts w:cs="Arial"/>
                <w:b/>
                <w:bCs/>
              </w:rPr>
            </w:pPr>
            <w:r w:rsidRPr="000A3B6E">
              <w:rPr>
                <w:rFonts w:cs="Arial"/>
                <w:b/>
                <w:bCs/>
              </w:rPr>
              <w:t>2027</w:t>
            </w:r>
          </w:p>
        </w:tc>
      </w:tr>
      <w:tr w:rsidR="00186851" w:rsidRPr="000A3B6E" w14:paraId="62DE211C" w14:textId="77777777" w:rsidTr="00B87690">
        <w:trPr>
          <w:trHeight w:val="233"/>
          <w:tblHeader/>
        </w:trPr>
        <w:tc>
          <w:tcPr>
            <w:tcW w:w="9493" w:type="dxa"/>
            <w:gridSpan w:val="8"/>
          </w:tcPr>
          <w:p w14:paraId="7A2B1C00" w14:textId="77777777" w:rsidR="00186851" w:rsidRPr="000A3B6E" w:rsidRDefault="00186851" w:rsidP="00186851">
            <w:pPr>
              <w:pStyle w:val="Tabletext0"/>
              <w:keepNext/>
              <w:keepLines/>
              <w:rPr>
                <w:rFonts w:cs="Arial"/>
                <w:b/>
                <w:bCs/>
              </w:rPr>
            </w:pPr>
            <w:r>
              <w:rPr>
                <w:rFonts w:cs="Arial"/>
                <w:b/>
                <w:bCs/>
              </w:rPr>
              <w:t>Dapagliflozin market</w:t>
            </w:r>
          </w:p>
        </w:tc>
      </w:tr>
      <w:tr w:rsidR="00186851" w:rsidRPr="000A3B6E" w14:paraId="5388F9D0" w14:textId="77777777" w:rsidTr="00B87690">
        <w:trPr>
          <w:trHeight w:val="233"/>
        </w:trPr>
        <w:tc>
          <w:tcPr>
            <w:tcW w:w="830" w:type="dxa"/>
            <w:vAlign w:val="center"/>
          </w:tcPr>
          <w:p w14:paraId="7EA92BC6" w14:textId="77777777" w:rsidR="00186851" w:rsidRPr="000A3B6E" w:rsidRDefault="00186851" w:rsidP="00186851">
            <w:pPr>
              <w:pStyle w:val="Tabletext0"/>
              <w:keepNext/>
              <w:keepLines/>
              <w:rPr>
                <w:rFonts w:cs="Arial"/>
              </w:rPr>
            </w:pPr>
            <w:r w:rsidRPr="000A3B6E">
              <w:rPr>
                <w:rFonts w:cs="Arial"/>
              </w:rPr>
              <w:t>CKD</w:t>
            </w:r>
          </w:p>
        </w:tc>
        <w:tc>
          <w:tcPr>
            <w:tcW w:w="1150" w:type="dxa"/>
            <w:vAlign w:val="center"/>
          </w:tcPr>
          <w:p w14:paraId="3B014DC1" w14:textId="77777777" w:rsidR="00186851" w:rsidRPr="004A75B5" w:rsidRDefault="00186851" w:rsidP="00186851">
            <w:pPr>
              <w:pStyle w:val="Tabletext0"/>
              <w:keepNext/>
              <w:keepLines/>
              <w:jc w:val="center"/>
              <w:rPr>
                <w:rFonts w:cs="Arial"/>
              </w:rPr>
            </w:pPr>
            <w:r w:rsidRPr="004A75B5">
              <w:rPr>
                <w:rFonts w:cs="Arial"/>
              </w:rPr>
              <w:t>NA</w:t>
            </w:r>
          </w:p>
        </w:tc>
        <w:tc>
          <w:tcPr>
            <w:tcW w:w="1276" w:type="dxa"/>
            <w:shd w:val="clear" w:color="auto" w:fill="auto"/>
            <w:vAlign w:val="center"/>
          </w:tcPr>
          <w:p w14:paraId="3C10C4A6"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E9413B" w:rsidRPr="004A75B5">
              <w:rPr>
                <w:rFonts w:cs="Arial"/>
                <w:vertAlign w:val="superscript"/>
              </w:rPr>
              <w:t>1</w:t>
            </w:r>
          </w:p>
        </w:tc>
        <w:tc>
          <w:tcPr>
            <w:tcW w:w="1275" w:type="dxa"/>
            <w:shd w:val="clear" w:color="auto" w:fill="auto"/>
            <w:vAlign w:val="center"/>
          </w:tcPr>
          <w:p w14:paraId="6A54DE7B"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2</w:t>
            </w:r>
          </w:p>
        </w:tc>
        <w:tc>
          <w:tcPr>
            <w:tcW w:w="1276" w:type="dxa"/>
            <w:shd w:val="clear" w:color="auto" w:fill="auto"/>
            <w:vAlign w:val="center"/>
          </w:tcPr>
          <w:p w14:paraId="54E80E24"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3</w:t>
            </w:r>
          </w:p>
        </w:tc>
        <w:tc>
          <w:tcPr>
            <w:tcW w:w="1276" w:type="dxa"/>
            <w:shd w:val="clear" w:color="auto" w:fill="auto"/>
            <w:vAlign w:val="center"/>
          </w:tcPr>
          <w:p w14:paraId="657365C6"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4</w:t>
            </w:r>
          </w:p>
        </w:tc>
        <w:tc>
          <w:tcPr>
            <w:tcW w:w="1276" w:type="dxa"/>
            <w:shd w:val="clear" w:color="auto" w:fill="auto"/>
            <w:vAlign w:val="center"/>
          </w:tcPr>
          <w:p w14:paraId="17144FF3"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134" w:type="dxa"/>
            <w:shd w:val="clear" w:color="auto" w:fill="auto"/>
            <w:vAlign w:val="center"/>
          </w:tcPr>
          <w:p w14:paraId="014BC9CA"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r>
      <w:tr w:rsidR="00186851" w:rsidRPr="000A3B6E" w14:paraId="1A8B3DD2" w14:textId="77777777" w:rsidTr="00B87690">
        <w:trPr>
          <w:trHeight w:val="228"/>
        </w:trPr>
        <w:tc>
          <w:tcPr>
            <w:tcW w:w="830" w:type="dxa"/>
            <w:vAlign w:val="center"/>
          </w:tcPr>
          <w:p w14:paraId="48E47994" w14:textId="77777777" w:rsidR="00186851" w:rsidRPr="000A3B6E" w:rsidRDefault="00186851" w:rsidP="00186851">
            <w:pPr>
              <w:pStyle w:val="Tabletext0"/>
              <w:keepNext/>
              <w:keepLines/>
              <w:rPr>
                <w:rFonts w:cs="Arial"/>
              </w:rPr>
            </w:pPr>
            <w:r w:rsidRPr="000A3B6E">
              <w:rPr>
                <w:rFonts w:cs="Arial"/>
              </w:rPr>
              <w:t>HFrEF</w:t>
            </w:r>
          </w:p>
        </w:tc>
        <w:tc>
          <w:tcPr>
            <w:tcW w:w="1150" w:type="dxa"/>
            <w:vAlign w:val="center"/>
          </w:tcPr>
          <w:p w14:paraId="0018FFFB" w14:textId="77777777" w:rsidR="00186851" w:rsidRPr="004A75B5" w:rsidRDefault="00186851" w:rsidP="00186851">
            <w:pPr>
              <w:pStyle w:val="Tabletext0"/>
              <w:keepNext/>
              <w:keepLines/>
              <w:jc w:val="center"/>
              <w:rPr>
                <w:rFonts w:cs="Arial"/>
              </w:rPr>
            </w:pPr>
            <w:r w:rsidRPr="004A75B5">
              <w:rPr>
                <w:rFonts w:cs="Arial"/>
              </w:rPr>
              <w:t>NA</w:t>
            </w:r>
          </w:p>
        </w:tc>
        <w:tc>
          <w:tcPr>
            <w:tcW w:w="1276" w:type="dxa"/>
            <w:shd w:val="clear" w:color="auto" w:fill="auto"/>
            <w:vAlign w:val="center"/>
          </w:tcPr>
          <w:p w14:paraId="5A20F229"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6</w:t>
            </w:r>
          </w:p>
        </w:tc>
        <w:tc>
          <w:tcPr>
            <w:tcW w:w="1275" w:type="dxa"/>
            <w:shd w:val="clear" w:color="auto" w:fill="auto"/>
            <w:vAlign w:val="center"/>
          </w:tcPr>
          <w:p w14:paraId="3CF6EEA8"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7</w:t>
            </w:r>
          </w:p>
        </w:tc>
        <w:tc>
          <w:tcPr>
            <w:tcW w:w="1276" w:type="dxa"/>
            <w:shd w:val="clear" w:color="auto" w:fill="auto"/>
            <w:vAlign w:val="center"/>
          </w:tcPr>
          <w:p w14:paraId="682E6963"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w:t>
            </w:r>
          </w:p>
        </w:tc>
        <w:tc>
          <w:tcPr>
            <w:tcW w:w="1276" w:type="dxa"/>
            <w:shd w:val="clear" w:color="auto" w:fill="auto"/>
            <w:vAlign w:val="center"/>
          </w:tcPr>
          <w:p w14:paraId="578DEA4F"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8</w:t>
            </w:r>
          </w:p>
        </w:tc>
        <w:tc>
          <w:tcPr>
            <w:tcW w:w="1276" w:type="dxa"/>
            <w:shd w:val="clear" w:color="auto" w:fill="auto"/>
            <w:vAlign w:val="center"/>
          </w:tcPr>
          <w:p w14:paraId="7A62AF63"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2</w:t>
            </w:r>
          </w:p>
        </w:tc>
        <w:tc>
          <w:tcPr>
            <w:tcW w:w="1134" w:type="dxa"/>
            <w:shd w:val="clear" w:color="auto" w:fill="auto"/>
            <w:vAlign w:val="center"/>
          </w:tcPr>
          <w:p w14:paraId="36EF6F3D"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9</w:t>
            </w:r>
          </w:p>
        </w:tc>
      </w:tr>
      <w:tr w:rsidR="00186851" w:rsidRPr="000A3B6E" w14:paraId="36880812" w14:textId="77777777" w:rsidTr="00B87690">
        <w:trPr>
          <w:trHeight w:val="466"/>
        </w:trPr>
        <w:tc>
          <w:tcPr>
            <w:tcW w:w="830" w:type="dxa"/>
            <w:vAlign w:val="center"/>
          </w:tcPr>
          <w:p w14:paraId="6ACF5FC7" w14:textId="77777777" w:rsidR="00186851" w:rsidRPr="000A3B6E" w:rsidRDefault="00186851" w:rsidP="00186851">
            <w:pPr>
              <w:pStyle w:val="Tabletext0"/>
              <w:keepNext/>
              <w:keepLines/>
              <w:rPr>
                <w:rFonts w:cs="Arial"/>
              </w:rPr>
            </w:pPr>
            <w:r w:rsidRPr="000A3B6E">
              <w:rPr>
                <w:rFonts w:cs="Arial"/>
              </w:rPr>
              <w:t>T2DM</w:t>
            </w:r>
          </w:p>
        </w:tc>
        <w:tc>
          <w:tcPr>
            <w:tcW w:w="1150" w:type="dxa"/>
            <w:vAlign w:val="center"/>
          </w:tcPr>
          <w:p w14:paraId="309A41DE"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8</w:t>
            </w: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8</w:t>
            </w:r>
          </w:p>
        </w:tc>
        <w:tc>
          <w:tcPr>
            <w:tcW w:w="1276" w:type="dxa"/>
            <w:shd w:val="clear" w:color="auto" w:fill="auto"/>
            <w:vAlign w:val="center"/>
          </w:tcPr>
          <w:p w14:paraId="28DD9CC5"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5" w:type="dxa"/>
            <w:shd w:val="clear" w:color="auto" w:fill="auto"/>
            <w:vAlign w:val="center"/>
          </w:tcPr>
          <w:p w14:paraId="58D3F11B"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55D573D8"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78CA19E7"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7C50BD75"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10</w:t>
            </w:r>
          </w:p>
        </w:tc>
        <w:tc>
          <w:tcPr>
            <w:tcW w:w="1134" w:type="dxa"/>
            <w:shd w:val="clear" w:color="auto" w:fill="auto"/>
            <w:vAlign w:val="center"/>
          </w:tcPr>
          <w:p w14:paraId="40812C29"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10</w:t>
            </w:r>
          </w:p>
        </w:tc>
      </w:tr>
      <w:tr w:rsidR="00186851" w:rsidRPr="000A3B6E" w14:paraId="48E9D938" w14:textId="77777777" w:rsidTr="00B87690">
        <w:trPr>
          <w:trHeight w:val="462"/>
        </w:trPr>
        <w:tc>
          <w:tcPr>
            <w:tcW w:w="830" w:type="dxa"/>
            <w:vAlign w:val="center"/>
          </w:tcPr>
          <w:p w14:paraId="1BAA78F4" w14:textId="77777777" w:rsidR="00186851" w:rsidRDefault="00186851" w:rsidP="00186851">
            <w:pPr>
              <w:pStyle w:val="Tabletext0"/>
              <w:keepNext/>
              <w:keepLines/>
              <w:rPr>
                <w:rFonts w:cs="Arial"/>
              </w:rPr>
            </w:pPr>
            <w:r w:rsidRPr="000A3B6E">
              <w:rPr>
                <w:rFonts w:cs="Arial"/>
              </w:rPr>
              <w:t>CKD</w:t>
            </w:r>
          </w:p>
          <w:p w14:paraId="75EED705" w14:textId="77777777" w:rsidR="00186851" w:rsidRPr="000A3B6E" w:rsidRDefault="00186851" w:rsidP="00186851">
            <w:pPr>
              <w:pStyle w:val="Tabletext0"/>
              <w:keepNext/>
              <w:keepLines/>
              <w:rPr>
                <w:rFonts w:cs="Arial"/>
              </w:rPr>
            </w:pPr>
            <w:r w:rsidRPr="000A3B6E">
              <w:rPr>
                <w:rFonts w:cs="Arial"/>
              </w:rPr>
              <w:t>+HFrEF</w:t>
            </w:r>
          </w:p>
        </w:tc>
        <w:tc>
          <w:tcPr>
            <w:tcW w:w="1150" w:type="dxa"/>
            <w:vAlign w:val="center"/>
          </w:tcPr>
          <w:p w14:paraId="66BBC55D" w14:textId="77777777" w:rsidR="00186851" w:rsidRPr="004A75B5" w:rsidRDefault="00186851" w:rsidP="00186851">
            <w:pPr>
              <w:pStyle w:val="Tabletext0"/>
              <w:keepNext/>
              <w:keepLines/>
              <w:jc w:val="center"/>
              <w:rPr>
                <w:rFonts w:cs="Arial"/>
              </w:rPr>
            </w:pPr>
            <w:r w:rsidRPr="004A75B5">
              <w:rPr>
                <w:rFonts w:cs="Arial"/>
              </w:rPr>
              <w:t>NA</w:t>
            </w:r>
          </w:p>
        </w:tc>
        <w:tc>
          <w:tcPr>
            <w:tcW w:w="1276" w:type="dxa"/>
            <w:shd w:val="clear" w:color="auto" w:fill="auto"/>
            <w:vAlign w:val="center"/>
          </w:tcPr>
          <w:p w14:paraId="4C8F6603"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8</w:t>
            </w:r>
          </w:p>
        </w:tc>
        <w:tc>
          <w:tcPr>
            <w:tcW w:w="1275" w:type="dxa"/>
            <w:shd w:val="clear" w:color="auto" w:fill="auto"/>
            <w:vAlign w:val="center"/>
          </w:tcPr>
          <w:p w14:paraId="34496A24"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3</w:t>
            </w:r>
          </w:p>
        </w:tc>
        <w:tc>
          <w:tcPr>
            <w:tcW w:w="1276" w:type="dxa"/>
            <w:shd w:val="clear" w:color="auto" w:fill="auto"/>
            <w:vAlign w:val="center"/>
          </w:tcPr>
          <w:p w14:paraId="7F79B3E0"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7AF69F8B"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62538B69"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134" w:type="dxa"/>
            <w:shd w:val="clear" w:color="auto" w:fill="auto"/>
            <w:vAlign w:val="center"/>
          </w:tcPr>
          <w:p w14:paraId="3A1814FC"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10</w:t>
            </w:r>
          </w:p>
        </w:tc>
      </w:tr>
      <w:tr w:rsidR="00186851" w:rsidRPr="000A3B6E" w14:paraId="3D395596" w14:textId="77777777" w:rsidTr="00B87690">
        <w:trPr>
          <w:trHeight w:val="695"/>
        </w:trPr>
        <w:tc>
          <w:tcPr>
            <w:tcW w:w="830" w:type="dxa"/>
            <w:vAlign w:val="center"/>
          </w:tcPr>
          <w:p w14:paraId="4E3F12BC" w14:textId="77777777" w:rsidR="00186851" w:rsidRDefault="00186851" w:rsidP="00186851">
            <w:pPr>
              <w:pStyle w:val="Tabletext0"/>
              <w:keepNext/>
              <w:keepLines/>
              <w:rPr>
                <w:rFonts w:cs="Arial"/>
              </w:rPr>
            </w:pPr>
            <w:r w:rsidRPr="000A3B6E">
              <w:rPr>
                <w:rFonts w:cs="Arial"/>
              </w:rPr>
              <w:t>CKD</w:t>
            </w:r>
            <w:r>
              <w:rPr>
                <w:rFonts w:cs="Arial"/>
              </w:rPr>
              <w:br/>
              <w:t>+</w:t>
            </w:r>
            <w:r w:rsidRPr="000A3B6E">
              <w:rPr>
                <w:rFonts w:cs="Arial"/>
              </w:rPr>
              <w:t>HFrEF</w:t>
            </w:r>
          </w:p>
          <w:p w14:paraId="64BE8485" w14:textId="77777777" w:rsidR="00186851" w:rsidRPr="000A3B6E" w:rsidRDefault="00186851" w:rsidP="00186851">
            <w:pPr>
              <w:pStyle w:val="Tabletext0"/>
              <w:keepNext/>
              <w:keepLines/>
              <w:rPr>
                <w:rFonts w:cs="Arial"/>
              </w:rPr>
            </w:pPr>
            <w:r w:rsidRPr="000A3B6E">
              <w:rPr>
                <w:rFonts w:cs="Arial"/>
              </w:rPr>
              <w:t>+T2DM</w:t>
            </w:r>
          </w:p>
        </w:tc>
        <w:tc>
          <w:tcPr>
            <w:tcW w:w="1150" w:type="dxa"/>
            <w:vAlign w:val="center"/>
          </w:tcPr>
          <w:p w14:paraId="7BEED46E" w14:textId="77777777" w:rsidR="00186851" w:rsidRPr="004A75B5" w:rsidRDefault="00186851" w:rsidP="00186851">
            <w:pPr>
              <w:pStyle w:val="Tabletext0"/>
              <w:keepNext/>
              <w:keepLines/>
              <w:jc w:val="center"/>
              <w:rPr>
                <w:rFonts w:cs="Arial"/>
              </w:rPr>
            </w:pPr>
            <w:r w:rsidRPr="004A75B5">
              <w:rPr>
                <w:rFonts w:cs="Arial"/>
              </w:rPr>
              <w:t>NA</w:t>
            </w:r>
          </w:p>
        </w:tc>
        <w:tc>
          <w:tcPr>
            <w:tcW w:w="1276" w:type="dxa"/>
            <w:shd w:val="clear" w:color="auto" w:fill="auto"/>
            <w:vAlign w:val="center"/>
          </w:tcPr>
          <w:p w14:paraId="1458724E"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5" w:type="dxa"/>
            <w:shd w:val="clear" w:color="auto" w:fill="auto"/>
            <w:vAlign w:val="center"/>
          </w:tcPr>
          <w:p w14:paraId="2025D502"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10</w:t>
            </w:r>
          </w:p>
        </w:tc>
        <w:tc>
          <w:tcPr>
            <w:tcW w:w="1276" w:type="dxa"/>
            <w:shd w:val="clear" w:color="auto" w:fill="auto"/>
            <w:vAlign w:val="center"/>
          </w:tcPr>
          <w:p w14:paraId="666969D1"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c>
          <w:tcPr>
            <w:tcW w:w="1276" w:type="dxa"/>
            <w:shd w:val="clear" w:color="auto" w:fill="auto"/>
            <w:vAlign w:val="center"/>
          </w:tcPr>
          <w:p w14:paraId="750D6AB0"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11</w:t>
            </w:r>
          </w:p>
        </w:tc>
        <w:tc>
          <w:tcPr>
            <w:tcW w:w="1276" w:type="dxa"/>
            <w:shd w:val="clear" w:color="auto" w:fill="auto"/>
            <w:vAlign w:val="center"/>
          </w:tcPr>
          <w:p w14:paraId="1EC2D421"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12</w:t>
            </w:r>
          </w:p>
        </w:tc>
        <w:tc>
          <w:tcPr>
            <w:tcW w:w="1134" w:type="dxa"/>
            <w:shd w:val="clear" w:color="auto" w:fill="auto"/>
            <w:vAlign w:val="center"/>
          </w:tcPr>
          <w:p w14:paraId="3350C8EF" w14:textId="77777777" w:rsidR="00186851" w:rsidRPr="004A75B5" w:rsidRDefault="00186851" w:rsidP="00186851">
            <w:pPr>
              <w:pStyle w:val="Tabletext0"/>
              <w:keepNext/>
              <w:keepLines/>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12</w:t>
            </w:r>
          </w:p>
        </w:tc>
      </w:tr>
      <w:tr w:rsidR="00186851" w:rsidRPr="000A3B6E" w14:paraId="056E1817" w14:textId="77777777" w:rsidTr="00B87690">
        <w:trPr>
          <w:trHeight w:val="228"/>
        </w:trPr>
        <w:tc>
          <w:tcPr>
            <w:tcW w:w="9493" w:type="dxa"/>
            <w:gridSpan w:val="8"/>
            <w:vAlign w:val="center"/>
          </w:tcPr>
          <w:p w14:paraId="5B953062" w14:textId="77777777" w:rsidR="00186851" w:rsidRPr="004A75B5" w:rsidRDefault="00186851" w:rsidP="00186851">
            <w:pPr>
              <w:pStyle w:val="Tabletext0"/>
              <w:keepNext/>
              <w:keepLines/>
              <w:rPr>
                <w:rFonts w:cs="Arial"/>
                <w:color w:val="000000"/>
              </w:rPr>
            </w:pPr>
            <w:r w:rsidRPr="004A75B5">
              <w:rPr>
                <w:rFonts w:cs="Arial"/>
                <w:b/>
                <w:bCs/>
              </w:rPr>
              <w:t>Total SGLT2i market</w:t>
            </w:r>
          </w:p>
        </w:tc>
      </w:tr>
      <w:tr w:rsidR="00186851" w:rsidRPr="000A3B6E" w14:paraId="56DA679A" w14:textId="77777777" w:rsidTr="00B87690">
        <w:trPr>
          <w:trHeight w:val="466"/>
        </w:trPr>
        <w:tc>
          <w:tcPr>
            <w:tcW w:w="830" w:type="dxa"/>
            <w:vAlign w:val="center"/>
          </w:tcPr>
          <w:p w14:paraId="6B9EE0D3" w14:textId="77777777" w:rsidR="00186851" w:rsidRPr="000A3B6E" w:rsidRDefault="00186851" w:rsidP="00186851">
            <w:pPr>
              <w:pStyle w:val="Tabletext0"/>
              <w:keepNext/>
              <w:keepLines/>
              <w:rPr>
                <w:rFonts w:cs="Arial"/>
              </w:rPr>
            </w:pPr>
            <w:r w:rsidRPr="000A3B6E">
              <w:rPr>
                <w:rFonts w:cs="Arial"/>
              </w:rPr>
              <w:t>T2DM</w:t>
            </w:r>
          </w:p>
        </w:tc>
        <w:tc>
          <w:tcPr>
            <w:tcW w:w="1150" w:type="dxa"/>
            <w:vAlign w:val="center"/>
          </w:tcPr>
          <w:p w14:paraId="492400E1" w14:textId="77777777" w:rsidR="00186851" w:rsidRPr="004A75B5" w:rsidRDefault="00186851" w:rsidP="00186851">
            <w:pPr>
              <w:pStyle w:val="Tabletext0"/>
              <w:keepNext/>
              <w:keepLines/>
              <w:ind w:right="-113"/>
              <w:jc w:val="center"/>
              <w:rPr>
                <w:rFonts w:cs="Arial"/>
                <w:vertAlign w:val="superscript"/>
              </w:rPr>
            </w:pPr>
            <w:r w:rsidRPr="004A75B5">
              <w:rPr>
                <w:rFonts w:cs="Arial"/>
              </w:rPr>
              <w:t>$</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r w:rsidRPr="004A75B5">
              <w:rPr>
                <w:rFonts w:cs="Arial"/>
              </w:rPr>
              <w:t xml:space="preserve"> $</w:t>
            </w:r>
            <w:r w:rsidR="00B87690">
              <w:rPr>
                <w:rFonts w:cs="Arial"/>
                <w:noProof/>
                <w:color w:val="000000"/>
                <w:highlight w:val="black"/>
              </w:rPr>
              <w:t>''''''''''''''''</w:t>
            </w:r>
            <w:r w:rsidR="00164731">
              <w:rPr>
                <w:rFonts w:cs="Arial"/>
                <w:noProof/>
                <w:color w:val="000000"/>
                <w:highlight w:val="black"/>
              </w:rPr>
              <w:t>''''''''''''</w:t>
            </w:r>
            <w:r w:rsidR="00BC5928" w:rsidRPr="004A75B5">
              <w:rPr>
                <w:rFonts w:cs="Arial"/>
                <w:vertAlign w:val="superscript"/>
              </w:rPr>
              <w:t>5</w:t>
            </w:r>
          </w:p>
        </w:tc>
        <w:tc>
          <w:tcPr>
            <w:tcW w:w="1276" w:type="dxa"/>
            <w:shd w:val="clear" w:color="auto" w:fill="auto"/>
            <w:vAlign w:val="center"/>
          </w:tcPr>
          <w:p w14:paraId="054285E4"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10</w:t>
            </w:r>
          </w:p>
        </w:tc>
        <w:tc>
          <w:tcPr>
            <w:tcW w:w="1275" w:type="dxa"/>
            <w:shd w:val="clear" w:color="auto" w:fill="auto"/>
            <w:vAlign w:val="center"/>
          </w:tcPr>
          <w:p w14:paraId="6417409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10</w:t>
            </w:r>
          </w:p>
        </w:tc>
        <w:tc>
          <w:tcPr>
            <w:tcW w:w="1276" w:type="dxa"/>
            <w:shd w:val="clear" w:color="auto" w:fill="auto"/>
            <w:vAlign w:val="center"/>
          </w:tcPr>
          <w:p w14:paraId="6B169722"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276" w:type="dxa"/>
            <w:shd w:val="clear" w:color="auto" w:fill="auto"/>
            <w:vAlign w:val="center"/>
          </w:tcPr>
          <w:p w14:paraId="5CB0D3D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276" w:type="dxa"/>
            <w:shd w:val="clear" w:color="auto" w:fill="auto"/>
            <w:vAlign w:val="center"/>
          </w:tcPr>
          <w:p w14:paraId="06BC76F7"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11</w:t>
            </w:r>
          </w:p>
        </w:tc>
        <w:tc>
          <w:tcPr>
            <w:tcW w:w="1134" w:type="dxa"/>
            <w:shd w:val="clear" w:color="auto" w:fill="auto"/>
            <w:vAlign w:val="center"/>
          </w:tcPr>
          <w:p w14:paraId="072CA59F"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12</w:t>
            </w:r>
          </w:p>
        </w:tc>
      </w:tr>
      <w:tr w:rsidR="00186851" w:rsidRPr="000A3B6E" w14:paraId="5ECA8FAD" w14:textId="77777777" w:rsidTr="00B87690">
        <w:trPr>
          <w:trHeight w:val="695"/>
        </w:trPr>
        <w:tc>
          <w:tcPr>
            <w:tcW w:w="830" w:type="dxa"/>
            <w:vAlign w:val="center"/>
          </w:tcPr>
          <w:p w14:paraId="13C56A8C" w14:textId="77777777" w:rsidR="00186851" w:rsidRDefault="00186851" w:rsidP="00186851">
            <w:pPr>
              <w:pStyle w:val="Tabletext0"/>
              <w:keepNext/>
              <w:keepLines/>
              <w:rPr>
                <w:rFonts w:cs="Arial"/>
              </w:rPr>
            </w:pPr>
            <w:r w:rsidRPr="000A3B6E">
              <w:rPr>
                <w:rFonts w:cs="Arial"/>
              </w:rPr>
              <w:t>CKD</w:t>
            </w:r>
            <w:r>
              <w:rPr>
                <w:rFonts w:cs="Arial"/>
              </w:rPr>
              <w:br/>
            </w:r>
            <w:r w:rsidRPr="000A3B6E">
              <w:rPr>
                <w:rFonts w:cs="Arial"/>
              </w:rPr>
              <w:t>+HFrEF</w:t>
            </w:r>
          </w:p>
          <w:p w14:paraId="17952A0B" w14:textId="77777777" w:rsidR="00186851" w:rsidRPr="000A3B6E" w:rsidRDefault="00186851" w:rsidP="00186851">
            <w:pPr>
              <w:pStyle w:val="Tabletext0"/>
              <w:keepNext/>
              <w:keepLines/>
              <w:rPr>
                <w:rFonts w:cs="Arial"/>
              </w:rPr>
            </w:pPr>
            <w:r w:rsidRPr="000A3B6E">
              <w:rPr>
                <w:rFonts w:cs="Arial"/>
              </w:rPr>
              <w:t>+T2DM</w:t>
            </w:r>
          </w:p>
        </w:tc>
        <w:tc>
          <w:tcPr>
            <w:tcW w:w="1150" w:type="dxa"/>
            <w:vAlign w:val="center"/>
          </w:tcPr>
          <w:p w14:paraId="507AAFC7" w14:textId="77777777" w:rsidR="00186851" w:rsidRPr="004A75B5" w:rsidRDefault="00186851" w:rsidP="00186851">
            <w:pPr>
              <w:pStyle w:val="Tabletext0"/>
              <w:keepNext/>
              <w:keepLines/>
              <w:jc w:val="center"/>
              <w:rPr>
                <w:rFonts w:cs="Arial"/>
              </w:rPr>
            </w:pPr>
            <w:r w:rsidRPr="004A75B5">
              <w:rPr>
                <w:rFonts w:cs="Arial"/>
              </w:rPr>
              <w:t>NA</w:t>
            </w:r>
          </w:p>
        </w:tc>
        <w:tc>
          <w:tcPr>
            <w:tcW w:w="1276" w:type="dxa"/>
            <w:shd w:val="clear" w:color="auto" w:fill="auto"/>
            <w:vAlign w:val="center"/>
          </w:tcPr>
          <w:p w14:paraId="0DB63F96"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10</w:t>
            </w:r>
          </w:p>
        </w:tc>
        <w:tc>
          <w:tcPr>
            <w:tcW w:w="1275" w:type="dxa"/>
            <w:shd w:val="clear" w:color="auto" w:fill="auto"/>
            <w:vAlign w:val="center"/>
          </w:tcPr>
          <w:p w14:paraId="23B20C40"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11</w:t>
            </w:r>
          </w:p>
        </w:tc>
        <w:tc>
          <w:tcPr>
            <w:tcW w:w="1276" w:type="dxa"/>
            <w:shd w:val="clear" w:color="auto" w:fill="auto"/>
            <w:vAlign w:val="center"/>
          </w:tcPr>
          <w:p w14:paraId="008CB3EB"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12</w:t>
            </w:r>
          </w:p>
        </w:tc>
        <w:tc>
          <w:tcPr>
            <w:tcW w:w="1276" w:type="dxa"/>
            <w:shd w:val="clear" w:color="auto" w:fill="auto"/>
            <w:vAlign w:val="center"/>
          </w:tcPr>
          <w:p w14:paraId="30DEE87B"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12</w:t>
            </w:r>
          </w:p>
        </w:tc>
        <w:tc>
          <w:tcPr>
            <w:tcW w:w="1276" w:type="dxa"/>
            <w:shd w:val="clear" w:color="auto" w:fill="auto"/>
            <w:vAlign w:val="center"/>
          </w:tcPr>
          <w:p w14:paraId="728993AB"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BC5928" w:rsidRPr="004A75B5">
              <w:rPr>
                <w:rFonts w:cs="Arial"/>
                <w:color w:val="000000"/>
                <w:vertAlign w:val="superscript"/>
              </w:rPr>
              <w:t>13</w:t>
            </w:r>
          </w:p>
        </w:tc>
        <w:tc>
          <w:tcPr>
            <w:tcW w:w="1134" w:type="dxa"/>
            <w:shd w:val="clear" w:color="auto" w:fill="auto"/>
            <w:vAlign w:val="center"/>
          </w:tcPr>
          <w:p w14:paraId="22F2FC6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B87690">
              <w:rPr>
                <w:rFonts w:cs="Arial"/>
                <w:noProof/>
                <w:color w:val="000000"/>
                <w:highlight w:val="black"/>
              </w:rPr>
              <w:t>'''''''''''''</w:t>
            </w:r>
            <w:r w:rsidR="00164731">
              <w:rPr>
                <w:rFonts w:cs="Arial"/>
                <w:noProof/>
                <w:color w:val="000000"/>
                <w:highlight w:val="black"/>
              </w:rPr>
              <w:t>''''''''</w:t>
            </w:r>
            <w:r w:rsidR="002E1285" w:rsidRPr="004A75B5">
              <w:rPr>
                <w:rFonts w:cs="Arial"/>
                <w:color w:val="000000"/>
                <w:vertAlign w:val="superscript"/>
              </w:rPr>
              <w:t>14</w:t>
            </w:r>
          </w:p>
        </w:tc>
      </w:tr>
    </w:tbl>
    <w:p w14:paraId="1BF6D4E3" w14:textId="77777777" w:rsidR="00186851" w:rsidRPr="00FA4126" w:rsidRDefault="00186851" w:rsidP="00186851">
      <w:pPr>
        <w:pStyle w:val="5TableFooter"/>
      </w:pPr>
      <w:r w:rsidRPr="00FA4126">
        <w:t xml:space="preserve">Source: Table 1, p7, </w:t>
      </w:r>
      <w:r>
        <w:t>of the additional information provided in August 2021</w:t>
      </w:r>
      <w:r w:rsidRPr="00FA4126">
        <w:t>.</w:t>
      </w:r>
    </w:p>
    <w:p w14:paraId="6751D7A9" w14:textId="77777777" w:rsidR="00186851" w:rsidRDefault="00186851" w:rsidP="00186851">
      <w:pPr>
        <w:pStyle w:val="5TableFooter"/>
      </w:pPr>
      <w:r w:rsidRPr="00FA4126">
        <w:t>CKD</w:t>
      </w:r>
      <w:r>
        <w:t xml:space="preserve">, </w:t>
      </w:r>
      <w:r w:rsidRPr="00FA4126">
        <w:t>chronic kidney disease</w:t>
      </w:r>
      <w:r>
        <w:t>;</w:t>
      </w:r>
      <w:r w:rsidRPr="00FA4126">
        <w:t xml:space="preserve"> HFrEF, heart failure with reduced ejection fraction; NA</w:t>
      </w:r>
      <w:r>
        <w:t>,</w:t>
      </w:r>
      <w:r w:rsidRPr="00FA4126">
        <w:t xml:space="preserve"> not applicable; PBS</w:t>
      </w:r>
      <w:r>
        <w:t>,</w:t>
      </w:r>
      <w:r w:rsidRPr="00FA4126">
        <w:t xml:space="preserve"> Pharmaceutical Benefits Scheme; RPBS</w:t>
      </w:r>
      <w:r>
        <w:t xml:space="preserve">, </w:t>
      </w:r>
      <w:r w:rsidRPr="00FA4126">
        <w:t>Repatriation Pharmaceutical Benefits Scheme; SGLT2i</w:t>
      </w:r>
      <w:r>
        <w:t>,</w:t>
      </w:r>
      <w:r w:rsidRPr="00FA4126">
        <w:t xml:space="preserve"> sodium-glucose </w:t>
      </w:r>
      <w:r>
        <w:t>co-</w:t>
      </w:r>
      <w:r w:rsidRPr="00FA4126">
        <w:t>transport</w:t>
      </w:r>
      <w:r>
        <w:t>er 2 inhibitor.</w:t>
      </w:r>
    </w:p>
    <w:p w14:paraId="49CB6E5F" w14:textId="77777777" w:rsidR="00E9413B" w:rsidRDefault="00E9413B" w:rsidP="00186851">
      <w:pPr>
        <w:pStyle w:val="5TableFooter"/>
        <w:rPr>
          <w:i/>
          <w:iCs/>
        </w:rPr>
      </w:pPr>
      <w:r>
        <w:rPr>
          <w:i/>
          <w:iCs/>
        </w:rPr>
        <w:t>The redacted values correspond to the following ranges</w:t>
      </w:r>
    </w:p>
    <w:p w14:paraId="1C5615A5" w14:textId="77777777" w:rsidR="00E9413B" w:rsidRDefault="00BC5928" w:rsidP="00186851">
      <w:pPr>
        <w:pStyle w:val="5TableFooter"/>
        <w:rPr>
          <w:i/>
          <w:iCs/>
        </w:rPr>
      </w:pPr>
      <w:r>
        <w:rPr>
          <w:i/>
          <w:iCs/>
          <w:vertAlign w:val="superscript"/>
        </w:rPr>
        <w:t>1</w:t>
      </w:r>
      <w:r w:rsidRPr="00BC5928">
        <w:rPr>
          <w:i/>
          <w:iCs/>
        </w:rPr>
        <w:t>$30 million to &lt; $40 million</w:t>
      </w:r>
    </w:p>
    <w:p w14:paraId="2D891A55" w14:textId="77777777" w:rsidR="00BC5928" w:rsidRDefault="00BC5928" w:rsidP="00186851">
      <w:pPr>
        <w:pStyle w:val="5TableFooter"/>
        <w:rPr>
          <w:i/>
          <w:iCs/>
        </w:rPr>
      </w:pPr>
      <w:r>
        <w:rPr>
          <w:i/>
          <w:iCs/>
          <w:vertAlign w:val="superscript"/>
        </w:rPr>
        <w:t>2</w:t>
      </w:r>
      <w:r w:rsidRPr="00BC5928">
        <w:rPr>
          <w:i/>
          <w:iCs/>
        </w:rPr>
        <w:t>$50 million to &lt; $60 million</w:t>
      </w:r>
    </w:p>
    <w:p w14:paraId="7FC3FBFA" w14:textId="77777777" w:rsidR="00BC5928" w:rsidRDefault="00BC5928" w:rsidP="00186851">
      <w:pPr>
        <w:pStyle w:val="5TableFooter"/>
        <w:rPr>
          <w:i/>
          <w:iCs/>
        </w:rPr>
      </w:pPr>
      <w:r>
        <w:rPr>
          <w:i/>
          <w:iCs/>
          <w:vertAlign w:val="superscript"/>
        </w:rPr>
        <w:t>3</w:t>
      </w:r>
      <w:r w:rsidRPr="00BC5928">
        <w:rPr>
          <w:i/>
          <w:iCs/>
        </w:rPr>
        <w:t>$70 million to &lt; $80 million</w:t>
      </w:r>
    </w:p>
    <w:p w14:paraId="1CA6A281" w14:textId="77777777" w:rsidR="00BC5928" w:rsidRDefault="00BC5928" w:rsidP="00186851">
      <w:pPr>
        <w:pStyle w:val="5TableFooter"/>
        <w:rPr>
          <w:i/>
          <w:iCs/>
        </w:rPr>
      </w:pPr>
      <w:r>
        <w:rPr>
          <w:i/>
          <w:iCs/>
          <w:vertAlign w:val="superscript"/>
        </w:rPr>
        <w:t>4</w:t>
      </w:r>
      <w:r w:rsidRPr="00BC5928">
        <w:rPr>
          <w:i/>
          <w:iCs/>
        </w:rPr>
        <w:t>$90 million to &lt; $100 million</w:t>
      </w:r>
    </w:p>
    <w:p w14:paraId="3FB4EBEE" w14:textId="77777777" w:rsidR="00BC5928" w:rsidRDefault="00BC5928" w:rsidP="00186851">
      <w:pPr>
        <w:pStyle w:val="5TableFooter"/>
        <w:rPr>
          <w:i/>
          <w:iCs/>
        </w:rPr>
      </w:pPr>
      <w:r>
        <w:rPr>
          <w:i/>
          <w:iCs/>
          <w:vertAlign w:val="superscript"/>
        </w:rPr>
        <w:t>5</w:t>
      </w:r>
      <w:r w:rsidRPr="00BC5928">
        <w:rPr>
          <w:i/>
          <w:iCs/>
        </w:rPr>
        <w:t>$100 million to &lt; $200 million</w:t>
      </w:r>
    </w:p>
    <w:p w14:paraId="1ACBE4BA" w14:textId="77777777" w:rsidR="00BC5928" w:rsidRDefault="00BC5928" w:rsidP="00186851">
      <w:pPr>
        <w:pStyle w:val="5TableFooter"/>
        <w:rPr>
          <w:i/>
          <w:iCs/>
        </w:rPr>
      </w:pPr>
      <w:r>
        <w:rPr>
          <w:i/>
          <w:iCs/>
          <w:vertAlign w:val="superscript"/>
        </w:rPr>
        <w:t>6</w:t>
      </w:r>
      <w:r w:rsidRPr="00BC5928">
        <w:rPr>
          <w:i/>
          <w:iCs/>
        </w:rPr>
        <w:t>$10 million to &lt; $20 million</w:t>
      </w:r>
    </w:p>
    <w:p w14:paraId="1B127031" w14:textId="77777777" w:rsidR="00BC5928" w:rsidRDefault="00BC5928" w:rsidP="00186851">
      <w:pPr>
        <w:pStyle w:val="5TableFooter"/>
        <w:rPr>
          <w:i/>
          <w:iCs/>
        </w:rPr>
      </w:pPr>
      <w:r>
        <w:rPr>
          <w:i/>
          <w:iCs/>
          <w:vertAlign w:val="superscript"/>
        </w:rPr>
        <w:t>7</w:t>
      </w:r>
      <w:r w:rsidRPr="00BC5928">
        <w:rPr>
          <w:i/>
          <w:iCs/>
        </w:rPr>
        <w:t>$20 million to &lt; $30 million</w:t>
      </w:r>
    </w:p>
    <w:p w14:paraId="2D66B941" w14:textId="77777777" w:rsidR="00BC5928" w:rsidRDefault="00BC5928" w:rsidP="00186851">
      <w:pPr>
        <w:pStyle w:val="5TableFooter"/>
        <w:rPr>
          <w:i/>
          <w:iCs/>
        </w:rPr>
      </w:pPr>
      <w:r>
        <w:rPr>
          <w:i/>
          <w:iCs/>
          <w:vertAlign w:val="superscript"/>
        </w:rPr>
        <w:t>8</w:t>
      </w:r>
      <w:r w:rsidRPr="00BC5928">
        <w:rPr>
          <w:i/>
          <w:iCs/>
        </w:rPr>
        <w:t>$40 million to &lt; $50 million</w:t>
      </w:r>
    </w:p>
    <w:p w14:paraId="58DDC7F5" w14:textId="77777777" w:rsidR="00BC5928" w:rsidRDefault="00BC5928" w:rsidP="00186851">
      <w:pPr>
        <w:pStyle w:val="5TableFooter"/>
        <w:rPr>
          <w:i/>
          <w:iCs/>
        </w:rPr>
      </w:pPr>
      <w:r>
        <w:rPr>
          <w:i/>
          <w:iCs/>
          <w:vertAlign w:val="superscript"/>
        </w:rPr>
        <w:t>9</w:t>
      </w:r>
      <w:r w:rsidRPr="00BC5928">
        <w:rPr>
          <w:i/>
          <w:iCs/>
        </w:rPr>
        <w:t>$60 million to &lt; $70 million</w:t>
      </w:r>
    </w:p>
    <w:p w14:paraId="4F4CD792" w14:textId="77777777" w:rsidR="00BC5928" w:rsidRDefault="00BC5928" w:rsidP="00186851">
      <w:pPr>
        <w:pStyle w:val="5TableFooter"/>
        <w:rPr>
          <w:i/>
          <w:iCs/>
        </w:rPr>
      </w:pPr>
      <w:r>
        <w:rPr>
          <w:i/>
          <w:iCs/>
          <w:vertAlign w:val="superscript"/>
        </w:rPr>
        <w:t>10</w:t>
      </w:r>
      <w:r w:rsidRPr="00BC5928">
        <w:rPr>
          <w:i/>
          <w:iCs/>
        </w:rPr>
        <w:t>$200 million to &lt; $300 million</w:t>
      </w:r>
    </w:p>
    <w:p w14:paraId="51F6E683" w14:textId="77777777" w:rsidR="00BC5928" w:rsidRDefault="00BC5928" w:rsidP="00186851">
      <w:pPr>
        <w:pStyle w:val="5TableFooter"/>
        <w:rPr>
          <w:i/>
          <w:iCs/>
        </w:rPr>
      </w:pPr>
      <w:r>
        <w:rPr>
          <w:i/>
          <w:iCs/>
          <w:vertAlign w:val="superscript"/>
        </w:rPr>
        <w:t>11</w:t>
      </w:r>
      <w:r w:rsidRPr="00BC5928">
        <w:rPr>
          <w:i/>
          <w:iCs/>
        </w:rPr>
        <w:t>$300 million to &lt; $400 million</w:t>
      </w:r>
    </w:p>
    <w:p w14:paraId="07F60DB4" w14:textId="77777777" w:rsidR="00BC5928" w:rsidRDefault="00BC5928" w:rsidP="00186851">
      <w:pPr>
        <w:pStyle w:val="5TableFooter"/>
        <w:rPr>
          <w:i/>
          <w:iCs/>
        </w:rPr>
      </w:pPr>
      <w:r>
        <w:rPr>
          <w:i/>
          <w:iCs/>
          <w:vertAlign w:val="superscript"/>
        </w:rPr>
        <w:t>12</w:t>
      </w:r>
      <w:r w:rsidRPr="00BC5928">
        <w:rPr>
          <w:i/>
          <w:iCs/>
        </w:rPr>
        <w:t>$400 million to &lt; $500 million</w:t>
      </w:r>
    </w:p>
    <w:p w14:paraId="05786B44" w14:textId="77777777" w:rsidR="00BC5928" w:rsidRDefault="00BC5928" w:rsidP="00186851">
      <w:pPr>
        <w:pStyle w:val="5TableFooter"/>
        <w:rPr>
          <w:i/>
          <w:iCs/>
        </w:rPr>
      </w:pPr>
      <w:r>
        <w:rPr>
          <w:i/>
          <w:iCs/>
          <w:vertAlign w:val="superscript"/>
        </w:rPr>
        <w:t>13</w:t>
      </w:r>
      <w:r w:rsidRPr="00BC5928">
        <w:rPr>
          <w:i/>
          <w:iCs/>
        </w:rPr>
        <w:t>$500 million to &lt; $600 million</w:t>
      </w:r>
    </w:p>
    <w:p w14:paraId="77B7BE01" w14:textId="77777777" w:rsidR="002E1285" w:rsidRDefault="002E1285" w:rsidP="00186851">
      <w:pPr>
        <w:pStyle w:val="5TableFooter"/>
        <w:rPr>
          <w:i/>
          <w:iCs/>
        </w:rPr>
      </w:pPr>
      <w:r>
        <w:rPr>
          <w:i/>
          <w:iCs/>
          <w:vertAlign w:val="superscript"/>
        </w:rPr>
        <w:t>14</w:t>
      </w:r>
      <w:r w:rsidRPr="002E1285">
        <w:rPr>
          <w:i/>
          <w:iCs/>
        </w:rPr>
        <w:t>$600 million to &lt; $700 million</w:t>
      </w:r>
    </w:p>
    <w:p w14:paraId="5F01364E" w14:textId="77777777" w:rsidR="00E9413B" w:rsidRPr="00E9413B" w:rsidRDefault="00E9413B" w:rsidP="00186851">
      <w:pPr>
        <w:pStyle w:val="5TableFooter"/>
        <w:rPr>
          <w:i/>
          <w:iCs/>
        </w:rPr>
      </w:pPr>
    </w:p>
    <w:p w14:paraId="4C8D379C" w14:textId="77777777" w:rsidR="00186851" w:rsidRDefault="00186851" w:rsidP="00186851">
      <w:pPr>
        <w:pStyle w:val="5TableFooter"/>
      </w:pPr>
    </w:p>
    <w:p w14:paraId="609B3D60" w14:textId="77777777" w:rsidR="00186851" w:rsidRDefault="00186851" w:rsidP="00186851">
      <w:pPr>
        <w:pStyle w:val="ExecSumBodyText"/>
        <w:numPr>
          <w:ilvl w:val="1"/>
          <w:numId w:val="1"/>
        </w:numPr>
      </w:pPr>
      <w:r>
        <w:t>The submission claimed that the estimates factored in:</w:t>
      </w:r>
    </w:p>
    <w:p w14:paraId="3E8E86AF" w14:textId="77777777" w:rsidR="00186851" w:rsidRDefault="00186851" w:rsidP="00186851">
      <w:pPr>
        <w:pStyle w:val="ListParagraph"/>
        <w:numPr>
          <w:ilvl w:val="0"/>
          <w:numId w:val="5"/>
        </w:numPr>
        <w:ind w:left="1134"/>
      </w:pPr>
      <w:r>
        <w:t>growth in the T2DM market due to:</w:t>
      </w:r>
    </w:p>
    <w:p w14:paraId="7CD1B63F" w14:textId="77777777" w:rsidR="00186851" w:rsidRDefault="00186851" w:rsidP="00186851">
      <w:pPr>
        <w:pStyle w:val="ListParagraph"/>
        <w:numPr>
          <w:ilvl w:val="1"/>
          <w:numId w:val="5"/>
        </w:numPr>
      </w:pPr>
      <w:r>
        <w:t>population growth;</w:t>
      </w:r>
    </w:p>
    <w:p w14:paraId="14498474" w14:textId="77777777" w:rsidR="00186851" w:rsidRDefault="00186851" w:rsidP="00186851">
      <w:pPr>
        <w:pStyle w:val="ListParagraph"/>
        <w:numPr>
          <w:ilvl w:val="1"/>
          <w:numId w:val="5"/>
        </w:numPr>
      </w:pPr>
      <w:r>
        <w:t>the ageing population;</w:t>
      </w:r>
    </w:p>
    <w:p w14:paraId="636B0977" w14:textId="77777777" w:rsidR="00186851" w:rsidRDefault="00186851" w:rsidP="00186851">
      <w:pPr>
        <w:pStyle w:val="ListParagraph"/>
        <w:numPr>
          <w:ilvl w:val="1"/>
          <w:numId w:val="5"/>
        </w:numPr>
      </w:pPr>
      <w:r>
        <w:t>the increase in risk factors for T2DM;</w:t>
      </w:r>
    </w:p>
    <w:p w14:paraId="1C570455" w14:textId="77777777" w:rsidR="00186851" w:rsidRDefault="00186851" w:rsidP="00186851">
      <w:pPr>
        <w:pStyle w:val="ListParagraph"/>
        <w:numPr>
          <w:ilvl w:val="1"/>
          <w:numId w:val="5"/>
        </w:numPr>
      </w:pPr>
      <w:r>
        <w:t>the ability for general practitioners to intervene in the management of T2DM sooner and at the point of care (e.g. with the upcoming MBS-listing of HbA1c point-of-care testing for the maintenance of T2DM management); and</w:t>
      </w:r>
    </w:p>
    <w:p w14:paraId="514DEC25" w14:textId="77777777" w:rsidR="00186851" w:rsidRDefault="00186851" w:rsidP="00186851">
      <w:pPr>
        <w:pStyle w:val="ListParagraph"/>
        <w:numPr>
          <w:ilvl w:val="1"/>
          <w:numId w:val="5"/>
        </w:numPr>
      </w:pPr>
      <w:r>
        <w:t>increased awareness of treatment options.</w:t>
      </w:r>
    </w:p>
    <w:p w14:paraId="35693B48" w14:textId="77777777" w:rsidR="00186851" w:rsidRDefault="00186851" w:rsidP="00186851">
      <w:pPr>
        <w:pStyle w:val="ListParagraph"/>
        <w:numPr>
          <w:ilvl w:val="0"/>
          <w:numId w:val="5"/>
        </w:numPr>
        <w:ind w:left="1134"/>
      </w:pPr>
      <w:r>
        <w:t>a shift in clinical management of patients with T2DM to a risk-based approach for patients who have risk factors for CV and renal complications based on recommendations by the three local T2DM guidelines: Living Evidence Guidelines in Diabetes, the Australian Diabetes Society (ADS) T2DM treatment guidelines, and the Royal Australian College of General Practitioners (RACGP) Australian type 2 diabetes management algorithm;</w:t>
      </w:r>
    </w:p>
    <w:p w14:paraId="21140BF4" w14:textId="77777777" w:rsidR="00186851" w:rsidRDefault="00186851" w:rsidP="00186851">
      <w:pPr>
        <w:pStyle w:val="ListParagraph"/>
        <w:numPr>
          <w:ilvl w:val="0"/>
          <w:numId w:val="5"/>
        </w:numPr>
        <w:ind w:left="1134"/>
      </w:pPr>
      <w:r>
        <w:t>higher uptake of dapagliflozin in eligible T2DM patients based on evidence of dapagliflozin in new indications (e.g. HFrEF and CKD), new TGA approved indications (e.g. dapagliflozin for HFrEF), and a potential impact of PBS listings in HFrEF and CKD; and</w:t>
      </w:r>
    </w:p>
    <w:p w14:paraId="191B5E78" w14:textId="77777777" w:rsidR="00186851" w:rsidRDefault="00186851" w:rsidP="00186851">
      <w:pPr>
        <w:pStyle w:val="ListParagraph"/>
        <w:numPr>
          <w:ilvl w:val="0"/>
          <w:numId w:val="5"/>
        </w:numPr>
        <w:ind w:left="1134"/>
      </w:pPr>
      <w:r>
        <w:t>higher rate of new initiations and switching of patients from treatment with a d</w:t>
      </w:r>
      <w:r w:rsidRPr="007F1262">
        <w:t xml:space="preserve">ipeptidyl peptidase-4 inhibitor </w:t>
      </w:r>
      <w:r>
        <w:t>to an SGLT2-I, particularly if the HbA1c is not controlled and the patient has CV risks.</w:t>
      </w:r>
    </w:p>
    <w:p w14:paraId="4A03D85E" w14:textId="77777777" w:rsidR="00186851" w:rsidRDefault="00186851" w:rsidP="00186851">
      <w:pPr>
        <w:pStyle w:val="3-SubsectionHeading"/>
      </w:pPr>
      <w:r>
        <w:t>Proposed Risk Sharing Arrangement</w:t>
      </w:r>
    </w:p>
    <w:p w14:paraId="10905F86" w14:textId="77777777" w:rsidR="00186851" w:rsidRDefault="00186851" w:rsidP="00186851">
      <w:pPr>
        <w:pStyle w:val="ExecSumBodyText"/>
        <w:numPr>
          <w:ilvl w:val="1"/>
          <w:numId w:val="1"/>
        </w:numPr>
      </w:pPr>
      <w:r>
        <w:t xml:space="preserve">The sponsor claimed that given demonstrated cost-effectiveness across all three indications (HFrEF, CKD and T2DM), the certainty in the clinical data, and the PBS  restrictions proposed for HFrEF and CKD, there was minimal overall risk of leakage into populations that have not been deemed cost-effective. </w:t>
      </w:r>
    </w:p>
    <w:p w14:paraId="0DAD5533" w14:textId="77777777" w:rsidR="00186851" w:rsidRPr="004A75B5" w:rsidRDefault="00186851" w:rsidP="00186851">
      <w:pPr>
        <w:pStyle w:val="ExecSumBodyText"/>
        <w:numPr>
          <w:ilvl w:val="1"/>
          <w:numId w:val="1"/>
        </w:numPr>
      </w:pPr>
      <w:r w:rsidRPr="006A70A8">
        <w:t xml:space="preserve">To minimise uncertainty, </w:t>
      </w:r>
      <w:r>
        <w:t xml:space="preserve">the sponsor </w:t>
      </w:r>
      <w:r w:rsidRPr="004A75B5">
        <w:t xml:space="preserve">proposed </w:t>
      </w:r>
      <w:r w:rsidRPr="006B1212">
        <w:t xml:space="preserve">a </w:t>
      </w:r>
      <w:r w:rsidR="00164731">
        <w:rPr>
          <w:noProof/>
          <w:color w:val="000000"/>
          <w:highlight w:val="black"/>
        </w:rPr>
        <w:t>'''''''</w:t>
      </w:r>
      <w:r w:rsidRPr="004A75B5">
        <w:t xml:space="preserve">% rebate of PBS expenditure above the proposed expenditure caps. The proposed expenditure caps were based on the estimates for the combined HFrEF, CKD and T2DM expenditure in Table </w:t>
      </w:r>
      <w:r w:rsidRPr="004A75B5">
        <w:rPr>
          <w:noProof/>
        </w:rPr>
        <w:t>22</w:t>
      </w:r>
      <w:r w:rsidRPr="004A75B5">
        <w:t>.</w:t>
      </w:r>
    </w:p>
    <w:p w14:paraId="4DAA3DDF" w14:textId="77777777" w:rsidR="00186851" w:rsidRPr="000171E3" w:rsidRDefault="00186851" w:rsidP="00186851">
      <w:pPr>
        <w:pStyle w:val="ExecSumBodyText"/>
        <w:numPr>
          <w:ilvl w:val="1"/>
          <w:numId w:val="1"/>
        </w:numPr>
      </w:pPr>
      <w:r w:rsidRPr="004A75B5">
        <w:t xml:space="preserve">The sponsor emphasised that the proposed expenditure caps should represent a reasonable estimate of dapagliflozin utilisation, “without unduly impacting the net price when used in an appropriate patient population.” The sponsor therefore proposed that, if the PBAC were to recommend alternative estimates for the T2DM utilisation and expenditure, </w:t>
      </w:r>
      <w:r w:rsidRPr="006B1212">
        <w:t xml:space="preserve">a </w:t>
      </w:r>
      <w:r w:rsidR="00164731">
        <w:rPr>
          <w:noProof/>
          <w:color w:val="000000"/>
          <w:highlight w:val="black"/>
        </w:rPr>
        <w:t>''''''''</w:t>
      </w:r>
      <w:r w:rsidRPr="004A75B5">
        <w:t>% rebate of expenditure</w:t>
      </w:r>
      <w:r w:rsidRPr="000171E3">
        <w:t xml:space="preserve"> above the caps should no longer be applied, “but rather a rebate that is representative of the CKD and HFrEF proportion of expenditure.”</w:t>
      </w:r>
    </w:p>
    <w:p w14:paraId="171484A2" w14:textId="77777777" w:rsidR="00186851" w:rsidRDefault="00186851" w:rsidP="00186851">
      <w:pPr>
        <w:pStyle w:val="2-SectionHeading"/>
        <w:numPr>
          <w:ilvl w:val="0"/>
          <w:numId w:val="1"/>
        </w:numPr>
      </w:pPr>
      <w:r>
        <w:t>Revised requested listing</w:t>
      </w:r>
    </w:p>
    <w:p w14:paraId="0930EE8E" w14:textId="77777777" w:rsidR="00186851" w:rsidRPr="006F7F44" w:rsidRDefault="00186851" w:rsidP="00186851">
      <w:pPr>
        <w:pStyle w:val="ExecSumBodyText"/>
        <w:numPr>
          <w:ilvl w:val="1"/>
          <w:numId w:val="1"/>
        </w:numPr>
      </w:pPr>
      <w:r w:rsidRPr="006F7F44">
        <w:t>The sponsor noted various amendments recommended by the PBAC in terms of the proposed restriction (paragraphs 3.1-3.8, 7.3-7.4), and presented a revised restriction.</w:t>
      </w:r>
      <w:r>
        <w:t xml:space="preserve"> The sponsor’s additions to the section 3 ‘Requested listing’ of the July 2021 PBAC </w:t>
      </w:r>
      <w:r w:rsidR="006507F2">
        <w:t>Public Summary Document (</w:t>
      </w:r>
      <w:r w:rsidR="005F1772">
        <w:t>PSD</w:t>
      </w:r>
      <w:r w:rsidR="006507F2">
        <w:t>)</w:t>
      </w:r>
      <w:r w:rsidR="005F1772">
        <w:t xml:space="preserve"> </w:t>
      </w:r>
      <w:r>
        <w:t xml:space="preserve">are shown in italics and deletions in strikethrough. The Secretariat noted some minor refinements would be needed for additional clarity.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424"/>
        <w:gridCol w:w="1276"/>
        <w:gridCol w:w="1276"/>
        <w:gridCol w:w="1559"/>
        <w:gridCol w:w="1417"/>
        <w:gridCol w:w="1134"/>
      </w:tblGrid>
      <w:tr w:rsidR="00186851" w:rsidRPr="00D41E35" w14:paraId="55D5EFF6" w14:textId="77777777" w:rsidTr="00186851">
        <w:trPr>
          <w:cantSplit/>
          <w:trHeight w:val="20"/>
        </w:trPr>
        <w:tc>
          <w:tcPr>
            <w:tcW w:w="2405" w:type="dxa"/>
            <w:gridSpan w:val="2"/>
            <w:vAlign w:val="center"/>
          </w:tcPr>
          <w:p w14:paraId="353C7DCD" w14:textId="77777777" w:rsidR="00186851" w:rsidRPr="00032503" w:rsidRDefault="00186851" w:rsidP="00186851">
            <w:pPr>
              <w:pStyle w:val="TableHeading"/>
            </w:pPr>
            <w:r w:rsidRPr="00032503">
              <w:t>MEDICINAL PRODUCT</w:t>
            </w:r>
          </w:p>
          <w:p w14:paraId="6CB2EE7F" w14:textId="77777777" w:rsidR="00186851" w:rsidRPr="00032503" w:rsidRDefault="00186851" w:rsidP="00186851">
            <w:pPr>
              <w:pStyle w:val="TableHeading"/>
            </w:pPr>
            <w:r w:rsidRPr="00032503">
              <w:t>medicinal product pack</w:t>
            </w:r>
          </w:p>
        </w:tc>
        <w:tc>
          <w:tcPr>
            <w:tcW w:w="1276" w:type="dxa"/>
            <w:vAlign w:val="center"/>
          </w:tcPr>
          <w:p w14:paraId="277473DA" w14:textId="77777777" w:rsidR="00186851" w:rsidRPr="00D41E35" w:rsidRDefault="00186851" w:rsidP="00186851">
            <w:pPr>
              <w:pStyle w:val="TableHeading"/>
            </w:pPr>
            <w:r w:rsidRPr="00D41E35">
              <w:t>PBS item code</w:t>
            </w:r>
          </w:p>
        </w:tc>
        <w:tc>
          <w:tcPr>
            <w:tcW w:w="1276" w:type="dxa"/>
            <w:vAlign w:val="center"/>
          </w:tcPr>
          <w:p w14:paraId="398D3375" w14:textId="77777777" w:rsidR="00186851" w:rsidRPr="00D41E35" w:rsidRDefault="00186851" w:rsidP="00186851">
            <w:pPr>
              <w:pStyle w:val="TableHeading"/>
            </w:pPr>
            <w:r w:rsidRPr="00D41E35">
              <w:t>Max. qty packs</w:t>
            </w:r>
          </w:p>
        </w:tc>
        <w:tc>
          <w:tcPr>
            <w:tcW w:w="1559" w:type="dxa"/>
            <w:vAlign w:val="center"/>
          </w:tcPr>
          <w:p w14:paraId="78FBF15B" w14:textId="77777777" w:rsidR="00186851" w:rsidRPr="00D41E35" w:rsidRDefault="00186851" w:rsidP="00186851">
            <w:pPr>
              <w:pStyle w:val="TableHeading"/>
            </w:pPr>
            <w:r w:rsidRPr="00D41E35">
              <w:t>Max. qty units</w:t>
            </w:r>
          </w:p>
        </w:tc>
        <w:tc>
          <w:tcPr>
            <w:tcW w:w="1417" w:type="dxa"/>
            <w:vAlign w:val="center"/>
          </w:tcPr>
          <w:p w14:paraId="746738CD" w14:textId="77777777" w:rsidR="00186851" w:rsidRPr="00D41E35" w:rsidRDefault="00186851" w:rsidP="00186851">
            <w:pPr>
              <w:pStyle w:val="TableHeading"/>
            </w:pPr>
            <w:r w:rsidRPr="00D41E35">
              <w:t>№.of Rpts</w:t>
            </w:r>
          </w:p>
        </w:tc>
        <w:tc>
          <w:tcPr>
            <w:tcW w:w="1134" w:type="dxa"/>
            <w:vAlign w:val="center"/>
          </w:tcPr>
          <w:p w14:paraId="36FAFD58" w14:textId="77777777" w:rsidR="00186851" w:rsidRPr="00D41E35" w:rsidRDefault="00186851" w:rsidP="00186851">
            <w:pPr>
              <w:pStyle w:val="TableHeading"/>
              <w:rPr>
                <w:lang w:val="fr-FR"/>
              </w:rPr>
            </w:pPr>
            <w:r w:rsidRPr="00D41E35">
              <w:t>Available brands</w:t>
            </w:r>
          </w:p>
        </w:tc>
      </w:tr>
      <w:tr w:rsidR="00186851" w:rsidRPr="00D41E35" w14:paraId="04104C8F" w14:textId="77777777" w:rsidTr="00186851">
        <w:trPr>
          <w:cantSplit/>
          <w:trHeight w:val="20"/>
        </w:trPr>
        <w:tc>
          <w:tcPr>
            <w:tcW w:w="9067" w:type="dxa"/>
            <w:gridSpan w:val="7"/>
          </w:tcPr>
          <w:p w14:paraId="0B6385CA" w14:textId="77777777" w:rsidR="00186851" w:rsidRPr="00D41E35" w:rsidRDefault="00186851" w:rsidP="00186851">
            <w:pPr>
              <w:pStyle w:val="TableText"/>
            </w:pPr>
            <w:r w:rsidRPr="00D41E35">
              <w:t>DAPAGLIFLOZIN</w:t>
            </w:r>
          </w:p>
        </w:tc>
      </w:tr>
      <w:tr w:rsidR="00186851" w:rsidRPr="00D41E35" w14:paraId="6781989D" w14:textId="77777777" w:rsidTr="00186851">
        <w:trPr>
          <w:cantSplit/>
          <w:trHeight w:val="20"/>
        </w:trPr>
        <w:tc>
          <w:tcPr>
            <w:tcW w:w="2405" w:type="dxa"/>
            <w:gridSpan w:val="2"/>
          </w:tcPr>
          <w:p w14:paraId="0055C9F1" w14:textId="77777777" w:rsidR="00186851" w:rsidRPr="00D41E35" w:rsidRDefault="00186851" w:rsidP="00186851">
            <w:pPr>
              <w:pStyle w:val="TableText"/>
            </w:pPr>
            <w:r w:rsidRPr="00D41E35">
              <w:t xml:space="preserve">dapagliflozin 10 mg tablet, 28 </w:t>
            </w:r>
          </w:p>
        </w:tc>
        <w:tc>
          <w:tcPr>
            <w:tcW w:w="1276" w:type="dxa"/>
          </w:tcPr>
          <w:p w14:paraId="7630DAAB" w14:textId="77777777" w:rsidR="00186851" w:rsidRPr="00D41E35" w:rsidRDefault="00186851" w:rsidP="00186851">
            <w:pPr>
              <w:pStyle w:val="TableText"/>
              <w:rPr>
                <w:i/>
              </w:rPr>
            </w:pPr>
            <w:r>
              <w:rPr>
                <w:i/>
              </w:rPr>
              <w:t>TBC</w:t>
            </w:r>
          </w:p>
        </w:tc>
        <w:tc>
          <w:tcPr>
            <w:tcW w:w="1276" w:type="dxa"/>
          </w:tcPr>
          <w:p w14:paraId="4B41D433" w14:textId="77777777" w:rsidR="00186851" w:rsidRPr="00D41E35" w:rsidRDefault="00186851" w:rsidP="00186851">
            <w:pPr>
              <w:pStyle w:val="TableText"/>
            </w:pPr>
            <w:r w:rsidRPr="00D41E35">
              <w:t>1</w:t>
            </w:r>
          </w:p>
        </w:tc>
        <w:tc>
          <w:tcPr>
            <w:tcW w:w="1559" w:type="dxa"/>
          </w:tcPr>
          <w:p w14:paraId="377676FA" w14:textId="77777777" w:rsidR="00186851" w:rsidRPr="00D41E35" w:rsidRDefault="00186851" w:rsidP="00186851">
            <w:pPr>
              <w:pStyle w:val="TableText"/>
            </w:pPr>
            <w:r w:rsidRPr="00D41E35">
              <w:t>28</w:t>
            </w:r>
          </w:p>
        </w:tc>
        <w:tc>
          <w:tcPr>
            <w:tcW w:w="1417" w:type="dxa"/>
          </w:tcPr>
          <w:p w14:paraId="56BF357A" w14:textId="77777777" w:rsidR="00186851" w:rsidRPr="00D41E35" w:rsidRDefault="00186851" w:rsidP="00186851">
            <w:pPr>
              <w:pStyle w:val="TableText"/>
            </w:pPr>
            <w:r w:rsidRPr="00D41E35">
              <w:t>5</w:t>
            </w:r>
          </w:p>
        </w:tc>
        <w:tc>
          <w:tcPr>
            <w:tcW w:w="1134" w:type="dxa"/>
          </w:tcPr>
          <w:p w14:paraId="00736F4D" w14:textId="77777777" w:rsidR="00186851" w:rsidRPr="00D41E35" w:rsidRDefault="00186851" w:rsidP="00186851">
            <w:pPr>
              <w:pStyle w:val="TableText"/>
            </w:pPr>
            <w:r w:rsidRPr="00D41E35">
              <w:t>Forxiga</w:t>
            </w:r>
          </w:p>
        </w:tc>
      </w:tr>
      <w:tr w:rsidR="00186851" w:rsidRPr="00D41E35" w14:paraId="3AFBFFB7" w14:textId="77777777" w:rsidTr="001868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1C8AF5A" w14:textId="77777777" w:rsidR="00186851" w:rsidRPr="00D41E35" w:rsidRDefault="00186851" w:rsidP="00186851">
            <w:pPr>
              <w:pStyle w:val="TableText"/>
            </w:pPr>
          </w:p>
        </w:tc>
      </w:tr>
      <w:tr w:rsidR="00186851" w:rsidRPr="00D41E35" w14:paraId="0CAD5DF3" w14:textId="77777777" w:rsidTr="001868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08DD83C" w14:textId="77777777" w:rsidR="00186851" w:rsidRPr="00D41E35" w:rsidRDefault="00186851" w:rsidP="00186851">
            <w:pPr>
              <w:pStyle w:val="TableHeading"/>
            </w:pPr>
            <w:r w:rsidRPr="00D41E35">
              <w:t xml:space="preserve">Restriction Summary [new] / Treatment of Concept: [new] </w:t>
            </w:r>
          </w:p>
        </w:tc>
      </w:tr>
      <w:tr w:rsidR="00186851" w:rsidRPr="00D41E35" w14:paraId="159CCC72" w14:textId="77777777" w:rsidTr="0018685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1F9F955"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1DDF2BB7" w14:textId="77777777" w:rsidR="00186851" w:rsidRPr="00D41E35" w:rsidRDefault="00186851" w:rsidP="00186851">
            <w:pPr>
              <w:pStyle w:val="Tabletext0"/>
            </w:pPr>
            <w:r w:rsidRPr="00574877">
              <w:rPr>
                <w:b/>
                <w:bCs/>
              </w:rPr>
              <w:t>Category / Program:</w:t>
            </w:r>
            <w:r w:rsidRPr="00D41E35">
              <w:t xml:space="preserve"> GENERAL – General Schedule (Code GE) </w:t>
            </w:r>
          </w:p>
        </w:tc>
      </w:tr>
      <w:tr w:rsidR="00186851" w:rsidRPr="00D41E35" w14:paraId="6903C2E2" w14:textId="77777777" w:rsidTr="0018685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3B5BF766"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522ED08E" w14:textId="77777777" w:rsidR="00186851" w:rsidRPr="00D41E35" w:rsidRDefault="00186851" w:rsidP="00186851">
            <w:pPr>
              <w:pStyle w:val="Tabletext0"/>
            </w:pPr>
            <w:r w:rsidRPr="00574877">
              <w:rPr>
                <w:b/>
                <w:bCs/>
              </w:rPr>
              <w:t>Prescriber type:</w:t>
            </w:r>
            <w:r w:rsidRPr="00D41E35">
              <w:t xml:space="preserve"> </w:t>
            </w:r>
            <w:r w:rsidRPr="00D41E35">
              <w:fldChar w:fldCharType="begin">
                <w:ffData>
                  <w:name w:val=""/>
                  <w:enabled/>
                  <w:calcOnExit w:val="0"/>
                  <w:checkBox>
                    <w:sizeAuto/>
                    <w:default w:val="1"/>
                  </w:checkBox>
                </w:ffData>
              </w:fldChar>
            </w:r>
            <w:r w:rsidRPr="00D41E35">
              <w:instrText xml:space="preserve"> FORMCHECKBOX </w:instrText>
            </w:r>
            <w:r w:rsidR="00B21E8A">
              <w:fldChar w:fldCharType="separate"/>
            </w:r>
            <w:r w:rsidRPr="00D41E35">
              <w:fldChar w:fldCharType="end"/>
            </w:r>
            <w:r w:rsidRPr="00D41E35">
              <w:t xml:space="preserve">Medical Practitioners </w:t>
            </w:r>
            <w:r w:rsidRPr="00D41E35">
              <w:fldChar w:fldCharType="begin">
                <w:ffData>
                  <w:name w:val="Check3"/>
                  <w:enabled/>
                  <w:calcOnExit w:val="0"/>
                  <w:checkBox>
                    <w:sizeAuto/>
                    <w:default w:val="1"/>
                  </w:checkBox>
                </w:ffData>
              </w:fldChar>
            </w:r>
            <w:bookmarkStart w:id="83" w:name="Check3"/>
            <w:r w:rsidRPr="00D41E35">
              <w:instrText xml:space="preserve"> FORMCHECKBOX </w:instrText>
            </w:r>
            <w:r w:rsidR="00B21E8A">
              <w:fldChar w:fldCharType="separate"/>
            </w:r>
            <w:r w:rsidRPr="00D41E35">
              <w:fldChar w:fldCharType="end"/>
            </w:r>
            <w:bookmarkEnd w:id="83"/>
            <w:r w:rsidRPr="00D41E35">
              <w:t>Nurse practitioners</w:t>
            </w:r>
          </w:p>
        </w:tc>
      </w:tr>
      <w:tr w:rsidR="00186851" w:rsidRPr="00D41E35" w14:paraId="1F28D9FA" w14:textId="77777777" w:rsidTr="0018685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50583623"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6321B4FB" w14:textId="77777777" w:rsidR="00186851" w:rsidRPr="00D41E35" w:rsidRDefault="00186851" w:rsidP="00186851">
            <w:pPr>
              <w:pStyle w:val="Tabletext0"/>
              <w:rPr>
                <w:rFonts w:eastAsia="Calibri"/>
              </w:rPr>
            </w:pPr>
            <w:r w:rsidRPr="00574877">
              <w:rPr>
                <w:b/>
                <w:bCs/>
              </w:rPr>
              <w:t>Restriction type:</w:t>
            </w:r>
            <w:r w:rsidRPr="00D41E35">
              <w:t xml:space="preserve"> </w:t>
            </w:r>
            <w:r w:rsidRPr="00D41E35">
              <w:rPr>
                <w:rFonts w:eastAsia="Calibri"/>
              </w:rPr>
              <w:fldChar w:fldCharType="begin">
                <w:ffData>
                  <w:name w:val=""/>
                  <w:enabled/>
                  <w:calcOnExit w:val="0"/>
                  <w:checkBox>
                    <w:sizeAuto/>
                    <w:default w:val="1"/>
                  </w:checkBox>
                </w:ffData>
              </w:fldChar>
            </w:r>
            <w:r w:rsidRPr="00D41E35">
              <w:rPr>
                <w:rFonts w:eastAsia="Calibri"/>
              </w:rPr>
              <w:instrText xml:space="preserve"> FORMCHECKBOX </w:instrText>
            </w:r>
            <w:r w:rsidR="00B21E8A">
              <w:rPr>
                <w:rFonts w:eastAsia="Calibri"/>
              </w:rPr>
            </w:r>
            <w:r w:rsidR="00B21E8A">
              <w:rPr>
                <w:rFonts w:eastAsia="Calibri"/>
              </w:rPr>
              <w:fldChar w:fldCharType="separate"/>
            </w:r>
            <w:r w:rsidRPr="00D41E35">
              <w:rPr>
                <w:rFonts w:eastAsia="Calibri"/>
              </w:rPr>
              <w:fldChar w:fldCharType="end"/>
            </w:r>
            <w:r w:rsidRPr="00D41E35">
              <w:rPr>
                <w:rFonts w:eastAsia="Calibri"/>
              </w:rPr>
              <w:t>Authority Required – Streamlined [new code]</w:t>
            </w:r>
          </w:p>
        </w:tc>
      </w:tr>
      <w:tr w:rsidR="00186851" w:rsidRPr="00D41E35" w14:paraId="7CDBCFF3"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D3F08A9" w14:textId="77777777" w:rsidR="00186851" w:rsidRPr="00D41E35" w:rsidRDefault="00186851" w:rsidP="00186851">
            <w:pPr>
              <w:pStyle w:val="Tabletext0"/>
              <w:jc w:val="center"/>
            </w:pPr>
          </w:p>
        </w:tc>
        <w:tc>
          <w:tcPr>
            <w:tcW w:w="8086" w:type="dxa"/>
            <w:gridSpan w:val="6"/>
            <w:vAlign w:val="center"/>
            <w:hideMark/>
          </w:tcPr>
          <w:p w14:paraId="763C281D" w14:textId="77777777" w:rsidR="00186851" w:rsidRPr="00D41E35" w:rsidRDefault="00186851" w:rsidP="00186851">
            <w:pPr>
              <w:pStyle w:val="Tabletext0"/>
            </w:pPr>
            <w:r w:rsidRPr="00574877">
              <w:rPr>
                <w:b/>
              </w:rPr>
              <w:t>Indication:</w:t>
            </w:r>
            <w:r w:rsidRPr="00D41E35">
              <w:t xml:space="preserve"> Chronic kidney disease</w:t>
            </w:r>
          </w:p>
        </w:tc>
      </w:tr>
      <w:tr w:rsidR="00186851" w:rsidRPr="00D41E35" w14:paraId="315663A2"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17C5A161" w14:textId="77777777" w:rsidR="00186851" w:rsidRPr="00D41E35" w:rsidRDefault="00186851" w:rsidP="00186851">
            <w:pPr>
              <w:pStyle w:val="Tabletext0"/>
              <w:jc w:val="center"/>
            </w:pPr>
          </w:p>
        </w:tc>
        <w:tc>
          <w:tcPr>
            <w:tcW w:w="8086" w:type="dxa"/>
            <w:gridSpan w:val="6"/>
            <w:vAlign w:val="center"/>
            <w:hideMark/>
          </w:tcPr>
          <w:p w14:paraId="13CCC2B5" w14:textId="77777777" w:rsidR="00186851" w:rsidRPr="00574877" w:rsidRDefault="00186851" w:rsidP="00186851">
            <w:pPr>
              <w:pStyle w:val="Tabletext0"/>
              <w:rPr>
                <w:b/>
                <w:i/>
              </w:rPr>
            </w:pPr>
            <w:r w:rsidRPr="00574877">
              <w:rPr>
                <w:b/>
              </w:rPr>
              <w:t>Treatment Phase:</w:t>
            </w:r>
          </w:p>
        </w:tc>
      </w:tr>
      <w:tr w:rsidR="00186851" w:rsidRPr="00D41E35" w14:paraId="7EF58260"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A391B70" w14:textId="77777777" w:rsidR="00186851" w:rsidRPr="00D41E35" w:rsidRDefault="00186851" w:rsidP="00186851">
            <w:pPr>
              <w:pStyle w:val="Tabletext0"/>
              <w:jc w:val="center"/>
            </w:pPr>
          </w:p>
        </w:tc>
        <w:tc>
          <w:tcPr>
            <w:tcW w:w="8086" w:type="dxa"/>
            <w:gridSpan w:val="6"/>
            <w:vAlign w:val="center"/>
            <w:hideMark/>
          </w:tcPr>
          <w:p w14:paraId="5BDE6C81" w14:textId="77777777" w:rsidR="00186851" w:rsidRPr="00574877" w:rsidRDefault="00186851" w:rsidP="00186851">
            <w:pPr>
              <w:pStyle w:val="Tabletext0"/>
              <w:rPr>
                <w:b/>
              </w:rPr>
            </w:pPr>
            <w:r w:rsidRPr="00574877">
              <w:rPr>
                <w:b/>
              </w:rPr>
              <w:t xml:space="preserve">Clinical criteria: </w:t>
            </w:r>
          </w:p>
        </w:tc>
      </w:tr>
      <w:tr w:rsidR="00186851" w:rsidRPr="005511A1" w14:paraId="00E9B0EF"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97A432" w14:textId="77777777" w:rsidR="00186851" w:rsidRPr="005511A1" w:rsidRDefault="00186851" w:rsidP="00186851">
            <w:pPr>
              <w:pStyle w:val="Tabletext0"/>
              <w:jc w:val="center"/>
              <w:rPr>
                <w:i/>
                <w:iCs/>
              </w:rPr>
            </w:pPr>
          </w:p>
        </w:tc>
        <w:tc>
          <w:tcPr>
            <w:tcW w:w="8086" w:type="dxa"/>
            <w:gridSpan w:val="6"/>
            <w:vAlign w:val="center"/>
          </w:tcPr>
          <w:p w14:paraId="7382EDCC" w14:textId="77777777" w:rsidR="00186851" w:rsidRPr="005511A1" w:rsidRDefault="00186851" w:rsidP="00186851">
            <w:pPr>
              <w:pStyle w:val="Tabletext0"/>
              <w:rPr>
                <w:i/>
                <w:iCs/>
              </w:rPr>
            </w:pPr>
            <w:r w:rsidRPr="00911E03">
              <w:rPr>
                <w:i/>
                <w:iCs/>
              </w:rPr>
              <w:t xml:space="preserve">Patient must have </w:t>
            </w:r>
            <w:r>
              <w:rPr>
                <w:i/>
                <w:iCs/>
              </w:rPr>
              <w:t xml:space="preserve">a diagnosis of </w:t>
            </w:r>
            <w:r w:rsidRPr="00911E03">
              <w:rPr>
                <w:i/>
                <w:iCs/>
              </w:rPr>
              <w:t>chronic kidney disease, defined as abnormalities of kidney structure or function present for 3 months or more, prior to initiating treatment with this drug</w:t>
            </w:r>
            <w:r w:rsidRPr="005511A1">
              <w:rPr>
                <w:i/>
                <w:iCs/>
              </w:rPr>
              <w:t>,</w:t>
            </w:r>
          </w:p>
        </w:tc>
      </w:tr>
      <w:tr w:rsidR="00186851" w:rsidRPr="00D41E35" w14:paraId="2F6C72A7"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0358430" w14:textId="77777777" w:rsidR="00186851" w:rsidRPr="00D41E35" w:rsidRDefault="00186851" w:rsidP="00186851">
            <w:pPr>
              <w:pStyle w:val="Tabletext0"/>
              <w:jc w:val="center"/>
            </w:pPr>
          </w:p>
        </w:tc>
        <w:tc>
          <w:tcPr>
            <w:tcW w:w="8086" w:type="dxa"/>
            <w:gridSpan w:val="6"/>
            <w:vAlign w:val="center"/>
          </w:tcPr>
          <w:p w14:paraId="401CE43B" w14:textId="77777777" w:rsidR="00186851" w:rsidRPr="005511A1" w:rsidRDefault="00186851" w:rsidP="00186851">
            <w:pPr>
              <w:pStyle w:val="Tabletext0"/>
              <w:rPr>
                <w:b/>
              </w:rPr>
            </w:pPr>
            <w:r w:rsidRPr="005511A1">
              <w:rPr>
                <w:b/>
              </w:rPr>
              <w:t>AND</w:t>
            </w:r>
          </w:p>
        </w:tc>
      </w:tr>
      <w:tr w:rsidR="00186851" w:rsidRPr="00D41E35" w14:paraId="6FABE099"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775046" w14:textId="77777777" w:rsidR="00186851" w:rsidRPr="00D41E35" w:rsidRDefault="00186851" w:rsidP="00186851">
            <w:pPr>
              <w:pStyle w:val="Tabletext0"/>
              <w:jc w:val="center"/>
            </w:pPr>
          </w:p>
        </w:tc>
        <w:tc>
          <w:tcPr>
            <w:tcW w:w="8086" w:type="dxa"/>
            <w:gridSpan w:val="6"/>
            <w:vAlign w:val="center"/>
          </w:tcPr>
          <w:p w14:paraId="724F84F0" w14:textId="77777777" w:rsidR="00186851" w:rsidRPr="005511A1" w:rsidRDefault="00186851" w:rsidP="00186851">
            <w:pPr>
              <w:pStyle w:val="Tabletext0"/>
              <w:rPr>
                <w:b/>
              </w:rPr>
            </w:pPr>
            <w:r w:rsidRPr="005511A1">
              <w:rPr>
                <w:b/>
              </w:rPr>
              <w:t>Clinical criteria:</w:t>
            </w:r>
          </w:p>
        </w:tc>
      </w:tr>
      <w:tr w:rsidR="00186851" w:rsidRPr="00D41E35" w14:paraId="1B37211E"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FD43FB3" w14:textId="77777777" w:rsidR="00186851" w:rsidRPr="00D41E35" w:rsidRDefault="00186851" w:rsidP="00186851">
            <w:pPr>
              <w:pStyle w:val="Tabletext0"/>
              <w:jc w:val="center"/>
            </w:pPr>
          </w:p>
        </w:tc>
        <w:tc>
          <w:tcPr>
            <w:tcW w:w="8086" w:type="dxa"/>
            <w:gridSpan w:val="6"/>
            <w:vAlign w:val="center"/>
          </w:tcPr>
          <w:p w14:paraId="7C9C8214" w14:textId="77777777" w:rsidR="00186851" w:rsidRPr="00D41E35" w:rsidRDefault="00186851" w:rsidP="00186851">
            <w:pPr>
              <w:pStyle w:val="Tabletext0"/>
            </w:pPr>
            <w:r w:rsidRPr="00D41E35">
              <w:t xml:space="preserve">Patient must have an estimated glomerular filtration </w:t>
            </w:r>
            <w:r w:rsidRPr="00E72130">
              <w:t>rate of between 25 and 75 mL/min/1.73 m</w:t>
            </w:r>
            <w:r w:rsidRPr="00E72130">
              <w:rPr>
                <w:vertAlign w:val="superscript"/>
              </w:rPr>
              <w:t xml:space="preserve">2 </w:t>
            </w:r>
            <w:r w:rsidRPr="00E72130">
              <w:t>inclusive</w:t>
            </w:r>
            <w:r w:rsidRPr="00D50DC7">
              <w:rPr>
                <w:strike/>
              </w:rPr>
              <w:t>, to substantiate the diagnosis of kidney disease,</w:t>
            </w:r>
            <w:r w:rsidRPr="00E72130">
              <w:t xml:space="preserve"> prior to initiating treatment with this drug,</w:t>
            </w:r>
          </w:p>
        </w:tc>
      </w:tr>
      <w:tr w:rsidR="00186851" w:rsidRPr="00D41E35" w14:paraId="2DBA1CD4"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2CFE4C73" w14:textId="77777777" w:rsidR="00186851" w:rsidRPr="00D41E35" w:rsidRDefault="00186851" w:rsidP="00186851">
            <w:pPr>
              <w:pStyle w:val="Tabletext0"/>
              <w:jc w:val="center"/>
            </w:pPr>
          </w:p>
        </w:tc>
        <w:tc>
          <w:tcPr>
            <w:tcW w:w="8086" w:type="dxa"/>
            <w:gridSpan w:val="6"/>
            <w:vAlign w:val="center"/>
            <w:hideMark/>
          </w:tcPr>
          <w:p w14:paraId="32C7955F" w14:textId="77777777" w:rsidR="00186851" w:rsidRPr="005511A1" w:rsidRDefault="00186851" w:rsidP="00186851">
            <w:pPr>
              <w:pStyle w:val="Tabletext0"/>
              <w:rPr>
                <w:b/>
              </w:rPr>
            </w:pPr>
            <w:r w:rsidRPr="005511A1">
              <w:rPr>
                <w:b/>
              </w:rPr>
              <w:t>AND</w:t>
            </w:r>
          </w:p>
        </w:tc>
      </w:tr>
      <w:tr w:rsidR="00186851" w:rsidRPr="00D41E35" w14:paraId="7DB5B893"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F0B726" w14:textId="77777777" w:rsidR="00186851" w:rsidRPr="00D41E35" w:rsidRDefault="00186851" w:rsidP="00186851">
            <w:pPr>
              <w:pStyle w:val="Tabletext0"/>
              <w:jc w:val="center"/>
            </w:pPr>
          </w:p>
        </w:tc>
        <w:tc>
          <w:tcPr>
            <w:tcW w:w="8086" w:type="dxa"/>
            <w:gridSpan w:val="6"/>
            <w:vAlign w:val="center"/>
            <w:hideMark/>
          </w:tcPr>
          <w:p w14:paraId="48AF073E" w14:textId="77777777" w:rsidR="00186851" w:rsidRPr="005511A1" w:rsidRDefault="00186851" w:rsidP="00186851">
            <w:pPr>
              <w:pStyle w:val="Tabletext0"/>
              <w:rPr>
                <w:b/>
              </w:rPr>
            </w:pPr>
            <w:r w:rsidRPr="005511A1">
              <w:rPr>
                <w:b/>
              </w:rPr>
              <w:t>Clinical criteria:</w:t>
            </w:r>
          </w:p>
        </w:tc>
      </w:tr>
      <w:tr w:rsidR="00186851" w:rsidRPr="00D41E35" w14:paraId="370EB93A"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3F76E48D" w14:textId="77777777" w:rsidR="00186851" w:rsidRPr="00D41E35" w:rsidRDefault="00186851" w:rsidP="00186851">
            <w:pPr>
              <w:pStyle w:val="Tabletext0"/>
              <w:jc w:val="center"/>
            </w:pPr>
          </w:p>
        </w:tc>
        <w:tc>
          <w:tcPr>
            <w:tcW w:w="8086" w:type="dxa"/>
            <w:gridSpan w:val="6"/>
            <w:vAlign w:val="center"/>
            <w:hideMark/>
          </w:tcPr>
          <w:p w14:paraId="4F2AC685" w14:textId="77777777" w:rsidR="00186851" w:rsidRPr="00E72130" w:rsidRDefault="00186851" w:rsidP="00186851">
            <w:pPr>
              <w:pStyle w:val="Tabletext0"/>
            </w:pPr>
            <w:r w:rsidRPr="00E72130">
              <w:t xml:space="preserve">Patient must have a urinary albumin to creatinine ratio of between 200 and 5000 mg/g </w:t>
            </w:r>
            <w:r w:rsidRPr="00596B7D">
              <w:rPr>
                <w:i/>
                <w:iCs/>
              </w:rPr>
              <w:t>(22.6–565 mg/mmol)</w:t>
            </w:r>
            <w:r>
              <w:t xml:space="preserve"> </w:t>
            </w:r>
            <w:r w:rsidRPr="00E72130">
              <w:t>inclusive</w:t>
            </w:r>
            <w:r w:rsidRPr="00D50DC7">
              <w:rPr>
                <w:strike/>
              </w:rPr>
              <w:t>, to substantiate the diagnosis of kidney disease,</w:t>
            </w:r>
            <w:r w:rsidRPr="00E72130">
              <w:t xml:space="preserve"> prior to initiating treatment with this drug,</w:t>
            </w:r>
          </w:p>
        </w:tc>
      </w:tr>
      <w:tr w:rsidR="00186851" w:rsidRPr="00D41E35" w14:paraId="71F6E2B1"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E4C8E6" w14:textId="77777777" w:rsidR="00186851" w:rsidRPr="00D41E35" w:rsidRDefault="00186851" w:rsidP="00186851">
            <w:pPr>
              <w:pStyle w:val="Tabletext0"/>
              <w:jc w:val="center"/>
            </w:pPr>
          </w:p>
        </w:tc>
        <w:tc>
          <w:tcPr>
            <w:tcW w:w="8086" w:type="dxa"/>
            <w:gridSpan w:val="6"/>
            <w:vAlign w:val="center"/>
          </w:tcPr>
          <w:p w14:paraId="45FC0FCC" w14:textId="77777777" w:rsidR="00186851" w:rsidRPr="005511A1" w:rsidRDefault="00186851" w:rsidP="00186851">
            <w:pPr>
              <w:pStyle w:val="Tabletext0"/>
              <w:rPr>
                <w:b/>
              </w:rPr>
            </w:pPr>
            <w:r w:rsidRPr="005511A1">
              <w:rPr>
                <w:b/>
              </w:rPr>
              <w:t>AND</w:t>
            </w:r>
          </w:p>
        </w:tc>
      </w:tr>
      <w:tr w:rsidR="00186851" w:rsidRPr="00D41E35" w14:paraId="395E187C"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7639B7C" w14:textId="77777777" w:rsidR="00186851" w:rsidRPr="00BF2803" w:rsidRDefault="00186851" w:rsidP="00186851">
            <w:pPr>
              <w:pStyle w:val="Tabletext0"/>
              <w:jc w:val="center"/>
            </w:pPr>
          </w:p>
        </w:tc>
        <w:tc>
          <w:tcPr>
            <w:tcW w:w="8086" w:type="dxa"/>
            <w:gridSpan w:val="6"/>
            <w:vAlign w:val="center"/>
          </w:tcPr>
          <w:p w14:paraId="3350AF33" w14:textId="77777777" w:rsidR="00186851" w:rsidRPr="005511A1" w:rsidRDefault="00186851" w:rsidP="00186851">
            <w:pPr>
              <w:pStyle w:val="Tabletext0"/>
              <w:rPr>
                <w:b/>
              </w:rPr>
            </w:pPr>
            <w:r w:rsidRPr="005511A1">
              <w:rPr>
                <w:b/>
              </w:rPr>
              <w:t>Clinical criteria:</w:t>
            </w:r>
          </w:p>
        </w:tc>
      </w:tr>
      <w:tr w:rsidR="00186851" w:rsidRPr="00D41E35" w14:paraId="6460C5B2" w14:textId="77777777" w:rsidTr="00186851">
        <w:tblPrEx>
          <w:tblCellMar>
            <w:top w:w="15" w:type="dxa"/>
            <w:left w:w="15" w:type="dxa"/>
            <w:bottom w:w="15" w:type="dxa"/>
            <w:right w:w="15" w:type="dxa"/>
          </w:tblCellMar>
          <w:tblLook w:val="04A0" w:firstRow="1" w:lastRow="0" w:firstColumn="1" w:lastColumn="0" w:noHBand="0" w:noVBand="1"/>
        </w:tblPrEx>
        <w:trPr>
          <w:trHeight w:val="40"/>
        </w:trPr>
        <w:tc>
          <w:tcPr>
            <w:tcW w:w="981" w:type="dxa"/>
            <w:vAlign w:val="center"/>
          </w:tcPr>
          <w:p w14:paraId="69DE2888" w14:textId="77777777" w:rsidR="00186851" w:rsidRPr="00BF2803" w:rsidRDefault="00186851" w:rsidP="00186851">
            <w:pPr>
              <w:pStyle w:val="Tabletext0"/>
              <w:jc w:val="center"/>
            </w:pPr>
          </w:p>
        </w:tc>
        <w:tc>
          <w:tcPr>
            <w:tcW w:w="8086" w:type="dxa"/>
            <w:gridSpan w:val="6"/>
            <w:vAlign w:val="center"/>
          </w:tcPr>
          <w:p w14:paraId="0AC5E14C" w14:textId="77777777" w:rsidR="00186851" w:rsidRPr="005B3EC8" w:rsidRDefault="00186851" w:rsidP="00186851">
            <w:pPr>
              <w:pStyle w:val="Tabletext0"/>
              <w:rPr>
                <w:iCs/>
              </w:rPr>
            </w:pPr>
            <w:r w:rsidRPr="00E72130">
              <w:rPr>
                <w:iCs/>
              </w:rPr>
              <w:t xml:space="preserve">Patient must </w:t>
            </w:r>
            <w:r w:rsidRPr="005B3EC8">
              <w:rPr>
                <w:strike/>
              </w:rPr>
              <w:t>not progress to end</w:t>
            </w:r>
            <w:r w:rsidRPr="005B3EC8">
              <w:rPr>
                <w:strike/>
              </w:rPr>
              <w:noBreakHyphen/>
              <w:t>stage renal disease defined as an estimated glomerular filtration rate (eGFR) of less than 15 mL/min/1.73 m</w:t>
            </w:r>
            <w:r w:rsidRPr="005B3EC8">
              <w:rPr>
                <w:strike/>
                <w:vertAlign w:val="superscript"/>
              </w:rPr>
              <w:t>2</w:t>
            </w:r>
            <w:r w:rsidRPr="005B3EC8">
              <w:rPr>
                <w:strike/>
              </w:rPr>
              <w:t xml:space="preserve"> while on this drug,</w:t>
            </w:r>
            <w:r>
              <w:rPr>
                <w:i/>
                <w:iCs/>
              </w:rPr>
              <w:t xml:space="preserve"> </w:t>
            </w:r>
            <w:r w:rsidRPr="005511A1">
              <w:rPr>
                <w:i/>
                <w:iCs/>
              </w:rPr>
              <w:t>discontinue treatment with this drug prior to initiating renal replacement therapy, defined as dialysis or kidney transplant</w:t>
            </w:r>
            <w:r>
              <w:rPr>
                <w:i/>
                <w:iCs/>
              </w:rPr>
              <w:t>,</w:t>
            </w:r>
          </w:p>
        </w:tc>
      </w:tr>
      <w:tr w:rsidR="00186851" w:rsidRPr="00D41E35" w14:paraId="4EA8692C"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6F8D3A7E" w14:textId="77777777" w:rsidR="00186851" w:rsidRDefault="00186851" w:rsidP="00186851">
            <w:pPr>
              <w:pStyle w:val="Tabletext0"/>
              <w:jc w:val="center"/>
            </w:pPr>
          </w:p>
        </w:tc>
        <w:tc>
          <w:tcPr>
            <w:tcW w:w="8086" w:type="dxa"/>
            <w:gridSpan w:val="6"/>
            <w:vAlign w:val="center"/>
          </w:tcPr>
          <w:p w14:paraId="1809E525" w14:textId="77777777" w:rsidR="00186851" w:rsidRPr="005511A1" w:rsidRDefault="00186851" w:rsidP="00186851">
            <w:pPr>
              <w:pStyle w:val="Tabletext0"/>
              <w:rPr>
                <w:b/>
              </w:rPr>
            </w:pPr>
            <w:r w:rsidRPr="005511A1">
              <w:rPr>
                <w:b/>
              </w:rPr>
              <w:t>AND</w:t>
            </w:r>
          </w:p>
        </w:tc>
      </w:tr>
      <w:tr w:rsidR="00186851" w:rsidRPr="00D41E35" w14:paraId="10C3D0F2"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D7A7AF" w14:textId="77777777" w:rsidR="00186851" w:rsidRPr="00D41E35" w:rsidRDefault="00186851" w:rsidP="00186851">
            <w:pPr>
              <w:pStyle w:val="Tabletext0"/>
              <w:jc w:val="center"/>
            </w:pPr>
          </w:p>
        </w:tc>
        <w:tc>
          <w:tcPr>
            <w:tcW w:w="8086" w:type="dxa"/>
            <w:gridSpan w:val="6"/>
            <w:vAlign w:val="center"/>
            <w:hideMark/>
          </w:tcPr>
          <w:p w14:paraId="4548B13A" w14:textId="77777777" w:rsidR="00186851" w:rsidRPr="005511A1" w:rsidRDefault="00186851" w:rsidP="00186851">
            <w:pPr>
              <w:pStyle w:val="Tabletext0"/>
              <w:rPr>
                <w:b/>
              </w:rPr>
            </w:pPr>
            <w:r w:rsidRPr="005511A1">
              <w:rPr>
                <w:b/>
              </w:rPr>
              <w:t>Clinical criteria:</w:t>
            </w:r>
          </w:p>
        </w:tc>
      </w:tr>
      <w:tr w:rsidR="00186851" w:rsidRPr="00D41E35" w14:paraId="5900584B"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338358" w14:textId="77777777" w:rsidR="00186851" w:rsidRPr="00C1526A" w:rsidRDefault="00186851" w:rsidP="00186851">
            <w:pPr>
              <w:pStyle w:val="Tabletext0"/>
              <w:jc w:val="center"/>
              <w:rPr>
                <w:strike/>
              </w:rPr>
            </w:pPr>
            <w:bookmarkStart w:id="84" w:name="_Hlk84343270"/>
          </w:p>
        </w:tc>
        <w:tc>
          <w:tcPr>
            <w:tcW w:w="8086" w:type="dxa"/>
            <w:gridSpan w:val="6"/>
            <w:vAlign w:val="center"/>
            <w:hideMark/>
          </w:tcPr>
          <w:p w14:paraId="2A429FFC" w14:textId="77777777" w:rsidR="00186851" w:rsidRPr="00E72130" w:rsidRDefault="00186851" w:rsidP="00186851">
            <w:pPr>
              <w:pStyle w:val="Tabletext0"/>
              <w:rPr>
                <w:iCs/>
                <w:strike/>
              </w:rPr>
            </w:pPr>
            <w:r w:rsidRPr="00E72130">
              <w:rPr>
                <w:iCs/>
              </w:rPr>
              <w:t>Patient must receive treatment in combination with the maximum tolerated dose of an ACE inhibitor; or</w:t>
            </w:r>
          </w:p>
        </w:tc>
      </w:tr>
      <w:tr w:rsidR="00186851" w:rsidRPr="00D41E35" w14:paraId="0FE39FB7"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7D48159A" w14:textId="77777777" w:rsidR="00186851" w:rsidRPr="00DC6CF8" w:rsidDel="00527D13" w:rsidRDefault="00186851" w:rsidP="00186851">
            <w:pPr>
              <w:pStyle w:val="Tabletext0"/>
              <w:jc w:val="center"/>
              <w:rPr>
                <w:strike/>
              </w:rPr>
            </w:pPr>
          </w:p>
        </w:tc>
        <w:tc>
          <w:tcPr>
            <w:tcW w:w="8086" w:type="dxa"/>
            <w:gridSpan w:val="6"/>
            <w:vAlign w:val="center"/>
          </w:tcPr>
          <w:p w14:paraId="5171A569" w14:textId="77777777" w:rsidR="00186851" w:rsidRPr="00E72130" w:rsidRDefault="00186851" w:rsidP="00186851">
            <w:pPr>
              <w:pStyle w:val="Tabletext0"/>
              <w:rPr>
                <w:iCs/>
                <w:strike/>
              </w:rPr>
            </w:pPr>
            <w:r w:rsidRPr="00E72130">
              <w:rPr>
                <w:iCs/>
              </w:rPr>
              <w:t xml:space="preserve">Patient must receive treatment in combination with the maximum tolerated dose of an angiotensin II </w:t>
            </w:r>
            <w:r w:rsidRPr="005511A1">
              <w:rPr>
                <w:i/>
                <w:iCs/>
              </w:rPr>
              <w:t xml:space="preserve">receptor </w:t>
            </w:r>
            <w:r w:rsidRPr="005511A1">
              <w:t>antagonist</w:t>
            </w:r>
            <w:r w:rsidRPr="005511A1">
              <w:rPr>
                <w:i/>
                <w:iCs/>
              </w:rPr>
              <w:t xml:space="preserve"> unless medically contraindicated to these classes of drug,</w:t>
            </w:r>
          </w:p>
        </w:tc>
      </w:tr>
      <w:bookmarkEnd w:id="84"/>
      <w:tr w:rsidR="00186851" w:rsidRPr="00D41E35" w14:paraId="39272170"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A72D88B" w14:textId="77777777" w:rsidR="00186851" w:rsidRPr="00D41E35" w:rsidRDefault="00186851" w:rsidP="00186851">
            <w:pPr>
              <w:pStyle w:val="Tabletext0"/>
              <w:jc w:val="center"/>
            </w:pPr>
          </w:p>
        </w:tc>
        <w:tc>
          <w:tcPr>
            <w:tcW w:w="8086" w:type="dxa"/>
            <w:gridSpan w:val="6"/>
            <w:vAlign w:val="center"/>
            <w:hideMark/>
          </w:tcPr>
          <w:p w14:paraId="12EA14A8" w14:textId="77777777" w:rsidR="00186851" w:rsidRPr="005511A1" w:rsidRDefault="00186851" w:rsidP="00186851">
            <w:pPr>
              <w:pStyle w:val="Tabletext0"/>
              <w:rPr>
                <w:b/>
              </w:rPr>
            </w:pPr>
            <w:r w:rsidRPr="005511A1">
              <w:rPr>
                <w:b/>
              </w:rPr>
              <w:t>AND</w:t>
            </w:r>
          </w:p>
        </w:tc>
      </w:tr>
      <w:tr w:rsidR="00186851" w:rsidRPr="00D41E35" w14:paraId="3063A9D4"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3A8634" w14:textId="77777777" w:rsidR="00186851" w:rsidRPr="00D41E35" w:rsidRDefault="00186851" w:rsidP="00186851">
            <w:pPr>
              <w:pStyle w:val="Tabletext0"/>
              <w:jc w:val="center"/>
            </w:pPr>
          </w:p>
        </w:tc>
        <w:tc>
          <w:tcPr>
            <w:tcW w:w="8086" w:type="dxa"/>
            <w:gridSpan w:val="6"/>
            <w:vAlign w:val="center"/>
            <w:hideMark/>
          </w:tcPr>
          <w:p w14:paraId="393B3B6D" w14:textId="77777777" w:rsidR="00186851" w:rsidRPr="005511A1" w:rsidRDefault="00186851" w:rsidP="00186851">
            <w:pPr>
              <w:pStyle w:val="Tabletext0"/>
              <w:rPr>
                <w:b/>
              </w:rPr>
            </w:pPr>
            <w:r w:rsidRPr="005511A1">
              <w:rPr>
                <w:b/>
              </w:rPr>
              <w:t>Clinical criteria:</w:t>
            </w:r>
          </w:p>
        </w:tc>
      </w:tr>
      <w:tr w:rsidR="00186851" w:rsidRPr="00D41E35" w14:paraId="678672AE"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76ECB3" w14:textId="77777777" w:rsidR="00186851" w:rsidRPr="00D47592" w:rsidRDefault="00186851" w:rsidP="00186851">
            <w:pPr>
              <w:pStyle w:val="Tabletext0"/>
              <w:jc w:val="center"/>
              <w:rPr>
                <w:strike/>
              </w:rPr>
            </w:pPr>
          </w:p>
        </w:tc>
        <w:tc>
          <w:tcPr>
            <w:tcW w:w="8086" w:type="dxa"/>
            <w:gridSpan w:val="6"/>
            <w:vAlign w:val="center"/>
            <w:hideMark/>
          </w:tcPr>
          <w:p w14:paraId="3F638231" w14:textId="77777777" w:rsidR="00186851" w:rsidRPr="001B587E" w:rsidRDefault="00186851" w:rsidP="00186851">
            <w:pPr>
              <w:pStyle w:val="Tabletext0"/>
            </w:pPr>
            <w:r w:rsidRPr="001B587E">
              <w:t>Patient must not be receiving treatment with another sodium</w:t>
            </w:r>
            <w:r>
              <w:noBreakHyphen/>
            </w:r>
            <w:r w:rsidRPr="001B587E">
              <w:t>glucose co</w:t>
            </w:r>
            <w:r>
              <w:noBreakHyphen/>
            </w:r>
            <w:r w:rsidRPr="001B587E">
              <w:t>transporter 2 (SGLT2) inhibitor.</w:t>
            </w:r>
          </w:p>
        </w:tc>
      </w:tr>
      <w:tr w:rsidR="00186851" w:rsidRPr="00D65A45" w14:paraId="4FF04046" w14:textId="77777777" w:rsidTr="00186851">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2BEA7818" w14:textId="77777777" w:rsidR="00186851" w:rsidRPr="00301CF9" w:rsidRDefault="00186851" w:rsidP="00186851">
            <w:pPr>
              <w:pStyle w:val="Tabletext0"/>
              <w:jc w:val="center"/>
            </w:pPr>
          </w:p>
        </w:tc>
        <w:tc>
          <w:tcPr>
            <w:tcW w:w="8086" w:type="dxa"/>
            <w:gridSpan w:val="6"/>
            <w:vAlign w:val="center"/>
          </w:tcPr>
          <w:p w14:paraId="5D0E065C" w14:textId="77777777" w:rsidR="00186851" w:rsidRPr="005511A1" w:rsidRDefault="00186851" w:rsidP="00186851">
            <w:pPr>
              <w:pStyle w:val="Tabletext0"/>
              <w:rPr>
                <w:b/>
                <w:iCs/>
              </w:rPr>
            </w:pPr>
            <w:r w:rsidRPr="005511A1">
              <w:rPr>
                <w:b/>
                <w:iCs/>
              </w:rPr>
              <w:t>Prescribing instructions:</w:t>
            </w:r>
          </w:p>
          <w:p w14:paraId="7E16E8DC" w14:textId="77777777" w:rsidR="00186851" w:rsidRPr="00E65DCD" w:rsidRDefault="00186851" w:rsidP="00186851">
            <w:pPr>
              <w:pStyle w:val="Tabletext0"/>
              <w:rPr>
                <w:i/>
              </w:rPr>
            </w:pPr>
            <w:r w:rsidRPr="00E72130">
              <w:rPr>
                <w:iCs/>
              </w:rPr>
              <w:t xml:space="preserve">Patient must be stabilised on either (i) an ACE inhibitor or (ii) an angiotensin II </w:t>
            </w:r>
            <w:r w:rsidRPr="005511A1">
              <w:rPr>
                <w:i/>
                <w:iCs/>
              </w:rPr>
              <w:t>receptor</w:t>
            </w:r>
            <w:r w:rsidRPr="00C56B7F">
              <w:rPr>
                <w:iCs/>
                <w:color w:val="FF0000"/>
              </w:rPr>
              <w:t xml:space="preserve"> </w:t>
            </w:r>
            <w:r w:rsidRPr="00E72130">
              <w:rPr>
                <w:iCs/>
              </w:rPr>
              <w:t>antagonist for a period of 4 weeks</w:t>
            </w:r>
            <w:r>
              <w:rPr>
                <w:iCs/>
              </w:rPr>
              <w:t>,</w:t>
            </w:r>
            <w:r w:rsidRPr="00E72130">
              <w:rPr>
                <w:iCs/>
              </w:rPr>
              <w:t xml:space="preserve"> </w:t>
            </w:r>
            <w:r w:rsidRPr="005511A1">
              <w:rPr>
                <w:i/>
                <w:iCs/>
              </w:rPr>
              <w:t>unless medically contraindicated,</w:t>
            </w:r>
            <w:r w:rsidRPr="005511A1">
              <w:rPr>
                <w:iCs/>
              </w:rPr>
              <w:t xml:space="preserve"> </w:t>
            </w:r>
            <w:r w:rsidRPr="00E72130">
              <w:rPr>
                <w:iCs/>
              </w:rPr>
              <w:t>prior to initiation of combination therapy with this drug.</w:t>
            </w:r>
          </w:p>
        </w:tc>
      </w:tr>
      <w:tr w:rsidR="00186851" w:rsidRPr="005640C9" w14:paraId="31D387C4"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DE9D1D" w14:textId="77777777" w:rsidR="00186851" w:rsidRPr="005511A1" w:rsidRDefault="00186851" w:rsidP="00186851">
            <w:pPr>
              <w:pStyle w:val="Tabletext0"/>
              <w:jc w:val="center"/>
              <w:rPr>
                <w:i/>
                <w:iCs/>
              </w:rPr>
            </w:pPr>
          </w:p>
        </w:tc>
        <w:tc>
          <w:tcPr>
            <w:tcW w:w="8086" w:type="dxa"/>
            <w:gridSpan w:val="6"/>
            <w:vAlign w:val="center"/>
          </w:tcPr>
          <w:p w14:paraId="4D3E39A6" w14:textId="77777777" w:rsidR="00186851" w:rsidRDefault="00186851" w:rsidP="00186851">
            <w:pPr>
              <w:pStyle w:val="Tabletext0"/>
              <w:rPr>
                <w:b/>
                <w:i/>
                <w:iCs/>
              </w:rPr>
            </w:pPr>
            <w:r w:rsidRPr="005511A1">
              <w:rPr>
                <w:b/>
                <w:i/>
                <w:iCs/>
              </w:rPr>
              <w:t>Prescribing instructions:</w:t>
            </w:r>
          </w:p>
          <w:p w14:paraId="67368685" w14:textId="77777777" w:rsidR="00186851" w:rsidRPr="00596B7D" w:rsidRDefault="00186851" w:rsidP="00186851">
            <w:pPr>
              <w:pStyle w:val="Tabletext0"/>
              <w:rPr>
                <w:bCs/>
                <w:i/>
                <w:iCs/>
              </w:rPr>
            </w:pPr>
            <w:r>
              <w:rPr>
                <w:bCs/>
                <w:i/>
                <w:iCs/>
              </w:rPr>
              <w:t>P</w:t>
            </w:r>
            <w:r w:rsidRPr="00596B7D">
              <w:rPr>
                <w:bCs/>
                <w:i/>
                <w:iCs/>
              </w:rPr>
              <w:t>atients with polycystic kidney disease, lupus nephritis or ANCA-associated vasculitis; patients requiring or with a recent history of cytotoxic or immunosuppressive therapy for kidney disease; and patients with an organ transplant</w:t>
            </w:r>
            <w:r>
              <w:rPr>
                <w:bCs/>
                <w:i/>
                <w:iCs/>
              </w:rPr>
              <w:t xml:space="preserve"> </w:t>
            </w:r>
            <w:r w:rsidRPr="005511A1">
              <w:rPr>
                <w:i/>
                <w:iCs/>
              </w:rPr>
              <w:t>are not eligible for treatment with this drug.</w:t>
            </w:r>
          </w:p>
        </w:tc>
      </w:tr>
      <w:tr w:rsidR="00186851" w:rsidRPr="00D41E35" w14:paraId="35F5230D"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1B0C2FD0" w14:textId="77777777" w:rsidR="00186851" w:rsidRPr="00D41E35" w:rsidRDefault="00186851" w:rsidP="009B5A1D">
            <w:pPr>
              <w:pStyle w:val="Tabletext0"/>
              <w:jc w:val="center"/>
            </w:pPr>
          </w:p>
        </w:tc>
        <w:tc>
          <w:tcPr>
            <w:tcW w:w="8086" w:type="dxa"/>
            <w:gridSpan w:val="6"/>
            <w:vAlign w:val="center"/>
            <w:hideMark/>
          </w:tcPr>
          <w:p w14:paraId="3D930E96" w14:textId="77777777" w:rsidR="00186851" w:rsidRPr="005511A1" w:rsidRDefault="00186851" w:rsidP="00186851">
            <w:pPr>
              <w:pStyle w:val="Tabletext0"/>
              <w:rPr>
                <w:b/>
              </w:rPr>
            </w:pPr>
            <w:r w:rsidRPr="005511A1">
              <w:rPr>
                <w:b/>
              </w:rPr>
              <w:t>Administrative advice:</w:t>
            </w:r>
          </w:p>
          <w:p w14:paraId="4DA36A08" w14:textId="77777777" w:rsidR="00186851" w:rsidRPr="00D41E35" w:rsidRDefault="00186851" w:rsidP="00186851">
            <w:pPr>
              <w:pStyle w:val="Tabletext0"/>
            </w:pPr>
            <w:r w:rsidRPr="00D41E35">
              <w:rPr>
                <w:bCs/>
              </w:rPr>
              <w:t>Continuing Therapy Only:</w:t>
            </w:r>
          </w:p>
          <w:p w14:paraId="11279112" w14:textId="77777777" w:rsidR="00186851" w:rsidRPr="00D41E35" w:rsidRDefault="00186851" w:rsidP="00186851">
            <w:pPr>
              <w:pStyle w:val="Tabletext0"/>
            </w:pPr>
            <w:r w:rsidRPr="00D41E35">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184E7674" w14:textId="77777777" w:rsidR="00186851" w:rsidRDefault="00186851" w:rsidP="00186851">
      <w:pPr>
        <w:pStyle w:val="2-SectionHeading"/>
        <w:numPr>
          <w:ilvl w:val="0"/>
          <w:numId w:val="1"/>
        </w:numPr>
      </w:pPr>
      <w:r>
        <w:t>PBAC Outcome</w:t>
      </w:r>
    </w:p>
    <w:p w14:paraId="1522F39F" w14:textId="77777777" w:rsidR="00186851" w:rsidRDefault="00186851" w:rsidP="00186851">
      <w:pPr>
        <w:pStyle w:val="ExecSumBodyText"/>
        <w:numPr>
          <w:ilvl w:val="1"/>
          <w:numId w:val="1"/>
        </w:numPr>
        <w:rPr>
          <w:bCs/>
          <w:lang w:val="en-GB"/>
        </w:rPr>
      </w:pPr>
      <w:r w:rsidRPr="00AE0461">
        <w:rPr>
          <w:bCs/>
          <w:lang w:val="en-GB"/>
        </w:rPr>
        <w:t xml:space="preserve">The PBAC </w:t>
      </w:r>
      <w:r>
        <w:rPr>
          <w:bCs/>
          <w:lang w:val="en-GB"/>
        </w:rPr>
        <w:t xml:space="preserve">did not </w:t>
      </w:r>
      <w:r w:rsidRPr="00AE0461">
        <w:rPr>
          <w:bCs/>
          <w:lang w:val="en-GB"/>
        </w:rPr>
        <w:t xml:space="preserve">recommended extending the existing listing of dapagliflozin to include </w:t>
      </w:r>
      <w:r>
        <w:rPr>
          <w:bCs/>
          <w:lang w:val="en-GB"/>
        </w:rPr>
        <w:t xml:space="preserve">a General Schedule Authority Required (Streamlined) listing for the </w:t>
      </w:r>
      <w:r w:rsidRPr="00AE0461">
        <w:rPr>
          <w:bCs/>
          <w:lang w:val="en-GB"/>
        </w:rPr>
        <w:t>treatment of patients with</w:t>
      </w:r>
      <w:r>
        <w:rPr>
          <w:bCs/>
          <w:lang w:val="en-GB"/>
        </w:rPr>
        <w:t xml:space="preserve"> chronic kidney disease (CKD)</w:t>
      </w:r>
      <w:r w:rsidRPr="00AE0461">
        <w:rPr>
          <w:bCs/>
          <w:lang w:val="en-GB"/>
        </w:rPr>
        <w:t xml:space="preserve">. The PBAC reiterated that it was satisfied that dapagliflozin added to standard care provides, for some patients, a significant improvement in efficacy over standard care alone. The PBAC remained of the view that the listing would be cost-effective at the price proposed in the pre-PBAC response from July 2021 (the </w:t>
      </w:r>
      <w:r w:rsidR="00B87690">
        <w:rPr>
          <w:bCs/>
          <w:noProof/>
          <w:color w:val="000000"/>
          <w:highlight w:val="black"/>
          <w:lang w:val="en-GB"/>
        </w:rPr>
        <w:t>'''''''''''''' '''''''</w:t>
      </w:r>
      <w:r w:rsidRPr="00AE0461">
        <w:rPr>
          <w:bCs/>
          <w:lang w:val="en-GB"/>
        </w:rPr>
        <w:t xml:space="preserve"> price for dapagliflozin for </w:t>
      </w:r>
      <w:r w:rsidR="00B87690">
        <w:rPr>
          <w:bCs/>
          <w:noProof/>
          <w:color w:val="000000"/>
          <w:highlight w:val="black"/>
          <w:lang w:val="en-GB"/>
        </w:rPr>
        <w:t>''''''''''</w:t>
      </w:r>
      <w:r w:rsidRPr="00AE0461">
        <w:rPr>
          <w:bCs/>
          <w:lang w:val="en-GB"/>
        </w:rPr>
        <w:t>).</w:t>
      </w:r>
      <w:r>
        <w:rPr>
          <w:bCs/>
          <w:lang w:val="en-GB"/>
        </w:rPr>
        <w:t xml:space="preserve"> However, the revised financial estimates remained high and uncertain, and did not form a reliable basis for a risk-sharing arrangement with the Australian Government.</w:t>
      </w:r>
    </w:p>
    <w:p w14:paraId="78E8C611" w14:textId="77777777" w:rsidR="00186851" w:rsidRDefault="00186851" w:rsidP="00186851">
      <w:pPr>
        <w:pStyle w:val="ExecSumBodyText"/>
        <w:numPr>
          <w:ilvl w:val="1"/>
          <w:numId w:val="1"/>
        </w:numPr>
        <w:rPr>
          <w:bCs/>
          <w:lang w:val="en-GB"/>
        </w:rPr>
      </w:pPr>
      <w:r>
        <w:rPr>
          <w:bCs/>
          <w:lang w:val="en-GB"/>
        </w:rPr>
        <w:t>The PBAC reiterated its previous views with respect to: the high and urgent unmet need for effective treatments for CKD; the appropriateness of the comparator; the trial evidence; and the lack of robust economic modelling; and the restriction (see section 7 above). The PBAC clarified that it considered that the high and urgent unmet need related to the fact that there are limited effective therapies on the PBS for this life-threatening condition, although it also noted that most patients are expected to progress over a number of years.</w:t>
      </w:r>
    </w:p>
    <w:p w14:paraId="150379EE" w14:textId="77777777" w:rsidR="00186851" w:rsidRDefault="00186851" w:rsidP="00186851">
      <w:pPr>
        <w:pStyle w:val="ExecSumBodyText"/>
        <w:numPr>
          <w:ilvl w:val="1"/>
          <w:numId w:val="1"/>
        </w:numPr>
        <w:rPr>
          <w:bCs/>
          <w:lang w:val="en-GB"/>
        </w:rPr>
      </w:pPr>
      <w:r w:rsidRPr="00ED5EDE">
        <w:rPr>
          <w:bCs/>
          <w:lang w:val="en-GB"/>
        </w:rPr>
        <w:t>In terms of the financial estimates previously presented, the PBAC recalled it had</w:t>
      </w:r>
      <w:r>
        <w:rPr>
          <w:bCs/>
          <w:lang w:val="en-GB"/>
        </w:rPr>
        <w:t xml:space="preserve"> considered that:</w:t>
      </w:r>
    </w:p>
    <w:p w14:paraId="41696DC3" w14:textId="77777777" w:rsidR="00186851" w:rsidRDefault="00186851" w:rsidP="00186851">
      <w:pPr>
        <w:pStyle w:val="ListParagraph"/>
        <w:numPr>
          <w:ilvl w:val="0"/>
          <w:numId w:val="5"/>
        </w:numPr>
        <w:ind w:left="1134"/>
        <w:rPr>
          <w:bCs/>
          <w:lang w:val="en-GB"/>
        </w:rPr>
      </w:pPr>
      <w:r>
        <w:rPr>
          <w:bCs/>
          <w:lang w:val="en-GB"/>
        </w:rPr>
        <w:t>S</w:t>
      </w:r>
      <w:r w:rsidRPr="00ED5EDE">
        <w:rPr>
          <w:bCs/>
          <w:lang w:val="en-GB"/>
        </w:rPr>
        <w:t>everal uncertainties existed including the estimation of the eligible population, the estimation of the overlapping populations with T2DM and HFrEF, and the estimated net savings to government health budgets from ESKD delayed.</w:t>
      </w:r>
      <w:r>
        <w:rPr>
          <w:bCs/>
          <w:lang w:val="en-GB"/>
        </w:rPr>
        <w:t xml:space="preserve"> </w:t>
      </w:r>
    </w:p>
    <w:p w14:paraId="04A4A491" w14:textId="77777777" w:rsidR="00186851" w:rsidRPr="00ED5EDE" w:rsidRDefault="00186851" w:rsidP="00186851">
      <w:pPr>
        <w:pStyle w:val="ListParagraph"/>
        <w:numPr>
          <w:ilvl w:val="0"/>
          <w:numId w:val="5"/>
        </w:numPr>
        <w:ind w:left="1134"/>
        <w:rPr>
          <w:bCs/>
          <w:lang w:val="en-GB"/>
        </w:rPr>
      </w:pPr>
      <w:r>
        <w:rPr>
          <w:bCs/>
          <w:lang w:val="en-GB"/>
        </w:rPr>
        <w:t>Increases to uptake and diagnosis rates as per the pre-PBAC response were appropriate and aligned with DUSC advice. A ‘stopping rule’ would also be appropriate as per the pre-PBAC response scenario analysis, but clarification of the method applied was needed.</w:t>
      </w:r>
    </w:p>
    <w:p w14:paraId="3B49F02B" w14:textId="77777777" w:rsidR="00186851" w:rsidRDefault="00186851" w:rsidP="00186851">
      <w:pPr>
        <w:pStyle w:val="ListParagraph"/>
        <w:numPr>
          <w:ilvl w:val="0"/>
          <w:numId w:val="5"/>
        </w:numPr>
        <w:ind w:left="1134"/>
        <w:rPr>
          <w:bCs/>
          <w:lang w:val="en-GB"/>
        </w:rPr>
      </w:pPr>
      <w:r>
        <w:rPr>
          <w:bCs/>
          <w:lang w:val="en-GB"/>
        </w:rPr>
        <w:t>The eligible population had been very significantly overestimated;</w:t>
      </w:r>
    </w:p>
    <w:p w14:paraId="1E8F82E1" w14:textId="77777777" w:rsidR="00186851" w:rsidRDefault="00186851" w:rsidP="00186851">
      <w:pPr>
        <w:pStyle w:val="ListParagraph"/>
        <w:numPr>
          <w:ilvl w:val="0"/>
          <w:numId w:val="5"/>
        </w:numPr>
        <w:ind w:left="1134"/>
        <w:rPr>
          <w:bCs/>
          <w:lang w:val="en-GB"/>
        </w:rPr>
      </w:pPr>
      <w:r>
        <w:rPr>
          <w:bCs/>
          <w:lang w:val="en-GB"/>
        </w:rPr>
        <w:t xml:space="preserve">The estimates may have included patients with </w:t>
      </w:r>
      <w:r w:rsidRPr="00595281">
        <w:rPr>
          <w:bCs/>
          <w:lang w:val="en-GB"/>
        </w:rPr>
        <w:t>reversible kidney disease or reversible clinical factors affecting kidney function</w:t>
      </w:r>
      <w:r>
        <w:rPr>
          <w:bCs/>
          <w:lang w:val="en-GB"/>
        </w:rPr>
        <w:t>,</w:t>
      </w:r>
      <w:r w:rsidRPr="00595281" w:rsidDel="00595281">
        <w:rPr>
          <w:bCs/>
          <w:lang w:val="en-GB"/>
        </w:rPr>
        <w:t xml:space="preserve"> </w:t>
      </w:r>
      <w:r>
        <w:rPr>
          <w:bCs/>
          <w:lang w:val="en-GB"/>
        </w:rPr>
        <w:t xml:space="preserve">and would have included other groups to be excluded in the restriction; </w:t>
      </w:r>
    </w:p>
    <w:p w14:paraId="029CC2BD" w14:textId="77777777" w:rsidR="00186851" w:rsidRDefault="00186851" w:rsidP="00186851">
      <w:pPr>
        <w:pStyle w:val="ListParagraph"/>
        <w:numPr>
          <w:ilvl w:val="0"/>
          <w:numId w:val="5"/>
        </w:numPr>
        <w:ind w:left="1134"/>
        <w:rPr>
          <w:bCs/>
          <w:lang w:val="en-GB"/>
        </w:rPr>
      </w:pPr>
      <w:r>
        <w:rPr>
          <w:bCs/>
          <w:lang w:val="en-GB"/>
        </w:rPr>
        <w:t>ESKD savings were highly uncertain, and the majority of savings would accrue to State/Territory Governments and would need to be removed from the estimated impact on the Australian Government;</w:t>
      </w:r>
    </w:p>
    <w:p w14:paraId="52E78DB2" w14:textId="77777777" w:rsidR="00186851" w:rsidRDefault="00186851" w:rsidP="00186851">
      <w:pPr>
        <w:pStyle w:val="ListParagraph"/>
        <w:numPr>
          <w:ilvl w:val="0"/>
          <w:numId w:val="5"/>
        </w:numPr>
        <w:spacing w:after="240"/>
        <w:ind w:left="1134"/>
        <w:rPr>
          <w:bCs/>
          <w:lang w:val="en-GB"/>
        </w:rPr>
      </w:pPr>
      <w:r>
        <w:rPr>
          <w:bCs/>
          <w:lang w:val="en-GB"/>
        </w:rPr>
        <w:t xml:space="preserve">The risk of leakage was high as dapagliflozin was well known to prescribers, and there may be an increase in patients using the diabetes restriction due to positive outcomes for other diseases. </w:t>
      </w:r>
    </w:p>
    <w:p w14:paraId="1833D8FC" w14:textId="77777777" w:rsidR="00186851" w:rsidRDefault="00186851" w:rsidP="00186851">
      <w:pPr>
        <w:pStyle w:val="ExecSumBodyText"/>
        <w:numPr>
          <w:ilvl w:val="1"/>
          <w:numId w:val="1"/>
        </w:numPr>
        <w:rPr>
          <w:bCs/>
          <w:lang w:val="en-GB"/>
        </w:rPr>
      </w:pPr>
      <w:r>
        <w:rPr>
          <w:bCs/>
          <w:lang w:val="en-GB"/>
        </w:rPr>
        <w:t xml:space="preserve">The PBAC noted the revised CKD estimates from the sponsor, and expressed a view with respect to each parameter (shown in </w:t>
      </w:r>
      <w:r>
        <w:t xml:space="preserve">Table </w:t>
      </w:r>
      <w:r>
        <w:rPr>
          <w:noProof/>
        </w:rPr>
        <w:t>19</w:t>
      </w:r>
      <w:r>
        <w:rPr>
          <w:bCs/>
          <w:lang w:val="en-GB"/>
        </w:rPr>
        <w:t xml:space="preserve">). Critically, the proportion of patients meeting the PBS restriction in terms of eGFR and UACR remained very significantly overestimated.  </w:t>
      </w:r>
    </w:p>
    <w:p w14:paraId="1817F492" w14:textId="77777777" w:rsidR="00186851" w:rsidRDefault="00186851" w:rsidP="00186851">
      <w:pPr>
        <w:pStyle w:val="ExecSumBodyText"/>
        <w:numPr>
          <w:ilvl w:val="1"/>
          <w:numId w:val="1"/>
        </w:numPr>
        <w:rPr>
          <w:bCs/>
          <w:lang w:val="en-GB"/>
        </w:rPr>
      </w:pPr>
      <w:r>
        <w:rPr>
          <w:bCs/>
          <w:lang w:val="en-GB"/>
        </w:rPr>
        <w:t>The PBAC also noted the revised estimates with respect to the T2DM population and considered that substantial uncertainties remained. The PBAC noted that the sponsor stated that the T2DM estimates assumed no growth of the oral T2DM</w:t>
      </w:r>
      <w:r w:rsidR="00D17491">
        <w:rPr>
          <w:bCs/>
          <w:lang w:val="en-GB"/>
        </w:rPr>
        <w:t xml:space="preserve"> </w:t>
      </w:r>
      <w:r>
        <w:rPr>
          <w:bCs/>
          <w:lang w:val="en-GB"/>
        </w:rPr>
        <w:t xml:space="preserve">would be attributable to the proposed HFrEF and CKD listings; that is, </w:t>
      </w:r>
      <w:r w:rsidRPr="00B126CB">
        <w:rPr>
          <w:bCs/>
          <w:lang w:val="en-GB"/>
        </w:rPr>
        <w:t>it claimed that all additional use for dapagliflozin would be due to substitution within the existing oral T2DM market</w:t>
      </w:r>
      <w:r>
        <w:rPr>
          <w:bCs/>
          <w:lang w:val="en-GB"/>
        </w:rPr>
        <w:t xml:space="preserve">. The PBAC considered that the assumed growth rates in the T2DM market were inadequately justified, and likely substantially overestimated. The substantial growth assumption also seemed counter to the assumption that there would be no growth due to listings for HFrEF and CKD. </w:t>
      </w:r>
      <w:r w:rsidRPr="00595281">
        <w:rPr>
          <w:bCs/>
          <w:lang w:val="en-GB"/>
        </w:rPr>
        <w:t>Therefore, the estimates were not considered a reliable basis for informing a broad RSA for dapagliflozin.</w:t>
      </w:r>
    </w:p>
    <w:p w14:paraId="6A0E4147" w14:textId="77777777" w:rsidR="00186851" w:rsidRPr="00533287" w:rsidRDefault="00186851" w:rsidP="00186851">
      <w:pPr>
        <w:pStyle w:val="ExecSumBodyText"/>
        <w:numPr>
          <w:ilvl w:val="1"/>
          <w:numId w:val="1"/>
        </w:numPr>
        <w:rPr>
          <w:bCs/>
          <w:lang w:val="en-GB"/>
        </w:rPr>
      </w:pPr>
      <w:r>
        <w:rPr>
          <w:lang w:val="en-GB"/>
        </w:rPr>
        <w:t xml:space="preserve">The PBAC also noted that the sponsor had proposed an RSA across HFrEF, CKD and T2DM, with </w:t>
      </w:r>
      <w:r w:rsidRPr="006B1212">
        <w:rPr>
          <w:lang w:val="en-GB"/>
        </w:rPr>
        <w:t xml:space="preserve">a </w:t>
      </w:r>
      <w:r w:rsidR="00164731">
        <w:rPr>
          <w:noProof/>
          <w:color w:val="000000"/>
          <w:highlight w:val="black"/>
          <w:lang w:val="en-GB"/>
        </w:rPr>
        <w:t>''''''''</w:t>
      </w:r>
      <w:r w:rsidRPr="004A75B5">
        <w:rPr>
          <w:lang w:val="en-GB"/>
        </w:rPr>
        <w:t xml:space="preserve">% rebate above the expenditure caps. The sponsor also noted that </w:t>
      </w:r>
      <w:r w:rsidRPr="004A75B5">
        <w:rPr>
          <w:bCs/>
          <w:lang w:val="en-GB"/>
        </w:rPr>
        <w:t xml:space="preserve">if the PBAC were to recommend alternative estimates for the T2DM utilisation and expenditure, </w:t>
      </w:r>
      <w:r w:rsidRPr="006B1212">
        <w:rPr>
          <w:bCs/>
          <w:lang w:val="en-GB"/>
        </w:rPr>
        <w:t xml:space="preserve">a </w:t>
      </w:r>
      <w:r w:rsidR="00164731">
        <w:rPr>
          <w:bCs/>
          <w:noProof/>
          <w:color w:val="000000"/>
          <w:highlight w:val="black"/>
          <w:lang w:val="en-GB"/>
        </w:rPr>
        <w:t>'''''''</w:t>
      </w:r>
      <w:r w:rsidRPr="004A75B5">
        <w:rPr>
          <w:bCs/>
          <w:lang w:val="en-GB"/>
        </w:rPr>
        <w:t>% rebate</w:t>
      </w:r>
      <w:r w:rsidRPr="00533287">
        <w:rPr>
          <w:bCs/>
          <w:lang w:val="en-GB"/>
        </w:rPr>
        <w:t xml:space="preserve"> of expenditure above the caps should no longer be applied, “but rather a rebate that is representative of the CKD and HFrEF proportion of expenditure.”</w:t>
      </w:r>
      <w:r>
        <w:rPr>
          <w:bCs/>
          <w:lang w:val="en-GB"/>
        </w:rPr>
        <w:t xml:space="preserve"> As the PBAC considered that neither the T2DM nor the CKD estimates formed a reliable basis for an RSA, it only recommended a listing for HFrEF (discussed in item 4.03, </w:t>
      </w:r>
      <w:r w:rsidRPr="00695BE1">
        <w:rPr>
          <w:bCs/>
          <w:lang w:val="en-GB"/>
        </w:rPr>
        <w:t xml:space="preserve">dapagliflozin for </w:t>
      </w:r>
      <w:r>
        <w:rPr>
          <w:bCs/>
          <w:lang w:val="en-GB"/>
        </w:rPr>
        <w:t>HFrEF</w:t>
      </w:r>
      <w:r w:rsidRPr="00695BE1">
        <w:rPr>
          <w:bCs/>
          <w:lang w:val="en-GB"/>
        </w:rPr>
        <w:t>, September 2021 PBAC meeting</w:t>
      </w:r>
      <w:r>
        <w:rPr>
          <w:bCs/>
          <w:lang w:val="en-GB"/>
        </w:rPr>
        <w:t>).</w:t>
      </w:r>
    </w:p>
    <w:p w14:paraId="3FEB427F" w14:textId="77777777" w:rsidR="00186851" w:rsidRDefault="00186851" w:rsidP="00186851">
      <w:pPr>
        <w:pStyle w:val="ExecSumBodyText"/>
        <w:numPr>
          <w:ilvl w:val="1"/>
          <w:numId w:val="1"/>
        </w:numPr>
        <w:rPr>
          <w:bCs/>
          <w:lang w:val="en-GB"/>
        </w:rPr>
      </w:pPr>
      <w:r>
        <w:rPr>
          <w:bCs/>
          <w:lang w:val="en-GB"/>
        </w:rPr>
        <w:t>In the context of high uncertainty, and high overall R/PBS impact even once estimates were reduced as per PBAC advice, the PBAC reiterated that an RSA was essential for ensuring that subsidy was only provided to patients in whom the PBAC had determined dapagliflozin use would be cost-effective. The inflated estimates presented by the sponsor provided no protection against use in patients outside the CKD restriction (e.g. in patients meeting the eGFR criteria but not the UACR criteria, to whom there was a high risk of leakage).</w:t>
      </w:r>
    </w:p>
    <w:p w14:paraId="3F62C5B9" w14:textId="77777777" w:rsidR="00186851" w:rsidRDefault="00186851" w:rsidP="00186851">
      <w:pPr>
        <w:pStyle w:val="ExecSumBodyText"/>
        <w:numPr>
          <w:ilvl w:val="1"/>
          <w:numId w:val="1"/>
        </w:numPr>
        <w:rPr>
          <w:bCs/>
          <w:lang w:val="en-GB"/>
        </w:rPr>
      </w:pPr>
      <w:r>
        <w:rPr>
          <w:bCs/>
          <w:lang w:val="en-GB"/>
        </w:rPr>
        <w:t>The PBAC noted that a standard re-entry pathway was available to the sponsor. The PBAC considered a resubmission for dapagliflozin for CKD should address the following issues:</w:t>
      </w:r>
    </w:p>
    <w:p w14:paraId="4B481DE7" w14:textId="77777777" w:rsidR="00186851" w:rsidRPr="009C5A03" w:rsidRDefault="00186851" w:rsidP="00186851">
      <w:pPr>
        <w:pStyle w:val="ListParagraph"/>
        <w:numPr>
          <w:ilvl w:val="0"/>
          <w:numId w:val="5"/>
        </w:numPr>
        <w:ind w:left="1134"/>
        <w:rPr>
          <w:rFonts w:asciiTheme="minorHAnsi" w:hAnsiTheme="minorHAnsi"/>
          <w:bCs/>
          <w:snapToGrid w:val="0"/>
          <w:lang w:val="en-GB" w:eastAsia="en-US"/>
        </w:rPr>
      </w:pPr>
      <w:r>
        <w:rPr>
          <w:rFonts w:asciiTheme="minorHAnsi" w:hAnsiTheme="minorHAnsi"/>
          <w:bCs/>
          <w:snapToGrid w:val="0"/>
          <w:lang w:val="en-GB" w:eastAsia="en-US"/>
        </w:rPr>
        <w:t>Better define</w:t>
      </w:r>
      <w:r w:rsidRPr="009C5A03">
        <w:rPr>
          <w:rFonts w:asciiTheme="minorHAnsi" w:hAnsiTheme="minorHAnsi"/>
          <w:bCs/>
          <w:snapToGrid w:val="0"/>
          <w:lang w:val="en-GB" w:eastAsia="en-US"/>
        </w:rPr>
        <w:t xml:space="preserve"> the proportion of patients meeting the PBS criteria in terms of eGFR and UACR</w:t>
      </w:r>
      <w:r>
        <w:rPr>
          <w:rFonts w:asciiTheme="minorHAnsi" w:hAnsiTheme="minorHAnsi"/>
          <w:bCs/>
          <w:snapToGrid w:val="0"/>
          <w:lang w:val="en-GB" w:eastAsia="en-US"/>
        </w:rPr>
        <w:t>. The PBAC considered the estimates which informed the base case (58%) and scenario analysis (</w:t>
      </w:r>
      <w:r w:rsidRPr="009C5A03">
        <w:rPr>
          <w:rFonts w:asciiTheme="minorHAnsi" w:hAnsiTheme="minorHAnsi"/>
          <w:bCs/>
          <w:snapToGrid w:val="0"/>
          <w:lang w:val="en-GB" w:eastAsia="en-US"/>
        </w:rPr>
        <w:t>33.3%</w:t>
      </w:r>
      <w:r>
        <w:rPr>
          <w:rFonts w:asciiTheme="minorHAnsi" w:hAnsiTheme="minorHAnsi"/>
          <w:bCs/>
          <w:snapToGrid w:val="0"/>
          <w:lang w:val="en-GB" w:eastAsia="en-US"/>
        </w:rPr>
        <w:t>) to be over-estimates</w:t>
      </w:r>
      <w:r w:rsidRPr="009C5A03">
        <w:rPr>
          <w:rFonts w:asciiTheme="minorHAnsi" w:hAnsiTheme="minorHAnsi"/>
          <w:bCs/>
          <w:snapToGrid w:val="0"/>
          <w:lang w:val="en-GB" w:eastAsia="en-US"/>
        </w:rPr>
        <w:t>.</w:t>
      </w:r>
    </w:p>
    <w:p w14:paraId="28AFFCA3" w14:textId="77777777" w:rsidR="00186851" w:rsidRPr="007F1262" w:rsidRDefault="00186851" w:rsidP="00186851">
      <w:pPr>
        <w:pStyle w:val="ListParagraph"/>
        <w:numPr>
          <w:ilvl w:val="0"/>
          <w:numId w:val="5"/>
        </w:numPr>
        <w:ind w:left="1134"/>
        <w:rPr>
          <w:rFonts w:asciiTheme="minorHAnsi" w:hAnsiTheme="minorHAnsi"/>
          <w:bCs/>
          <w:snapToGrid w:val="0"/>
          <w:lang w:val="en-GB" w:eastAsia="en-US"/>
        </w:rPr>
      </w:pPr>
      <w:r w:rsidRPr="007F1262">
        <w:rPr>
          <w:rFonts w:asciiTheme="minorHAnsi" w:hAnsiTheme="minorHAnsi"/>
          <w:bCs/>
          <w:snapToGrid w:val="0"/>
          <w:lang w:val="en-GB" w:eastAsia="en-US"/>
        </w:rPr>
        <w:t>Reduce the treatment adherence from 98.6% to approximately 85%.</w:t>
      </w:r>
    </w:p>
    <w:p w14:paraId="027BCB44" w14:textId="77777777" w:rsidR="00186851" w:rsidRDefault="00186851" w:rsidP="00186851">
      <w:pPr>
        <w:pStyle w:val="ExecSumBodyText"/>
        <w:numPr>
          <w:ilvl w:val="1"/>
          <w:numId w:val="1"/>
        </w:numPr>
        <w:spacing w:before="240"/>
        <w:rPr>
          <w:bCs/>
          <w:lang w:val="en-GB" w:eastAsia="en-US"/>
        </w:rPr>
      </w:pPr>
      <w:r w:rsidRPr="00EA3023">
        <w:rPr>
          <w:bCs/>
          <w:lang w:val="en-GB" w:eastAsia="en-US"/>
        </w:rPr>
        <w:t>The resubmission may be lodged at any future standard due date for PBAC submissions using the standard re-entry pathway.</w:t>
      </w:r>
    </w:p>
    <w:p w14:paraId="62319F35" w14:textId="77777777" w:rsidR="00186851" w:rsidRDefault="00186851" w:rsidP="00186851">
      <w:pPr>
        <w:pStyle w:val="ExecSumBodyText"/>
        <w:numPr>
          <w:ilvl w:val="1"/>
          <w:numId w:val="1"/>
        </w:numPr>
        <w:rPr>
          <w:bCs/>
          <w:lang w:val="en-GB" w:eastAsia="en-US"/>
        </w:rPr>
      </w:pPr>
      <w:r>
        <w:rPr>
          <w:bCs/>
          <w:lang w:val="en-GB" w:eastAsia="en-US"/>
        </w:rPr>
        <w:t>In terms of the requested restriction, the PBAC recognised that the sponsor had addressed its main concerns, but noted the Secretariat’s advice that some additional refinement may be appropriate in order to improve clarity.</w:t>
      </w:r>
    </w:p>
    <w:p w14:paraId="24B5943E" w14:textId="77777777" w:rsidR="00186851" w:rsidRPr="005A690B" w:rsidRDefault="00186851" w:rsidP="00186851">
      <w:pPr>
        <w:pStyle w:val="ExecSumBodyText"/>
        <w:numPr>
          <w:ilvl w:val="1"/>
          <w:numId w:val="1"/>
        </w:numPr>
        <w:spacing w:before="120"/>
        <w:rPr>
          <w:lang w:val="en-GB"/>
        </w:rPr>
      </w:pPr>
      <w:r w:rsidRPr="005A690B">
        <w:rPr>
          <w:lang w:val="en-GB"/>
        </w:rPr>
        <w:t>The PBAC noted that this submission is not eligible for</w:t>
      </w:r>
      <w:r>
        <w:rPr>
          <w:lang w:val="en-GB"/>
        </w:rPr>
        <w:t xml:space="preserve"> an</w:t>
      </w:r>
      <w:r w:rsidRPr="005A690B">
        <w:rPr>
          <w:lang w:val="en-GB"/>
        </w:rPr>
        <w:t xml:space="preserve"> Independent Review.</w:t>
      </w:r>
    </w:p>
    <w:p w14:paraId="6504CCC9" w14:textId="77777777" w:rsidR="00186851" w:rsidRPr="00D8553E" w:rsidRDefault="00186851" w:rsidP="00186851">
      <w:pPr>
        <w:rPr>
          <w:rFonts w:asciiTheme="minorHAnsi" w:hAnsiTheme="minorHAnsi"/>
          <w:b/>
          <w:bCs/>
          <w:snapToGrid w:val="0"/>
          <w:lang w:val="en-GB"/>
        </w:rPr>
      </w:pPr>
      <w:r>
        <w:rPr>
          <w:rFonts w:asciiTheme="minorHAnsi" w:hAnsiTheme="minorHAnsi"/>
          <w:b/>
          <w:bCs/>
          <w:snapToGrid w:val="0"/>
          <w:lang w:val="en-GB"/>
        </w:rPr>
        <w:br/>
      </w:r>
      <w:r w:rsidRPr="00D8553E">
        <w:rPr>
          <w:rFonts w:asciiTheme="minorHAnsi" w:hAnsiTheme="minorHAnsi"/>
          <w:b/>
          <w:bCs/>
          <w:snapToGrid w:val="0"/>
          <w:lang w:val="en-GB"/>
        </w:rPr>
        <w:t>Outcome:</w:t>
      </w:r>
    </w:p>
    <w:p w14:paraId="0431390E" w14:textId="77777777" w:rsidR="00186851" w:rsidRDefault="00186851" w:rsidP="00186851">
      <w:pPr>
        <w:rPr>
          <w:rFonts w:asciiTheme="minorHAnsi" w:hAnsiTheme="minorHAnsi"/>
          <w:bCs/>
          <w:snapToGrid w:val="0"/>
          <w:lang w:val="en-GB"/>
        </w:rPr>
      </w:pPr>
      <w:r>
        <w:rPr>
          <w:rFonts w:asciiTheme="minorHAnsi" w:hAnsiTheme="minorHAnsi"/>
          <w:bCs/>
          <w:snapToGrid w:val="0"/>
          <w:lang w:val="en-GB"/>
        </w:rPr>
        <w:t>Not recommended</w:t>
      </w:r>
    </w:p>
    <w:p w14:paraId="6F666F20" w14:textId="77777777" w:rsidR="00186851" w:rsidRDefault="00186851" w:rsidP="00544EA9">
      <w:pPr>
        <w:widowControl w:val="0"/>
        <w:rPr>
          <w:rFonts w:asciiTheme="minorHAnsi" w:hAnsiTheme="minorHAnsi"/>
          <w:b/>
          <w:bCs/>
          <w:snapToGrid w:val="0"/>
        </w:rPr>
      </w:pPr>
    </w:p>
    <w:p w14:paraId="47C222CC" w14:textId="77777777" w:rsidR="007034BB" w:rsidRPr="007034BB" w:rsidRDefault="007034BB" w:rsidP="007034BB">
      <w:pPr>
        <w:pStyle w:val="2-SectionHeading"/>
        <w:numPr>
          <w:ilvl w:val="0"/>
          <w:numId w:val="1"/>
        </w:numPr>
      </w:pPr>
      <w:r w:rsidRPr="00C07617">
        <w:t>Context for Decision</w:t>
      </w:r>
    </w:p>
    <w:p w14:paraId="7DBDD5D4" w14:textId="77777777" w:rsidR="007034BB" w:rsidRPr="007129F2" w:rsidRDefault="007034BB" w:rsidP="007034B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6C13187" w14:textId="77777777" w:rsidR="007034BB" w:rsidRPr="007034BB" w:rsidRDefault="007034BB" w:rsidP="007034BB">
      <w:pPr>
        <w:pStyle w:val="2-SectionHeading"/>
        <w:numPr>
          <w:ilvl w:val="0"/>
          <w:numId w:val="1"/>
        </w:numPr>
      </w:pPr>
      <w:r>
        <w:t>Sponsor’s Comment</w:t>
      </w:r>
    </w:p>
    <w:p w14:paraId="6C9610A3" w14:textId="77777777" w:rsidR="009B5A1D" w:rsidRDefault="009B5A1D" w:rsidP="009B5A1D"/>
    <w:p w14:paraId="54091C26" w14:textId="77777777" w:rsidR="009B5A1D" w:rsidRPr="001179AC" w:rsidRDefault="009B5A1D" w:rsidP="009B5A1D">
      <w:pPr>
        <w:ind w:firstLine="720"/>
      </w:pPr>
      <w:r w:rsidRPr="00C07617">
        <w:t>The sponsor had no comment.</w:t>
      </w:r>
    </w:p>
    <w:p w14:paraId="7C89BD09" w14:textId="77777777" w:rsidR="00CB73BD" w:rsidRDefault="00CB73BD">
      <w:pPr>
        <w:jc w:val="left"/>
        <w:rPr>
          <w:b/>
          <w:snapToGrid w:val="0"/>
          <w:color w:val="FF0000"/>
          <w:sz w:val="28"/>
          <w:szCs w:val="22"/>
          <w:lang w:eastAsia="en-US"/>
        </w:rPr>
      </w:pPr>
      <w:r>
        <w:rPr>
          <w:color w:val="FF0000"/>
        </w:rPr>
        <w:br w:type="page"/>
      </w:r>
    </w:p>
    <w:p w14:paraId="4B25FD4D" w14:textId="77777777" w:rsidR="00D27059" w:rsidRDefault="00D27059" w:rsidP="00CB73BD">
      <w:pPr>
        <w:pStyle w:val="GeneralHeading"/>
        <w:spacing w:before="360"/>
      </w:pPr>
      <w:r w:rsidRPr="00957087">
        <w:rPr>
          <w:color w:val="FF0000"/>
        </w:rPr>
        <w:t xml:space="preserve">Addendum to the </w:t>
      </w:r>
      <w:r>
        <w:rPr>
          <w:color w:val="FF0000"/>
        </w:rPr>
        <w:t xml:space="preserve">September </w:t>
      </w:r>
      <w:r w:rsidRPr="00957087">
        <w:rPr>
          <w:color w:val="FF0000"/>
        </w:rPr>
        <w:t xml:space="preserve">2021 PBAC </w:t>
      </w:r>
      <w:r w:rsidR="003318FB">
        <w:rPr>
          <w:color w:val="FF0000"/>
        </w:rPr>
        <w:t>PSD</w:t>
      </w:r>
      <w:r w:rsidRPr="00957087">
        <w:rPr>
          <w:color w:val="FF0000"/>
        </w:rPr>
        <w:t>:</w:t>
      </w:r>
    </w:p>
    <w:p w14:paraId="0B7356B5" w14:textId="77777777" w:rsidR="00D27059" w:rsidRPr="00644691" w:rsidRDefault="00D27059" w:rsidP="00D27059">
      <w:pPr>
        <w:pStyle w:val="1-MainHeading"/>
      </w:pPr>
      <w:r>
        <w:t>3.01</w:t>
      </w:r>
      <w:r w:rsidRPr="00644691">
        <w:tab/>
        <w:t>DAPAGLIFLOZIN,</w:t>
      </w:r>
      <w:r w:rsidRPr="00644691">
        <w:br/>
        <w:t>Tablet 10 mg,</w:t>
      </w:r>
      <w:r w:rsidRPr="00644691">
        <w:br/>
        <w:t>Forxiga</w:t>
      </w:r>
      <w:r w:rsidRPr="00644691">
        <w:rPr>
          <w:rFonts w:cstheme="minorHAnsi"/>
        </w:rPr>
        <w:t>®</w:t>
      </w:r>
      <w:r w:rsidRPr="00644691">
        <w:t>,</w:t>
      </w:r>
      <w:r w:rsidRPr="00644691">
        <w:br/>
        <w:t>AstraZeneca Pty Ltd</w:t>
      </w:r>
    </w:p>
    <w:p w14:paraId="62D20829" w14:textId="77777777" w:rsidR="00D27059" w:rsidRPr="00E50047" w:rsidRDefault="00D27059" w:rsidP="00D27059">
      <w:pPr>
        <w:pStyle w:val="2-SectionHeading"/>
        <w:numPr>
          <w:ilvl w:val="0"/>
          <w:numId w:val="1"/>
        </w:numPr>
      </w:pPr>
      <w:r>
        <w:t>Background</w:t>
      </w:r>
    </w:p>
    <w:p w14:paraId="2E9005C1" w14:textId="77777777" w:rsidR="00D27059" w:rsidRDefault="00D27059" w:rsidP="00D27059">
      <w:pPr>
        <w:rPr>
          <w:rFonts w:asciiTheme="minorHAnsi" w:hAnsiTheme="minorHAnsi"/>
          <w:highlight w:val="cyan"/>
        </w:rPr>
      </w:pPr>
    </w:p>
    <w:p w14:paraId="6639966D" w14:textId="77777777" w:rsidR="00D27059" w:rsidRPr="0004100E" w:rsidRDefault="00D27059" w:rsidP="00D27059">
      <w:pPr>
        <w:pStyle w:val="3-BodyText"/>
        <w:numPr>
          <w:ilvl w:val="1"/>
          <w:numId w:val="1"/>
        </w:numPr>
        <w:spacing w:after="0"/>
        <w:contextualSpacing/>
        <w:jc w:val="left"/>
        <w:rPr>
          <w:b/>
          <w:i/>
        </w:rPr>
      </w:pPr>
      <w:r>
        <w:t>Additional information was provided by the sponsor that was considered at the November 2021 PBAC</w:t>
      </w:r>
      <w:r>
        <w:rPr>
          <w:iCs/>
        </w:rPr>
        <w:t xml:space="preserve">. The following inputs </w:t>
      </w:r>
      <w:r>
        <w:t>to the financial estimates were</w:t>
      </w:r>
      <w:r w:rsidRPr="00057AE6">
        <w:t xml:space="preserve"> </w:t>
      </w:r>
      <w:r>
        <w:t>revised</w:t>
      </w:r>
      <w:r w:rsidRPr="00057AE6">
        <w:t xml:space="preserve"> since the PBAC’s consideration at the September 2021 Intracycle meeting</w:t>
      </w:r>
      <w:r>
        <w:t xml:space="preserve">: </w:t>
      </w:r>
    </w:p>
    <w:p w14:paraId="4A4CC138" w14:textId="77777777" w:rsidR="00D27059" w:rsidRPr="00E0568C" w:rsidRDefault="00D27059" w:rsidP="007F240C">
      <w:pPr>
        <w:pStyle w:val="3Bodytext"/>
        <w:numPr>
          <w:ilvl w:val="0"/>
          <w:numId w:val="9"/>
        </w:numPr>
        <w:spacing w:after="0"/>
        <w:contextualSpacing/>
      </w:pPr>
      <w:r w:rsidRPr="00E0568C">
        <w:t xml:space="preserve">Proportion of patients meeting </w:t>
      </w:r>
      <w:r w:rsidRPr="00121962">
        <w:rPr>
          <w:szCs w:val="18"/>
        </w:rPr>
        <w:t>estimated glomerular filtration rate</w:t>
      </w:r>
      <w:r w:rsidRPr="00E0568C">
        <w:t xml:space="preserve"> </w:t>
      </w:r>
      <w:r>
        <w:t>(</w:t>
      </w:r>
      <w:r w:rsidRPr="00E0568C">
        <w:t>eGFR</w:t>
      </w:r>
      <w:r>
        <w:t>)</w:t>
      </w:r>
      <w:r w:rsidRPr="00E0568C">
        <w:t xml:space="preserve"> and</w:t>
      </w:r>
      <w:r>
        <w:t xml:space="preserve"> </w:t>
      </w:r>
      <w:r w:rsidRPr="00121962">
        <w:rPr>
          <w:szCs w:val="18"/>
        </w:rPr>
        <w:t>urinary albumin to creatinine ratio</w:t>
      </w:r>
      <w:r w:rsidRPr="00E0568C">
        <w:t xml:space="preserve"> </w:t>
      </w:r>
      <w:r>
        <w:t>(</w:t>
      </w:r>
      <w:r w:rsidRPr="00E0568C">
        <w:t>uACR</w:t>
      </w:r>
      <w:r>
        <w:t>)</w:t>
      </w:r>
      <w:r w:rsidRPr="00E0568C">
        <w:t xml:space="preserve"> criteria:</w:t>
      </w:r>
      <w:r>
        <w:t xml:space="preserve"> </w:t>
      </w:r>
      <w:r w:rsidRPr="00E0568C">
        <w:t>This estimate ha</w:t>
      </w:r>
      <w:r>
        <w:t>d</w:t>
      </w:r>
      <w:r w:rsidRPr="00E0568C">
        <w:t xml:space="preserve"> been reduced based on an additional proportion of macroalbuminuria applied to the proportion of patients diagnosed with CKD meeting the eGFR criteria (23.7%).</w:t>
      </w:r>
    </w:p>
    <w:p w14:paraId="7D9D5137" w14:textId="77777777" w:rsidR="00D27059" w:rsidRPr="0004100E" w:rsidRDefault="00D27059" w:rsidP="007F240C">
      <w:pPr>
        <w:pStyle w:val="ListParagraph"/>
        <w:numPr>
          <w:ilvl w:val="0"/>
          <w:numId w:val="9"/>
        </w:numPr>
        <w:jc w:val="left"/>
        <w:rPr>
          <w:rFonts w:cstheme="minorHAnsi"/>
        </w:rPr>
      </w:pPr>
      <w:r w:rsidRPr="0004100E">
        <w:rPr>
          <w:rFonts w:cstheme="minorHAnsi"/>
        </w:rPr>
        <w:t>Overlapping population with T2DM eligible for an SGLT2-I under current T2DM listings:</w:t>
      </w:r>
      <w:r>
        <w:rPr>
          <w:rFonts w:cstheme="minorHAnsi"/>
        </w:rPr>
        <w:t xml:space="preserve"> </w:t>
      </w:r>
      <w:r w:rsidRPr="0004100E">
        <w:rPr>
          <w:rFonts w:cstheme="minorHAnsi"/>
        </w:rPr>
        <w:t xml:space="preserve">This </w:t>
      </w:r>
      <w:r>
        <w:rPr>
          <w:rFonts w:cstheme="minorHAnsi"/>
        </w:rPr>
        <w:t>was</w:t>
      </w:r>
      <w:r w:rsidRPr="0004100E">
        <w:rPr>
          <w:rFonts w:cstheme="minorHAnsi"/>
        </w:rPr>
        <w:t xml:space="preserve"> reduced to the proportion proposed by the PBAC (83.2%).</w:t>
      </w:r>
    </w:p>
    <w:p w14:paraId="17419CF3" w14:textId="77777777" w:rsidR="00D27059" w:rsidRPr="00F17BC0" w:rsidRDefault="00D27059" w:rsidP="007F240C">
      <w:pPr>
        <w:pStyle w:val="3-BodyText"/>
        <w:numPr>
          <w:ilvl w:val="0"/>
          <w:numId w:val="9"/>
        </w:numPr>
        <w:spacing w:after="0"/>
        <w:contextualSpacing/>
        <w:jc w:val="left"/>
        <w:rPr>
          <w:b/>
          <w:i/>
        </w:rPr>
      </w:pPr>
      <w:r>
        <w:rPr>
          <w:rFonts w:cstheme="minorHAnsi"/>
        </w:rPr>
        <w:t>T</w:t>
      </w:r>
      <w:r w:rsidRPr="00E0568C">
        <w:rPr>
          <w:rFonts w:cstheme="minorHAnsi"/>
        </w:rPr>
        <w:t xml:space="preserve">he revised estimates </w:t>
      </w:r>
      <w:r>
        <w:rPr>
          <w:rFonts w:cstheme="minorHAnsi"/>
        </w:rPr>
        <w:t>assumed a</w:t>
      </w:r>
      <w:r w:rsidRPr="00E0568C">
        <w:rPr>
          <w:rFonts w:cstheme="minorHAnsi"/>
        </w:rPr>
        <w:t xml:space="preserve"> higher diagnosis rate.</w:t>
      </w:r>
    </w:p>
    <w:p w14:paraId="4B2ED464" w14:textId="77777777" w:rsidR="00D27059" w:rsidRPr="00935817" w:rsidRDefault="00D27059" w:rsidP="00D27059">
      <w:pPr>
        <w:pStyle w:val="ExecSumBodyText"/>
        <w:numPr>
          <w:ilvl w:val="1"/>
          <w:numId w:val="1"/>
        </w:numPr>
        <w:spacing w:before="240"/>
      </w:pPr>
      <w:r>
        <w:t xml:space="preserve">Table 23 </w:t>
      </w:r>
      <w:r w:rsidRPr="00935817">
        <w:t>below</w:t>
      </w:r>
      <w:r>
        <w:t xml:space="preserve"> compares the methods and assumptions used in the financial estimates presented to PBAC in September and November 2021 (see Table 19 for a comparison between the July and September 2021 methods and assumptions). Table 23 only covers parameters that determine the number of eligible patients as these were the ones considered most critical by the PBAC.</w:t>
      </w:r>
    </w:p>
    <w:p w14:paraId="5E96F06B" w14:textId="77777777" w:rsidR="00D27059" w:rsidRDefault="00D27059" w:rsidP="00D27059">
      <w:pPr>
        <w:pStyle w:val="5Tableheaders"/>
        <w:keepNext/>
      </w:pPr>
      <w:r>
        <w:t>Table 23:</w:t>
      </w:r>
      <w:r w:rsidRPr="00B10FDD">
        <w:t xml:space="preserve"> </w:t>
      </w:r>
      <w:r>
        <w:t>Key inputs</w:t>
      </w:r>
      <w:r w:rsidRPr="00B10FDD">
        <w:t xml:space="preserve"> used in the</w:t>
      </w:r>
      <w:r>
        <w:t xml:space="preserve"> financial estimates presented to PBAC in September 2021 and November 2021, for</w:t>
      </w:r>
      <w:r w:rsidRPr="00B10FDD">
        <w:t xml:space="preserve"> </w:t>
      </w:r>
      <w:r>
        <w:t>chronic kidney disease</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4192"/>
        <w:gridCol w:w="2089"/>
        <w:gridCol w:w="1701"/>
      </w:tblGrid>
      <w:tr w:rsidR="00D27059" w:rsidRPr="00A832D4" w14:paraId="6A192206" w14:textId="77777777" w:rsidTr="00CB73BD">
        <w:trPr>
          <w:cantSplit/>
          <w:tblHeader/>
        </w:trPr>
        <w:tc>
          <w:tcPr>
            <w:tcW w:w="687" w:type="pct"/>
            <w:vMerge w:val="restart"/>
            <w:shd w:val="clear" w:color="auto" w:fill="auto"/>
            <w:vAlign w:val="center"/>
          </w:tcPr>
          <w:p w14:paraId="5F922EE2" w14:textId="77777777" w:rsidR="00D27059" w:rsidRPr="00A832D4" w:rsidRDefault="00D27059" w:rsidP="00CB73BD">
            <w:pPr>
              <w:jc w:val="center"/>
              <w:rPr>
                <w:rFonts w:ascii="Arial Narrow" w:hAnsi="Arial Narrow"/>
                <w:b/>
                <w:bCs/>
                <w:sz w:val="20"/>
                <w:szCs w:val="20"/>
              </w:rPr>
            </w:pPr>
            <w:r w:rsidRPr="00A832D4">
              <w:rPr>
                <w:rFonts w:ascii="Arial Narrow" w:hAnsi="Arial Narrow"/>
                <w:b/>
                <w:bCs/>
                <w:sz w:val="20"/>
                <w:szCs w:val="20"/>
              </w:rPr>
              <w:t>Parameter</w:t>
            </w:r>
          </w:p>
        </w:tc>
        <w:tc>
          <w:tcPr>
            <w:tcW w:w="2265" w:type="pct"/>
            <w:shd w:val="clear" w:color="auto" w:fill="auto"/>
            <w:vAlign w:val="center"/>
          </w:tcPr>
          <w:p w14:paraId="061D712B" w14:textId="77777777" w:rsidR="00D27059" w:rsidRPr="00A832D4" w:rsidRDefault="00D27059" w:rsidP="00CB73BD">
            <w:pPr>
              <w:jc w:val="center"/>
              <w:rPr>
                <w:rFonts w:ascii="Arial Narrow" w:hAnsi="Arial Narrow"/>
                <w:b/>
                <w:bCs/>
                <w:sz w:val="20"/>
                <w:szCs w:val="20"/>
              </w:rPr>
            </w:pPr>
            <w:r w:rsidRPr="00A832D4">
              <w:rPr>
                <w:rFonts w:ascii="Arial Narrow" w:hAnsi="Arial Narrow"/>
                <w:b/>
                <w:bCs/>
                <w:sz w:val="20"/>
                <w:szCs w:val="20"/>
              </w:rPr>
              <w:t>Value applied and source</w:t>
            </w:r>
          </w:p>
        </w:tc>
        <w:tc>
          <w:tcPr>
            <w:tcW w:w="1129" w:type="pct"/>
          </w:tcPr>
          <w:p w14:paraId="328B22AA" w14:textId="77777777" w:rsidR="00D27059" w:rsidRDefault="00D27059" w:rsidP="00CB73BD">
            <w:pPr>
              <w:jc w:val="center"/>
              <w:rPr>
                <w:rFonts w:ascii="Arial Narrow" w:hAnsi="Arial Narrow"/>
                <w:b/>
                <w:bCs/>
                <w:sz w:val="20"/>
                <w:szCs w:val="20"/>
              </w:rPr>
            </w:pPr>
          </w:p>
        </w:tc>
        <w:tc>
          <w:tcPr>
            <w:tcW w:w="919" w:type="pct"/>
          </w:tcPr>
          <w:p w14:paraId="1EBD9566" w14:textId="77777777" w:rsidR="00D27059" w:rsidRPr="00A832D4" w:rsidRDefault="00D27059" w:rsidP="00CB73BD">
            <w:pPr>
              <w:jc w:val="center"/>
              <w:rPr>
                <w:rFonts w:ascii="Arial Narrow" w:hAnsi="Arial Narrow"/>
                <w:b/>
                <w:bCs/>
                <w:sz w:val="20"/>
                <w:szCs w:val="20"/>
              </w:rPr>
            </w:pPr>
            <w:r>
              <w:rPr>
                <w:rFonts w:ascii="Arial Narrow" w:hAnsi="Arial Narrow"/>
                <w:b/>
                <w:bCs/>
                <w:sz w:val="20"/>
                <w:szCs w:val="20"/>
              </w:rPr>
              <w:t xml:space="preserve">PBAC view </w:t>
            </w:r>
          </w:p>
        </w:tc>
      </w:tr>
      <w:tr w:rsidR="00D27059" w:rsidRPr="00A832D4" w14:paraId="1AB3DA4D" w14:textId="77777777" w:rsidTr="00CB73BD">
        <w:trPr>
          <w:cantSplit/>
        </w:trPr>
        <w:tc>
          <w:tcPr>
            <w:tcW w:w="687" w:type="pct"/>
            <w:vMerge/>
            <w:shd w:val="clear" w:color="auto" w:fill="D9D9D9"/>
          </w:tcPr>
          <w:p w14:paraId="613B3451" w14:textId="77777777" w:rsidR="00D27059" w:rsidRPr="00A832D4" w:rsidRDefault="00D27059" w:rsidP="00CB73BD">
            <w:pPr>
              <w:jc w:val="left"/>
              <w:rPr>
                <w:rFonts w:ascii="Arial Narrow" w:hAnsi="Arial Narrow"/>
                <w:b/>
                <w:bCs/>
                <w:sz w:val="20"/>
                <w:szCs w:val="20"/>
              </w:rPr>
            </w:pPr>
          </w:p>
        </w:tc>
        <w:tc>
          <w:tcPr>
            <w:tcW w:w="2265" w:type="pct"/>
            <w:shd w:val="clear" w:color="auto" w:fill="auto"/>
            <w:vAlign w:val="center"/>
          </w:tcPr>
          <w:p w14:paraId="3752F619" w14:textId="77777777" w:rsidR="00D27059" w:rsidRPr="00A832D4" w:rsidRDefault="00D27059" w:rsidP="00CB73BD">
            <w:pPr>
              <w:jc w:val="center"/>
              <w:rPr>
                <w:rFonts w:ascii="Arial Narrow" w:hAnsi="Arial Narrow"/>
                <w:b/>
                <w:bCs/>
                <w:sz w:val="20"/>
                <w:szCs w:val="20"/>
              </w:rPr>
            </w:pPr>
            <w:r>
              <w:rPr>
                <w:rFonts w:ascii="Arial Narrow" w:hAnsi="Arial Narrow"/>
                <w:b/>
                <w:bCs/>
                <w:sz w:val="20"/>
                <w:szCs w:val="20"/>
              </w:rPr>
              <w:t>September</w:t>
            </w:r>
            <w:r w:rsidRPr="00A832D4">
              <w:rPr>
                <w:rFonts w:ascii="Arial Narrow" w:hAnsi="Arial Narrow"/>
                <w:b/>
                <w:bCs/>
                <w:sz w:val="20"/>
                <w:szCs w:val="20"/>
              </w:rPr>
              <w:t xml:space="preserve"> 2021</w:t>
            </w:r>
            <w:r>
              <w:rPr>
                <w:rFonts w:ascii="Arial Narrow" w:hAnsi="Arial Narrow"/>
                <w:b/>
                <w:bCs/>
                <w:sz w:val="20"/>
                <w:szCs w:val="20"/>
              </w:rPr>
              <w:t xml:space="preserve"> estimates</w:t>
            </w:r>
          </w:p>
        </w:tc>
        <w:tc>
          <w:tcPr>
            <w:tcW w:w="1129" w:type="pct"/>
            <w:shd w:val="clear" w:color="auto" w:fill="auto"/>
            <w:vAlign w:val="center"/>
          </w:tcPr>
          <w:p w14:paraId="04B7DB6D" w14:textId="77777777" w:rsidR="00D27059" w:rsidRPr="00A832D4" w:rsidRDefault="00D27059" w:rsidP="00CB73BD">
            <w:pPr>
              <w:jc w:val="center"/>
              <w:rPr>
                <w:rFonts w:ascii="Arial Narrow" w:hAnsi="Arial Narrow"/>
                <w:b/>
                <w:bCs/>
                <w:iCs/>
                <w:sz w:val="20"/>
                <w:szCs w:val="20"/>
              </w:rPr>
            </w:pPr>
            <w:r>
              <w:rPr>
                <w:rFonts w:ascii="Arial Narrow" w:hAnsi="Arial Narrow"/>
                <w:b/>
                <w:bCs/>
                <w:iCs/>
                <w:sz w:val="20"/>
                <w:szCs w:val="20"/>
              </w:rPr>
              <w:t>November</w:t>
            </w:r>
            <w:r w:rsidRPr="00A832D4">
              <w:rPr>
                <w:rFonts w:ascii="Arial Narrow" w:hAnsi="Arial Narrow"/>
                <w:b/>
                <w:bCs/>
                <w:iCs/>
                <w:sz w:val="20"/>
                <w:szCs w:val="20"/>
              </w:rPr>
              <w:t xml:space="preserve"> 2021</w:t>
            </w:r>
            <w:r>
              <w:rPr>
                <w:rFonts w:ascii="Arial Narrow" w:hAnsi="Arial Narrow"/>
                <w:b/>
                <w:bCs/>
                <w:iCs/>
                <w:sz w:val="20"/>
                <w:szCs w:val="20"/>
              </w:rPr>
              <w:t xml:space="preserve"> estimates</w:t>
            </w:r>
          </w:p>
        </w:tc>
        <w:tc>
          <w:tcPr>
            <w:tcW w:w="919" w:type="pct"/>
          </w:tcPr>
          <w:p w14:paraId="1C699CDF" w14:textId="77777777" w:rsidR="00D27059" w:rsidRPr="00A832D4" w:rsidRDefault="00D27059" w:rsidP="00CB73BD">
            <w:pPr>
              <w:jc w:val="center"/>
              <w:rPr>
                <w:rFonts w:ascii="Arial Narrow" w:hAnsi="Arial Narrow"/>
                <w:b/>
                <w:bCs/>
                <w:iCs/>
                <w:sz w:val="20"/>
                <w:szCs w:val="20"/>
              </w:rPr>
            </w:pPr>
          </w:p>
        </w:tc>
      </w:tr>
      <w:tr w:rsidR="00D27059" w:rsidRPr="00A832D4" w14:paraId="632864F1" w14:textId="77777777" w:rsidTr="00CB73BD">
        <w:trPr>
          <w:cantSplit/>
        </w:trPr>
        <w:tc>
          <w:tcPr>
            <w:tcW w:w="687" w:type="pct"/>
            <w:shd w:val="clear" w:color="auto" w:fill="auto"/>
          </w:tcPr>
          <w:p w14:paraId="00CA73CC"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 xml:space="preserve">Australian adults (%) with biomedical data suggesting CKD </w:t>
            </w:r>
          </w:p>
        </w:tc>
        <w:tc>
          <w:tcPr>
            <w:tcW w:w="2265" w:type="pct"/>
            <w:shd w:val="clear" w:color="auto" w:fill="auto"/>
          </w:tcPr>
          <w:p w14:paraId="71C918F2"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Assumed prevalence of 10%,</w:t>
            </w:r>
          </w:p>
          <w:p w14:paraId="4ACEF2D3"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based on patient biomedical data (2011-12 NHMS) and KHA (2012) definition of CKD</w:t>
            </w:r>
          </w:p>
          <w:p w14:paraId="0046783A"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Year 1: 2,075,792 to Year 6: 2,239,310</w:t>
            </w:r>
          </w:p>
          <w:p w14:paraId="2A7EE7F1" w14:textId="77777777" w:rsidR="00D27059" w:rsidRPr="00A832D4" w:rsidRDefault="00D27059" w:rsidP="00CB73BD">
            <w:pPr>
              <w:jc w:val="left"/>
              <w:rPr>
                <w:rFonts w:ascii="Arial Narrow" w:hAnsi="Arial Narrow"/>
                <w:sz w:val="20"/>
                <w:szCs w:val="20"/>
              </w:rPr>
            </w:pPr>
          </w:p>
          <w:p w14:paraId="6194DC18" w14:textId="77777777" w:rsidR="00D27059" w:rsidRPr="00A832D4" w:rsidRDefault="00D27059" w:rsidP="00CB73BD">
            <w:pPr>
              <w:jc w:val="left"/>
              <w:rPr>
                <w:rFonts w:ascii="Arial Narrow" w:hAnsi="Arial Narrow"/>
                <w:b/>
                <w:bCs/>
                <w:sz w:val="20"/>
                <w:szCs w:val="20"/>
              </w:rPr>
            </w:pPr>
            <w:r w:rsidRPr="00A832D4">
              <w:rPr>
                <w:rFonts w:ascii="Arial Narrow" w:hAnsi="Arial Narrow"/>
                <w:b/>
                <w:sz w:val="20"/>
                <w:szCs w:val="20"/>
              </w:rPr>
              <w:t>PBAC consideration:</w:t>
            </w:r>
          </w:p>
          <w:p w14:paraId="26CC8140" w14:textId="77777777" w:rsidR="00D27059" w:rsidRPr="005D7D71" w:rsidRDefault="00D27059" w:rsidP="00CB73BD">
            <w:pPr>
              <w:jc w:val="left"/>
              <w:rPr>
                <w:rFonts w:ascii="Arial Narrow" w:hAnsi="Arial Narrow"/>
                <w:iCs/>
                <w:sz w:val="20"/>
                <w:szCs w:val="20"/>
              </w:rPr>
            </w:pPr>
            <w:r>
              <w:rPr>
                <w:rFonts w:ascii="Arial Narrow" w:hAnsi="Arial Narrow"/>
                <w:iCs/>
                <w:sz w:val="20"/>
                <w:szCs w:val="20"/>
              </w:rPr>
              <w:t>Reasonable, but highly uncertain</w:t>
            </w:r>
          </w:p>
        </w:tc>
        <w:tc>
          <w:tcPr>
            <w:tcW w:w="1129" w:type="pct"/>
            <w:shd w:val="clear" w:color="auto" w:fill="auto"/>
          </w:tcPr>
          <w:p w14:paraId="0E8749BF" w14:textId="77777777" w:rsidR="00D27059" w:rsidRPr="00A832D4" w:rsidRDefault="00D27059" w:rsidP="00CB73BD">
            <w:pPr>
              <w:jc w:val="left"/>
              <w:rPr>
                <w:rFonts w:ascii="Arial Narrow" w:hAnsi="Arial Narrow"/>
                <w:iCs/>
                <w:sz w:val="20"/>
                <w:szCs w:val="20"/>
              </w:rPr>
            </w:pPr>
            <w:r w:rsidRPr="00A832D4">
              <w:rPr>
                <w:rFonts w:ascii="Arial Narrow" w:hAnsi="Arial Narrow"/>
                <w:iCs/>
                <w:sz w:val="20"/>
                <w:szCs w:val="20"/>
              </w:rPr>
              <w:t>Year 1: 2,075,792 to Year 6: 2,239,310</w:t>
            </w:r>
          </w:p>
          <w:p w14:paraId="7724E186" w14:textId="77777777" w:rsidR="00D27059" w:rsidRPr="00A832D4" w:rsidRDefault="00D27059" w:rsidP="00CB73BD">
            <w:pPr>
              <w:jc w:val="left"/>
              <w:rPr>
                <w:rFonts w:ascii="Arial Narrow" w:hAnsi="Arial Narrow"/>
                <w:iCs/>
                <w:sz w:val="20"/>
                <w:szCs w:val="20"/>
                <w:highlight w:val="yellow"/>
              </w:rPr>
            </w:pPr>
          </w:p>
          <w:p w14:paraId="5CECDA46" w14:textId="77777777" w:rsidR="00D27059" w:rsidRPr="00A832D4" w:rsidRDefault="00D27059" w:rsidP="00CB73BD">
            <w:pPr>
              <w:jc w:val="left"/>
              <w:rPr>
                <w:rFonts w:ascii="Arial Narrow" w:hAnsi="Arial Narrow"/>
                <w:iCs/>
                <w:sz w:val="20"/>
                <w:szCs w:val="20"/>
                <w:highlight w:val="yellow"/>
              </w:rPr>
            </w:pPr>
            <w:r w:rsidRPr="00A832D4">
              <w:rPr>
                <w:rFonts w:ascii="Arial Narrow" w:hAnsi="Arial Narrow"/>
                <w:iCs/>
                <w:sz w:val="20"/>
                <w:szCs w:val="20"/>
              </w:rPr>
              <w:t>Unchanged</w:t>
            </w:r>
            <w:r>
              <w:rPr>
                <w:rFonts w:ascii="Arial Narrow" w:hAnsi="Arial Narrow"/>
                <w:iCs/>
                <w:sz w:val="20"/>
                <w:szCs w:val="20"/>
              </w:rPr>
              <w:t>.</w:t>
            </w:r>
            <w:r w:rsidRPr="00A832D4">
              <w:rPr>
                <w:rFonts w:ascii="Arial Narrow" w:hAnsi="Arial Narrow"/>
                <w:iCs/>
                <w:sz w:val="20"/>
                <w:szCs w:val="20"/>
                <w:highlight w:val="yellow"/>
              </w:rPr>
              <w:t xml:space="preserve"> </w:t>
            </w:r>
          </w:p>
        </w:tc>
        <w:tc>
          <w:tcPr>
            <w:tcW w:w="919" w:type="pct"/>
          </w:tcPr>
          <w:p w14:paraId="057E8E5E" w14:textId="77777777" w:rsidR="00D27059" w:rsidRPr="00A832D4" w:rsidRDefault="00D27059" w:rsidP="00CB73BD">
            <w:pPr>
              <w:jc w:val="left"/>
              <w:rPr>
                <w:rFonts w:ascii="Arial Narrow" w:hAnsi="Arial Narrow"/>
                <w:iCs/>
                <w:sz w:val="20"/>
                <w:szCs w:val="20"/>
              </w:rPr>
            </w:pPr>
            <w:r w:rsidRPr="00FE1875">
              <w:rPr>
                <w:rFonts w:ascii="Arial Narrow" w:hAnsi="Arial Narrow"/>
                <w:iCs/>
                <w:sz w:val="20"/>
                <w:szCs w:val="20"/>
              </w:rPr>
              <w:t>Assumption considered reasonable by PBAC</w:t>
            </w:r>
            <w:r>
              <w:rPr>
                <w:rFonts w:ascii="Arial Narrow" w:hAnsi="Arial Narrow"/>
                <w:iCs/>
                <w:sz w:val="20"/>
                <w:szCs w:val="20"/>
              </w:rPr>
              <w:t>. 2,075,792 in 2022 is reasonably consistent with the 1,712,500 from the 2011-12 AHS.</w:t>
            </w:r>
          </w:p>
        </w:tc>
      </w:tr>
      <w:tr w:rsidR="00D27059" w:rsidRPr="00A832D4" w14:paraId="780B4C02" w14:textId="77777777" w:rsidTr="00CB73BD">
        <w:trPr>
          <w:cantSplit/>
        </w:trPr>
        <w:tc>
          <w:tcPr>
            <w:tcW w:w="687" w:type="pct"/>
            <w:shd w:val="clear" w:color="auto" w:fill="auto"/>
          </w:tcPr>
          <w:p w14:paraId="1FB5659E"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 xml:space="preserve">Adults (%) with biomedical data suggesting CKD, likely to be diagnosed with CKD </w:t>
            </w:r>
          </w:p>
        </w:tc>
        <w:tc>
          <w:tcPr>
            <w:tcW w:w="2265" w:type="pct"/>
            <w:shd w:val="clear" w:color="auto" w:fill="auto"/>
          </w:tcPr>
          <w:p w14:paraId="0D081FBD"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Rate of diagnosis of 10% based on survey of self-reported kidney disease</w:t>
            </w:r>
          </w:p>
          <w:p w14:paraId="0BB65820"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Year 1: 10% (2011-12 AHS)</w:t>
            </w:r>
          </w:p>
          <w:p w14:paraId="6D5F7B85" w14:textId="77777777" w:rsidR="00D27059" w:rsidRPr="00A832D4" w:rsidRDefault="00D27059" w:rsidP="00CB73BD">
            <w:pPr>
              <w:jc w:val="left"/>
              <w:rPr>
                <w:rFonts w:ascii="Arial Narrow" w:hAnsi="Arial Narrow"/>
                <w:sz w:val="20"/>
                <w:szCs w:val="20"/>
              </w:rPr>
            </w:pPr>
            <w:r>
              <w:rPr>
                <w:rFonts w:ascii="Arial Narrow" w:hAnsi="Arial Narrow"/>
                <w:sz w:val="20"/>
                <w:szCs w:val="20"/>
              </w:rPr>
              <w:t xml:space="preserve">Assumed annual </w:t>
            </w:r>
            <w:r w:rsidRPr="00BC4325">
              <w:rPr>
                <w:rFonts w:ascii="Arial Narrow" w:hAnsi="Arial Narrow"/>
                <w:b/>
                <w:sz w:val="20"/>
                <w:szCs w:val="20"/>
              </w:rPr>
              <w:t>5%</w:t>
            </w:r>
            <w:r w:rsidRPr="00A832D4">
              <w:rPr>
                <w:rFonts w:ascii="Arial Narrow" w:hAnsi="Arial Narrow"/>
                <w:sz w:val="20"/>
                <w:szCs w:val="20"/>
              </w:rPr>
              <w:t xml:space="preserve"> increase to Year 6: </w:t>
            </w:r>
            <w:r>
              <w:rPr>
                <w:rFonts w:ascii="Arial Narrow" w:hAnsi="Arial Narrow"/>
                <w:sz w:val="20"/>
                <w:szCs w:val="20"/>
              </w:rPr>
              <w:t>35</w:t>
            </w:r>
            <w:r w:rsidRPr="00A832D4">
              <w:rPr>
                <w:rFonts w:ascii="Arial Narrow" w:hAnsi="Arial Narrow"/>
                <w:sz w:val="20"/>
                <w:szCs w:val="20"/>
              </w:rPr>
              <w:t>%</w:t>
            </w:r>
          </w:p>
          <w:p w14:paraId="03128A7E" w14:textId="77777777" w:rsidR="00D27059" w:rsidRDefault="00D27059" w:rsidP="00CB73BD">
            <w:pPr>
              <w:jc w:val="left"/>
              <w:rPr>
                <w:rFonts w:ascii="Arial Narrow" w:hAnsi="Arial Narrow"/>
                <w:sz w:val="20"/>
                <w:szCs w:val="20"/>
              </w:rPr>
            </w:pPr>
            <w:r w:rsidRPr="00A832D4">
              <w:rPr>
                <w:rFonts w:ascii="Arial Narrow" w:hAnsi="Arial Narrow"/>
                <w:sz w:val="20"/>
                <w:szCs w:val="20"/>
              </w:rPr>
              <w:t xml:space="preserve">Number of patients: Year 1: 207,579 to Year 6: </w:t>
            </w:r>
            <w:r w:rsidRPr="00A832D4">
              <w:rPr>
                <w:rFonts w:ascii="Arial Narrow" w:hAnsi="Arial Narrow" w:cs="Calibri"/>
                <w:color w:val="000000"/>
                <w:sz w:val="20"/>
                <w:szCs w:val="20"/>
              </w:rPr>
              <w:t>783,759</w:t>
            </w:r>
            <w:r>
              <w:rPr>
                <w:rFonts w:ascii="Arial Narrow" w:hAnsi="Arial Narrow"/>
                <w:sz w:val="20"/>
                <w:szCs w:val="20"/>
              </w:rPr>
              <w:t>.</w:t>
            </w:r>
          </w:p>
          <w:p w14:paraId="7957A9E9" w14:textId="77777777" w:rsidR="00D27059" w:rsidRDefault="00D27059" w:rsidP="00CB73BD">
            <w:pPr>
              <w:jc w:val="left"/>
              <w:rPr>
                <w:rFonts w:ascii="Arial Narrow" w:hAnsi="Arial Narrow"/>
                <w:b/>
                <w:bCs/>
                <w:sz w:val="20"/>
                <w:szCs w:val="20"/>
              </w:rPr>
            </w:pPr>
          </w:p>
          <w:p w14:paraId="331E3AF2" w14:textId="77777777" w:rsidR="00D27059" w:rsidRDefault="00D27059" w:rsidP="00CB73BD">
            <w:pPr>
              <w:jc w:val="left"/>
              <w:rPr>
                <w:rFonts w:ascii="Arial Narrow" w:hAnsi="Arial Narrow"/>
                <w:b/>
                <w:bCs/>
                <w:sz w:val="20"/>
                <w:szCs w:val="20"/>
              </w:rPr>
            </w:pPr>
            <w:r>
              <w:rPr>
                <w:rFonts w:ascii="Arial Narrow" w:hAnsi="Arial Narrow"/>
                <w:b/>
                <w:bCs/>
                <w:sz w:val="20"/>
                <w:szCs w:val="20"/>
              </w:rPr>
              <w:t>PBAC consideration:</w:t>
            </w:r>
          </w:p>
          <w:p w14:paraId="29C824AA" w14:textId="77777777" w:rsidR="00D27059" w:rsidRPr="00A832D4" w:rsidRDefault="00D27059" w:rsidP="00CB73BD">
            <w:pPr>
              <w:jc w:val="left"/>
              <w:rPr>
                <w:rFonts w:ascii="Arial Narrow" w:hAnsi="Arial Narrow"/>
                <w:sz w:val="20"/>
                <w:szCs w:val="20"/>
              </w:rPr>
            </w:pPr>
            <w:r>
              <w:rPr>
                <w:rFonts w:ascii="Arial Narrow" w:hAnsi="Arial Narrow"/>
                <w:iCs/>
                <w:sz w:val="20"/>
                <w:szCs w:val="20"/>
              </w:rPr>
              <w:t>Reasonable as aligned with DUSC advice that there is increasing screening and diagnosis of CKD in general practice</w:t>
            </w:r>
          </w:p>
        </w:tc>
        <w:tc>
          <w:tcPr>
            <w:tcW w:w="1129" w:type="pct"/>
            <w:shd w:val="clear" w:color="auto" w:fill="auto"/>
          </w:tcPr>
          <w:p w14:paraId="7E3363EC" w14:textId="77777777" w:rsidR="00D27059" w:rsidRDefault="00D27059" w:rsidP="00CB73BD">
            <w:pPr>
              <w:jc w:val="left"/>
              <w:rPr>
                <w:rFonts w:ascii="Arial Narrow" w:hAnsi="Arial Narrow"/>
                <w:sz w:val="20"/>
                <w:szCs w:val="20"/>
              </w:rPr>
            </w:pPr>
            <w:r>
              <w:rPr>
                <w:rFonts w:ascii="Arial Narrow" w:hAnsi="Arial Narrow"/>
                <w:sz w:val="20"/>
                <w:szCs w:val="20"/>
              </w:rPr>
              <w:t xml:space="preserve">Year 1: 10%, assumed annual </w:t>
            </w:r>
            <w:r w:rsidRPr="00C07860">
              <w:rPr>
                <w:rFonts w:ascii="Arial Narrow" w:hAnsi="Arial Narrow"/>
                <w:bCs/>
                <w:sz w:val="20"/>
                <w:szCs w:val="20"/>
              </w:rPr>
              <w:t>10%</w:t>
            </w:r>
            <w:r w:rsidRPr="00A832D4">
              <w:rPr>
                <w:rFonts w:ascii="Arial Narrow" w:hAnsi="Arial Narrow"/>
                <w:sz w:val="20"/>
                <w:szCs w:val="20"/>
              </w:rPr>
              <w:t xml:space="preserve"> increase to Year 6: </w:t>
            </w:r>
            <w:r>
              <w:rPr>
                <w:rFonts w:ascii="Arial Narrow" w:hAnsi="Arial Narrow"/>
                <w:sz w:val="20"/>
                <w:szCs w:val="20"/>
              </w:rPr>
              <w:t>60%</w:t>
            </w:r>
          </w:p>
          <w:p w14:paraId="148D5098" w14:textId="77777777" w:rsidR="00D27059" w:rsidRPr="004C5399" w:rsidRDefault="00D27059" w:rsidP="00CB73BD">
            <w:pPr>
              <w:jc w:val="left"/>
              <w:rPr>
                <w:rFonts w:ascii="Arial Narrow" w:hAnsi="Arial Narrow"/>
                <w:sz w:val="20"/>
                <w:szCs w:val="20"/>
              </w:rPr>
            </w:pPr>
            <w:r w:rsidRPr="004C5399">
              <w:rPr>
                <w:rFonts w:ascii="Arial Narrow" w:hAnsi="Arial Narrow"/>
                <w:sz w:val="20"/>
                <w:szCs w:val="20"/>
              </w:rPr>
              <w:t xml:space="preserve">Number of patients: Year 1: </w:t>
            </w:r>
            <w:r w:rsidRPr="004C5399">
              <w:rPr>
                <w:rFonts w:ascii="Arial Narrow" w:hAnsi="Arial Narrow" w:cs="Calibri"/>
                <w:color w:val="000000"/>
                <w:sz w:val="20"/>
                <w:szCs w:val="20"/>
              </w:rPr>
              <w:t>207,</w:t>
            </w:r>
            <w:r w:rsidRPr="00FE1875">
              <w:rPr>
                <w:rFonts w:ascii="Arial Narrow" w:hAnsi="Arial Narrow"/>
                <w:sz w:val="20"/>
                <w:szCs w:val="20"/>
              </w:rPr>
              <w:t>579  to Year 6: 1,343,586</w:t>
            </w:r>
          </w:p>
          <w:p w14:paraId="0C599470" w14:textId="77777777" w:rsidR="00D27059" w:rsidRDefault="00D27059" w:rsidP="00CB73BD">
            <w:pPr>
              <w:jc w:val="left"/>
              <w:rPr>
                <w:rFonts w:ascii="Arial Narrow" w:hAnsi="Arial Narrow"/>
                <w:sz w:val="20"/>
                <w:szCs w:val="20"/>
              </w:rPr>
            </w:pPr>
          </w:p>
          <w:p w14:paraId="63A04F86" w14:textId="77777777" w:rsidR="00D27059" w:rsidRDefault="00D27059" w:rsidP="00CB73BD">
            <w:pPr>
              <w:rPr>
                <w:rFonts w:ascii="Arial Narrow" w:hAnsi="Arial Narrow"/>
                <w:sz w:val="20"/>
                <w:szCs w:val="20"/>
              </w:rPr>
            </w:pPr>
            <w:r>
              <w:rPr>
                <w:rFonts w:ascii="Arial Narrow" w:hAnsi="Arial Narrow"/>
                <w:sz w:val="20"/>
                <w:szCs w:val="20"/>
              </w:rPr>
              <w:t>Sensitivity analysis:</w:t>
            </w:r>
          </w:p>
          <w:p w14:paraId="1817A26C" w14:textId="77777777" w:rsidR="00D27059" w:rsidRDefault="00D27059" w:rsidP="00CB73BD">
            <w:pPr>
              <w:rPr>
                <w:rFonts w:ascii="Arial Narrow" w:hAnsi="Arial Narrow"/>
                <w:sz w:val="20"/>
                <w:szCs w:val="20"/>
              </w:rPr>
            </w:pPr>
            <w:r>
              <w:rPr>
                <w:rFonts w:ascii="Arial Narrow" w:hAnsi="Arial Narrow"/>
                <w:sz w:val="20"/>
                <w:szCs w:val="20"/>
              </w:rPr>
              <w:t xml:space="preserve">Unchanged </w:t>
            </w:r>
          </w:p>
          <w:p w14:paraId="5DBEBB6F" w14:textId="77777777" w:rsidR="00D27059" w:rsidRDefault="00D27059" w:rsidP="00CB73BD">
            <w:pPr>
              <w:rPr>
                <w:rFonts w:ascii="Arial Narrow" w:hAnsi="Arial Narrow"/>
                <w:sz w:val="20"/>
                <w:szCs w:val="20"/>
              </w:rPr>
            </w:pPr>
          </w:p>
          <w:p w14:paraId="792985FC" w14:textId="77777777" w:rsidR="00D27059" w:rsidRPr="00A832D4" w:rsidRDefault="00D27059" w:rsidP="00CB73BD">
            <w:pPr>
              <w:jc w:val="left"/>
              <w:rPr>
                <w:rFonts w:ascii="Arial Narrow" w:hAnsi="Arial Narrow"/>
                <w:iCs/>
                <w:sz w:val="20"/>
                <w:szCs w:val="20"/>
              </w:rPr>
            </w:pPr>
          </w:p>
          <w:p w14:paraId="49060DA1" w14:textId="77777777" w:rsidR="00D27059" w:rsidRPr="00A832D4" w:rsidRDefault="00D27059" w:rsidP="00CB73BD">
            <w:pPr>
              <w:jc w:val="left"/>
              <w:rPr>
                <w:rFonts w:ascii="Arial Narrow" w:hAnsi="Arial Narrow"/>
                <w:iCs/>
                <w:sz w:val="20"/>
                <w:szCs w:val="20"/>
              </w:rPr>
            </w:pPr>
          </w:p>
        </w:tc>
        <w:tc>
          <w:tcPr>
            <w:tcW w:w="919" w:type="pct"/>
          </w:tcPr>
          <w:p w14:paraId="0845C7B6" w14:textId="77777777" w:rsidR="00D27059" w:rsidRPr="00A832D4" w:rsidDel="006659BB" w:rsidRDefault="00D27059" w:rsidP="00CB73BD">
            <w:pPr>
              <w:jc w:val="left"/>
              <w:rPr>
                <w:rFonts w:ascii="Arial Narrow" w:hAnsi="Arial Narrow"/>
                <w:iCs/>
                <w:sz w:val="20"/>
                <w:szCs w:val="20"/>
              </w:rPr>
            </w:pPr>
            <w:r>
              <w:rPr>
                <w:rFonts w:ascii="Arial Narrow" w:hAnsi="Arial Narrow"/>
                <w:iCs/>
                <w:sz w:val="20"/>
                <w:szCs w:val="20"/>
              </w:rPr>
              <w:t xml:space="preserve">PBAC suggested a rate of </w:t>
            </w:r>
            <w:r w:rsidRPr="004170E7">
              <w:rPr>
                <w:rFonts w:ascii="Arial Narrow" w:hAnsi="Arial Narrow"/>
                <w:b/>
                <w:iCs/>
                <w:sz w:val="20"/>
                <w:szCs w:val="20"/>
              </w:rPr>
              <w:t>50%</w:t>
            </w:r>
            <w:r>
              <w:rPr>
                <w:rFonts w:ascii="Arial Narrow" w:hAnsi="Arial Narrow"/>
                <w:iCs/>
                <w:sz w:val="20"/>
                <w:szCs w:val="20"/>
              </w:rPr>
              <w:t xml:space="preserve"> for Year 1, increasing by 5% per year over the forward estimates.  </w:t>
            </w:r>
          </w:p>
        </w:tc>
      </w:tr>
      <w:tr w:rsidR="00D27059" w:rsidRPr="00A832D4" w14:paraId="0AEDEFB2" w14:textId="77777777" w:rsidTr="00CB73BD">
        <w:trPr>
          <w:cantSplit/>
        </w:trPr>
        <w:tc>
          <w:tcPr>
            <w:tcW w:w="687" w:type="pct"/>
            <w:shd w:val="clear" w:color="auto" w:fill="auto"/>
          </w:tcPr>
          <w:p w14:paraId="646FE016" w14:textId="77777777" w:rsidR="00D27059" w:rsidRPr="00A832D4" w:rsidRDefault="00D27059" w:rsidP="00CB73BD">
            <w:pPr>
              <w:jc w:val="left"/>
              <w:rPr>
                <w:rFonts w:ascii="Arial Narrow" w:hAnsi="Arial Narrow"/>
                <w:sz w:val="20"/>
                <w:szCs w:val="20"/>
              </w:rPr>
            </w:pPr>
            <w:r>
              <w:rPr>
                <w:rFonts w:ascii="Arial Narrow" w:hAnsi="Arial Narrow"/>
                <w:sz w:val="20"/>
                <w:szCs w:val="20"/>
              </w:rPr>
              <w:t>Proportion of patients meeting the PBS criteria in terms of eGFR of</w:t>
            </w:r>
            <w:r w:rsidRPr="00A832D4">
              <w:rPr>
                <w:rFonts w:ascii="Arial Narrow" w:hAnsi="Arial Narrow"/>
                <w:sz w:val="20"/>
                <w:szCs w:val="20"/>
              </w:rPr>
              <w:t xml:space="preserve"> 25–75 mL/min/1.73 m</w:t>
            </w:r>
            <w:r w:rsidRPr="00A832D4">
              <w:rPr>
                <w:rFonts w:ascii="Arial Narrow" w:hAnsi="Arial Narrow"/>
                <w:sz w:val="20"/>
                <w:szCs w:val="20"/>
                <w:vertAlign w:val="superscript"/>
              </w:rPr>
              <w:t>2</w:t>
            </w:r>
            <w:r>
              <w:rPr>
                <w:rFonts w:ascii="Arial Narrow" w:hAnsi="Arial Narrow"/>
                <w:sz w:val="20"/>
                <w:szCs w:val="20"/>
              </w:rPr>
              <w:t xml:space="preserve"> and a u</w:t>
            </w:r>
            <w:r w:rsidRPr="00A832D4">
              <w:rPr>
                <w:rFonts w:ascii="Arial Narrow" w:hAnsi="Arial Narrow"/>
                <w:sz w:val="20"/>
                <w:szCs w:val="20"/>
              </w:rPr>
              <w:t>ACR of 200–5000 mg/g</w:t>
            </w:r>
          </w:p>
        </w:tc>
        <w:tc>
          <w:tcPr>
            <w:tcW w:w="2265" w:type="pct"/>
            <w:shd w:val="clear" w:color="auto" w:fill="auto"/>
          </w:tcPr>
          <w:p w14:paraId="32F49378" w14:textId="77777777" w:rsidR="00D27059" w:rsidRDefault="00D27059" w:rsidP="00CB73BD">
            <w:pPr>
              <w:jc w:val="left"/>
              <w:rPr>
                <w:rFonts w:ascii="Arial Narrow" w:hAnsi="Arial Narrow" w:cs="Times New Roman"/>
                <w:bCs/>
                <w:sz w:val="20"/>
                <w:szCs w:val="20"/>
              </w:rPr>
            </w:pPr>
            <w:r>
              <w:rPr>
                <w:rFonts w:ascii="Arial Narrow" w:hAnsi="Arial Narrow" w:cs="Times New Roman"/>
                <w:bCs/>
                <w:sz w:val="20"/>
                <w:szCs w:val="20"/>
              </w:rPr>
              <w:t>CKD stages 3a and 3b used as proxy.</w:t>
            </w:r>
          </w:p>
          <w:p w14:paraId="6BCA3683" w14:textId="77777777" w:rsidR="00D27059" w:rsidRPr="00A832D4" w:rsidRDefault="00D27059" w:rsidP="00CB73BD">
            <w:pPr>
              <w:jc w:val="left"/>
              <w:rPr>
                <w:rFonts w:ascii="Arial Narrow" w:hAnsi="Arial Narrow" w:cs="Times New Roman"/>
                <w:bCs/>
                <w:sz w:val="20"/>
                <w:szCs w:val="20"/>
              </w:rPr>
            </w:pPr>
            <w:r w:rsidRPr="00A832D4">
              <w:rPr>
                <w:rFonts w:ascii="Arial Narrow" w:hAnsi="Arial Narrow" w:cs="Times New Roman"/>
                <w:bCs/>
                <w:sz w:val="20"/>
                <w:szCs w:val="20"/>
              </w:rPr>
              <w:t xml:space="preserve">Number of patients: Year 1: 101,734 to Year 6: 260,835 </w:t>
            </w:r>
          </w:p>
          <w:p w14:paraId="479A2A36" w14:textId="77777777" w:rsidR="00D27059" w:rsidRPr="00A832D4" w:rsidRDefault="00D27059" w:rsidP="00CB73BD">
            <w:pPr>
              <w:jc w:val="left"/>
              <w:rPr>
                <w:rFonts w:ascii="Arial Narrow" w:hAnsi="Arial Narrow"/>
                <w:sz w:val="20"/>
                <w:szCs w:val="20"/>
              </w:rPr>
            </w:pPr>
          </w:p>
          <w:p w14:paraId="005245BE"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 xml:space="preserve">The </w:t>
            </w:r>
            <w:r>
              <w:rPr>
                <w:rFonts w:ascii="Arial Narrow" w:hAnsi="Arial Narrow"/>
                <w:sz w:val="20"/>
                <w:szCs w:val="20"/>
              </w:rPr>
              <w:t>sponsor</w:t>
            </w:r>
            <w:r w:rsidRPr="00A832D4">
              <w:rPr>
                <w:rFonts w:ascii="Arial Narrow" w:hAnsi="Arial Narrow"/>
                <w:sz w:val="20"/>
                <w:szCs w:val="20"/>
              </w:rPr>
              <w:t xml:space="preserve"> claim</w:t>
            </w:r>
            <w:r>
              <w:rPr>
                <w:rFonts w:ascii="Arial Narrow" w:hAnsi="Arial Narrow"/>
                <w:sz w:val="20"/>
                <w:szCs w:val="20"/>
              </w:rPr>
              <w:t>ed</w:t>
            </w:r>
            <w:r w:rsidRPr="00A832D4">
              <w:rPr>
                <w:rFonts w:ascii="Arial Narrow" w:hAnsi="Arial Narrow"/>
                <w:sz w:val="20"/>
                <w:szCs w:val="20"/>
              </w:rPr>
              <w:t xml:space="preserve"> that it did not identify relevant data to inform the assumptions for the proportion of patients with micro- or macroalbuminuria by disease stage.</w:t>
            </w:r>
          </w:p>
          <w:p w14:paraId="6F4A419E" w14:textId="77777777" w:rsidR="00D27059" w:rsidRPr="00A832D4" w:rsidRDefault="00D27059" w:rsidP="00CB73BD">
            <w:pPr>
              <w:jc w:val="left"/>
              <w:rPr>
                <w:rFonts w:ascii="Arial Narrow" w:hAnsi="Arial Narrow"/>
                <w:sz w:val="20"/>
                <w:szCs w:val="20"/>
              </w:rPr>
            </w:pPr>
          </w:p>
          <w:p w14:paraId="0EC44210" w14:textId="77777777" w:rsidR="00D27059" w:rsidRDefault="00D27059" w:rsidP="00CB73BD">
            <w:pPr>
              <w:jc w:val="left"/>
              <w:rPr>
                <w:rFonts w:ascii="Arial Narrow" w:hAnsi="Arial Narrow"/>
                <w:sz w:val="20"/>
                <w:szCs w:val="20"/>
              </w:rPr>
            </w:pPr>
            <w:r w:rsidRPr="00A832D4">
              <w:rPr>
                <w:rFonts w:ascii="Arial Narrow" w:hAnsi="Arial Narrow"/>
                <w:sz w:val="20"/>
                <w:szCs w:val="20"/>
              </w:rPr>
              <w:t xml:space="preserve">The proportion of CKD patients </w:t>
            </w:r>
            <w:r>
              <w:rPr>
                <w:rFonts w:ascii="Arial Narrow" w:hAnsi="Arial Narrow"/>
                <w:sz w:val="20"/>
                <w:szCs w:val="20"/>
              </w:rPr>
              <w:t>s</w:t>
            </w:r>
            <w:r w:rsidRPr="00A832D4">
              <w:rPr>
                <w:rFonts w:ascii="Arial Narrow" w:hAnsi="Arial Narrow"/>
                <w:sz w:val="20"/>
                <w:szCs w:val="20"/>
              </w:rPr>
              <w:t xml:space="preserve">tages 3a and 3b </w:t>
            </w:r>
            <w:r>
              <w:rPr>
                <w:rFonts w:ascii="Arial Narrow" w:hAnsi="Arial Narrow"/>
                <w:sz w:val="20"/>
                <w:szCs w:val="20"/>
              </w:rPr>
              <w:t>was</w:t>
            </w:r>
            <w:r w:rsidRPr="00A832D4">
              <w:rPr>
                <w:rFonts w:ascii="Arial Narrow" w:hAnsi="Arial Narrow"/>
                <w:sz w:val="20"/>
                <w:szCs w:val="20"/>
              </w:rPr>
              <w:t xml:space="preserve"> assumed to be </w:t>
            </w:r>
            <w:r w:rsidRPr="004170E7">
              <w:rPr>
                <w:rFonts w:ascii="Arial Narrow" w:hAnsi="Arial Narrow"/>
                <w:b/>
                <w:sz w:val="20"/>
                <w:szCs w:val="20"/>
              </w:rPr>
              <w:t>49%</w:t>
            </w:r>
            <w:r w:rsidRPr="00A832D4">
              <w:rPr>
                <w:rFonts w:ascii="Arial Narrow" w:hAnsi="Arial Narrow"/>
                <w:sz w:val="20"/>
                <w:szCs w:val="20"/>
              </w:rPr>
              <w:t>, based on</w:t>
            </w:r>
            <w:r>
              <w:rPr>
                <w:rFonts w:ascii="Arial Narrow" w:hAnsi="Arial Narrow"/>
                <w:sz w:val="20"/>
                <w:szCs w:val="20"/>
              </w:rPr>
              <w:t xml:space="preserve"> an</w:t>
            </w:r>
            <w:r w:rsidRPr="00A832D4">
              <w:rPr>
                <w:rFonts w:ascii="Arial Narrow" w:hAnsi="Arial Narrow"/>
                <w:sz w:val="20"/>
                <w:szCs w:val="20"/>
              </w:rPr>
              <w:t xml:space="preserve"> average </w:t>
            </w:r>
            <w:r>
              <w:rPr>
                <w:rFonts w:ascii="Arial Narrow" w:hAnsi="Arial Narrow"/>
                <w:sz w:val="20"/>
                <w:szCs w:val="20"/>
              </w:rPr>
              <w:t xml:space="preserve">of </w:t>
            </w:r>
            <w:r w:rsidRPr="00A832D4">
              <w:rPr>
                <w:rFonts w:ascii="Arial Narrow" w:hAnsi="Arial Narrow"/>
                <w:sz w:val="20"/>
                <w:szCs w:val="20"/>
              </w:rPr>
              <w:t>the proportion of patients in these stages across five data sources: the National Prescribing Service (NPS) MedicineWise’s MedicineInsight dataset (n=1.3 million)</w:t>
            </w:r>
            <w:r>
              <w:rPr>
                <w:rFonts w:ascii="Arial Narrow" w:hAnsi="Arial Narrow"/>
                <w:sz w:val="20"/>
                <w:szCs w:val="20"/>
              </w:rPr>
              <w:t>;</w:t>
            </w:r>
            <w:r w:rsidRPr="00A832D4">
              <w:rPr>
                <w:rFonts w:ascii="Arial Narrow" w:hAnsi="Arial Narrow"/>
                <w:sz w:val="20"/>
                <w:szCs w:val="20"/>
              </w:rPr>
              <w:t xml:space="preserve"> 2011-2012 NHMS</w:t>
            </w:r>
            <w:r>
              <w:rPr>
                <w:rFonts w:ascii="Arial Narrow" w:hAnsi="Arial Narrow"/>
                <w:sz w:val="20"/>
                <w:szCs w:val="20"/>
              </w:rPr>
              <w:t>;</w:t>
            </w:r>
            <w:r w:rsidRPr="00A832D4">
              <w:rPr>
                <w:rFonts w:ascii="Arial Narrow" w:hAnsi="Arial Narrow"/>
                <w:sz w:val="20"/>
                <w:szCs w:val="20"/>
              </w:rPr>
              <w:t xml:space="preserve"> CKD Queensland Registry (n=1051)</w:t>
            </w:r>
            <w:r>
              <w:rPr>
                <w:rFonts w:ascii="Arial Narrow" w:hAnsi="Arial Narrow"/>
                <w:sz w:val="20"/>
                <w:szCs w:val="20"/>
              </w:rPr>
              <w:t>;</w:t>
            </w:r>
            <w:r w:rsidRPr="00A832D4">
              <w:rPr>
                <w:rFonts w:ascii="Arial Narrow" w:hAnsi="Arial Narrow"/>
                <w:sz w:val="20"/>
                <w:szCs w:val="20"/>
              </w:rPr>
              <w:t xml:space="preserve"> and two QLD registries (Mallett 2014</w:t>
            </w:r>
            <w:r>
              <w:rPr>
                <w:rFonts w:ascii="Arial Narrow" w:hAnsi="Arial Narrow"/>
                <w:sz w:val="20"/>
                <w:szCs w:val="20"/>
              </w:rPr>
              <w:t>,</w:t>
            </w:r>
            <w:r w:rsidRPr="00A832D4">
              <w:rPr>
                <w:rFonts w:ascii="Arial Narrow" w:hAnsi="Arial Narrow"/>
                <w:sz w:val="20"/>
                <w:szCs w:val="20"/>
              </w:rPr>
              <w:t xml:space="preserve"> n=2935 and Mahmoud 2017</w:t>
            </w:r>
            <w:r>
              <w:rPr>
                <w:rFonts w:ascii="Arial Narrow" w:hAnsi="Arial Narrow"/>
                <w:sz w:val="20"/>
                <w:szCs w:val="20"/>
              </w:rPr>
              <w:t>,</w:t>
            </w:r>
            <w:r w:rsidRPr="00A832D4">
              <w:rPr>
                <w:rFonts w:ascii="Arial Narrow" w:hAnsi="Arial Narrow"/>
                <w:sz w:val="20"/>
                <w:szCs w:val="20"/>
              </w:rPr>
              <w:t xml:space="preserve"> n=1265)</w:t>
            </w:r>
            <w:r>
              <w:rPr>
                <w:rFonts w:ascii="Arial Narrow" w:hAnsi="Arial Narrow"/>
                <w:sz w:val="20"/>
                <w:szCs w:val="20"/>
              </w:rPr>
              <w:t>.</w:t>
            </w:r>
          </w:p>
          <w:p w14:paraId="1A2724D3" w14:textId="77777777" w:rsidR="00D27059" w:rsidRDefault="00D27059" w:rsidP="00CB73BD">
            <w:pPr>
              <w:jc w:val="left"/>
              <w:rPr>
                <w:rFonts w:ascii="Arial Narrow" w:hAnsi="Arial Narrow"/>
                <w:sz w:val="20"/>
                <w:szCs w:val="20"/>
              </w:rPr>
            </w:pPr>
          </w:p>
          <w:p w14:paraId="6ABC714A" w14:textId="77777777" w:rsidR="00D27059" w:rsidRDefault="00D27059" w:rsidP="00CB73BD">
            <w:pPr>
              <w:jc w:val="left"/>
              <w:rPr>
                <w:rFonts w:ascii="Arial Narrow" w:hAnsi="Arial Narrow"/>
                <w:sz w:val="20"/>
                <w:szCs w:val="20"/>
              </w:rPr>
            </w:pPr>
            <w:r>
              <w:rPr>
                <w:rFonts w:ascii="Arial Narrow" w:hAnsi="Arial Narrow"/>
                <w:sz w:val="20"/>
                <w:szCs w:val="20"/>
              </w:rPr>
              <w:t>In NHMS data only, the proportion of CKD patients with stages 3a and 3b was 33.3%, and the sponsor applied this value in a scenario analysis.</w:t>
            </w:r>
          </w:p>
          <w:p w14:paraId="5A531E64" w14:textId="77777777" w:rsidR="00D27059" w:rsidRDefault="00D27059" w:rsidP="00CB73BD">
            <w:pPr>
              <w:jc w:val="left"/>
              <w:rPr>
                <w:rFonts w:ascii="Arial Narrow" w:hAnsi="Arial Narrow"/>
                <w:sz w:val="20"/>
                <w:szCs w:val="20"/>
              </w:rPr>
            </w:pPr>
          </w:p>
          <w:p w14:paraId="41C1BB7E" w14:textId="77777777" w:rsidR="00D27059" w:rsidRDefault="00D27059" w:rsidP="00CB73BD">
            <w:pPr>
              <w:jc w:val="left"/>
              <w:rPr>
                <w:rFonts w:ascii="Arial Narrow" w:hAnsi="Arial Narrow"/>
                <w:sz w:val="20"/>
                <w:szCs w:val="20"/>
              </w:rPr>
            </w:pPr>
            <w:r w:rsidRPr="00FE1875">
              <w:rPr>
                <w:rFonts w:ascii="Arial Narrow" w:hAnsi="Arial Narrow"/>
                <w:b/>
                <w:sz w:val="20"/>
                <w:szCs w:val="20"/>
              </w:rPr>
              <w:t>PBAC Consideration</w:t>
            </w:r>
            <w:r>
              <w:rPr>
                <w:rFonts w:ascii="Arial Narrow" w:hAnsi="Arial Narrow"/>
                <w:sz w:val="20"/>
                <w:szCs w:val="20"/>
              </w:rPr>
              <w:t>:</w:t>
            </w:r>
          </w:p>
          <w:p w14:paraId="4042B075" w14:textId="77777777" w:rsidR="00D27059" w:rsidRDefault="00D27059" w:rsidP="00CB73BD">
            <w:pPr>
              <w:jc w:val="left"/>
              <w:rPr>
                <w:rFonts w:ascii="Arial Narrow" w:hAnsi="Arial Narrow" w:cs="Times New Roman"/>
                <w:bCs/>
                <w:sz w:val="20"/>
                <w:szCs w:val="20"/>
              </w:rPr>
            </w:pPr>
            <w:r>
              <w:rPr>
                <w:rFonts w:ascii="Arial Narrow" w:hAnsi="Arial Narrow" w:cs="Times New Roman"/>
                <w:bCs/>
                <w:sz w:val="20"/>
                <w:szCs w:val="20"/>
              </w:rPr>
              <w:t>R</w:t>
            </w:r>
            <w:r w:rsidRPr="004D4F88">
              <w:rPr>
                <w:rFonts w:ascii="Arial Narrow" w:hAnsi="Arial Narrow" w:cs="Times New Roman"/>
                <w:bCs/>
                <w:sz w:val="20"/>
                <w:szCs w:val="20"/>
              </w:rPr>
              <w:t xml:space="preserve">emained </w:t>
            </w:r>
            <w:r>
              <w:rPr>
                <w:rFonts w:ascii="Arial Narrow" w:hAnsi="Arial Narrow" w:cs="Times New Roman"/>
                <w:bCs/>
                <w:sz w:val="20"/>
                <w:szCs w:val="20"/>
              </w:rPr>
              <w:t>very significantly</w:t>
            </w:r>
            <w:r w:rsidRPr="004D4F88">
              <w:rPr>
                <w:rFonts w:ascii="Arial Narrow" w:hAnsi="Arial Narrow" w:cs="Times New Roman"/>
                <w:bCs/>
                <w:sz w:val="20"/>
                <w:szCs w:val="20"/>
              </w:rPr>
              <w:t xml:space="preserve"> overestimated; PBAC previously considered that that the estimate would be closer to 0.9% than 5.8% of </w:t>
            </w:r>
            <w:r>
              <w:rPr>
                <w:rFonts w:ascii="Arial Narrow" w:hAnsi="Arial Narrow" w:cs="Times New Roman"/>
                <w:bCs/>
                <w:sz w:val="20"/>
                <w:szCs w:val="20"/>
              </w:rPr>
              <w:t>un</w:t>
            </w:r>
            <w:r w:rsidRPr="004D4F88">
              <w:rPr>
                <w:rFonts w:ascii="Arial Narrow" w:hAnsi="Arial Narrow" w:cs="Times New Roman"/>
                <w:bCs/>
                <w:sz w:val="20"/>
                <w:szCs w:val="20"/>
              </w:rPr>
              <w:t>diagnosed CKD</w:t>
            </w:r>
            <w:r>
              <w:rPr>
                <w:rFonts w:ascii="Arial Narrow" w:hAnsi="Arial Narrow" w:cs="Times New Roman"/>
                <w:bCs/>
                <w:sz w:val="20"/>
                <w:szCs w:val="20"/>
              </w:rPr>
              <w:t xml:space="preserve">; </w:t>
            </w:r>
            <w:r w:rsidRPr="004D4F88">
              <w:rPr>
                <w:rFonts w:ascii="Arial Narrow" w:hAnsi="Arial Narrow" w:cs="Times New Roman"/>
                <w:bCs/>
                <w:sz w:val="20"/>
                <w:szCs w:val="20"/>
              </w:rPr>
              <w:t>that is, closer to 9% than 58%</w:t>
            </w:r>
            <w:r>
              <w:rPr>
                <w:rFonts w:ascii="Arial Narrow" w:hAnsi="Arial Narrow" w:cs="Times New Roman"/>
                <w:bCs/>
                <w:sz w:val="20"/>
                <w:szCs w:val="20"/>
              </w:rPr>
              <w:t xml:space="preserve"> of diagnosed</w:t>
            </w:r>
            <w:r w:rsidRPr="004D4F88">
              <w:rPr>
                <w:rFonts w:ascii="Arial Narrow" w:hAnsi="Arial Narrow" w:cs="Times New Roman"/>
                <w:bCs/>
                <w:sz w:val="20"/>
                <w:szCs w:val="20"/>
              </w:rPr>
              <w:t xml:space="preserve">. </w:t>
            </w:r>
          </w:p>
          <w:p w14:paraId="5978509E" w14:textId="77777777" w:rsidR="00D27059" w:rsidRPr="00A832D4" w:rsidRDefault="00D27059" w:rsidP="00CB73BD">
            <w:pPr>
              <w:jc w:val="left"/>
              <w:rPr>
                <w:rFonts w:ascii="Arial Narrow" w:hAnsi="Arial Narrow"/>
                <w:sz w:val="20"/>
                <w:szCs w:val="20"/>
              </w:rPr>
            </w:pPr>
          </w:p>
        </w:tc>
        <w:tc>
          <w:tcPr>
            <w:tcW w:w="1129" w:type="pct"/>
            <w:shd w:val="clear" w:color="auto" w:fill="auto"/>
          </w:tcPr>
          <w:p w14:paraId="77B9AE9D" w14:textId="77777777" w:rsidR="00D27059" w:rsidRPr="00BC2D9A" w:rsidRDefault="00D27059" w:rsidP="00CB73BD">
            <w:pPr>
              <w:jc w:val="left"/>
              <w:rPr>
                <w:rFonts w:ascii="Arial Narrow" w:hAnsi="Arial Narrow"/>
                <w:iCs/>
                <w:sz w:val="20"/>
                <w:szCs w:val="20"/>
              </w:rPr>
            </w:pPr>
            <w:r w:rsidRPr="00BC2D9A">
              <w:rPr>
                <w:rFonts w:ascii="Arial Narrow" w:hAnsi="Arial Narrow"/>
                <w:iCs/>
                <w:sz w:val="20"/>
                <w:szCs w:val="20"/>
              </w:rPr>
              <w:t xml:space="preserve">Reduced from 49.01% to </w:t>
            </w:r>
            <w:r w:rsidRPr="000A7994">
              <w:rPr>
                <w:rFonts w:ascii="Arial Narrow" w:hAnsi="Arial Narrow"/>
                <w:b/>
                <w:iCs/>
                <w:sz w:val="20"/>
                <w:szCs w:val="20"/>
              </w:rPr>
              <w:t>23.70%</w:t>
            </w:r>
            <w:r w:rsidRPr="00BC2D9A">
              <w:rPr>
                <w:rFonts w:ascii="Arial Narrow" w:hAnsi="Arial Narrow"/>
                <w:iCs/>
                <w:sz w:val="20"/>
                <w:szCs w:val="20"/>
              </w:rPr>
              <w:t xml:space="preserve"> </w:t>
            </w:r>
          </w:p>
          <w:p w14:paraId="296CA87C" w14:textId="77777777" w:rsidR="00D27059" w:rsidRDefault="00D27059" w:rsidP="00CB73BD">
            <w:pPr>
              <w:jc w:val="left"/>
              <w:rPr>
                <w:rFonts w:ascii="Arial Narrow" w:hAnsi="Arial Narrow"/>
                <w:iCs/>
                <w:sz w:val="20"/>
                <w:szCs w:val="20"/>
              </w:rPr>
            </w:pPr>
            <w:r>
              <w:rPr>
                <w:rFonts w:ascii="Arial Narrow" w:hAnsi="Arial Narrow"/>
                <w:iCs/>
                <w:sz w:val="20"/>
                <w:szCs w:val="20"/>
              </w:rPr>
              <w:t>A</w:t>
            </w:r>
            <w:r w:rsidRPr="00BC2D9A">
              <w:rPr>
                <w:rFonts w:ascii="Arial Narrow" w:hAnsi="Arial Narrow"/>
                <w:iCs/>
                <w:sz w:val="20"/>
                <w:szCs w:val="20"/>
              </w:rPr>
              <w:t xml:space="preserve">ssuming </w:t>
            </w:r>
            <w:r>
              <w:rPr>
                <w:rFonts w:ascii="Arial Narrow" w:hAnsi="Arial Narrow"/>
                <w:iCs/>
                <w:sz w:val="20"/>
                <w:szCs w:val="20"/>
              </w:rPr>
              <w:t xml:space="preserve">that </w:t>
            </w:r>
            <w:r w:rsidRPr="00BC2D9A">
              <w:rPr>
                <w:rFonts w:ascii="Arial Narrow" w:hAnsi="Arial Narrow"/>
                <w:iCs/>
                <w:sz w:val="20"/>
                <w:szCs w:val="20"/>
              </w:rPr>
              <w:t>49.01% of patients are Stage 3a or 3b</w:t>
            </w:r>
            <w:r>
              <w:rPr>
                <w:rFonts w:ascii="Arial Narrow" w:hAnsi="Arial Narrow"/>
                <w:iCs/>
                <w:sz w:val="20"/>
                <w:szCs w:val="20"/>
              </w:rPr>
              <w:t xml:space="preserve"> and of these</w:t>
            </w:r>
            <w:r w:rsidRPr="00BC2D9A">
              <w:rPr>
                <w:rFonts w:ascii="Arial Narrow" w:hAnsi="Arial Narrow"/>
                <w:iCs/>
                <w:sz w:val="20"/>
                <w:szCs w:val="20"/>
              </w:rPr>
              <w:t xml:space="preserve"> 48.3% are estimated to have macroalbuminuria</w:t>
            </w:r>
            <w:r w:rsidR="001052C3">
              <w:rPr>
                <w:rFonts w:ascii="Arial Narrow" w:hAnsi="Arial Narrow"/>
                <w:iCs/>
                <w:sz w:val="20"/>
                <w:szCs w:val="20"/>
              </w:rPr>
              <w:t>.</w:t>
            </w:r>
          </w:p>
          <w:p w14:paraId="488862CE" w14:textId="77777777" w:rsidR="00D27059" w:rsidRPr="00BC2D9A" w:rsidRDefault="00D27059" w:rsidP="00CB73BD">
            <w:pPr>
              <w:jc w:val="left"/>
              <w:rPr>
                <w:rFonts w:ascii="Arial Narrow" w:hAnsi="Arial Narrow"/>
                <w:iCs/>
                <w:sz w:val="20"/>
                <w:szCs w:val="20"/>
              </w:rPr>
            </w:pPr>
          </w:p>
          <w:p w14:paraId="334356CC" w14:textId="77777777" w:rsidR="00D27059" w:rsidRPr="00A832D4" w:rsidRDefault="00D27059" w:rsidP="00CB73BD">
            <w:pPr>
              <w:jc w:val="left"/>
              <w:rPr>
                <w:rFonts w:ascii="Arial Narrow" w:hAnsi="Arial Narrow"/>
                <w:iCs/>
                <w:sz w:val="20"/>
                <w:szCs w:val="20"/>
              </w:rPr>
            </w:pPr>
            <w:r w:rsidRPr="00BC2D9A">
              <w:rPr>
                <w:rFonts w:ascii="Arial Narrow" w:hAnsi="Arial Narrow"/>
                <w:iCs/>
                <w:sz w:val="20"/>
                <w:szCs w:val="20"/>
              </w:rPr>
              <w:t>Number of patients: Year 1: 49,112 to Year 6: 317,885</w:t>
            </w:r>
          </w:p>
        </w:tc>
        <w:tc>
          <w:tcPr>
            <w:tcW w:w="919" w:type="pct"/>
          </w:tcPr>
          <w:p w14:paraId="3965A168" w14:textId="77777777" w:rsidR="00D27059" w:rsidRPr="00A47B8F" w:rsidRDefault="00D27059" w:rsidP="00CB73BD">
            <w:pPr>
              <w:jc w:val="left"/>
              <w:rPr>
                <w:rFonts w:ascii="Arial Narrow" w:hAnsi="Arial Narrow"/>
                <w:bCs/>
                <w:sz w:val="20"/>
                <w:szCs w:val="20"/>
              </w:rPr>
            </w:pPr>
            <w:r>
              <w:rPr>
                <w:rFonts w:ascii="Arial Narrow" w:hAnsi="Arial Narrow" w:cs="Times New Roman"/>
                <w:bCs/>
                <w:sz w:val="20"/>
                <w:szCs w:val="20"/>
              </w:rPr>
              <w:t>The PBAC considered that 7.5% of the diagnosed population would be eligible based on the UACR criterion in the restriction (</w:t>
            </w:r>
            <w:r w:rsidRPr="00300D0D">
              <w:rPr>
                <w:rFonts w:ascii="Arial Narrow" w:hAnsi="Arial Narrow" w:cs="Times New Roman"/>
                <w:bCs/>
                <w:sz w:val="20"/>
                <w:szCs w:val="20"/>
              </w:rPr>
              <w:t>≥200 and ≤5000 mg/g</w:t>
            </w:r>
            <w:r>
              <w:rPr>
                <w:rFonts w:ascii="Arial Narrow" w:hAnsi="Arial Narrow" w:cs="Times New Roman"/>
                <w:bCs/>
                <w:sz w:val="20"/>
                <w:szCs w:val="20"/>
              </w:rPr>
              <w:t>) (</w:t>
            </w:r>
            <w:r w:rsidRPr="00A47B8F">
              <w:rPr>
                <w:rFonts w:ascii="Arial Narrow" w:hAnsi="Arial Narrow" w:cs="Times New Roman"/>
                <w:bCs/>
                <w:sz w:val="20"/>
                <w:szCs w:val="20"/>
              </w:rPr>
              <w:t>AHS 2011</w:t>
            </w:r>
            <w:r>
              <w:rPr>
                <w:rFonts w:ascii="Arial Narrow" w:hAnsi="Arial Narrow" w:cs="Times New Roman"/>
                <w:bCs/>
                <w:sz w:val="20"/>
                <w:szCs w:val="20"/>
              </w:rPr>
              <w:t>, Ausdiab</w:t>
            </w:r>
            <w:r w:rsidRPr="00A47B8F">
              <w:rPr>
                <w:rFonts w:ascii="Arial Narrow" w:hAnsi="Arial Narrow" w:cs="Times New Roman"/>
                <w:bCs/>
                <w:sz w:val="20"/>
                <w:szCs w:val="20"/>
              </w:rPr>
              <w:t xml:space="preserve"> 1999</w:t>
            </w:r>
            <w:r>
              <w:rPr>
                <w:rFonts w:ascii="Arial Narrow" w:hAnsi="Arial Narrow"/>
                <w:bCs/>
                <w:sz w:val="20"/>
                <w:szCs w:val="20"/>
                <w:lang w:val="en-US"/>
              </w:rPr>
              <w:t xml:space="preserve">) </w:t>
            </w:r>
            <w:r>
              <w:rPr>
                <w:rFonts w:ascii="Arial Narrow" w:hAnsi="Arial Narrow" w:cs="Times New Roman"/>
                <w:bCs/>
                <w:sz w:val="20"/>
                <w:szCs w:val="20"/>
              </w:rPr>
              <w:t xml:space="preserve">and 33% would be eligible based on the </w:t>
            </w:r>
            <w:r w:rsidRPr="00300D0D">
              <w:rPr>
                <w:rFonts w:ascii="Arial Narrow" w:hAnsi="Arial Narrow" w:cs="Times New Roman"/>
                <w:bCs/>
                <w:sz w:val="20"/>
                <w:szCs w:val="20"/>
              </w:rPr>
              <w:t xml:space="preserve">eGFR </w:t>
            </w:r>
            <w:r>
              <w:rPr>
                <w:rFonts w:ascii="Arial Narrow" w:hAnsi="Arial Narrow" w:cs="Times New Roman"/>
                <w:bCs/>
                <w:sz w:val="20"/>
                <w:szCs w:val="20"/>
              </w:rPr>
              <w:t>criterion (</w:t>
            </w:r>
            <w:r w:rsidRPr="00300D0D">
              <w:rPr>
                <w:rFonts w:ascii="Arial Narrow" w:hAnsi="Arial Narrow" w:cs="Times New Roman"/>
                <w:bCs/>
                <w:sz w:val="20"/>
                <w:szCs w:val="20"/>
              </w:rPr>
              <w:t>≥25 to ≤75 mL/min/1.73 m2</w:t>
            </w:r>
            <w:r>
              <w:rPr>
                <w:rFonts w:ascii="Arial Narrow" w:hAnsi="Arial Narrow" w:cs="Times New Roman"/>
                <w:bCs/>
                <w:sz w:val="20"/>
                <w:szCs w:val="20"/>
              </w:rPr>
              <w:t>) (</w:t>
            </w:r>
            <w:r>
              <w:rPr>
                <w:rFonts w:ascii="Arial Narrow" w:hAnsi="Arial Narrow"/>
                <w:bCs/>
                <w:sz w:val="20"/>
                <w:szCs w:val="20"/>
                <w:lang w:val="en-US"/>
              </w:rPr>
              <w:t xml:space="preserve">AHS 2011 </w:t>
            </w:r>
            <w:r w:rsidRPr="00570CEB">
              <w:rPr>
                <w:rFonts w:ascii="Arial Narrow" w:hAnsi="Arial Narrow"/>
                <w:bCs/>
                <w:sz w:val="20"/>
                <w:szCs w:val="20"/>
                <w:lang w:val="en-US"/>
              </w:rPr>
              <w:t xml:space="preserve">CKD </w:t>
            </w:r>
            <w:r>
              <w:rPr>
                <w:rFonts w:ascii="Arial Narrow" w:hAnsi="Arial Narrow"/>
                <w:bCs/>
                <w:sz w:val="20"/>
                <w:szCs w:val="20"/>
                <w:lang w:val="en-US"/>
              </w:rPr>
              <w:t xml:space="preserve">stages </w:t>
            </w:r>
            <w:r w:rsidRPr="00570CEB">
              <w:rPr>
                <w:rFonts w:ascii="Arial Narrow" w:hAnsi="Arial Narrow"/>
                <w:bCs/>
                <w:sz w:val="20"/>
                <w:szCs w:val="20"/>
                <w:lang w:val="en-US"/>
              </w:rPr>
              <w:t>3a-3b</w:t>
            </w:r>
            <w:r>
              <w:rPr>
                <w:rFonts w:ascii="Arial Narrow" w:hAnsi="Arial Narrow"/>
                <w:bCs/>
                <w:sz w:val="20"/>
                <w:szCs w:val="20"/>
                <w:lang w:val="en-US"/>
              </w:rPr>
              <w:t>)</w:t>
            </w:r>
            <w:r>
              <w:rPr>
                <w:rFonts w:ascii="Arial Narrow" w:hAnsi="Arial Narrow" w:cs="Times New Roman"/>
                <w:bCs/>
                <w:sz w:val="20"/>
                <w:szCs w:val="20"/>
              </w:rPr>
              <w:t xml:space="preserve">. As the UACR criterion is the more restrictive, this parameter was estimated to be </w:t>
            </w:r>
            <w:r w:rsidRPr="004170E7">
              <w:rPr>
                <w:rFonts w:ascii="Arial Narrow" w:hAnsi="Arial Narrow" w:cs="Times New Roman"/>
                <w:b/>
                <w:bCs/>
                <w:sz w:val="20"/>
                <w:szCs w:val="20"/>
              </w:rPr>
              <w:t>7.5%</w:t>
            </w:r>
            <w:r>
              <w:rPr>
                <w:rFonts w:ascii="Arial Narrow" w:hAnsi="Arial Narrow" w:cs="Times New Roman"/>
                <w:bCs/>
                <w:sz w:val="20"/>
                <w:szCs w:val="20"/>
              </w:rPr>
              <w:t xml:space="preserve"> by the PBAC. </w:t>
            </w:r>
          </w:p>
        </w:tc>
      </w:tr>
      <w:tr w:rsidR="00D27059" w:rsidRPr="00A832D4" w14:paraId="00D77F5F" w14:textId="77777777" w:rsidTr="00CB73BD">
        <w:trPr>
          <w:cantSplit/>
        </w:trPr>
        <w:tc>
          <w:tcPr>
            <w:tcW w:w="687" w:type="pct"/>
            <w:shd w:val="clear" w:color="auto" w:fill="auto"/>
          </w:tcPr>
          <w:p w14:paraId="65113C21" w14:textId="77777777" w:rsidR="00D27059" w:rsidRDefault="00D27059" w:rsidP="00CB73BD">
            <w:pPr>
              <w:jc w:val="left"/>
              <w:rPr>
                <w:rFonts w:ascii="Arial Narrow" w:hAnsi="Arial Narrow"/>
                <w:sz w:val="20"/>
                <w:szCs w:val="20"/>
              </w:rPr>
            </w:pPr>
            <w:r w:rsidRPr="00F36085">
              <w:rPr>
                <w:rFonts w:ascii="Arial Narrow" w:hAnsi="Arial Narrow"/>
                <w:sz w:val="20"/>
                <w:szCs w:val="20"/>
              </w:rPr>
              <w:t>Proportion of CKD patients on stable ACE-I or ARB</w:t>
            </w:r>
          </w:p>
        </w:tc>
        <w:tc>
          <w:tcPr>
            <w:tcW w:w="2265" w:type="pct"/>
            <w:shd w:val="clear" w:color="auto" w:fill="auto"/>
          </w:tcPr>
          <w:p w14:paraId="613CAE3B" w14:textId="77777777" w:rsidR="00D27059" w:rsidRDefault="00D27059" w:rsidP="00CB73BD">
            <w:pPr>
              <w:jc w:val="left"/>
              <w:rPr>
                <w:rFonts w:ascii="Arial Narrow" w:hAnsi="Arial Narrow"/>
                <w:iCs/>
                <w:sz w:val="20"/>
                <w:szCs w:val="20"/>
              </w:rPr>
            </w:pPr>
            <w:r>
              <w:rPr>
                <w:rFonts w:ascii="Arial Narrow" w:hAnsi="Arial Narrow"/>
                <w:iCs/>
                <w:sz w:val="20"/>
                <w:szCs w:val="20"/>
              </w:rPr>
              <w:t>100%</w:t>
            </w:r>
          </w:p>
        </w:tc>
        <w:tc>
          <w:tcPr>
            <w:tcW w:w="1129" w:type="pct"/>
            <w:shd w:val="clear" w:color="auto" w:fill="auto"/>
          </w:tcPr>
          <w:p w14:paraId="6FF4EB04" w14:textId="77777777" w:rsidR="00D27059" w:rsidRPr="00C07860" w:rsidRDefault="00D27059" w:rsidP="00CB73BD">
            <w:pPr>
              <w:jc w:val="left"/>
              <w:rPr>
                <w:rFonts w:ascii="Arial Narrow" w:hAnsi="Arial Narrow"/>
                <w:bCs/>
                <w:iCs/>
                <w:sz w:val="20"/>
                <w:szCs w:val="20"/>
              </w:rPr>
            </w:pPr>
            <w:r w:rsidRPr="00C07860">
              <w:rPr>
                <w:rFonts w:ascii="Arial Narrow" w:hAnsi="Arial Narrow"/>
                <w:bCs/>
                <w:iCs/>
                <w:sz w:val="20"/>
                <w:szCs w:val="20"/>
              </w:rPr>
              <w:t>100%</w:t>
            </w:r>
          </w:p>
        </w:tc>
        <w:tc>
          <w:tcPr>
            <w:tcW w:w="919" w:type="pct"/>
          </w:tcPr>
          <w:p w14:paraId="21E8F3A3" w14:textId="77777777" w:rsidR="00D27059" w:rsidRPr="004170E7" w:rsidRDefault="00D27059" w:rsidP="00CB73BD">
            <w:pPr>
              <w:jc w:val="left"/>
              <w:rPr>
                <w:rFonts w:ascii="Arial Narrow" w:hAnsi="Arial Narrow"/>
                <w:b/>
                <w:iCs/>
                <w:sz w:val="20"/>
                <w:szCs w:val="20"/>
              </w:rPr>
            </w:pPr>
            <w:r w:rsidRPr="004170E7">
              <w:rPr>
                <w:rFonts w:ascii="Arial Narrow" w:hAnsi="Arial Narrow"/>
                <w:b/>
                <w:iCs/>
                <w:sz w:val="20"/>
                <w:szCs w:val="20"/>
              </w:rPr>
              <w:t>80%</w:t>
            </w:r>
          </w:p>
        </w:tc>
      </w:tr>
      <w:tr w:rsidR="00D27059" w:rsidRPr="00A832D4" w14:paraId="47BD0FAC" w14:textId="77777777" w:rsidTr="00CB73BD">
        <w:trPr>
          <w:cantSplit/>
        </w:trPr>
        <w:tc>
          <w:tcPr>
            <w:tcW w:w="687" w:type="pct"/>
            <w:shd w:val="clear" w:color="auto" w:fill="auto"/>
          </w:tcPr>
          <w:p w14:paraId="663E1A1B" w14:textId="77777777" w:rsidR="00D27059" w:rsidRPr="00A832D4" w:rsidRDefault="00D27059" w:rsidP="00CB73BD">
            <w:pPr>
              <w:jc w:val="left"/>
              <w:rPr>
                <w:rFonts w:ascii="Arial Narrow" w:hAnsi="Arial Narrow"/>
                <w:sz w:val="20"/>
                <w:szCs w:val="20"/>
              </w:rPr>
            </w:pPr>
            <w:r>
              <w:rPr>
                <w:rFonts w:ascii="Arial Narrow" w:hAnsi="Arial Narrow"/>
                <w:sz w:val="20"/>
                <w:szCs w:val="20"/>
              </w:rPr>
              <w:t>P</w:t>
            </w:r>
            <w:r w:rsidRPr="00A832D4">
              <w:rPr>
                <w:rFonts w:ascii="Arial Narrow" w:hAnsi="Arial Narrow"/>
                <w:sz w:val="20"/>
                <w:szCs w:val="20"/>
              </w:rPr>
              <w:t>atients with polycystic kidney disease, lupus nephritis and ANCA-associated vasculitis.</w:t>
            </w:r>
          </w:p>
        </w:tc>
        <w:tc>
          <w:tcPr>
            <w:tcW w:w="2265" w:type="pct"/>
            <w:shd w:val="clear" w:color="auto" w:fill="auto"/>
          </w:tcPr>
          <w:p w14:paraId="777C594B" w14:textId="77777777" w:rsidR="00D27059" w:rsidRDefault="00D27059" w:rsidP="00CB73BD">
            <w:pPr>
              <w:jc w:val="left"/>
              <w:rPr>
                <w:rFonts w:ascii="Arial Narrow" w:hAnsi="Arial Narrow"/>
                <w:sz w:val="20"/>
                <w:szCs w:val="20"/>
              </w:rPr>
            </w:pPr>
            <w:r>
              <w:rPr>
                <w:rFonts w:ascii="Arial Narrow" w:hAnsi="Arial Narrow"/>
                <w:iCs/>
                <w:sz w:val="20"/>
                <w:szCs w:val="20"/>
              </w:rPr>
              <w:t>E</w:t>
            </w:r>
            <w:r w:rsidRPr="00A832D4">
              <w:rPr>
                <w:rFonts w:ascii="Arial Narrow" w:hAnsi="Arial Narrow"/>
                <w:iCs/>
                <w:sz w:val="20"/>
                <w:szCs w:val="20"/>
              </w:rPr>
              <w:t>xclude</w:t>
            </w:r>
            <w:r>
              <w:rPr>
                <w:rFonts w:ascii="Arial Narrow" w:hAnsi="Arial Narrow"/>
                <w:iCs/>
                <w:sz w:val="20"/>
                <w:szCs w:val="20"/>
              </w:rPr>
              <w:t>d</w:t>
            </w:r>
            <w:r w:rsidRPr="00A832D4">
              <w:rPr>
                <w:rFonts w:ascii="Arial Narrow" w:hAnsi="Arial Narrow"/>
                <w:iCs/>
                <w:sz w:val="20"/>
                <w:szCs w:val="20"/>
              </w:rPr>
              <w:t xml:space="preserve"> patients with </w:t>
            </w:r>
            <w:r w:rsidRPr="00A832D4">
              <w:rPr>
                <w:rFonts w:ascii="Arial Narrow" w:hAnsi="Arial Narrow"/>
                <w:sz w:val="20"/>
                <w:szCs w:val="20"/>
              </w:rPr>
              <w:t>polycystic kidney disease, lupus nephritis or ANCA-associated vasculitis. Based on Queensland registry data presented in Mallett et al 2014, assume</w:t>
            </w:r>
            <w:r>
              <w:rPr>
                <w:rFonts w:ascii="Arial Narrow" w:hAnsi="Arial Narrow"/>
                <w:sz w:val="20"/>
                <w:szCs w:val="20"/>
              </w:rPr>
              <w:t>d</w:t>
            </w:r>
            <w:r w:rsidRPr="00A832D4">
              <w:rPr>
                <w:rFonts w:ascii="Arial Narrow" w:hAnsi="Arial Narrow"/>
                <w:sz w:val="20"/>
                <w:szCs w:val="20"/>
              </w:rPr>
              <w:t xml:space="preserve"> </w:t>
            </w:r>
            <w:r w:rsidRPr="004170E7">
              <w:rPr>
                <w:rFonts w:ascii="Arial Narrow" w:hAnsi="Arial Narrow"/>
                <w:b/>
                <w:sz w:val="20"/>
                <w:szCs w:val="20"/>
              </w:rPr>
              <w:t>94.34%</w:t>
            </w:r>
            <w:r w:rsidRPr="00A832D4">
              <w:rPr>
                <w:rFonts w:ascii="Arial Narrow" w:hAnsi="Arial Narrow"/>
                <w:sz w:val="20"/>
                <w:szCs w:val="20"/>
              </w:rPr>
              <w:t xml:space="preserve"> of CKD patients do not have these conditions.</w:t>
            </w:r>
          </w:p>
          <w:p w14:paraId="787A9598" w14:textId="77777777" w:rsidR="00D27059" w:rsidRDefault="00D27059" w:rsidP="00CB73BD">
            <w:pPr>
              <w:jc w:val="left"/>
              <w:rPr>
                <w:rFonts w:ascii="Arial Narrow" w:hAnsi="Arial Narrow"/>
                <w:sz w:val="20"/>
                <w:szCs w:val="20"/>
              </w:rPr>
            </w:pPr>
          </w:p>
          <w:p w14:paraId="11C9D218" w14:textId="77777777" w:rsidR="00D27059" w:rsidRDefault="00D27059" w:rsidP="00CB73BD">
            <w:pPr>
              <w:jc w:val="left"/>
              <w:rPr>
                <w:rFonts w:ascii="Arial Narrow" w:hAnsi="Arial Narrow"/>
                <w:sz w:val="20"/>
                <w:szCs w:val="20"/>
              </w:rPr>
            </w:pPr>
            <w:r w:rsidRPr="00FE1875">
              <w:rPr>
                <w:rFonts w:ascii="Arial Narrow" w:hAnsi="Arial Narrow"/>
                <w:b/>
                <w:sz w:val="20"/>
                <w:szCs w:val="20"/>
              </w:rPr>
              <w:t>PBAC Consideration</w:t>
            </w:r>
            <w:r>
              <w:rPr>
                <w:rFonts w:ascii="Arial Narrow" w:hAnsi="Arial Narrow"/>
                <w:sz w:val="20"/>
                <w:szCs w:val="20"/>
              </w:rPr>
              <w:t>:</w:t>
            </w:r>
          </w:p>
          <w:p w14:paraId="068DAF86" w14:textId="77777777" w:rsidR="00D27059" w:rsidRPr="00A832D4" w:rsidRDefault="00D27059" w:rsidP="00CB73BD">
            <w:pPr>
              <w:jc w:val="left"/>
              <w:rPr>
                <w:rFonts w:ascii="Arial Narrow" w:hAnsi="Arial Narrow"/>
                <w:sz w:val="20"/>
                <w:szCs w:val="20"/>
              </w:rPr>
            </w:pPr>
            <w:r>
              <w:rPr>
                <w:rFonts w:ascii="Arial Narrow" w:hAnsi="Arial Narrow"/>
                <w:iCs/>
                <w:sz w:val="20"/>
                <w:szCs w:val="20"/>
              </w:rPr>
              <w:t>The applicability of Queensland data was unknown, and patients with a history of cytotoxic or immunosuppressive therapy for kidney disease, or an organ transplant had not been excluded. As the overall impact of further changes was likely to be small, these estimates were reasonable.</w:t>
            </w:r>
          </w:p>
          <w:p w14:paraId="04936221" w14:textId="77777777" w:rsidR="00D27059" w:rsidRPr="00A832D4" w:rsidRDefault="00D27059" w:rsidP="00CB73BD">
            <w:pPr>
              <w:jc w:val="center"/>
              <w:rPr>
                <w:rFonts w:ascii="Arial Narrow" w:hAnsi="Arial Narrow"/>
                <w:b/>
                <w:bCs/>
                <w:sz w:val="20"/>
                <w:szCs w:val="20"/>
              </w:rPr>
            </w:pPr>
          </w:p>
        </w:tc>
        <w:tc>
          <w:tcPr>
            <w:tcW w:w="1129" w:type="pct"/>
            <w:shd w:val="clear" w:color="auto" w:fill="auto"/>
          </w:tcPr>
          <w:p w14:paraId="2528332E" w14:textId="77777777" w:rsidR="00D27059" w:rsidRPr="00A832D4" w:rsidRDefault="00D27059" w:rsidP="00CB73BD">
            <w:pPr>
              <w:jc w:val="left"/>
              <w:rPr>
                <w:rFonts w:ascii="Arial Narrow" w:hAnsi="Arial Narrow"/>
                <w:iCs/>
                <w:sz w:val="20"/>
                <w:szCs w:val="20"/>
              </w:rPr>
            </w:pPr>
            <w:r>
              <w:rPr>
                <w:rFonts w:ascii="Arial Narrow" w:hAnsi="Arial Narrow"/>
                <w:iCs/>
                <w:sz w:val="20"/>
                <w:szCs w:val="20"/>
              </w:rPr>
              <w:t>Unchanged</w:t>
            </w:r>
          </w:p>
          <w:p w14:paraId="12401F1D" w14:textId="77777777" w:rsidR="00D27059" w:rsidRPr="00A832D4" w:rsidRDefault="00D27059" w:rsidP="00CB73BD">
            <w:pPr>
              <w:jc w:val="left"/>
              <w:rPr>
                <w:rFonts w:ascii="Arial Narrow" w:hAnsi="Arial Narrow"/>
                <w:iCs/>
                <w:sz w:val="20"/>
                <w:szCs w:val="20"/>
              </w:rPr>
            </w:pPr>
          </w:p>
        </w:tc>
        <w:tc>
          <w:tcPr>
            <w:tcW w:w="919" w:type="pct"/>
          </w:tcPr>
          <w:p w14:paraId="40F6663D" w14:textId="77777777" w:rsidR="00D27059" w:rsidRPr="00A832D4" w:rsidDel="00694B85" w:rsidRDefault="00D27059" w:rsidP="00CB73BD">
            <w:pPr>
              <w:jc w:val="left"/>
              <w:rPr>
                <w:rFonts w:ascii="Arial Narrow" w:hAnsi="Arial Narrow"/>
                <w:iCs/>
                <w:sz w:val="20"/>
                <w:szCs w:val="20"/>
              </w:rPr>
            </w:pPr>
          </w:p>
        </w:tc>
      </w:tr>
      <w:tr w:rsidR="00D27059" w:rsidRPr="00A832D4" w14:paraId="5C654023" w14:textId="77777777" w:rsidTr="00CB73BD">
        <w:trPr>
          <w:cantSplit/>
        </w:trPr>
        <w:tc>
          <w:tcPr>
            <w:tcW w:w="687" w:type="pct"/>
            <w:shd w:val="clear" w:color="auto" w:fill="auto"/>
          </w:tcPr>
          <w:p w14:paraId="3B0F0756"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 xml:space="preserve">Adults (%) with biomedical data suggesting CKD, with/without overlapping comorbidities of T2DM and/or CVD </w:t>
            </w:r>
          </w:p>
        </w:tc>
        <w:tc>
          <w:tcPr>
            <w:tcW w:w="2265" w:type="pct"/>
            <w:shd w:val="clear" w:color="auto" w:fill="auto"/>
          </w:tcPr>
          <w:p w14:paraId="4A993D84"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CKD only: 4.9%</w:t>
            </w:r>
          </w:p>
          <w:p w14:paraId="73D9D188"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CKD + CVD: 3.5%</w:t>
            </w:r>
          </w:p>
          <w:p w14:paraId="064853C8"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CKD + T2DM: 0.6%</w:t>
            </w:r>
          </w:p>
          <w:p w14:paraId="1FC2DF6C"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CKD + CVD + T2DM: 1.1% (2011-12 AHS)</w:t>
            </w:r>
          </w:p>
          <w:p w14:paraId="1201FBD1" w14:textId="77777777" w:rsidR="00D27059" w:rsidRPr="00A832D4" w:rsidRDefault="00D27059" w:rsidP="00CB73BD">
            <w:pPr>
              <w:jc w:val="left"/>
              <w:rPr>
                <w:rFonts w:ascii="Arial Narrow" w:hAnsi="Arial Narrow"/>
                <w:sz w:val="20"/>
                <w:szCs w:val="20"/>
              </w:rPr>
            </w:pPr>
          </w:p>
          <w:p w14:paraId="712642A3" w14:textId="77777777" w:rsidR="00D27059" w:rsidRPr="00F07CAB" w:rsidRDefault="00D27059" w:rsidP="00CB73BD">
            <w:pPr>
              <w:jc w:val="left"/>
              <w:rPr>
                <w:rFonts w:ascii="Arial Narrow" w:hAnsi="Arial Narrow"/>
                <w:sz w:val="20"/>
                <w:szCs w:val="20"/>
              </w:rPr>
            </w:pPr>
            <w:r w:rsidRPr="00F07CAB">
              <w:rPr>
                <w:rFonts w:ascii="Arial Narrow" w:hAnsi="Arial Narrow"/>
                <w:bCs/>
                <w:sz w:val="20"/>
                <w:szCs w:val="20"/>
              </w:rPr>
              <w:t>Unchanged from July 2021 estimates</w:t>
            </w:r>
          </w:p>
        </w:tc>
        <w:tc>
          <w:tcPr>
            <w:tcW w:w="1129" w:type="pct"/>
            <w:shd w:val="clear" w:color="auto" w:fill="auto"/>
          </w:tcPr>
          <w:p w14:paraId="63D74C84" w14:textId="77777777" w:rsidR="00D27059" w:rsidRPr="00A832D4" w:rsidRDefault="00D27059" w:rsidP="00CB73BD">
            <w:pPr>
              <w:jc w:val="left"/>
              <w:rPr>
                <w:rFonts w:ascii="Arial Narrow" w:hAnsi="Arial Narrow"/>
                <w:iCs/>
                <w:sz w:val="20"/>
                <w:szCs w:val="20"/>
              </w:rPr>
            </w:pPr>
            <w:r w:rsidRPr="00A832D4">
              <w:rPr>
                <w:rFonts w:ascii="Arial Narrow" w:hAnsi="Arial Narrow"/>
                <w:iCs/>
                <w:sz w:val="20"/>
                <w:szCs w:val="20"/>
              </w:rPr>
              <w:t>Unchanged</w:t>
            </w:r>
          </w:p>
        </w:tc>
        <w:tc>
          <w:tcPr>
            <w:tcW w:w="919" w:type="pct"/>
          </w:tcPr>
          <w:p w14:paraId="559F53F8" w14:textId="77777777" w:rsidR="00D27059" w:rsidRPr="00A832D4" w:rsidRDefault="00D27059" w:rsidP="00CB73BD">
            <w:pPr>
              <w:jc w:val="left"/>
              <w:rPr>
                <w:rFonts w:ascii="Arial Narrow" w:hAnsi="Arial Narrow"/>
                <w:iCs/>
                <w:sz w:val="20"/>
                <w:szCs w:val="20"/>
              </w:rPr>
            </w:pPr>
          </w:p>
        </w:tc>
      </w:tr>
      <w:tr w:rsidR="00D27059" w:rsidRPr="00A832D4" w14:paraId="43823DEB" w14:textId="77777777" w:rsidTr="00CB73BD">
        <w:trPr>
          <w:cantSplit/>
        </w:trPr>
        <w:tc>
          <w:tcPr>
            <w:tcW w:w="687" w:type="pct"/>
            <w:shd w:val="clear" w:color="auto" w:fill="auto"/>
          </w:tcPr>
          <w:p w14:paraId="335A5FE6"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Proportion of CKD patients not eligible for PBS-listed SGLT2 inhibitors for T2DM (HbA1c ≤7.0%)</w:t>
            </w:r>
          </w:p>
        </w:tc>
        <w:tc>
          <w:tcPr>
            <w:tcW w:w="2265" w:type="pct"/>
            <w:shd w:val="clear" w:color="auto" w:fill="auto"/>
          </w:tcPr>
          <w:p w14:paraId="2D1DC496" w14:textId="77777777" w:rsidR="00D27059" w:rsidRPr="00A832D4" w:rsidRDefault="00D27059" w:rsidP="00CB73BD">
            <w:pPr>
              <w:jc w:val="left"/>
              <w:rPr>
                <w:rFonts w:ascii="Arial Narrow" w:hAnsi="Arial Narrow"/>
                <w:b/>
                <w:sz w:val="20"/>
                <w:szCs w:val="20"/>
              </w:rPr>
            </w:pPr>
            <w:r>
              <w:rPr>
                <w:rFonts w:ascii="Arial Narrow" w:hAnsi="Arial Narrow"/>
                <w:iCs/>
                <w:sz w:val="20"/>
                <w:szCs w:val="20"/>
              </w:rPr>
              <w:t>Sponsor</w:t>
            </w:r>
            <w:r w:rsidRPr="00A832D4">
              <w:rPr>
                <w:rFonts w:ascii="Arial Narrow" w:hAnsi="Arial Narrow"/>
                <w:iCs/>
                <w:sz w:val="20"/>
                <w:szCs w:val="20"/>
              </w:rPr>
              <w:t xml:space="preserve"> used a midpoint of </w:t>
            </w:r>
            <w:r w:rsidRPr="004170E7">
              <w:rPr>
                <w:rFonts w:ascii="Arial Narrow" w:hAnsi="Arial Narrow"/>
                <w:b/>
                <w:sz w:val="20"/>
                <w:szCs w:val="20"/>
              </w:rPr>
              <w:t>88.3%</w:t>
            </w:r>
            <w:r w:rsidRPr="00A832D4">
              <w:rPr>
                <w:rFonts w:ascii="Arial Narrow" w:hAnsi="Arial Narrow"/>
                <w:sz w:val="20"/>
                <w:szCs w:val="20"/>
              </w:rPr>
              <w:t xml:space="preserve"> based on its original assumption of 93.4% and PBAC’s suggested proportion of 83.</w:t>
            </w:r>
            <w:r>
              <w:rPr>
                <w:rFonts w:ascii="Arial Narrow" w:hAnsi="Arial Narrow"/>
                <w:sz w:val="20"/>
                <w:szCs w:val="20"/>
              </w:rPr>
              <w:t>2</w:t>
            </w:r>
            <w:r w:rsidRPr="00A832D4">
              <w:rPr>
                <w:rFonts w:ascii="Arial Narrow" w:hAnsi="Arial Narrow"/>
                <w:sz w:val="20"/>
                <w:szCs w:val="20"/>
              </w:rPr>
              <w:t>%</w:t>
            </w:r>
            <w:r>
              <w:rPr>
                <w:rFonts w:ascii="Arial Narrow" w:hAnsi="Arial Narrow"/>
                <w:sz w:val="20"/>
                <w:szCs w:val="20"/>
              </w:rPr>
              <w:t xml:space="preserve"> (the latter was applied in a scenario analysis)</w:t>
            </w:r>
            <w:r w:rsidRPr="00A832D4">
              <w:rPr>
                <w:rFonts w:ascii="Arial Narrow" w:hAnsi="Arial Narrow"/>
                <w:sz w:val="20"/>
                <w:szCs w:val="20"/>
              </w:rPr>
              <w:t>.</w:t>
            </w:r>
            <w:r w:rsidRPr="00A832D4">
              <w:rPr>
                <w:rFonts w:ascii="Arial Narrow" w:hAnsi="Arial Narrow"/>
                <w:b/>
                <w:sz w:val="20"/>
                <w:szCs w:val="20"/>
              </w:rPr>
              <w:t xml:space="preserve"> </w:t>
            </w:r>
          </w:p>
          <w:p w14:paraId="6A0B73A6" w14:textId="77777777" w:rsidR="00D27059" w:rsidRDefault="00D27059" w:rsidP="00CB73BD">
            <w:pPr>
              <w:jc w:val="left"/>
              <w:rPr>
                <w:rFonts w:ascii="Arial Narrow" w:hAnsi="Arial Narrow"/>
                <w:bCs/>
                <w:sz w:val="20"/>
                <w:szCs w:val="20"/>
              </w:rPr>
            </w:pPr>
          </w:p>
          <w:p w14:paraId="54609A3E" w14:textId="77777777" w:rsidR="00D27059" w:rsidRDefault="00D27059" w:rsidP="00CB73BD">
            <w:pPr>
              <w:jc w:val="left"/>
              <w:rPr>
                <w:rFonts w:ascii="Arial Narrow" w:hAnsi="Arial Narrow"/>
                <w:sz w:val="20"/>
                <w:szCs w:val="20"/>
              </w:rPr>
            </w:pPr>
            <w:r w:rsidRPr="00FE1875">
              <w:rPr>
                <w:rFonts w:ascii="Arial Narrow" w:hAnsi="Arial Narrow"/>
                <w:b/>
                <w:sz w:val="20"/>
                <w:szCs w:val="20"/>
              </w:rPr>
              <w:t>PBAC Consideration</w:t>
            </w:r>
            <w:r>
              <w:rPr>
                <w:rFonts w:ascii="Arial Narrow" w:hAnsi="Arial Narrow"/>
                <w:sz w:val="20"/>
                <w:szCs w:val="20"/>
              </w:rPr>
              <w:t>:</w:t>
            </w:r>
          </w:p>
          <w:p w14:paraId="190A2ECB" w14:textId="77777777" w:rsidR="00D27059" w:rsidRPr="00F07CAB" w:rsidRDefault="00D27059" w:rsidP="00CB73BD">
            <w:pPr>
              <w:jc w:val="left"/>
              <w:rPr>
                <w:rFonts w:ascii="Arial Narrow" w:hAnsi="Arial Narrow"/>
                <w:sz w:val="20"/>
                <w:szCs w:val="20"/>
              </w:rPr>
            </w:pPr>
            <w:r w:rsidRPr="00F07CAB">
              <w:rPr>
                <w:rFonts w:ascii="Arial Narrow" w:hAnsi="Arial Narrow"/>
                <w:sz w:val="20"/>
                <w:szCs w:val="20"/>
              </w:rPr>
              <w:t>Remained a likely overestimate, but the revised value was more reasonable in the absence of alternative evidence.</w:t>
            </w:r>
          </w:p>
          <w:p w14:paraId="36B1D54C" w14:textId="77777777" w:rsidR="00D27059" w:rsidRPr="00A832D4" w:rsidRDefault="00D27059" w:rsidP="00CB73BD">
            <w:pPr>
              <w:jc w:val="left"/>
              <w:rPr>
                <w:rFonts w:ascii="Arial Narrow" w:hAnsi="Arial Narrow"/>
                <w:sz w:val="20"/>
                <w:szCs w:val="20"/>
              </w:rPr>
            </w:pPr>
          </w:p>
        </w:tc>
        <w:tc>
          <w:tcPr>
            <w:tcW w:w="1129" w:type="pct"/>
            <w:shd w:val="clear" w:color="auto" w:fill="auto"/>
          </w:tcPr>
          <w:p w14:paraId="5F509D3F" w14:textId="77777777" w:rsidR="00D27059" w:rsidRPr="00A832D4" w:rsidRDefault="00D27059" w:rsidP="00CB73BD">
            <w:pPr>
              <w:jc w:val="left"/>
              <w:rPr>
                <w:rFonts w:ascii="Arial Narrow" w:hAnsi="Arial Narrow"/>
                <w:iCs/>
                <w:sz w:val="20"/>
                <w:szCs w:val="20"/>
              </w:rPr>
            </w:pPr>
            <w:r w:rsidRPr="00F07CAB">
              <w:rPr>
                <w:rFonts w:ascii="Arial Narrow" w:hAnsi="Arial Narrow"/>
                <w:iCs/>
                <w:sz w:val="20"/>
                <w:szCs w:val="20"/>
              </w:rPr>
              <w:t xml:space="preserve">Reduced to </w:t>
            </w:r>
            <w:r w:rsidRPr="004170E7">
              <w:rPr>
                <w:rFonts w:ascii="Arial Narrow" w:hAnsi="Arial Narrow"/>
                <w:b/>
                <w:iCs/>
                <w:sz w:val="20"/>
                <w:szCs w:val="20"/>
              </w:rPr>
              <w:t>83.20%</w:t>
            </w:r>
            <w:r w:rsidRPr="00F07CAB">
              <w:rPr>
                <w:rFonts w:ascii="Arial Narrow" w:hAnsi="Arial Narrow"/>
                <w:iCs/>
                <w:sz w:val="20"/>
                <w:szCs w:val="20"/>
              </w:rPr>
              <w:t xml:space="preserve">. </w:t>
            </w:r>
          </w:p>
        </w:tc>
        <w:tc>
          <w:tcPr>
            <w:tcW w:w="919" w:type="pct"/>
          </w:tcPr>
          <w:p w14:paraId="32AD7585" w14:textId="77777777" w:rsidR="00D27059" w:rsidRPr="008B0C5A" w:rsidDel="006659BB" w:rsidRDefault="00D27059" w:rsidP="00CB73BD">
            <w:pPr>
              <w:jc w:val="left"/>
              <w:rPr>
                <w:rFonts w:ascii="Arial Narrow" w:hAnsi="Arial Narrow"/>
                <w:iCs/>
                <w:sz w:val="20"/>
                <w:szCs w:val="20"/>
              </w:rPr>
            </w:pPr>
            <w:r>
              <w:rPr>
                <w:rFonts w:ascii="Arial Narrow" w:hAnsi="Arial Narrow"/>
                <w:iCs/>
                <w:sz w:val="20"/>
                <w:szCs w:val="20"/>
              </w:rPr>
              <w:t xml:space="preserve">PBAC suggested a rate of </w:t>
            </w:r>
            <w:r w:rsidRPr="004170E7">
              <w:rPr>
                <w:rFonts w:ascii="Arial Narrow" w:hAnsi="Arial Narrow"/>
                <w:b/>
                <w:iCs/>
                <w:sz w:val="20"/>
                <w:szCs w:val="20"/>
              </w:rPr>
              <w:t>50%</w:t>
            </w:r>
            <w:r>
              <w:rPr>
                <w:rFonts w:ascii="Arial Narrow" w:hAnsi="Arial Narrow"/>
                <w:iCs/>
                <w:sz w:val="20"/>
                <w:szCs w:val="20"/>
              </w:rPr>
              <w:t xml:space="preserve"> based on the ANZDATA Registry data</w:t>
            </w:r>
            <w:r>
              <w:rPr>
                <w:rStyle w:val="FootnoteReference"/>
                <w:rFonts w:ascii="Arial Narrow" w:hAnsi="Arial Narrow"/>
                <w:iCs/>
                <w:sz w:val="20"/>
                <w:szCs w:val="20"/>
              </w:rPr>
              <w:footnoteReference w:id="1"/>
            </w:r>
            <w:r>
              <w:rPr>
                <w:rFonts w:ascii="Arial Narrow" w:hAnsi="Arial Narrow"/>
                <w:iCs/>
                <w:sz w:val="20"/>
                <w:szCs w:val="20"/>
              </w:rPr>
              <w:t xml:space="preserve"> where close to 50% of Australian patients in 2019 had Type 2 diabetes on initiation of </w:t>
            </w:r>
            <w:r w:rsidRPr="00FE1220">
              <w:rPr>
                <w:rFonts w:ascii="Arial Narrow" w:hAnsi="Arial Narrow"/>
                <w:iCs/>
                <w:sz w:val="20"/>
                <w:szCs w:val="20"/>
              </w:rPr>
              <w:t>renal replacement therapy (RRT)</w:t>
            </w:r>
            <w:r>
              <w:rPr>
                <w:rFonts w:ascii="Arial Narrow" w:hAnsi="Arial Narrow"/>
                <w:iCs/>
                <w:sz w:val="20"/>
                <w:szCs w:val="20"/>
              </w:rPr>
              <w:t>. PBAC further noted in the pivotal trial (</w:t>
            </w:r>
            <w:r w:rsidRPr="000B1170">
              <w:rPr>
                <w:rFonts w:ascii="Arial Narrow" w:hAnsi="Arial Narrow"/>
                <w:iCs/>
                <w:sz w:val="20"/>
                <w:szCs w:val="20"/>
              </w:rPr>
              <w:t>DAPA CKD</w:t>
            </w:r>
            <w:r>
              <w:rPr>
                <w:rFonts w:ascii="Arial Narrow" w:hAnsi="Arial Narrow"/>
                <w:iCs/>
                <w:sz w:val="20"/>
                <w:szCs w:val="20"/>
              </w:rPr>
              <w:t>) that 67.6% of patients had T2DM at baseline.</w:t>
            </w:r>
          </w:p>
        </w:tc>
      </w:tr>
      <w:tr w:rsidR="00D27059" w:rsidRPr="00A832D4" w14:paraId="199423D1" w14:textId="77777777" w:rsidTr="00CB73BD">
        <w:trPr>
          <w:cantSplit/>
        </w:trPr>
        <w:tc>
          <w:tcPr>
            <w:tcW w:w="687" w:type="pct"/>
            <w:shd w:val="clear" w:color="auto" w:fill="auto"/>
          </w:tcPr>
          <w:p w14:paraId="768E2899" w14:textId="77777777" w:rsidR="00D27059" w:rsidRPr="00A832D4" w:rsidRDefault="00D27059" w:rsidP="00CB73BD">
            <w:pPr>
              <w:jc w:val="left"/>
              <w:rPr>
                <w:rFonts w:ascii="Arial Narrow" w:hAnsi="Arial Narrow"/>
                <w:sz w:val="20"/>
                <w:szCs w:val="20"/>
              </w:rPr>
            </w:pPr>
            <w:r w:rsidRPr="00A832D4">
              <w:rPr>
                <w:rFonts w:ascii="Arial Narrow" w:hAnsi="Arial Narrow"/>
                <w:sz w:val="20"/>
                <w:szCs w:val="20"/>
              </w:rPr>
              <w:t>Proportion of CKD patients not eligible for PBS-listed dapagliflozin for HFrEF</w:t>
            </w:r>
          </w:p>
        </w:tc>
        <w:tc>
          <w:tcPr>
            <w:tcW w:w="2265" w:type="pct"/>
            <w:shd w:val="clear" w:color="auto" w:fill="auto"/>
          </w:tcPr>
          <w:p w14:paraId="46B879AE" w14:textId="77777777" w:rsidR="00D27059" w:rsidRDefault="00D27059" w:rsidP="00CB73BD">
            <w:pPr>
              <w:jc w:val="left"/>
              <w:rPr>
                <w:rFonts w:ascii="Arial Narrow" w:hAnsi="Arial Narrow"/>
                <w:bCs/>
                <w:sz w:val="20"/>
                <w:szCs w:val="20"/>
              </w:rPr>
            </w:pPr>
            <w:r w:rsidRPr="004C5399">
              <w:rPr>
                <w:rFonts w:ascii="Arial Narrow" w:hAnsi="Arial Narrow"/>
                <w:bCs/>
                <w:sz w:val="20"/>
                <w:szCs w:val="20"/>
              </w:rPr>
              <w:t xml:space="preserve">Proportion increased slightly compared to the original submission from 97.4% to </w:t>
            </w:r>
            <w:r w:rsidRPr="004170E7">
              <w:rPr>
                <w:rFonts w:ascii="Arial Narrow" w:hAnsi="Arial Narrow"/>
                <w:b/>
                <w:bCs/>
                <w:sz w:val="20"/>
                <w:szCs w:val="20"/>
              </w:rPr>
              <w:t>97.7%</w:t>
            </w:r>
            <w:r>
              <w:rPr>
                <w:rFonts w:ascii="Arial Narrow" w:hAnsi="Arial Narrow"/>
                <w:bCs/>
                <w:sz w:val="20"/>
                <w:szCs w:val="20"/>
              </w:rPr>
              <w:t xml:space="preserve"> </w:t>
            </w:r>
            <w:r w:rsidRPr="006222A9">
              <w:rPr>
                <w:rFonts w:ascii="Arial Narrow" w:hAnsi="Arial Narrow"/>
                <w:bCs/>
                <w:sz w:val="20"/>
                <w:szCs w:val="20"/>
              </w:rPr>
              <w:t>by narrowing the CKD overlap with HFrEF patients (LVEF&lt;40%) to those in NHYA Classes II-IV receiving SOC.</w:t>
            </w:r>
          </w:p>
          <w:p w14:paraId="2E20EB0B" w14:textId="77777777" w:rsidR="00D27059" w:rsidRDefault="00D27059" w:rsidP="00CB73BD">
            <w:pPr>
              <w:jc w:val="left"/>
              <w:rPr>
                <w:rFonts w:ascii="Arial Narrow" w:hAnsi="Arial Narrow"/>
                <w:bCs/>
                <w:sz w:val="20"/>
                <w:szCs w:val="20"/>
              </w:rPr>
            </w:pPr>
          </w:p>
          <w:p w14:paraId="3FE5CEE0" w14:textId="77777777" w:rsidR="00D27059" w:rsidRDefault="00D27059" w:rsidP="00CB73BD">
            <w:pPr>
              <w:jc w:val="left"/>
              <w:rPr>
                <w:rFonts w:ascii="Arial Narrow" w:hAnsi="Arial Narrow"/>
                <w:sz w:val="20"/>
                <w:szCs w:val="20"/>
              </w:rPr>
            </w:pPr>
            <w:r w:rsidRPr="00FE1875">
              <w:rPr>
                <w:rFonts w:ascii="Arial Narrow" w:hAnsi="Arial Narrow"/>
                <w:b/>
                <w:sz w:val="20"/>
                <w:szCs w:val="20"/>
              </w:rPr>
              <w:t>PBAC Consideration</w:t>
            </w:r>
            <w:r>
              <w:rPr>
                <w:rFonts w:ascii="Arial Narrow" w:hAnsi="Arial Narrow"/>
                <w:sz w:val="20"/>
                <w:szCs w:val="20"/>
              </w:rPr>
              <w:t>:</w:t>
            </w:r>
          </w:p>
          <w:p w14:paraId="6E3E44F5" w14:textId="77777777" w:rsidR="00D27059" w:rsidRPr="00A832D4" w:rsidRDefault="00D27059" w:rsidP="00CB73BD">
            <w:pPr>
              <w:jc w:val="left"/>
              <w:rPr>
                <w:rFonts w:ascii="Arial Narrow" w:hAnsi="Arial Narrow"/>
                <w:sz w:val="20"/>
                <w:szCs w:val="20"/>
              </w:rPr>
            </w:pPr>
            <w:r>
              <w:rPr>
                <w:rFonts w:ascii="Arial Narrow" w:hAnsi="Arial Narrow"/>
                <w:bCs/>
                <w:sz w:val="20"/>
                <w:szCs w:val="20"/>
              </w:rPr>
              <w:t>R</w:t>
            </w:r>
            <w:r w:rsidRPr="00B61CE1">
              <w:rPr>
                <w:rFonts w:ascii="Arial Narrow" w:hAnsi="Arial Narrow"/>
                <w:bCs/>
                <w:sz w:val="20"/>
                <w:szCs w:val="20"/>
              </w:rPr>
              <w:t>emained highly uncertain, but likely reasonable in the absence of alternative evidence.</w:t>
            </w:r>
          </w:p>
        </w:tc>
        <w:tc>
          <w:tcPr>
            <w:tcW w:w="1129" w:type="pct"/>
            <w:shd w:val="clear" w:color="auto" w:fill="auto"/>
          </w:tcPr>
          <w:p w14:paraId="65E8662F" w14:textId="77777777" w:rsidR="00D27059" w:rsidRPr="00A832D4" w:rsidRDefault="00D27059" w:rsidP="00CB73BD">
            <w:pPr>
              <w:jc w:val="left"/>
              <w:rPr>
                <w:rFonts w:ascii="Arial Narrow" w:hAnsi="Arial Narrow"/>
                <w:i/>
                <w:sz w:val="20"/>
                <w:szCs w:val="20"/>
              </w:rPr>
            </w:pPr>
            <w:r>
              <w:rPr>
                <w:rFonts w:ascii="Arial Narrow" w:hAnsi="Arial Narrow"/>
                <w:bCs/>
                <w:sz w:val="20"/>
                <w:szCs w:val="20"/>
              </w:rPr>
              <w:t>Unchanged</w:t>
            </w:r>
          </w:p>
        </w:tc>
        <w:tc>
          <w:tcPr>
            <w:tcW w:w="919" w:type="pct"/>
          </w:tcPr>
          <w:p w14:paraId="1FA50A98" w14:textId="77777777" w:rsidR="00D27059" w:rsidRDefault="00D27059" w:rsidP="00CB73BD">
            <w:pPr>
              <w:jc w:val="left"/>
              <w:rPr>
                <w:rFonts w:ascii="Arial Narrow" w:hAnsi="Arial Narrow"/>
                <w:bCs/>
                <w:sz w:val="20"/>
                <w:szCs w:val="20"/>
              </w:rPr>
            </w:pPr>
            <w:r>
              <w:rPr>
                <w:rFonts w:ascii="Arial Narrow" w:hAnsi="Arial Narrow"/>
                <w:iCs/>
                <w:sz w:val="20"/>
                <w:szCs w:val="20"/>
              </w:rPr>
              <w:t xml:space="preserve">PBAC suggested a rate of </w:t>
            </w:r>
            <w:r w:rsidRPr="004170E7">
              <w:rPr>
                <w:rFonts w:ascii="Arial Narrow" w:hAnsi="Arial Narrow"/>
                <w:b/>
                <w:iCs/>
                <w:sz w:val="20"/>
                <w:szCs w:val="20"/>
              </w:rPr>
              <w:t>90%</w:t>
            </w:r>
            <w:r>
              <w:rPr>
                <w:rFonts w:ascii="Arial Narrow" w:hAnsi="Arial Narrow"/>
                <w:iCs/>
                <w:sz w:val="20"/>
                <w:szCs w:val="20"/>
              </w:rPr>
              <w:t xml:space="preserve"> based on the pivotal trial (</w:t>
            </w:r>
            <w:r w:rsidRPr="000B1170">
              <w:rPr>
                <w:rFonts w:ascii="Arial Narrow" w:hAnsi="Arial Narrow"/>
                <w:iCs/>
                <w:sz w:val="20"/>
                <w:szCs w:val="20"/>
              </w:rPr>
              <w:t>DAPA CKD</w:t>
            </w:r>
            <w:r>
              <w:rPr>
                <w:rFonts w:ascii="Arial Narrow" w:hAnsi="Arial Narrow"/>
                <w:iCs/>
                <w:sz w:val="20"/>
                <w:szCs w:val="20"/>
              </w:rPr>
              <w:t>) where 10.9% of patients had HF at baseline.</w:t>
            </w:r>
          </w:p>
        </w:tc>
      </w:tr>
      <w:tr w:rsidR="00D27059" w:rsidRPr="00A832D4" w14:paraId="4D5632DA" w14:textId="77777777" w:rsidTr="00CB73BD">
        <w:trPr>
          <w:cantSplit/>
        </w:trPr>
        <w:tc>
          <w:tcPr>
            <w:tcW w:w="687" w:type="pct"/>
            <w:shd w:val="clear" w:color="auto" w:fill="auto"/>
          </w:tcPr>
          <w:p w14:paraId="632EBE0C" w14:textId="77777777" w:rsidR="00D27059" w:rsidRPr="00A832D4" w:rsidRDefault="00D27059" w:rsidP="00CB73BD">
            <w:pPr>
              <w:jc w:val="left"/>
              <w:rPr>
                <w:rFonts w:ascii="Arial Narrow" w:hAnsi="Arial Narrow"/>
                <w:sz w:val="20"/>
                <w:szCs w:val="20"/>
              </w:rPr>
            </w:pPr>
            <w:r>
              <w:rPr>
                <w:rFonts w:ascii="Arial Narrow" w:hAnsi="Arial Narrow"/>
                <w:sz w:val="20"/>
                <w:szCs w:val="20"/>
              </w:rPr>
              <w:t>Proportion of patients who do not initiate RRT (i.e. application of a ‘stopping rule’)</w:t>
            </w:r>
          </w:p>
        </w:tc>
        <w:tc>
          <w:tcPr>
            <w:tcW w:w="2265" w:type="pct"/>
            <w:shd w:val="clear" w:color="auto" w:fill="auto"/>
          </w:tcPr>
          <w:p w14:paraId="133DCA3F" w14:textId="77777777" w:rsidR="00D27059" w:rsidRPr="004170E7" w:rsidRDefault="00D27059" w:rsidP="00CB73BD">
            <w:pPr>
              <w:jc w:val="left"/>
              <w:rPr>
                <w:rFonts w:ascii="Arial Narrow" w:hAnsi="Arial Narrow"/>
                <w:b/>
                <w:iCs/>
                <w:sz w:val="20"/>
                <w:szCs w:val="20"/>
              </w:rPr>
            </w:pPr>
            <w:r w:rsidRPr="004170E7">
              <w:rPr>
                <w:rFonts w:ascii="Arial Narrow" w:hAnsi="Arial Narrow"/>
                <w:b/>
                <w:iCs/>
                <w:sz w:val="20"/>
                <w:szCs w:val="20"/>
              </w:rPr>
              <w:t>99%</w:t>
            </w:r>
          </w:p>
          <w:p w14:paraId="44849E57" w14:textId="77777777" w:rsidR="00D27059" w:rsidRDefault="00D27059" w:rsidP="00CB73BD">
            <w:pPr>
              <w:jc w:val="left"/>
              <w:rPr>
                <w:rFonts w:ascii="Arial Narrow" w:hAnsi="Arial Narrow"/>
                <w:iCs/>
                <w:sz w:val="20"/>
                <w:szCs w:val="20"/>
              </w:rPr>
            </w:pPr>
            <w:r>
              <w:rPr>
                <w:rFonts w:ascii="Arial Narrow" w:hAnsi="Arial Narrow"/>
                <w:iCs/>
                <w:sz w:val="20"/>
                <w:szCs w:val="20"/>
              </w:rPr>
              <w:t>Stopping rule applied as per scenario analysis in pre-PBAC response.</w:t>
            </w:r>
          </w:p>
          <w:p w14:paraId="2EBB4613" w14:textId="77777777" w:rsidR="00D27059" w:rsidRDefault="00D27059" w:rsidP="00CB73BD">
            <w:pPr>
              <w:jc w:val="left"/>
              <w:rPr>
                <w:rFonts w:ascii="Arial Narrow" w:hAnsi="Arial Narrow"/>
                <w:iCs/>
                <w:sz w:val="20"/>
                <w:szCs w:val="20"/>
              </w:rPr>
            </w:pPr>
          </w:p>
          <w:p w14:paraId="617C11E7" w14:textId="77777777" w:rsidR="00D27059" w:rsidRDefault="00D27059" w:rsidP="00CB73BD">
            <w:pPr>
              <w:jc w:val="left"/>
              <w:rPr>
                <w:rFonts w:ascii="Arial Narrow" w:hAnsi="Arial Narrow"/>
                <w:iCs/>
                <w:sz w:val="20"/>
                <w:szCs w:val="20"/>
              </w:rPr>
            </w:pPr>
            <w:r>
              <w:rPr>
                <w:rFonts w:ascii="Arial Narrow" w:hAnsi="Arial Narrow"/>
                <w:iCs/>
                <w:sz w:val="20"/>
                <w:szCs w:val="20"/>
              </w:rPr>
              <w:t>The sponsor explained that:</w:t>
            </w:r>
          </w:p>
          <w:p w14:paraId="6FC7C44D" w14:textId="77777777" w:rsidR="00D27059" w:rsidRDefault="00D27059" w:rsidP="00CB73BD">
            <w:pPr>
              <w:jc w:val="left"/>
              <w:rPr>
                <w:rFonts w:ascii="Arial Narrow" w:hAnsi="Arial Narrow"/>
                <w:iCs/>
                <w:sz w:val="20"/>
                <w:szCs w:val="20"/>
              </w:rPr>
            </w:pPr>
            <w:r>
              <w:rPr>
                <w:rFonts w:ascii="Arial Narrow" w:hAnsi="Arial Narrow"/>
                <w:iCs/>
                <w:sz w:val="20"/>
                <w:szCs w:val="20"/>
              </w:rPr>
              <w:t xml:space="preserve">- </w:t>
            </w:r>
            <w:r w:rsidRPr="004C2729">
              <w:rPr>
                <w:rFonts w:ascii="Arial Narrow" w:hAnsi="Arial Narrow"/>
                <w:iCs/>
                <w:sz w:val="20"/>
                <w:szCs w:val="20"/>
              </w:rPr>
              <w:t>Firstly, the proportion of patients progressing to ESKD per year in the dapagliflozin and placebo arms was estimated from the time to ESKD Kaplan-Meier data with lognormal parametric extrapolation.</w:t>
            </w:r>
          </w:p>
          <w:p w14:paraId="5DC2A1B3" w14:textId="77777777" w:rsidR="00D27059" w:rsidRDefault="00D27059" w:rsidP="00CB73BD">
            <w:pPr>
              <w:jc w:val="left"/>
              <w:rPr>
                <w:rFonts w:ascii="Arial Narrow" w:hAnsi="Arial Narrow"/>
                <w:iCs/>
                <w:sz w:val="20"/>
                <w:szCs w:val="20"/>
              </w:rPr>
            </w:pPr>
            <w:r>
              <w:rPr>
                <w:rFonts w:ascii="Arial Narrow" w:hAnsi="Arial Narrow"/>
                <w:iCs/>
                <w:sz w:val="20"/>
                <w:szCs w:val="20"/>
              </w:rPr>
              <w:t>-</w:t>
            </w:r>
            <w:r w:rsidRPr="004C2729">
              <w:rPr>
                <w:rFonts w:ascii="Arial Narrow" w:hAnsi="Arial Narrow"/>
                <w:iCs/>
                <w:sz w:val="20"/>
                <w:szCs w:val="20"/>
              </w:rPr>
              <w:t xml:space="preserve"> Secondly, the prevalence data of treated (receiving transplant or dialysis) and untreated ESKD (receiving conservative management) patients from the Australia and New Zealand Dialysis &amp; Transplant Registry (ANZDATA) was applied to the proportion of patients progressing to ESKD to estimate the proportion of those patients receiving RRT.</w:t>
            </w:r>
          </w:p>
          <w:p w14:paraId="0EC2473E" w14:textId="77777777" w:rsidR="00D27059" w:rsidRDefault="00D27059" w:rsidP="00CB73BD">
            <w:pPr>
              <w:jc w:val="left"/>
              <w:rPr>
                <w:rFonts w:ascii="Arial Narrow" w:hAnsi="Arial Narrow"/>
                <w:iCs/>
                <w:sz w:val="20"/>
                <w:szCs w:val="20"/>
              </w:rPr>
            </w:pPr>
          </w:p>
          <w:p w14:paraId="4E33C8A0" w14:textId="77777777" w:rsidR="00D27059" w:rsidRDefault="00D27059" w:rsidP="00CB73BD">
            <w:pPr>
              <w:jc w:val="left"/>
              <w:rPr>
                <w:rFonts w:ascii="Arial Narrow" w:hAnsi="Arial Narrow"/>
                <w:sz w:val="20"/>
                <w:szCs w:val="20"/>
              </w:rPr>
            </w:pPr>
            <w:r w:rsidRPr="00FE1875">
              <w:rPr>
                <w:rFonts w:ascii="Arial Narrow" w:hAnsi="Arial Narrow"/>
                <w:b/>
                <w:sz w:val="20"/>
                <w:szCs w:val="20"/>
              </w:rPr>
              <w:t>PBAC Consideration</w:t>
            </w:r>
            <w:r>
              <w:rPr>
                <w:rFonts w:ascii="Arial Narrow" w:hAnsi="Arial Narrow"/>
                <w:sz w:val="20"/>
                <w:szCs w:val="20"/>
              </w:rPr>
              <w:t>:</w:t>
            </w:r>
          </w:p>
          <w:p w14:paraId="33A47752" w14:textId="77777777" w:rsidR="00D27059" w:rsidRPr="004C2729" w:rsidRDefault="00D27059" w:rsidP="00CB73BD">
            <w:pPr>
              <w:jc w:val="left"/>
              <w:rPr>
                <w:rFonts w:ascii="Arial Narrow" w:hAnsi="Arial Narrow"/>
                <w:sz w:val="20"/>
                <w:szCs w:val="20"/>
              </w:rPr>
            </w:pPr>
            <w:r>
              <w:rPr>
                <w:rFonts w:ascii="Arial Narrow" w:hAnsi="Arial Narrow"/>
                <w:iCs/>
                <w:sz w:val="20"/>
                <w:szCs w:val="20"/>
              </w:rPr>
              <w:t>Appropriate; additional explanation of the method applied was considered satisfactory.</w:t>
            </w:r>
          </w:p>
        </w:tc>
        <w:tc>
          <w:tcPr>
            <w:tcW w:w="1129" w:type="pct"/>
            <w:shd w:val="clear" w:color="auto" w:fill="auto"/>
          </w:tcPr>
          <w:p w14:paraId="47824C6C" w14:textId="77777777" w:rsidR="00D27059" w:rsidRPr="00A832D4" w:rsidRDefault="00D27059" w:rsidP="00CB73BD">
            <w:pPr>
              <w:jc w:val="left"/>
              <w:rPr>
                <w:rFonts w:ascii="Arial Narrow" w:hAnsi="Arial Narrow"/>
                <w:iCs/>
                <w:sz w:val="20"/>
                <w:szCs w:val="20"/>
              </w:rPr>
            </w:pPr>
            <w:r>
              <w:rPr>
                <w:rFonts w:ascii="Arial Narrow" w:hAnsi="Arial Narrow"/>
                <w:iCs/>
                <w:sz w:val="20"/>
                <w:szCs w:val="20"/>
              </w:rPr>
              <w:t xml:space="preserve">Unchanged </w:t>
            </w:r>
          </w:p>
        </w:tc>
        <w:tc>
          <w:tcPr>
            <w:tcW w:w="919" w:type="pct"/>
          </w:tcPr>
          <w:p w14:paraId="6CBA9795" w14:textId="77777777" w:rsidR="00D27059" w:rsidRDefault="00D27059" w:rsidP="00CB73BD">
            <w:pPr>
              <w:jc w:val="left"/>
              <w:rPr>
                <w:rFonts w:ascii="Arial Narrow" w:hAnsi="Arial Narrow"/>
                <w:iCs/>
                <w:sz w:val="20"/>
                <w:szCs w:val="20"/>
              </w:rPr>
            </w:pPr>
          </w:p>
        </w:tc>
      </w:tr>
    </w:tbl>
    <w:p w14:paraId="7EE9BB9E" w14:textId="77777777" w:rsidR="00D27059" w:rsidRDefault="00D27059" w:rsidP="00D27059">
      <w:pPr>
        <w:rPr>
          <w:rFonts w:asciiTheme="minorHAnsi" w:hAnsiTheme="minorHAnsi"/>
          <w:highlight w:val="cyan"/>
        </w:rPr>
      </w:pPr>
    </w:p>
    <w:p w14:paraId="67CFA836" w14:textId="77777777" w:rsidR="00D27059" w:rsidRDefault="00D27059" w:rsidP="00D27059">
      <w:pPr>
        <w:pStyle w:val="ExecSumBodyText"/>
        <w:numPr>
          <w:ilvl w:val="0"/>
          <w:numId w:val="0"/>
        </w:numPr>
        <w:rPr>
          <w:bCs/>
          <w:lang w:val="en-GB"/>
        </w:rPr>
      </w:pPr>
      <w:r w:rsidRPr="00753FF4">
        <w:rPr>
          <w:bCs/>
          <w:lang w:val="en-GB"/>
        </w:rPr>
        <w:t xml:space="preserve">Application of the </w:t>
      </w:r>
      <w:r>
        <w:rPr>
          <w:bCs/>
          <w:lang w:val="en-GB"/>
        </w:rPr>
        <w:t>parameters in Table 23 gives an overall eligibility rate of 1.8% (37,275 patients) using the November 2021 sponsor estimates and 1.25% (21,406 patients) using the PBAC suggested parameters (see Table 24). The PBAC noted that the difference in the utilisation of dapagliflozin estimated by the sponsor compared to the PBAC was further magnified with the application of increasing diagnosis rates over the forward estimates.</w:t>
      </w:r>
    </w:p>
    <w:p w14:paraId="24751DB9" w14:textId="77777777" w:rsidR="00D27059" w:rsidRPr="003D62F1" w:rsidRDefault="00D27059" w:rsidP="00D27059">
      <w:pPr>
        <w:pStyle w:val="5Tableheaders"/>
        <w:keepNext/>
      </w:pPr>
      <w:r>
        <w:t>Table 24:</w:t>
      </w:r>
      <w:r w:rsidRPr="00B10FDD">
        <w:t xml:space="preserve"> </w:t>
      </w:r>
      <w:r>
        <w:t xml:space="preserve">Summary of </w:t>
      </w:r>
      <w:r>
        <w:rPr>
          <w:bCs/>
          <w:lang w:val="en-GB"/>
        </w:rPr>
        <w:t>November 2021 Sponsor estimates and PBAC estimates</w:t>
      </w:r>
    </w:p>
    <w:tbl>
      <w:tblPr>
        <w:tblStyle w:val="Summarybox1"/>
        <w:tblW w:w="9209" w:type="dxa"/>
        <w:tblLook w:val="0420" w:firstRow="1" w:lastRow="0" w:firstColumn="0" w:lastColumn="0" w:noHBand="0" w:noVBand="1"/>
        <w:tblCaption w:val="Table 24: Summary of November 2021 Sponsor estimates and PBAC estimates"/>
      </w:tblPr>
      <w:tblGrid>
        <w:gridCol w:w="5899"/>
        <w:gridCol w:w="1751"/>
        <w:gridCol w:w="1559"/>
      </w:tblGrid>
      <w:tr w:rsidR="00D27059" w:rsidRPr="003D62F1" w14:paraId="5D6938CF" w14:textId="77777777" w:rsidTr="00A47FAC">
        <w:trPr>
          <w:trHeight w:val="283"/>
          <w:tblHeader/>
        </w:trPr>
        <w:tc>
          <w:tcPr>
            <w:tcW w:w="5899" w:type="dxa"/>
            <w:hideMark/>
          </w:tcPr>
          <w:p w14:paraId="3C021095" w14:textId="77777777" w:rsidR="00D27059" w:rsidRPr="00EF4191" w:rsidRDefault="00D27059" w:rsidP="00CB73BD">
            <w:pPr>
              <w:spacing w:line="240" w:lineRule="auto"/>
              <w:contextualSpacing/>
              <w:jc w:val="left"/>
              <w:rPr>
                <w:rFonts w:ascii="Arial Narrow" w:hAnsi="Arial Narrow"/>
                <w:b/>
                <w:sz w:val="20"/>
                <w:szCs w:val="20"/>
              </w:rPr>
            </w:pPr>
            <w:r w:rsidRPr="0000794E">
              <w:rPr>
                <w:rFonts w:ascii="Arial Narrow" w:hAnsi="Arial Narrow"/>
                <w:b/>
                <w:sz w:val="20"/>
                <w:szCs w:val="20"/>
              </w:rPr>
              <w:t>Parameter</w:t>
            </w:r>
          </w:p>
        </w:tc>
        <w:tc>
          <w:tcPr>
            <w:tcW w:w="1751" w:type="dxa"/>
          </w:tcPr>
          <w:p w14:paraId="3642FDD2" w14:textId="77777777" w:rsidR="00D27059" w:rsidRPr="00EF4191" w:rsidRDefault="00D27059" w:rsidP="00CB73BD">
            <w:pPr>
              <w:spacing w:line="240" w:lineRule="auto"/>
              <w:contextualSpacing/>
              <w:jc w:val="center"/>
              <w:rPr>
                <w:rFonts w:ascii="Arial Narrow" w:hAnsi="Arial Narrow"/>
                <w:sz w:val="20"/>
                <w:szCs w:val="20"/>
              </w:rPr>
            </w:pPr>
            <w:r>
              <w:rPr>
                <w:rFonts w:ascii="Arial Narrow" w:hAnsi="Arial Narrow"/>
                <w:b/>
                <w:bCs/>
                <w:iCs/>
                <w:sz w:val="20"/>
                <w:szCs w:val="20"/>
              </w:rPr>
              <w:t>November</w:t>
            </w:r>
            <w:r w:rsidRPr="00A832D4">
              <w:rPr>
                <w:rFonts w:ascii="Arial Narrow" w:hAnsi="Arial Narrow"/>
                <w:b/>
                <w:bCs/>
                <w:iCs/>
                <w:sz w:val="20"/>
                <w:szCs w:val="20"/>
              </w:rPr>
              <w:t xml:space="preserve"> 2021</w:t>
            </w:r>
            <w:r>
              <w:rPr>
                <w:rFonts w:ascii="Arial Narrow" w:hAnsi="Arial Narrow"/>
                <w:b/>
                <w:bCs/>
                <w:iCs/>
                <w:sz w:val="20"/>
                <w:szCs w:val="20"/>
              </w:rPr>
              <w:t xml:space="preserve"> estimates</w:t>
            </w:r>
          </w:p>
        </w:tc>
        <w:tc>
          <w:tcPr>
            <w:tcW w:w="1559" w:type="dxa"/>
            <w:hideMark/>
          </w:tcPr>
          <w:p w14:paraId="43102506" w14:textId="77777777" w:rsidR="00D27059" w:rsidRPr="00EF4191" w:rsidRDefault="00D27059" w:rsidP="00CB73BD">
            <w:pPr>
              <w:spacing w:line="240" w:lineRule="auto"/>
              <w:contextualSpacing/>
              <w:jc w:val="center"/>
              <w:rPr>
                <w:rFonts w:ascii="Arial Narrow" w:hAnsi="Arial Narrow"/>
                <w:b/>
                <w:sz w:val="20"/>
                <w:szCs w:val="20"/>
              </w:rPr>
            </w:pPr>
            <w:r w:rsidRPr="002C083C">
              <w:rPr>
                <w:rFonts w:ascii="Arial Narrow" w:hAnsi="Arial Narrow"/>
                <w:b/>
                <w:sz w:val="20"/>
                <w:szCs w:val="20"/>
              </w:rPr>
              <w:t xml:space="preserve">PBAC </w:t>
            </w:r>
            <w:r>
              <w:rPr>
                <w:rFonts w:ascii="Arial Narrow" w:hAnsi="Arial Narrow"/>
                <w:b/>
                <w:sz w:val="20"/>
                <w:szCs w:val="20"/>
              </w:rPr>
              <w:t>estimate</w:t>
            </w:r>
          </w:p>
        </w:tc>
      </w:tr>
      <w:tr w:rsidR="00D27059" w:rsidRPr="003D62F1" w14:paraId="0265D529" w14:textId="77777777" w:rsidTr="00CB73BD">
        <w:trPr>
          <w:trHeight w:val="283"/>
        </w:trPr>
        <w:tc>
          <w:tcPr>
            <w:tcW w:w="5899" w:type="dxa"/>
            <w:hideMark/>
          </w:tcPr>
          <w:p w14:paraId="28B5510A" w14:textId="77777777" w:rsidR="00D27059" w:rsidRPr="00EF4191" w:rsidRDefault="00D27059" w:rsidP="00CB73BD">
            <w:pPr>
              <w:spacing w:line="240" w:lineRule="auto"/>
              <w:contextualSpacing/>
              <w:jc w:val="left"/>
              <w:rPr>
                <w:rFonts w:ascii="Arial Narrow" w:hAnsi="Arial Narrow"/>
                <w:sz w:val="20"/>
                <w:szCs w:val="20"/>
              </w:rPr>
            </w:pPr>
            <w:r w:rsidRPr="00A832D4">
              <w:rPr>
                <w:rFonts w:ascii="Arial Narrow" w:hAnsi="Arial Narrow"/>
                <w:sz w:val="20"/>
                <w:szCs w:val="20"/>
              </w:rPr>
              <w:t>Adults (%) with biomedical data suggesting CKD, likely to be diagnosed with CKD</w:t>
            </w:r>
          </w:p>
        </w:tc>
        <w:tc>
          <w:tcPr>
            <w:tcW w:w="1751" w:type="dxa"/>
          </w:tcPr>
          <w:p w14:paraId="4EF2BF6E"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10%</w:t>
            </w:r>
          </w:p>
        </w:tc>
        <w:tc>
          <w:tcPr>
            <w:tcW w:w="1559" w:type="dxa"/>
            <w:hideMark/>
          </w:tcPr>
          <w:p w14:paraId="51A6ADC9"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50%</w:t>
            </w:r>
          </w:p>
        </w:tc>
      </w:tr>
      <w:tr w:rsidR="00D27059" w:rsidRPr="003D62F1" w14:paraId="7D7BA3D6" w14:textId="77777777" w:rsidTr="00CB73BD">
        <w:trPr>
          <w:trHeight w:val="283"/>
        </w:trPr>
        <w:tc>
          <w:tcPr>
            <w:tcW w:w="5899" w:type="dxa"/>
            <w:hideMark/>
          </w:tcPr>
          <w:p w14:paraId="17AF30E8" w14:textId="77777777" w:rsidR="00D27059" w:rsidRPr="00EF4191" w:rsidRDefault="00D27059" w:rsidP="00CB73BD">
            <w:pPr>
              <w:spacing w:line="240" w:lineRule="auto"/>
              <w:contextualSpacing/>
              <w:jc w:val="left"/>
              <w:rPr>
                <w:rFonts w:ascii="Arial Narrow" w:hAnsi="Arial Narrow"/>
                <w:sz w:val="20"/>
                <w:szCs w:val="20"/>
              </w:rPr>
            </w:pPr>
            <w:r>
              <w:rPr>
                <w:rFonts w:ascii="Arial Narrow" w:hAnsi="Arial Narrow"/>
                <w:sz w:val="20"/>
                <w:szCs w:val="20"/>
              </w:rPr>
              <w:t>Proportion of patients meeting the PBS criteria in terms of eGFR of</w:t>
            </w:r>
            <w:r w:rsidRPr="00A832D4">
              <w:rPr>
                <w:rFonts w:ascii="Arial Narrow" w:hAnsi="Arial Narrow"/>
                <w:sz w:val="20"/>
                <w:szCs w:val="20"/>
              </w:rPr>
              <w:t xml:space="preserve"> 25–75 mL/min/1.73 m</w:t>
            </w:r>
            <w:r w:rsidRPr="00A832D4">
              <w:rPr>
                <w:rFonts w:ascii="Arial Narrow" w:hAnsi="Arial Narrow"/>
                <w:sz w:val="20"/>
                <w:szCs w:val="20"/>
                <w:vertAlign w:val="superscript"/>
              </w:rPr>
              <w:t>2</w:t>
            </w:r>
            <w:r w:rsidRPr="00A832D4">
              <w:rPr>
                <w:rFonts w:ascii="Arial Narrow" w:hAnsi="Arial Narrow"/>
                <w:sz w:val="20"/>
                <w:szCs w:val="20"/>
              </w:rPr>
              <w:t xml:space="preserve"> and a UACR of 200–5000 mg/g</w:t>
            </w:r>
            <w:r w:rsidRPr="00EF4191">
              <w:rPr>
                <w:rFonts w:ascii="Arial Narrow" w:hAnsi="Arial Narrow"/>
                <w:sz w:val="20"/>
                <w:szCs w:val="20"/>
              </w:rPr>
              <w:t xml:space="preserve"> </w:t>
            </w:r>
          </w:p>
        </w:tc>
        <w:tc>
          <w:tcPr>
            <w:tcW w:w="1751" w:type="dxa"/>
          </w:tcPr>
          <w:p w14:paraId="36F3F1CD"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2</w:t>
            </w:r>
            <w:r>
              <w:rPr>
                <w:rFonts w:ascii="Arial Narrow" w:hAnsi="Arial Narrow"/>
                <w:sz w:val="20"/>
                <w:szCs w:val="20"/>
              </w:rPr>
              <w:t>3.66</w:t>
            </w:r>
            <w:r w:rsidRPr="00EF4191">
              <w:rPr>
                <w:rFonts w:ascii="Arial Narrow" w:hAnsi="Arial Narrow"/>
                <w:sz w:val="20"/>
                <w:szCs w:val="20"/>
              </w:rPr>
              <w:t>%</w:t>
            </w:r>
          </w:p>
        </w:tc>
        <w:tc>
          <w:tcPr>
            <w:tcW w:w="1559" w:type="dxa"/>
            <w:hideMark/>
          </w:tcPr>
          <w:p w14:paraId="479014D2"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7.5%</w:t>
            </w:r>
          </w:p>
        </w:tc>
      </w:tr>
      <w:tr w:rsidR="00D27059" w:rsidRPr="003D62F1" w14:paraId="6381850E" w14:textId="77777777" w:rsidTr="00CB73BD">
        <w:trPr>
          <w:trHeight w:val="283"/>
        </w:trPr>
        <w:tc>
          <w:tcPr>
            <w:tcW w:w="5899" w:type="dxa"/>
            <w:hideMark/>
          </w:tcPr>
          <w:p w14:paraId="0B4949FF" w14:textId="77777777" w:rsidR="00D27059" w:rsidRPr="00EF4191" w:rsidRDefault="00D27059" w:rsidP="00CB73BD">
            <w:pPr>
              <w:spacing w:line="240" w:lineRule="auto"/>
              <w:contextualSpacing/>
              <w:jc w:val="left"/>
              <w:rPr>
                <w:rFonts w:ascii="Arial Narrow" w:hAnsi="Arial Narrow"/>
                <w:sz w:val="20"/>
                <w:szCs w:val="20"/>
              </w:rPr>
            </w:pPr>
            <w:r w:rsidRPr="00F36085">
              <w:rPr>
                <w:rFonts w:ascii="Arial Narrow" w:hAnsi="Arial Narrow"/>
                <w:sz w:val="20"/>
                <w:szCs w:val="20"/>
              </w:rPr>
              <w:t>Proportion of CKD patients on stable ACE-I or ARB</w:t>
            </w:r>
          </w:p>
        </w:tc>
        <w:tc>
          <w:tcPr>
            <w:tcW w:w="1751" w:type="dxa"/>
          </w:tcPr>
          <w:p w14:paraId="15A87BDA"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100%</w:t>
            </w:r>
          </w:p>
        </w:tc>
        <w:tc>
          <w:tcPr>
            <w:tcW w:w="1559" w:type="dxa"/>
            <w:hideMark/>
          </w:tcPr>
          <w:p w14:paraId="7BA42738"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80%</w:t>
            </w:r>
          </w:p>
        </w:tc>
      </w:tr>
      <w:tr w:rsidR="00D27059" w:rsidRPr="003D62F1" w14:paraId="38B81C48" w14:textId="77777777" w:rsidTr="00CB73BD">
        <w:trPr>
          <w:trHeight w:val="283"/>
        </w:trPr>
        <w:tc>
          <w:tcPr>
            <w:tcW w:w="5899" w:type="dxa"/>
            <w:hideMark/>
          </w:tcPr>
          <w:p w14:paraId="7ADA51B5" w14:textId="77777777" w:rsidR="00D27059" w:rsidRPr="00EF4191" w:rsidRDefault="00D27059" w:rsidP="00CB73BD">
            <w:pPr>
              <w:spacing w:line="240" w:lineRule="auto"/>
              <w:contextualSpacing/>
              <w:jc w:val="left"/>
              <w:rPr>
                <w:rFonts w:ascii="Arial Narrow" w:hAnsi="Arial Narrow"/>
                <w:sz w:val="20"/>
                <w:szCs w:val="20"/>
              </w:rPr>
            </w:pPr>
            <w:r w:rsidRPr="00A832D4">
              <w:rPr>
                <w:rFonts w:ascii="Arial Narrow" w:hAnsi="Arial Narrow"/>
                <w:sz w:val="20"/>
                <w:szCs w:val="20"/>
              </w:rPr>
              <w:t>Proportion of CKD patients not eligible for PBS-listed SGLT2 inhibitors for T2DM (HbA1c ≤7.0%)</w:t>
            </w:r>
          </w:p>
        </w:tc>
        <w:tc>
          <w:tcPr>
            <w:tcW w:w="1751" w:type="dxa"/>
          </w:tcPr>
          <w:p w14:paraId="247D94FA"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83</w:t>
            </w:r>
            <w:r>
              <w:rPr>
                <w:rFonts w:ascii="Arial Narrow" w:hAnsi="Arial Narrow"/>
                <w:sz w:val="20"/>
                <w:szCs w:val="20"/>
              </w:rPr>
              <w:t>.2</w:t>
            </w:r>
            <w:r w:rsidRPr="00EF4191">
              <w:rPr>
                <w:rFonts w:ascii="Arial Narrow" w:hAnsi="Arial Narrow"/>
                <w:sz w:val="20"/>
                <w:szCs w:val="20"/>
              </w:rPr>
              <w:t>%</w:t>
            </w:r>
          </w:p>
        </w:tc>
        <w:tc>
          <w:tcPr>
            <w:tcW w:w="1559" w:type="dxa"/>
            <w:hideMark/>
          </w:tcPr>
          <w:p w14:paraId="00C8F6FE"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50%</w:t>
            </w:r>
          </w:p>
        </w:tc>
      </w:tr>
      <w:tr w:rsidR="00D27059" w:rsidRPr="003D62F1" w14:paraId="2073FBC9" w14:textId="77777777" w:rsidTr="00CB73BD">
        <w:trPr>
          <w:trHeight w:val="283"/>
        </w:trPr>
        <w:tc>
          <w:tcPr>
            <w:tcW w:w="5899" w:type="dxa"/>
            <w:hideMark/>
          </w:tcPr>
          <w:p w14:paraId="0A21BDDE" w14:textId="77777777" w:rsidR="00D27059" w:rsidRPr="00EF4191" w:rsidRDefault="00D27059" w:rsidP="00CB73BD">
            <w:pPr>
              <w:spacing w:line="240" w:lineRule="auto"/>
              <w:contextualSpacing/>
              <w:jc w:val="left"/>
              <w:rPr>
                <w:rFonts w:ascii="Arial Narrow" w:hAnsi="Arial Narrow"/>
                <w:sz w:val="20"/>
                <w:szCs w:val="20"/>
              </w:rPr>
            </w:pPr>
            <w:r w:rsidRPr="00A832D4">
              <w:rPr>
                <w:rFonts w:ascii="Arial Narrow" w:hAnsi="Arial Narrow"/>
                <w:sz w:val="20"/>
                <w:szCs w:val="20"/>
              </w:rPr>
              <w:t>Proportion of CKD patients not eligible for PBS-listed dapagliflozin for HFrEF</w:t>
            </w:r>
          </w:p>
        </w:tc>
        <w:tc>
          <w:tcPr>
            <w:tcW w:w="1751" w:type="dxa"/>
          </w:tcPr>
          <w:p w14:paraId="4B7DA612"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w:t>
            </w:r>
            <w:r>
              <w:rPr>
                <w:rFonts w:ascii="Arial Narrow" w:hAnsi="Arial Narrow"/>
                <w:sz w:val="20"/>
                <w:szCs w:val="20"/>
              </w:rPr>
              <w:t>7.67</w:t>
            </w:r>
            <w:r w:rsidRPr="00EF4191">
              <w:rPr>
                <w:rFonts w:ascii="Arial Narrow" w:hAnsi="Arial Narrow"/>
                <w:sz w:val="20"/>
                <w:szCs w:val="20"/>
              </w:rPr>
              <w:t>%</w:t>
            </w:r>
          </w:p>
        </w:tc>
        <w:tc>
          <w:tcPr>
            <w:tcW w:w="1559" w:type="dxa"/>
            <w:hideMark/>
          </w:tcPr>
          <w:p w14:paraId="2E58D1C3"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90%</w:t>
            </w:r>
          </w:p>
        </w:tc>
      </w:tr>
      <w:tr w:rsidR="00D27059" w:rsidRPr="003D62F1" w14:paraId="0EFB4E91" w14:textId="77777777" w:rsidTr="00CB73BD">
        <w:trPr>
          <w:trHeight w:val="283"/>
        </w:trPr>
        <w:tc>
          <w:tcPr>
            <w:tcW w:w="5899" w:type="dxa"/>
            <w:hideMark/>
          </w:tcPr>
          <w:p w14:paraId="1C8F0E9C" w14:textId="77777777" w:rsidR="00D27059" w:rsidRPr="00EF4191" w:rsidRDefault="00D27059" w:rsidP="00CB73BD">
            <w:pPr>
              <w:spacing w:line="240" w:lineRule="auto"/>
              <w:contextualSpacing/>
              <w:jc w:val="left"/>
              <w:rPr>
                <w:rFonts w:ascii="Arial Narrow" w:hAnsi="Arial Narrow"/>
                <w:sz w:val="20"/>
                <w:szCs w:val="20"/>
              </w:rPr>
            </w:pPr>
            <w:r>
              <w:rPr>
                <w:rFonts w:ascii="Arial Narrow" w:hAnsi="Arial Narrow"/>
                <w:sz w:val="20"/>
                <w:szCs w:val="20"/>
              </w:rPr>
              <w:t>Proportion of patients who do not initiate RRT</w:t>
            </w:r>
          </w:p>
        </w:tc>
        <w:tc>
          <w:tcPr>
            <w:tcW w:w="1751" w:type="dxa"/>
          </w:tcPr>
          <w:p w14:paraId="3730402D"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99%</w:t>
            </w:r>
          </w:p>
        </w:tc>
        <w:tc>
          <w:tcPr>
            <w:tcW w:w="1559" w:type="dxa"/>
            <w:hideMark/>
          </w:tcPr>
          <w:p w14:paraId="511ADF74"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99%</w:t>
            </w:r>
          </w:p>
        </w:tc>
      </w:tr>
      <w:tr w:rsidR="00D27059" w:rsidRPr="003D62F1" w14:paraId="3958B35E" w14:textId="77777777" w:rsidTr="00CB73BD">
        <w:trPr>
          <w:trHeight w:val="283"/>
        </w:trPr>
        <w:tc>
          <w:tcPr>
            <w:tcW w:w="5899" w:type="dxa"/>
            <w:hideMark/>
          </w:tcPr>
          <w:p w14:paraId="5A01D9F4" w14:textId="77777777" w:rsidR="00D27059" w:rsidRPr="00EF4191" w:rsidRDefault="00D27059" w:rsidP="00CB73BD">
            <w:pPr>
              <w:spacing w:line="240" w:lineRule="auto"/>
              <w:contextualSpacing/>
              <w:jc w:val="left"/>
              <w:rPr>
                <w:rFonts w:ascii="Arial Narrow" w:hAnsi="Arial Narrow"/>
                <w:sz w:val="20"/>
                <w:szCs w:val="20"/>
              </w:rPr>
            </w:pPr>
            <w:r>
              <w:rPr>
                <w:rFonts w:ascii="Arial Narrow" w:hAnsi="Arial Narrow"/>
                <w:sz w:val="20"/>
                <w:szCs w:val="20"/>
              </w:rPr>
              <w:t>P</w:t>
            </w:r>
            <w:r w:rsidRPr="00A832D4">
              <w:rPr>
                <w:rFonts w:ascii="Arial Narrow" w:hAnsi="Arial Narrow"/>
                <w:sz w:val="20"/>
                <w:szCs w:val="20"/>
              </w:rPr>
              <w:t>atients with polycystic kidney disease, lupus nephritis and ANCA-associated vasculitis.</w:t>
            </w:r>
          </w:p>
        </w:tc>
        <w:tc>
          <w:tcPr>
            <w:tcW w:w="1751" w:type="dxa"/>
          </w:tcPr>
          <w:p w14:paraId="14135836"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94</w:t>
            </w:r>
            <w:r>
              <w:rPr>
                <w:rFonts w:ascii="Arial Narrow" w:hAnsi="Arial Narrow"/>
                <w:sz w:val="20"/>
                <w:szCs w:val="20"/>
              </w:rPr>
              <w:t>.34</w:t>
            </w:r>
            <w:r w:rsidRPr="00EF4191">
              <w:rPr>
                <w:rFonts w:ascii="Arial Narrow" w:hAnsi="Arial Narrow"/>
                <w:sz w:val="20"/>
                <w:szCs w:val="20"/>
              </w:rPr>
              <w:t>%</w:t>
            </w:r>
          </w:p>
        </w:tc>
        <w:tc>
          <w:tcPr>
            <w:tcW w:w="1559" w:type="dxa"/>
            <w:hideMark/>
          </w:tcPr>
          <w:p w14:paraId="452BB8AE"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94</w:t>
            </w:r>
            <w:r>
              <w:rPr>
                <w:rFonts w:ascii="Arial Narrow" w:hAnsi="Arial Narrow"/>
                <w:sz w:val="20"/>
                <w:szCs w:val="20"/>
              </w:rPr>
              <w:t>.34%</w:t>
            </w:r>
          </w:p>
        </w:tc>
      </w:tr>
      <w:tr w:rsidR="00D27059" w:rsidRPr="003D62F1" w14:paraId="6CEEDE3A" w14:textId="77777777" w:rsidTr="00CB73BD">
        <w:trPr>
          <w:trHeight w:val="283"/>
        </w:trPr>
        <w:tc>
          <w:tcPr>
            <w:tcW w:w="5899" w:type="dxa"/>
            <w:hideMark/>
          </w:tcPr>
          <w:p w14:paraId="1AE5F3EB" w14:textId="77777777" w:rsidR="00D27059" w:rsidRPr="00EF4191" w:rsidRDefault="00D27059" w:rsidP="00CB73BD">
            <w:pPr>
              <w:spacing w:line="240" w:lineRule="auto"/>
              <w:contextualSpacing/>
              <w:jc w:val="left"/>
              <w:rPr>
                <w:rFonts w:ascii="Arial Narrow" w:hAnsi="Arial Narrow"/>
                <w:sz w:val="20"/>
                <w:szCs w:val="20"/>
              </w:rPr>
            </w:pPr>
            <w:r w:rsidRPr="00EF4191">
              <w:rPr>
                <w:rFonts w:ascii="Arial Narrow" w:hAnsi="Arial Narrow"/>
                <w:sz w:val="20"/>
                <w:szCs w:val="20"/>
              </w:rPr>
              <w:t>Overall</w:t>
            </w:r>
            <w:r>
              <w:rPr>
                <w:rFonts w:ascii="Arial Narrow" w:hAnsi="Arial Narrow"/>
                <w:sz w:val="20"/>
                <w:szCs w:val="20"/>
              </w:rPr>
              <w:t xml:space="preserve"> %</w:t>
            </w:r>
            <w:r w:rsidRPr="00EF4191">
              <w:rPr>
                <w:rFonts w:ascii="Arial Narrow" w:hAnsi="Arial Narrow"/>
                <w:sz w:val="20"/>
                <w:szCs w:val="20"/>
              </w:rPr>
              <w:t xml:space="preserve"> eligible</w:t>
            </w:r>
            <w:r>
              <w:rPr>
                <w:rFonts w:ascii="Arial Narrow" w:hAnsi="Arial Narrow"/>
                <w:sz w:val="20"/>
                <w:szCs w:val="20"/>
              </w:rPr>
              <w:t xml:space="preserve"> (of </w:t>
            </w:r>
            <w:r w:rsidRPr="00A832D4">
              <w:rPr>
                <w:rFonts w:ascii="Arial Narrow" w:hAnsi="Arial Narrow"/>
                <w:sz w:val="20"/>
                <w:szCs w:val="20"/>
              </w:rPr>
              <w:t>adults</w:t>
            </w:r>
            <w:r>
              <w:rPr>
                <w:rFonts w:ascii="Arial Narrow" w:hAnsi="Arial Narrow"/>
                <w:sz w:val="20"/>
                <w:szCs w:val="20"/>
              </w:rPr>
              <w:t xml:space="preserve"> </w:t>
            </w:r>
            <w:r w:rsidRPr="00A832D4">
              <w:rPr>
                <w:rFonts w:ascii="Arial Narrow" w:hAnsi="Arial Narrow"/>
                <w:sz w:val="20"/>
                <w:szCs w:val="20"/>
              </w:rPr>
              <w:t>with biomedical data suggesting CKD</w:t>
            </w:r>
            <w:r>
              <w:rPr>
                <w:rFonts w:ascii="Arial Narrow" w:hAnsi="Arial Narrow"/>
                <w:sz w:val="20"/>
                <w:szCs w:val="20"/>
              </w:rPr>
              <w:t>)</w:t>
            </w:r>
          </w:p>
        </w:tc>
        <w:tc>
          <w:tcPr>
            <w:tcW w:w="1751" w:type="dxa"/>
          </w:tcPr>
          <w:p w14:paraId="02CB3EE3"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1.8</w:t>
            </w:r>
            <w:r>
              <w:rPr>
                <w:rFonts w:ascii="Arial Narrow" w:hAnsi="Arial Narrow"/>
                <w:sz w:val="20"/>
                <w:szCs w:val="20"/>
              </w:rPr>
              <w:t>0</w:t>
            </w:r>
            <w:r w:rsidRPr="00EF4191">
              <w:rPr>
                <w:rFonts w:ascii="Arial Narrow" w:hAnsi="Arial Narrow"/>
                <w:sz w:val="20"/>
                <w:szCs w:val="20"/>
              </w:rPr>
              <w:t>%</w:t>
            </w:r>
          </w:p>
        </w:tc>
        <w:tc>
          <w:tcPr>
            <w:tcW w:w="1559" w:type="dxa"/>
            <w:hideMark/>
          </w:tcPr>
          <w:p w14:paraId="4A384D00"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1.25%</w:t>
            </w:r>
          </w:p>
        </w:tc>
      </w:tr>
      <w:tr w:rsidR="00D27059" w:rsidRPr="003D62F1" w14:paraId="66CD6973" w14:textId="77777777" w:rsidTr="00CB73BD">
        <w:trPr>
          <w:trHeight w:val="283"/>
        </w:trPr>
        <w:tc>
          <w:tcPr>
            <w:tcW w:w="5899" w:type="dxa"/>
            <w:hideMark/>
          </w:tcPr>
          <w:p w14:paraId="22D05720" w14:textId="77777777" w:rsidR="00D27059" w:rsidRPr="00EF4191" w:rsidRDefault="00D27059" w:rsidP="00CB73BD">
            <w:pPr>
              <w:spacing w:line="240" w:lineRule="auto"/>
              <w:contextualSpacing/>
              <w:jc w:val="left"/>
              <w:rPr>
                <w:rFonts w:ascii="Arial Narrow" w:hAnsi="Arial Narrow"/>
                <w:sz w:val="20"/>
                <w:szCs w:val="20"/>
              </w:rPr>
            </w:pPr>
            <w:r w:rsidRPr="00EF4191">
              <w:rPr>
                <w:rFonts w:ascii="Arial Narrow" w:hAnsi="Arial Narrow"/>
                <w:sz w:val="20"/>
                <w:szCs w:val="20"/>
              </w:rPr>
              <w:t>Number</w:t>
            </w:r>
            <w:r>
              <w:rPr>
                <w:rFonts w:ascii="Arial Narrow" w:hAnsi="Arial Narrow"/>
                <w:sz w:val="20"/>
                <w:szCs w:val="20"/>
              </w:rPr>
              <w:t xml:space="preserve"> </w:t>
            </w:r>
            <w:r w:rsidRPr="00EF4191">
              <w:rPr>
                <w:rFonts w:ascii="Arial Narrow" w:hAnsi="Arial Narrow"/>
                <w:sz w:val="20"/>
                <w:szCs w:val="20"/>
              </w:rPr>
              <w:t>eligible</w:t>
            </w:r>
            <w:r>
              <w:rPr>
                <w:rFonts w:ascii="Arial Narrow" w:hAnsi="Arial Narrow"/>
                <w:sz w:val="20"/>
                <w:szCs w:val="20"/>
              </w:rPr>
              <w:t xml:space="preserve"> patients (in 2022 based on </w:t>
            </w:r>
            <w:r w:rsidRPr="00A832D4">
              <w:rPr>
                <w:rFonts w:ascii="Arial Narrow" w:hAnsi="Arial Narrow"/>
                <w:sz w:val="20"/>
                <w:szCs w:val="20"/>
              </w:rPr>
              <w:t>2,075,792</w:t>
            </w:r>
            <w:r>
              <w:rPr>
                <w:rFonts w:ascii="Arial Narrow" w:hAnsi="Arial Narrow"/>
                <w:sz w:val="20"/>
                <w:szCs w:val="20"/>
              </w:rPr>
              <w:t xml:space="preserve"> patients with </w:t>
            </w:r>
            <w:r w:rsidRPr="00A832D4">
              <w:rPr>
                <w:rFonts w:ascii="Arial Narrow" w:hAnsi="Arial Narrow"/>
                <w:sz w:val="20"/>
                <w:szCs w:val="20"/>
              </w:rPr>
              <w:t>biomedical data suggesting CKD</w:t>
            </w:r>
            <w:r>
              <w:rPr>
                <w:rFonts w:ascii="Arial Narrow" w:hAnsi="Arial Narrow"/>
                <w:sz w:val="20"/>
                <w:szCs w:val="20"/>
              </w:rPr>
              <w:t>)</w:t>
            </w:r>
          </w:p>
        </w:tc>
        <w:tc>
          <w:tcPr>
            <w:tcW w:w="1751" w:type="dxa"/>
          </w:tcPr>
          <w:p w14:paraId="2DAB2A70"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37,</w:t>
            </w:r>
            <w:r>
              <w:rPr>
                <w:rFonts w:ascii="Arial Narrow" w:hAnsi="Arial Narrow"/>
                <w:sz w:val="20"/>
                <w:szCs w:val="20"/>
              </w:rPr>
              <w:t>275</w:t>
            </w:r>
          </w:p>
        </w:tc>
        <w:tc>
          <w:tcPr>
            <w:tcW w:w="1559" w:type="dxa"/>
            <w:hideMark/>
          </w:tcPr>
          <w:p w14:paraId="1A87CCED" w14:textId="77777777" w:rsidR="00D27059" w:rsidRPr="00EF4191" w:rsidRDefault="00D27059" w:rsidP="00CB73BD">
            <w:pPr>
              <w:spacing w:line="240" w:lineRule="auto"/>
              <w:contextualSpacing/>
              <w:jc w:val="center"/>
              <w:rPr>
                <w:rFonts w:ascii="Arial Narrow" w:hAnsi="Arial Narrow"/>
                <w:sz w:val="20"/>
                <w:szCs w:val="20"/>
              </w:rPr>
            </w:pPr>
            <w:r w:rsidRPr="00EF4191">
              <w:rPr>
                <w:rFonts w:ascii="Arial Narrow" w:hAnsi="Arial Narrow"/>
                <w:sz w:val="20"/>
                <w:szCs w:val="20"/>
              </w:rPr>
              <w:t>21,406</w:t>
            </w:r>
          </w:p>
        </w:tc>
      </w:tr>
    </w:tbl>
    <w:p w14:paraId="71535A4F" w14:textId="77777777" w:rsidR="00D27059" w:rsidRDefault="00D27059" w:rsidP="00D27059">
      <w:pPr>
        <w:pStyle w:val="ExecSumBodyText"/>
        <w:numPr>
          <w:ilvl w:val="0"/>
          <w:numId w:val="0"/>
        </w:numPr>
        <w:ind w:left="720" w:hanging="720"/>
        <w:rPr>
          <w:bCs/>
          <w:lang w:val="en-GB"/>
        </w:rPr>
      </w:pPr>
    </w:p>
    <w:p w14:paraId="25BC7A5E" w14:textId="77777777" w:rsidR="00D27059" w:rsidRDefault="00D27059" w:rsidP="00D27059">
      <w:pPr>
        <w:pStyle w:val="2-SectionHeading"/>
        <w:numPr>
          <w:ilvl w:val="0"/>
          <w:numId w:val="1"/>
        </w:numPr>
      </w:pPr>
      <w:r>
        <w:t>PBAC Outcome</w:t>
      </w:r>
    </w:p>
    <w:p w14:paraId="4AAF30C1" w14:textId="77777777" w:rsidR="00D27059" w:rsidRDefault="00D27059" w:rsidP="00D27059">
      <w:pPr>
        <w:pStyle w:val="ExecSumBodyText"/>
        <w:numPr>
          <w:ilvl w:val="1"/>
          <w:numId w:val="1"/>
        </w:numPr>
        <w:rPr>
          <w:bCs/>
          <w:lang w:val="en-GB"/>
        </w:rPr>
      </w:pPr>
      <w:r w:rsidRPr="00AE0461">
        <w:rPr>
          <w:bCs/>
          <w:lang w:val="en-GB"/>
        </w:rPr>
        <w:t xml:space="preserve">The PBAC </w:t>
      </w:r>
      <w:r>
        <w:rPr>
          <w:bCs/>
          <w:lang w:val="en-GB"/>
        </w:rPr>
        <w:t xml:space="preserve">did not </w:t>
      </w:r>
      <w:r w:rsidRPr="00AE0461">
        <w:rPr>
          <w:bCs/>
          <w:lang w:val="en-GB"/>
        </w:rPr>
        <w:t xml:space="preserve">recommend extending the existing listing of dapagliflozin to include </w:t>
      </w:r>
      <w:r>
        <w:rPr>
          <w:bCs/>
          <w:lang w:val="en-GB"/>
        </w:rPr>
        <w:t xml:space="preserve">a General Schedule Authority Required (Streamlined) listing for the </w:t>
      </w:r>
      <w:r w:rsidRPr="00AE0461">
        <w:rPr>
          <w:bCs/>
          <w:lang w:val="en-GB"/>
        </w:rPr>
        <w:t>treatment of patients with</w:t>
      </w:r>
      <w:r>
        <w:rPr>
          <w:bCs/>
          <w:lang w:val="en-GB"/>
        </w:rPr>
        <w:t xml:space="preserve"> chronic kidney disease (CKD)</w:t>
      </w:r>
      <w:r w:rsidRPr="00AE0461">
        <w:rPr>
          <w:bCs/>
          <w:lang w:val="en-GB"/>
        </w:rPr>
        <w:t xml:space="preserve">. The PBAC reiterated that it was satisfied that dapagliflozin added to standard care provides, for some patients, a significant improvement in efficacy over standard care alone. The PBAC remained of the view that the listing would be cost-effective at the price proposed in the pre-PBAC response from July 2021 (the </w:t>
      </w:r>
      <w:r w:rsidR="00B87690">
        <w:rPr>
          <w:bCs/>
          <w:noProof/>
          <w:color w:val="000000"/>
          <w:highlight w:val="black"/>
          <w:lang w:val="en-GB"/>
        </w:rPr>
        <w:t>''''''''''''''' ''''''''</w:t>
      </w:r>
      <w:r w:rsidRPr="00AE0461">
        <w:rPr>
          <w:bCs/>
          <w:lang w:val="en-GB"/>
        </w:rPr>
        <w:t xml:space="preserve"> price for dapagliflozin for </w:t>
      </w:r>
      <w:r w:rsidR="00B87690">
        <w:rPr>
          <w:bCs/>
          <w:noProof/>
          <w:color w:val="000000"/>
          <w:highlight w:val="black"/>
          <w:lang w:val="en-GB"/>
        </w:rPr>
        <w:t>'''''''''''</w:t>
      </w:r>
      <w:r w:rsidRPr="00AE0461">
        <w:rPr>
          <w:bCs/>
          <w:lang w:val="en-GB"/>
        </w:rPr>
        <w:t>).</w:t>
      </w:r>
      <w:r>
        <w:rPr>
          <w:bCs/>
          <w:lang w:val="en-GB"/>
        </w:rPr>
        <w:t xml:space="preserve"> However, the revised financial estimates remained high and uncertain, and did not form a reliable basis for a risk-sharing arrangement (RSA) with the Australian Government.</w:t>
      </w:r>
    </w:p>
    <w:p w14:paraId="3DEE3654" w14:textId="77777777" w:rsidR="00D27059" w:rsidRDefault="00D27059" w:rsidP="00D27059">
      <w:pPr>
        <w:pStyle w:val="ExecSumBodyText"/>
        <w:numPr>
          <w:ilvl w:val="1"/>
          <w:numId w:val="1"/>
        </w:numPr>
        <w:rPr>
          <w:lang w:val="en-GB"/>
        </w:rPr>
      </w:pPr>
      <w:r>
        <w:rPr>
          <w:lang w:val="en-GB"/>
        </w:rPr>
        <w:t xml:space="preserve">The PBAC considered that the number of eligible patients remained overestimated in the Sponsor's November 2021 estimates which estimated for Year 1 that 1.80% of </w:t>
      </w:r>
      <w:r w:rsidRPr="00F0773D">
        <w:rPr>
          <w:bCs/>
          <w:lang w:val="en-GB"/>
        </w:rPr>
        <w:t xml:space="preserve">adults with biomedical data suggesting CKD </w:t>
      </w:r>
      <w:r>
        <w:rPr>
          <w:bCs/>
          <w:lang w:val="en-GB"/>
        </w:rPr>
        <w:t>would be eligible compared to the PBAC estimate of 1.25%. This means the number of eligible patients was around 44%</w:t>
      </w:r>
      <w:r>
        <w:rPr>
          <w:lang w:val="en-GB"/>
        </w:rPr>
        <w:t xml:space="preserve"> higher in the Sponsor’s estimates than based on the PBAC assumptions.</w:t>
      </w:r>
    </w:p>
    <w:p w14:paraId="76A702AA" w14:textId="77777777" w:rsidR="00D27059" w:rsidRDefault="00D27059" w:rsidP="00D27059">
      <w:pPr>
        <w:pStyle w:val="ExecSumBodyText"/>
        <w:numPr>
          <w:ilvl w:val="1"/>
          <w:numId w:val="1"/>
        </w:numPr>
        <w:rPr>
          <w:lang w:val="en-GB"/>
        </w:rPr>
      </w:pPr>
      <w:r>
        <w:rPr>
          <w:lang w:val="en-GB"/>
        </w:rPr>
        <w:t xml:space="preserve">The PBAC remained concerned there was a high risk of use outside the proposed restriction in patients with low-grade proteinuria for whom the benefit from treatment with dapagliflozin has not been demonstrated (or claimed by the sponsor). </w:t>
      </w:r>
      <w:r w:rsidRPr="00F0773D">
        <w:rPr>
          <w:lang w:val="en-GB"/>
        </w:rPr>
        <w:t xml:space="preserve"> </w:t>
      </w:r>
    </w:p>
    <w:p w14:paraId="001E1EE9" w14:textId="77777777" w:rsidR="00D27059" w:rsidRDefault="00D27059" w:rsidP="00D27059">
      <w:pPr>
        <w:pStyle w:val="ExecSumBodyText"/>
        <w:numPr>
          <w:ilvl w:val="1"/>
          <w:numId w:val="1"/>
        </w:numPr>
        <w:rPr>
          <w:lang w:val="en-GB"/>
        </w:rPr>
      </w:pPr>
      <w:r>
        <w:rPr>
          <w:lang w:val="en-GB"/>
        </w:rPr>
        <w:t xml:space="preserve">The PBAC considered that the outstanding issues </w:t>
      </w:r>
      <w:r w:rsidRPr="00674C0F">
        <w:rPr>
          <w:bCs/>
          <w:lang w:val="en-GB"/>
        </w:rPr>
        <w:t xml:space="preserve">could be easily resolved in a simple resubmission for </w:t>
      </w:r>
      <w:r>
        <w:rPr>
          <w:bCs/>
          <w:lang w:val="en-GB"/>
        </w:rPr>
        <w:t>dapagliflozin</w:t>
      </w:r>
      <w:r w:rsidRPr="00674C0F">
        <w:rPr>
          <w:bCs/>
          <w:lang w:val="en-GB"/>
        </w:rPr>
        <w:t xml:space="preserve"> using the early re-entry pathway. If the sponsor accepts this pathway, the following changes </w:t>
      </w:r>
      <w:r>
        <w:rPr>
          <w:lang w:val="en-GB"/>
        </w:rPr>
        <w:t>to the utilisation estimates</w:t>
      </w:r>
      <w:r w:rsidRPr="00674C0F">
        <w:rPr>
          <w:bCs/>
          <w:lang w:val="en-GB"/>
        </w:rPr>
        <w:t xml:space="preserve"> may address these outstanding issues without requiring further re-evaluation</w:t>
      </w:r>
      <w:r w:rsidRPr="003D3B06">
        <w:rPr>
          <w:bCs/>
          <w:lang w:val="en-GB"/>
        </w:rPr>
        <w:t>:</w:t>
      </w:r>
    </w:p>
    <w:p w14:paraId="1E947A88" w14:textId="77777777" w:rsidR="00D27059" w:rsidRDefault="00D27059" w:rsidP="007F240C">
      <w:pPr>
        <w:pStyle w:val="ExecSumBodyText"/>
        <w:numPr>
          <w:ilvl w:val="0"/>
          <w:numId w:val="10"/>
        </w:numPr>
        <w:ind w:left="1134" w:hanging="283"/>
        <w:rPr>
          <w:lang w:val="en-GB"/>
        </w:rPr>
      </w:pPr>
      <w:r>
        <w:rPr>
          <w:lang w:val="en-GB"/>
        </w:rPr>
        <w:t>Increasing the proportion of patients diagnosed with CKD in Year 1 from 10% to 50%, and applying a 5% annual increase in the diagnosis rate from Year 2 to Year 6. i.e. Year 1 50%, Year 2, 55%, Year 3 60%, Year 4 65%, Year 5 70% and Year 6 75%.</w:t>
      </w:r>
    </w:p>
    <w:p w14:paraId="412D7B7D" w14:textId="77777777" w:rsidR="00D27059" w:rsidRPr="00CD2228" w:rsidRDefault="00D27059" w:rsidP="007F240C">
      <w:pPr>
        <w:pStyle w:val="ExecSumBodyText"/>
        <w:numPr>
          <w:ilvl w:val="0"/>
          <w:numId w:val="10"/>
        </w:numPr>
        <w:ind w:left="1134" w:hanging="283"/>
        <w:rPr>
          <w:lang w:val="en-GB"/>
        </w:rPr>
      </w:pPr>
      <w:r w:rsidRPr="004C1116">
        <w:rPr>
          <w:lang w:val="en-GB"/>
        </w:rPr>
        <w:t>Reducing the proportion of patients meeting the PBS criteria in terms of eGFR of 25–75 mL/min/1.73 m2 and a UACR of 200–5000 mg/g from 23.70% to 7.5%.</w:t>
      </w:r>
    </w:p>
    <w:p w14:paraId="08E74899" w14:textId="77777777" w:rsidR="00D27059" w:rsidRPr="00CD2228" w:rsidRDefault="00D27059" w:rsidP="007F240C">
      <w:pPr>
        <w:pStyle w:val="ExecSumBodyText"/>
        <w:numPr>
          <w:ilvl w:val="0"/>
          <w:numId w:val="10"/>
        </w:numPr>
        <w:ind w:left="1134" w:hanging="283"/>
        <w:rPr>
          <w:lang w:val="en-GB"/>
        </w:rPr>
      </w:pPr>
      <w:r w:rsidRPr="004C1116">
        <w:rPr>
          <w:lang w:val="en-GB"/>
        </w:rPr>
        <w:t>Reducing the proportion of CKD patients on stable ACE-I or ARB from 100% to 80%.</w:t>
      </w:r>
    </w:p>
    <w:p w14:paraId="2BD8D56C" w14:textId="77777777" w:rsidR="00D27059" w:rsidRPr="00CD2228" w:rsidRDefault="00D27059" w:rsidP="007F240C">
      <w:pPr>
        <w:pStyle w:val="ExecSumBodyText"/>
        <w:numPr>
          <w:ilvl w:val="0"/>
          <w:numId w:val="10"/>
        </w:numPr>
        <w:ind w:left="1134" w:hanging="283"/>
        <w:rPr>
          <w:lang w:val="en-GB"/>
        </w:rPr>
      </w:pPr>
      <w:r w:rsidRPr="004C1116">
        <w:rPr>
          <w:lang w:val="en-GB"/>
        </w:rPr>
        <w:t>Reducing the proportion of CKD patients not eligible for PBS-listed SGLT2 inhibitors for T2DM (HbA1c ≤7.0%) from 83.2% to 50.0%.</w:t>
      </w:r>
    </w:p>
    <w:p w14:paraId="388060C8" w14:textId="77777777" w:rsidR="00D27059" w:rsidRPr="00CD2228" w:rsidRDefault="00D27059" w:rsidP="007F240C">
      <w:pPr>
        <w:pStyle w:val="ExecSumBodyText"/>
        <w:numPr>
          <w:ilvl w:val="0"/>
          <w:numId w:val="10"/>
        </w:numPr>
        <w:ind w:left="1134" w:hanging="283"/>
        <w:rPr>
          <w:lang w:val="en-GB"/>
        </w:rPr>
      </w:pPr>
      <w:r w:rsidRPr="004C1116">
        <w:rPr>
          <w:lang w:val="en-GB"/>
        </w:rPr>
        <w:t>Reducing the proportion of CKD patients not eligible for PBS-listed dapagliflozin for HFrEF from 97.67% to 90%.</w:t>
      </w:r>
    </w:p>
    <w:p w14:paraId="300DBC9D" w14:textId="77777777" w:rsidR="00D27059" w:rsidRDefault="00D27059" w:rsidP="00D27059">
      <w:pPr>
        <w:widowControl w:val="0"/>
        <w:ind w:left="720"/>
        <w:rPr>
          <w:rFonts w:asciiTheme="minorHAnsi" w:hAnsiTheme="minorHAnsi"/>
          <w:bCs/>
          <w:snapToGrid w:val="0"/>
          <w:lang w:val="en-GB"/>
        </w:rPr>
      </w:pPr>
      <w:r>
        <w:rPr>
          <w:lang w:eastAsia="en-US"/>
        </w:rPr>
        <w:t xml:space="preserve">The resubmission must be lodged by week 7 of the current PBAC cycle or the next cycle. </w:t>
      </w:r>
      <w:r w:rsidRPr="00674C0F">
        <w:rPr>
          <w:rFonts w:asciiTheme="minorHAnsi" w:hAnsiTheme="minorHAnsi"/>
          <w:bCs/>
          <w:snapToGrid w:val="0"/>
          <w:lang w:val="en-GB"/>
        </w:rPr>
        <w:t>If the issues cannot be addressed by the sponsor in a simple resubmission and the early re-entry timing is not acceptable, a standard re-entry pathway is available.</w:t>
      </w:r>
    </w:p>
    <w:p w14:paraId="1A09925A" w14:textId="77777777" w:rsidR="00D27059" w:rsidRPr="003E75B4" w:rsidRDefault="00D27059" w:rsidP="00D27059">
      <w:pPr>
        <w:pStyle w:val="ExecSumBodyText"/>
        <w:numPr>
          <w:ilvl w:val="1"/>
          <w:numId w:val="1"/>
        </w:numPr>
        <w:spacing w:before="120"/>
        <w:rPr>
          <w:lang w:val="en-GB"/>
        </w:rPr>
      </w:pPr>
      <w:r w:rsidRPr="005A690B">
        <w:rPr>
          <w:lang w:val="en-GB"/>
        </w:rPr>
        <w:t>The PBAC noted that this submission is not eligible for</w:t>
      </w:r>
      <w:r>
        <w:rPr>
          <w:lang w:val="en-GB"/>
        </w:rPr>
        <w:t xml:space="preserve"> an</w:t>
      </w:r>
      <w:r w:rsidRPr="005A690B">
        <w:rPr>
          <w:lang w:val="en-GB"/>
        </w:rPr>
        <w:t xml:space="preserve"> Independent Review.</w:t>
      </w:r>
    </w:p>
    <w:p w14:paraId="7C404CD3" w14:textId="77777777" w:rsidR="00D27059" w:rsidRDefault="00D27059" w:rsidP="00D27059">
      <w:pPr>
        <w:pStyle w:val="ExecSumBodyText"/>
        <w:numPr>
          <w:ilvl w:val="0"/>
          <w:numId w:val="0"/>
        </w:numPr>
        <w:ind w:left="720"/>
        <w:rPr>
          <w:lang w:val="en-GB"/>
        </w:rPr>
      </w:pPr>
    </w:p>
    <w:p w14:paraId="49D03B74" w14:textId="77777777" w:rsidR="00D27059" w:rsidRDefault="00D27059" w:rsidP="00D27059">
      <w:pPr>
        <w:pStyle w:val="ExecSumBodyText"/>
        <w:numPr>
          <w:ilvl w:val="0"/>
          <w:numId w:val="0"/>
        </w:numPr>
        <w:rPr>
          <w:b/>
          <w:bCs/>
          <w:lang w:val="en-GB"/>
        </w:rPr>
      </w:pPr>
      <w:r w:rsidRPr="00DC1EB0">
        <w:rPr>
          <w:b/>
          <w:bCs/>
          <w:lang w:val="en-GB"/>
        </w:rPr>
        <w:t>Outcome:</w:t>
      </w:r>
    </w:p>
    <w:p w14:paraId="5485B445" w14:textId="77777777" w:rsidR="00D27059" w:rsidRDefault="00D27059" w:rsidP="00D27059">
      <w:pPr>
        <w:pStyle w:val="ExecSumBodyText"/>
        <w:numPr>
          <w:ilvl w:val="0"/>
          <w:numId w:val="0"/>
        </w:numPr>
        <w:rPr>
          <w:bCs/>
          <w:lang w:val="en-GB"/>
        </w:rPr>
      </w:pPr>
      <w:r w:rsidRPr="00DC1EB0">
        <w:rPr>
          <w:bCs/>
          <w:lang w:val="en-GB"/>
        </w:rPr>
        <w:t>Not recommended</w:t>
      </w:r>
    </w:p>
    <w:p w14:paraId="2861A0D2" w14:textId="77777777" w:rsidR="00CB73BD" w:rsidRPr="00CB73BD" w:rsidRDefault="00CB73BD" w:rsidP="00CB73BD">
      <w:pPr>
        <w:pStyle w:val="2-SectionHeading"/>
        <w:numPr>
          <w:ilvl w:val="0"/>
          <w:numId w:val="1"/>
        </w:numPr>
      </w:pPr>
      <w:bookmarkStart w:id="85" w:name="_Hlk76377978"/>
      <w:r w:rsidRPr="00C07617">
        <w:t>Context for Decision</w:t>
      </w:r>
    </w:p>
    <w:p w14:paraId="44636564" w14:textId="77777777" w:rsidR="00CB73BD" w:rsidRPr="007129F2" w:rsidRDefault="00CB73BD" w:rsidP="00CB73BD">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3583A6" w14:textId="77777777" w:rsidR="00CB73BD" w:rsidRPr="00CB73BD" w:rsidRDefault="00CB73BD" w:rsidP="00CB73BD">
      <w:pPr>
        <w:pStyle w:val="2-SectionHeading"/>
        <w:numPr>
          <w:ilvl w:val="0"/>
          <w:numId w:val="1"/>
        </w:numPr>
      </w:pPr>
      <w:r>
        <w:t>Sponsor’s Comment</w:t>
      </w:r>
    </w:p>
    <w:p w14:paraId="04083460" w14:textId="77777777" w:rsidR="00CB73BD" w:rsidRPr="001179AC" w:rsidRDefault="00CB73BD" w:rsidP="00CB73BD">
      <w:pPr>
        <w:spacing w:after="120"/>
        <w:ind w:left="426" w:firstLine="294"/>
        <w:rPr>
          <w:bCs/>
        </w:rPr>
      </w:pPr>
      <w:r w:rsidRPr="00C07617">
        <w:rPr>
          <w:bCs/>
        </w:rPr>
        <w:t>The sponsor had no comment.</w:t>
      </w:r>
    </w:p>
    <w:p w14:paraId="49CDFBC6" w14:textId="77777777" w:rsidR="00D27059" w:rsidRPr="00CB73BD" w:rsidRDefault="00D27059" w:rsidP="00D27059">
      <w:pPr>
        <w:rPr>
          <w:rFonts w:cs="Calibri"/>
          <w:b/>
        </w:rPr>
      </w:pPr>
    </w:p>
    <w:bookmarkEnd w:id="85"/>
    <w:p w14:paraId="7E40BDE8" w14:textId="77777777" w:rsidR="007034BB" w:rsidRPr="00121962" w:rsidRDefault="007034BB" w:rsidP="00544EA9">
      <w:pPr>
        <w:widowControl w:val="0"/>
        <w:rPr>
          <w:rFonts w:asciiTheme="minorHAnsi" w:hAnsiTheme="minorHAnsi"/>
          <w:b/>
          <w:bCs/>
          <w:snapToGrid w:val="0"/>
        </w:rPr>
      </w:pPr>
    </w:p>
    <w:sectPr w:rsidR="007034BB" w:rsidRPr="00121962" w:rsidSect="00D0061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B8C8" w14:textId="77777777" w:rsidR="00B87690" w:rsidRDefault="00B87690" w:rsidP="00124A51">
      <w:r>
        <w:separator/>
      </w:r>
    </w:p>
    <w:p w14:paraId="06D8B883" w14:textId="77777777" w:rsidR="00B87690" w:rsidRDefault="00B87690"/>
  </w:endnote>
  <w:endnote w:type="continuationSeparator" w:id="0">
    <w:p w14:paraId="690846E2" w14:textId="77777777" w:rsidR="00B87690" w:rsidRDefault="00B87690" w:rsidP="00124A51">
      <w:r>
        <w:continuationSeparator/>
      </w:r>
    </w:p>
    <w:p w14:paraId="7D9431C7" w14:textId="77777777" w:rsidR="00B87690" w:rsidRDefault="00B87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Light">
    <w:charset w:val="00"/>
    <w:family w:val="swiss"/>
    <w:pitch w:val="variable"/>
    <w:sig w:usb0="E00002EF" w:usb1="4000205B" w:usb2="00000028" w:usb3="00000000" w:csb0="0000019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F50C" w14:textId="77777777" w:rsidR="00A47FAC" w:rsidRDefault="00A47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5C57" w14:textId="77777777" w:rsidR="00CB73BD" w:rsidRPr="00D13A3E" w:rsidRDefault="00CB73BD" w:rsidP="00015886">
    <w:pPr>
      <w:ind w:right="360"/>
      <w:jc w:val="center"/>
      <w:rPr>
        <w:b/>
        <w:sz w:val="20"/>
      </w:rPr>
    </w:pPr>
  </w:p>
  <w:p w14:paraId="07222530" w14:textId="1E55DB50" w:rsidR="00CB73BD" w:rsidRPr="007C1CD9" w:rsidRDefault="00CB73BD" w:rsidP="002A4FD2">
    <w:pPr>
      <w:ind w:right="360"/>
      <w:jc w:val="center"/>
    </w:pPr>
    <w:r w:rsidRPr="00836F75">
      <w:rPr>
        <w:b/>
      </w:rPr>
      <w:fldChar w:fldCharType="begin"/>
    </w:r>
    <w:r w:rsidRPr="00836F75">
      <w:rPr>
        <w:b/>
      </w:rPr>
      <w:instrText xml:space="preserve"> PAGE   \* MERGEFORMAT </w:instrText>
    </w:r>
    <w:r w:rsidRPr="00836F75">
      <w:rPr>
        <w:b/>
      </w:rPr>
      <w:fldChar w:fldCharType="separate"/>
    </w:r>
    <w:r w:rsidR="00B21E8A">
      <w:rPr>
        <w:b/>
        <w:noProof/>
      </w:rPr>
      <w:t>56</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9C93" w14:textId="77777777" w:rsidR="00A47FAC" w:rsidRDefault="00A4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DC91" w14:textId="77777777" w:rsidR="00B87690" w:rsidRDefault="00B87690" w:rsidP="00124A51">
      <w:r>
        <w:separator/>
      </w:r>
    </w:p>
    <w:p w14:paraId="0CFA91AD" w14:textId="77777777" w:rsidR="00B87690" w:rsidRDefault="00B87690"/>
  </w:footnote>
  <w:footnote w:type="continuationSeparator" w:id="0">
    <w:p w14:paraId="12DDA17B" w14:textId="77777777" w:rsidR="00B87690" w:rsidRDefault="00B87690" w:rsidP="00124A51">
      <w:r>
        <w:continuationSeparator/>
      </w:r>
    </w:p>
    <w:p w14:paraId="5B889C9C" w14:textId="77777777" w:rsidR="00B87690" w:rsidRDefault="00B87690"/>
  </w:footnote>
  <w:footnote w:id="1">
    <w:p w14:paraId="56BF2677" w14:textId="77777777" w:rsidR="00CB73BD" w:rsidRDefault="00CB73BD" w:rsidP="00D27059">
      <w:pPr>
        <w:pStyle w:val="FootnoteText"/>
      </w:pPr>
      <w:r>
        <w:rPr>
          <w:rStyle w:val="FootnoteReference"/>
        </w:rPr>
        <w:footnoteRef/>
      </w:r>
      <w:r w:rsidRPr="00FE1220">
        <w:t>https://www.anzdata.org.au/wp-</w:t>
      </w:r>
      <w:r>
        <w:t>c</w:t>
      </w:r>
      <w:r w:rsidRPr="00FE1220">
        <w:t>ontent/uploads/2020/09/c01_incidence_2019_ar_2020_v1.0_20201111.pdf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FD13" w14:textId="77777777" w:rsidR="00A47FAC" w:rsidRDefault="00A47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9ED2" w14:textId="77777777" w:rsidR="00CB73BD" w:rsidRPr="00056684" w:rsidRDefault="00CB73BD" w:rsidP="002A4FD2">
    <w:pPr>
      <w:pStyle w:val="Header"/>
      <w:keepNext/>
      <w:ind w:left="360"/>
      <w:jc w:val="center"/>
      <w:rPr>
        <w:rFonts w:asciiTheme="minorHAnsi" w:hAnsiTheme="minorHAnsi"/>
        <w:i/>
        <w:color w:val="808080"/>
      </w:rPr>
    </w:pPr>
    <w:r w:rsidRPr="007034BB">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r>
      <w:rPr>
        <w:rFonts w:asciiTheme="minorHAnsi" w:hAnsiTheme="minorHAnsi"/>
        <w:i/>
        <w:color w:val="808080"/>
      </w:rPr>
      <w:t xml:space="preserve"> with September 2021 Addendum and November 2021 Addendum</w:t>
    </w:r>
  </w:p>
  <w:p w14:paraId="2272C159" w14:textId="77777777" w:rsidR="00CB73BD" w:rsidRPr="008C7ECB" w:rsidRDefault="00CB73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19CA" w14:textId="77777777" w:rsidR="00A47FAC" w:rsidRDefault="00A47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8F2CD5"/>
    <w:multiLevelType w:val="hybridMultilevel"/>
    <w:tmpl w:val="28B4D6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C228C6"/>
    <w:multiLevelType w:val="hybridMultilevel"/>
    <w:tmpl w:val="49C8F5CC"/>
    <w:lvl w:ilvl="0" w:tplc="E65616B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7DCB"/>
    <w:multiLevelType w:val="multilevel"/>
    <w:tmpl w:val="5680BC9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784A46"/>
    <w:multiLevelType w:val="hybridMultilevel"/>
    <w:tmpl w:val="B45E0F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84D033C"/>
    <w:multiLevelType w:val="multilevel"/>
    <w:tmpl w:val="59826268"/>
    <w:lvl w:ilvl="0">
      <w:start w:val="1"/>
      <w:numFmt w:val="decimal"/>
      <w:pStyle w:val="2-SectionHeading"/>
      <w:lvlText w:val="%1"/>
      <w:lvlJc w:val="left"/>
      <w:pPr>
        <w:ind w:left="720" w:hanging="720"/>
      </w:pPr>
      <w:rPr>
        <w:rFonts w:hint="default"/>
        <w:b/>
        <w:i w:val="0"/>
        <w:iCs/>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F81B19"/>
    <w:multiLevelType w:val="hybridMultilevel"/>
    <w:tmpl w:val="1D664606"/>
    <w:lvl w:ilvl="0" w:tplc="0C090001">
      <w:start w:val="1"/>
      <w:numFmt w:val="bullet"/>
      <w:lvlText w:val=""/>
      <w:lvlJc w:val="left"/>
      <w:pPr>
        <w:ind w:left="720" w:hanging="360"/>
      </w:pPr>
      <w:rPr>
        <w:rFonts w:ascii="Symbol" w:hAnsi="Symbol" w:hint="default"/>
      </w:rPr>
    </w:lvl>
    <w:lvl w:ilvl="1" w:tplc="8EE44D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7"/>
  </w:num>
  <w:num w:numId="5">
    <w:abstractNumId w:val="8"/>
  </w:num>
  <w:num w:numId="6">
    <w:abstractNumId w:val="3"/>
  </w:num>
  <w:num w:numId="7">
    <w:abstractNumId w:val="5"/>
  </w:num>
  <w:num w:numId="8">
    <w:abstractNumId w:val="0"/>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9E8"/>
    <w:rsid w:val="00000F1D"/>
    <w:rsid w:val="0000110B"/>
    <w:rsid w:val="000028AB"/>
    <w:rsid w:val="000030EC"/>
    <w:rsid w:val="00003499"/>
    <w:rsid w:val="000039B7"/>
    <w:rsid w:val="00003DD3"/>
    <w:rsid w:val="00004A22"/>
    <w:rsid w:val="00005CB2"/>
    <w:rsid w:val="0000639A"/>
    <w:rsid w:val="00006E49"/>
    <w:rsid w:val="000126E5"/>
    <w:rsid w:val="00013247"/>
    <w:rsid w:val="00015886"/>
    <w:rsid w:val="000162EF"/>
    <w:rsid w:val="00016347"/>
    <w:rsid w:val="00017B4F"/>
    <w:rsid w:val="000203D0"/>
    <w:rsid w:val="000207C9"/>
    <w:rsid w:val="00021AD6"/>
    <w:rsid w:val="0002225F"/>
    <w:rsid w:val="00022B73"/>
    <w:rsid w:val="00023731"/>
    <w:rsid w:val="00023763"/>
    <w:rsid w:val="00024CEC"/>
    <w:rsid w:val="00025BBB"/>
    <w:rsid w:val="00025E58"/>
    <w:rsid w:val="00025FFF"/>
    <w:rsid w:val="00026249"/>
    <w:rsid w:val="00026D62"/>
    <w:rsid w:val="000274B8"/>
    <w:rsid w:val="00027609"/>
    <w:rsid w:val="000305ED"/>
    <w:rsid w:val="00030DE3"/>
    <w:rsid w:val="0003131D"/>
    <w:rsid w:val="00031DDB"/>
    <w:rsid w:val="00031F15"/>
    <w:rsid w:val="0003377C"/>
    <w:rsid w:val="00033863"/>
    <w:rsid w:val="00034A85"/>
    <w:rsid w:val="00034BD6"/>
    <w:rsid w:val="00034F20"/>
    <w:rsid w:val="00035081"/>
    <w:rsid w:val="00035DC0"/>
    <w:rsid w:val="00036829"/>
    <w:rsid w:val="00040895"/>
    <w:rsid w:val="00042E21"/>
    <w:rsid w:val="000435EE"/>
    <w:rsid w:val="000436A2"/>
    <w:rsid w:val="00043C37"/>
    <w:rsid w:val="00045017"/>
    <w:rsid w:val="00045A2B"/>
    <w:rsid w:val="0004698F"/>
    <w:rsid w:val="000474AB"/>
    <w:rsid w:val="000539D0"/>
    <w:rsid w:val="00054621"/>
    <w:rsid w:val="000546D7"/>
    <w:rsid w:val="0005541A"/>
    <w:rsid w:val="00055A8D"/>
    <w:rsid w:val="000568D8"/>
    <w:rsid w:val="00056ECF"/>
    <w:rsid w:val="00060264"/>
    <w:rsid w:val="000604DF"/>
    <w:rsid w:val="00060854"/>
    <w:rsid w:val="00061FFC"/>
    <w:rsid w:val="00062677"/>
    <w:rsid w:val="000638FB"/>
    <w:rsid w:val="000653B5"/>
    <w:rsid w:val="00066360"/>
    <w:rsid w:val="0006664C"/>
    <w:rsid w:val="00066AF8"/>
    <w:rsid w:val="00067494"/>
    <w:rsid w:val="0007109F"/>
    <w:rsid w:val="00071248"/>
    <w:rsid w:val="000720B9"/>
    <w:rsid w:val="00072512"/>
    <w:rsid w:val="000737F7"/>
    <w:rsid w:val="000753C8"/>
    <w:rsid w:val="0007586A"/>
    <w:rsid w:val="00075FE0"/>
    <w:rsid w:val="00076115"/>
    <w:rsid w:val="0007672F"/>
    <w:rsid w:val="00076B24"/>
    <w:rsid w:val="00076B54"/>
    <w:rsid w:val="000774F0"/>
    <w:rsid w:val="0007785A"/>
    <w:rsid w:val="00080909"/>
    <w:rsid w:val="000812CA"/>
    <w:rsid w:val="00081674"/>
    <w:rsid w:val="00081E63"/>
    <w:rsid w:val="0008258D"/>
    <w:rsid w:val="00083E99"/>
    <w:rsid w:val="00084092"/>
    <w:rsid w:val="00084709"/>
    <w:rsid w:val="00084FA8"/>
    <w:rsid w:val="000856C5"/>
    <w:rsid w:val="0008596F"/>
    <w:rsid w:val="00085C31"/>
    <w:rsid w:val="00085C52"/>
    <w:rsid w:val="0008798B"/>
    <w:rsid w:val="00087D96"/>
    <w:rsid w:val="000902D9"/>
    <w:rsid w:val="000903C6"/>
    <w:rsid w:val="00090C7E"/>
    <w:rsid w:val="00090F6A"/>
    <w:rsid w:val="00090F9D"/>
    <w:rsid w:val="00092600"/>
    <w:rsid w:val="0009262B"/>
    <w:rsid w:val="000931F3"/>
    <w:rsid w:val="00093310"/>
    <w:rsid w:val="00093C00"/>
    <w:rsid w:val="00094177"/>
    <w:rsid w:val="0009445C"/>
    <w:rsid w:val="00095200"/>
    <w:rsid w:val="00095BB4"/>
    <w:rsid w:val="00095FE5"/>
    <w:rsid w:val="00096284"/>
    <w:rsid w:val="000964BF"/>
    <w:rsid w:val="00096D42"/>
    <w:rsid w:val="00097211"/>
    <w:rsid w:val="000A1480"/>
    <w:rsid w:val="000A1B18"/>
    <w:rsid w:val="000A1BC0"/>
    <w:rsid w:val="000A20B7"/>
    <w:rsid w:val="000A2642"/>
    <w:rsid w:val="000A3C49"/>
    <w:rsid w:val="000A5743"/>
    <w:rsid w:val="000A6039"/>
    <w:rsid w:val="000A6642"/>
    <w:rsid w:val="000A6C99"/>
    <w:rsid w:val="000A7453"/>
    <w:rsid w:val="000A7D08"/>
    <w:rsid w:val="000B0121"/>
    <w:rsid w:val="000B0670"/>
    <w:rsid w:val="000B0AB5"/>
    <w:rsid w:val="000B0E75"/>
    <w:rsid w:val="000B23B1"/>
    <w:rsid w:val="000B2DCB"/>
    <w:rsid w:val="000B4E64"/>
    <w:rsid w:val="000B54F7"/>
    <w:rsid w:val="000B5CE0"/>
    <w:rsid w:val="000B645B"/>
    <w:rsid w:val="000B654F"/>
    <w:rsid w:val="000B6CAC"/>
    <w:rsid w:val="000B7612"/>
    <w:rsid w:val="000B78AE"/>
    <w:rsid w:val="000C014C"/>
    <w:rsid w:val="000C0C12"/>
    <w:rsid w:val="000C0EC4"/>
    <w:rsid w:val="000C3105"/>
    <w:rsid w:val="000C3DF9"/>
    <w:rsid w:val="000C47D7"/>
    <w:rsid w:val="000C609F"/>
    <w:rsid w:val="000C6383"/>
    <w:rsid w:val="000C6713"/>
    <w:rsid w:val="000D17EF"/>
    <w:rsid w:val="000D19EE"/>
    <w:rsid w:val="000D1B36"/>
    <w:rsid w:val="000D1BFC"/>
    <w:rsid w:val="000D1D5D"/>
    <w:rsid w:val="000D281A"/>
    <w:rsid w:val="000D2848"/>
    <w:rsid w:val="000D2CA0"/>
    <w:rsid w:val="000D3036"/>
    <w:rsid w:val="000D326A"/>
    <w:rsid w:val="000D38CA"/>
    <w:rsid w:val="000D3F1A"/>
    <w:rsid w:val="000D5007"/>
    <w:rsid w:val="000D51FB"/>
    <w:rsid w:val="000E0640"/>
    <w:rsid w:val="000E11EA"/>
    <w:rsid w:val="000E135D"/>
    <w:rsid w:val="000E1611"/>
    <w:rsid w:val="000E3E53"/>
    <w:rsid w:val="000F00BA"/>
    <w:rsid w:val="000F0C71"/>
    <w:rsid w:val="000F2DF1"/>
    <w:rsid w:val="000F2F67"/>
    <w:rsid w:val="000F316A"/>
    <w:rsid w:val="000F3C74"/>
    <w:rsid w:val="000F4B1C"/>
    <w:rsid w:val="000F4BB8"/>
    <w:rsid w:val="000F4FA9"/>
    <w:rsid w:val="000F53FB"/>
    <w:rsid w:val="000F66CA"/>
    <w:rsid w:val="000F7127"/>
    <w:rsid w:val="000F7B54"/>
    <w:rsid w:val="000F7DE6"/>
    <w:rsid w:val="00100F8A"/>
    <w:rsid w:val="001012B1"/>
    <w:rsid w:val="00102E71"/>
    <w:rsid w:val="001037D6"/>
    <w:rsid w:val="0010452E"/>
    <w:rsid w:val="001052C3"/>
    <w:rsid w:val="00105AE2"/>
    <w:rsid w:val="001060C6"/>
    <w:rsid w:val="00106B80"/>
    <w:rsid w:val="00110158"/>
    <w:rsid w:val="0011032E"/>
    <w:rsid w:val="00112284"/>
    <w:rsid w:val="001132AA"/>
    <w:rsid w:val="0011348B"/>
    <w:rsid w:val="0011414E"/>
    <w:rsid w:val="00115982"/>
    <w:rsid w:val="00116A0F"/>
    <w:rsid w:val="00116C53"/>
    <w:rsid w:val="0012000E"/>
    <w:rsid w:val="001207A7"/>
    <w:rsid w:val="00120A7F"/>
    <w:rsid w:val="00121799"/>
    <w:rsid w:val="00121962"/>
    <w:rsid w:val="001219FC"/>
    <w:rsid w:val="001222FC"/>
    <w:rsid w:val="00122F34"/>
    <w:rsid w:val="00123902"/>
    <w:rsid w:val="0012390A"/>
    <w:rsid w:val="00124A51"/>
    <w:rsid w:val="00124F24"/>
    <w:rsid w:val="00125BA5"/>
    <w:rsid w:val="00126621"/>
    <w:rsid w:val="0012672E"/>
    <w:rsid w:val="00126B1D"/>
    <w:rsid w:val="001301E9"/>
    <w:rsid w:val="00131D82"/>
    <w:rsid w:val="00132A75"/>
    <w:rsid w:val="00132B22"/>
    <w:rsid w:val="0013306B"/>
    <w:rsid w:val="0013342B"/>
    <w:rsid w:val="00133D36"/>
    <w:rsid w:val="00134436"/>
    <w:rsid w:val="0013469E"/>
    <w:rsid w:val="001348CA"/>
    <w:rsid w:val="00134C2F"/>
    <w:rsid w:val="0013522E"/>
    <w:rsid w:val="00135BA4"/>
    <w:rsid w:val="0013661D"/>
    <w:rsid w:val="00137645"/>
    <w:rsid w:val="001400C6"/>
    <w:rsid w:val="0014015A"/>
    <w:rsid w:val="00140616"/>
    <w:rsid w:val="00140E99"/>
    <w:rsid w:val="00143400"/>
    <w:rsid w:val="00143F67"/>
    <w:rsid w:val="0014423C"/>
    <w:rsid w:val="001444D7"/>
    <w:rsid w:val="00145540"/>
    <w:rsid w:val="001456B0"/>
    <w:rsid w:val="001468ED"/>
    <w:rsid w:val="00146A00"/>
    <w:rsid w:val="00152139"/>
    <w:rsid w:val="00152F6C"/>
    <w:rsid w:val="00154C30"/>
    <w:rsid w:val="001556E4"/>
    <w:rsid w:val="00156F8F"/>
    <w:rsid w:val="00157130"/>
    <w:rsid w:val="001576B1"/>
    <w:rsid w:val="001577E8"/>
    <w:rsid w:val="00157D4A"/>
    <w:rsid w:val="0016047B"/>
    <w:rsid w:val="00160559"/>
    <w:rsid w:val="001607AA"/>
    <w:rsid w:val="00160A4C"/>
    <w:rsid w:val="00162913"/>
    <w:rsid w:val="00163EFF"/>
    <w:rsid w:val="00163F66"/>
    <w:rsid w:val="00164731"/>
    <w:rsid w:val="001658B9"/>
    <w:rsid w:val="001661FB"/>
    <w:rsid w:val="00166E8B"/>
    <w:rsid w:val="001671A0"/>
    <w:rsid w:val="001671C4"/>
    <w:rsid w:val="0016734D"/>
    <w:rsid w:val="00167582"/>
    <w:rsid w:val="0016767F"/>
    <w:rsid w:val="00172119"/>
    <w:rsid w:val="00173565"/>
    <w:rsid w:val="001735A7"/>
    <w:rsid w:val="00173B07"/>
    <w:rsid w:val="001751FA"/>
    <w:rsid w:val="001774F4"/>
    <w:rsid w:val="00177EDF"/>
    <w:rsid w:val="00180909"/>
    <w:rsid w:val="0018141B"/>
    <w:rsid w:val="00181D9C"/>
    <w:rsid w:val="00182886"/>
    <w:rsid w:val="0018306E"/>
    <w:rsid w:val="0018339B"/>
    <w:rsid w:val="00184B0E"/>
    <w:rsid w:val="00184D5F"/>
    <w:rsid w:val="00186851"/>
    <w:rsid w:val="00187019"/>
    <w:rsid w:val="0018752F"/>
    <w:rsid w:val="00187E8B"/>
    <w:rsid w:val="001904FB"/>
    <w:rsid w:val="00191C33"/>
    <w:rsid w:val="001924F5"/>
    <w:rsid w:val="00193838"/>
    <w:rsid w:val="00193C4A"/>
    <w:rsid w:val="00194AD8"/>
    <w:rsid w:val="001950FF"/>
    <w:rsid w:val="00195222"/>
    <w:rsid w:val="00195A05"/>
    <w:rsid w:val="00196AF5"/>
    <w:rsid w:val="001975D8"/>
    <w:rsid w:val="00197DB5"/>
    <w:rsid w:val="001A077F"/>
    <w:rsid w:val="001A178E"/>
    <w:rsid w:val="001A3178"/>
    <w:rsid w:val="001A3C8B"/>
    <w:rsid w:val="001A3DDF"/>
    <w:rsid w:val="001A43FA"/>
    <w:rsid w:val="001A47C5"/>
    <w:rsid w:val="001A48EC"/>
    <w:rsid w:val="001A5444"/>
    <w:rsid w:val="001A59FB"/>
    <w:rsid w:val="001A5E9E"/>
    <w:rsid w:val="001A6332"/>
    <w:rsid w:val="001A6354"/>
    <w:rsid w:val="001A6366"/>
    <w:rsid w:val="001A6EB8"/>
    <w:rsid w:val="001A77FA"/>
    <w:rsid w:val="001A7AE8"/>
    <w:rsid w:val="001B095F"/>
    <w:rsid w:val="001B204E"/>
    <w:rsid w:val="001B217E"/>
    <w:rsid w:val="001B2372"/>
    <w:rsid w:val="001B2456"/>
    <w:rsid w:val="001B3443"/>
    <w:rsid w:val="001B493B"/>
    <w:rsid w:val="001B4D20"/>
    <w:rsid w:val="001B587E"/>
    <w:rsid w:val="001B6699"/>
    <w:rsid w:val="001B73B3"/>
    <w:rsid w:val="001B770A"/>
    <w:rsid w:val="001B78E0"/>
    <w:rsid w:val="001C1D08"/>
    <w:rsid w:val="001C2A9B"/>
    <w:rsid w:val="001C3742"/>
    <w:rsid w:val="001C3CF9"/>
    <w:rsid w:val="001C4299"/>
    <w:rsid w:val="001C4874"/>
    <w:rsid w:val="001C5F94"/>
    <w:rsid w:val="001C690A"/>
    <w:rsid w:val="001C6E66"/>
    <w:rsid w:val="001D0E55"/>
    <w:rsid w:val="001D1100"/>
    <w:rsid w:val="001D1391"/>
    <w:rsid w:val="001D1492"/>
    <w:rsid w:val="001D2268"/>
    <w:rsid w:val="001D25D7"/>
    <w:rsid w:val="001D371D"/>
    <w:rsid w:val="001D42F6"/>
    <w:rsid w:val="001D50B2"/>
    <w:rsid w:val="001D6932"/>
    <w:rsid w:val="001D7645"/>
    <w:rsid w:val="001E1DB2"/>
    <w:rsid w:val="001E1E86"/>
    <w:rsid w:val="001E238E"/>
    <w:rsid w:val="001E2483"/>
    <w:rsid w:val="001E2B1E"/>
    <w:rsid w:val="001E2CFF"/>
    <w:rsid w:val="001E2F24"/>
    <w:rsid w:val="001E30D4"/>
    <w:rsid w:val="001E341E"/>
    <w:rsid w:val="001E34DF"/>
    <w:rsid w:val="001E52EB"/>
    <w:rsid w:val="001E61D2"/>
    <w:rsid w:val="001E740C"/>
    <w:rsid w:val="001E7525"/>
    <w:rsid w:val="001F042E"/>
    <w:rsid w:val="001F1235"/>
    <w:rsid w:val="001F1CB3"/>
    <w:rsid w:val="001F2551"/>
    <w:rsid w:val="001F3116"/>
    <w:rsid w:val="001F38B5"/>
    <w:rsid w:val="001F3E8D"/>
    <w:rsid w:val="001F4081"/>
    <w:rsid w:val="001F52FD"/>
    <w:rsid w:val="001F60A9"/>
    <w:rsid w:val="001F69C7"/>
    <w:rsid w:val="001F7361"/>
    <w:rsid w:val="00200EF8"/>
    <w:rsid w:val="002011B0"/>
    <w:rsid w:val="0020217A"/>
    <w:rsid w:val="0020248E"/>
    <w:rsid w:val="0020278B"/>
    <w:rsid w:val="002028FB"/>
    <w:rsid w:val="00203181"/>
    <w:rsid w:val="00203783"/>
    <w:rsid w:val="0020385F"/>
    <w:rsid w:val="0020557B"/>
    <w:rsid w:val="0020634E"/>
    <w:rsid w:val="00206785"/>
    <w:rsid w:val="002068A0"/>
    <w:rsid w:val="00206C3D"/>
    <w:rsid w:val="00207021"/>
    <w:rsid w:val="0020732F"/>
    <w:rsid w:val="00207D00"/>
    <w:rsid w:val="00210498"/>
    <w:rsid w:val="002105C1"/>
    <w:rsid w:val="00211138"/>
    <w:rsid w:val="00213725"/>
    <w:rsid w:val="00213EF5"/>
    <w:rsid w:val="00214531"/>
    <w:rsid w:val="002149F6"/>
    <w:rsid w:val="00216BF5"/>
    <w:rsid w:val="00217453"/>
    <w:rsid w:val="002177EC"/>
    <w:rsid w:val="002217A0"/>
    <w:rsid w:val="00221AAE"/>
    <w:rsid w:val="00223B49"/>
    <w:rsid w:val="00223D5A"/>
    <w:rsid w:val="00224515"/>
    <w:rsid w:val="00224DD4"/>
    <w:rsid w:val="0022604D"/>
    <w:rsid w:val="002278A0"/>
    <w:rsid w:val="002309CC"/>
    <w:rsid w:val="00230DB1"/>
    <w:rsid w:val="0023209F"/>
    <w:rsid w:val="0023294D"/>
    <w:rsid w:val="00232ACD"/>
    <w:rsid w:val="00233C01"/>
    <w:rsid w:val="00233C70"/>
    <w:rsid w:val="0023413C"/>
    <w:rsid w:val="002346F0"/>
    <w:rsid w:val="00235BA5"/>
    <w:rsid w:val="0023629D"/>
    <w:rsid w:val="002368A2"/>
    <w:rsid w:val="00237255"/>
    <w:rsid w:val="00237A26"/>
    <w:rsid w:val="00240972"/>
    <w:rsid w:val="00241402"/>
    <w:rsid w:val="00242054"/>
    <w:rsid w:val="002424AF"/>
    <w:rsid w:val="002439DC"/>
    <w:rsid w:val="002441D2"/>
    <w:rsid w:val="00244DC8"/>
    <w:rsid w:val="002458BA"/>
    <w:rsid w:val="00245CBA"/>
    <w:rsid w:val="00245CE9"/>
    <w:rsid w:val="002462C0"/>
    <w:rsid w:val="0024636C"/>
    <w:rsid w:val="002468B9"/>
    <w:rsid w:val="00247120"/>
    <w:rsid w:val="00247925"/>
    <w:rsid w:val="00251006"/>
    <w:rsid w:val="002522A3"/>
    <w:rsid w:val="002524D5"/>
    <w:rsid w:val="00252690"/>
    <w:rsid w:val="00252878"/>
    <w:rsid w:val="002528D3"/>
    <w:rsid w:val="00253B1D"/>
    <w:rsid w:val="00254DCF"/>
    <w:rsid w:val="0025534B"/>
    <w:rsid w:val="0025549D"/>
    <w:rsid w:val="00255A0E"/>
    <w:rsid w:val="00255BB7"/>
    <w:rsid w:val="00256A62"/>
    <w:rsid w:val="00257541"/>
    <w:rsid w:val="00257A39"/>
    <w:rsid w:val="00257AC4"/>
    <w:rsid w:val="00261202"/>
    <w:rsid w:val="00261EEF"/>
    <w:rsid w:val="00262722"/>
    <w:rsid w:val="00262A1A"/>
    <w:rsid w:val="00262A87"/>
    <w:rsid w:val="002642A3"/>
    <w:rsid w:val="002649F8"/>
    <w:rsid w:val="00264D26"/>
    <w:rsid w:val="002665C2"/>
    <w:rsid w:val="00267642"/>
    <w:rsid w:val="002678D3"/>
    <w:rsid w:val="00267AEA"/>
    <w:rsid w:val="002700E6"/>
    <w:rsid w:val="002708CE"/>
    <w:rsid w:val="0027294B"/>
    <w:rsid w:val="0027340D"/>
    <w:rsid w:val="00273EB4"/>
    <w:rsid w:val="0027423C"/>
    <w:rsid w:val="00274682"/>
    <w:rsid w:val="00275C5A"/>
    <w:rsid w:val="002806DA"/>
    <w:rsid w:val="00281014"/>
    <w:rsid w:val="00282135"/>
    <w:rsid w:val="0028381E"/>
    <w:rsid w:val="0028665D"/>
    <w:rsid w:val="002878B7"/>
    <w:rsid w:val="002914A8"/>
    <w:rsid w:val="00292517"/>
    <w:rsid w:val="00294A50"/>
    <w:rsid w:val="00295AA4"/>
    <w:rsid w:val="00296281"/>
    <w:rsid w:val="00297A59"/>
    <w:rsid w:val="002A0574"/>
    <w:rsid w:val="002A072A"/>
    <w:rsid w:val="002A14AB"/>
    <w:rsid w:val="002A2930"/>
    <w:rsid w:val="002A2ADE"/>
    <w:rsid w:val="002A2F50"/>
    <w:rsid w:val="002A2F80"/>
    <w:rsid w:val="002A4EB5"/>
    <w:rsid w:val="002A4FD2"/>
    <w:rsid w:val="002A71B0"/>
    <w:rsid w:val="002B05A1"/>
    <w:rsid w:val="002B09A4"/>
    <w:rsid w:val="002B19DA"/>
    <w:rsid w:val="002B1C1F"/>
    <w:rsid w:val="002B1DFD"/>
    <w:rsid w:val="002B23F6"/>
    <w:rsid w:val="002B298C"/>
    <w:rsid w:val="002B2AB0"/>
    <w:rsid w:val="002B31AB"/>
    <w:rsid w:val="002B3235"/>
    <w:rsid w:val="002B432F"/>
    <w:rsid w:val="002B468D"/>
    <w:rsid w:val="002B62B3"/>
    <w:rsid w:val="002B6754"/>
    <w:rsid w:val="002B6CCE"/>
    <w:rsid w:val="002B7436"/>
    <w:rsid w:val="002C2510"/>
    <w:rsid w:val="002C2775"/>
    <w:rsid w:val="002C27C1"/>
    <w:rsid w:val="002C4FB5"/>
    <w:rsid w:val="002C5099"/>
    <w:rsid w:val="002C5889"/>
    <w:rsid w:val="002C63DC"/>
    <w:rsid w:val="002C6B50"/>
    <w:rsid w:val="002C6C25"/>
    <w:rsid w:val="002C71CE"/>
    <w:rsid w:val="002C7A09"/>
    <w:rsid w:val="002C7FDD"/>
    <w:rsid w:val="002D0043"/>
    <w:rsid w:val="002D08F8"/>
    <w:rsid w:val="002D2858"/>
    <w:rsid w:val="002D2CC9"/>
    <w:rsid w:val="002D4436"/>
    <w:rsid w:val="002D451A"/>
    <w:rsid w:val="002D48A9"/>
    <w:rsid w:val="002D5121"/>
    <w:rsid w:val="002D577C"/>
    <w:rsid w:val="002D679C"/>
    <w:rsid w:val="002D6A15"/>
    <w:rsid w:val="002E03BD"/>
    <w:rsid w:val="002E0E3B"/>
    <w:rsid w:val="002E1071"/>
    <w:rsid w:val="002E1285"/>
    <w:rsid w:val="002E15B9"/>
    <w:rsid w:val="002E2158"/>
    <w:rsid w:val="002E35F5"/>
    <w:rsid w:val="002E4F02"/>
    <w:rsid w:val="002E5FFD"/>
    <w:rsid w:val="002E7722"/>
    <w:rsid w:val="002F0193"/>
    <w:rsid w:val="002F07BA"/>
    <w:rsid w:val="002F0C5E"/>
    <w:rsid w:val="002F0DA9"/>
    <w:rsid w:val="002F1014"/>
    <w:rsid w:val="002F20E5"/>
    <w:rsid w:val="002F6009"/>
    <w:rsid w:val="002F643C"/>
    <w:rsid w:val="002F71C0"/>
    <w:rsid w:val="002F7345"/>
    <w:rsid w:val="002F74F1"/>
    <w:rsid w:val="002F7CDB"/>
    <w:rsid w:val="00301017"/>
    <w:rsid w:val="0030142D"/>
    <w:rsid w:val="0030155F"/>
    <w:rsid w:val="00302F78"/>
    <w:rsid w:val="00304F12"/>
    <w:rsid w:val="00305693"/>
    <w:rsid w:val="0030587B"/>
    <w:rsid w:val="003064FF"/>
    <w:rsid w:val="0030660D"/>
    <w:rsid w:val="00306D98"/>
    <w:rsid w:val="0030772F"/>
    <w:rsid w:val="0030786C"/>
    <w:rsid w:val="0031031A"/>
    <w:rsid w:val="0031033B"/>
    <w:rsid w:val="003105D6"/>
    <w:rsid w:val="00310981"/>
    <w:rsid w:val="00310E88"/>
    <w:rsid w:val="00310F97"/>
    <w:rsid w:val="00311BDA"/>
    <w:rsid w:val="003124D9"/>
    <w:rsid w:val="00312575"/>
    <w:rsid w:val="00312594"/>
    <w:rsid w:val="00313626"/>
    <w:rsid w:val="00313ED1"/>
    <w:rsid w:val="00314253"/>
    <w:rsid w:val="00315498"/>
    <w:rsid w:val="00316474"/>
    <w:rsid w:val="00317675"/>
    <w:rsid w:val="0032191A"/>
    <w:rsid w:val="00322107"/>
    <w:rsid w:val="00322355"/>
    <w:rsid w:val="00322846"/>
    <w:rsid w:val="00322C1E"/>
    <w:rsid w:val="003252F3"/>
    <w:rsid w:val="00326BAC"/>
    <w:rsid w:val="00326DA7"/>
    <w:rsid w:val="003270E4"/>
    <w:rsid w:val="00327DA4"/>
    <w:rsid w:val="00330DAA"/>
    <w:rsid w:val="00330F5C"/>
    <w:rsid w:val="003318FB"/>
    <w:rsid w:val="00332DAF"/>
    <w:rsid w:val="00334FC1"/>
    <w:rsid w:val="003350A7"/>
    <w:rsid w:val="003366C1"/>
    <w:rsid w:val="003366C9"/>
    <w:rsid w:val="00336F45"/>
    <w:rsid w:val="0033712D"/>
    <w:rsid w:val="003371B0"/>
    <w:rsid w:val="00340DF1"/>
    <w:rsid w:val="00343474"/>
    <w:rsid w:val="0034435E"/>
    <w:rsid w:val="00344AC6"/>
    <w:rsid w:val="00346003"/>
    <w:rsid w:val="003465BA"/>
    <w:rsid w:val="00347601"/>
    <w:rsid w:val="003517F9"/>
    <w:rsid w:val="00351BA9"/>
    <w:rsid w:val="00352081"/>
    <w:rsid w:val="0035280F"/>
    <w:rsid w:val="00353484"/>
    <w:rsid w:val="00354F64"/>
    <w:rsid w:val="00355BD2"/>
    <w:rsid w:val="0035620E"/>
    <w:rsid w:val="0035662D"/>
    <w:rsid w:val="00360345"/>
    <w:rsid w:val="00360F28"/>
    <w:rsid w:val="00361A05"/>
    <w:rsid w:val="00362353"/>
    <w:rsid w:val="003624C4"/>
    <w:rsid w:val="00363B00"/>
    <w:rsid w:val="00363DAD"/>
    <w:rsid w:val="00364FF4"/>
    <w:rsid w:val="003654AC"/>
    <w:rsid w:val="00365C66"/>
    <w:rsid w:val="0036639E"/>
    <w:rsid w:val="00366791"/>
    <w:rsid w:val="003710CF"/>
    <w:rsid w:val="003713AC"/>
    <w:rsid w:val="00372160"/>
    <w:rsid w:val="00372A21"/>
    <w:rsid w:val="0037358A"/>
    <w:rsid w:val="003750F6"/>
    <w:rsid w:val="0037592F"/>
    <w:rsid w:val="003760FC"/>
    <w:rsid w:val="00376E61"/>
    <w:rsid w:val="00380439"/>
    <w:rsid w:val="00380D4B"/>
    <w:rsid w:val="003821F3"/>
    <w:rsid w:val="0038365C"/>
    <w:rsid w:val="0038369B"/>
    <w:rsid w:val="00383B78"/>
    <w:rsid w:val="00384A47"/>
    <w:rsid w:val="00385A9D"/>
    <w:rsid w:val="0038610A"/>
    <w:rsid w:val="0038744C"/>
    <w:rsid w:val="003902B1"/>
    <w:rsid w:val="0039179C"/>
    <w:rsid w:val="00391BED"/>
    <w:rsid w:val="00392552"/>
    <w:rsid w:val="00394777"/>
    <w:rsid w:val="00394F36"/>
    <w:rsid w:val="00395636"/>
    <w:rsid w:val="00395EF5"/>
    <w:rsid w:val="00396896"/>
    <w:rsid w:val="00396B13"/>
    <w:rsid w:val="00396FD0"/>
    <w:rsid w:val="003A1A7A"/>
    <w:rsid w:val="003A2392"/>
    <w:rsid w:val="003A2831"/>
    <w:rsid w:val="003A301E"/>
    <w:rsid w:val="003A3CB6"/>
    <w:rsid w:val="003A3ED1"/>
    <w:rsid w:val="003A44DB"/>
    <w:rsid w:val="003A461B"/>
    <w:rsid w:val="003A69B0"/>
    <w:rsid w:val="003A70D3"/>
    <w:rsid w:val="003A7B6C"/>
    <w:rsid w:val="003B033E"/>
    <w:rsid w:val="003B0657"/>
    <w:rsid w:val="003B0A79"/>
    <w:rsid w:val="003B248A"/>
    <w:rsid w:val="003B2A5D"/>
    <w:rsid w:val="003B3971"/>
    <w:rsid w:val="003B3B4B"/>
    <w:rsid w:val="003B55D1"/>
    <w:rsid w:val="003B5B61"/>
    <w:rsid w:val="003B65DD"/>
    <w:rsid w:val="003B7348"/>
    <w:rsid w:val="003B73E1"/>
    <w:rsid w:val="003C0C6F"/>
    <w:rsid w:val="003C1654"/>
    <w:rsid w:val="003C2177"/>
    <w:rsid w:val="003C25D6"/>
    <w:rsid w:val="003C2668"/>
    <w:rsid w:val="003C274F"/>
    <w:rsid w:val="003C27DD"/>
    <w:rsid w:val="003C2A15"/>
    <w:rsid w:val="003C4CE3"/>
    <w:rsid w:val="003C5542"/>
    <w:rsid w:val="003C6567"/>
    <w:rsid w:val="003C768A"/>
    <w:rsid w:val="003C79BB"/>
    <w:rsid w:val="003C7AB6"/>
    <w:rsid w:val="003C7D19"/>
    <w:rsid w:val="003C7D2F"/>
    <w:rsid w:val="003D02CE"/>
    <w:rsid w:val="003D0C39"/>
    <w:rsid w:val="003D10B5"/>
    <w:rsid w:val="003D1828"/>
    <w:rsid w:val="003D1DE4"/>
    <w:rsid w:val="003D1E9A"/>
    <w:rsid w:val="003D2422"/>
    <w:rsid w:val="003D3432"/>
    <w:rsid w:val="003D356E"/>
    <w:rsid w:val="003D39A1"/>
    <w:rsid w:val="003D3FBF"/>
    <w:rsid w:val="003D4A30"/>
    <w:rsid w:val="003D7452"/>
    <w:rsid w:val="003D79BB"/>
    <w:rsid w:val="003D7C98"/>
    <w:rsid w:val="003D7D9D"/>
    <w:rsid w:val="003E0006"/>
    <w:rsid w:val="003E0543"/>
    <w:rsid w:val="003E09BF"/>
    <w:rsid w:val="003E2081"/>
    <w:rsid w:val="003E2C64"/>
    <w:rsid w:val="003E2F2B"/>
    <w:rsid w:val="003E749E"/>
    <w:rsid w:val="003F0CEF"/>
    <w:rsid w:val="003F1992"/>
    <w:rsid w:val="003F4156"/>
    <w:rsid w:val="003F5ADF"/>
    <w:rsid w:val="003F623F"/>
    <w:rsid w:val="00400B29"/>
    <w:rsid w:val="00401A45"/>
    <w:rsid w:val="00402A55"/>
    <w:rsid w:val="00402C0C"/>
    <w:rsid w:val="00404A22"/>
    <w:rsid w:val="0040504B"/>
    <w:rsid w:val="004059F4"/>
    <w:rsid w:val="004061F2"/>
    <w:rsid w:val="00407FE5"/>
    <w:rsid w:val="004101B0"/>
    <w:rsid w:val="00410326"/>
    <w:rsid w:val="00410708"/>
    <w:rsid w:val="00410EC7"/>
    <w:rsid w:val="00411B39"/>
    <w:rsid w:val="004120D5"/>
    <w:rsid w:val="004127A7"/>
    <w:rsid w:val="00412F19"/>
    <w:rsid w:val="00413A1E"/>
    <w:rsid w:val="00414476"/>
    <w:rsid w:val="004145E5"/>
    <w:rsid w:val="004147B2"/>
    <w:rsid w:val="00414C2E"/>
    <w:rsid w:val="004151CF"/>
    <w:rsid w:val="00416364"/>
    <w:rsid w:val="0042000A"/>
    <w:rsid w:val="0042047F"/>
    <w:rsid w:val="00420AA6"/>
    <w:rsid w:val="00420B9F"/>
    <w:rsid w:val="0042192C"/>
    <w:rsid w:val="00421BC2"/>
    <w:rsid w:val="00421D6F"/>
    <w:rsid w:val="00422071"/>
    <w:rsid w:val="00422260"/>
    <w:rsid w:val="004229B7"/>
    <w:rsid w:val="004240FE"/>
    <w:rsid w:val="0042413F"/>
    <w:rsid w:val="004257F7"/>
    <w:rsid w:val="00430B64"/>
    <w:rsid w:val="004319F8"/>
    <w:rsid w:val="00431E55"/>
    <w:rsid w:val="004321F6"/>
    <w:rsid w:val="00433044"/>
    <w:rsid w:val="00434088"/>
    <w:rsid w:val="004375B9"/>
    <w:rsid w:val="00437794"/>
    <w:rsid w:val="004422A9"/>
    <w:rsid w:val="004428D0"/>
    <w:rsid w:val="00442BD7"/>
    <w:rsid w:val="00444185"/>
    <w:rsid w:val="004443A7"/>
    <w:rsid w:val="0044442C"/>
    <w:rsid w:val="00444534"/>
    <w:rsid w:val="00444A5B"/>
    <w:rsid w:val="00445941"/>
    <w:rsid w:val="00445A29"/>
    <w:rsid w:val="004464EB"/>
    <w:rsid w:val="00446A8C"/>
    <w:rsid w:val="00447BF8"/>
    <w:rsid w:val="00447D26"/>
    <w:rsid w:val="00447DFC"/>
    <w:rsid w:val="00447E98"/>
    <w:rsid w:val="00450326"/>
    <w:rsid w:val="00451CAB"/>
    <w:rsid w:val="00451CCA"/>
    <w:rsid w:val="00455D45"/>
    <w:rsid w:val="00456122"/>
    <w:rsid w:val="00456926"/>
    <w:rsid w:val="00457077"/>
    <w:rsid w:val="004570DD"/>
    <w:rsid w:val="00464595"/>
    <w:rsid w:val="004653F4"/>
    <w:rsid w:val="004658B5"/>
    <w:rsid w:val="0046614D"/>
    <w:rsid w:val="00466BE4"/>
    <w:rsid w:val="00466F9B"/>
    <w:rsid w:val="00467C2E"/>
    <w:rsid w:val="00470302"/>
    <w:rsid w:val="00471EA5"/>
    <w:rsid w:val="00472A79"/>
    <w:rsid w:val="00473F19"/>
    <w:rsid w:val="00474B69"/>
    <w:rsid w:val="00475561"/>
    <w:rsid w:val="00475E22"/>
    <w:rsid w:val="00476C2B"/>
    <w:rsid w:val="00476CA4"/>
    <w:rsid w:val="0048088E"/>
    <w:rsid w:val="00480F2B"/>
    <w:rsid w:val="00481063"/>
    <w:rsid w:val="00482569"/>
    <w:rsid w:val="00482720"/>
    <w:rsid w:val="004835E7"/>
    <w:rsid w:val="004867E2"/>
    <w:rsid w:val="00490B17"/>
    <w:rsid w:val="00491B3A"/>
    <w:rsid w:val="00492CFD"/>
    <w:rsid w:val="00493AAF"/>
    <w:rsid w:val="00494207"/>
    <w:rsid w:val="00494AA5"/>
    <w:rsid w:val="00494DD5"/>
    <w:rsid w:val="004962D2"/>
    <w:rsid w:val="0049752D"/>
    <w:rsid w:val="00497F1E"/>
    <w:rsid w:val="004A07C2"/>
    <w:rsid w:val="004A0DA1"/>
    <w:rsid w:val="004A12A1"/>
    <w:rsid w:val="004A13D6"/>
    <w:rsid w:val="004A154A"/>
    <w:rsid w:val="004A26CD"/>
    <w:rsid w:val="004A2E37"/>
    <w:rsid w:val="004A4F3E"/>
    <w:rsid w:val="004A52E9"/>
    <w:rsid w:val="004A5C59"/>
    <w:rsid w:val="004A6040"/>
    <w:rsid w:val="004A6597"/>
    <w:rsid w:val="004A75B5"/>
    <w:rsid w:val="004A7848"/>
    <w:rsid w:val="004B1CB4"/>
    <w:rsid w:val="004B239D"/>
    <w:rsid w:val="004B2F18"/>
    <w:rsid w:val="004B3DDB"/>
    <w:rsid w:val="004B3E8D"/>
    <w:rsid w:val="004B4164"/>
    <w:rsid w:val="004B42F7"/>
    <w:rsid w:val="004B44FD"/>
    <w:rsid w:val="004B58A8"/>
    <w:rsid w:val="004B5CFC"/>
    <w:rsid w:val="004B5F68"/>
    <w:rsid w:val="004B6978"/>
    <w:rsid w:val="004B6F79"/>
    <w:rsid w:val="004B773A"/>
    <w:rsid w:val="004B774D"/>
    <w:rsid w:val="004C381A"/>
    <w:rsid w:val="004C4AED"/>
    <w:rsid w:val="004C6B50"/>
    <w:rsid w:val="004C6DD2"/>
    <w:rsid w:val="004D0B13"/>
    <w:rsid w:val="004D0C7C"/>
    <w:rsid w:val="004D1A34"/>
    <w:rsid w:val="004D2C2D"/>
    <w:rsid w:val="004D399F"/>
    <w:rsid w:val="004D4DF8"/>
    <w:rsid w:val="004D4FCA"/>
    <w:rsid w:val="004D5094"/>
    <w:rsid w:val="004D5127"/>
    <w:rsid w:val="004D69B5"/>
    <w:rsid w:val="004D7227"/>
    <w:rsid w:val="004D74B9"/>
    <w:rsid w:val="004D7901"/>
    <w:rsid w:val="004D7C30"/>
    <w:rsid w:val="004E0E7F"/>
    <w:rsid w:val="004E0EB8"/>
    <w:rsid w:val="004E18E9"/>
    <w:rsid w:val="004E2ADC"/>
    <w:rsid w:val="004E43B2"/>
    <w:rsid w:val="004E5DA1"/>
    <w:rsid w:val="004E71FF"/>
    <w:rsid w:val="004E7635"/>
    <w:rsid w:val="004F01FD"/>
    <w:rsid w:val="004F04F1"/>
    <w:rsid w:val="004F172E"/>
    <w:rsid w:val="004F1D02"/>
    <w:rsid w:val="004F2679"/>
    <w:rsid w:val="004F2F21"/>
    <w:rsid w:val="004F3DE5"/>
    <w:rsid w:val="004F4A3C"/>
    <w:rsid w:val="004F4AAB"/>
    <w:rsid w:val="004F5F3B"/>
    <w:rsid w:val="004F619A"/>
    <w:rsid w:val="004F66CC"/>
    <w:rsid w:val="004F6913"/>
    <w:rsid w:val="004F7865"/>
    <w:rsid w:val="004F7B16"/>
    <w:rsid w:val="004F7D3A"/>
    <w:rsid w:val="00500217"/>
    <w:rsid w:val="005005EC"/>
    <w:rsid w:val="00500D47"/>
    <w:rsid w:val="0050174E"/>
    <w:rsid w:val="00501854"/>
    <w:rsid w:val="0050219B"/>
    <w:rsid w:val="00503915"/>
    <w:rsid w:val="00503F17"/>
    <w:rsid w:val="00503FB0"/>
    <w:rsid w:val="0050422A"/>
    <w:rsid w:val="00505A22"/>
    <w:rsid w:val="00505D11"/>
    <w:rsid w:val="005068F9"/>
    <w:rsid w:val="00506928"/>
    <w:rsid w:val="00506B8B"/>
    <w:rsid w:val="00507384"/>
    <w:rsid w:val="005076DF"/>
    <w:rsid w:val="005077EF"/>
    <w:rsid w:val="005079A6"/>
    <w:rsid w:val="00507B1B"/>
    <w:rsid w:val="00510B77"/>
    <w:rsid w:val="00511AD5"/>
    <w:rsid w:val="00511C59"/>
    <w:rsid w:val="00511DC7"/>
    <w:rsid w:val="0051294F"/>
    <w:rsid w:val="005134BC"/>
    <w:rsid w:val="005135DA"/>
    <w:rsid w:val="00513AE1"/>
    <w:rsid w:val="005142C5"/>
    <w:rsid w:val="00514DB1"/>
    <w:rsid w:val="0051501B"/>
    <w:rsid w:val="00515136"/>
    <w:rsid w:val="005152B5"/>
    <w:rsid w:val="0051547D"/>
    <w:rsid w:val="00515DE1"/>
    <w:rsid w:val="00517651"/>
    <w:rsid w:val="0052123C"/>
    <w:rsid w:val="00521319"/>
    <w:rsid w:val="00522BC8"/>
    <w:rsid w:val="00523C28"/>
    <w:rsid w:val="005243B3"/>
    <w:rsid w:val="0052501C"/>
    <w:rsid w:val="00526525"/>
    <w:rsid w:val="00526567"/>
    <w:rsid w:val="005266B6"/>
    <w:rsid w:val="005269D8"/>
    <w:rsid w:val="00531158"/>
    <w:rsid w:val="0053176B"/>
    <w:rsid w:val="00531893"/>
    <w:rsid w:val="00534CEC"/>
    <w:rsid w:val="00534F0E"/>
    <w:rsid w:val="00535294"/>
    <w:rsid w:val="00535EEA"/>
    <w:rsid w:val="005366D8"/>
    <w:rsid w:val="00536A2D"/>
    <w:rsid w:val="00536F42"/>
    <w:rsid w:val="00537182"/>
    <w:rsid w:val="00541EDD"/>
    <w:rsid w:val="005423DE"/>
    <w:rsid w:val="00542743"/>
    <w:rsid w:val="00542C2D"/>
    <w:rsid w:val="00543C3A"/>
    <w:rsid w:val="00543E2D"/>
    <w:rsid w:val="00544EA9"/>
    <w:rsid w:val="00546764"/>
    <w:rsid w:val="00547644"/>
    <w:rsid w:val="005478BD"/>
    <w:rsid w:val="005479E3"/>
    <w:rsid w:val="005508FF"/>
    <w:rsid w:val="00551985"/>
    <w:rsid w:val="00552BD3"/>
    <w:rsid w:val="005532A0"/>
    <w:rsid w:val="00554BDB"/>
    <w:rsid w:val="00554EDA"/>
    <w:rsid w:val="00555109"/>
    <w:rsid w:val="00555157"/>
    <w:rsid w:val="00556242"/>
    <w:rsid w:val="00556B35"/>
    <w:rsid w:val="00556E5F"/>
    <w:rsid w:val="0055741A"/>
    <w:rsid w:val="0056016B"/>
    <w:rsid w:val="00560C71"/>
    <w:rsid w:val="005611B7"/>
    <w:rsid w:val="005618D1"/>
    <w:rsid w:val="005618D4"/>
    <w:rsid w:val="005633D5"/>
    <w:rsid w:val="005637D8"/>
    <w:rsid w:val="00564027"/>
    <w:rsid w:val="00564B13"/>
    <w:rsid w:val="00565902"/>
    <w:rsid w:val="00565DF0"/>
    <w:rsid w:val="005661D5"/>
    <w:rsid w:val="005663FF"/>
    <w:rsid w:val="0056696F"/>
    <w:rsid w:val="00567304"/>
    <w:rsid w:val="00571DBB"/>
    <w:rsid w:val="00572269"/>
    <w:rsid w:val="0057244A"/>
    <w:rsid w:val="00572F26"/>
    <w:rsid w:val="00573458"/>
    <w:rsid w:val="00573FA5"/>
    <w:rsid w:val="00574FF4"/>
    <w:rsid w:val="005750C5"/>
    <w:rsid w:val="005752DE"/>
    <w:rsid w:val="00575D8D"/>
    <w:rsid w:val="00576972"/>
    <w:rsid w:val="00576C00"/>
    <w:rsid w:val="00582115"/>
    <w:rsid w:val="00582563"/>
    <w:rsid w:val="00583699"/>
    <w:rsid w:val="00583F9B"/>
    <w:rsid w:val="00584DF8"/>
    <w:rsid w:val="00585CDD"/>
    <w:rsid w:val="00586C92"/>
    <w:rsid w:val="00587058"/>
    <w:rsid w:val="00590AAF"/>
    <w:rsid w:val="00591957"/>
    <w:rsid w:val="00592259"/>
    <w:rsid w:val="005956FC"/>
    <w:rsid w:val="00595F71"/>
    <w:rsid w:val="0059682A"/>
    <w:rsid w:val="00596C84"/>
    <w:rsid w:val="00597881"/>
    <w:rsid w:val="00597BF9"/>
    <w:rsid w:val="005A1823"/>
    <w:rsid w:val="005A2D62"/>
    <w:rsid w:val="005A309A"/>
    <w:rsid w:val="005A32DE"/>
    <w:rsid w:val="005A35A0"/>
    <w:rsid w:val="005A35E1"/>
    <w:rsid w:val="005A373D"/>
    <w:rsid w:val="005A3F98"/>
    <w:rsid w:val="005A4E01"/>
    <w:rsid w:val="005B0B58"/>
    <w:rsid w:val="005B3AAB"/>
    <w:rsid w:val="005B4127"/>
    <w:rsid w:val="005B4E53"/>
    <w:rsid w:val="005B5857"/>
    <w:rsid w:val="005B6CEE"/>
    <w:rsid w:val="005C0558"/>
    <w:rsid w:val="005C0624"/>
    <w:rsid w:val="005C1B83"/>
    <w:rsid w:val="005C25FF"/>
    <w:rsid w:val="005C2D55"/>
    <w:rsid w:val="005C346B"/>
    <w:rsid w:val="005C6532"/>
    <w:rsid w:val="005C689C"/>
    <w:rsid w:val="005D0076"/>
    <w:rsid w:val="005D044D"/>
    <w:rsid w:val="005D0ABD"/>
    <w:rsid w:val="005D17DF"/>
    <w:rsid w:val="005D18AD"/>
    <w:rsid w:val="005D26B4"/>
    <w:rsid w:val="005D420C"/>
    <w:rsid w:val="005D4DCE"/>
    <w:rsid w:val="005E1827"/>
    <w:rsid w:val="005E1BC0"/>
    <w:rsid w:val="005E5681"/>
    <w:rsid w:val="005E57E1"/>
    <w:rsid w:val="005E6CBC"/>
    <w:rsid w:val="005E72FF"/>
    <w:rsid w:val="005E73C0"/>
    <w:rsid w:val="005F04F7"/>
    <w:rsid w:val="005F1772"/>
    <w:rsid w:val="005F26C8"/>
    <w:rsid w:val="005F2706"/>
    <w:rsid w:val="005F3520"/>
    <w:rsid w:val="005F48E8"/>
    <w:rsid w:val="005F6A8F"/>
    <w:rsid w:val="005F6BB7"/>
    <w:rsid w:val="005F6C89"/>
    <w:rsid w:val="005F7052"/>
    <w:rsid w:val="005F7588"/>
    <w:rsid w:val="006018B1"/>
    <w:rsid w:val="00603DB9"/>
    <w:rsid w:val="00604DE4"/>
    <w:rsid w:val="00606FBA"/>
    <w:rsid w:val="00607669"/>
    <w:rsid w:val="006076F4"/>
    <w:rsid w:val="00607AFD"/>
    <w:rsid w:val="006119BD"/>
    <w:rsid w:val="00611FC8"/>
    <w:rsid w:val="00612F97"/>
    <w:rsid w:val="0061345D"/>
    <w:rsid w:val="00614557"/>
    <w:rsid w:val="0061549B"/>
    <w:rsid w:val="00615549"/>
    <w:rsid w:val="0061564C"/>
    <w:rsid w:val="0061565C"/>
    <w:rsid w:val="00616802"/>
    <w:rsid w:val="006172F8"/>
    <w:rsid w:val="00617991"/>
    <w:rsid w:val="00617E12"/>
    <w:rsid w:val="00620C25"/>
    <w:rsid w:val="00621477"/>
    <w:rsid w:val="00621ADA"/>
    <w:rsid w:val="00621D16"/>
    <w:rsid w:val="00622122"/>
    <w:rsid w:val="006235EF"/>
    <w:rsid w:val="00623F7B"/>
    <w:rsid w:val="00624B5A"/>
    <w:rsid w:val="00627F8C"/>
    <w:rsid w:val="00630C9E"/>
    <w:rsid w:val="0063158F"/>
    <w:rsid w:val="00631D6B"/>
    <w:rsid w:val="00632183"/>
    <w:rsid w:val="006330A1"/>
    <w:rsid w:val="00633D2B"/>
    <w:rsid w:val="0063478E"/>
    <w:rsid w:val="0063479F"/>
    <w:rsid w:val="00634F67"/>
    <w:rsid w:val="006353F0"/>
    <w:rsid w:val="0063569B"/>
    <w:rsid w:val="006357B5"/>
    <w:rsid w:val="006362E7"/>
    <w:rsid w:val="006364A1"/>
    <w:rsid w:val="0063678E"/>
    <w:rsid w:val="00637BFD"/>
    <w:rsid w:val="00641842"/>
    <w:rsid w:val="00641C4E"/>
    <w:rsid w:val="00641FB3"/>
    <w:rsid w:val="00642043"/>
    <w:rsid w:val="0064294F"/>
    <w:rsid w:val="006442CB"/>
    <w:rsid w:val="0064434C"/>
    <w:rsid w:val="00644994"/>
    <w:rsid w:val="006471CC"/>
    <w:rsid w:val="00647A29"/>
    <w:rsid w:val="0065079F"/>
    <w:rsid w:val="006507F2"/>
    <w:rsid w:val="00651E61"/>
    <w:rsid w:val="00652A28"/>
    <w:rsid w:val="00653460"/>
    <w:rsid w:val="0065379F"/>
    <w:rsid w:val="006538D9"/>
    <w:rsid w:val="006552CF"/>
    <w:rsid w:val="00656188"/>
    <w:rsid w:val="00656AD8"/>
    <w:rsid w:val="00656F63"/>
    <w:rsid w:val="0065715A"/>
    <w:rsid w:val="0065788E"/>
    <w:rsid w:val="006610F1"/>
    <w:rsid w:val="006618A5"/>
    <w:rsid w:val="00661C6B"/>
    <w:rsid w:val="006648E4"/>
    <w:rsid w:val="00665BEB"/>
    <w:rsid w:val="00667311"/>
    <w:rsid w:val="00667D3A"/>
    <w:rsid w:val="006705E2"/>
    <w:rsid w:val="006706F0"/>
    <w:rsid w:val="00671004"/>
    <w:rsid w:val="00672288"/>
    <w:rsid w:val="00672646"/>
    <w:rsid w:val="0067471A"/>
    <w:rsid w:val="00674E42"/>
    <w:rsid w:val="00676F4B"/>
    <w:rsid w:val="006813F8"/>
    <w:rsid w:val="00682036"/>
    <w:rsid w:val="00682112"/>
    <w:rsid w:val="00682768"/>
    <w:rsid w:val="0068291D"/>
    <w:rsid w:val="00682BA6"/>
    <w:rsid w:val="006830CB"/>
    <w:rsid w:val="006838F2"/>
    <w:rsid w:val="00683DF9"/>
    <w:rsid w:val="00684948"/>
    <w:rsid w:val="0068683E"/>
    <w:rsid w:val="00686957"/>
    <w:rsid w:val="00686A1B"/>
    <w:rsid w:val="006872BA"/>
    <w:rsid w:val="006904D1"/>
    <w:rsid w:val="00690795"/>
    <w:rsid w:val="00690BAD"/>
    <w:rsid w:val="00690CEA"/>
    <w:rsid w:val="006913D1"/>
    <w:rsid w:val="00691648"/>
    <w:rsid w:val="006917D7"/>
    <w:rsid w:val="00691A5D"/>
    <w:rsid w:val="00691E43"/>
    <w:rsid w:val="00692633"/>
    <w:rsid w:val="006934AC"/>
    <w:rsid w:val="0069434C"/>
    <w:rsid w:val="00694F44"/>
    <w:rsid w:val="0069592A"/>
    <w:rsid w:val="00695F87"/>
    <w:rsid w:val="00696708"/>
    <w:rsid w:val="00696F51"/>
    <w:rsid w:val="006979A5"/>
    <w:rsid w:val="006A088C"/>
    <w:rsid w:val="006A1C54"/>
    <w:rsid w:val="006A1E1D"/>
    <w:rsid w:val="006A3D66"/>
    <w:rsid w:val="006A4099"/>
    <w:rsid w:val="006A5573"/>
    <w:rsid w:val="006A5BC3"/>
    <w:rsid w:val="006A68EC"/>
    <w:rsid w:val="006A6B99"/>
    <w:rsid w:val="006A7E5F"/>
    <w:rsid w:val="006B0996"/>
    <w:rsid w:val="006B0B15"/>
    <w:rsid w:val="006B1212"/>
    <w:rsid w:val="006B261B"/>
    <w:rsid w:val="006B2C90"/>
    <w:rsid w:val="006B2D40"/>
    <w:rsid w:val="006B35E6"/>
    <w:rsid w:val="006B3A7F"/>
    <w:rsid w:val="006B465A"/>
    <w:rsid w:val="006B55F5"/>
    <w:rsid w:val="006B608F"/>
    <w:rsid w:val="006B6DD0"/>
    <w:rsid w:val="006C0399"/>
    <w:rsid w:val="006C1935"/>
    <w:rsid w:val="006C1FE1"/>
    <w:rsid w:val="006C2A8E"/>
    <w:rsid w:val="006C2F23"/>
    <w:rsid w:val="006C3146"/>
    <w:rsid w:val="006C3255"/>
    <w:rsid w:val="006C3F26"/>
    <w:rsid w:val="006C4824"/>
    <w:rsid w:val="006D0A77"/>
    <w:rsid w:val="006D0D17"/>
    <w:rsid w:val="006D3C7D"/>
    <w:rsid w:val="006D4659"/>
    <w:rsid w:val="006D553B"/>
    <w:rsid w:val="006D5D5F"/>
    <w:rsid w:val="006D68FB"/>
    <w:rsid w:val="006D7D18"/>
    <w:rsid w:val="006E145A"/>
    <w:rsid w:val="006E1732"/>
    <w:rsid w:val="006E2868"/>
    <w:rsid w:val="006E3648"/>
    <w:rsid w:val="006E44C2"/>
    <w:rsid w:val="006E4D48"/>
    <w:rsid w:val="006E65AF"/>
    <w:rsid w:val="006E6BC0"/>
    <w:rsid w:val="006F306C"/>
    <w:rsid w:val="006F50C5"/>
    <w:rsid w:val="006F592B"/>
    <w:rsid w:val="006F5BEF"/>
    <w:rsid w:val="006F63A5"/>
    <w:rsid w:val="007001D6"/>
    <w:rsid w:val="0070142B"/>
    <w:rsid w:val="00701E5C"/>
    <w:rsid w:val="0070276E"/>
    <w:rsid w:val="00702F8F"/>
    <w:rsid w:val="007034BB"/>
    <w:rsid w:val="0070423E"/>
    <w:rsid w:val="007054EA"/>
    <w:rsid w:val="007079FC"/>
    <w:rsid w:val="007103D6"/>
    <w:rsid w:val="00710AFD"/>
    <w:rsid w:val="00710D6B"/>
    <w:rsid w:val="00710FCE"/>
    <w:rsid w:val="00711A36"/>
    <w:rsid w:val="00711EAC"/>
    <w:rsid w:val="00712817"/>
    <w:rsid w:val="00714C26"/>
    <w:rsid w:val="0071529C"/>
    <w:rsid w:val="00715646"/>
    <w:rsid w:val="00715906"/>
    <w:rsid w:val="00715924"/>
    <w:rsid w:val="00715D5C"/>
    <w:rsid w:val="00715DEF"/>
    <w:rsid w:val="007170DA"/>
    <w:rsid w:val="007172AD"/>
    <w:rsid w:val="0071776B"/>
    <w:rsid w:val="007202F4"/>
    <w:rsid w:val="00720801"/>
    <w:rsid w:val="00721004"/>
    <w:rsid w:val="00721871"/>
    <w:rsid w:val="007218D5"/>
    <w:rsid w:val="00722B04"/>
    <w:rsid w:val="00722B1B"/>
    <w:rsid w:val="0072355C"/>
    <w:rsid w:val="00723C84"/>
    <w:rsid w:val="0072416F"/>
    <w:rsid w:val="0072727E"/>
    <w:rsid w:val="00727C94"/>
    <w:rsid w:val="00730258"/>
    <w:rsid w:val="0073098C"/>
    <w:rsid w:val="00731B0A"/>
    <w:rsid w:val="00731EAE"/>
    <w:rsid w:val="00731FD0"/>
    <w:rsid w:val="00733073"/>
    <w:rsid w:val="007339F3"/>
    <w:rsid w:val="007340BE"/>
    <w:rsid w:val="00735033"/>
    <w:rsid w:val="00735328"/>
    <w:rsid w:val="007363D8"/>
    <w:rsid w:val="0073685B"/>
    <w:rsid w:val="0073718B"/>
    <w:rsid w:val="00741196"/>
    <w:rsid w:val="00741759"/>
    <w:rsid w:val="00741AE0"/>
    <w:rsid w:val="007425E9"/>
    <w:rsid w:val="007438A8"/>
    <w:rsid w:val="00743CEE"/>
    <w:rsid w:val="00743FED"/>
    <w:rsid w:val="00744323"/>
    <w:rsid w:val="007449BF"/>
    <w:rsid w:val="00745179"/>
    <w:rsid w:val="00745918"/>
    <w:rsid w:val="00746259"/>
    <w:rsid w:val="00746876"/>
    <w:rsid w:val="00746BC0"/>
    <w:rsid w:val="00747534"/>
    <w:rsid w:val="007478C4"/>
    <w:rsid w:val="007510B4"/>
    <w:rsid w:val="00752142"/>
    <w:rsid w:val="007523F9"/>
    <w:rsid w:val="007530FA"/>
    <w:rsid w:val="0075357E"/>
    <w:rsid w:val="00755064"/>
    <w:rsid w:val="0075662E"/>
    <w:rsid w:val="007573E8"/>
    <w:rsid w:val="00760445"/>
    <w:rsid w:val="0076047C"/>
    <w:rsid w:val="00760C4E"/>
    <w:rsid w:val="00760F9E"/>
    <w:rsid w:val="007618F5"/>
    <w:rsid w:val="0076212D"/>
    <w:rsid w:val="007627BE"/>
    <w:rsid w:val="00762D6D"/>
    <w:rsid w:val="007630E9"/>
    <w:rsid w:val="007637C0"/>
    <w:rsid w:val="00763A8E"/>
    <w:rsid w:val="00763F45"/>
    <w:rsid w:val="00764F03"/>
    <w:rsid w:val="0076574C"/>
    <w:rsid w:val="007657EC"/>
    <w:rsid w:val="00765B1A"/>
    <w:rsid w:val="00767111"/>
    <w:rsid w:val="00771269"/>
    <w:rsid w:val="00772473"/>
    <w:rsid w:val="007729E4"/>
    <w:rsid w:val="007749AB"/>
    <w:rsid w:val="0077556D"/>
    <w:rsid w:val="00777335"/>
    <w:rsid w:val="0077792E"/>
    <w:rsid w:val="00780480"/>
    <w:rsid w:val="00780DE4"/>
    <w:rsid w:val="007817B4"/>
    <w:rsid w:val="00783690"/>
    <w:rsid w:val="00783BD5"/>
    <w:rsid w:val="007843F2"/>
    <w:rsid w:val="007848E3"/>
    <w:rsid w:val="00785A9F"/>
    <w:rsid w:val="00790295"/>
    <w:rsid w:val="007903FD"/>
    <w:rsid w:val="007913C1"/>
    <w:rsid w:val="007925DF"/>
    <w:rsid w:val="0079279F"/>
    <w:rsid w:val="007942C7"/>
    <w:rsid w:val="00794AFA"/>
    <w:rsid w:val="00795ACA"/>
    <w:rsid w:val="00795EEE"/>
    <w:rsid w:val="00795F65"/>
    <w:rsid w:val="007977B2"/>
    <w:rsid w:val="007A0577"/>
    <w:rsid w:val="007A08AA"/>
    <w:rsid w:val="007A0A12"/>
    <w:rsid w:val="007A1196"/>
    <w:rsid w:val="007A132D"/>
    <w:rsid w:val="007A1345"/>
    <w:rsid w:val="007A15AC"/>
    <w:rsid w:val="007A2DDB"/>
    <w:rsid w:val="007A30E0"/>
    <w:rsid w:val="007A4018"/>
    <w:rsid w:val="007A48B0"/>
    <w:rsid w:val="007A659A"/>
    <w:rsid w:val="007A70BA"/>
    <w:rsid w:val="007B0460"/>
    <w:rsid w:val="007B0D68"/>
    <w:rsid w:val="007B11BC"/>
    <w:rsid w:val="007B1B0A"/>
    <w:rsid w:val="007B251D"/>
    <w:rsid w:val="007B373F"/>
    <w:rsid w:val="007B41FC"/>
    <w:rsid w:val="007B4B4C"/>
    <w:rsid w:val="007B4F58"/>
    <w:rsid w:val="007B528D"/>
    <w:rsid w:val="007B63CA"/>
    <w:rsid w:val="007B64E9"/>
    <w:rsid w:val="007B6B7E"/>
    <w:rsid w:val="007B735D"/>
    <w:rsid w:val="007B77D1"/>
    <w:rsid w:val="007C0141"/>
    <w:rsid w:val="007C04BF"/>
    <w:rsid w:val="007C07C7"/>
    <w:rsid w:val="007C0C4C"/>
    <w:rsid w:val="007C1946"/>
    <w:rsid w:val="007C1CD9"/>
    <w:rsid w:val="007C300F"/>
    <w:rsid w:val="007C32EF"/>
    <w:rsid w:val="007C361D"/>
    <w:rsid w:val="007C43CC"/>
    <w:rsid w:val="007C4B84"/>
    <w:rsid w:val="007C70FF"/>
    <w:rsid w:val="007C7C25"/>
    <w:rsid w:val="007D004F"/>
    <w:rsid w:val="007D0217"/>
    <w:rsid w:val="007D0B38"/>
    <w:rsid w:val="007D25E8"/>
    <w:rsid w:val="007D2FCE"/>
    <w:rsid w:val="007D5440"/>
    <w:rsid w:val="007D59AC"/>
    <w:rsid w:val="007D69EB"/>
    <w:rsid w:val="007D71C7"/>
    <w:rsid w:val="007D7E62"/>
    <w:rsid w:val="007E0A4E"/>
    <w:rsid w:val="007E0E50"/>
    <w:rsid w:val="007E128F"/>
    <w:rsid w:val="007E19A9"/>
    <w:rsid w:val="007E4A6D"/>
    <w:rsid w:val="007E50CD"/>
    <w:rsid w:val="007E5E38"/>
    <w:rsid w:val="007F0A7E"/>
    <w:rsid w:val="007F0D7A"/>
    <w:rsid w:val="007F1017"/>
    <w:rsid w:val="007F240C"/>
    <w:rsid w:val="007F4A3F"/>
    <w:rsid w:val="007F4A61"/>
    <w:rsid w:val="007F5255"/>
    <w:rsid w:val="007F55A1"/>
    <w:rsid w:val="007F56CC"/>
    <w:rsid w:val="007F56F5"/>
    <w:rsid w:val="007F61C2"/>
    <w:rsid w:val="00800E83"/>
    <w:rsid w:val="00801592"/>
    <w:rsid w:val="00801BAF"/>
    <w:rsid w:val="00801EB1"/>
    <w:rsid w:val="008021B2"/>
    <w:rsid w:val="00802C5D"/>
    <w:rsid w:val="00802E34"/>
    <w:rsid w:val="00803A0D"/>
    <w:rsid w:val="00803C67"/>
    <w:rsid w:val="00805142"/>
    <w:rsid w:val="008056FC"/>
    <w:rsid w:val="008059B7"/>
    <w:rsid w:val="00805FCE"/>
    <w:rsid w:val="00806A7A"/>
    <w:rsid w:val="00807A8B"/>
    <w:rsid w:val="00811383"/>
    <w:rsid w:val="00812149"/>
    <w:rsid w:val="00812CAC"/>
    <w:rsid w:val="008135F5"/>
    <w:rsid w:val="00813683"/>
    <w:rsid w:val="0081419C"/>
    <w:rsid w:val="00816361"/>
    <w:rsid w:val="008166EF"/>
    <w:rsid w:val="00816BE5"/>
    <w:rsid w:val="00816EF9"/>
    <w:rsid w:val="00816FEF"/>
    <w:rsid w:val="00820A8C"/>
    <w:rsid w:val="008215FB"/>
    <w:rsid w:val="0082166F"/>
    <w:rsid w:val="00822327"/>
    <w:rsid w:val="00823174"/>
    <w:rsid w:val="00823B59"/>
    <w:rsid w:val="00825751"/>
    <w:rsid w:val="00825DA1"/>
    <w:rsid w:val="008264EB"/>
    <w:rsid w:val="00826937"/>
    <w:rsid w:val="0082789E"/>
    <w:rsid w:val="00832C71"/>
    <w:rsid w:val="00833B05"/>
    <w:rsid w:val="00833F71"/>
    <w:rsid w:val="00834B60"/>
    <w:rsid w:val="008362B4"/>
    <w:rsid w:val="00836A03"/>
    <w:rsid w:val="00836B83"/>
    <w:rsid w:val="00837E3A"/>
    <w:rsid w:val="00840B18"/>
    <w:rsid w:val="00840CA2"/>
    <w:rsid w:val="00841FC5"/>
    <w:rsid w:val="008424F4"/>
    <w:rsid w:val="00842D09"/>
    <w:rsid w:val="0084374F"/>
    <w:rsid w:val="00844248"/>
    <w:rsid w:val="00844A22"/>
    <w:rsid w:val="00844D78"/>
    <w:rsid w:val="00846F2A"/>
    <w:rsid w:val="00847703"/>
    <w:rsid w:val="00847CFE"/>
    <w:rsid w:val="00847DD8"/>
    <w:rsid w:val="00847DF5"/>
    <w:rsid w:val="008505BD"/>
    <w:rsid w:val="0085309D"/>
    <w:rsid w:val="00853308"/>
    <w:rsid w:val="00855CEB"/>
    <w:rsid w:val="008565E8"/>
    <w:rsid w:val="00856897"/>
    <w:rsid w:val="00856E9A"/>
    <w:rsid w:val="00860586"/>
    <w:rsid w:val="0086075D"/>
    <w:rsid w:val="0086165C"/>
    <w:rsid w:val="008621F4"/>
    <w:rsid w:val="00862502"/>
    <w:rsid w:val="00862CC1"/>
    <w:rsid w:val="00863A42"/>
    <w:rsid w:val="00865CC7"/>
    <w:rsid w:val="00865CD1"/>
    <w:rsid w:val="008660D4"/>
    <w:rsid w:val="00867273"/>
    <w:rsid w:val="00867288"/>
    <w:rsid w:val="0086750A"/>
    <w:rsid w:val="008711D6"/>
    <w:rsid w:val="008712AC"/>
    <w:rsid w:val="00871E61"/>
    <w:rsid w:val="00871FA9"/>
    <w:rsid w:val="008722FF"/>
    <w:rsid w:val="0087289E"/>
    <w:rsid w:val="008728E9"/>
    <w:rsid w:val="008757C0"/>
    <w:rsid w:val="008779A7"/>
    <w:rsid w:val="0088052F"/>
    <w:rsid w:val="008818F9"/>
    <w:rsid w:val="00882874"/>
    <w:rsid w:val="00882E3C"/>
    <w:rsid w:val="00883787"/>
    <w:rsid w:val="008855E4"/>
    <w:rsid w:val="00885C07"/>
    <w:rsid w:val="00885F90"/>
    <w:rsid w:val="00885FD9"/>
    <w:rsid w:val="00886592"/>
    <w:rsid w:val="00886ADE"/>
    <w:rsid w:val="00886CD2"/>
    <w:rsid w:val="00890A98"/>
    <w:rsid w:val="00890BEB"/>
    <w:rsid w:val="00891E6F"/>
    <w:rsid w:val="0089275D"/>
    <w:rsid w:val="00892A36"/>
    <w:rsid w:val="00893239"/>
    <w:rsid w:val="00893D6C"/>
    <w:rsid w:val="00894489"/>
    <w:rsid w:val="008952B1"/>
    <w:rsid w:val="008963A5"/>
    <w:rsid w:val="00896D5D"/>
    <w:rsid w:val="0089738D"/>
    <w:rsid w:val="008A29AA"/>
    <w:rsid w:val="008A3363"/>
    <w:rsid w:val="008A3371"/>
    <w:rsid w:val="008A3C3E"/>
    <w:rsid w:val="008A54B2"/>
    <w:rsid w:val="008A6EB5"/>
    <w:rsid w:val="008A79DE"/>
    <w:rsid w:val="008B1757"/>
    <w:rsid w:val="008B2573"/>
    <w:rsid w:val="008B3C86"/>
    <w:rsid w:val="008B473D"/>
    <w:rsid w:val="008B63B6"/>
    <w:rsid w:val="008B7879"/>
    <w:rsid w:val="008B7992"/>
    <w:rsid w:val="008B7D7E"/>
    <w:rsid w:val="008C1AA1"/>
    <w:rsid w:val="008C1F3B"/>
    <w:rsid w:val="008C3F89"/>
    <w:rsid w:val="008C4645"/>
    <w:rsid w:val="008C4D76"/>
    <w:rsid w:val="008C5610"/>
    <w:rsid w:val="008C5739"/>
    <w:rsid w:val="008C69E0"/>
    <w:rsid w:val="008C6B24"/>
    <w:rsid w:val="008C7ECB"/>
    <w:rsid w:val="008D1630"/>
    <w:rsid w:val="008D2E00"/>
    <w:rsid w:val="008D3B86"/>
    <w:rsid w:val="008D4755"/>
    <w:rsid w:val="008D4C3D"/>
    <w:rsid w:val="008D743C"/>
    <w:rsid w:val="008D7B95"/>
    <w:rsid w:val="008E0D3C"/>
    <w:rsid w:val="008E16C3"/>
    <w:rsid w:val="008E1B9E"/>
    <w:rsid w:val="008E284E"/>
    <w:rsid w:val="008E312F"/>
    <w:rsid w:val="008E3923"/>
    <w:rsid w:val="008E3C19"/>
    <w:rsid w:val="008E3EA4"/>
    <w:rsid w:val="008E55AB"/>
    <w:rsid w:val="008F120A"/>
    <w:rsid w:val="008F27E0"/>
    <w:rsid w:val="008F2EBD"/>
    <w:rsid w:val="008F2F5B"/>
    <w:rsid w:val="008F34A4"/>
    <w:rsid w:val="008F4367"/>
    <w:rsid w:val="008F48EB"/>
    <w:rsid w:val="008F4F0B"/>
    <w:rsid w:val="009019E3"/>
    <w:rsid w:val="00901CDD"/>
    <w:rsid w:val="009031BD"/>
    <w:rsid w:val="009046C4"/>
    <w:rsid w:val="009052BD"/>
    <w:rsid w:val="009062A5"/>
    <w:rsid w:val="00906882"/>
    <w:rsid w:val="0091020F"/>
    <w:rsid w:val="00910FA7"/>
    <w:rsid w:val="00911272"/>
    <w:rsid w:val="00911BE4"/>
    <w:rsid w:val="00913123"/>
    <w:rsid w:val="009135D6"/>
    <w:rsid w:val="009142B0"/>
    <w:rsid w:val="00914C77"/>
    <w:rsid w:val="00914EDC"/>
    <w:rsid w:val="00915037"/>
    <w:rsid w:val="00915997"/>
    <w:rsid w:val="00915F45"/>
    <w:rsid w:val="00916BA7"/>
    <w:rsid w:val="00917A00"/>
    <w:rsid w:val="00920BC8"/>
    <w:rsid w:val="00920BEA"/>
    <w:rsid w:val="00921363"/>
    <w:rsid w:val="0092167A"/>
    <w:rsid w:val="00921ACB"/>
    <w:rsid w:val="0092369B"/>
    <w:rsid w:val="00923E80"/>
    <w:rsid w:val="00924FA9"/>
    <w:rsid w:val="00925664"/>
    <w:rsid w:val="009260B3"/>
    <w:rsid w:val="00927633"/>
    <w:rsid w:val="00927CB1"/>
    <w:rsid w:val="00930F4D"/>
    <w:rsid w:val="009319CB"/>
    <w:rsid w:val="009325BE"/>
    <w:rsid w:val="009344FF"/>
    <w:rsid w:val="00934988"/>
    <w:rsid w:val="009356E6"/>
    <w:rsid w:val="00936ED2"/>
    <w:rsid w:val="00937089"/>
    <w:rsid w:val="00937499"/>
    <w:rsid w:val="00942444"/>
    <w:rsid w:val="00943070"/>
    <w:rsid w:val="0094325A"/>
    <w:rsid w:val="00943768"/>
    <w:rsid w:val="00944F8A"/>
    <w:rsid w:val="00945A85"/>
    <w:rsid w:val="00946213"/>
    <w:rsid w:val="00947FF8"/>
    <w:rsid w:val="00950384"/>
    <w:rsid w:val="009510A2"/>
    <w:rsid w:val="00951412"/>
    <w:rsid w:val="00951E5C"/>
    <w:rsid w:val="0095322A"/>
    <w:rsid w:val="00953257"/>
    <w:rsid w:val="00953692"/>
    <w:rsid w:val="0095444B"/>
    <w:rsid w:val="0095474C"/>
    <w:rsid w:val="0095474F"/>
    <w:rsid w:val="00954832"/>
    <w:rsid w:val="00956D26"/>
    <w:rsid w:val="009618AA"/>
    <w:rsid w:val="00961A6E"/>
    <w:rsid w:val="00962CB9"/>
    <w:rsid w:val="00962F85"/>
    <w:rsid w:val="009639FF"/>
    <w:rsid w:val="00964312"/>
    <w:rsid w:val="00965B8A"/>
    <w:rsid w:val="00966011"/>
    <w:rsid w:val="009661AD"/>
    <w:rsid w:val="009671F8"/>
    <w:rsid w:val="00967BEC"/>
    <w:rsid w:val="0097071F"/>
    <w:rsid w:val="009717AC"/>
    <w:rsid w:val="00974133"/>
    <w:rsid w:val="009751C1"/>
    <w:rsid w:val="009768C6"/>
    <w:rsid w:val="00980291"/>
    <w:rsid w:val="009811F1"/>
    <w:rsid w:val="00982FB1"/>
    <w:rsid w:val="00983489"/>
    <w:rsid w:val="00983740"/>
    <w:rsid w:val="00983E57"/>
    <w:rsid w:val="009845A3"/>
    <w:rsid w:val="00984A6F"/>
    <w:rsid w:val="00985AC6"/>
    <w:rsid w:val="00985DE2"/>
    <w:rsid w:val="0098675D"/>
    <w:rsid w:val="00986CED"/>
    <w:rsid w:val="00987AED"/>
    <w:rsid w:val="00990BA2"/>
    <w:rsid w:val="00990D62"/>
    <w:rsid w:val="0099120C"/>
    <w:rsid w:val="009926E0"/>
    <w:rsid w:val="00992B94"/>
    <w:rsid w:val="0099451E"/>
    <w:rsid w:val="00996B1A"/>
    <w:rsid w:val="00996D2C"/>
    <w:rsid w:val="009A1265"/>
    <w:rsid w:val="009A1EBC"/>
    <w:rsid w:val="009A26CB"/>
    <w:rsid w:val="009A26FE"/>
    <w:rsid w:val="009A2DCC"/>
    <w:rsid w:val="009A313C"/>
    <w:rsid w:val="009A5ABC"/>
    <w:rsid w:val="009A68F2"/>
    <w:rsid w:val="009A6A6B"/>
    <w:rsid w:val="009A7F10"/>
    <w:rsid w:val="009B0CAD"/>
    <w:rsid w:val="009B37BD"/>
    <w:rsid w:val="009B3E26"/>
    <w:rsid w:val="009B4403"/>
    <w:rsid w:val="009B447F"/>
    <w:rsid w:val="009B485A"/>
    <w:rsid w:val="009B4B3D"/>
    <w:rsid w:val="009B4D89"/>
    <w:rsid w:val="009B500A"/>
    <w:rsid w:val="009B50B7"/>
    <w:rsid w:val="009B5A1D"/>
    <w:rsid w:val="009C10C7"/>
    <w:rsid w:val="009C3280"/>
    <w:rsid w:val="009C3706"/>
    <w:rsid w:val="009C3A3A"/>
    <w:rsid w:val="009C4A83"/>
    <w:rsid w:val="009C556E"/>
    <w:rsid w:val="009C6CEA"/>
    <w:rsid w:val="009C7271"/>
    <w:rsid w:val="009C7B85"/>
    <w:rsid w:val="009C7F21"/>
    <w:rsid w:val="009D00AD"/>
    <w:rsid w:val="009D0254"/>
    <w:rsid w:val="009D03AC"/>
    <w:rsid w:val="009D1A64"/>
    <w:rsid w:val="009D26FE"/>
    <w:rsid w:val="009D4A00"/>
    <w:rsid w:val="009D5B91"/>
    <w:rsid w:val="009D5E67"/>
    <w:rsid w:val="009D600D"/>
    <w:rsid w:val="009D6B13"/>
    <w:rsid w:val="009D792E"/>
    <w:rsid w:val="009E04FA"/>
    <w:rsid w:val="009E0DFE"/>
    <w:rsid w:val="009E2902"/>
    <w:rsid w:val="009E31F6"/>
    <w:rsid w:val="009E38DC"/>
    <w:rsid w:val="009E3AD6"/>
    <w:rsid w:val="009E4921"/>
    <w:rsid w:val="009E4B49"/>
    <w:rsid w:val="009E4C07"/>
    <w:rsid w:val="009E6864"/>
    <w:rsid w:val="009E7035"/>
    <w:rsid w:val="009F19BA"/>
    <w:rsid w:val="009F5B94"/>
    <w:rsid w:val="009F6347"/>
    <w:rsid w:val="009F6848"/>
    <w:rsid w:val="00A00DE9"/>
    <w:rsid w:val="00A01184"/>
    <w:rsid w:val="00A037C2"/>
    <w:rsid w:val="00A03D43"/>
    <w:rsid w:val="00A0429F"/>
    <w:rsid w:val="00A04380"/>
    <w:rsid w:val="00A05472"/>
    <w:rsid w:val="00A05C32"/>
    <w:rsid w:val="00A062A9"/>
    <w:rsid w:val="00A0653F"/>
    <w:rsid w:val="00A07A83"/>
    <w:rsid w:val="00A11CD0"/>
    <w:rsid w:val="00A12BA6"/>
    <w:rsid w:val="00A13948"/>
    <w:rsid w:val="00A14054"/>
    <w:rsid w:val="00A146B8"/>
    <w:rsid w:val="00A14F0F"/>
    <w:rsid w:val="00A1555B"/>
    <w:rsid w:val="00A155C5"/>
    <w:rsid w:val="00A16AD8"/>
    <w:rsid w:val="00A204D6"/>
    <w:rsid w:val="00A21C95"/>
    <w:rsid w:val="00A21CF3"/>
    <w:rsid w:val="00A22C26"/>
    <w:rsid w:val="00A22EE8"/>
    <w:rsid w:val="00A24813"/>
    <w:rsid w:val="00A27A62"/>
    <w:rsid w:val="00A27AEC"/>
    <w:rsid w:val="00A30B4B"/>
    <w:rsid w:val="00A320DB"/>
    <w:rsid w:val="00A32E15"/>
    <w:rsid w:val="00A331FC"/>
    <w:rsid w:val="00A3590C"/>
    <w:rsid w:val="00A35D16"/>
    <w:rsid w:val="00A36924"/>
    <w:rsid w:val="00A36981"/>
    <w:rsid w:val="00A37680"/>
    <w:rsid w:val="00A3784F"/>
    <w:rsid w:val="00A37BCD"/>
    <w:rsid w:val="00A40B0C"/>
    <w:rsid w:val="00A40B25"/>
    <w:rsid w:val="00A41689"/>
    <w:rsid w:val="00A416A8"/>
    <w:rsid w:val="00A42592"/>
    <w:rsid w:val="00A43C59"/>
    <w:rsid w:val="00A454D9"/>
    <w:rsid w:val="00A463FD"/>
    <w:rsid w:val="00A47C59"/>
    <w:rsid w:val="00A47FAC"/>
    <w:rsid w:val="00A50ECD"/>
    <w:rsid w:val="00A518F3"/>
    <w:rsid w:val="00A51D9E"/>
    <w:rsid w:val="00A51FB9"/>
    <w:rsid w:val="00A52492"/>
    <w:rsid w:val="00A52729"/>
    <w:rsid w:val="00A53484"/>
    <w:rsid w:val="00A53675"/>
    <w:rsid w:val="00A5581A"/>
    <w:rsid w:val="00A56006"/>
    <w:rsid w:val="00A564D7"/>
    <w:rsid w:val="00A56B6A"/>
    <w:rsid w:val="00A578DC"/>
    <w:rsid w:val="00A57BC3"/>
    <w:rsid w:val="00A640E2"/>
    <w:rsid w:val="00A64734"/>
    <w:rsid w:val="00A64D65"/>
    <w:rsid w:val="00A65CCB"/>
    <w:rsid w:val="00A670CE"/>
    <w:rsid w:val="00A6725B"/>
    <w:rsid w:val="00A67415"/>
    <w:rsid w:val="00A70605"/>
    <w:rsid w:val="00A706AA"/>
    <w:rsid w:val="00A7158D"/>
    <w:rsid w:val="00A71A8F"/>
    <w:rsid w:val="00A73134"/>
    <w:rsid w:val="00A76001"/>
    <w:rsid w:val="00A7662E"/>
    <w:rsid w:val="00A777B2"/>
    <w:rsid w:val="00A807C1"/>
    <w:rsid w:val="00A80C1A"/>
    <w:rsid w:val="00A80DD1"/>
    <w:rsid w:val="00A81E42"/>
    <w:rsid w:val="00A82521"/>
    <w:rsid w:val="00A825D4"/>
    <w:rsid w:val="00A82674"/>
    <w:rsid w:val="00A828F6"/>
    <w:rsid w:val="00A82B73"/>
    <w:rsid w:val="00A82EC6"/>
    <w:rsid w:val="00A82F4B"/>
    <w:rsid w:val="00A846BD"/>
    <w:rsid w:val="00A84BDA"/>
    <w:rsid w:val="00A8587A"/>
    <w:rsid w:val="00A86E8B"/>
    <w:rsid w:val="00A87164"/>
    <w:rsid w:val="00A93072"/>
    <w:rsid w:val="00A938BD"/>
    <w:rsid w:val="00A93953"/>
    <w:rsid w:val="00A942E8"/>
    <w:rsid w:val="00A959D8"/>
    <w:rsid w:val="00A96E85"/>
    <w:rsid w:val="00A970BB"/>
    <w:rsid w:val="00A9711E"/>
    <w:rsid w:val="00A97EC7"/>
    <w:rsid w:val="00AA062E"/>
    <w:rsid w:val="00AA113D"/>
    <w:rsid w:val="00AA12D4"/>
    <w:rsid w:val="00AA313C"/>
    <w:rsid w:val="00AA3C03"/>
    <w:rsid w:val="00AA6362"/>
    <w:rsid w:val="00AA6BD5"/>
    <w:rsid w:val="00AA6BD8"/>
    <w:rsid w:val="00AA6C7D"/>
    <w:rsid w:val="00AA6EFC"/>
    <w:rsid w:val="00AA7FD6"/>
    <w:rsid w:val="00AB0359"/>
    <w:rsid w:val="00AB042A"/>
    <w:rsid w:val="00AB09C2"/>
    <w:rsid w:val="00AB19EF"/>
    <w:rsid w:val="00AB26DE"/>
    <w:rsid w:val="00AB2D34"/>
    <w:rsid w:val="00AB3430"/>
    <w:rsid w:val="00AB360B"/>
    <w:rsid w:val="00AB37B9"/>
    <w:rsid w:val="00AB4AD1"/>
    <w:rsid w:val="00AB5319"/>
    <w:rsid w:val="00AB5E07"/>
    <w:rsid w:val="00AB69E3"/>
    <w:rsid w:val="00AB7261"/>
    <w:rsid w:val="00AB7CFA"/>
    <w:rsid w:val="00AC39AC"/>
    <w:rsid w:val="00AC541F"/>
    <w:rsid w:val="00AC55CD"/>
    <w:rsid w:val="00AC5B48"/>
    <w:rsid w:val="00AD1450"/>
    <w:rsid w:val="00AD1BBA"/>
    <w:rsid w:val="00AD4E8D"/>
    <w:rsid w:val="00AD57D6"/>
    <w:rsid w:val="00AD5ACE"/>
    <w:rsid w:val="00AD647E"/>
    <w:rsid w:val="00AD6502"/>
    <w:rsid w:val="00AE026B"/>
    <w:rsid w:val="00AE0695"/>
    <w:rsid w:val="00AE3E7E"/>
    <w:rsid w:val="00AE4670"/>
    <w:rsid w:val="00AE524A"/>
    <w:rsid w:val="00AE6CDE"/>
    <w:rsid w:val="00AE7589"/>
    <w:rsid w:val="00AE7765"/>
    <w:rsid w:val="00AF0046"/>
    <w:rsid w:val="00AF079B"/>
    <w:rsid w:val="00AF1315"/>
    <w:rsid w:val="00AF146A"/>
    <w:rsid w:val="00AF19BF"/>
    <w:rsid w:val="00AF1D77"/>
    <w:rsid w:val="00AF218F"/>
    <w:rsid w:val="00AF2505"/>
    <w:rsid w:val="00AF2DC3"/>
    <w:rsid w:val="00AF5FF8"/>
    <w:rsid w:val="00AF625C"/>
    <w:rsid w:val="00AF6CF4"/>
    <w:rsid w:val="00AF7A75"/>
    <w:rsid w:val="00B01623"/>
    <w:rsid w:val="00B01DCF"/>
    <w:rsid w:val="00B02B3A"/>
    <w:rsid w:val="00B033E5"/>
    <w:rsid w:val="00B03A63"/>
    <w:rsid w:val="00B0466B"/>
    <w:rsid w:val="00B046F9"/>
    <w:rsid w:val="00B052DE"/>
    <w:rsid w:val="00B062E9"/>
    <w:rsid w:val="00B1383B"/>
    <w:rsid w:val="00B13C21"/>
    <w:rsid w:val="00B14A25"/>
    <w:rsid w:val="00B14E79"/>
    <w:rsid w:val="00B15136"/>
    <w:rsid w:val="00B15FE6"/>
    <w:rsid w:val="00B16436"/>
    <w:rsid w:val="00B17012"/>
    <w:rsid w:val="00B201A4"/>
    <w:rsid w:val="00B201D1"/>
    <w:rsid w:val="00B213A6"/>
    <w:rsid w:val="00B21AF9"/>
    <w:rsid w:val="00B21E8A"/>
    <w:rsid w:val="00B22212"/>
    <w:rsid w:val="00B22B4A"/>
    <w:rsid w:val="00B235B0"/>
    <w:rsid w:val="00B23E32"/>
    <w:rsid w:val="00B24DF6"/>
    <w:rsid w:val="00B24E78"/>
    <w:rsid w:val="00B26352"/>
    <w:rsid w:val="00B26391"/>
    <w:rsid w:val="00B273CB"/>
    <w:rsid w:val="00B31531"/>
    <w:rsid w:val="00B31658"/>
    <w:rsid w:val="00B317E2"/>
    <w:rsid w:val="00B3287C"/>
    <w:rsid w:val="00B34FE2"/>
    <w:rsid w:val="00B35166"/>
    <w:rsid w:val="00B357D8"/>
    <w:rsid w:val="00B360F4"/>
    <w:rsid w:val="00B36A00"/>
    <w:rsid w:val="00B37BFC"/>
    <w:rsid w:val="00B37D0F"/>
    <w:rsid w:val="00B40358"/>
    <w:rsid w:val="00B41614"/>
    <w:rsid w:val="00B4181E"/>
    <w:rsid w:val="00B41DC8"/>
    <w:rsid w:val="00B42851"/>
    <w:rsid w:val="00B42F80"/>
    <w:rsid w:val="00B42F89"/>
    <w:rsid w:val="00B435CB"/>
    <w:rsid w:val="00B455E0"/>
    <w:rsid w:val="00B505C8"/>
    <w:rsid w:val="00B50DB8"/>
    <w:rsid w:val="00B53654"/>
    <w:rsid w:val="00B53905"/>
    <w:rsid w:val="00B54516"/>
    <w:rsid w:val="00B54B5B"/>
    <w:rsid w:val="00B5562E"/>
    <w:rsid w:val="00B55D65"/>
    <w:rsid w:val="00B57000"/>
    <w:rsid w:val="00B57CFB"/>
    <w:rsid w:val="00B60939"/>
    <w:rsid w:val="00B60AFD"/>
    <w:rsid w:val="00B615DF"/>
    <w:rsid w:val="00B61C62"/>
    <w:rsid w:val="00B62715"/>
    <w:rsid w:val="00B636C1"/>
    <w:rsid w:val="00B65611"/>
    <w:rsid w:val="00B67BBD"/>
    <w:rsid w:val="00B67BCA"/>
    <w:rsid w:val="00B67C81"/>
    <w:rsid w:val="00B70E8E"/>
    <w:rsid w:val="00B71986"/>
    <w:rsid w:val="00B72F7D"/>
    <w:rsid w:val="00B74C64"/>
    <w:rsid w:val="00B76C92"/>
    <w:rsid w:val="00B76FB7"/>
    <w:rsid w:val="00B77F52"/>
    <w:rsid w:val="00B80659"/>
    <w:rsid w:val="00B818A4"/>
    <w:rsid w:val="00B84117"/>
    <w:rsid w:val="00B8443D"/>
    <w:rsid w:val="00B84DE5"/>
    <w:rsid w:val="00B85238"/>
    <w:rsid w:val="00B858F0"/>
    <w:rsid w:val="00B85AA2"/>
    <w:rsid w:val="00B85EA1"/>
    <w:rsid w:val="00B8649C"/>
    <w:rsid w:val="00B8695D"/>
    <w:rsid w:val="00B86D17"/>
    <w:rsid w:val="00B8762A"/>
    <w:rsid w:val="00B87690"/>
    <w:rsid w:val="00B87B21"/>
    <w:rsid w:val="00B87D09"/>
    <w:rsid w:val="00B87F0A"/>
    <w:rsid w:val="00B90149"/>
    <w:rsid w:val="00B902F9"/>
    <w:rsid w:val="00B90568"/>
    <w:rsid w:val="00B91586"/>
    <w:rsid w:val="00B915A5"/>
    <w:rsid w:val="00B9194D"/>
    <w:rsid w:val="00B92D0B"/>
    <w:rsid w:val="00B930C8"/>
    <w:rsid w:val="00B93A18"/>
    <w:rsid w:val="00B94945"/>
    <w:rsid w:val="00B94DD6"/>
    <w:rsid w:val="00B960AD"/>
    <w:rsid w:val="00B968FB"/>
    <w:rsid w:val="00B96BE6"/>
    <w:rsid w:val="00B97B35"/>
    <w:rsid w:val="00BA010B"/>
    <w:rsid w:val="00BA04D1"/>
    <w:rsid w:val="00BA1129"/>
    <w:rsid w:val="00BA322D"/>
    <w:rsid w:val="00BA63FA"/>
    <w:rsid w:val="00BA7367"/>
    <w:rsid w:val="00BB00B3"/>
    <w:rsid w:val="00BB0BDD"/>
    <w:rsid w:val="00BB176C"/>
    <w:rsid w:val="00BB2A73"/>
    <w:rsid w:val="00BB3536"/>
    <w:rsid w:val="00BB3A45"/>
    <w:rsid w:val="00BB4ACC"/>
    <w:rsid w:val="00BB4ECE"/>
    <w:rsid w:val="00BB5BDA"/>
    <w:rsid w:val="00BB703E"/>
    <w:rsid w:val="00BB732D"/>
    <w:rsid w:val="00BB7405"/>
    <w:rsid w:val="00BB7462"/>
    <w:rsid w:val="00BB7628"/>
    <w:rsid w:val="00BB7B78"/>
    <w:rsid w:val="00BB7FDE"/>
    <w:rsid w:val="00BC0A4B"/>
    <w:rsid w:val="00BC2024"/>
    <w:rsid w:val="00BC3631"/>
    <w:rsid w:val="00BC3F95"/>
    <w:rsid w:val="00BC4E33"/>
    <w:rsid w:val="00BC591F"/>
    <w:rsid w:val="00BC5928"/>
    <w:rsid w:val="00BC5A05"/>
    <w:rsid w:val="00BC5F7A"/>
    <w:rsid w:val="00BC7D6D"/>
    <w:rsid w:val="00BD0EA0"/>
    <w:rsid w:val="00BD2108"/>
    <w:rsid w:val="00BD2565"/>
    <w:rsid w:val="00BD5575"/>
    <w:rsid w:val="00BD630D"/>
    <w:rsid w:val="00BD68A3"/>
    <w:rsid w:val="00BD6938"/>
    <w:rsid w:val="00BD6CF3"/>
    <w:rsid w:val="00BD772F"/>
    <w:rsid w:val="00BE049A"/>
    <w:rsid w:val="00BE0655"/>
    <w:rsid w:val="00BE0ECA"/>
    <w:rsid w:val="00BE1467"/>
    <w:rsid w:val="00BE185F"/>
    <w:rsid w:val="00BE2180"/>
    <w:rsid w:val="00BE21F2"/>
    <w:rsid w:val="00BE2B17"/>
    <w:rsid w:val="00BE33FF"/>
    <w:rsid w:val="00BE4210"/>
    <w:rsid w:val="00BE4275"/>
    <w:rsid w:val="00BE4CD7"/>
    <w:rsid w:val="00BE5409"/>
    <w:rsid w:val="00BE7560"/>
    <w:rsid w:val="00BF06AE"/>
    <w:rsid w:val="00BF0F72"/>
    <w:rsid w:val="00BF0F95"/>
    <w:rsid w:val="00BF1CC8"/>
    <w:rsid w:val="00BF21EC"/>
    <w:rsid w:val="00BF2433"/>
    <w:rsid w:val="00BF49BD"/>
    <w:rsid w:val="00BF4B34"/>
    <w:rsid w:val="00BF548A"/>
    <w:rsid w:val="00BF61C9"/>
    <w:rsid w:val="00BF6C94"/>
    <w:rsid w:val="00C00424"/>
    <w:rsid w:val="00C00D15"/>
    <w:rsid w:val="00C01075"/>
    <w:rsid w:val="00C0780F"/>
    <w:rsid w:val="00C07F5B"/>
    <w:rsid w:val="00C07F9B"/>
    <w:rsid w:val="00C07FC2"/>
    <w:rsid w:val="00C1179F"/>
    <w:rsid w:val="00C11F3B"/>
    <w:rsid w:val="00C127DF"/>
    <w:rsid w:val="00C12C14"/>
    <w:rsid w:val="00C13C44"/>
    <w:rsid w:val="00C13D4F"/>
    <w:rsid w:val="00C13D8E"/>
    <w:rsid w:val="00C15562"/>
    <w:rsid w:val="00C15629"/>
    <w:rsid w:val="00C15F04"/>
    <w:rsid w:val="00C179B3"/>
    <w:rsid w:val="00C17E3F"/>
    <w:rsid w:val="00C200AA"/>
    <w:rsid w:val="00C20544"/>
    <w:rsid w:val="00C2069A"/>
    <w:rsid w:val="00C20CF9"/>
    <w:rsid w:val="00C20E94"/>
    <w:rsid w:val="00C236EC"/>
    <w:rsid w:val="00C237ED"/>
    <w:rsid w:val="00C24632"/>
    <w:rsid w:val="00C252C5"/>
    <w:rsid w:val="00C25418"/>
    <w:rsid w:val="00C25BEE"/>
    <w:rsid w:val="00C25D9C"/>
    <w:rsid w:val="00C25FB5"/>
    <w:rsid w:val="00C2778B"/>
    <w:rsid w:val="00C31009"/>
    <w:rsid w:val="00C31649"/>
    <w:rsid w:val="00C33398"/>
    <w:rsid w:val="00C33EA7"/>
    <w:rsid w:val="00C340CA"/>
    <w:rsid w:val="00C34175"/>
    <w:rsid w:val="00C3434C"/>
    <w:rsid w:val="00C344E9"/>
    <w:rsid w:val="00C3791A"/>
    <w:rsid w:val="00C40385"/>
    <w:rsid w:val="00C4111C"/>
    <w:rsid w:val="00C4135F"/>
    <w:rsid w:val="00C416EE"/>
    <w:rsid w:val="00C41768"/>
    <w:rsid w:val="00C44EA1"/>
    <w:rsid w:val="00C4635B"/>
    <w:rsid w:val="00C46FD5"/>
    <w:rsid w:val="00C475AA"/>
    <w:rsid w:val="00C47BC5"/>
    <w:rsid w:val="00C50430"/>
    <w:rsid w:val="00C508B1"/>
    <w:rsid w:val="00C521D5"/>
    <w:rsid w:val="00C5256D"/>
    <w:rsid w:val="00C52C82"/>
    <w:rsid w:val="00C53942"/>
    <w:rsid w:val="00C53C98"/>
    <w:rsid w:val="00C54148"/>
    <w:rsid w:val="00C55BFC"/>
    <w:rsid w:val="00C56FCF"/>
    <w:rsid w:val="00C57360"/>
    <w:rsid w:val="00C57B6C"/>
    <w:rsid w:val="00C603E2"/>
    <w:rsid w:val="00C606A6"/>
    <w:rsid w:val="00C610D5"/>
    <w:rsid w:val="00C61FD2"/>
    <w:rsid w:val="00C628A6"/>
    <w:rsid w:val="00C63BD0"/>
    <w:rsid w:val="00C64344"/>
    <w:rsid w:val="00C65108"/>
    <w:rsid w:val="00C6535B"/>
    <w:rsid w:val="00C65576"/>
    <w:rsid w:val="00C65594"/>
    <w:rsid w:val="00C65CCD"/>
    <w:rsid w:val="00C66165"/>
    <w:rsid w:val="00C678A8"/>
    <w:rsid w:val="00C7060A"/>
    <w:rsid w:val="00C7151A"/>
    <w:rsid w:val="00C717E3"/>
    <w:rsid w:val="00C71F60"/>
    <w:rsid w:val="00C72241"/>
    <w:rsid w:val="00C74178"/>
    <w:rsid w:val="00C74804"/>
    <w:rsid w:val="00C750C8"/>
    <w:rsid w:val="00C7560F"/>
    <w:rsid w:val="00C76AF2"/>
    <w:rsid w:val="00C8025B"/>
    <w:rsid w:val="00C80A0E"/>
    <w:rsid w:val="00C8213F"/>
    <w:rsid w:val="00C82242"/>
    <w:rsid w:val="00C82A8A"/>
    <w:rsid w:val="00C85154"/>
    <w:rsid w:val="00C85CC4"/>
    <w:rsid w:val="00C8797A"/>
    <w:rsid w:val="00C900B8"/>
    <w:rsid w:val="00C90C71"/>
    <w:rsid w:val="00C91FD1"/>
    <w:rsid w:val="00C92CC5"/>
    <w:rsid w:val="00C931CF"/>
    <w:rsid w:val="00C93202"/>
    <w:rsid w:val="00C93702"/>
    <w:rsid w:val="00C938CF"/>
    <w:rsid w:val="00C94053"/>
    <w:rsid w:val="00C9624D"/>
    <w:rsid w:val="00C969DA"/>
    <w:rsid w:val="00C96D5E"/>
    <w:rsid w:val="00CA0A48"/>
    <w:rsid w:val="00CA0AA3"/>
    <w:rsid w:val="00CA2865"/>
    <w:rsid w:val="00CA2BA8"/>
    <w:rsid w:val="00CA2C77"/>
    <w:rsid w:val="00CA3748"/>
    <w:rsid w:val="00CA444F"/>
    <w:rsid w:val="00CA5245"/>
    <w:rsid w:val="00CA71F4"/>
    <w:rsid w:val="00CA7B09"/>
    <w:rsid w:val="00CA7DFF"/>
    <w:rsid w:val="00CB058F"/>
    <w:rsid w:val="00CB0CE8"/>
    <w:rsid w:val="00CB12A5"/>
    <w:rsid w:val="00CB1CAC"/>
    <w:rsid w:val="00CB2F2A"/>
    <w:rsid w:val="00CB4C8F"/>
    <w:rsid w:val="00CB581B"/>
    <w:rsid w:val="00CB58C7"/>
    <w:rsid w:val="00CB5A8C"/>
    <w:rsid w:val="00CB5B1A"/>
    <w:rsid w:val="00CB5CDB"/>
    <w:rsid w:val="00CB663D"/>
    <w:rsid w:val="00CB6B22"/>
    <w:rsid w:val="00CB73BD"/>
    <w:rsid w:val="00CB7F5F"/>
    <w:rsid w:val="00CC075F"/>
    <w:rsid w:val="00CC0FBE"/>
    <w:rsid w:val="00CC1229"/>
    <w:rsid w:val="00CC1B39"/>
    <w:rsid w:val="00CC292D"/>
    <w:rsid w:val="00CC35EA"/>
    <w:rsid w:val="00CC3848"/>
    <w:rsid w:val="00CC61D3"/>
    <w:rsid w:val="00CC7634"/>
    <w:rsid w:val="00CC78AC"/>
    <w:rsid w:val="00CD0C66"/>
    <w:rsid w:val="00CD1222"/>
    <w:rsid w:val="00CD1602"/>
    <w:rsid w:val="00CD1F94"/>
    <w:rsid w:val="00CD3422"/>
    <w:rsid w:val="00CD3C04"/>
    <w:rsid w:val="00CD3F77"/>
    <w:rsid w:val="00CD6ADC"/>
    <w:rsid w:val="00CD7193"/>
    <w:rsid w:val="00CD7BBB"/>
    <w:rsid w:val="00CE00D0"/>
    <w:rsid w:val="00CE1243"/>
    <w:rsid w:val="00CE26C3"/>
    <w:rsid w:val="00CE38C8"/>
    <w:rsid w:val="00CE6274"/>
    <w:rsid w:val="00CE7524"/>
    <w:rsid w:val="00CE77B6"/>
    <w:rsid w:val="00CF0274"/>
    <w:rsid w:val="00CF17F7"/>
    <w:rsid w:val="00CF1EC2"/>
    <w:rsid w:val="00CF2B8D"/>
    <w:rsid w:val="00CF3453"/>
    <w:rsid w:val="00CF456B"/>
    <w:rsid w:val="00CF5226"/>
    <w:rsid w:val="00CF5A22"/>
    <w:rsid w:val="00CF5ADC"/>
    <w:rsid w:val="00CF62AB"/>
    <w:rsid w:val="00CF6CDB"/>
    <w:rsid w:val="00CF7A7A"/>
    <w:rsid w:val="00D0061A"/>
    <w:rsid w:val="00D01AB0"/>
    <w:rsid w:val="00D0262E"/>
    <w:rsid w:val="00D048D9"/>
    <w:rsid w:val="00D05757"/>
    <w:rsid w:val="00D05E3D"/>
    <w:rsid w:val="00D06139"/>
    <w:rsid w:val="00D110BD"/>
    <w:rsid w:val="00D13675"/>
    <w:rsid w:val="00D141E1"/>
    <w:rsid w:val="00D15314"/>
    <w:rsid w:val="00D166F5"/>
    <w:rsid w:val="00D168BD"/>
    <w:rsid w:val="00D17491"/>
    <w:rsid w:val="00D17CA8"/>
    <w:rsid w:val="00D17D6C"/>
    <w:rsid w:val="00D20FF2"/>
    <w:rsid w:val="00D2155B"/>
    <w:rsid w:val="00D237A8"/>
    <w:rsid w:val="00D23B25"/>
    <w:rsid w:val="00D23D11"/>
    <w:rsid w:val="00D244B6"/>
    <w:rsid w:val="00D244EF"/>
    <w:rsid w:val="00D24A78"/>
    <w:rsid w:val="00D25E33"/>
    <w:rsid w:val="00D26748"/>
    <w:rsid w:val="00D2690D"/>
    <w:rsid w:val="00D27059"/>
    <w:rsid w:val="00D2754D"/>
    <w:rsid w:val="00D27B27"/>
    <w:rsid w:val="00D3065D"/>
    <w:rsid w:val="00D3089D"/>
    <w:rsid w:val="00D3161D"/>
    <w:rsid w:val="00D330F1"/>
    <w:rsid w:val="00D33168"/>
    <w:rsid w:val="00D33BE9"/>
    <w:rsid w:val="00D33F93"/>
    <w:rsid w:val="00D34C1F"/>
    <w:rsid w:val="00D357FF"/>
    <w:rsid w:val="00D35970"/>
    <w:rsid w:val="00D42387"/>
    <w:rsid w:val="00D424C7"/>
    <w:rsid w:val="00D431F1"/>
    <w:rsid w:val="00D43707"/>
    <w:rsid w:val="00D43AC2"/>
    <w:rsid w:val="00D43B2A"/>
    <w:rsid w:val="00D43D83"/>
    <w:rsid w:val="00D43FFC"/>
    <w:rsid w:val="00D44454"/>
    <w:rsid w:val="00D4697F"/>
    <w:rsid w:val="00D47575"/>
    <w:rsid w:val="00D50393"/>
    <w:rsid w:val="00D504F3"/>
    <w:rsid w:val="00D51431"/>
    <w:rsid w:val="00D51540"/>
    <w:rsid w:val="00D5243B"/>
    <w:rsid w:val="00D52F40"/>
    <w:rsid w:val="00D533E0"/>
    <w:rsid w:val="00D533EC"/>
    <w:rsid w:val="00D5388A"/>
    <w:rsid w:val="00D5389F"/>
    <w:rsid w:val="00D53A06"/>
    <w:rsid w:val="00D552BD"/>
    <w:rsid w:val="00D55738"/>
    <w:rsid w:val="00D5574C"/>
    <w:rsid w:val="00D56A95"/>
    <w:rsid w:val="00D60602"/>
    <w:rsid w:val="00D60A64"/>
    <w:rsid w:val="00D61923"/>
    <w:rsid w:val="00D61A8D"/>
    <w:rsid w:val="00D645EB"/>
    <w:rsid w:val="00D64D25"/>
    <w:rsid w:val="00D66799"/>
    <w:rsid w:val="00D70E57"/>
    <w:rsid w:val="00D70F16"/>
    <w:rsid w:val="00D72F57"/>
    <w:rsid w:val="00D740B1"/>
    <w:rsid w:val="00D76A44"/>
    <w:rsid w:val="00D77127"/>
    <w:rsid w:val="00D7721F"/>
    <w:rsid w:val="00D802BF"/>
    <w:rsid w:val="00D815EF"/>
    <w:rsid w:val="00D81F26"/>
    <w:rsid w:val="00D83000"/>
    <w:rsid w:val="00D834C9"/>
    <w:rsid w:val="00D83E8F"/>
    <w:rsid w:val="00D847BF"/>
    <w:rsid w:val="00D857B9"/>
    <w:rsid w:val="00D86231"/>
    <w:rsid w:val="00D87558"/>
    <w:rsid w:val="00D90610"/>
    <w:rsid w:val="00D90CEF"/>
    <w:rsid w:val="00D91923"/>
    <w:rsid w:val="00D92488"/>
    <w:rsid w:val="00D93753"/>
    <w:rsid w:val="00D961EC"/>
    <w:rsid w:val="00D964FE"/>
    <w:rsid w:val="00DA16DF"/>
    <w:rsid w:val="00DA2E36"/>
    <w:rsid w:val="00DA3167"/>
    <w:rsid w:val="00DA4AB0"/>
    <w:rsid w:val="00DA4B09"/>
    <w:rsid w:val="00DA4DC3"/>
    <w:rsid w:val="00DA773B"/>
    <w:rsid w:val="00DA77A5"/>
    <w:rsid w:val="00DB0DB8"/>
    <w:rsid w:val="00DB18ED"/>
    <w:rsid w:val="00DB34E8"/>
    <w:rsid w:val="00DB3DBF"/>
    <w:rsid w:val="00DB484F"/>
    <w:rsid w:val="00DB4E3F"/>
    <w:rsid w:val="00DB5470"/>
    <w:rsid w:val="00DB5729"/>
    <w:rsid w:val="00DB6803"/>
    <w:rsid w:val="00DB7FF4"/>
    <w:rsid w:val="00DC04F6"/>
    <w:rsid w:val="00DC0690"/>
    <w:rsid w:val="00DC1C1D"/>
    <w:rsid w:val="00DC1D65"/>
    <w:rsid w:val="00DC2B89"/>
    <w:rsid w:val="00DC3C57"/>
    <w:rsid w:val="00DC5501"/>
    <w:rsid w:val="00DC6988"/>
    <w:rsid w:val="00DC7154"/>
    <w:rsid w:val="00DC7E8A"/>
    <w:rsid w:val="00DD0469"/>
    <w:rsid w:val="00DD0C8A"/>
    <w:rsid w:val="00DD0D92"/>
    <w:rsid w:val="00DD0F78"/>
    <w:rsid w:val="00DD273C"/>
    <w:rsid w:val="00DD390A"/>
    <w:rsid w:val="00DD3D61"/>
    <w:rsid w:val="00DD3F28"/>
    <w:rsid w:val="00DD4537"/>
    <w:rsid w:val="00DD4BC2"/>
    <w:rsid w:val="00DD4E15"/>
    <w:rsid w:val="00DD710B"/>
    <w:rsid w:val="00DE0085"/>
    <w:rsid w:val="00DE0208"/>
    <w:rsid w:val="00DE0993"/>
    <w:rsid w:val="00DE0C7D"/>
    <w:rsid w:val="00DE2304"/>
    <w:rsid w:val="00DE2C3D"/>
    <w:rsid w:val="00DE3138"/>
    <w:rsid w:val="00DE37F8"/>
    <w:rsid w:val="00DE43F9"/>
    <w:rsid w:val="00DE4FCB"/>
    <w:rsid w:val="00DE5D07"/>
    <w:rsid w:val="00DE72A7"/>
    <w:rsid w:val="00DE7832"/>
    <w:rsid w:val="00DF04F7"/>
    <w:rsid w:val="00DF18FC"/>
    <w:rsid w:val="00DF1A71"/>
    <w:rsid w:val="00DF2667"/>
    <w:rsid w:val="00DF42F0"/>
    <w:rsid w:val="00DF46FC"/>
    <w:rsid w:val="00DF4C38"/>
    <w:rsid w:val="00DF4FD5"/>
    <w:rsid w:val="00DF5D2B"/>
    <w:rsid w:val="00DF7099"/>
    <w:rsid w:val="00E00AE4"/>
    <w:rsid w:val="00E00E8E"/>
    <w:rsid w:val="00E020B9"/>
    <w:rsid w:val="00E03FD6"/>
    <w:rsid w:val="00E05630"/>
    <w:rsid w:val="00E0592A"/>
    <w:rsid w:val="00E06847"/>
    <w:rsid w:val="00E06DBB"/>
    <w:rsid w:val="00E100F1"/>
    <w:rsid w:val="00E10149"/>
    <w:rsid w:val="00E1130E"/>
    <w:rsid w:val="00E11340"/>
    <w:rsid w:val="00E11AFD"/>
    <w:rsid w:val="00E122A1"/>
    <w:rsid w:val="00E128B7"/>
    <w:rsid w:val="00E130B1"/>
    <w:rsid w:val="00E1341F"/>
    <w:rsid w:val="00E13438"/>
    <w:rsid w:val="00E13482"/>
    <w:rsid w:val="00E16372"/>
    <w:rsid w:val="00E1687E"/>
    <w:rsid w:val="00E16B6A"/>
    <w:rsid w:val="00E17AA8"/>
    <w:rsid w:val="00E20667"/>
    <w:rsid w:val="00E20A31"/>
    <w:rsid w:val="00E20E4D"/>
    <w:rsid w:val="00E20ED6"/>
    <w:rsid w:val="00E21358"/>
    <w:rsid w:val="00E219E8"/>
    <w:rsid w:val="00E2249B"/>
    <w:rsid w:val="00E22A0D"/>
    <w:rsid w:val="00E22FD7"/>
    <w:rsid w:val="00E23B26"/>
    <w:rsid w:val="00E244F6"/>
    <w:rsid w:val="00E25B55"/>
    <w:rsid w:val="00E267D2"/>
    <w:rsid w:val="00E2719C"/>
    <w:rsid w:val="00E2746F"/>
    <w:rsid w:val="00E276ED"/>
    <w:rsid w:val="00E2771E"/>
    <w:rsid w:val="00E3039C"/>
    <w:rsid w:val="00E30A57"/>
    <w:rsid w:val="00E30B89"/>
    <w:rsid w:val="00E311EF"/>
    <w:rsid w:val="00E316BF"/>
    <w:rsid w:val="00E31C19"/>
    <w:rsid w:val="00E32134"/>
    <w:rsid w:val="00E32180"/>
    <w:rsid w:val="00E325A0"/>
    <w:rsid w:val="00E3313F"/>
    <w:rsid w:val="00E33360"/>
    <w:rsid w:val="00E33709"/>
    <w:rsid w:val="00E33A32"/>
    <w:rsid w:val="00E33D13"/>
    <w:rsid w:val="00E3431E"/>
    <w:rsid w:val="00E344A9"/>
    <w:rsid w:val="00E34948"/>
    <w:rsid w:val="00E34A30"/>
    <w:rsid w:val="00E37510"/>
    <w:rsid w:val="00E37569"/>
    <w:rsid w:val="00E401B2"/>
    <w:rsid w:val="00E404A3"/>
    <w:rsid w:val="00E41E30"/>
    <w:rsid w:val="00E42C83"/>
    <w:rsid w:val="00E42F73"/>
    <w:rsid w:val="00E438AB"/>
    <w:rsid w:val="00E43D70"/>
    <w:rsid w:val="00E440AB"/>
    <w:rsid w:val="00E44203"/>
    <w:rsid w:val="00E4539C"/>
    <w:rsid w:val="00E46008"/>
    <w:rsid w:val="00E466F3"/>
    <w:rsid w:val="00E47B2C"/>
    <w:rsid w:val="00E47DB2"/>
    <w:rsid w:val="00E5011F"/>
    <w:rsid w:val="00E51560"/>
    <w:rsid w:val="00E51973"/>
    <w:rsid w:val="00E533A1"/>
    <w:rsid w:val="00E53FC8"/>
    <w:rsid w:val="00E54187"/>
    <w:rsid w:val="00E54347"/>
    <w:rsid w:val="00E55424"/>
    <w:rsid w:val="00E55915"/>
    <w:rsid w:val="00E55BB5"/>
    <w:rsid w:val="00E568F1"/>
    <w:rsid w:val="00E61A9C"/>
    <w:rsid w:val="00E61BE3"/>
    <w:rsid w:val="00E63377"/>
    <w:rsid w:val="00E64033"/>
    <w:rsid w:val="00E645DD"/>
    <w:rsid w:val="00E64BCA"/>
    <w:rsid w:val="00E65E79"/>
    <w:rsid w:val="00E6653C"/>
    <w:rsid w:val="00E66BA2"/>
    <w:rsid w:val="00E67416"/>
    <w:rsid w:val="00E718B6"/>
    <w:rsid w:val="00E723BA"/>
    <w:rsid w:val="00E732B4"/>
    <w:rsid w:val="00E73581"/>
    <w:rsid w:val="00E7562F"/>
    <w:rsid w:val="00E760A4"/>
    <w:rsid w:val="00E77BCF"/>
    <w:rsid w:val="00E77E77"/>
    <w:rsid w:val="00E80060"/>
    <w:rsid w:val="00E803AD"/>
    <w:rsid w:val="00E81A12"/>
    <w:rsid w:val="00E81B64"/>
    <w:rsid w:val="00E833F7"/>
    <w:rsid w:val="00E83967"/>
    <w:rsid w:val="00E83BDF"/>
    <w:rsid w:val="00E86356"/>
    <w:rsid w:val="00E8682E"/>
    <w:rsid w:val="00E8799D"/>
    <w:rsid w:val="00E87A1D"/>
    <w:rsid w:val="00E90635"/>
    <w:rsid w:val="00E9094A"/>
    <w:rsid w:val="00E91D35"/>
    <w:rsid w:val="00E926A5"/>
    <w:rsid w:val="00E9288A"/>
    <w:rsid w:val="00E928FB"/>
    <w:rsid w:val="00E93D5A"/>
    <w:rsid w:val="00E9413B"/>
    <w:rsid w:val="00E9702A"/>
    <w:rsid w:val="00EA17C3"/>
    <w:rsid w:val="00EA2CAA"/>
    <w:rsid w:val="00EA319F"/>
    <w:rsid w:val="00EA3864"/>
    <w:rsid w:val="00EA3B8C"/>
    <w:rsid w:val="00EA4117"/>
    <w:rsid w:val="00EA590A"/>
    <w:rsid w:val="00EA7F1C"/>
    <w:rsid w:val="00EB15B6"/>
    <w:rsid w:val="00EB2163"/>
    <w:rsid w:val="00EB2BE2"/>
    <w:rsid w:val="00EB305C"/>
    <w:rsid w:val="00EB32FD"/>
    <w:rsid w:val="00EB3D06"/>
    <w:rsid w:val="00EB4916"/>
    <w:rsid w:val="00EC00C9"/>
    <w:rsid w:val="00EC0A7C"/>
    <w:rsid w:val="00EC0DD9"/>
    <w:rsid w:val="00EC2649"/>
    <w:rsid w:val="00EC31ED"/>
    <w:rsid w:val="00EC4F93"/>
    <w:rsid w:val="00EC5836"/>
    <w:rsid w:val="00EC5AB6"/>
    <w:rsid w:val="00EC688C"/>
    <w:rsid w:val="00EC7881"/>
    <w:rsid w:val="00ED0CC1"/>
    <w:rsid w:val="00ED492B"/>
    <w:rsid w:val="00ED4CD2"/>
    <w:rsid w:val="00ED4E2D"/>
    <w:rsid w:val="00ED500E"/>
    <w:rsid w:val="00ED57EA"/>
    <w:rsid w:val="00ED5BD4"/>
    <w:rsid w:val="00EE07D3"/>
    <w:rsid w:val="00EE17EE"/>
    <w:rsid w:val="00EE1996"/>
    <w:rsid w:val="00EE1AFE"/>
    <w:rsid w:val="00EE1C01"/>
    <w:rsid w:val="00EE22AF"/>
    <w:rsid w:val="00EE256B"/>
    <w:rsid w:val="00EE3773"/>
    <w:rsid w:val="00EE47AB"/>
    <w:rsid w:val="00EE4CD0"/>
    <w:rsid w:val="00EE576B"/>
    <w:rsid w:val="00EE77F9"/>
    <w:rsid w:val="00EF0171"/>
    <w:rsid w:val="00EF034E"/>
    <w:rsid w:val="00EF1B25"/>
    <w:rsid w:val="00EF1DA0"/>
    <w:rsid w:val="00EF4747"/>
    <w:rsid w:val="00EF4BF8"/>
    <w:rsid w:val="00EF4CC5"/>
    <w:rsid w:val="00EF4E96"/>
    <w:rsid w:val="00EF531B"/>
    <w:rsid w:val="00EF742C"/>
    <w:rsid w:val="00EF782B"/>
    <w:rsid w:val="00F02253"/>
    <w:rsid w:val="00F03C2E"/>
    <w:rsid w:val="00F04A66"/>
    <w:rsid w:val="00F04B4B"/>
    <w:rsid w:val="00F0516C"/>
    <w:rsid w:val="00F067A2"/>
    <w:rsid w:val="00F07B9E"/>
    <w:rsid w:val="00F1116F"/>
    <w:rsid w:val="00F11403"/>
    <w:rsid w:val="00F1263A"/>
    <w:rsid w:val="00F14E73"/>
    <w:rsid w:val="00F15328"/>
    <w:rsid w:val="00F15B77"/>
    <w:rsid w:val="00F16AB3"/>
    <w:rsid w:val="00F201FC"/>
    <w:rsid w:val="00F20D0F"/>
    <w:rsid w:val="00F214C0"/>
    <w:rsid w:val="00F214C9"/>
    <w:rsid w:val="00F21DD4"/>
    <w:rsid w:val="00F23025"/>
    <w:rsid w:val="00F24837"/>
    <w:rsid w:val="00F24D78"/>
    <w:rsid w:val="00F2575F"/>
    <w:rsid w:val="00F26CE9"/>
    <w:rsid w:val="00F27565"/>
    <w:rsid w:val="00F308CF"/>
    <w:rsid w:val="00F310D4"/>
    <w:rsid w:val="00F312E2"/>
    <w:rsid w:val="00F31D5A"/>
    <w:rsid w:val="00F337FD"/>
    <w:rsid w:val="00F33975"/>
    <w:rsid w:val="00F33BB7"/>
    <w:rsid w:val="00F33DE9"/>
    <w:rsid w:val="00F33F29"/>
    <w:rsid w:val="00F35E6D"/>
    <w:rsid w:val="00F3619A"/>
    <w:rsid w:val="00F37438"/>
    <w:rsid w:val="00F377C4"/>
    <w:rsid w:val="00F40AAA"/>
    <w:rsid w:val="00F40BA7"/>
    <w:rsid w:val="00F40D0B"/>
    <w:rsid w:val="00F40F9D"/>
    <w:rsid w:val="00F41ACD"/>
    <w:rsid w:val="00F4422F"/>
    <w:rsid w:val="00F46130"/>
    <w:rsid w:val="00F46CB6"/>
    <w:rsid w:val="00F4716A"/>
    <w:rsid w:val="00F4756D"/>
    <w:rsid w:val="00F47DE8"/>
    <w:rsid w:val="00F50C81"/>
    <w:rsid w:val="00F522E8"/>
    <w:rsid w:val="00F53137"/>
    <w:rsid w:val="00F542C1"/>
    <w:rsid w:val="00F55040"/>
    <w:rsid w:val="00F55E73"/>
    <w:rsid w:val="00F55EDA"/>
    <w:rsid w:val="00F56A5F"/>
    <w:rsid w:val="00F56C15"/>
    <w:rsid w:val="00F56C80"/>
    <w:rsid w:val="00F57D92"/>
    <w:rsid w:val="00F60092"/>
    <w:rsid w:val="00F6063D"/>
    <w:rsid w:val="00F609D0"/>
    <w:rsid w:val="00F61C18"/>
    <w:rsid w:val="00F61C6D"/>
    <w:rsid w:val="00F62710"/>
    <w:rsid w:val="00F64C28"/>
    <w:rsid w:val="00F64E03"/>
    <w:rsid w:val="00F65F4B"/>
    <w:rsid w:val="00F67035"/>
    <w:rsid w:val="00F67A69"/>
    <w:rsid w:val="00F704ED"/>
    <w:rsid w:val="00F70BFF"/>
    <w:rsid w:val="00F70C9D"/>
    <w:rsid w:val="00F71906"/>
    <w:rsid w:val="00F73D58"/>
    <w:rsid w:val="00F747F5"/>
    <w:rsid w:val="00F74CD9"/>
    <w:rsid w:val="00F74D34"/>
    <w:rsid w:val="00F769D9"/>
    <w:rsid w:val="00F80A7B"/>
    <w:rsid w:val="00F80C89"/>
    <w:rsid w:val="00F80E3B"/>
    <w:rsid w:val="00F80E5D"/>
    <w:rsid w:val="00F81AAC"/>
    <w:rsid w:val="00F81E78"/>
    <w:rsid w:val="00F82032"/>
    <w:rsid w:val="00F82CA2"/>
    <w:rsid w:val="00F84106"/>
    <w:rsid w:val="00F84B16"/>
    <w:rsid w:val="00F851CE"/>
    <w:rsid w:val="00F8567E"/>
    <w:rsid w:val="00F8572E"/>
    <w:rsid w:val="00F85D02"/>
    <w:rsid w:val="00F91219"/>
    <w:rsid w:val="00F91A10"/>
    <w:rsid w:val="00F91AA8"/>
    <w:rsid w:val="00F91BBC"/>
    <w:rsid w:val="00F92444"/>
    <w:rsid w:val="00F92C6A"/>
    <w:rsid w:val="00F9393E"/>
    <w:rsid w:val="00F967A6"/>
    <w:rsid w:val="00F969BB"/>
    <w:rsid w:val="00F96BD7"/>
    <w:rsid w:val="00F96D32"/>
    <w:rsid w:val="00F96FD0"/>
    <w:rsid w:val="00F97025"/>
    <w:rsid w:val="00F97A78"/>
    <w:rsid w:val="00F97C0D"/>
    <w:rsid w:val="00FA0B20"/>
    <w:rsid w:val="00FA24E7"/>
    <w:rsid w:val="00FA2CFB"/>
    <w:rsid w:val="00FA386E"/>
    <w:rsid w:val="00FA5404"/>
    <w:rsid w:val="00FA5515"/>
    <w:rsid w:val="00FA576F"/>
    <w:rsid w:val="00FA5EE6"/>
    <w:rsid w:val="00FA6190"/>
    <w:rsid w:val="00FA7956"/>
    <w:rsid w:val="00FA7A39"/>
    <w:rsid w:val="00FA7CC7"/>
    <w:rsid w:val="00FB1560"/>
    <w:rsid w:val="00FB18E3"/>
    <w:rsid w:val="00FB2FCB"/>
    <w:rsid w:val="00FB55CE"/>
    <w:rsid w:val="00FB5B7C"/>
    <w:rsid w:val="00FB74B2"/>
    <w:rsid w:val="00FB7808"/>
    <w:rsid w:val="00FB7C55"/>
    <w:rsid w:val="00FC052E"/>
    <w:rsid w:val="00FC1074"/>
    <w:rsid w:val="00FC1884"/>
    <w:rsid w:val="00FC1A0D"/>
    <w:rsid w:val="00FC371D"/>
    <w:rsid w:val="00FC43FC"/>
    <w:rsid w:val="00FC50B1"/>
    <w:rsid w:val="00FC5F0B"/>
    <w:rsid w:val="00FC6477"/>
    <w:rsid w:val="00FC6ECE"/>
    <w:rsid w:val="00FC7F8E"/>
    <w:rsid w:val="00FD171D"/>
    <w:rsid w:val="00FD1775"/>
    <w:rsid w:val="00FD1803"/>
    <w:rsid w:val="00FD2100"/>
    <w:rsid w:val="00FD436C"/>
    <w:rsid w:val="00FD446D"/>
    <w:rsid w:val="00FD4F2C"/>
    <w:rsid w:val="00FD591E"/>
    <w:rsid w:val="00FD6394"/>
    <w:rsid w:val="00FE0872"/>
    <w:rsid w:val="00FE0AD0"/>
    <w:rsid w:val="00FE0E6C"/>
    <w:rsid w:val="00FE110B"/>
    <w:rsid w:val="00FE1CDC"/>
    <w:rsid w:val="00FE2AEF"/>
    <w:rsid w:val="00FE400C"/>
    <w:rsid w:val="00FE70C3"/>
    <w:rsid w:val="00FE719E"/>
    <w:rsid w:val="00FF0A38"/>
    <w:rsid w:val="00FF1F77"/>
    <w:rsid w:val="00FF22F3"/>
    <w:rsid w:val="00FF2AD9"/>
    <w:rsid w:val="00FF32C1"/>
    <w:rsid w:val="00FF359F"/>
    <w:rsid w:val="00FF3BF8"/>
    <w:rsid w:val="00FF3DCF"/>
    <w:rsid w:val="00FF492C"/>
    <w:rsid w:val="00FF4A21"/>
    <w:rsid w:val="00FF501B"/>
    <w:rsid w:val="00FF5AA3"/>
    <w:rsid w:val="00FF5AD8"/>
    <w:rsid w:val="00FF7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99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D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uiPriority w:val="99"/>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paragraph" w:styleId="Header">
    <w:name w:val="header"/>
    <w:aliases w:val="Page Header,Header title,he=header,cntr/bld"/>
    <w:basedOn w:val="Normal"/>
    <w:link w:val="HeaderChar"/>
    <w:uiPriority w:val="99"/>
    <w:unhideWhenUsed/>
    <w:qFormat/>
    <w:rsid w:val="00D64D25"/>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D64D25"/>
    <w:rPr>
      <w:rFonts w:ascii="Calibri" w:hAnsi="Calibri" w:cs="Arial"/>
      <w:sz w:val="24"/>
      <w:szCs w:val="24"/>
    </w:rPr>
  </w:style>
  <w:style w:type="paragraph" w:styleId="Footer">
    <w:name w:val="footer"/>
    <w:basedOn w:val="Normal"/>
    <w:link w:val="FooterChar"/>
    <w:uiPriority w:val="99"/>
    <w:unhideWhenUsed/>
    <w:rsid w:val="00D64D25"/>
    <w:pPr>
      <w:tabs>
        <w:tab w:val="center" w:pos="4513"/>
        <w:tab w:val="right" w:pos="9026"/>
      </w:tabs>
    </w:pPr>
  </w:style>
  <w:style w:type="character" w:customStyle="1" w:styleId="FooterChar">
    <w:name w:val="Footer Char"/>
    <w:basedOn w:val="DefaultParagraphFont"/>
    <w:link w:val="Footer"/>
    <w:uiPriority w:val="99"/>
    <w:rsid w:val="00D64D25"/>
    <w:rPr>
      <w:rFonts w:ascii="Calibri" w:hAnsi="Calibri" w:cs="Arial"/>
      <w:sz w:val="24"/>
      <w:szCs w:val="24"/>
    </w:rPr>
  </w:style>
  <w:style w:type="paragraph" w:customStyle="1" w:styleId="TableHeading">
    <w:name w:val="Table Heading"/>
    <w:basedOn w:val="TableText"/>
    <w:link w:val="TableHeadingChar"/>
    <w:qFormat/>
    <w:rsid w:val="00D64D25"/>
    <w:pPr>
      <w:keepLines/>
    </w:pPr>
    <w:rPr>
      <w:rFonts w:cs="Arial"/>
      <w:b/>
      <w:bCs w:val="0"/>
      <w:szCs w:val="20"/>
      <w:lang w:bidi="en-US"/>
    </w:rPr>
  </w:style>
  <w:style w:type="character" w:customStyle="1" w:styleId="TableHeadingChar">
    <w:name w:val="Table Heading Char"/>
    <w:basedOn w:val="DefaultParagraphFont"/>
    <w:link w:val="TableHeading"/>
    <w:locked/>
    <w:rsid w:val="00D64D25"/>
    <w:rPr>
      <w:rFonts w:ascii="Arial Narrow" w:eastAsiaTheme="majorEastAsia" w:hAnsi="Arial Narrow" w:cs="Arial"/>
      <w:b/>
      <w:lang w:bidi="en-US"/>
    </w:rPr>
  </w:style>
  <w:style w:type="table" w:customStyle="1" w:styleId="TableGrid401">
    <w:name w:val="Table Grid401"/>
    <w:basedOn w:val="TableNormal"/>
    <w:next w:val="TableGrid"/>
    <w:uiPriority w:val="59"/>
    <w:rsid w:val="00D64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List Paragraph1,Footnote,Bullet point,List Paragraph11,Recommendation,ES Paragraph,PBAC ES Paragraph,PBAC normal points,Bullet List,Figure_name,Numbered Indented Text,Bullet- First level,List NUmber,Styl moj,lp1"/>
    <w:basedOn w:val="Normal"/>
    <w:link w:val="ListParagraphChar"/>
    <w:uiPriority w:val="34"/>
    <w:qFormat/>
    <w:rsid w:val="00D64D25"/>
    <w:pPr>
      <w:ind w:left="720"/>
      <w:contextualSpacing/>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Figure_name Char"/>
    <w:basedOn w:val="DefaultParagraphFont"/>
    <w:link w:val="ListParagraph"/>
    <w:uiPriority w:val="34"/>
    <w:qFormat/>
    <w:locked/>
    <w:rsid w:val="00D64D25"/>
    <w:rPr>
      <w:rFonts w:ascii="Calibri" w:hAnsi="Calibri" w:cs="Arial"/>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next w:val="Normal"/>
    <w:link w:val="CaptionChar"/>
    <w:uiPriority w:val="99"/>
    <w:unhideWhenUsed/>
    <w:qFormat/>
    <w:rsid w:val="002708CE"/>
    <w:pPr>
      <w:keepNext/>
      <w:keepLines/>
      <w:spacing w:after="200"/>
      <w:jc w:val="left"/>
    </w:pPr>
    <w:rPr>
      <w:rFonts w:ascii="Arial" w:eastAsiaTheme="minorHAnsi" w:hAnsi="Arial" w:cstheme="minorBidi"/>
      <w:b/>
      <w:iCs/>
      <w:color w:val="000000" w:themeColor="text1"/>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link w:val="Caption"/>
    <w:uiPriority w:val="99"/>
    <w:locked/>
    <w:rsid w:val="002708CE"/>
    <w:rPr>
      <w:rFonts w:ascii="Arial" w:eastAsiaTheme="minorHAnsi" w:hAnsi="Arial" w:cstheme="minorBidi"/>
      <w:b/>
      <w:iCs/>
      <w:color w:val="000000" w:themeColor="text1"/>
      <w:sz w:val="22"/>
      <w:szCs w:val="18"/>
      <w:lang w:eastAsia="en-US"/>
    </w:rPr>
  </w:style>
  <w:style w:type="paragraph" w:customStyle="1" w:styleId="Sources">
    <w:name w:val="Sources"/>
    <w:basedOn w:val="Normal"/>
    <w:link w:val="SourcesChar"/>
    <w:qFormat/>
    <w:rsid w:val="002708CE"/>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2708CE"/>
    <w:rPr>
      <w:rFonts w:ascii="Arial" w:eastAsiaTheme="minorHAnsi" w:hAnsi="Arial" w:cstheme="minorBidi"/>
      <w:sz w:val="16"/>
      <w:szCs w:val="22"/>
      <w:lang w:eastAsia="en-US"/>
    </w:rPr>
  </w:style>
  <w:style w:type="paragraph" w:styleId="BodyText">
    <w:name w:val="Body Text"/>
    <w:basedOn w:val="Normal"/>
    <w:link w:val="BodyTextChar"/>
    <w:uiPriority w:val="1"/>
    <w:qFormat/>
    <w:rsid w:val="009639FF"/>
    <w:pPr>
      <w:autoSpaceDE w:val="0"/>
      <w:autoSpaceDN w:val="0"/>
      <w:adjustRightInd w:val="0"/>
      <w:jc w:val="left"/>
    </w:pPr>
    <w:rPr>
      <w:rFonts w:ascii="Gill Sans MT" w:hAnsi="Gill Sans MT" w:cs="Gill Sans MT"/>
      <w:b/>
      <w:bCs/>
      <w:sz w:val="12"/>
      <w:szCs w:val="12"/>
    </w:rPr>
  </w:style>
  <w:style w:type="character" w:customStyle="1" w:styleId="BodyTextChar">
    <w:name w:val="Body Text Char"/>
    <w:basedOn w:val="DefaultParagraphFont"/>
    <w:link w:val="BodyText"/>
    <w:rsid w:val="009639FF"/>
    <w:rPr>
      <w:rFonts w:ascii="Gill Sans MT" w:hAnsi="Gill Sans MT" w:cs="Gill Sans MT"/>
      <w:b/>
      <w:bCs/>
      <w:sz w:val="12"/>
      <w:szCs w:val="12"/>
    </w:rPr>
  </w:style>
  <w:style w:type="paragraph" w:customStyle="1" w:styleId="TableParagraph">
    <w:name w:val="Table Paragraph"/>
    <w:basedOn w:val="Normal"/>
    <w:uiPriority w:val="1"/>
    <w:qFormat/>
    <w:rsid w:val="009639FF"/>
    <w:pPr>
      <w:autoSpaceDE w:val="0"/>
      <w:autoSpaceDN w:val="0"/>
      <w:adjustRightInd w:val="0"/>
      <w:jc w:val="left"/>
    </w:pPr>
    <w:rPr>
      <w:rFonts w:ascii="Arial" w:hAnsi="Arial"/>
    </w:rPr>
  </w:style>
  <w:style w:type="paragraph" w:customStyle="1" w:styleId="Default">
    <w:name w:val="Default"/>
    <w:rsid w:val="006E3648"/>
    <w:pPr>
      <w:autoSpaceDE w:val="0"/>
      <w:autoSpaceDN w:val="0"/>
      <w:adjustRightInd w:val="0"/>
    </w:pPr>
    <w:rPr>
      <w:rFonts w:ascii="Verdana" w:hAnsi="Verdana" w:cs="Verdana"/>
      <w:color w:val="000000"/>
      <w:sz w:val="24"/>
      <w:szCs w:val="24"/>
    </w:rPr>
  </w:style>
  <w:style w:type="character" w:styleId="CommentReference">
    <w:name w:val="annotation reference"/>
    <w:aliases w:val="Table Title"/>
    <w:basedOn w:val="DefaultParagraphFont"/>
    <w:uiPriority w:val="99"/>
    <w:unhideWhenUsed/>
    <w:qFormat/>
    <w:rsid w:val="00DB34E8"/>
    <w:rPr>
      <w:sz w:val="16"/>
      <w:szCs w:val="16"/>
    </w:rPr>
  </w:style>
  <w:style w:type="paragraph" w:styleId="CommentText">
    <w:name w:val="annotation text"/>
    <w:aliases w:val="- H19,Comment Text Char1 Char,Comment Text Char Char Char,Comment Text Char2,Comment Text Char Char1,Comment Text Char2 Char Char,Comment Text Char Char1 Char Char,Comment Text Char2 Char Char Char Char,Annotationtext,Char"/>
    <w:basedOn w:val="Normal"/>
    <w:link w:val="CommentTextChar"/>
    <w:uiPriority w:val="99"/>
    <w:unhideWhenUsed/>
    <w:qFormat/>
    <w:rsid w:val="00DB34E8"/>
    <w:rPr>
      <w:sz w:val="20"/>
      <w:szCs w:val="20"/>
    </w:rPr>
  </w:style>
  <w:style w:type="character" w:customStyle="1" w:styleId="CommentTextChar">
    <w:name w:val="Comment Text Char"/>
    <w:aliases w:val="- H19 Char,Comment Text Char1 Char Char,Comment Text Char Char Char Char,Comment Text Char2 Char,Comment Text Char Char1 Char,Comment Text Char2 Char Char Char,Comment Text Char Char1 Char Char Char,Annotationtext Char,Char Char"/>
    <w:basedOn w:val="DefaultParagraphFont"/>
    <w:link w:val="CommentText"/>
    <w:uiPriority w:val="99"/>
    <w:rsid w:val="00DB34E8"/>
    <w:rPr>
      <w:rFonts w:ascii="Calibri" w:hAnsi="Calibri" w:cs="Arial"/>
    </w:rPr>
  </w:style>
  <w:style w:type="paragraph" w:styleId="CommentSubject">
    <w:name w:val="annotation subject"/>
    <w:basedOn w:val="CommentText"/>
    <w:next w:val="CommentText"/>
    <w:link w:val="CommentSubjectChar"/>
    <w:semiHidden/>
    <w:unhideWhenUsed/>
    <w:rsid w:val="00DB34E8"/>
    <w:rPr>
      <w:b/>
      <w:bCs/>
    </w:rPr>
  </w:style>
  <w:style w:type="character" w:customStyle="1" w:styleId="CommentSubjectChar">
    <w:name w:val="Comment Subject Char"/>
    <w:basedOn w:val="CommentTextChar"/>
    <w:link w:val="CommentSubject"/>
    <w:semiHidden/>
    <w:rsid w:val="00DB34E8"/>
    <w:rPr>
      <w:rFonts w:ascii="Calibri" w:hAnsi="Calibri" w:cs="Arial"/>
      <w:b/>
      <w:bCs/>
    </w:rPr>
  </w:style>
  <w:style w:type="table" w:customStyle="1" w:styleId="Summarybox1">
    <w:name w:val="Summary box1"/>
    <w:basedOn w:val="TableNormal"/>
    <w:next w:val="TableGrid"/>
    <w:rsid w:val="00310F97"/>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41759"/>
    <w:pPr>
      <w:autoSpaceDE w:val="0"/>
      <w:autoSpaceDN w:val="0"/>
      <w:adjustRightInd w:val="0"/>
      <w:jc w:val="left"/>
    </w:pPr>
    <w:rPr>
      <w:rFonts w:ascii="Times New Roman" w:hAnsi="Times New Roman" w:cs="Times New Roman"/>
    </w:rPr>
  </w:style>
  <w:style w:type="character" w:customStyle="1" w:styleId="TitleChar">
    <w:name w:val="Title Char"/>
    <w:basedOn w:val="DefaultParagraphFont"/>
    <w:link w:val="Title"/>
    <w:uiPriority w:val="1"/>
    <w:rsid w:val="00741759"/>
    <w:rPr>
      <w:sz w:val="24"/>
      <w:szCs w:val="24"/>
    </w:rPr>
  </w:style>
  <w:style w:type="paragraph" w:customStyle="1" w:styleId="Tabletextcent">
    <w:name w:val="Table text cent"/>
    <w:basedOn w:val="Normal"/>
    <w:qFormat/>
    <w:rsid w:val="003D10B5"/>
    <w:pPr>
      <w:spacing w:before="20" w:after="20"/>
      <w:ind w:left="113" w:right="113"/>
      <w:jc w:val="center"/>
    </w:pPr>
    <w:rPr>
      <w:rFonts w:cs="Times New Roman"/>
      <w:sz w:val="20"/>
      <w:szCs w:val="20"/>
      <w:lang w:val="de-DE"/>
    </w:rPr>
  </w:style>
  <w:style w:type="table" w:customStyle="1" w:styleId="TableHTAsimple">
    <w:name w:val="Table HTA simple"/>
    <w:basedOn w:val="TableNormal"/>
    <w:uiPriority w:val="99"/>
    <w:rsid w:val="003D10B5"/>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A8">
    <w:name w:val="A8"/>
    <w:uiPriority w:val="99"/>
    <w:rsid w:val="00A67415"/>
    <w:rPr>
      <w:rFonts w:cs="Open Sans Light"/>
      <w:color w:val="000000"/>
      <w:sz w:val="16"/>
      <w:szCs w:val="16"/>
    </w:rPr>
  </w:style>
  <w:style w:type="paragraph" w:customStyle="1" w:styleId="Tabletextleft">
    <w:name w:val="Table text left"/>
    <w:basedOn w:val="Normal"/>
    <w:link w:val="TabletextleftChar"/>
    <w:qFormat/>
    <w:rsid w:val="00344AC6"/>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344AC6"/>
    <w:rPr>
      <w:rFonts w:asciiTheme="minorHAnsi" w:hAnsiTheme="minorHAnsi"/>
      <w:sz w:val="18"/>
    </w:rPr>
  </w:style>
  <w:style w:type="paragraph" w:styleId="NormalWeb">
    <w:name w:val="Normal (Web)"/>
    <w:basedOn w:val="Normal"/>
    <w:uiPriority w:val="99"/>
    <w:unhideWhenUsed/>
    <w:rsid w:val="00871E61"/>
    <w:pPr>
      <w:spacing w:before="100" w:beforeAutospacing="1" w:after="100" w:afterAutospacing="1"/>
      <w:jc w:val="left"/>
    </w:pPr>
    <w:rPr>
      <w:rFonts w:ascii="Times New Roman" w:hAnsi="Times New Roman" w:cs="Times New Roman"/>
    </w:rPr>
  </w:style>
  <w:style w:type="paragraph" w:customStyle="1" w:styleId="TableFooter">
    <w:name w:val="Table Footer"/>
    <w:basedOn w:val="Normal"/>
    <w:link w:val="TableFooterChar"/>
    <w:qFormat/>
    <w:rsid w:val="00A146B8"/>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A146B8"/>
    <w:rPr>
      <w:rFonts w:ascii="Arial Narrow" w:hAnsi="Arial Narrow" w:cs="Arial"/>
      <w:snapToGrid w:val="0"/>
      <w:sz w:val="18"/>
      <w:szCs w:val="22"/>
      <w:lang w:eastAsia="en-US"/>
    </w:rPr>
  </w:style>
  <w:style w:type="paragraph" w:customStyle="1" w:styleId="Tabletext0">
    <w:name w:val="Table text"/>
    <w:basedOn w:val="Normal"/>
    <w:link w:val="TabletextChar0"/>
    <w:qFormat/>
    <w:rsid w:val="00667311"/>
    <w:pPr>
      <w:jc w:val="left"/>
    </w:pPr>
    <w:rPr>
      <w:rFonts w:ascii="Arial Narrow" w:hAnsi="Arial Narrow" w:cs="Times New Roman"/>
      <w:sz w:val="20"/>
      <w:szCs w:val="22"/>
      <w:lang w:eastAsia="en-US"/>
    </w:rPr>
  </w:style>
  <w:style w:type="character" w:customStyle="1" w:styleId="TabletextChar0">
    <w:name w:val="Table text Char"/>
    <w:link w:val="Tabletext0"/>
    <w:rsid w:val="00667311"/>
    <w:rPr>
      <w:rFonts w:ascii="Arial Narrow" w:hAnsi="Arial Narrow"/>
      <w:szCs w:val="22"/>
      <w:lang w:eastAsia="en-US"/>
    </w:rPr>
  </w:style>
  <w:style w:type="character" w:customStyle="1" w:styleId="bibrecord-highlight-user">
    <w:name w:val="bibrecord-highlight-user"/>
    <w:basedOn w:val="DefaultParagraphFont"/>
    <w:rsid w:val="00C340CA"/>
  </w:style>
  <w:style w:type="character" w:customStyle="1" w:styleId="highlight">
    <w:name w:val="highlight"/>
    <w:basedOn w:val="DefaultParagraphFont"/>
    <w:rsid w:val="00C340CA"/>
  </w:style>
  <w:style w:type="character" w:styleId="Strong">
    <w:name w:val="Strong"/>
    <w:basedOn w:val="DefaultParagraphFont"/>
    <w:uiPriority w:val="22"/>
    <w:qFormat/>
    <w:rsid w:val="00C340CA"/>
    <w:rPr>
      <w:b/>
      <w:bCs/>
    </w:rPr>
  </w:style>
  <w:style w:type="paragraph" w:styleId="Subtitle">
    <w:name w:val="Subtitle"/>
    <w:basedOn w:val="Normal"/>
    <w:link w:val="SubtitleChar"/>
    <w:qFormat/>
    <w:rsid w:val="007E19A9"/>
    <w:rPr>
      <w:rFonts w:ascii="Times New Roman" w:hAnsi="Times New Roman" w:cs="Times New Roman"/>
      <w:b/>
      <w:szCs w:val="20"/>
    </w:rPr>
  </w:style>
  <w:style w:type="character" w:customStyle="1" w:styleId="SubtitleChar">
    <w:name w:val="Subtitle Char"/>
    <w:basedOn w:val="DefaultParagraphFont"/>
    <w:link w:val="Subtitle"/>
    <w:rsid w:val="007E19A9"/>
    <w:rPr>
      <w:b/>
      <w:sz w:val="24"/>
    </w:rPr>
  </w:style>
  <w:style w:type="paragraph" w:customStyle="1" w:styleId="PBACHeading1">
    <w:name w:val="PBAC Heading 1"/>
    <w:qFormat/>
    <w:rsid w:val="002A4FD2"/>
    <w:pPr>
      <w:ind w:left="720" w:hanging="720"/>
    </w:pPr>
    <w:rPr>
      <w:rFonts w:ascii="Arial" w:hAnsi="Arial" w:cs="Arial"/>
      <w:b/>
      <w:snapToGrid w:val="0"/>
      <w:sz w:val="22"/>
      <w:szCs w:val="22"/>
      <w:lang w:eastAsia="en-US"/>
    </w:rPr>
  </w:style>
  <w:style w:type="paragraph" w:customStyle="1" w:styleId="subsection">
    <w:name w:val="subsection"/>
    <w:basedOn w:val="Normal"/>
    <w:rsid w:val="00237A26"/>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237A26"/>
    <w:pPr>
      <w:spacing w:before="100" w:beforeAutospacing="1" w:after="100" w:afterAutospacing="1"/>
      <w:jc w:val="left"/>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237A26"/>
    <w:rPr>
      <w:color w:val="605E5C"/>
      <w:shd w:val="clear" w:color="auto" w:fill="E1DFDD"/>
    </w:rPr>
  </w:style>
  <w:style w:type="character" w:customStyle="1" w:styleId="UnresolvedMention2">
    <w:name w:val="Unresolved Mention2"/>
    <w:basedOn w:val="DefaultParagraphFont"/>
    <w:uiPriority w:val="99"/>
    <w:semiHidden/>
    <w:unhideWhenUsed/>
    <w:rsid w:val="0079279F"/>
    <w:rPr>
      <w:color w:val="605E5C"/>
      <w:shd w:val="clear" w:color="auto" w:fill="E1DFDD"/>
    </w:rPr>
  </w:style>
  <w:style w:type="paragraph" w:customStyle="1" w:styleId="GeneralHeading">
    <w:name w:val="General Heading"/>
    <w:qFormat/>
    <w:rsid w:val="00186851"/>
    <w:pPr>
      <w:keepNext/>
      <w:spacing w:before="120" w:after="120"/>
      <w:ind w:left="720" w:hanging="720"/>
      <w:outlineLvl w:val="0"/>
    </w:pPr>
    <w:rPr>
      <w:rFonts w:ascii="Calibri" w:hAnsi="Calibri" w:cs="Arial"/>
      <w:b/>
      <w:snapToGrid w:val="0"/>
      <w:sz w:val="28"/>
      <w:szCs w:val="22"/>
      <w:lang w:eastAsia="en-US"/>
    </w:rPr>
  </w:style>
  <w:style w:type="paragraph" w:styleId="NoSpacing">
    <w:name w:val="No Spacing"/>
    <w:uiPriority w:val="1"/>
    <w:qFormat/>
    <w:rsid w:val="00186851"/>
    <w:rPr>
      <w:sz w:val="24"/>
      <w:szCs w:val="24"/>
      <w:lang w:eastAsia="en-US"/>
    </w:rPr>
  </w:style>
  <w:style w:type="paragraph" w:customStyle="1" w:styleId="5Tableheaders">
    <w:name w:val="5. Table headers"/>
    <w:basedOn w:val="NoSpacing"/>
    <w:link w:val="5TableheadersChar"/>
    <w:qFormat/>
    <w:rsid w:val="00186851"/>
    <w:pPr>
      <w:jc w:val="both"/>
    </w:pPr>
    <w:rPr>
      <w:rFonts w:ascii="Arial Narrow" w:hAnsi="Arial Narrow"/>
      <w:b/>
      <w:sz w:val="20"/>
    </w:rPr>
  </w:style>
  <w:style w:type="character" w:customStyle="1" w:styleId="5TableheadersChar">
    <w:name w:val="5. Table headers Char"/>
    <w:basedOn w:val="DefaultParagraphFont"/>
    <w:link w:val="5Tableheaders"/>
    <w:rsid w:val="00186851"/>
    <w:rPr>
      <w:rFonts w:ascii="Arial Narrow" w:hAnsi="Arial Narrow"/>
      <w:b/>
      <w:szCs w:val="24"/>
      <w:lang w:eastAsia="en-US"/>
    </w:rPr>
  </w:style>
  <w:style w:type="paragraph" w:customStyle="1" w:styleId="5TableFooter">
    <w:name w:val="5. Table Footer"/>
    <w:basedOn w:val="Normal"/>
    <w:link w:val="5TableFooterChar"/>
    <w:qFormat/>
    <w:rsid w:val="00186851"/>
    <w:pPr>
      <w:widowControl w:val="0"/>
    </w:pPr>
    <w:rPr>
      <w:rFonts w:ascii="Arial Narrow" w:hAnsi="Arial Narrow"/>
      <w:snapToGrid w:val="0"/>
      <w:sz w:val="18"/>
      <w:szCs w:val="22"/>
      <w:lang w:eastAsia="en-US"/>
    </w:rPr>
  </w:style>
  <w:style w:type="character" w:customStyle="1" w:styleId="5TableFooterChar">
    <w:name w:val="5. Table Footer Char"/>
    <w:link w:val="5TableFooter"/>
    <w:rsid w:val="00186851"/>
    <w:rPr>
      <w:rFonts w:ascii="Arial Narrow" w:hAnsi="Arial Narrow" w:cs="Arial"/>
      <w:snapToGrid w:val="0"/>
      <w:sz w:val="18"/>
      <w:szCs w:val="22"/>
      <w:lang w:eastAsia="en-US"/>
    </w:rPr>
  </w:style>
  <w:style w:type="character" w:customStyle="1" w:styleId="EndnoteTextChar">
    <w:name w:val="Endnote Text Char"/>
    <w:basedOn w:val="DefaultParagraphFont"/>
    <w:link w:val="EndnoteText"/>
    <w:uiPriority w:val="99"/>
    <w:semiHidden/>
    <w:rsid w:val="00186851"/>
    <w:rPr>
      <w:rFonts w:eastAsia="Calibri"/>
      <w:lang w:eastAsia="en-US"/>
    </w:rPr>
  </w:style>
  <w:style w:type="paragraph" w:styleId="EndnoteText">
    <w:name w:val="endnote text"/>
    <w:basedOn w:val="Normal"/>
    <w:link w:val="EndnoteTextChar"/>
    <w:uiPriority w:val="99"/>
    <w:semiHidden/>
    <w:unhideWhenUsed/>
    <w:rsid w:val="00186851"/>
    <w:pPr>
      <w:jc w:val="left"/>
    </w:pPr>
    <w:rPr>
      <w:rFonts w:ascii="Times New Roman" w:eastAsia="Calibri" w:hAnsi="Times New Roman" w:cs="Times New Roman"/>
      <w:sz w:val="20"/>
      <w:szCs w:val="20"/>
      <w:lang w:eastAsia="en-US"/>
    </w:rPr>
  </w:style>
  <w:style w:type="paragraph" w:customStyle="1" w:styleId="PBACheading10">
    <w:name w:val="PBAC heading 1"/>
    <w:basedOn w:val="Normal"/>
    <w:rsid w:val="00186851"/>
    <w:pPr>
      <w:snapToGrid w:val="0"/>
      <w:ind w:left="720" w:hanging="720"/>
      <w:jc w:val="left"/>
    </w:pPr>
    <w:rPr>
      <w:rFonts w:ascii="Arial" w:eastAsiaTheme="minorHAnsi" w:hAnsi="Arial"/>
      <w:b/>
      <w:bCs/>
      <w:sz w:val="22"/>
      <w:szCs w:val="22"/>
      <w:lang w:eastAsia="en-US"/>
    </w:rPr>
  </w:style>
  <w:style w:type="character" w:styleId="FootnoteReference">
    <w:name w:val="footnote reference"/>
    <w:basedOn w:val="DefaultParagraphFont"/>
    <w:uiPriority w:val="99"/>
    <w:semiHidden/>
    <w:unhideWhenUsed/>
    <w:rsid w:val="00D27059"/>
    <w:rPr>
      <w:vertAlign w:val="superscript"/>
    </w:rPr>
  </w:style>
  <w:style w:type="paragraph" w:customStyle="1" w:styleId="3Bodytext">
    <w:name w:val="3. Body text"/>
    <w:basedOn w:val="ListParagraph"/>
    <w:link w:val="3BodytextChar"/>
    <w:qFormat/>
    <w:rsid w:val="00D27059"/>
    <w:pPr>
      <w:spacing w:after="120"/>
      <w:ind w:hanging="720"/>
      <w:contextualSpacing w:val="0"/>
      <w:jc w:val="left"/>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D27059"/>
    <w:rPr>
      <w:rFonts w:asciiTheme="minorHAnsi" w:eastAsiaTheme="minorHAnsi" w:hAnsiTheme="minorHAnsi" w:cstheme="minorBidi"/>
      <w:sz w:val="24"/>
      <w:szCs w:val="22"/>
    </w:rPr>
  </w:style>
  <w:style w:type="paragraph" w:customStyle="1" w:styleId="3-BodyText">
    <w:name w:val="3-Body Text"/>
    <w:link w:val="3-BodyTextChar"/>
    <w:uiPriority w:val="99"/>
    <w:qFormat/>
    <w:rsid w:val="00D27059"/>
    <w:pPr>
      <w:numPr>
        <w:numId w:val="8"/>
      </w:numPr>
      <w:spacing w:after="1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uiPriority w:val="99"/>
    <w:rsid w:val="00D27059"/>
    <w:rPr>
      <w:rFonts w:asciiTheme="minorHAnsi" w:eastAsiaTheme="minorHAnsi" w:hAnsiTheme="minorHAnsi" w:cstheme="minorBidi"/>
      <w:sz w:val="24"/>
      <w:szCs w:val="22"/>
    </w:rPr>
  </w:style>
  <w:style w:type="paragraph" w:styleId="FootnoteText">
    <w:name w:val="footnote text"/>
    <w:basedOn w:val="Normal"/>
    <w:link w:val="FootnoteTextChar"/>
    <w:semiHidden/>
    <w:unhideWhenUsed/>
    <w:rsid w:val="00D27059"/>
    <w:rPr>
      <w:sz w:val="20"/>
      <w:szCs w:val="20"/>
    </w:rPr>
  </w:style>
  <w:style w:type="character" w:customStyle="1" w:styleId="FootnoteTextChar">
    <w:name w:val="Footnote Text Char"/>
    <w:basedOn w:val="DefaultParagraphFont"/>
    <w:link w:val="FootnoteText"/>
    <w:semiHidden/>
    <w:rsid w:val="00D27059"/>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84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607418">
      <w:bodyDiv w:val="1"/>
      <w:marLeft w:val="0"/>
      <w:marRight w:val="0"/>
      <w:marTop w:val="0"/>
      <w:marBottom w:val="0"/>
      <w:divBdr>
        <w:top w:val="none" w:sz="0" w:space="0" w:color="auto"/>
        <w:left w:val="none" w:sz="0" w:space="0" w:color="auto"/>
        <w:bottom w:val="none" w:sz="0" w:space="0" w:color="auto"/>
        <w:right w:val="none" w:sz="0" w:space="0" w:color="auto"/>
      </w:divBdr>
      <w:divsChild>
        <w:div w:id="829096180">
          <w:marLeft w:val="0"/>
          <w:marRight w:val="0"/>
          <w:marTop w:val="0"/>
          <w:marBottom w:val="0"/>
          <w:divBdr>
            <w:top w:val="single" w:sz="36" w:space="0" w:color="009966"/>
            <w:left w:val="none" w:sz="0" w:space="0" w:color="auto"/>
            <w:bottom w:val="single" w:sz="12" w:space="0" w:color="009966"/>
            <w:right w:val="none" w:sz="0" w:space="0" w:color="auto"/>
          </w:divBdr>
        </w:div>
      </w:divsChild>
    </w:div>
    <w:div w:id="24407772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9288688">
      <w:bodyDiv w:val="1"/>
      <w:marLeft w:val="0"/>
      <w:marRight w:val="0"/>
      <w:marTop w:val="0"/>
      <w:marBottom w:val="0"/>
      <w:divBdr>
        <w:top w:val="none" w:sz="0" w:space="0" w:color="auto"/>
        <w:left w:val="none" w:sz="0" w:space="0" w:color="auto"/>
        <w:bottom w:val="none" w:sz="0" w:space="0" w:color="auto"/>
        <w:right w:val="none" w:sz="0" w:space="0" w:color="auto"/>
      </w:divBdr>
    </w:div>
    <w:div w:id="701706558">
      <w:bodyDiv w:val="1"/>
      <w:marLeft w:val="0"/>
      <w:marRight w:val="0"/>
      <w:marTop w:val="0"/>
      <w:marBottom w:val="0"/>
      <w:divBdr>
        <w:top w:val="none" w:sz="0" w:space="0" w:color="auto"/>
        <w:left w:val="none" w:sz="0" w:space="0" w:color="auto"/>
        <w:bottom w:val="none" w:sz="0" w:space="0" w:color="auto"/>
        <w:right w:val="none" w:sz="0" w:space="0" w:color="auto"/>
      </w:divBdr>
    </w:div>
    <w:div w:id="946353580">
      <w:bodyDiv w:val="1"/>
      <w:marLeft w:val="0"/>
      <w:marRight w:val="0"/>
      <w:marTop w:val="0"/>
      <w:marBottom w:val="0"/>
      <w:divBdr>
        <w:top w:val="none" w:sz="0" w:space="0" w:color="auto"/>
        <w:left w:val="none" w:sz="0" w:space="0" w:color="auto"/>
        <w:bottom w:val="none" w:sz="0" w:space="0" w:color="auto"/>
        <w:right w:val="none" w:sz="0" w:space="0" w:color="auto"/>
      </w:divBdr>
    </w:div>
    <w:div w:id="9687779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915">
      <w:bodyDiv w:val="1"/>
      <w:marLeft w:val="0"/>
      <w:marRight w:val="0"/>
      <w:marTop w:val="0"/>
      <w:marBottom w:val="0"/>
      <w:divBdr>
        <w:top w:val="none" w:sz="0" w:space="0" w:color="auto"/>
        <w:left w:val="none" w:sz="0" w:space="0" w:color="auto"/>
        <w:bottom w:val="none" w:sz="0" w:space="0" w:color="auto"/>
        <w:right w:val="none" w:sz="0" w:space="0" w:color="auto"/>
      </w:divBdr>
      <w:divsChild>
        <w:div w:id="1965697669">
          <w:marLeft w:val="547"/>
          <w:marRight w:val="0"/>
          <w:marTop w:val="67"/>
          <w:marBottom w:val="0"/>
          <w:divBdr>
            <w:top w:val="none" w:sz="0" w:space="0" w:color="auto"/>
            <w:left w:val="none" w:sz="0" w:space="0" w:color="auto"/>
            <w:bottom w:val="none" w:sz="0" w:space="0" w:color="auto"/>
            <w:right w:val="none" w:sz="0" w:space="0" w:color="auto"/>
          </w:divBdr>
        </w:div>
      </w:divsChild>
    </w:div>
    <w:div w:id="1281841545">
      <w:bodyDiv w:val="1"/>
      <w:marLeft w:val="0"/>
      <w:marRight w:val="0"/>
      <w:marTop w:val="0"/>
      <w:marBottom w:val="0"/>
      <w:divBdr>
        <w:top w:val="none" w:sz="0" w:space="0" w:color="auto"/>
        <w:left w:val="none" w:sz="0" w:space="0" w:color="auto"/>
        <w:bottom w:val="none" w:sz="0" w:space="0" w:color="auto"/>
        <w:right w:val="none" w:sz="0" w:space="0" w:color="auto"/>
      </w:divBdr>
      <w:divsChild>
        <w:div w:id="589778042">
          <w:marLeft w:val="0"/>
          <w:marRight w:val="0"/>
          <w:marTop w:val="0"/>
          <w:marBottom w:val="0"/>
          <w:divBdr>
            <w:top w:val="none" w:sz="0" w:space="0" w:color="auto"/>
            <w:left w:val="none" w:sz="0" w:space="0" w:color="auto"/>
            <w:bottom w:val="none" w:sz="0" w:space="0" w:color="auto"/>
            <w:right w:val="none" w:sz="0" w:space="0" w:color="auto"/>
          </w:divBdr>
          <w:divsChild>
            <w:div w:id="764766116">
              <w:marLeft w:val="0"/>
              <w:marRight w:val="0"/>
              <w:marTop w:val="0"/>
              <w:marBottom w:val="0"/>
              <w:divBdr>
                <w:top w:val="single" w:sz="6" w:space="0" w:color="DDDDDD"/>
                <w:left w:val="none" w:sz="0" w:space="0" w:color="auto"/>
                <w:bottom w:val="single" w:sz="6" w:space="0" w:color="DDDDDD"/>
                <w:right w:val="none" w:sz="0" w:space="0" w:color="auto"/>
              </w:divBdr>
              <w:divsChild>
                <w:div w:id="1931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185">
          <w:marLeft w:val="0"/>
          <w:marRight w:val="0"/>
          <w:marTop w:val="0"/>
          <w:marBottom w:val="0"/>
          <w:divBdr>
            <w:top w:val="none" w:sz="0" w:space="0" w:color="auto"/>
            <w:left w:val="none" w:sz="0" w:space="0" w:color="auto"/>
            <w:bottom w:val="none" w:sz="0" w:space="0" w:color="auto"/>
            <w:right w:val="none" w:sz="0" w:space="0" w:color="auto"/>
          </w:divBdr>
          <w:divsChild>
            <w:div w:id="856847840">
              <w:marLeft w:val="0"/>
              <w:marRight w:val="0"/>
              <w:marTop w:val="0"/>
              <w:marBottom w:val="0"/>
              <w:divBdr>
                <w:top w:val="single" w:sz="6" w:space="0" w:color="DDDDDD"/>
                <w:left w:val="none" w:sz="0" w:space="0" w:color="auto"/>
                <w:bottom w:val="single" w:sz="6" w:space="0" w:color="DDDDDD"/>
                <w:right w:val="none" w:sz="0" w:space="0" w:color="auto"/>
              </w:divBdr>
              <w:divsChild>
                <w:div w:id="1089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961">
          <w:marLeft w:val="0"/>
          <w:marRight w:val="0"/>
          <w:marTop w:val="0"/>
          <w:marBottom w:val="0"/>
          <w:divBdr>
            <w:top w:val="none" w:sz="0" w:space="0" w:color="auto"/>
            <w:left w:val="none" w:sz="0" w:space="0" w:color="auto"/>
            <w:bottom w:val="none" w:sz="0" w:space="0" w:color="auto"/>
            <w:right w:val="none" w:sz="0" w:space="0" w:color="auto"/>
          </w:divBdr>
          <w:divsChild>
            <w:div w:id="392241487">
              <w:marLeft w:val="0"/>
              <w:marRight w:val="0"/>
              <w:marTop w:val="0"/>
              <w:marBottom w:val="0"/>
              <w:divBdr>
                <w:top w:val="none" w:sz="0" w:space="0" w:color="auto"/>
                <w:left w:val="single" w:sz="18" w:space="0" w:color="326297"/>
                <w:bottom w:val="none" w:sz="0" w:space="0" w:color="auto"/>
                <w:right w:val="none" w:sz="0" w:space="0" w:color="auto"/>
              </w:divBdr>
              <w:divsChild>
                <w:div w:id="2057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404">
          <w:marLeft w:val="0"/>
          <w:marRight w:val="0"/>
          <w:marTop w:val="0"/>
          <w:marBottom w:val="0"/>
          <w:divBdr>
            <w:top w:val="none" w:sz="0" w:space="0" w:color="auto"/>
            <w:left w:val="none" w:sz="0" w:space="0" w:color="auto"/>
            <w:bottom w:val="none" w:sz="0" w:space="0" w:color="auto"/>
            <w:right w:val="none" w:sz="0" w:space="0" w:color="auto"/>
          </w:divBdr>
          <w:divsChild>
            <w:div w:id="93982714">
              <w:marLeft w:val="0"/>
              <w:marRight w:val="0"/>
              <w:marTop w:val="0"/>
              <w:marBottom w:val="0"/>
              <w:divBdr>
                <w:top w:val="none" w:sz="0" w:space="0" w:color="auto"/>
                <w:left w:val="single" w:sz="18" w:space="0" w:color="326297"/>
                <w:bottom w:val="none" w:sz="0" w:space="0" w:color="auto"/>
                <w:right w:val="none" w:sz="0" w:space="0" w:color="auto"/>
              </w:divBdr>
              <w:divsChild>
                <w:div w:id="1273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3514">
          <w:marLeft w:val="0"/>
          <w:marRight w:val="0"/>
          <w:marTop w:val="0"/>
          <w:marBottom w:val="0"/>
          <w:divBdr>
            <w:top w:val="none" w:sz="0" w:space="0" w:color="auto"/>
            <w:left w:val="none" w:sz="0" w:space="0" w:color="auto"/>
            <w:bottom w:val="none" w:sz="0" w:space="0" w:color="auto"/>
            <w:right w:val="none" w:sz="0" w:space="0" w:color="auto"/>
          </w:divBdr>
          <w:divsChild>
            <w:div w:id="2045405695">
              <w:marLeft w:val="0"/>
              <w:marRight w:val="0"/>
              <w:marTop w:val="0"/>
              <w:marBottom w:val="0"/>
              <w:divBdr>
                <w:top w:val="none" w:sz="0" w:space="0" w:color="auto"/>
                <w:left w:val="none" w:sz="0" w:space="0" w:color="auto"/>
                <w:bottom w:val="none" w:sz="0" w:space="0" w:color="auto"/>
                <w:right w:val="none" w:sz="0" w:space="0" w:color="auto"/>
              </w:divBdr>
              <w:divsChild>
                <w:div w:id="50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288">
      <w:bodyDiv w:val="1"/>
      <w:marLeft w:val="0"/>
      <w:marRight w:val="0"/>
      <w:marTop w:val="0"/>
      <w:marBottom w:val="0"/>
      <w:divBdr>
        <w:top w:val="none" w:sz="0" w:space="0" w:color="auto"/>
        <w:left w:val="none" w:sz="0" w:space="0" w:color="auto"/>
        <w:bottom w:val="none" w:sz="0" w:space="0" w:color="auto"/>
        <w:right w:val="none" w:sz="0" w:space="0" w:color="auto"/>
      </w:divBdr>
      <w:divsChild>
        <w:div w:id="1899974804">
          <w:marLeft w:val="0"/>
          <w:marRight w:val="0"/>
          <w:marTop w:val="0"/>
          <w:marBottom w:val="0"/>
          <w:divBdr>
            <w:top w:val="none" w:sz="0" w:space="0" w:color="auto"/>
            <w:left w:val="none" w:sz="0" w:space="0" w:color="auto"/>
            <w:bottom w:val="none" w:sz="0" w:space="0" w:color="auto"/>
            <w:right w:val="none" w:sz="0" w:space="0" w:color="auto"/>
          </w:divBdr>
        </w:div>
      </w:divsChild>
    </w:div>
    <w:div w:id="1464083961">
      <w:bodyDiv w:val="1"/>
      <w:marLeft w:val="0"/>
      <w:marRight w:val="0"/>
      <w:marTop w:val="0"/>
      <w:marBottom w:val="0"/>
      <w:divBdr>
        <w:top w:val="none" w:sz="0" w:space="0" w:color="auto"/>
        <w:left w:val="none" w:sz="0" w:space="0" w:color="auto"/>
        <w:bottom w:val="none" w:sz="0" w:space="0" w:color="auto"/>
        <w:right w:val="none" w:sz="0" w:space="0" w:color="auto"/>
      </w:divBdr>
    </w:div>
    <w:div w:id="1570773815">
      <w:bodyDiv w:val="1"/>
      <w:marLeft w:val="0"/>
      <w:marRight w:val="0"/>
      <w:marTop w:val="0"/>
      <w:marBottom w:val="0"/>
      <w:divBdr>
        <w:top w:val="none" w:sz="0" w:space="0" w:color="auto"/>
        <w:left w:val="none" w:sz="0" w:space="0" w:color="auto"/>
        <w:bottom w:val="none" w:sz="0" w:space="0" w:color="auto"/>
        <w:right w:val="none" w:sz="0" w:space="0" w:color="auto"/>
      </w:divBdr>
    </w:div>
    <w:div w:id="1612011457">
      <w:bodyDiv w:val="1"/>
      <w:marLeft w:val="0"/>
      <w:marRight w:val="0"/>
      <w:marTop w:val="0"/>
      <w:marBottom w:val="0"/>
      <w:divBdr>
        <w:top w:val="none" w:sz="0" w:space="0" w:color="auto"/>
        <w:left w:val="none" w:sz="0" w:space="0" w:color="auto"/>
        <w:bottom w:val="none" w:sz="0" w:space="0" w:color="auto"/>
        <w:right w:val="none" w:sz="0" w:space="0" w:color="auto"/>
      </w:divBdr>
    </w:div>
    <w:div w:id="1831403782">
      <w:bodyDiv w:val="1"/>
      <w:marLeft w:val="0"/>
      <w:marRight w:val="0"/>
      <w:marTop w:val="0"/>
      <w:marBottom w:val="0"/>
      <w:divBdr>
        <w:top w:val="none" w:sz="0" w:space="0" w:color="auto"/>
        <w:left w:val="none" w:sz="0" w:space="0" w:color="auto"/>
        <w:bottom w:val="none" w:sz="0" w:space="0" w:color="auto"/>
        <w:right w:val="none" w:sz="0" w:space="0" w:color="auto"/>
      </w:divBdr>
      <w:divsChild>
        <w:div w:id="1517885318">
          <w:marLeft w:val="446"/>
          <w:marRight w:val="0"/>
          <w:marTop w:val="0"/>
          <w:marBottom w:val="0"/>
          <w:divBdr>
            <w:top w:val="none" w:sz="0" w:space="0" w:color="auto"/>
            <w:left w:val="none" w:sz="0" w:space="0" w:color="auto"/>
            <w:bottom w:val="none" w:sz="0" w:space="0" w:color="auto"/>
            <w:right w:val="none" w:sz="0" w:space="0" w:color="auto"/>
          </w:divBdr>
        </w:div>
      </w:divsChild>
    </w:div>
    <w:div w:id="1839229542">
      <w:bodyDiv w:val="1"/>
      <w:marLeft w:val="0"/>
      <w:marRight w:val="0"/>
      <w:marTop w:val="0"/>
      <w:marBottom w:val="0"/>
      <w:divBdr>
        <w:top w:val="none" w:sz="0" w:space="0" w:color="auto"/>
        <w:left w:val="none" w:sz="0" w:space="0" w:color="auto"/>
        <w:bottom w:val="none" w:sz="0" w:space="0" w:color="auto"/>
        <w:right w:val="none" w:sz="0" w:space="0" w:color="auto"/>
      </w:divBdr>
    </w:div>
    <w:div w:id="194244413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B830-7AAB-46E4-B8CA-389DD045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22096</Words>
  <Characters>127169</Characters>
  <Application>Microsoft Office Word</Application>
  <DocSecurity>0</DocSecurity>
  <Lines>1059</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2022-03-02T02:17:00Z</dcterms:created>
  <dcterms:modified xsi:type="dcterms:W3CDTF">2022-03-02T02:21:00Z</dcterms:modified>
</cp:coreProperties>
</file>