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1437" w14:textId="77777777" w:rsidR="00597C65" w:rsidRPr="001808B1" w:rsidRDefault="00597C65" w:rsidP="00EA556C">
      <w:pPr>
        <w:ind w:left="720" w:hanging="720"/>
        <w:rPr>
          <w:b/>
          <w:bCs/>
        </w:rPr>
      </w:pPr>
      <w:bookmarkStart w:id="0" w:name="_Toc22898844"/>
      <w:bookmarkStart w:id="1" w:name="_Toc22898867"/>
    </w:p>
    <w:p w14:paraId="6A4B6376" w14:textId="77777777" w:rsidR="00597C65" w:rsidRPr="00477591" w:rsidRDefault="00094440" w:rsidP="00477591">
      <w:pPr>
        <w:pStyle w:val="1-MainHeading"/>
        <w:keepNext w:val="0"/>
      </w:pPr>
      <w:bookmarkStart w:id="2" w:name="_Toc82689124"/>
      <w:r>
        <w:t xml:space="preserve">5.29 </w:t>
      </w:r>
      <w:r w:rsidR="00597C65" w:rsidRPr="001808B1">
        <w:t xml:space="preserve">FLUTICASONE FUROATE with </w:t>
      </w:r>
      <w:r w:rsidRPr="001808B1">
        <w:t xml:space="preserve">UMECLIDINIUM </w:t>
      </w:r>
      <w:r>
        <w:t xml:space="preserve">and </w:t>
      </w:r>
      <w:r w:rsidR="00597C65" w:rsidRPr="001808B1">
        <w:t>VILANTEROL,</w:t>
      </w:r>
      <w:r w:rsidR="00597C65" w:rsidRPr="001808B1">
        <w:br/>
      </w:r>
      <w:r w:rsidRPr="00094440">
        <w:t>Powder for oral inhalation in breath actuated device containing fluticasone furoate 200 micrograms with umeclidinium 62.5 micrograms (as bromide) and vilanterol 25 micrograms (as trifenatate) per dose, 30 doses</w:t>
      </w:r>
      <w:r w:rsidR="00597C65" w:rsidRPr="001808B1">
        <w:t>,</w:t>
      </w:r>
      <w:r w:rsidR="00597C65" w:rsidRPr="001808B1">
        <w:br/>
        <w:t>Trelegy</w:t>
      </w:r>
      <w:r w:rsidR="0085129C">
        <w:t>®</w:t>
      </w:r>
      <w:r w:rsidR="00597C65" w:rsidRPr="001808B1">
        <w:t xml:space="preserve"> Ellipta</w:t>
      </w:r>
      <w:r w:rsidR="0085129C">
        <w:t>®</w:t>
      </w:r>
      <w:r>
        <w:t xml:space="preserve"> </w:t>
      </w:r>
      <w:r w:rsidRPr="00094440">
        <w:t>200/62.5/25</w:t>
      </w:r>
      <w:r>
        <w:t>,</w:t>
      </w:r>
      <w:r w:rsidRPr="00094440" w:rsidDel="00094440">
        <w:t xml:space="preserve"> </w:t>
      </w:r>
      <w:r w:rsidR="00597C65" w:rsidRPr="001808B1">
        <w:br/>
        <w:t>GlaxoSmithKline Australia Pty Ltd.</w:t>
      </w:r>
      <w:bookmarkEnd w:id="2"/>
    </w:p>
    <w:p w14:paraId="69338BD8" w14:textId="77777777" w:rsidR="00934AD7" w:rsidRPr="001808B1" w:rsidRDefault="00934AD7" w:rsidP="00EA556C">
      <w:pPr>
        <w:pStyle w:val="2-SectionHeading"/>
      </w:pPr>
      <w:bookmarkStart w:id="3" w:name="_Toc82689126"/>
      <w:r w:rsidRPr="001808B1">
        <w:t>Purpose of submission</w:t>
      </w:r>
      <w:bookmarkEnd w:id="0"/>
      <w:bookmarkEnd w:id="3"/>
    </w:p>
    <w:p w14:paraId="7988BF79" w14:textId="77777777" w:rsidR="005E66DE" w:rsidRPr="00E77ED9" w:rsidRDefault="00934AD7" w:rsidP="00EA556C">
      <w:pPr>
        <w:pStyle w:val="3-BodyText"/>
      </w:pPr>
      <w:bookmarkStart w:id="4" w:name="_Hlk77580011"/>
      <w:r w:rsidRPr="001808B1">
        <w:t xml:space="preserve">The </w:t>
      </w:r>
      <w:r w:rsidR="005C169C">
        <w:t xml:space="preserve">Category 2 </w:t>
      </w:r>
      <w:r w:rsidRPr="001808B1">
        <w:t xml:space="preserve">submission requested </w:t>
      </w:r>
      <w:r w:rsidR="004627CE">
        <w:t xml:space="preserve">an </w:t>
      </w:r>
      <w:r w:rsidRPr="001808B1">
        <w:t>Authority Required (</w:t>
      </w:r>
      <w:r w:rsidR="005E66DE" w:rsidRPr="001808B1">
        <w:t>Streamlined</w:t>
      </w:r>
      <w:r w:rsidRPr="001808B1">
        <w:t>) listing for</w:t>
      </w:r>
      <w:r w:rsidR="00521BE5" w:rsidRPr="001808B1">
        <w:t xml:space="preserve"> </w:t>
      </w:r>
      <w:r w:rsidR="005E66DE" w:rsidRPr="001808B1">
        <w:t>Trelegy</w:t>
      </w:r>
      <w:bookmarkStart w:id="5" w:name="_Hlk78718532"/>
      <w:r w:rsidR="005E66DE" w:rsidRPr="001808B1">
        <w:t>®</w:t>
      </w:r>
      <w:bookmarkEnd w:id="5"/>
      <w:r w:rsidR="005E66DE" w:rsidRPr="001808B1">
        <w:t xml:space="preserve"> Ellipta®,</w:t>
      </w:r>
      <w:r w:rsidR="00000D5C" w:rsidRPr="001808B1">
        <w:t xml:space="preserve"> a</w:t>
      </w:r>
      <w:r w:rsidR="005E66DE" w:rsidRPr="001808B1">
        <w:t xml:space="preserve"> fixed</w:t>
      </w:r>
      <w:r w:rsidR="006F5D13" w:rsidRPr="001808B1">
        <w:t xml:space="preserve"> </w:t>
      </w:r>
      <w:r w:rsidR="005E66DE" w:rsidRPr="001808B1">
        <w:t xml:space="preserve">dose combination (FDC) of </w:t>
      </w:r>
      <w:bookmarkStart w:id="6" w:name="_Hlk79394737"/>
      <w:r w:rsidR="00521BE5" w:rsidRPr="001808B1">
        <w:t>fluticasone furoate</w:t>
      </w:r>
      <w:r w:rsidRPr="001808B1">
        <w:t xml:space="preserve"> </w:t>
      </w:r>
      <w:r w:rsidR="00521BE5" w:rsidRPr="001808B1">
        <w:t>(</w:t>
      </w:r>
      <w:r w:rsidRPr="001808B1">
        <w:t>FF</w:t>
      </w:r>
      <w:r w:rsidR="00521BE5" w:rsidRPr="001808B1">
        <w:t>)</w:t>
      </w:r>
      <w:r w:rsidR="005E66DE" w:rsidRPr="001808B1">
        <w:t xml:space="preserve">, an inhaled </w:t>
      </w:r>
      <w:r w:rsidR="005E66DE" w:rsidRPr="00E77ED9">
        <w:t xml:space="preserve">corticosteroid (ICS) with </w:t>
      </w:r>
      <w:r w:rsidR="00521BE5" w:rsidRPr="00E77ED9">
        <w:t>umeclidinium (</w:t>
      </w:r>
      <w:r w:rsidRPr="00E77ED9">
        <w:t>UMEC</w:t>
      </w:r>
      <w:r w:rsidR="00521BE5" w:rsidRPr="00E77ED9">
        <w:t>)</w:t>
      </w:r>
      <w:r w:rsidRPr="00E77ED9">
        <w:t xml:space="preserve">, </w:t>
      </w:r>
      <w:r w:rsidR="005E66DE" w:rsidRPr="00E77ED9">
        <w:t>a long</w:t>
      </w:r>
      <w:r w:rsidR="005827F2" w:rsidRPr="00E77ED9">
        <w:t>-</w:t>
      </w:r>
      <w:r w:rsidR="005E66DE" w:rsidRPr="00E77ED9">
        <w:t>acting muscarinic antagonist (LAMA)</w:t>
      </w:r>
      <w:r w:rsidR="0081496A">
        <w:t xml:space="preserve">, and </w:t>
      </w:r>
      <w:r w:rsidR="0081496A" w:rsidRPr="00E77ED9">
        <w:t>vilanterol (VI), a long-acting bet</w:t>
      </w:r>
      <w:r w:rsidR="0081496A">
        <w:t>a2 agonist (LABA)</w:t>
      </w:r>
      <w:r w:rsidR="005E66DE" w:rsidRPr="00E77ED9">
        <w:t xml:space="preserve"> for maintenance therapy of severe asthma</w:t>
      </w:r>
      <w:r w:rsidR="00E77ED9">
        <w:t xml:space="preserve"> (hereafter </w:t>
      </w:r>
      <w:r w:rsidR="0081496A">
        <w:t>FF/UMEC/VI</w:t>
      </w:r>
      <w:r w:rsidR="00E77ED9">
        <w:t>)</w:t>
      </w:r>
      <w:r w:rsidR="005E66DE" w:rsidRPr="00E77ED9">
        <w:t>.</w:t>
      </w:r>
      <w:r w:rsidR="00260B06" w:rsidRPr="00E77ED9">
        <w:t xml:space="preserve"> </w:t>
      </w:r>
    </w:p>
    <w:bookmarkEnd w:id="6"/>
    <w:p w14:paraId="0E267547" w14:textId="77777777" w:rsidR="005E66DE" w:rsidRPr="00E77ED9" w:rsidRDefault="005E66DE" w:rsidP="00EA556C">
      <w:pPr>
        <w:pStyle w:val="3-BodyText"/>
      </w:pPr>
      <w:r w:rsidRPr="00E77ED9">
        <w:t>The proposed listing is for</w:t>
      </w:r>
      <w:r w:rsidR="005A564D" w:rsidRPr="00E77ED9">
        <w:t xml:space="preserve"> one strength: </w:t>
      </w:r>
      <w:r w:rsidR="0081496A">
        <w:t>FF/UMEC/VI 200/62.5/25</w:t>
      </w:r>
      <w:r w:rsidR="001B116F" w:rsidRPr="00E77ED9">
        <w:t xml:space="preserve"> </w:t>
      </w:r>
      <w:r w:rsidRPr="00E77ED9">
        <w:t>mcg</w:t>
      </w:r>
      <w:r w:rsidR="005827F2" w:rsidRPr="00E77ED9">
        <w:t xml:space="preserve">. </w:t>
      </w:r>
      <w:r w:rsidR="005A564D" w:rsidRPr="00E77ED9">
        <w:t xml:space="preserve">The submission noted that the </w:t>
      </w:r>
      <w:r w:rsidR="0081496A">
        <w:t>FF/UMEC/VI</w:t>
      </w:r>
      <w:r w:rsidR="005A564D" w:rsidRPr="00E77ED9">
        <w:t xml:space="preserve"> dosing would be equivalent to &gt;800 mcg budesonide equi-potent per day and hence is considered </w:t>
      </w:r>
      <w:r w:rsidR="004B1AC4">
        <w:t xml:space="preserve">a </w:t>
      </w:r>
      <w:r w:rsidR="005A564D" w:rsidRPr="00E77ED9">
        <w:t>‘high’ dose</w:t>
      </w:r>
      <w:r w:rsidR="00E77ED9" w:rsidRPr="00E77ED9">
        <w:t xml:space="preserve"> ICS </w:t>
      </w:r>
      <w:r w:rsidR="004B1AC4">
        <w:t xml:space="preserve">product </w:t>
      </w:r>
      <w:r w:rsidR="00E77ED9" w:rsidRPr="00E77ED9">
        <w:t>in line with Australian guidelines</w:t>
      </w:r>
      <w:r w:rsidR="005A564D" w:rsidRPr="00E77ED9">
        <w:t xml:space="preserve">. </w:t>
      </w:r>
    </w:p>
    <w:p w14:paraId="746DE30E" w14:textId="77777777" w:rsidR="005E66DE" w:rsidRPr="000F48E0" w:rsidRDefault="002B3608" w:rsidP="00EA556C">
      <w:pPr>
        <w:pStyle w:val="3-BodyText"/>
      </w:pPr>
      <w:r>
        <w:rPr>
          <w:iCs/>
        </w:rPr>
        <w:t>M</w:t>
      </w:r>
      <w:r w:rsidR="00474CC4" w:rsidRPr="000F48E0">
        <w:rPr>
          <w:iCs/>
        </w:rPr>
        <w:t>ometasone furoate (MF)/indacaterol (IND)/glycopyrronium (GLY) (hereafter MF/IND/GLY)</w:t>
      </w:r>
      <w:r w:rsidR="0003058A" w:rsidRPr="000F48E0">
        <w:rPr>
          <w:iCs/>
        </w:rPr>
        <w:t xml:space="preserve"> </w:t>
      </w:r>
      <w:r>
        <w:rPr>
          <w:iCs/>
        </w:rPr>
        <w:t>is</w:t>
      </w:r>
      <w:r w:rsidR="0003058A" w:rsidRPr="000F48E0">
        <w:rPr>
          <w:iCs/>
        </w:rPr>
        <w:t xml:space="preserve"> PBS</w:t>
      </w:r>
      <w:r>
        <w:rPr>
          <w:iCs/>
        </w:rPr>
        <w:t xml:space="preserve"> listed </w:t>
      </w:r>
      <w:r w:rsidR="006F5D13" w:rsidRPr="000F48E0">
        <w:rPr>
          <w:iCs/>
        </w:rPr>
        <w:t>to treat</w:t>
      </w:r>
      <w:r w:rsidR="0003058A" w:rsidRPr="000F48E0">
        <w:rPr>
          <w:iCs/>
        </w:rPr>
        <w:t xml:space="preserve"> severe asthma. </w:t>
      </w:r>
      <w:bookmarkStart w:id="7" w:name="_Hlk79419361"/>
      <w:r w:rsidR="00780776" w:rsidRPr="000F48E0">
        <w:rPr>
          <w:iCs/>
        </w:rPr>
        <w:t xml:space="preserve">The </w:t>
      </w:r>
      <w:r w:rsidR="00AB75E5" w:rsidRPr="000F48E0">
        <w:rPr>
          <w:iCs/>
        </w:rPr>
        <w:t xml:space="preserve">MF/IND/GLY </w:t>
      </w:r>
      <w:r w:rsidR="00780776" w:rsidRPr="000F48E0">
        <w:t>inhaler requires</w:t>
      </w:r>
      <w:r w:rsidR="00AB75E5" w:rsidRPr="000F48E0">
        <w:t xml:space="preserve"> capsules to be loaded by the patient prior to use. In contrast, </w:t>
      </w:r>
      <w:r w:rsidR="0081496A">
        <w:t>FF/UMEC/VI</w:t>
      </w:r>
      <w:r w:rsidR="00AB75E5" w:rsidRPr="000F48E0">
        <w:t xml:space="preserve"> </w:t>
      </w:r>
      <w:r w:rsidR="005711F6">
        <w:t>is</w:t>
      </w:r>
      <w:r w:rsidR="00AB75E5" w:rsidRPr="000F48E0">
        <w:t xml:space="preserve"> a dry powder inhalation (DPI) device (Ellipta), which has a single step activation procedure of “Open </w:t>
      </w:r>
      <w:r w:rsidR="007F629A">
        <w:t>-</w:t>
      </w:r>
      <w:r w:rsidR="00AB75E5" w:rsidRPr="000F48E0">
        <w:t xml:space="preserve"> Inhale -</w:t>
      </w:r>
      <w:r w:rsidR="007F629A">
        <w:t xml:space="preserve"> </w:t>
      </w:r>
      <w:r w:rsidR="00AB75E5" w:rsidRPr="000F48E0">
        <w:t xml:space="preserve">Close”. </w:t>
      </w:r>
      <w:bookmarkEnd w:id="7"/>
    </w:p>
    <w:bookmarkEnd w:id="4"/>
    <w:p w14:paraId="36AC8E1E" w14:textId="77777777" w:rsidR="00934AD7" w:rsidRPr="001808B1" w:rsidRDefault="00934AD7" w:rsidP="00EA556C">
      <w:pPr>
        <w:pStyle w:val="3-BodyText"/>
        <w:rPr>
          <w:rFonts w:ascii="Arial Narrow" w:hAnsi="Arial Narrow"/>
          <w:b/>
          <w:color w:val="000000" w:themeColor="text1"/>
          <w:sz w:val="20"/>
        </w:rPr>
      </w:pPr>
      <w:r w:rsidRPr="001808B1">
        <w:t>Listing</w:t>
      </w:r>
      <w:r w:rsidR="004665C2" w:rsidRPr="001808B1">
        <w:t xml:space="preserve"> of </w:t>
      </w:r>
      <w:r w:rsidR="0081496A">
        <w:t>FF/UMEC/VI 200/62.5/25</w:t>
      </w:r>
      <w:r w:rsidRPr="001808B1">
        <w:t xml:space="preserve"> was requested on the basis of a cost-minimisation analysis versus </w:t>
      </w:r>
      <w:r w:rsidR="002763E8">
        <w:t>MF/IND/GLY 136/114/46</w:t>
      </w:r>
      <w:r w:rsidR="002D53FB" w:rsidRPr="001808B1">
        <w:t xml:space="preserve"> or high dose ICS/LABA</w:t>
      </w:r>
      <w:r w:rsidR="0003058A" w:rsidRPr="001808B1">
        <w:t>s</w:t>
      </w:r>
      <w:r w:rsidR="002D53FB" w:rsidRPr="001808B1">
        <w:t xml:space="preserve"> + </w:t>
      </w:r>
      <w:r w:rsidR="00F10864">
        <w:t>t</w:t>
      </w:r>
      <w:r w:rsidR="002D53FB" w:rsidRPr="001808B1">
        <w:t>iotropium (TIO)</w:t>
      </w:r>
      <w:r w:rsidRPr="001808B1">
        <w:t>.</w:t>
      </w:r>
    </w:p>
    <w:p w14:paraId="14D4DC75" w14:textId="77777777" w:rsidR="00934AD7" w:rsidRPr="001808B1" w:rsidRDefault="00934AD7" w:rsidP="00EA556C">
      <w:pPr>
        <w:pStyle w:val="TableFigureHeading"/>
        <w:rPr>
          <w:rStyle w:val="CommentReference"/>
          <w:b/>
          <w:color w:val="auto"/>
          <w:szCs w:val="24"/>
        </w:rPr>
      </w:pPr>
      <w:r w:rsidRPr="001808B1">
        <w:rPr>
          <w:rStyle w:val="CommentReference"/>
          <w:b/>
          <w:color w:val="auto"/>
          <w:szCs w:val="24"/>
        </w:rPr>
        <w:lastRenderedPageBreak/>
        <w:t>Table 1: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413"/>
        <w:gridCol w:w="7743"/>
      </w:tblGrid>
      <w:tr w:rsidR="00221245" w:rsidRPr="001808B1" w14:paraId="15E41BD2" w14:textId="77777777" w:rsidTr="00576B4F">
        <w:tc>
          <w:tcPr>
            <w:tcW w:w="1413" w:type="dxa"/>
            <w:vAlign w:val="center"/>
          </w:tcPr>
          <w:p w14:paraId="451A39E3" w14:textId="77777777" w:rsidR="00221245" w:rsidRPr="001808B1" w:rsidRDefault="00221245" w:rsidP="00EA556C">
            <w:pPr>
              <w:pStyle w:val="In-tableHeading"/>
            </w:pPr>
            <w:r w:rsidRPr="001808B1">
              <w:t>Component</w:t>
            </w:r>
          </w:p>
        </w:tc>
        <w:tc>
          <w:tcPr>
            <w:tcW w:w="7743" w:type="dxa"/>
            <w:vAlign w:val="center"/>
          </w:tcPr>
          <w:p w14:paraId="1A2B9AF3" w14:textId="77777777" w:rsidR="00221245" w:rsidRPr="001808B1" w:rsidRDefault="00221245" w:rsidP="00EA556C">
            <w:pPr>
              <w:pStyle w:val="In-tableHeading"/>
            </w:pPr>
            <w:r w:rsidRPr="001808B1">
              <w:t>Description</w:t>
            </w:r>
          </w:p>
        </w:tc>
      </w:tr>
      <w:tr w:rsidR="00221245" w:rsidRPr="001808B1" w14:paraId="0B01C32B" w14:textId="77777777" w:rsidTr="00576B4F">
        <w:tc>
          <w:tcPr>
            <w:tcW w:w="1413" w:type="dxa"/>
            <w:vAlign w:val="center"/>
          </w:tcPr>
          <w:p w14:paraId="6B0BFBF6" w14:textId="77777777" w:rsidR="00221245" w:rsidRPr="001808B1" w:rsidRDefault="00221245" w:rsidP="00EA556C">
            <w:pPr>
              <w:pStyle w:val="TableText0"/>
            </w:pPr>
            <w:r w:rsidRPr="001808B1">
              <w:t>Population</w:t>
            </w:r>
          </w:p>
        </w:tc>
        <w:tc>
          <w:tcPr>
            <w:tcW w:w="7743" w:type="dxa"/>
            <w:vAlign w:val="center"/>
          </w:tcPr>
          <w:p w14:paraId="45CE00CE" w14:textId="77777777" w:rsidR="00221245" w:rsidRPr="001808B1" w:rsidRDefault="00221245" w:rsidP="00EA556C">
            <w:pPr>
              <w:pStyle w:val="TableText0"/>
            </w:pPr>
            <w:r w:rsidRPr="001808B1">
              <w:t>Asthma patients who are currently uncontrolled on ICS/LABA treatments</w:t>
            </w:r>
          </w:p>
        </w:tc>
      </w:tr>
      <w:tr w:rsidR="00221245" w:rsidRPr="001808B1" w14:paraId="05CFDB5F" w14:textId="77777777" w:rsidTr="00576B4F">
        <w:tc>
          <w:tcPr>
            <w:tcW w:w="1413" w:type="dxa"/>
            <w:vAlign w:val="center"/>
          </w:tcPr>
          <w:p w14:paraId="5DA9046A" w14:textId="77777777" w:rsidR="00221245" w:rsidRPr="001808B1" w:rsidRDefault="00221245" w:rsidP="00EA556C">
            <w:pPr>
              <w:pStyle w:val="TableText0"/>
            </w:pPr>
            <w:r w:rsidRPr="001808B1">
              <w:t>Intervention</w:t>
            </w:r>
          </w:p>
        </w:tc>
        <w:tc>
          <w:tcPr>
            <w:tcW w:w="7743" w:type="dxa"/>
            <w:vAlign w:val="center"/>
          </w:tcPr>
          <w:p w14:paraId="381B2E66" w14:textId="77777777" w:rsidR="00221245" w:rsidRPr="001808B1" w:rsidRDefault="0081496A" w:rsidP="00EA556C">
            <w:pPr>
              <w:pStyle w:val="TableText0"/>
            </w:pPr>
            <w:r>
              <w:t>FF/UMEC/VI</w:t>
            </w:r>
            <w:r w:rsidR="00221245" w:rsidRPr="001808B1">
              <w:t>, a once-daily dry powder inhaler containing fluticasone furoate (FF)</w:t>
            </w:r>
            <w:r w:rsidR="009249F0">
              <w:t>,</w:t>
            </w:r>
            <w:r w:rsidR="00E144CF" w:rsidRPr="001808B1">
              <w:t xml:space="preserve"> umeclidinium bromide (UMEC)</w:t>
            </w:r>
            <w:r w:rsidR="009249F0">
              <w:t xml:space="preserve"> and vilanterol trifenatate (VI)</w:t>
            </w:r>
            <w:r w:rsidR="00221245" w:rsidRPr="001808B1">
              <w:t xml:space="preserve">, </w:t>
            </w:r>
            <w:r>
              <w:t>200/62.5/25</w:t>
            </w:r>
            <w:r w:rsidR="00221245" w:rsidRPr="001808B1">
              <w:t xml:space="preserve"> mcg per actuation</w:t>
            </w:r>
          </w:p>
        </w:tc>
      </w:tr>
      <w:tr w:rsidR="00221245" w:rsidRPr="001808B1" w14:paraId="3B5A03C6" w14:textId="77777777" w:rsidTr="00576B4F">
        <w:tc>
          <w:tcPr>
            <w:tcW w:w="1413" w:type="dxa"/>
            <w:vAlign w:val="center"/>
          </w:tcPr>
          <w:p w14:paraId="121F7699" w14:textId="77777777" w:rsidR="00221245" w:rsidRPr="001808B1" w:rsidRDefault="00221245" w:rsidP="00EA556C">
            <w:pPr>
              <w:pStyle w:val="TableText0"/>
            </w:pPr>
            <w:r w:rsidRPr="001808B1">
              <w:t>Comparator</w:t>
            </w:r>
          </w:p>
        </w:tc>
        <w:tc>
          <w:tcPr>
            <w:tcW w:w="7743" w:type="dxa"/>
            <w:vAlign w:val="center"/>
          </w:tcPr>
          <w:p w14:paraId="5C159011" w14:textId="77777777" w:rsidR="00221245" w:rsidRPr="001808B1" w:rsidRDefault="00F144AD" w:rsidP="00EA556C">
            <w:pPr>
              <w:pStyle w:val="TableText0"/>
            </w:pPr>
            <w:r w:rsidRPr="001808B1">
              <w:t>Single inhaler triple therapy</w:t>
            </w:r>
            <w:r w:rsidR="00221245" w:rsidRPr="001808B1">
              <w:t xml:space="preserve"> including Enerzair</w:t>
            </w:r>
            <w:r w:rsidR="001341A8" w:rsidRPr="001808B1">
              <w:t>®</w:t>
            </w:r>
            <w:r w:rsidR="00221245" w:rsidRPr="001808B1">
              <w:t xml:space="preserve"> Breezhaler</w:t>
            </w:r>
            <w:r w:rsidR="001341A8" w:rsidRPr="001808B1">
              <w:t>®</w:t>
            </w:r>
            <w:r w:rsidR="00221245" w:rsidRPr="001808B1">
              <w:t xml:space="preserve"> (MF/IND/GLY) 136/114/46</w:t>
            </w:r>
            <w:r w:rsidR="001B116F" w:rsidRPr="001808B1">
              <w:t xml:space="preserve"> mcg</w:t>
            </w:r>
            <w:r w:rsidR="00221245" w:rsidRPr="001808B1">
              <w:t xml:space="preserve">, OR </w:t>
            </w:r>
          </w:p>
          <w:p w14:paraId="4244B6C4" w14:textId="77777777" w:rsidR="00221245" w:rsidRPr="001808B1" w:rsidRDefault="00F144AD" w:rsidP="00EA556C">
            <w:pPr>
              <w:pStyle w:val="TableText0"/>
              <w:rPr>
                <w:vertAlign w:val="superscript"/>
              </w:rPr>
            </w:pPr>
            <w:r w:rsidRPr="001808B1">
              <w:t>Multiple inhaler triple therapy</w:t>
            </w:r>
            <w:r w:rsidR="00221245" w:rsidRPr="001808B1">
              <w:t xml:space="preserve"> containing high</w:t>
            </w:r>
            <w:r w:rsidR="00221245" w:rsidRPr="001808B1">
              <w:rPr>
                <w:vertAlign w:val="superscript"/>
              </w:rPr>
              <w:t>a</w:t>
            </w:r>
            <w:r w:rsidR="00221245" w:rsidRPr="001808B1">
              <w:t xml:space="preserve"> dose ICS/LABA FDCs plus TIO</w:t>
            </w:r>
            <w:r w:rsidR="00221245" w:rsidRPr="001808B1">
              <w:rPr>
                <w:vertAlign w:val="superscript"/>
              </w:rPr>
              <w:t>b</w:t>
            </w:r>
          </w:p>
          <w:p w14:paraId="612447D4" w14:textId="77777777" w:rsidR="00221245" w:rsidRPr="001808B1" w:rsidRDefault="00221245" w:rsidP="00EA556C">
            <w:pPr>
              <w:pStyle w:val="TableText0"/>
              <w:rPr>
                <w:vertAlign w:val="superscript"/>
              </w:rPr>
            </w:pPr>
          </w:p>
          <w:p w14:paraId="47E48CEC" w14:textId="77777777" w:rsidR="00221245" w:rsidRPr="001808B1" w:rsidRDefault="00221245" w:rsidP="00EA556C">
            <w:pPr>
              <w:pStyle w:val="TableText0"/>
            </w:pPr>
            <w:r w:rsidRPr="001808B1">
              <w:t>Clinical evidence presented informs the following comparisons:</w:t>
            </w:r>
          </w:p>
          <w:p w14:paraId="25FF0BB5" w14:textId="77777777" w:rsidR="00221245" w:rsidRPr="001808B1" w:rsidRDefault="00221245" w:rsidP="00EA556C">
            <w:pPr>
              <w:pStyle w:val="TableText0"/>
            </w:pPr>
            <w:r w:rsidRPr="001808B1">
              <w:t>•</w:t>
            </w:r>
            <w:r w:rsidR="0081496A">
              <w:t>FF/UMEC/VI 200/62.5/25</w:t>
            </w:r>
            <w:r w:rsidR="001B116F" w:rsidRPr="001808B1">
              <w:t xml:space="preserve"> mcg</w:t>
            </w:r>
            <w:r w:rsidRPr="001808B1">
              <w:t xml:space="preserve"> one actuation once daily versus </w:t>
            </w:r>
            <w:r w:rsidR="004272F5">
              <w:t>MF/IND/GLY</w:t>
            </w:r>
            <w:r w:rsidRPr="001808B1">
              <w:t xml:space="preserve"> 136/114/46</w:t>
            </w:r>
            <w:r w:rsidR="001B116F" w:rsidRPr="001808B1">
              <w:t xml:space="preserve"> mcg</w:t>
            </w:r>
            <w:r w:rsidRPr="001808B1">
              <w:t>, one actuation once daily via indirect treatment comparison</w:t>
            </w:r>
          </w:p>
          <w:p w14:paraId="4470EDA7" w14:textId="77777777" w:rsidR="00221245" w:rsidRPr="001808B1" w:rsidRDefault="00221245" w:rsidP="00EA556C">
            <w:pPr>
              <w:pStyle w:val="TableText0"/>
            </w:pPr>
            <w:r w:rsidRPr="001808B1">
              <w:t>•</w:t>
            </w:r>
            <w:r w:rsidR="0081496A">
              <w:t>FF/UMEC/VI 200/62.5/25</w:t>
            </w:r>
            <w:r w:rsidR="001B116F" w:rsidRPr="001808B1">
              <w:t xml:space="preserve"> mcg</w:t>
            </w:r>
            <w:r w:rsidRPr="001808B1">
              <w:t xml:space="preserve"> one actuation once daily versus </w:t>
            </w:r>
            <w:r w:rsidR="00E235E7" w:rsidRPr="001808B1">
              <w:t>high dose</w:t>
            </w:r>
            <w:r w:rsidRPr="001808B1">
              <w:t xml:space="preserve"> ICS/LABA + TIO 2.5 mcg two actuations once daily via indirect treatment comparison</w:t>
            </w:r>
          </w:p>
        </w:tc>
      </w:tr>
      <w:tr w:rsidR="00221245" w:rsidRPr="001808B1" w14:paraId="757F9161" w14:textId="77777777" w:rsidTr="00576B4F">
        <w:tc>
          <w:tcPr>
            <w:tcW w:w="1413" w:type="dxa"/>
            <w:vAlign w:val="center"/>
          </w:tcPr>
          <w:p w14:paraId="074F902F" w14:textId="77777777" w:rsidR="00221245" w:rsidRPr="001808B1" w:rsidRDefault="00221245" w:rsidP="00EA556C">
            <w:pPr>
              <w:pStyle w:val="TableText0"/>
            </w:pPr>
            <w:r w:rsidRPr="001808B1">
              <w:t>Outcomes</w:t>
            </w:r>
          </w:p>
        </w:tc>
        <w:tc>
          <w:tcPr>
            <w:tcW w:w="7743" w:type="dxa"/>
            <w:vAlign w:val="center"/>
          </w:tcPr>
          <w:p w14:paraId="125B18F8" w14:textId="77777777" w:rsidR="00221245" w:rsidRPr="001808B1" w:rsidRDefault="00221245" w:rsidP="00EA556C">
            <w:pPr>
              <w:pStyle w:val="TableText0"/>
            </w:pPr>
            <w:r w:rsidRPr="001808B1">
              <w:t>Efficacy: Trough FEV1; annualised rate of moderate/severe exacerbations; time to first moderate/severe exacerbation, ACQ-7 total score; ACQ-7 responder rate; AQLQ total score</w:t>
            </w:r>
          </w:p>
          <w:p w14:paraId="4BD996EB" w14:textId="77777777" w:rsidR="00221245" w:rsidRPr="001808B1" w:rsidRDefault="00221245" w:rsidP="00EA556C">
            <w:pPr>
              <w:pStyle w:val="TableText0"/>
            </w:pPr>
            <w:r w:rsidRPr="001808B1">
              <w:t xml:space="preserve">Safety: Frequency of any adverse events (AEs), serious </w:t>
            </w:r>
            <w:r w:rsidR="00B8173F">
              <w:t>AE</w:t>
            </w:r>
            <w:r w:rsidRPr="001808B1">
              <w:t>s (SAEs), AEs that were frequently reported (occurring in ≥3% of subjects in either treatment arm) and AEs of special interest</w:t>
            </w:r>
          </w:p>
        </w:tc>
      </w:tr>
      <w:tr w:rsidR="00221245" w:rsidRPr="001808B1" w14:paraId="30AC805E" w14:textId="77777777" w:rsidTr="00576B4F">
        <w:tc>
          <w:tcPr>
            <w:tcW w:w="1413" w:type="dxa"/>
            <w:vAlign w:val="center"/>
          </w:tcPr>
          <w:p w14:paraId="39F9388A" w14:textId="77777777" w:rsidR="00221245" w:rsidRPr="001808B1" w:rsidRDefault="00221245" w:rsidP="00EA556C">
            <w:pPr>
              <w:pStyle w:val="TableText0"/>
            </w:pPr>
            <w:r w:rsidRPr="001808B1">
              <w:t>Clinical claim</w:t>
            </w:r>
          </w:p>
        </w:tc>
        <w:tc>
          <w:tcPr>
            <w:tcW w:w="7743" w:type="dxa"/>
            <w:vAlign w:val="center"/>
          </w:tcPr>
          <w:p w14:paraId="28FADB2E" w14:textId="77777777" w:rsidR="00221245" w:rsidRPr="001808B1" w:rsidRDefault="00221245" w:rsidP="00EA556C">
            <w:pPr>
              <w:pStyle w:val="TableText0"/>
            </w:pPr>
            <w:r w:rsidRPr="001808B1">
              <w:t>In adults with asthma who remain uncontrolled on ICS/LABA:</w:t>
            </w:r>
          </w:p>
          <w:p w14:paraId="3AB72D68" w14:textId="77777777" w:rsidR="00221245" w:rsidRPr="001808B1" w:rsidRDefault="0081496A" w:rsidP="00EA556C">
            <w:pPr>
              <w:pStyle w:val="TableText0"/>
            </w:pPr>
            <w:r>
              <w:t>FF/UMEC/VI 200/62.5/25</w:t>
            </w:r>
            <w:r w:rsidR="00221245" w:rsidRPr="001808B1">
              <w:t xml:space="preserve"> is non-inferior to </w:t>
            </w:r>
            <w:r w:rsidR="002763E8">
              <w:t>MF/IND/GLY 136/114/46</w:t>
            </w:r>
            <w:r w:rsidR="00221245" w:rsidRPr="001808B1">
              <w:t xml:space="preserve"> as well as high dose ICS/LABA+TIO in terms of the primary outcome of Trough FEV1</w:t>
            </w:r>
          </w:p>
          <w:p w14:paraId="2055C361" w14:textId="77777777" w:rsidR="00221245" w:rsidRPr="001808B1" w:rsidRDefault="00221245" w:rsidP="00EA556C">
            <w:pPr>
              <w:pStyle w:val="TableText0"/>
            </w:pPr>
          </w:p>
          <w:p w14:paraId="1535167D" w14:textId="77777777" w:rsidR="00221245" w:rsidRPr="001808B1" w:rsidRDefault="0081496A" w:rsidP="00EA556C">
            <w:pPr>
              <w:pStyle w:val="TableText0"/>
            </w:pPr>
            <w:r>
              <w:t>FF/UMEC/VI 200/62.5/25</w:t>
            </w:r>
            <w:r w:rsidR="00221245" w:rsidRPr="001808B1">
              <w:t xml:space="preserve"> has similar or comparable safety compared with </w:t>
            </w:r>
            <w:r w:rsidR="002763E8">
              <w:t>MF/IND/GLY 136/114/46</w:t>
            </w:r>
            <w:r w:rsidR="00221245" w:rsidRPr="001808B1">
              <w:t xml:space="preserve"> as well as high dose ICS/LABA</w:t>
            </w:r>
          </w:p>
        </w:tc>
      </w:tr>
    </w:tbl>
    <w:p w14:paraId="64C57083" w14:textId="77777777" w:rsidR="00221245" w:rsidRPr="001808B1" w:rsidRDefault="00221245" w:rsidP="00EA556C">
      <w:pPr>
        <w:pStyle w:val="TableFigureFooter"/>
      </w:pPr>
      <w:r w:rsidRPr="001808B1">
        <w:t>Source: Table 1, p16 of the submission.</w:t>
      </w:r>
    </w:p>
    <w:p w14:paraId="057A2DAE" w14:textId="77777777" w:rsidR="00221245" w:rsidRPr="001808B1" w:rsidRDefault="00221245" w:rsidP="00EA556C">
      <w:pPr>
        <w:pStyle w:val="TableFigureFooter"/>
      </w:pPr>
      <w:r w:rsidRPr="001808B1">
        <w:t>ACQ-7</w:t>
      </w:r>
      <w:r w:rsidR="00AA5AF3" w:rsidRPr="001808B1">
        <w:t xml:space="preserve">: </w:t>
      </w:r>
      <w:r w:rsidRPr="001808B1">
        <w:t>Asthma Control Questionnaire; AE: adverse event; AQLQ</w:t>
      </w:r>
      <w:r w:rsidR="00AA5AF3" w:rsidRPr="001808B1">
        <w:t>:</w:t>
      </w:r>
      <w:r w:rsidR="00BC490C" w:rsidRPr="001808B1">
        <w:t xml:space="preserve"> </w:t>
      </w:r>
      <w:r w:rsidRPr="001808B1">
        <w:t>Asthma Quality of Life Questionnaire; FDC</w:t>
      </w:r>
      <w:r w:rsidR="00AA5AF3" w:rsidRPr="001808B1">
        <w:t xml:space="preserve">: </w:t>
      </w:r>
      <w:r w:rsidRPr="001808B1">
        <w:t>fixed dose combination; FEV1</w:t>
      </w:r>
      <w:r w:rsidR="00AA5AF3" w:rsidRPr="001808B1">
        <w:t xml:space="preserve">: </w:t>
      </w:r>
      <w:r w:rsidRPr="001808B1">
        <w:t xml:space="preserve">forced expiratory volume in one second; </w:t>
      </w:r>
      <w:bookmarkStart w:id="8" w:name="_Hlk79614967"/>
      <w:r w:rsidRPr="001808B1">
        <w:t>FF</w:t>
      </w:r>
      <w:r w:rsidR="00AA5AF3" w:rsidRPr="001808B1">
        <w:t xml:space="preserve">: </w:t>
      </w:r>
      <w:r w:rsidRPr="001808B1">
        <w:t>fluticasone furoate; GLY</w:t>
      </w:r>
      <w:r w:rsidR="00AA5AF3" w:rsidRPr="001808B1">
        <w:t xml:space="preserve">: </w:t>
      </w:r>
      <w:r w:rsidRPr="001808B1">
        <w:t>glycopyrronium; ICS</w:t>
      </w:r>
      <w:r w:rsidR="00AA5AF3" w:rsidRPr="001808B1">
        <w:t xml:space="preserve">: </w:t>
      </w:r>
      <w:r w:rsidRPr="001808B1">
        <w:t>inhaled corticosteroid; IND</w:t>
      </w:r>
      <w:r w:rsidR="00AA5AF3" w:rsidRPr="001808B1">
        <w:t xml:space="preserve">: </w:t>
      </w:r>
      <w:r w:rsidRPr="001808B1">
        <w:t>indacaterol; LABA</w:t>
      </w:r>
      <w:r w:rsidR="00AA5AF3" w:rsidRPr="001808B1">
        <w:t xml:space="preserve">: </w:t>
      </w:r>
      <w:r w:rsidRPr="001808B1">
        <w:t>long-acting beta2-adrenergic agonist; LAMA</w:t>
      </w:r>
      <w:r w:rsidR="00AA5AF3" w:rsidRPr="001808B1">
        <w:t xml:space="preserve">: </w:t>
      </w:r>
      <w:r w:rsidRPr="001808B1">
        <w:t>long-acting muscarinic receptor antagonist; MF</w:t>
      </w:r>
      <w:r w:rsidR="00AA5AF3" w:rsidRPr="001808B1">
        <w:t xml:space="preserve">: </w:t>
      </w:r>
      <w:r w:rsidRPr="001808B1">
        <w:t xml:space="preserve">mometasone furoate; SAE: serious adverse event; TIO: </w:t>
      </w:r>
      <w:r w:rsidR="0039042E" w:rsidRPr="001808B1">
        <w:t>t</w:t>
      </w:r>
      <w:r w:rsidRPr="001808B1">
        <w:t>iotropium; UMEC</w:t>
      </w:r>
      <w:r w:rsidR="00AA5AF3" w:rsidRPr="001808B1">
        <w:t xml:space="preserve">: </w:t>
      </w:r>
      <w:r w:rsidRPr="001808B1">
        <w:t>umeclidinium VI</w:t>
      </w:r>
      <w:r w:rsidR="00AA5AF3" w:rsidRPr="001808B1">
        <w:t xml:space="preserve">: </w:t>
      </w:r>
      <w:r w:rsidRPr="001808B1">
        <w:t>vilanterol</w:t>
      </w:r>
      <w:bookmarkEnd w:id="8"/>
    </w:p>
    <w:p w14:paraId="3B3728C1" w14:textId="77777777" w:rsidR="00221245" w:rsidRPr="001808B1" w:rsidRDefault="00221245" w:rsidP="00EA556C">
      <w:pPr>
        <w:pStyle w:val="TableFigureFooter"/>
      </w:pPr>
      <w:r w:rsidRPr="001808B1">
        <w:rPr>
          <w:vertAlign w:val="superscript"/>
        </w:rPr>
        <w:t>a</w:t>
      </w:r>
      <w:r w:rsidRPr="001808B1">
        <w:t xml:space="preserve"> High dose (i.e.</w:t>
      </w:r>
      <w:r w:rsidR="00792EB8" w:rsidRPr="001808B1">
        <w:t xml:space="preserve"> </w:t>
      </w:r>
      <w:r w:rsidRPr="001808B1">
        <w:t xml:space="preserve">providing &gt;800 mcg budesonide equi-potent per day) ICS/LABA FDCs for asthma include: </w:t>
      </w:r>
    </w:p>
    <w:p w14:paraId="4E2344F6" w14:textId="77777777" w:rsidR="00221245" w:rsidRPr="001808B1" w:rsidRDefault="00221245" w:rsidP="00EA556C">
      <w:pPr>
        <w:pStyle w:val="TableFigureFooter"/>
      </w:pPr>
      <w:r w:rsidRPr="001808B1">
        <w:rPr>
          <w:szCs w:val="20"/>
        </w:rPr>
        <w:t>Fluticasone propionate</w:t>
      </w:r>
      <w:r w:rsidRPr="001808B1">
        <w:t xml:space="preserve"> (FP)/ Salmeterol 500/50 mcg one actuation twice daily (Seretide® Accuhaler®) </w:t>
      </w:r>
    </w:p>
    <w:p w14:paraId="3A196AD5" w14:textId="77777777" w:rsidR="00221245" w:rsidRPr="001808B1" w:rsidRDefault="00221245" w:rsidP="00EA556C">
      <w:pPr>
        <w:pStyle w:val="TableFigureFooter"/>
      </w:pPr>
      <w:r w:rsidRPr="001808B1">
        <w:t>FP/SAL 250/25 mcg two actuations</w:t>
      </w:r>
      <w:r w:rsidR="004272F5">
        <w:t xml:space="preserve"> twice daily (Seretide® Evocair</w:t>
      </w:r>
      <w:r w:rsidRPr="001808B1">
        <w:t xml:space="preserve">®, </w:t>
      </w:r>
      <w:r w:rsidR="004272F5">
        <w:rPr>
          <w:rFonts w:cs="Times New Roman"/>
        </w:rPr>
        <w:t xml:space="preserve">Fluticasone + Salmeterol Cipla®, </w:t>
      </w:r>
      <w:r w:rsidRPr="001808B1">
        <w:t>SalPlusF®, Seroflo®, Pavtide®)</w:t>
      </w:r>
    </w:p>
    <w:p w14:paraId="7C244292" w14:textId="77777777" w:rsidR="00221245" w:rsidRPr="001808B1" w:rsidRDefault="00221245" w:rsidP="00EA556C">
      <w:pPr>
        <w:pStyle w:val="TableFigureFooter"/>
      </w:pPr>
      <w:r w:rsidRPr="001808B1">
        <w:t>Budesonide (BUD)/ Formoterol (FOR) 400/12</w:t>
      </w:r>
      <w:r w:rsidR="001B116F" w:rsidRPr="001808B1">
        <w:t xml:space="preserve"> mcg</w:t>
      </w:r>
      <w:r w:rsidRPr="001808B1">
        <w:t xml:space="preserve"> two actuations twice daily (Symbicort® Turbuhaler®, Duoresp® Spiromax®)</w:t>
      </w:r>
    </w:p>
    <w:p w14:paraId="161AC909" w14:textId="77777777" w:rsidR="00221245" w:rsidRPr="001808B1" w:rsidRDefault="00221245" w:rsidP="00EA556C">
      <w:pPr>
        <w:pStyle w:val="TableFigureFooter"/>
      </w:pPr>
      <w:r w:rsidRPr="001808B1">
        <w:t>BUD/FOR 200/6</w:t>
      </w:r>
      <w:r w:rsidR="001B116F" w:rsidRPr="001808B1">
        <w:t xml:space="preserve"> mcg</w:t>
      </w:r>
      <w:r w:rsidRPr="001808B1">
        <w:t xml:space="preserve"> four actuations twice daily (Symbicort® Rapihaler®)</w:t>
      </w:r>
    </w:p>
    <w:p w14:paraId="1C9F2AA0" w14:textId="77777777" w:rsidR="00221245" w:rsidRPr="001808B1" w:rsidRDefault="00221245" w:rsidP="00EA556C">
      <w:pPr>
        <w:pStyle w:val="TableFigureFooter"/>
      </w:pPr>
      <w:r w:rsidRPr="001808B1">
        <w:t>FP/FOR 250/10</w:t>
      </w:r>
      <w:r w:rsidR="001B116F" w:rsidRPr="001808B1">
        <w:t xml:space="preserve"> mcg</w:t>
      </w:r>
      <w:r w:rsidRPr="001808B1">
        <w:t xml:space="preserve"> two actuations twice daily (Flutiform®) </w:t>
      </w:r>
    </w:p>
    <w:p w14:paraId="2132F320" w14:textId="77777777" w:rsidR="00221245" w:rsidRPr="001808B1" w:rsidRDefault="00221245" w:rsidP="00EA556C">
      <w:pPr>
        <w:pStyle w:val="TableFigureFooter"/>
      </w:pPr>
      <w:r w:rsidRPr="001808B1">
        <w:t>Fluticasone furoate (FF)/Vilanterol (VI) 200/25</w:t>
      </w:r>
      <w:r w:rsidR="001B116F" w:rsidRPr="001808B1">
        <w:t xml:space="preserve"> mcg</w:t>
      </w:r>
      <w:r w:rsidRPr="001808B1">
        <w:t xml:space="preserve"> one actuation daily (Breo® Ellipta®) </w:t>
      </w:r>
    </w:p>
    <w:p w14:paraId="3AA5D28A" w14:textId="77777777" w:rsidR="00221245" w:rsidRPr="001808B1" w:rsidRDefault="00221245" w:rsidP="00EA556C">
      <w:pPr>
        <w:pStyle w:val="TableFigureFooter"/>
      </w:pPr>
      <w:r w:rsidRPr="001808B1">
        <w:t xml:space="preserve">Mometasone furoate (MF)/Indacaterol (IND) </w:t>
      </w:r>
      <w:r w:rsidR="00767593">
        <w:t>320/150</w:t>
      </w:r>
      <w:r w:rsidR="001B116F" w:rsidRPr="001808B1">
        <w:t xml:space="preserve"> mcg</w:t>
      </w:r>
      <w:r w:rsidRPr="001808B1">
        <w:t xml:space="preserve"> one actuation daily (Atectura® Breezhaler®)</w:t>
      </w:r>
      <w:r w:rsidR="00767593">
        <w:t>. The</w:t>
      </w:r>
      <w:r w:rsidR="00FE65A4">
        <w:t xml:space="preserve"> submission reported the</w:t>
      </w:r>
      <w:r w:rsidR="00767593">
        <w:t xml:space="preserve"> dosage for MF/IND to be 260/125 mcg, however </w:t>
      </w:r>
      <w:r w:rsidR="00767593" w:rsidRPr="00767593">
        <w:t xml:space="preserve">the TGA recommended the dosage to be reported as </w:t>
      </w:r>
      <w:r w:rsidR="00767593">
        <w:t>320/150 mcg</w:t>
      </w:r>
      <w:r w:rsidR="00FE65A4">
        <w:t xml:space="preserve"> (delivered dose 260 mcg MF, 125 mcg IND) </w:t>
      </w:r>
      <w:r w:rsidR="00FE65A4" w:rsidRPr="00FE65A4">
        <w:t>(</w:t>
      </w:r>
      <w:r w:rsidR="00FE65A4" w:rsidRPr="00FE65A4">
        <w:rPr>
          <w:color w:val="000000" w:themeColor="text1"/>
        </w:rPr>
        <w:t xml:space="preserve">paragraph </w:t>
      </w:r>
      <w:r w:rsidR="00FE65A4">
        <w:rPr>
          <w:color w:val="000000" w:themeColor="text1"/>
        </w:rPr>
        <w:t>2.40</w:t>
      </w:r>
      <w:r w:rsidR="00FE65A4" w:rsidRPr="00FE65A4">
        <w:rPr>
          <w:color w:val="000000" w:themeColor="text1"/>
        </w:rPr>
        <w:t xml:space="preserve">, MF/IND </w:t>
      </w:r>
      <w:r w:rsidR="008B2168">
        <w:rPr>
          <w:color w:val="000000" w:themeColor="text1"/>
        </w:rPr>
        <w:t>Public Summary Document (</w:t>
      </w:r>
      <w:r w:rsidR="00FE65A4" w:rsidRPr="00FE65A4">
        <w:rPr>
          <w:color w:val="000000" w:themeColor="text1"/>
        </w:rPr>
        <w:t>PSD</w:t>
      </w:r>
      <w:r w:rsidR="008B2168">
        <w:rPr>
          <w:color w:val="000000" w:themeColor="text1"/>
        </w:rPr>
        <w:t>)</w:t>
      </w:r>
      <w:r w:rsidR="00FE65A4" w:rsidRPr="00FE65A4">
        <w:rPr>
          <w:color w:val="000000" w:themeColor="text1"/>
        </w:rPr>
        <w:t>, July 2020 PBAC Meeting</w:t>
      </w:r>
      <w:r w:rsidR="00FE65A4">
        <w:t>)</w:t>
      </w:r>
      <w:r w:rsidR="00767593">
        <w:t>.</w:t>
      </w:r>
    </w:p>
    <w:p w14:paraId="068ACFA7" w14:textId="77777777" w:rsidR="00221245" w:rsidRPr="001808B1" w:rsidRDefault="00221245" w:rsidP="00EA556C">
      <w:pPr>
        <w:pStyle w:val="TableFigureFooter"/>
      </w:pPr>
      <w:r w:rsidRPr="001808B1">
        <w:rPr>
          <w:vertAlign w:val="superscript"/>
        </w:rPr>
        <w:t>b</w:t>
      </w:r>
      <w:r w:rsidRPr="001808B1">
        <w:t xml:space="preserve"> TIO 2.5 mcg two inhalations once daily (Spiriva® Respimat®) is the only P</w:t>
      </w:r>
      <w:r w:rsidR="00A2465C">
        <w:t>BS-listed LAMA to treat asthma.</w:t>
      </w:r>
    </w:p>
    <w:p w14:paraId="164CF324" w14:textId="77777777" w:rsidR="00934AD7" w:rsidRPr="001808B1" w:rsidRDefault="00934AD7" w:rsidP="00EA556C">
      <w:pPr>
        <w:pStyle w:val="2-SectionHeading"/>
      </w:pPr>
      <w:bookmarkStart w:id="9" w:name="_Toc82689127"/>
      <w:r w:rsidRPr="001808B1">
        <w:t>Background</w:t>
      </w:r>
      <w:bookmarkEnd w:id="9"/>
    </w:p>
    <w:p w14:paraId="21186BC5" w14:textId="77777777" w:rsidR="00934AD7" w:rsidRPr="001808B1" w:rsidRDefault="00934AD7" w:rsidP="00EA556C">
      <w:pPr>
        <w:pStyle w:val="4-SubsectionHeading"/>
      </w:pPr>
      <w:bookmarkStart w:id="10" w:name="_Toc82689128"/>
      <w:r w:rsidRPr="001808B1">
        <w:t>Registration status</w:t>
      </w:r>
      <w:bookmarkEnd w:id="10"/>
    </w:p>
    <w:p w14:paraId="40EB272E" w14:textId="77777777" w:rsidR="00FF1ED7" w:rsidRPr="001808B1" w:rsidRDefault="0081496A" w:rsidP="00EA556C">
      <w:pPr>
        <w:pStyle w:val="3-BodyText"/>
      </w:pPr>
      <w:r>
        <w:t>FF/UMEC/VI</w:t>
      </w:r>
      <w:r w:rsidR="00221245" w:rsidRPr="001808B1">
        <w:t xml:space="preserve"> received Therapeutic Goods Administration (TGA) registration on 10 May 2021 for the maintenance treatment of asthma in adult patients who are not adequately controlled with a combination of ICS and a LABA.</w:t>
      </w:r>
      <w:r w:rsidR="00DF50E9">
        <w:t xml:space="preserve"> </w:t>
      </w:r>
    </w:p>
    <w:p w14:paraId="184AD58C" w14:textId="77777777" w:rsidR="00412E9A" w:rsidRPr="000F48E0" w:rsidRDefault="00412E9A" w:rsidP="00EA556C">
      <w:pPr>
        <w:pStyle w:val="3-BodyText"/>
      </w:pPr>
      <w:bookmarkStart w:id="11" w:name="_Hlk82471388"/>
      <w:bookmarkStart w:id="12" w:name="_Hlk82535164"/>
      <w:r>
        <w:t xml:space="preserve">The TGA approved two strengths of </w:t>
      </w:r>
      <w:r w:rsidR="0081496A">
        <w:t>FF/UMEC/VI</w:t>
      </w:r>
      <w:r>
        <w:t xml:space="preserve"> (</w:t>
      </w:r>
      <w:r w:rsidR="0081496A">
        <w:t>100/62.5/25</w:t>
      </w:r>
      <w:r>
        <w:t xml:space="preserve"> and </w:t>
      </w:r>
      <w:r w:rsidR="0081496A">
        <w:t>200/62.5/25</w:t>
      </w:r>
      <w:r>
        <w:t xml:space="preserve">) for asthma, but </w:t>
      </w:r>
      <w:r w:rsidR="00F30DA6">
        <w:t>a PBS listing was</w:t>
      </w:r>
      <w:r>
        <w:t xml:space="preserve"> </w:t>
      </w:r>
      <w:r w:rsidR="00A2465C">
        <w:t xml:space="preserve">requested for </w:t>
      </w:r>
      <w:r>
        <w:t xml:space="preserve">only </w:t>
      </w:r>
      <w:r w:rsidR="0081496A">
        <w:t>FF/UMEC/VI 200/62.5/25</w:t>
      </w:r>
      <w:r>
        <w:t xml:space="preserve"> (high dose). The submission considered that </w:t>
      </w:r>
      <w:r w:rsidRPr="00EB2D33">
        <w:t xml:space="preserve">the use of </w:t>
      </w:r>
      <w:r w:rsidR="0081496A">
        <w:t>FF/UMEC/VI</w:t>
      </w:r>
      <w:r>
        <w:t xml:space="preserve"> </w:t>
      </w:r>
      <w:r w:rsidR="0081496A">
        <w:t>100/62.5/25</w:t>
      </w:r>
      <w:r w:rsidRPr="00EB2D33">
        <w:t xml:space="preserve"> </w:t>
      </w:r>
      <w:r w:rsidR="00C90C4A">
        <w:t xml:space="preserve">for asthma </w:t>
      </w:r>
      <w:r w:rsidRPr="00EB2D33">
        <w:t xml:space="preserve">should be in a different population to that allowed by the current PBS </w:t>
      </w:r>
      <w:r w:rsidR="003F4C2E">
        <w:t>restriction</w:t>
      </w:r>
      <w:r w:rsidRPr="000F48E0">
        <w:t>.</w:t>
      </w:r>
      <w:r w:rsidR="007C653E" w:rsidRPr="000F48E0">
        <w:t xml:space="preserve"> </w:t>
      </w:r>
      <w:bookmarkEnd w:id="11"/>
      <w:r w:rsidR="00832359" w:rsidRPr="000F48E0">
        <w:t xml:space="preserve">The </w:t>
      </w:r>
      <w:r w:rsidR="0081496A">
        <w:t>FF/UMEC/VI</w:t>
      </w:r>
      <w:r w:rsidR="00832359" w:rsidRPr="000F48E0">
        <w:t xml:space="preserve"> </w:t>
      </w:r>
      <w:r w:rsidR="0081496A">
        <w:t>100/62.5/25</w:t>
      </w:r>
      <w:r w:rsidR="00832359" w:rsidRPr="000F48E0">
        <w:rPr>
          <w:iCs/>
        </w:rPr>
        <w:t xml:space="preserve"> product </w:t>
      </w:r>
      <w:r w:rsidR="00832359" w:rsidRPr="000F48E0">
        <w:rPr>
          <w:iCs/>
          <w:color w:val="000000" w:themeColor="text1"/>
        </w:rPr>
        <w:t xml:space="preserve">is currently PBS-listed for the maintenance treatment of adults with moderate to severe COPD who require treatment with LAMA </w:t>
      </w:r>
      <w:r w:rsidR="00832359" w:rsidRPr="000F48E0">
        <w:rPr>
          <w:iCs/>
          <w:color w:val="000000" w:themeColor="text1"/>
        </w:rPr>
        <w:lastRenderedPageBreak/>
        <w:t xml:space="preserve">+ ICS + LABA. </w:t>
      </w:r>
      <w:r w:rsidR="00C91977" w:rsidRPr="000F48E0">
        <w:rPr>
          <w:iCs/>
          <w:color w:val="000000" w:themeColor="text1"/>
        </w:rPr>
        <w:t xml:space="preserve">The </w:t>
      </w:r>
      <w:r w:rsidR="0081496A">
        <w:rPr>
          <w:iCs/>
        </w:rPr>
        <w:t>FF/UMEC/VI 200/62.5/25</w:t>
      </w:r>
      <w:r w:rsidR="00A2465C" w:rsidRPr="000F48E0">
        <w:rPr>
          <w:iCs/>
        </w:rPr>
        <w:t xml:space="preserve"> product is </w:t>
      </w:r>
      <w:r w:rsidR="00C91977" w:rsidRPr="000F48E0">
        <w:rPr>
          <w:iCs/>
        </w:rPr>
        <w:t xml:space="preserve">not PBS listed for COPD and </w:t>
      </w:r>
      <w:r w:rsidR="007C653E" w:rsidRPr="000F48E0">
        <w:rPr>
          <w:iCs/>
        </w:rPr>
        <w:t xml:space="preserve">there is a chance of </w:t>
      </w:r>
      <w:r w:rsidR="00F72B81">
        <w:rPr>
          <w:iCs/>
        </w:rPr>
        <w:t>use beyond the intended severe asthma population to people with COPD alone</w:t>
      </w:r>
      <w:r w:rsidR="007C653E" w:rsidRPr="000F48E0">
        <w:rPr>
          <w:iCs/>
        </w:rPr>
        <w:t>.</w:t>
      </w:r>
    </w:p>
    <w:p w14:paraId="09EF1A6E" w14:textId="77777777" w:rsidR="0093561C" w:rsidRPr="007C4ED2" w:rsidRDefault="0093561C" w:rsidP="0093561C">
      <w:pPr>
        <w:pStyle w:val="3-BodyText"/>
      </w:pPr>
      <w:r w:rsidRPr="000F48E0">
        <w:t xml:space="preserve">The submission reported that </w:t>
      </w:r>
      <w:r w:rsidR="0081496A">
        <w:t>FF/UMEC/VI 200/62.5/25</w:t>
      </w:r>
      <w:r w:rsidRPr="000F48E0">
        <w:t xml:space="preserve"> mcg received approval for the maintenance treatment of asthma in the USA (September 2020), Japan (November 2020) and Canada (May 2021). </w:t>
      </w:r>
      <w:r w:rsidRPr="000F48E0">
        <w:rPr>
          <w:iCs/>
        </w:rPr>
        <w:t>However, the European Union’s healthcare regulator, the European Medicines Agency</w:t>
      </w:r>
      <w:r w:rsidRPr="000F48E0">
        <w:rPr>
          <w:rStyle w:val="FootnoteReference"/>
          <w:iCs/>
        </w:rPr>
        <w:footnoteReference w:id="1"/>
      </w:r>
      <w:r w:rsidRPr="000F48E0">
        <w:rPr>
          <w:iCs/>
        </w:rPr>
        <w:t xml:space="preserve">, did not approve </w:t>
      </w:r>
      <w:r w:rsidR="0081496A">
        <w:rPr>
          <w:iCs/>
        </w:rPr>
        <w:t>FF/UMEC/VI</w:t>
      </w:r>
      <w:r w:rsidRPr="000F48E0">
        <w:rPr>
          <w:iCs/>
        </w:rPr>
        <w:t xml:space="preserve"> to treat asthma as it considered that an improvement in lung function (i.e., change in FEV1 after 24 weeks of treatment) alone is not enough to show that a medicine is suitable for treating asthma. Further, the agency considered that the pivotal trial (CAPTAIN) did not clearly show that the medicine was effective at reducing asthma attacks or controlling symptoms.</w:t>
      </w:r>
    </w:p>
    <w:p w14:paraId="34D594C6" w14:textId="77777777" w:rsidR="007C4ED2" w:rsidRPr="007C4ED2" w:rsidRDefault="007C4ED2" w:rsidP="007C4ED2">
      <w:pPr>
        <w:pStyle w:val="3-BodyText"/>
        <w:numPr>
          <w:ilvl w:val="0"/>
          <w:numId w:val="0"/>
        </w:numPr>
        <w:ind w:left="720"/>
        <w:rPr>
          <w:i/>
          <w:iCs/>
        </w:rPr>
      </w:pPr>
      <w:bookmarkStart w:id="13" w:name="_Hlk76375324"/>
      <w:r w:rsidRPr="007C4ED2">
        <w:rPr>
          <w:i/>
          <w:iCs/>
        </w:rPr>
        <w:t>For more detail on PBAC’s view, see section 7 PBAC outcome.</w:t>
      </w:r>
      <w:bookmarkEnd w:id="13"/>
    </w:p>
    <w:p w14:paraId="00B94D38" w14:textId="77777777" w:rsidR="00934AD7" w:rsidRDefault="00934AD7" w:rsidP="00EA556C">
      <w:pPr>
        <w:pStyle w:val="2-SectionHeading"/>
      </w:pPr>
      <w:bookmarkStart w:id="14" w:name="_Toc22898848"/>
      <w:bookmarkStart w:id="15" w:name="_Toc82689129"/>
      <w:bookmarkEnd w:id="12"/>
      <w:r w:rsidRPr="001808B1">
        <w:t>Requested listing</w:t>
      </w:r>
      <w:bookmarkEnd w:id="14"/>
      <w:bookmarkEnd w:id="15"/>
    </w:p>
    <w:p w14:paraId="5FD4164A" w14:textId="77777777" w:rsidR="002101B5" w:rsidRPr="00DA2732" w:rsidRDefault="00DA2732" w:rsidP="00DA2732">
      <w:pPr>
        <w:pStyle w:val="3-BodyText"/>
        <w:rPr>
          <w:iCs/>
        </w:rPr>
      </w:pPr>
      <w:r w:rsidRPr="00DA2732">
        <w:rPr>
          <w:iCs/>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
        <w:gridCol w:w="3347"/>
        <w:gridCol w:w="851"/>
        <w:gridCol w:w="850"/>
        <w:gridCol w:w="851"/>
        <w:gridCol w:w="921"/>
        <w:gridCol w:w="922"/>
        <w:gridCol w:w="1275"/>
      </w:tblGrid>
      <w:tr w:rsidR="002101B5" w:rsidRPr="009A610D" w14:paraId="113EA2E6" w14:textId="77777777" w:rsidTr="00453B08">
        <w:trPr>
          <w:cantSplit/>
          <w:trHeight w:val="471"/>
        </w:trPr>
        <w:tc>
          <w:tcPr>
            <w:tcW w:w="3397" w:type="dxa"/>
            <w:gridSpan w:val="2"/>
          </w:tcPr>
          <w:p w14:paraId="6667F085" w14:textId="77777777" w:rsidR="002101B5" w:rsidRDefault="002101B5" w:rsidP="00453B08">
            <w:pPr>
              <w:keepNext/>
              <w:ind w:left="-57"/>
              <w:rPr>
                <w:rFonts w:ascii="Arial Narrow" w:hAnsi="Arial Narrow"/>
                <w:b/>
                <w:bCs/>
                <w:sz w:val="18"/>
                <w:szCs w:val="18"/>
              </w:rPr>
            </w:pPr>
            <w:r>
              <w:rPr>
                <w:rFonts w:ascii="Arial Narrow" w:hAnsi="Arial Narrow"/>
                <w:b/>
                <w:bCs/>
                <w:sz w:val="18"/>
                <w:szCs w:val="18"/>
              </w:rPr>
              <w:t>MEDICINAL PRODUCT</w:t>
            </w:r>
          </w:p>
          <w:p w14:paraId="3C83093D" w14:textId="77777777" w:rsidR="002101B5" w:rsidRPr="009A610D" w:rsidRDefault="002101B5" w:rsidP="00453B08">
            <w:pPr>
              <w:keepNext/>
              <w:ind w:left="-57"/>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851" w:type="dxa"/>
          </w:tcPr>
          <w:p w14:paraId="0A064AB8" w14:textId="77777777" w:rsidR="002101B5" w:rsidRPr="009A610D" w:rsidRDefault="002101B5" w:rsidP="00453B08">
            <w:pPr>
              <w:keepNext/>
              <w:ind w:left="-108"/>
              <w:jc w:val="center"/>
              <w:rPr>
                <w:rFonts w:ascii="Arial Narrow" w:hAnsi="Arial Narrow"/>
                <w:b/>
                <w:sz w:val="18"/>
                <w:szCs w:val="18"/>
              </w:rPr>
            </w:pPr>
            <w:r>
              <w:rPr>
                <w:rFonts w:ascii="Arial Narrow" w:hAnsi="Arial Narrow"/>
                <w:b/>
                <w:sz w:val="18"/>
                <w:szCs w:val="18"/>
              </w:rPr>
              <w:t>PBS item code</w:t>
            </w:r>
          </w:p>
        </w:tc>
        <w:tc>
          <w:tcPr>
            <w:tcW w:w="850" w:type="dxa"/>
          </w:tcPr>
          <w:p w14:paraId="2E6D3B5A" w14:textId="77777777" w:rsidR="002101B5" w:rsidRPr="009A610D" w:rsidRDefault="002101B5" w:rsidP="00453B08">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1" w:type="dxa"/>
          </w:tcPr>
          <w:p w14:paraId="2F8AC29D" w14:textId="77777777" w:rsidR="002101B5" w:rsidRPr="009A610D" w:rsidRDefault="002101B5" w:rsidP="00453B08">
            <w:pPr>
              <w:keepNext/>
              <w:ind w:left="-108"/>
              <w:jc w:val="center"/>
              <w:rPr>
                <w:rFonts w:ascii="Arial Narrow" w:hAnsi="Arial Narrow"/>
                <w:b/>
                <w:sz w:val="18"/>
                <w:szCs w:val="18"/>
              </w:rPr>
            </w:pPr>
            <w:r>
              <w:rPr>
                <w:rFonts w:ascii="Arial Narrow" w:hAnsi="Arial Narrow"/>
                <w:b/>
                <w:sz w:val="18"/>
                <w:szCs w:val="18"/>
              </w:rPr>
              <w:t>Max. qty units</w:t>
            </w:r>
          </w:p>
        </w:tc>
        <w:tc>
          <w:tcPr>
            <w:tcW w:w="921" w:type="dxa"/>
          </w:tcPr>
          <w:p w14:paraId="7958CF7B" w14:textId="77777777" w:rsidR="002101B5" w:rsidRPr="009A610D" w:rsidRDefault="002101B5" w:rsidP="00453B08">
            <w:pPr>
              <w:keepNext/>
              <w:ind w:left="-108"/>
              <w:jc w:val="center"/>
              <w:rPr>
                <w:rFonts w:ascii="Arial Narrow" w:hAnsi="Arial Narrow"/>
                <w:b/>
                <w:sz w:val="18"/>
                <w:szCs w:val="18"/>
              </w:rPr>
            </w:pPr>
            <w:r w:rsidRPr="009A610D">
              <w:rPr>
                <w:rFonts w:ascii="Arial Narrow" w:hAnsi="Arial Narrow"/>
                <w:b/>
                <w:sz w:val="18"/>
                <w:szCs w:val="18"/>
              </w:rPr>
              <w:t>№.of</w:t>
            </w:r>
            <w:r>
              <w:rPr>
                <w:rFonts w:ascii="Arial Narrow" w:hAnsi="Arial Narrow"/>
                <w:b/>
                <w:sz w:val="18"/>
                <w:szCs w:val="18"/>
              </w:rPr>
              <w:t xml:space="preserve"> </w:t>
            </w:r>
            <w:r w:rsidRPr="009A610D">
              <w:rPr>
                <w:rFonts w:ascii="Arial Narrow" w:hAnsi="Arial Narrow"/>
                <w:b/>
                <w:sz w:val="18"/>
                <w:szCs w:val="18"/>
              </w:rPr>
              <w:t>Rpts</w:t>
            </w:r>
          </w:p>
        </w:tc>
        <w:tc>
          <w:tcPr>
            <w:tcW w:w="922" w:type="dxa"/>
          </w:tcPr>
          <w:p w14:paraId="5F1CA8B4" w14:textId="77777777" w:rsidR="002101B5" w:rsidRPr="009A610D" w:rsidRDefault="002101B5" w:rsidP="00453B08">
            <w:pPr>
              <w:keepNext/>
              <w:ind w:left="-108"/>
              <w:jc w:val="center"/>
              <w:rPr>
                <w:rFonts w:ascii="Arial Narrow" w:hAnsi="Arial Narrow"/>
                <w:b/>
                <w:sz w:val="18"/>
                <w:szCs w:val="18"/>
              </w:rPr>
            </w:pPr>
            <w:r w:rsidRPr="002101B5">
              <w:rPr>
                <w:rFonts w:ascii="Arial Narrow" w:hAnsi="Arial Narrow"/>
                <w:b/>
                <w:sz w:val="18"/>
                <w:szCs w:val="18"/>
              </w:rPr>
              <w:t>Dispensed price for maximum quantity</w:t>
            </w:r>
          </w:p>
        </w:tc>
        <w:tc>
          <w:tcPr>
            <w:tcW w:w="1275" w:type="dxa"/>
          </w:tcPr>
          <w:p w14:paraId="6980E784" w14:textId="77777777" w:rsidR="002101B5" w:rsidRPr="009A610D" w:rsidRDefault="002101B5" w:rsidP="00453B08">
            <w:pPr>
              <w:keepNext/>
              <w:rPr>
                <w:rFonts w:ascii="Arial Narrow" w:hAnsi="Arial Narrow"/>
                <w:b/>
                <w:sz w:val="18"/>
                <w:szCs w:val="18"/>
                <w:lang w:val="fr-FR"/>
              </w:rPr>
            </w:pPr>
            <w:r>
              <w:rPr>
                <w:rFonts w:ascii="Arial Narrow" w:hAnsi="Arial Narrow"/>
                <w:b/>
                <w:sz w:val="18"/>
                <w:szCs w:val="18"/>
              </w:rPr>
              <w:t>Available brands</w:t>
            </w:r>
          </w:p>
        </w:tc>
      </w:tr>
      <w:tr w:rsidR="002101B5" w:rsidRPr="009A610D" w14:paraId="237BFD02" w14:textId="77777777" w:rsidTr="00453B08">
        <w:trPr>
          <w:cantSplit/>
          <w:trHeight w:val="224"/>
        </w:trPr>
        <w:tc>
          <w:tcPr>
            <w:tcW w:w="9067" w:type="dxa"/>
            <w:gridSpan w:val="8"/>
          </w:tcPr>
          <w:p w14:paraId="2AFC1345" w14:textId="77777777" w:rsidR="002101B5" w:rsidRPr="001A5667" w:rsidRDefault="002101B5" w:rsidP="00453B08">
            <w:pPr>
              <w:keepNext/>
              <w:ind w:left="-57"/>
              <w:rPr>
                <w:rFonts w:ascii="Arial Narrow" w:hAnsi="Arial Narrow"/>
                <w:sz w:val="18"/>
                <w:szCs w:val="18"/>
              </w:rPr>
            </w:pPr>
            <w:r w:rsidRPr="0066424E">
              <w:rPr>
                <w:rFonts w:ascii="Arial Narrow" w:hAnsi="Arial Narrow"/>
                <w:sz w:val="18"/>
                <w:szCs w:val="18"/>
              </w:rPr>
              <w:t>FLUTICASONE FUROATE</w:t>
            </w:r>
            <w:r>
              <w:rPr>
                <w:rFonts w:ascii="Arial Narrow" w:hAnsi="Arial Narrow"/>
                <w:sz w:val="18"/>
                <w:szCs w:val="18"/>
              </w:rPr>
              <w:t xml:space="preserve"> + </w:t>
            </w:r>
            <w:r w:rsidRPr="0066424E">
              <w:rPr>
                <w:rFonts w:ascii="Arial Narrow" w:hAnsi="Arial Narrow"/>
                <w:sz w:val="18"/>
                <w:szCs w:val="18"/>
              </w:rPr>
              <w:t>UMECLIDINIUM</w:t>
            </w:r>
            <w:r>
              <w:rPr>
                <w:rFonts w:ascii="Arial Narrow" w:hAnsi="Arial Narrow"/>
                <w:sz w:val="18"/>
                <w:szCs w:val="18"/>
              </w:rPr>
              <w:t xml:space="preserve"> + </w:t>
            </w:r>
            <w:r w:rsidRPr="0066424E">
              <w:rPr>
                <w:rFonts w:ascii="Arial Narrow" w:hAnsi="Arial Narrow"/>
                <w:sz w:val="18"/>
                <w:szCs w:val="18"/>
              </w:rPr>
              <w:t>VILANTEROL</w:t>
            </w:r>
          </w:p>
        </w:tc>
      </w:tr>
      <w:tr w:rsidR="002101B5" w:rsidRPr="009A610D" w14:paraId="1EEC95AC" w14:textId="77777777" w:rsidTr="00453B08">
        <w:trPr>
          <w:cantSplit/>
          <w:trHeight w:val="553"/>
        </w:trPr>
        <w:tc>
          <w:tcPr>
            <w:tcW w:w="3397" w:type="dxa"/>
            <w:gridSpan w:val="2"/>
          </w:tcPr>
          <w:p w14:paraId="66A5FF61" w14:textId="77777777" w:rsidR="002101B5" w:rsidRPr="0066424E" w:rsidRDefault="002101B5" w:rsidP="00453B08">
            <w:pPr>
              <w:keepNext/>
              <w:ind w:left="-57"/>
              <w:rPr>
                <w:rFonts w:ascii="Arial Narrow" w:hAnsi="Arial Narrow"/>
                <w:sz w:val="18"/>
                <w:szCs w:val="18"/>
              </w:rPr>
            </w:pPr>
            <w:r w:rsidRPr="0066424E">
              <w:rPr>
                <w:rFonts w:ascii="Arial Narrow" w:hAnsi="Arial Narrow"/>
                <w:sz w:val="18"/>
                <w:szCs w:val="18"/>
              </w:rPr>
              <w:t>fluticasone furoate 200 microgram/actuation + umeclidinium 62.5</w:t>
            </w:r>
            <w:r>
              <w:rPr>
                <w:rFonts w:ascii="Arial Narrow" w:hAnsi="Arial Narrow"/>
                <w:sz w:val="18"/>
                <w:szCs w:val="18"/>
              </w:rPr>
              <w:t> </w:t>
            </w:r>
            <w:r w:rsidRPr="0066424E">
              <w:rPr>
                <w:rFonts w:ascii="Arial Narrow" w:hAnsi="Arial Narrow"/>
                <w:sz w:val="18"/>
                <w:szCs w:val="18"/>
              </w:rPr>
              <w:t>microgram/actuation + vilanterol 25 microgram/actuation powder for inhalation, 30 actuations</w:t>
            </w:r>
          </w:p>
        </w:tc>
        <w:tc>
          <w:tcPr>
            <w:tcW w:w="851" w:type="dxa"/>
          </w:tcPr>
          <w:p w14:paraId="09431B49" w14:textId="77777777" w:rsidR="002101B5" w:rsidRPr="009A610D" w:rsidRDefault="002101B5" w:rsidP="00453B08">
            <w:pPr>
              <w:keepNext/>
              <w:jc w:val="center"/>
              <w:rPr>
                <w:rFonts w:ascii="Arial Narrow" w:hAnsi="Arial Narrow"/>
                <w:sz w:val="18"/>
                <w:szCs w:val="18"/>
              </w:rPr>
            </w:pPr>
            <w:r>
              <w:rPr>
                <w:rFonts w:ascii="Arial Narrow" w:hAnsi="Arial Narrow"/>
                <w:sz w:val="18"/>
                <w:szCs w:val="18"/>
              </w:rPr>
              <w:t>NEW</w:t>
            </w:r>
          </w:p>
        </w:tc>
        <w:tc>
          <w:tcPr>
            <w:tcW w:w="850" w:type="dxa"/>
          </w:tcPr>
          <w:p w14:paraId="6E7A7A56" w14:textId="77777777" w:rsidR="002101B5" w:rsidRPr="009A610D" w:rsidRDefault="002101B5" w:rsidP="00453B08">
            <w:pPr>
              <w:keepNext/>
              <w:jc w:val="center"/>
              <w:rPr>
                <w:rFonts w:ascii="Arial Narrow" w:hAnsi="Arial Narrow"/>
                <w:sz w:val="18"/>
                <w:szCs w:val="18"/>
              </w:rPr>
            </w:pPr>
            <w:r w:rsidRPr="009A610D">
              <w:rPr>
                <w:rFonts w:ascii="Arial Narrow" w:hAnsi="Arial Narrow"/>
                <w:sz w:val="18"/>
                <w:szCs w:val="18"/>
              </w:rPr>
              <w:t>1</w:t>
            </w:r>
          </w:p>
        </w:tc>
        <w:tc>
          <w:tcPr>
            <w:tcW w:w="851" w:type="dxa"/>
          </w:tcPr>
          <w:p w14:paraId="6BB425A2" w14:textId="77777777" w:rsidR="002101B5" w:rsidRPr="009A610D" w:rsidRDefault="002101B5" w:rsidP="00453B08">
            <w:pPr>
              <w:keepNext/>
              <w:jc w:val="center"/>
              <w:rPr>
                <w:rFonts w:ascii="Arial Narrow" w:hAnsi="Arial Narrow"/>
                <w:sz w:val="18"/>
                <w:szCs w:val="18"/>
              </w:rPr>
            </w:pPr>
            <w:r>
              <w:rPr>
                <w:rFonts w:ascii="Arial Narrow" w:hAnsi="Arial Narrow"/>
                <w:sz w:val="18"/>
                <w:szCs w:val="18"/>
              </w:rPr>
              <w:t>30</w:t>
            </w:r>
          </w:p>
        </w:tc>
        <w:tc>
          <w:tcPr>
            <w:tcW w:w="921" w:type="dxa"/>
          </w:tcPr>
          <w:p w14:paraId="7914A35F" w14:textId="77777777" w:rsidR="002101B5" w:rsidRPr="009A610D" w:rsidRDefault="002101B5" w:rsidP="00453B08">
            <w:pPr>
              <w:keepNext/>
              <w:jc w:val="center"/>
              <w:rPr>
                <w:rFonts w:ascii="Arial Narrow" w:hAnsi="Arial Narrow"/>
                <w:sz w:val="18"/>
                <w:szCs w:val="18"/>
              </w:rPr>
            </w:pPr>
            <w:r>
              <w:rPr>
                <w:rFonts w:ascii="Arial Narrow" w:hAnsi="Arial Narrow"/>
                <w:sz w:val="18"/>
                <w:szCs w:val="18"/>
              </w:rPr>
              <w:t>5</w:t>
            </w:r>
          </w:p>
        </w:tc>
        <w:tc>
          <w:tcPr>
            <w:tcW w:w="922" w:type="dxa"/>
          </w:tcPr>
          <w:p w14:paraId="27CC6687" w14:textId="77777777" w:rsidR="002101B5" w:rsidRPr="009A610D" w:rsidRDefault="002101B5" w:rsidP="00453B08">
            <w:pPr>
              <w:keepNext/>
              <w:jc w:val="center"/>
              <w:rPr>
                <w:rFonts w:ascii="Arial Narrow" w:hAnsi="Arial Narrow"/>
                <w:sz w:val="18"/>
                <w:szCs w:val="18"/>
              </w:rPr>
            </w:pPr>
            <w:r w:rsidRPr="002101B5">
              <w:rPr>
                <w:rFonts w:ascii="Arial Narrow" w:hAnsi="Arial Narrow"/>
                <w:sz w:val="18"/>
                <w:szCs w:val="18"/>
              </w:rPr>
              <w:t>$91.60</w:t>
            </w:r>
          </w:p>
        </w:tc>
        <w:tc>
          <w:tcPr>
            <w:tcW w:w="1275" w:type="dxa"/>
          </w:tcPr>
          <w:p w14:paraId="67861BFD" w14:textId="77777777" w:rsidR="002101B5" w:rsidRPr="002F65D8" w:rsidRDefault="002101B5" w:rsidP="00453B08">
            <w:pPr>
              <w:keepNext/>
              <w:rPr>
                <w:rFonts w:ascii="Arial Narrow" w:hAnsi="Arial Narrow"/>
                <w:sz w:val="18"/>
                <w:szCs w:val="18"/>
              </w:rPr>
            </w:pPr>
            <w:r>
              <w:rPr>
                <w:rFonts w:ascii="Arial Narrow" w:hAnsi="Arial Narrow"/>
                <w:sz w:val="18"/>
                <w:szCs w:val="18"/>
              </w:rPr>
              <w:t>Trelegy</w:t>
            </w:r>
            <w:r w:rsidRPr="002F65D8">
              <w:rPr>
                <w:rFonts w:ascii="Arial Narrow" w:hAnsi="Arial Narrow"/>
                <w:sz w:val="18"/>
                <w:szCs w:val="18"/>
              </w:rPr>
              <w:t xml:space="preserve"> Ellipta</w:t>
            </w:r>
          </w:p>
        </w:tc>
      </w:tr>
      <w:tr w:rsidR="002101B5" w:rsidRPr="00120A12" w14:paraId="4FE5A75C" w14:textId="77777777" w:rsidTr="00453B0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536BC60" w14:textId="77777777" w:rsidR="002101B5" w:rsidRPr="00320925" w:rsidRDefault="002101B5" w:rsidP="00453B08">
            <w:pPr>
              <w:rPr>
                <w:rFonts w:ascii="Arial Narrow" w:hAnsi="Arial Narrow"/>
                <w:sz w:val="18"/>
                <w:szCs w:val="18"/>
              </w:rPr>
            </w:pPr>
          </w:p>
        </w:tc>
      </w:tr>
      <w:tr w:rsidR="002101B5" w:rsidRPr="00120A12" w14:paraId="49042CD7" w14:textId="77777777" w:rsidTr="00453B08">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38525142" w14:textId="77777777" w:rsidR="002101B5" w:rsidRPr="00187276" w:rsidRDefault="002101B5" w:rsidP="00453B08">
            <w:pPr>
              <w:rPr>
                <w:rFonts w:ascii="Arial Narrow" w:hAnsi="Arial Narrow"/>
                <w:b/>
                <w:i/>
                <w:iCs/>
                <w:sz w:val="18"/>
                <w:szCs w:val="18"/>
              </w:rPr>
            </w:pPr>
            <w:r w:rsidRPr="00507253">
              <w:rPr>
                <w:rFonts w:ascii="Arial Narrow" w:hAnsi="Arial Narrow"/>
                <w:b/>
                <w:sz w:val="18"/>
                <w:szCs w:val="18"/>
              </w:rPr>
              <w:t>Restriction Summary [</w:t>
            </w:r>
            <w:r>
              <w:rPr>
                <w:rFonts w:ascii="Arial Narrow" w:hAnsi="Arial Narrow"/>
                <w:b/>
                <w:sz w:val="18"/>
                <w:szCs w:val="18"/>
              </w:rPr>
              <w:t>11470</w:t>
            </w:r>
            <w:r w:rsidRPr="00507253">
              <w:rPr>
                <w:rFonts w:ascii="Arial Narrow" w:hAnsi="Arial Narrow"/>
                <w:b/>
                <w:sz w:val="18"/>
                <w:szCs w:val="18"/>
              </w:rPr>
              <w:t>] / Treatment of Concept: [</w:t>
            </w:r>
            <w:r>
              <w:rPr>
                <w:rFonts w:ascii="Arial Narrow" w:hAnsi="Arial Narrow"/>
                <w:b/>
                <w:sz w:val="18"/>
                <w:szCs w:val="18"/>
              </w:rPr>
              <w:t>11470</w:t>
            </w:r>
            <w:r w:rsidRPr="00507253">
              <w:rPr>
                <w:rFonts w:ascii="Arial Narrow" w:hAnsi="Arial Narrow"/>
                <w:b/>
                <w:sz w:val="18"/>
                <w:szCs w:val="18"/>
              </w:rPr>
              <w:t>]</w:t>
            </w:r>
            <w:r>
              <w:rPr>
                <w:rFonts w:ascii="Arial Narrow" w:hAnsi="Arial Narrow"/>
                <w:b/>
                <w:sz w:val="18"/>
                <w:szCs w:val="18"/>
              </w:rPr>
              <w:t xml:space="preserve"> </w:t>
            </w:r>
            <w:r w:rsidRPr="00187276">
              <w:rPr>
                <w:rFonts w:ascii="Arial Narrow" w:hAnsi="Arial Narrow"/>
                <w:bCs/>
                <w:i/>
                <w:iCs/>
                <w:sz w:val="18"/>
                <w:szCs w:val="18"/>
              </w:rPr>
              <w:t>(based on Enerzair Breezhaler’s restriction as at 1 September 2021)</w:t>
            </w:r>
          </w:p>
        </w:tc>
      </w:tr>
      <w:tr w:rsidR="002101B5" w:rsidRPr="00120A12" w14:paraId="7404CF27" w14:textId="77777777" w:rsidTr="00632909">
        <w:tblPrEx>
          <w:tblCellMar>
            <w:top w:w="15" w:type="dxa"/>
            <w:left w:w="15" w:type="dxa"/>
            <w:bottom w:w="15" w:type="dxa"/>
            <w:right w:w="15" w:type="dxa"/>
          </w:tblCellMar>
          <w:tblLook w:val="04A0" w:firstRow="1" w:lastRow="0" w:firstColumn="1" w:lastColumn="0" w:noHBand="0" w:noVBand="1"/>
        </w:tblPrEx>
        <w:tc>
          <w:tcPr>
            <w:tcW w:w="50" w:type="dxa"/>
            <w:vMerge w:val="restart"/>
            <w:tcBorders>
              <w:top w:val="single" w:sz="4" w:space="0" w:color="auto"/>
              <w:left w:val="single" w:sz="4" w:space="0" w:color="auto"/>
              <w:right w:val="single" w:sz="4" w:space="0" w:color="auto"/>
            </w:tcBorders>
          </w:tcPr>
          <w:p w14:paraId="4039021B" w14:textId="77777777" w:rsidR="002101B5" w:rsidRPr="00507253" w:rsidRDefault="002101B5" w:rsidP="00453B08">
            <w:pPr>
              <w:rPr>
                <w:rFonts w:ascii="Arial Narrow" w:hAnsi="Arial Narrow"/>
                <w:b/>
                <w:sz w:val="18"/>
                <w:szCs w:val="18"/>
              </w:rPr>
            </w:pPr>
          </w:p>
        </w:tc>
        <w:tc>
          <w:tcPr>
            <w:tcW w:w="9017" w:type="dxa"/>
            <w:gridSpan w:val="7"/>
            <w:tcBorders>
              <w:top w:val="single" w:sz="4" w:space="0" w:color="auto"/>
              <w:left w:val="single" w:sz="4" w:space="0" w:color="auto"/>
              <w:bottom w:val="single" w:sz="4" w:space="0" w:color="auto"/>
              <w:right w:val="single" w:sz="4" w:space="0" w:color="auto"/>
            </w:tcBorders>
          </w:tcPr>
          <w:p w14:paraId="6612A304" w14:textId="77777777" w:rsidR="002101B5" w:rsidRPr="00120A12" w:rsidRDefault="002101B5" w:rsidP="00453B08">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GENERAL – General Schedule (Code GE)</w:t>
            </w:r>
            <w:r w:rsidRPr="00320925">
              <w:rPr>
                <w:rFonts w:ascii="Arial Narrow" w:hAnsi="Arial Narrow"/>
                <w:color w:val="FF0000"/>
                <w:sz w:val="18"/>
                <w:szCs w:val="18"/>
              </w:rPr>
              <w:t xml:space="preserve"> </w:t>
            </w:r>
          </w:p>
        </w:tc>
      </w:tr>
      <w:tr w:rsidR="002101B5" w:rsidRPr="00120A12" w14:paraId="75D00AA4" w14:textId="77777777" w:rsidTr="00632909">
        <w:tblPrEx>
          <w:tblCellMar>
            <w:top w:w="15" w:type="dxa"/>
            <w:left w:w="15" w:type="dxa"/>
            <w:bottom w:w="15" w:type="dxa"/>
            <w:right w:w="15" w:type="dxa"/>
          </w:tblCellMar>
          <w:tblLook w:val="04A0" w:firstRow="1" w:lastRow="0" w:firstColumn="1" w:lastColumn="0" w:noHBand="0" w:noVBand="1"/>
        </w:tblPrEx>
        <w:trPr>
          <w:trHeight w:val="240"/>
        </w:trPr>
        <w:tc>
          <w:tcPr>
            <w:tcW w:w="50" w:type="dxa"/>
            <w:vMerge/>
            <w:tcBorders>
              <w:left w:val="single" w:sz="4" w:space="0" w:color="auto"/>
              <w:right w:val="single" w:sz="4" w:space="0" w:color="auto"/>
            </w:tcBorders>
          </w:tcPr>
          <w:p w14:paraId="778C1149" w14:textId="77777777" w:rsidR="002101B5" w:rsidRPr="0020649C" w:rsidRDefault="002101B5" w:rsidP="00453B08">
            <w:pPr>
              <w:rPr>
                <w:rFonts w:ascii="Arial Narrow" w:hAnsi="Arial Narrow"/>
                <w:sz w:val="18"/>
                <w:szCs w:val="18"/>
              </w:rPr>
            </w:pPr>
          </w:p>
        </w:tc>
        <w:tc>
          <w:tcPr>
            <w:tcW w:w="9017" w:type="dxa"/>
            <w:gridSpan w:val="7"/>
            <w:tcBorders>
              <w:top w:val="single" w:sz="4" w:space="0" w:color="auto"/>
              <w:left w:val="single" w:sz="4" w:space="0" w:color="auto"/>
              <w:bottom w:val="single" w:sz="4" w:space="0" w:color="auto"/>
              <w:right w:val="single" w:sz="4" w:space="0" w:color="auto"/>
            </w:tcBorders>
          </w:tcPr>
          <w:p w14:paraId="5380231E" w14:textId="77777777" w:rsidR="002101B5" w:rsidRPr="00772067" w:rsidRDefault="002101B5" w:rsidP="00453B08">
            <w:pPr>
              <w:rPr>
                <w:rFonts w:ascii="Arial Narrow" w:hAnsi="Arial Narrow"/>
                <w:b/>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BA1878">
              <w:rPr>
                <w:rFonts w:ascii="Arial Narrow" w:hAnsi="Arial Narrow"/>
                <w:sz w:val="18"/>
                <w:szCs w:val="18"/>
              </w:rPr>
            </w:r>
            <w:r w:rsidR="00BA187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Medical Practitioners</w:t>
            </w:r>
            <w:r>
              <w:rPr>
                <w:rFonts w:ascii="Arial Narrow" w:hAnsi="Arial Narrow"/>
                <w:sz w:val="18"/>
                <w:szCs w:val="18"/>
              </w:rPr>
              <w:t xml:space="preserve">  </w:t>
            </w:r>
            <w:r w:rsidRPr="00120A12">
              <w:rPr>
                <w:rFonts w:ascii="Arial Narrow" w:hAnsi="Arial Narrow"/>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BA1878">
              <w:rPr>
                <w:rFonts w:ascii="Arial Narrow" w:hAnsi="Arial Narrow"/>
                <w:sz w:val="18"/>
                <w:szCs w:val="18"/>
              </w:rPr>
            </w:r>
            <w:r w:rsidR="00BA1878">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 xml:space="preserve">Nurse practitioners  </w:t>
            </w:r>
            <w:r>
              <w:rPr>
                <w:rFonts w:ascii="Arial Narrow" w:hAnsi="Arial Narrow"/>
                <w:sz w:val="18"/>
                <w:szCs w:val="18"/>
              </w:rPr>
              <w:t xml:space="preserve">   </w:t>
            </w:r>
          </w:p>
        </w:tc>
      </w:tr>
      <w:tr w:rsidR="002101B5" w:rsidRPr="00120A12" w14:paraId="356E2DBF" w14:textId="77777777" w:rsidTr="00632909">
        <w:tblPrEx>
          <w:tblCellMar>
            <w:top w:w="15" w:type="dxa"/>
            <w:left w:w="15" w:type="dxa"/>
            <w:bottom w:w="15" w:type="dxa"/>
            <w:right w:w="15" w:type="dxa"/>
          </w:tblCellMar>
          <w:tblLook w:val="04A0" w:firstRow="1" w:lastRow="0" w:firstColumn="1" w:lastColumn="0" w:noHBand="0" w:noVBand="1"/>
        </w:tblPrEx>
        <w:tc>
          <w:tcPr>
            <w:tcW w:w="50" w:type="dxa"/>
            <w:vMerge/>
            <w:tcBorders>
              <w:left w:val="single" w:sz="4" w:space="0" w:color="auto"/>
              <w:bottom w:val="single" w:sz="4" w:space="0" w:color="auto"/>
              <w:right w:val="single" w:sz="4" w:space="0" w:color="auto"/>
            </w:tcBorders>
          </w:tcPr>
          <w:p w14:paraId="49352020" w14:textId="77777777" w:rsidR="002101B5" w:rsidRPr="0020649C" w:rsidRDefault="002101B5" w:rsidP="00453B08">
            <w:pPr>
              <w:rPr>
                <w:rFonts w:ascii="Arial Narrow" w:hAnsi="Arial Narrow"/>
                <w:sz w:val="18"/>
                <w:szCs w:val="18"/>
              </w:rPr>
            </w:pPr>
          </w:p>
        </w:tc>
        <w:tc>
          <w:tcPr>
            <w:tcW w:w="9017" w:type="dxa"/>
            <w:gridSpan w:val="7"/>
            <w:tcBorders>
              <w:top w:val="single" w:sz="4" w:space="0" w:color="auto"/>
              <w:left w:val="single" w:sz="4" w:space="0" w:color="auto"/>
              <w:bottom w:val="single" w:sz="4" w:space="0" w:color="auto"/>
              <w:right w:val="single" w:sz="4" w:space="0" w:color="auto"/>
            </w:tcBorders>
          </w:tcPr>
          <w:p w14:paraId="161E50DB" w14:textId="77777777" w:rsidR="002101B5" w:rsidRPr="00F86065" w:rsidRDefault="002101B5" w:rsidP="00453B08">
            <w:pPr>
              <w:rPr>
                <w:rFonts w:ascii="Arial Narrow" w:eastAsia="Calibri" w:hAnsi="Arial Narrow"/>
                <w:sz w:val="18"/>
                <w:szCs w:val="18"/>
              </w:rPr>
            </w:pPr>
            <w:r w:rsidRPr="0020649C">
              <w:rPr>
                <w:rFonts w:ascii="Arial Narrow" w:hAnsi="Arial Narrow"/>
                <w:b/>
                <w:sz w:val="18"/>
                <w:szCs w:val="18"/>
              </w:rPr>
              <w:t xml:space="preserve">Restriction </w:t>
            </w:r>
            <w:r>
              <w:rPr>
                <w:rFonts w:ascii="Arial Narrow" w:hAnsi="Arial Narrow"/>
                <w:b/>
                <w:sz w:val="18"/>
                <w:szCs w:val="18"/>
              </w:rPr>
              <w:t xml:space="preserve">type: </w:t>
            </w:r>
          </w:p>
          <w:p w14:paraId="2410A43F" w14:textId="77777777" w:rsidR="002101B5" w:rsidRPr="00AB5FAC" w:rsidRDefault="002101B5" w:rsidP="00453B08">
            <w:pPr>
              <w:rPr>
                <w:rFonts w:ascii="Arial Narrow" w:eastAsia="Calibri" w:hAnsi="Arial Narrow"/>
                <w:color w:val="FF00FF"/>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BA1878">
              <w:rPr>
                <w:rFonts w:ascii="Arial Narrow" w:eastAsia="Calibri" w:hAnsi="Arial Narrow"/>
                <w:sz w:val="18"/>
                <w:szCs w:val="18"/>
              </w:rPr>
            </w:r>
            <w:r w:rsidR="00BA1878">
              <w:rPr>
                <w:rFonts w:ascii="Arial Narrow" w:eastAsia="Calibri" w:hAnsi="Arial Narrow"/>
                <w:sz w:val="18"/>
                <w:szCs w:val="18"/>
              </w:rPr>
              <w:fldChar w:fldCharType="separate"/>
            </w:r>
            <w:r>
              <w:rPr>
                <w:rFonts w:ascii="Arial Narrow" w:eastAsia="Calibri" w:hAnsi="Arial Narrow"/>
                <w:sz w:val="18"/>
                <w:szCs w:val="18"/>
              </w:rPr>
              <w:fldChar w:fldCharType="end"/>
            </w:r>
            <w:r w:rsidRPr="002F65D8">
              <w:rPr>
                <w:rFonts w:ascii="Arial Narrow" w:eastAsia="Calibri" w:hAnsi="Arial Narrow"/>
                <w:strike/>
                <w:sz w:val="18"/>
                <w:szCs w:val="18"/>
              </w:rPr>
              <w:t>Authority Required (Streamlined) [new/existing code]</w:t>
            </w:r>
            <w:r w:rsidRPr="00F86065">
              <w:rPr>
                <w:rFonts w:ascii="Arial Narrow" w:eastAsia="Calibri" w:hAnsi="Arial Narrow"/>
                <w:sz w:val="18"/>
                <w:szCs w:val="18"/>
              </w:rPr>
              <w:t xml:space="preserve"> </w:t>
            </w:r>
          </w:p>
          <w:p w14:paraId="2D79D1B1" w14:textId="77777777" w:rsidR="002101B5" w:rsidRPr="002F65D8" w:rsidRDefault="002101B5" w:rsidP="00453B08">
            <w:pPr>
              <w:rPr>
                <w:rFonts w:ascii="Arial Narrow" w:eastAsia="Calibri" w:hAnsi="Arial Narrow"/>
                <w:i/>
                <w:color w:val="FF0000"/>
                <w:sz w:val="18"/>
                <w:szCs w:val="18"/>
              </w:rPr>
            </w:pPr>
            <w:r>
              <w:rPr>
                <w:rFonts w:ascii="Arial Narrow" w:eastAsia="Calibri" w:hAnsi="Arial Narrow"/>
                <w:sz w:val="18"/>
                <w:szCs w:val="18"/>
              </w:rPr>
              <w:fldChar w:fldCharType="begin">
                <w:ffData>
                  <w:name w:val=""/>
                  <w:enabled/>
                  <w:calcOnExit w:val="0"/>
                  <w:checkBox>
                    <w:sizeAuto/>
                    <w:default w:val="1"/>
                  </w:checkBox>
                </w:ffData>
              </w:fldChar>
            </w:r>
            <w:r>
              <w:rPr>
                <w:rFonts w:ascii="Arial Narrow" w:eastAsia="Calibri" w:hAnsi="Arial Narrow"/>
                <w:sz w:val="18"/>
                <w:szCs w:val="18"/>
              </w:rPr>
              <w:instrText xml:space="preserve"> FORMCHECKBOX </w:instrText>
            </w:r>
            <w:r w:rsidR="00BA1878">
              <w:rPr>
                <w:rFonts w:ascii="Arial Narrow" w:eastAsia="Calibri" w:hAnsi="Arial Narrow"/>
                <w:sz w:val="18"/>
                <w:szCs w:val="18"/>
              </w:rPr>
            </w:r>
            <w:r w:rsidR="00BA1878">
              <w:rPr>
                <w:rFonts w:ascii="Arial Narrow" w:eastAsia="Calibri" w:hAnsi="Arial Narrow"/>
                <w:sz w:val="18"/>
                <w:szCs w:val="18"/>
              </w:rPr>
              <w:fldChar w:fldCharType="separate"/>
            </w:r>
            <w:r>
              <w:rPr>
                <w:rFonts w:ascii="Arial Narrow" w:eastAsia="Calibri" w:hAnsi="Arial Narrow"/>
                <w:sz w:val="18"/>
                <w:szCs w:val="18"/>
              </w:rPr>
              <w:fldChar w:fldCharType="end"/>
            </w:r>
            <w:r w:rsidRPr="002F65D8">
              <w:rPr>
                <w:rFonts w:ascii="Arial Narrow" w:eastAsia="Calibri" w:hAnsi="Arial Narrow"/>
                <w:i/>
                <w:sz w:val="18"/>
                <w:szCs w:val="18"/>
              </w:rPr>
              <w:t>Authority Required (telephone/online PBS Authorities system)</w:t>
            </w:r>
          </w:p>
        </w:tc>
      </w:tr>
      <w:tr w:rsidR="002101B5" w:rsidRPr="006504EF" w14:paraId="6C5D9857"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5EDDC5F0"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vAlign w:val="center"/>
            <w:hideMark/>
          </w:tcPr>
          <w:p w14:paraId="7CFF61F3" w14:textId="77777777" w:rsidR="002101B5" w:rsidRPr="006504EF" w:rsidRDefault="002101B5" w:rsidP="00453B08">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Indication:</w:t>
            </w:r>
            <w:r w:rsidRPr="006504EF">
              <w:rPr>
                <w:rFonts w:ascii="Arial Narrow" w:hAnsi="Arial Narrow" w:cs="Times New Roman"/>
                <w:color w:val="000000"/>
                <w:sz w:val="18"/>
                <w:szCs w:val="18"/>
              </w:rPr>
              <w:t xml:space="preserve"> Severe asthma</w:t>
            </w:r>
          </w:p>
        </w:tc>
      </w:tr>
      <w:tr w:rsidR="002101B5" w:rsidRPr="006504EF" w14:paraId="414C99CE"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5DAA458D"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vAlign w:val="center"/>
            <w:hideMark/>
          </w:tcPr>
          <w:p w14:paraId="683B2D7A" w14:textId="77777777" w:rsidR="002101B5" w:rsidRPr="006504EF" w:rsidRDefault="002101B5" w:rsidP="00453B08">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Clinical criteria: </w:t>
            </w:r>
          </w:p>
        </w:tc>
      </w:tr>
      <w:tr w:rsidR="002101B5" w:rsidRPr="006504EF" w14:paraId="109ACE56"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32B550AC"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vAlign w:val="center"/>
          </w:tcPr>
          <w:p w14:paraId="70E4B258" w14:textId="77777777" w:rsidR="002101B5" w:rsidRPr="006504EF" w:rsidRDefault="002101B5" w:rsidP="00453B08">
            <w:pPr>
              <w:jc w:val="left"/>
              <w:rPr>
                <w:rFonts w:ascii="Arial Narrow" w:hAnsi="Arial Narrow" w:cs="Times New Roman"/>
                <w:bCs/>
                <w:color w:val="000000"/>
                <w:sz w:val="18"/>
                <w:szCs w:val="18"/>
              </w:rPr>
            </w:pPr>
            <w:r w:rsidRPr="006504EF">
              <w:rPr>
                <w:rFonts w:ascii="Arial Narrow" w:hAnsi="Arial Narrow" w:cs="Times New Roman"/>
                <w:bCs/>
                <w:color w:val="000000"/>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2101B5" w:rsidRPr="006504EF" w14:paraId="6B16C850"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1DEA702B"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vAlign w:val="center"/>
            <w:hideMark/>
          </w:tcPr>
          <w:p w14:paraId="45DDDA91" w14:textId="77777777" w:rsidR="002101B5" w:rsidRPr="006504EF" w:rsidRDefault="002101B5" w:rsidP="00453B08">
            <w:pPr>
              <w:jc w:val="left"/>
              <w:rPr>
                <w:rFonts w:ascii="Arial Narrow" w:hAnsi="Arial Narrow" w:cs="Times New Roman"/>
                <w:color w:val="000000"/>
                <w:sz w:val="18"/>
                <w:szCs w:val="18"/>
              </w:rPr>
            </w:pPr>
            <w:r w:rsidRPr="006504EF">
              <w:rPr>
                <w:rFonts w:ascii="Arial Narrow" w:hAnsi="Arial Narrow" w:cs="Times New Roman"/>
                <w:b/>
                <w:bCs/>
                <w:color w:val="000000"/>
                <w:sz w:val="18"/>
                <w:szCs w:val="18"/>
              </w:rPr>
              <w:t>Population criteria:</w:t>
            </w:r>
          </w:p>
        </w:tc>
      </w:tr>
      <w:tr w:rsidR="002101B5" w:rsidRPr="006504EF" w14:paraId="56AF80C9"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640F8485"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vAlign w:val="center"/>
            <w:hideMark/>
          </w:tcPr>
          <w:p w14:paraId="425BCC0A" w14:textId="77777777" w:rsidR="002101B5" w:rsidRPr="006504EF" w:rsidRDefault="002101B5" w:rsidP="00453B08">
            <w:pPr>
              <w:jc w:val="left"/>
              <w:rPr>
                <w:rFonts w:ascii="Arial Narrow" w:hAnsi="Arial Narrow" w:cs="Times New Roman"/>
                <w:color w:val="000000"/>
                <w:sz w:val="18"/>
                <w:szCs w:val="18"/>
              </w:rPr>
            </w:pPr>
            <w:r w:rsidRPr="006504EF">
              <w:rPr>
                <w:rFonts w:ascii="Arial Narrow" w:hAnsi="Arial Narrow" w:cs="Times New Roman"/>
                <w:color w:val="000000"/>
                <w:sz w:val="18"/>
                <w:szCs w:val="18"/>
              </w:rPr>
              <w:t>Patient must be aged 18 years or over</w:t>
            </w:r>
          </w:p>
        </w:tc>
      </w:tr>
      <w:tr w:rsidR="002101B5" w:rsidRPr="006504EF" w14:paraId="2A55EE47"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25EC811A"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vAlign w:val="center"/>
            <w:hideMark/>
          </w:tcPr>
          <w:p w14:paraId="7D21935D" w14:textId="77777777" w:rsidR="002101B5" w:rsidRDefault="002101B5" w:rsidP="00453B08">
            <w:pPr>
              <w:jc w:val="left"/>
              <w:rPr>
                <w:rFonts w:ascii="Arial Narrow" w:hAnsi="Arial Narrow" w:cs="Times New Roman"/>
                <w:b/>
                <w:bCs/>
                <w:color w:val="000000"/>
                <w:sz w:val="18"/>
                <w:szCs w:val="18"/>
              </w:rPr>
            </w:pPr>
            <w:r w:rsidRPr="006504EF">
              <w:rPr>
                <w:rFonts w:ascii="Arial Narrow" w:hAnsi="Arial Narrow" w:cs="Times New Roman"/>
                <w:b/>
                <w:bCs/>
                <w:color w:val="000000"/>
                <w:sz w:val="18"/>
                <w:szCs w:val="18"/>
              </w:rPr>
              <w:t xml:space="preserve">Prescribing Instructions: </w:t>
            </w:r>
          </w:p>
          <w:p w14:paraId="0C1F5D96" w14:textId="77777777" w:rsidR="002101B5" w:rsidRPr="006504EF" w:rsidRDefault="002101B5" w:rsidP="00453B08">
            <w:pPr>
              <w:jc w:val="left"/>
              <w:rPr>
                <w:rFonts w:ascii="Arial Narrow" w:hAnsi="Arial Narrow" w:cs="Times New Roman"/>
                <w:color w:val="000000"/>
                <w:sz w:val="18"/>
                <w:szCs w:val="18"/>
              </w:rPr>
            </w:pPr>
            <w:r w:rsidRPr="006504EF">
              <w:rPr>
                <w:rFonts w:ascii="Arial Narrow" w:hAnsi="Arial Narrow" w:cs="Times New Roman"/>
                <w:bCs/>
                <w:color w:val="000000"/>
                <w:sz w:val="18"/>
                <w:szCs w:val="18"/>
              </w:rPr>
              <w:t>Optimised asthma therapy includes adherence to the maintenance combination of an inhaled corticosteroid (at least 800 micrograms budesonide per day or equivalent) and a long acting beta-2 agonist.</w:t>
            </w:r>
          </w:p>
        </w:tc>
      </w:tr>
      <w:tr w:rsidR="002101B5" w:rsidRPr="006504EF" w14:paraId="60FF205D" w14:textId="77777777" w:rsidTr="00632909">
        <w:tblPrEx>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14:paraId="3DA2E8C5" w14:textId="77777777" w:rsidR="002101B5" w:rsidRPr="006504EF" w:rsidRDefault="002101B5" w:rsidP="00453B08">
            <w:pPr>
              <w:jc w:val="center"/>
              <w:rPr>
                <w:rFonts w:ascii="Arial Narrow" w:hAnsi="Arial Narrow" w:cs="Times New Roman"/>
                <w:color w:val="000000"/>
                <w:sz w:val="18"/>
                <w:szCs w:val="18"/>
              </w:rPr>
            </w:pPr>
          </w:p>
        </w:tc>
        <w:tc>
          <w:tcPr>
            <w:tcW w:w="9017" w:type="dxa"/>
            <w:gridSpan w:val="7"/>
            <w:tcBorders>
              <w:top w:val="single" w:sz="4" w:space="0" w:color="auto"/>
              <w:left w:val="single" w:sz="4" w:space="0" w:color="auto"/>
              <w:bottom w:val="single" w:sz="4" w:space="0" w:color="auto"/>
              <w:right w:val="single" w:sz="4" w:space="0" w:color="auto"/>
            </w:tcBorders>
            <w:vAlign w:val="center"/>
          </w:tcPr>
          <w:p w14:paraId="2DC89247" w14:textId="77777777" w:rsidR="002101B5" w:rsidRDefault="002101B5" w:rsidP="00453B08">
            <w:pPr>
              <w:jc w:val="left"/>
              <w:rPr>
                <w:rFonts w:ascii="Arial Narrow" w:hAnsi="Arial Narrow" w:cs="Times New Roman"/>
                <w:b/>
                <w:bCs/>
                <w:color w:val="000000"/>
                <w:sz w:val="18"/>
                <w:szCs w:val="18"/>
              </w:rPr>
            </w:pPr>
            <w:r w:rsidRPr="001B79DE">
              <w:rPr>
                <w:rFonts w:ascii="Arial Narrow" w:hAnsi="Arial Narrow" w:cs="Times New Roman"/>
                <w:b/>
                <w:bCs/>
                <w:color w:val="000000"/>
                <w:sz w:val="18"/>
                <w:szCs w:val="18"/>
              </w:rPr>
              <w:t xml:space="preserve">Administrative Advice: </w:t>
            </w:r>
          </w:p>
          <w:p w14:paraId="02A076ED" w14:textId="77777777" w:rsidR="002101B5" w:rsidRPr="006504EF" w:rsidRDefault="002101B5" w:rsidP="00453B08">
            <w:pPr>
              <w:jc w:val="left"/>
              <w:rPr>
                <w:rFonts w:ascii="Arial Narrow" w:hAnsi="Arial Narrow" w:cs="Times New Roman"/>
                <w:b/>
                <w:bCs/>
                <w:color w:val="000000"/>
                <w:sz w:val="18"/>
                <w:szCs w:val="18"/>
              </w:rPr>
            </w:pPr>
            <w:r w:rsidRPr="001B79DE">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2101B5" w:rsidRPr="006504EF" w14:paraId="2F0D3248"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36896774" w14:textId="77777777" w:rsidR="002101B5" w:rsidRPr="006504EF" w:rsidRDefault="002101B5" w:rsidP="00453B08">
            <w:pPr>
              <w:jc w:val="center"/>
              <w:rPr>
                <w:rFonts w:ascii="Arial Narrow" w:hAnsi="Arial Narrow" w:cs="Times New Roman"/>
                <w:i/>
                <w:color w:val="000000"/>
                <w:sz w:val="18"/>
                <w:szCs w:val="18"/>
              </w:rPr>
            </w:pPr>
          </w:p>
        </w:tc>
        <w:tc>
          <w:tcPr>
            <w:tcW w:w="9017" w:type="dxa"/>
            <w:gridSpan w:val="7"/>
            <w:vAlign w:val="center"/>
          </w:tcPr>
          <w:p w14:paraId="5052AB8D" w14:textId="77777777" w:rsidR="002101B5" w:rsidRPr="0044325C" w:rsidRDefault="002101B5" w:rsidP="00453B08">
            <w:pPr>
              <w:jc w:val="left"/>
              <w:rPr>
                <w:rFonts w:ascii="Arial Narrow" w:hAnsi="Arial Narrow" w:cs="Times New Roman"/>
                <w:b/>
                <w:bCs/>
                <w:strike/>
                <w:color w:val="000000"/>
                <w:sz w:val="18"/>
                <w:szCs w:val="18"/>
              </w:rPr>
            </w:pPr>
            <w:r w:rsidRPr="0044325C">
              <w:rPr>
                <w:rFonts w:ascii="Arial Narrow" w:hAnsi="Arial Narrow" w:cs="Times New Roman"/>
                <w:b/>
                <w:bCs/>
                <w:strike/>
                <w:color w:val="000000"/>
                <w:sz w:val="18"/>
                <w:szCs w:val="18"/>
              </w:rPr>
              <w:t xml:space="preserve">Administrative Advice: </w:t>
            </w:r>
          </w:p>
          <w:p w14:paraId="0E8C14F8" w14:textId="77777777" w:rsidR="002101B5" w:rsidRPr="001B79DE" w:rsidRDefault="002101B5" w:rsidP="00453B08">
            <w:pPr>
              <w:jc w:val="left"/>
              <w:rPr>
                <w:rFonts w:ascii="Arial Narrow" w:hAnsi="Arial Narrow" w:cs="Times New Roman"/>
                <w:bCs/>
                <w:color w:val="000000"/>
                <w:sz w:val="18"/>
                <w:szCs w:val="18"/>
              </w:rPr>
            </w:pPr>
            <w:r w:rsidRPr="0044325C">
              <w:rPr>
                <w:rFonts w:ascii="Arial Narrow" w:hAnsi="Arial Narrow" w:cs="Times New Roman"/>
                <w:bCs/>
                <w:strike/>
                <w:color w:val="000000"/>
                <w:sz w:val="18"/>
                <w:szCs w:val="18"/>
              </w:rPr>
              <w:t xml:space="preserve">This drug </w:t>
            </w:r>
            <w:r w:rsidRPr="0044325C">
              <w:rPr>
                <w:rFonts w:ascii="Arial Narrow" w:hAnsi="Arial Narrow" w:cs="Times New Roman"/>
                <w:bCs/>
                <w:i/>
                <w:strike/>
                <w:color w:val="000000"/>
                <w:sz w:val="18"/>
                <w:szCs w:val="18"/>
              </w:rPr>
              <w:t xml:space="preserve"> </w:t>
            </w:r>
            <w:r w:rsidRPr="0044325C">
              <w:rPr>
                <w:rFonts w:ascii="Arial Narrow" w:hAnsi="Arial Narrow" w:cs="Times New Roman"/>
                <w:bCs/>
                <w:strike/>
                <w:color w:val="000000"/>
                <w:sz w:val="18"/>
                <w:szCs w:val="18"/>
              </w:rPr>
              <w:t>is not PBS-subsidised for the treatment of chronic obstructive pulmonary disease (COPD)</w:t>
            </w:r>
          </w:p>
        </w:tc>
      </w:tr>
      <w:tr w:rsidR="002101B5" w:rsidRPr="006504EF" w14:paraId="43EA1041"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284EB2DF" w14:textId="77777777" w:rsidR="002101B5" w:rsidRPr="0044325C" w:rsidRDefault="002101B5" w:rsidP="00453B08">
            <w:pPr>
              <w:jc w:val="center"/>
              <w:rPr>
                <w:rFonts w:ascii="Arial Narrow" w:hAnsi="Arial Narrow" w:cs="Times New Roman"/>
                <w:iCs/>
                <w:color w:val="000000"/>
                <w:sz w:val="18"/>
                <w:szCs w:val="18"/>
              </w:rPr>
            </w:pPr>
          </w:p>
        </w:tc>
        <w:tc>
          <w:tcPr>
            <w:tcW w:w="9017" w:type="dxa"/>
            <w:gridSpan w:val="7"/>
            <w:vAlign w:val="center"/>
          </w:tcPr>
          <w:p w14:paraId="6E30F01F" w14:textId="77777777" w:rsidR="002101B5" w:rsidRPr="0044325C" w:rsidRDefault="002101B5" w:rsidP="00453B08">
            <w:pPr>
              <w:jc w:val="left"/>
              <w:rPr>
                <w:rFonts w:ascii="Arial Narrow" w:hAnsi="Arial Narrow" w:cs="Times New Roman"/>
                <w:b/>
                <w:bCs/>
                <w:i/>
                <w:iCs/>
                <w:color w:val="000000"/>
                <w:sz w:val="18"/>
                <w:szCs w:val="18"/>
              </w:rPr>
            </w:pPr>
            <w:r w:rsidRPr="0044325C">
              <w:rPr>
                <w:rFonts w:ascii="Arial Narrow" w:hAnsi="Arial Narrow" w:cs="Times New Roman"/>
                <w:b/>
                <w:bCs/>
                <w:i/>
                <w:iCs/>
                <w:color w:val="000000"/>
                <w:sz w:val="18"/>
                <w:szCs w:val="18"/>
              </w:rPr>
              <w:t>Administrative Advice:</w:t>
            </w:r>
          </w:p>
          <w:p w14:paraId="6678D0AB" w14:textId="77777777" w:rsidR="002101B5" w:rsidRPr="0044325C" w:rsidRDefault="002101B5" w:rsidP="00453B08">
            <w:pPr>
              <w:jc w:val="left"/>
              <w:rPr>
                <w:rFonts w:ascii="Arial Narrow" w:hAnsi="Arial Narrow" w:cs="Times New Roman"/>
                <w:color w:val="000000"/>
                <w:sz w:val="18"/>
                <w:szCs w:val="18"/>
              </w:rPr>
            </w:pPr>
            <w:r w:rsidRPr="0044325C">
              <w:rPr>
                <w:rFonts w:ascii="Arial Narrow" w:hAnsi="Arial Narrow" w:cs="Times New Roman"/>
                <w:i/>
                <w:iCs/>
                <w:color w:val="000000"/>
                <w:sz w:val="18"/>
                <w:szCs w:val="18"/>
              </w:rPr>
              <w:t>This pharmaceutical benefit is not for the treatment of chronic obstructive pulmonary disease (COPD)</w:t>
            </w:r>
          </w:p>
        </w:tc>
      </w:tr>
      <w:tr w:rsidR="002101B5" w:rsidRPr="006504EF" w14:paraId="5453EE70"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057E692E" w14:textId="77777777" w:rsidR="002101B5" w:rsidRPr="001B79DE" w:rsidRDefault="002101B5" w:rsidP="00453B08">
            <w:pPr>
              <w:jc w:val="center"/>
              <w:rPr>
                <w:rFonts w:ascii="Arial Narrow" w:hAnsi="Arial Narrow" w:cs="Times New Roman"/>
                <w:color w:val="000000"/>
                <w:sz w:val="18"/>
                <w:szCs w:val="18"/>
              </w:rPr>
            </w:pPr>
          </w:p>
        </w:tc>
        <w:tc>
          <w:tcPr>
            <w:tcW w:w="9017" w:type="dxa"/>
            <w:gridSpan w:val="7"/>
            <w:vAlign w:val="center"/>
          </w:tcPr>
          <w:p w14:paraId="5D95BBD6" w14:textId="77777777" w:rsidR="002101B5" w:rsidRPr="001B79DE" w:rsidRDefault="002101B5" w:rsidP="00453B08">
            <w:pPr>
              <w:jc w:val="left"/>
              <w:rPr>
                <w:rFonts w:ascii="Arial Narrow" w:hAnsi="Arial Narrow" w:cs="Times New Roman"/>
                <w:bCs/>
                <w:color w:val="000000"/>
                <w:sz w:val="18"/>
                <w:szCs w:val="18"/>
              </w:rPr>
            </w:pPr>
            <w:r w:rsidRPr="001B79DE">
              <w:rPr>
                <w:rFonts w:ascii="Arial Narrow" w:hAnsi="Arial Narrow" w:cs="Times New Roman"/>
                <w:b/>
                <w:bCs/>
                <w:color w:val="000000"/>
                <w:sz w:val="18"/>
                <w:szCs w:val="18"/>
              </w:rPr>
              <w:t>Administrative Advice:</w:t>
            </w:r>
            <w:r w:rsidRPr="001B79DE">
              <w:rPr>
                <w:rFonts w:ascii="Arial Narrow" w:hAnsi="Arial Narrow" w:cs="Times New Roman"/>
                <w:bCs/>
                <w:color w:val="000000"/>
                <w:sz w:val="18"/>
                <w:szCs w:val="18"/>
              </w:rPr>
              <w:t xml:space="preserve"> This product is not indicated for the initiation of treatment in asthma</w:t>
            </w:r>
          </w:p>
        </w:tc>
      </w:tr>
      <w:tr w:rsidR="002101B5" w:rsidRPr="006504EF" w14:paraId="275AA621"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32EF1588" w14:textId="77777777" w:rsidR="002101B5" w:rsidRPr="001B79DE" w:rsidRDefault="002101B5" w:rsidP="00453B08">
            <w:pPr>
              <w:jc w:val="center"/>
              <w:rPr>
                <w:rFonts w:ascii="Arial Narrow" w:hAnsi="Arial Narrow" w:cs="Times New Roman"/>
                <w:color w:val="000000"/>
                <w:sz w:val="18"/>
                <w:szCs w:val="18"/>
              </w:rPr>
            </w:pPr>
          </w:p>
        </w:tc>
        <w:tc>
          <w:tcPr>
            <w:tcW w:w="9017" w:type="dxa"/>
            <w:gridSpan w:val="7"/>
            <w:vAlign w:val="center"/>
          </w:tcPr>
          <w:p w14:paraId="1919C9E4" w14:textId="77777777" w:rsidR="002101B5" w:rsidRPr="001B79DE" w:rsidRDefault="002101B5" w:rsidP="00453B08">
            <w:pPr>
              <w:jc w:val="left"/>
              <w:rPr>
                <w:rFonts w:ascii="Arial Narrow" w:hAnsi="Arial Narrow" w:cs="Times New Roman"/>
                <w:bCs/>
                <w:color w:val="000000"/>
                <w:sz w:val="18"/>
                <w:szCs w:val="18"/>
              </w:rPr>
            </w:pPr>
            <w:r w:rsidRPr="001B79DE">
              <w:rPr>
                <w:rFonts w:ascii="Arial Narrow" w:hAnsi="Arial Narrow" w:cs="Times New Roman"/>
                <w:b/>
                <w:bCs/>
                <w:color w:val="000000"/>
                <w:sz w:val="18"/>
                <w:szCs w:val="18"/>
              </w:rPr>
              <w:t>Administrative Advice:</w:t>
            </w:r>
            <w:r w:rsidRPr="001B79DE">
              <w:rPr>
                <w:rFonts w:ascii="Arial Narrow" w:hAnsi="Arial Narrow" w:cs="Times New Roman"/>
                <w:bCs/>
                <w:color w:val="000000"/>
                <w:sz w:val="18"/>
                <w:szCs w:val="18"/>
              </w:rPr>
              <w:t xml:space="preserve"> </w:t>
            </w:r>
          </w:p>
          <w:p w14:paraId="0D62EE3F" w14:textId="77777777" w:rsidR="002101B5" w:rsidRPr="001B79DE" w:rsidRDefault="002101B5" w:rsidP="00453B08">
            <w:pPr>
              <w:jc w:val="left"/>
              <w:rPr>
                <w:rFonts w:ascii="Arial Narrow" w:hAnsi="Arial Narrow" w:cs="Times New Roman"/>
                <w:bCs/>
                <w:color w:val="000000"/>
                <w:sz w:val="18"/>
                <w:szCs w:val="18"/>
              </w:rPr>
            </w:pPr>
            <w:r w:rsidRPr="001B79DE">
              <w:rPr>
                <w:rFonts w:ascii="Arial Narrow" w:hAnsi="Arial Narrow" w:cs="Times New Roman"/>
                <w:bCs/>
                <w:color w:val="000000"/>
                <w:sz w:val="18"/>
                <w:szCs w:val="18"/>
              </w:rPr>
              <w:t>The treatment must not be used in combination with an ICS/LABA, LABA/LAMA or LAMA, LABA or ICS monotherapy</w:t>
            </w:r>
          </w:p>
        </w:tc>
      </w:tr>
      <w:tr w:rsidR="002101B5" w:rsidRPr="006504EF" w14:paraId="7FFF173F"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5BA3FF27" w14:textId="77777777" w:rsidR="002101B5" w:rsidRPr="001B79DE" w:rsidRDefault="002101B5" w:rsidP="00453B08">
            <w:pPr>
              <w:jc w:val="center"/>
              <w:rPr>
                <w:rFonts w:ascii="Arial Narrow" w:hAnsi="Arial Narrow" w:cs="Times New Roman"/>
                <w:color w:val="000000"/>
                <w:sz w:val="18"/>
                <w:szCs w:val="18"/>
              </w:rPr>
            </w:pPr>
          </w:p>
        </w:tc>
        <w:tc>
          <w:tcPr>
            <w:tcW w:w="9017" w:type="dxa"/>
            <w:gridSpan w:val="7"/>
            <w:vAlign w:val="center"/>
          </w:tcPr>
          <w:p w14:paraId="3D8059BA" w14:textId="77777777" w:rsidR="002101B5" w:rsidRPr="001B79DE" w:rsidRDefault="002101B5" w:rsidP="00453B08">
            <w:pPr>
              <w:jc w:val="left"/>
              <w:rPr>
                <w:rFonts w:ascii="Arial Narrow" w:hAnsi="Arial Narrow" w:cs="Times New Roman"/>
                <w:bCs/>
                <w:color w:val="000000"/>
                <w:sz w:val="18"/>
                <w:szCs w:val="18"/>
              </w:rPr>
            </w:pPr>
            <w:r w:rsidRPr="001B79DE">
              <w:rPr>
                <w:rFonts w:ascii="Arial Narrow" w:hAnsi="Arial Narrow" w:cs="Times New Roman"/>
                <w:b/>
                <w:bCs/>
                <w:color w:val="000000"/>
                <w:sz w:val="18"/>
                <w:szCs w:val="18"/>
              </w:rPr>
              <w:t>Administrative Advice:</w:t>
            </w:r>
            <w:r w:rsidRPr="001B79DE">
              <w:rPr>
                <w:rFonts w:ascii="Arial Narrow" w:hAnsi="Arial Narrow" w:cs="Times New Roman"/>
                <w:bCs/>
                <w:color w:val="000000"/>
                <w:sz w:val="18"/>
                <w:szCs w:val="18"/>
              </w:rPr>
              <w:t xml:space="preserve"> A LAMA includes tiotropium, glycopyrronium, aclidinium or umeclidinium.</w:t>
            </w:r>
          </w:p>
        </w:tc>
      </w:tr>
      <w:tr w:rsidR="002101B5" w:rsidRPr="006504EF" w14:paraId="6B2283A6"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782BD48E" w14:textId="77777777" w:rsidR="002101B5" w:rsidRPr="001B79DE" w:rsidRDefault="002101B5" w:rsidP="00453B08">
            <w:pPr>
              <w:jc w:val="center"/>
              <w:rPr>
                <w:rFonts w:ascii="Arial Narrow" w:hAnsi="Arial Narrow" w:cs="Times New Roman"/>
                <w:color w:val="000000"/>
                <w:sz w:val="18"/>
                <w:szCs w:val="18"/>
              </w:rPr>
            </w:pPr>
          </w:p>
        </w:tc>
        <w:tc>
          <w:tcPr>
            <w:tcW w:w="9017" w:type="dxa"/>
            <w:gridSpan w:val="7"/>
            <w:vAlign w:val="center"/>
          </w:tcPr>
          <w:p w14:paraId="4486316A" w14:textId="77777777" w:rsidR="002101B5" w:rsidRPr="001B79DE" w:rsidRDefault="002101B5" w:rsidP="00453B08">
            <w:pPr>
              <w:jc w:val="left"/>
              <w:rPr>
                <w:rFonts w:ascii="Arial Narrow" w:hAnsi="Arial Narrow" w:cs="Times New Roman"/>
                <w:bCs/>
                <w:color w:val="000000"/>
                <w:sz w:val="18"/>
                <w:szCs w:val="18"/>
              </w:rPr>
            </w:pPr>
            <w:r w:rsidRPr="001B79DE">
              <w:rPr>
                <w:rFonts w:ascii="Arial Narrow" w:hAnsi="Arial Narrow" w:cs="Times New Roman"/>
                <w:b/>
                <w:bCs/>
                <w:color w:val="000000"/>
                <w:sz w:val="18"/>
                <w:szCs w:val="18"/>
              </w:rPr>
              <w:t>Administrative Advice:</w:t>
            </w:r>
            <w:r w:rsidRPr="001B79DE">
              <w:rPr>
                <w:rFonts w:ascii="Arial Narrow" w:hAnsi="Arial Narrow" w:cs="Times New Roman"/>
                <w:bCs/>
                <w:color w:val="000000"/>
                <w:sz w:val="18"/>
                <w:szCs w:val="18"/>
              </w:rPr>
              <w:t xml:space="preserve"> A LABA includes olodaterol, indacaterol, salmeterol, formoterol or vilanterol.</w:t>
            </w:r>
          </w:p>
        </w:tc>
      </w:tr>
      <w:tr w:rsidR="002101B5" w:rsidRPr="006504EF" w14:paraId="11362340" w14:textId="77777777" w:rsidTr="00632909">
        <w:tblPrEx>
          <w:tblCellMar>
            <w:top w:w="15" w:type="dxa"/>
            <w:left w:w="15" w:type="dxa"/>
            <w:bottom w:w="15" w:type="dxa"/>
            <w:right w:w="15" w:type="dxa"/>
          </w:tblCellMar>
          <w:tblLook w:val="04A0" w:firstRow="1" w:lastRow="0" w:firstColumn="1" w:lastColumn="0" w:noHBand="0" w:noVBand="1"/>
        </w:tblPrEx>
        <w:tc>
          <w:tcPr>
            <w:tcW w:w="50" w:type="dxa"/>
            <w:vAlign w:val="center"/>
          </w:tcPr>
          <w:p w14:paraId="262176D6" w14:textId="77777777" w:rsidR="002101B5" w:rsidRPr="001B79DE" w:rsidRDefault="002101B5" w:rsidP="00453B08">
            <w:pPr>
              <w:jc w:val="center"/>
              <w:rPr>
                <w:rFonts w:ascii="Arial Narrow" w:hAnsi="Arial Narrow" w:cs="Times New Roman"/>
                <w:color w:val="000000"/>
                <w:sz w:val="18"/>
                <w:szCs w:val="18"/>
              </w:rPr>
            </w:pPr>
          </w:p>
        </w:tc>
        <w:tc>
          <w:tcPr>
            <w:tcW w:w="9017" w:type="dxa"/>
            <w:gridSpan w:val="7"/>
            <w:vAlign w:val="center"/>
          </w:tcPr>
          <w:p w14:paraId="6CD8A936" w14:textId="77777777" w:rsidR="002101B5" w:rsidRPr="001B79DE" w:rsidRDefault="002101B5" w:rsidP="00453B08">
            <w:pPr>
              <w:jc w:val="left"/>
              <w:rPr>
                <w:rFonts w:ascii="Arial Narrow" w:hAnsi="Arial Narrow" w:cs="Times New Roman"/>
                <w:b/>
                <w:bCs/>
                <w:color w:val="000000"/>
                <w:sz w:val="18"/>
                <w:szCs w:val="18"/>
              </w:rPr>
            </w:pPr>
            <w:r w:rsidRPr="001B79DE">
              <w:rPr>
                <w:rFonts w:ascii="Arial Narrow" w:hAnsi="Arial Narrow" w:cs="Times New Roman"/>
                <w:b/>
                <w:bCs/>
                <w:color w:val="000000"/>
                <w:sz w:val="18"/>
                <w:szCs w:val="18"/>
              </w:rPr>
              <w:t>Administrative Advice:</w:t>
            </w:r>
          </w:p>
          <w:p w14:paraId="4EE062AB" w14:textId="77777777" w:rsidR="002101B5" w:rsidRPr="001B79DE" w:rsidRDefault="002101B5" w:rsidP="00453B08">
            <w:pPr>
              <w:jc w:val="left"/>
              <w:rPr>
                <w:rFonts w:ascii="Arial Narrow" w:hAnsi="Arial Narrow" w:cs="Times New Roman"/>
                <w:bCs/>
                <w:color w:val="000000"/>
                <w:sz w:val="18"/>
                <w:szCs w:val="18"/>
              </w:rPr>
            </w:pPr>
            <w:r w:rsidRPr="001B79DE">
              <w:rPr>
                <w:rFonts w:ascii="Arial Narrow" w:hAnsi="Arial Narrow" w:cs="Times New Roman"/>
                <w:bCs/>
                <w:color w:val="000000"/>
                <w:sz w:val="18"/>
                <w:szCs w:val="18"/>
              </w:rPr>
              <w:t>An ICS includes fluticasone propionate, fluticasone furoate, budesonide, beclometasone or ciclesonide.</w:t>
            </w:r>
          </w:p>
        </w:tc>
      </w:tr>
      <w:tr w:rsidR="002101B5" w:rsidRPr="006504EF" w14:paraId="0865B8C6" w14:textId="77777777" w:rsidTr="00632909">
        <w:tblPrEx>
          <w:tblCellMar>
            <w:top w:w="15" w:type="dxa"/>
            <w:left w:w="15" w:type="dxa"/>
            <w:bottom w:w="15" w:type="dxa"/>
            <w:right w:w="15" w:type="dxa"/>
          </w:tblCellMar>
          <w:tblLook w:val="04A0" w:firstRow="1" w:lastRow="0" w:firstColumn="1" w:lastColumn="0" w:noHBand="0" w:noVBand="1"/>
        </w:tblPrEx>
        <w:tc>
          <w:tcPr>
            <w:tcW w:w="50" w:type="dxa"/>
            <w:tcBorders>
              <w:top w:val="single" w:sz="4" w:space="0" w:color="auto"/>
              <w:left w:val="single" w:sz="4" w:space="0" w:color="auto"/>
              <w:bottom w:val="single" w:sz="4" w:space="0" w:color="auto"/>
              <w:right w:val="single" w:sz="4" w:space="0" w:color="auto"/>
            </w:tcBorders>
            <w:vAlign w:val="center"/>
          </w:tcPr>
          <w:p w14:paraId="64F2FBA8" w14:textId="77777777" w:rsidR="002101B5" w:rsidRDefault="002101B5" w:rsidP="00453B08">
            <w:pPr>
              <w:jc w:val="center"/>
              <w:rPr>
                <w:rFonts w:ascii="Arial Narrow" w:hAnsi="Arial Narrow" w:cs="Times New Roman"/>
                <w:color w:val="000000"/>
                <w:sz w:val="18"/>
                <w:szCs w:val="18"/>
              </w:rPr>
            </w:pPr>
          </w:p>
        </w:tc>
        <w:tc>
          <w:tcPr>
            <w:tcW w:w="9017" w:type="dxa"/>
            <w:gridSpan w:val="7"/>
            <w:tcBorders>
              <w:top w:val="single" w:sz="4" w:space="0" w:color="auto"/>
              <w:left w:val="single" w:sz="4" w:space="0" w:color="auto"/>
              <w:bottom w:val="single" w:sz="4" w:space="0" w:color="auto"/>
              <w:right w:val="single" w:sz="4" w:space="0" w:color="auto"/>
            </w:tcBorders>
            <w:vAlign w:val="center"/>
          </w:tcPr>
          <w:p w14:paraId="58AD38B7" w14:textId="77777777" w:rsidR="002101B5" w:rsidRPr="001B79DE" w:rsidRDefault="002101B5" w:rsidP="00453B08">
            <w:pPr>
              <w:jc w:val="left"/>
              <w:rPr>
                <w:rFonts w:ascii="Arial Narrow" w:hAnsi="Arial Narrow" w:cs="Times New Roman"/>
                <w:b/>
                <w:bCs/>
                <w:color w:val="000000"/>
                <w:sz w:val="18"/>
                <w:szCs w:val="18"/>
              </w:rPr>
            </w:pPr>
            <w:r>
              <w:rPr>
                <w:rFonts w:ascii="Arial Narrow" w:hAnsi="Arial Narrow" w:cs="Times New Roman"/>
                <w:b/>
                <w:bCs/>
                <w:color w:val="000000"/>
                <w:sz w:val="18"/>
                <w:szCs w:val="18"/>
              </w:rPr>
              <w:t xml:space="preserve">Administrative Advice: </w:t>
            </w:r>
            <w:r w:rsidRPr="001B79DE">
              <w:rPr>
                <w:rFonts w:ascii="Arial Narrow" w:hAnsi="Arial Narrow" w:cs="Times New Roman"/>
                <w:bCs/>
                <w:color w:val="000000"/>
                <w:sz w:val="18"/>
                <w:szCs w:val="18"/>
              </w:rPr>
              <w:t>Applications for authorisation under this restriction may be made in real time using the Online PBS Authorities system (see www.servicesaustralia.gov.au/HPOS) or by telephone by contacting Services Australia on 1800 888 333.</w:t>
            </w:r>
          </w:p>
        </w:tc>
      </w:tr>
    </w:tbl>
    <w:p w14:paraId="416E33CF" w14:textId="77777777" w:rsidR="002101B5" w:rsidRPr="001808B1" w:rsidRDefault="002101B5" w:rsidP="00EA556C">
      <w:pPr>
        <w:pStyle w:val="TableFigureFooter"/>
      </w:pPr>
    </w:p>
    <w:p w14:paraId="3BC668A9" w14:textId="77777777" w:rsidR="009F0295" w:rsidRPr="000F48E0" w:rsidRDefault="009F0295" w:rsidP="00EA556C">
      <w:pPr>
        <w:pStyle w:val="3-BodyText"/>
        <w:rPr>
          <w:color w:val="0066FF"/>
        </w:rPr>
      </w:pPr>
      <w:r w:rsidRPr="000F48E0">
        <w:rPr>
          <w:color w:val="000000" w:themeColor="text1"/>
        </w:rPr>
        <w:t>The submission requested an Authority Required (STREAMLINED) listing</w:t>
      </w:r>
      <w:r w:rsidR="00F62D76" w:rsidRPr="000F48E0">
        <w:rPr>
          <w:color w:val="000000" w:themeColor="text1"/>
        </w:rPr>
        <w:t xml:space="preserve"> for </w:t>
      </w:r>
      <w:r w:rsidR="0081496A">
        <w:rPr>
          <w:color w:val="000000" w:themeColor="text1"/>
        </w:rPr>
        <w:t>FF/UMEC/VI 200/62.5/25</w:t>
      </w:r>
      <w:r w:rsidRPr="000F48E0">
        <w:rPr>
          <w:color w:val="000000" w:themeColor="text1"/>
        </w:rPr>
        <w:t>.</w:t>
      </w:r>
      <w:r w:rsidRPr="000F48E0">
        <w:rPr>
          <w:iCs/>
          <w:color w:val="000000" w:themeColor="text1"/>
        </w:rPr>
        <w:t xml:space="preserve"> </w:t>
      </w:r>
      <w:r w:rsidR="00632909">
        <w:rPr>
          <w:iCs/>
          <w:color w:val="000000" w:themeColor="text1"/>
        </w:rPr>
        <w:t>A</w:t>
      </w:r>
      <w:r w:rsidRPr="000F48E0">
        <w:rPr>
          <w:iCs/>
          <w:color w:val="000000" w:themeColor="text1"/>
        </w:rPr>
        <w:t xml:space="preserve"> </w:t>
      </w:r>
      <w:r w:rsidR="00632909">
        <w:rPr>
          <w:iCs/>
          <w:color w:val="000000" w:themeColor="text1"/>
        </w:rPr>
        <w:t>mo</w:t>
      </w:r>
      <w:r w:rsidR="0093697B">
        <w:rPr>
          <w:iCs/>
          <w:color w:val="000000" w:themeColor="text1"/>
        </w:rPr>
        <w:t>r</w:t>
      </w:r>
      <w:r w:rsidR="00632909">
        <w:rPr>
          <w:iCs/>
          <w:color w:val="000000" w:themeColor="text1"/>
        </w:rPr>
        <w:t xml:space="preserve">e restrictive Authority Required listing </w:t>
      </w:r>
      <w:r w:rsidRPr="000F48E0">
        <w:rPr>
          <w:iCs/>
          <w:color w:val="000000" w:themeColor="text1"/>
        </w:rPr>
        <w:t>(</w:t>
      </w:r>
      <w:r w:rsidR="00632909">
        <w:rPr>
          <w:iCs/>
          <w:color w:val="000000" w:themeColor="text1"/>
        </w:rPr>
        <w:t>t</w:t>
      </w:r>
      <w:r w:rsidRPr="000F48E0">
        <w:rPr>
          <w:iCs/>
          <w:color w:val="000000" w:themeColor="text1"/>
        </w:rPr>
        <w:t>elephone/</w:t>
      </w:r>
      <w:r w:rsidR="00632909">
        <w:rPr>
          <w:iCs/>
          <w:color w:val="000000" w:themeColor="text1"/>
        </w:rPr>
        <w:t>online</w:t>
      </w:r>
      <w:r w:rsidRPr="000F48E0">
        <w:rPr>
          <w:iCs/>
          <w:color w:val="000000" w:themeColor="text1"/>
        </w:rPr>
        <w:t xml:space="preserve">) </w:t>
      </w:r>
      <w:r w:rsidR="00632909">
        <w:rPr>
          <w:iCs/>
          <w:color w:val="000000" w:themeColor="text1"/>
        </w:rPr>
        <w:t xml:space="preserve">was applied </w:t>
      </w:r>
      <w:r w:rsidRPr="000F48E0">
        <w:rPr>
          <w:iCs/>
          <w:color w:val="000000" w:themeColor="text1"/>
        </w:rPr>
        <w:t xml:space="preserve">for </w:t>
      </w:r>
      <w:r w:rsidR="002763E8" w:rsidRPr="000F48E0">
        <w:rPr>
          <w:iCs/>
          <w:color w:val="000000" w:themeColor="text1"/>
        </w:rPr>
        <w:t>MF/IND/GLY</w:t>
      </w:r>
      <w:r w:rsidR="00FB35D3">
        <w:rPr>
          <w:iCs/>
          <w:color w:val="000000" w:themeColor="text1"/>
        </w:rPr>
        <w:t>,</w:t>
      </w:r>
      <w:r w:rsidRPr="000F48E0">
        <w:rPr>
          <w:iCs/>
          <w:color w:val="000000" w:themeColor="text1"/>
        </w:rPr>
        <w:t xml:space="preserve"> the main comparator in the current submission, </w:t>
      </w:r>
      <w:bookmarkStart w:id="16" w:name="_Hlk79420926"/>
      <w:r w:rsidR="00632909">
        <w:rPr>
          <w:iCs/>
          <w:color w:val="000000" w:themeColor="text1"/>
        </w:rPr>
        <w:t xml:space="preserve">with the rationale being that it would aid in </w:t>
      </w:r>
      <w:r w:rsidRPr="000F48E0">
        <w:rPr>
          <w:iCs/>
          <w:color w:val="000000" w:themeColor="text1"/>
        </w:rPr>
        <w:t>minimis</w:t>
      </w:r>
      <w:r w:rsidR="00632909">
        <w:rPr>
          <w:iCs/>
          <w:color w:val="000000" w:themeColor="text1"/>
        </w:rPr>
        <w:t>ing</w:t>
      </w:r>
      <w:r w:rsidRPr="000F48E0">
        <w:rPr>
          <w:iCs/>
          <w:color w:val="000000" w:themeColor="text1"/>
        </w:rPr>
        <w:t xml:space="preserve"> the risk of inappropriate use in patients with less severe asthma otherwise managed on </w:t>
      </w:r>
      <w:bookmarkEnd w:id="16"/>
      <w:r w:rsidRPr="000F48E0">
        <w:rPr>
          <w:iCs/>
          <w:color w:val="000000" w:themeColor="text1"/>
        </w:rPr>
        <w:t>ICS or ICS/LABA (paragraph</w:t>
      </w:r>
      <w:r w:rsidR="00C91977" w:rsidRPr="000F48E0">
        <w:rPr>
          <w:iCs/>
          <w:color w:val="000000" w:themeColor="text1"/>
        </w:rPr>
        <w:t>s</w:t>
      </w:r>
      <w:r w:rsidRPr="000F48E0">
        <w:rPr>
          <w:iCs/>
          <w:color w:val="000000" w:themeColor="text1"/>
        </w:rPr>
        <w:t xml:space="preserve"> </w:t>
      </w:r>
      <w:r w:rsidR="00A62060" w:rsidRPr="000F48E0">
        <w:rPr>
          <w:iCs/>
          <w:color w:val="000000" w:themeColor="text1"/>
        </w:rPr>
        <w:t>7.8</w:t>
      </w:r>
      <w:r w:rsidR="00C91977" w:rsidRPr="000F48E0">
        <w:rPr>
          <w:iCs/>
          <w:color w:val="000000" w:themeColor="text1"/>
        </w:rPr>
        <w:t xml:space="preserve"> and 9.3</w:t>
      </w:r>
      <w:r w:rsidRPr="000F48E0">
        <w:rPr>
          <w:iCs/>
          <w:color w:val="000000" w:themeColor="text1"/>
        </w:rPr>
        <w:t xml:space="preserve">, </w:t>
      </w:r>
      <w:bookmarkStart w:id="17" w:name="_Hlk78729737"/>
      <w:r w:rsidR="00F62D76" w:rsidRPr="000F48E0">
        <w:rPr>
          <w:iCs/>
          <w:color w:val="000000" w:themeColor="text1"/>
        </w:rPr>
        <w:t xml:space="preserve">MF/IND/GLY </w:t>
      </w:r>
      <w:r w:rsidR="007B3905" w:rsidRPr="000F48E0">
        <w:rPr>
          <w:iCs/>
          <w:color w:val="000000" w:themeColor="text1"/>
        </w:rPr>
        <w:t>P</w:t>
      </w:r>
      <w:r w:rsidR="00F62D76" w:rsidRPr="000F48E0">
        <w:rPr>
          <w:iCs/>
          <w:color w:val="000000" w:themeColor="text1"/>
        </w:rPr>
        <w:t xml:space="preserve">ublic </w:t>
      </w:r>
      <w:r w:rsidR="007B3905" w:rsidRPr="000F48E0">
        <w:rPr>
          <w:iCs/>
          <w:color w:val="000000" w:themeColor="text1"/>
        </w:rPr>
        <w:t>S</w:t>
      </w:r>
      <w:r w:rsidR="00F62D76" w:rsidRPr="000F48E0">
        <w:rPr>
          <w:iCs/>
          <w:color w:val="000000" w:themeColor="text1"/>
        </w:rPr>
        <w:t xml:space="preserve">ummary </w:t>
      </w:r>
      <w:r w:rsidR="007B3905" w:rsidRPr="000F48E0">
        <w:rPr>
          <w:iCs/>
          <w:color w:val="000000" w:themeColor="text1"/>
        </w:rPr>
        <w:t>D</w:t>
      </w:r>
      <w:r w:rsidR="00F62D76" w:rsidRPr="000F48E0">
        <w:rPr>
          <w:iCs/>
          <w:color w:val="000000" w:themeColor="text1"/>
        </w:rPr>
        <w:t>ocument (PSD),</w:t>
      </w:r>
      <w:r w:rsidRPr="000F48E0">
        <w:rPr>
          <w:iCs/>
          <w:color w:val="000000" w:themeColor="text1"/>
        </w:rPr>
        <w:t xml:space="preserve"> July 2020 PBAC Meeting</w:t>
      </w:r>
      <w:bookmarkEnd w:id="17"/>
      <w:r w:rsidRPr="000F48E0">
        <w:rPr>
          <w:iCs/>
          <w:color w:val="000000" w:themeColor="text1"/>
        </w:rPr>
        <w:t>)</w:t>
      </w:r>
      <w:r w:rsidRPr="000F48E0">
        <w:rPr>
          <w:color w:val="000000" w:themeColor="text1"/>
        </w:rPr>
        <w:t>.</w:t>
      </w:r>
    </w:p>
    <w:p w14:paraId="45A9FAC7" w14:textId="41A08104" w:rsidR="00485FBA" w:rsidRPr="00485FBA" w:rsidRDefault="00754B4F" w:rsidP="00485FBA">
      <w:pPr>
        <w:pStyle w:val="3-BodyText"/>
        <w:rPr>
          <w:color w:val="0066FF"/>
        </w:rPr>
      </w:pPr>
      <w:bookmarkStart w:id="18" w:name="_Hlk82508232"/>
      <w:r w:rsidRPr="000F48E0">
        <w:rPr>
          <w:iCs/>
          <w:color w:val="000000" w:themeColor="text1"/>
        </w:rPr>
        <w:t xml:space="preserve">In the July 2020 consideration of MF/IND/GLY it was noted that </w:t>
      </w:r>
      <w:r w:rsidR="003027A4" w:rsidRPr="000F48E0">
        <w:rPr>
          <w:iCs/>
          <w:color w:val="000000" w:themeColor="text1"/>
        </w:rPr>
        <w:t xml:space="preserve">it could be inappropriately </w:t>
      </w:r>
      <w:r w:rsidR="00414F1E" w:rsidRPr="000F48E0">
        <w:rPr>
          <w:iCs/>
          <w:color w:val="000000" w:themeColor="text1"/>
        </w:rPr>
        <w:t>prescribed in children and adolescents, given triple therapy with ICS/LABA+TIO is PBS listed from 6 years of age</w:t>
      </w:r>
      <w:r w:rsidR="00B5686A" w:rsidRPr="000F48E0">
        <w:rPr>
          <w:iCs/>
          <w:color w:val="000000" w:themeColor="text1"/>
        </w:rPr>
        <w:t>,</w:t>
      </w:r>
      <w:r w:rsidR="00414F1E" w:rsidRPr="000F48E0">
        <w:rPr>
          <w:iCs/>
          <w:color w:val="000000" w:themeColor="text1"/>
        </w:rPr>
        <w:t xml:space="preserve"> but listing of MF/IND/GLY was sought for adults. </w:t>
      </w:r>
      <w:r w:rsidR="003027A4" w:rsidRPr="000F48E0">
        <w:rPr>
          <w:iCs/>
          <w:color w:val="000000" w:themeColor="text1"/>
        </w:rPr>
        <w:t>At that time, t</w:t>
      </w:r>
      <w:r w:rsidR="00414F1E" w:rsidRPr="000F48E0">
        <w:rPr>
          <w:iCs/>
          <w:color w:val="000000" w:themeColor="text1"/>
        </w:rPr>
        <w:t xml:space="preserve">he PBAC considered that </w:t>
      </w:r>
      <w:r w:rsidR="007C374C">
        <w:rPr>
          <w:iCs/>
          <w:color w:val="000000" w:themeColor="text1"/>
        </w:rPr>
        <w:t xml:space="preserve">patient age </w:t>
      </w:r>
      <w:r w:rsidR="00414F1E" w:rsidRPr="000F48E0">
        <w:rPr>
          <w:iCs/>
          <w:color w:val="000000" w:themeColor="text1"/>
        </w:rPr>
        <w:t xml:space="preserve">confirmation as part of </w:t>
      </w:r>
      <w:r w:rsidR="003027A4" w:rsidRPr="000F48E0">
        <w:rPr>
          <w:iCs/>
          <w:color w:val="000000" w:themeColor="text1"/>
        </w:rPr>
        <w:t xml:space="preserve">an Authority Required </w:t>
      </w:r>
      <w:r w:rsidR="0093697B">
        <w:rPr>
          <w:iCs/>
          <w:color w:val="000000" w:themeColor="text1"/>
        </w:rPr>
        <w:t>(</w:t>
      </w:r>
      <w:r w:rsidR="00632909">
        <w:rPr>
          <w:iCs/>
          <w:color w:val="000000" w:themeColor="text1"/>
        </w:rPr>
        <w:t>t</w:t>
      </w:r>
      <w:r w:rsidR="003027A4" w:rsidRPr="000F48E0">
        <w:rPr>
          <w:iCs/>
          <w:color w:val="000000" w:themeColor="text1"/>
        </w:rPr>
        <w:t>elephone/</w:t>
      </w:r>
      <w:r w:rsidR="00632909">
        <w:rPr>
          <w:iCs/>
          <w:color w:val="000000" w:themeColor="text1"/>
        </w:rPr>
        <w:t>online</w:t>
      </w:r>
      <w:r w:rsidR="003027A4" w:rsidRPr="000F48E0">
        <w:rPr>
          <w:iCs/>
          <w:color w:val="000000" w:themeColor="text1"/>
        </w:rPr>
        <w:t xml:space="preserve">) </w:t>
      </w:r>
      <w:r w:rsidR="007C374C">
        <w:rPr>
          <w:iCs/>
          <w:color w:val="000000" w:themeColor="text1"/>
        </w:rPr>
        <w:t xml:space="preserve">application process </w:t>
      </w:r>
      <w:r w:rsidR="00414F1E" w:rsidRPr="000F48E0">
        <w:rPr>
          <w:iCs/>
          <w:color w:val="000000" w:themeColor="text1"/>
        </w:rPr>
        <w:t xml:space="preserve">may assist in minimising </w:t>
      </w:r>
      <w:r w:rsidR="003027A4" w:rsidRPr="000F48E0">
        <w:rPr>
          <w:iCs/>
          <w:color w:val="000000" w:themeColor="text1"/>
        </w:rPr>
        <w:t>this potential quality use of medicines issue (paragraph 6.44, MF/IND/GLY PSD, July 2020 PBAC Meeting)</w:t>
      </w:r>
      <w:r w:rsidR="00414F1E" w:rsidRPr="000F48E0">
        <w:rPr>
          <w:iCs/>
          <w:color w:val="000000" w:themeColor="text1"/>
        </w:rPr>
        <w:t>. The</w:t>
      </w:r>
      <w:r w:rsidR="00B0532D">
        <w:rPr>
          <w:iCs/>
          <w:color w:val="000000" w:themeColor="text1"/>
        </w:rPr>
        <w:t xml:space="preserve"> evaluation considered there</w:t>
      </w:r>
      <w:r w:rsidR="00414F1E" w:rsidRPr="000F48E0">
        <w:rPr>
          <w:iCs/>
          <w:color w:val="000000" w:themeColor="text1"/>
        </w:rPr>
        <w:t xml:space="preserve"> exists a similar concern regarding the use of </w:t>
      </w:r>
      <w:r w:rsidR="0081496A">
        <w:rPr>
          <w:iCs/>
          <w:color w:val="000000" w:themeColor="text1"/>
        </w:rPr>
        <w:t>FF/UMEC/VI 200/62.5/25</w:t>
      </w:r>
      <w:r w:rsidR="00414F1E" w:rsidRPr="000F48E0">
        <w:rPr>
          <w:iCs/>
          <w:color w:val="000000" w:themeColor="text1"/>
        </w:rPr>
        <w:t xml:space="preserve"> among patients less than 18 years. </w:t>
      </w:r>
      <w:r w:rsidR="00852771" w:rsidRPr="00F21704">
        <w:rPr>
          <w:iCs/>
          <w:color w:val="000000" w:themeColor="text1"/>
        </w:rPr>
        <w:t xml:space="preserve">The </w:t>
      </w:r>
      <w:r w:rsidR="00852771" w:rsidRPr="00F21704">
        <w:rPr>
          <w:iCs/>
        </w:rPr>
        <w:t xml:space="preserve">Pre-Sub-Committee </w:t>
      </w:r>
      <w:r w:rsidR="00293A1B">
        <w:rPr>
          <w:iCs/>
        </w:rPr>
        <w:t>R</w:t>
      </w:r>
      <w:r w:rsidR="00852771" w:rsidRPr="00F21704">
        <w:rPr>
          <w:iCs/>
        </w:rPr>
        <w:t>esponse (</w:t>
      </w:r>
      <w:r w:rsidR="008A733B" w:rsidRPr="00F21704">
        <w:rPr>
          <w:iCs/>
        </w:rPr>
        <w:t xml:space="preserve">PSCR) </w:t>
      </w:r>
      <w:r w:rsidR="00591067">
        <w:rPr>
          <w:iCs/>
        </w:rPr>
        <w:t xml:space="preserve">contended </w:t>
      </w:r>
      <w:r w:rsidR="008A733B" w:rsidRPr="00F21704">
        <w:rPr>
          <w:iCs/>
        </w:rPr>
        <w:t xml:space="preserve">that the authority </w:t>
      </w:r>
      <w:r w:rsidR="007C374C">
        <w:rPr>
          <w:iCs/>
        </w:rPr>
        <w:t xml:space="preserve">type </w:t>
      </w:r>
      <w:r w:rsidR="0012156A">
        <w:rPr>
          <w:iCs/>
        </w:rPr>
        <w:t xml:space="preserve">(telephone/online) </w:t>
      </w:r>
      <w:r w:rsidR="008A733B" w:rsidRPr="00F21704">
        <w:rPr>
          <w:iCs/>
        </w:rPr>
        <w:t xml:space="preserve">applied to MF/IND/GLY was likely a barrier to prescribing as Medicare Statistics prescribing data </w:t>
      </w:r>
      <w:r w:rsidR="005711F6">
        <w:rPr>
          <w:iCs/>
        </w:rPr>
        <w:t>for the first</w:t>
      </w:r>
      <w:r w:rsidR="005711F6" w:rsidRPr="00F21704">
        <w:rPr>
          <w:iCs/>
        </w:rPr>
        <w:t xml:space="preserve"> </w:t>
      </w:r>
      <w:r w:rsidR="008A733B" w:rsidRPr="00F21704">
        <w:rPr>
          <w:iCs/>
        </w:rPr>
        <w:t>4 months</w:t>
      </w:r>
      <w:r w:rsidR="005711F6">
        <w:rPr>
          <w:iCs/>
        </w:rPr>
        <w:t xml:space="preserve"> </w:t>
      </w:r>
      <w:r w:rsidR="0081771C">
        <w:rPr>
          <w:iCs/>
        </w:rPr>
        <w:t>of</w:t>
      </w:r>
      <w:r w:rsidR="005711F6">
        <w:rPr>
          <w:iCs/>
        </w:rPr>
        <w:t xml:space="preserve"> listing</w:t>
      </w:r>
      <w:r w:rsidR="008A733B" w:rsidRPr="00F21704">
        <w:rPr>
          <w:iCs/>
        </w:rPr>
        <w:t xml:space="preserve"> suggested uptake was lower than expected in the July 2020 submission. The ESC considered </w:t>
      </w:r>
      <w:r w:rsidR="00B0532D" w:rsidRPr="00F21704">
        <w:rPr>
          <w:iCs/>
        </w:rPr>
        <w:t xml:space="preserve">the </w:t>
      </w:r>
      <w:r w:rsidR="008A733B" w:rsidRPr="00F21704">
        <w:rPr>
          <w:iCs/>
        </w:rPr>
        <w:t xml:space="preserve">concerns regarding the risk of inappropriate use raised by the PBAC in July 2020 for MF/IND/GLY were applicable to </w:t>
      </w:r>
      <w:r w:rsidR="0081496A">
        <w:rPr>
          <w:iCs/>
        </w:rPr>
        <w:t>FF/UMEC/VI</w:t>
      </w:r>
      <w:r w:rsidR="008A733B" w:rsidRPr="00F21704">
        <w:rPr>
          <w:iCs/>
        </w:rPr>
        <w:t xml:space="preserve">. </w:t>
      </w:r>
      <w:r w:rsidR="00485FBA">
        <w:rPr>
          <w:iCs/>
        </w:rPr>
        <w:t xml:space="preserve"> The pre-PBAC response further </w:t>
      </w:r>
      <w:r w:rsidR="00591067">
        <w:rPr>
          <w:iCs/>
        </w:rPr>
        <w:t xml:space="preserve">contended </w:t>
      </w:r>
      <w:r w:rsidR="00485FBA">
        <w:rPr>
          <w:iCs/>
        </w:rPr>
        <w:t>that patients and clinicians should not have inconsi</w:t>
      </w:r>
      <w:r w:rsidR="00DF12CA">
        <w:rPr>
          <w:iCs/>
        </w:rPr>
        <w:t xml:space="preserve">stent treatment restrictions </w:t>
      </w:r>
      <w:r w:rsidR="00485FBA">
        <w:rPr>
          <w:iCs/>
        </w:rPr>
        <w:t xml:space="preserve">to prescribing when STREAMLINED Authorities have managed appropriate prescribing of ICS/LABAs and ICS/LABA/LAMA single inhaler triple therapy prescribing elsewhere in the management of respiratory conditions. </w:t>
      </w:r>
      <w:r w:rsidR="00CF22F3">
        <w:rPr>
          <w:iCs/>
        </w:rPr>
        <w:t xml:space="preserve">The PBAC noted the differences in the restriction </w:t>
      </w:r>
      <w:r w:rsidR="00591067">
        <w:rPr>
          <w:iCs/>
        </w:rPr>
        <w:t xml:space="preserve">types </w:t>
      </w:r>
      <w:r w:rsidR="00CF22F3">
        <w:rPr>
          <w:iCs/>
        </w:rPr>
        <w:t xml:space="preserve">for tiotropium (Restricted Benefit for   severe asthma), </w:t>
      </w:r>
      <w:r w:rsidR="0081496A">
        <w:rPr>
          <w:iCs/>
          <w:color w:val="000000" w:themeColor="text1"/>
        </w:rPr>
        <w:t>FF/UMEC/VI</w:t>
      </w:r>
      <w:r w:rsidR="009E7F6D" w:rsidRPr="000F48E0">
        <w:rPr>
          <w:iCs/>
          <w:color w:val="000000" w:themeColor="text1"/>
        </w:rPr>
        <w:t xml:space="preserve"> </w:t>
      </w:r>
      <w:r w:rsidR="0081496A">
        <w:rPr>
          <w:iCs/>
          <w:color w:val="000000" w:themeColor="text1"/>
        </w:rPr>
        <w:t>100/62.5/25</w:t>
      </w:r>
      <w:r w:rsidR="009E7F6D" w:rsidRPr="000F48E0">
        <w:rPr>
          <w:iCs/>
          <w:color w:val="000000" w:themeColor="text1"/>
        </w:rPr>
        <w:t xml:space="preserve"> mcg </w:t>
      </w:r>
      <w:r w:rsidR="009E7F6D">
        <w:rPr>
          <w:iCs/>
          <w:color w:val="000000" w:themeColor="text1"/>
        </w:rPr>
        <w:t xml:space="preserve">(Authority Required - STREAMLINED for COPD) and </w:t>
      </w:r>
      <w:r w:rsidR="00CF22F3">
        <w:rPr>
          <w:iCs/>
        </w:rPr>
        <w:t xml:space="preserve">MF/IND/GLY </w:t>
      </w:r>
      <w:r w:rsidR="009E7F6D">
        <w:rPr>
          <w:iCs/>
        </w:rPr>
        <w:t xml:space="preserve">(Authority Required – </w:t>
      </w:r>
      <w:r w:rsidR="00591067">
        <w:rPr>
          <w:iCs/>
        </w:rPr>
        <w:t>t</w:t>
      </w:r>
      <w:r w:rsidR="009E7F6D">
        <w:rPr>
          <w:iCs/>
        </w:rPr>
        <w:t>elephone/</w:t>
      </w:r>
      <w:r w:rsidR="00591067">
        <w:rPr>
          <w:iCs/>
        </w:rPr>
        <w:t>online</w:t>
      </w:r>
      <w:r w:rsidR="009E7F6D">
        <w:rPr>
          <w:iCs/>
        </w:rPr>
        <w:t xml:space="preserve"> </w:t>
      </w:r>
      <w:r w:rsidR="00CF22F3">
        <w:rPr>
          <w:iCs/>
        </w:rPr>
        <w:t xml:space="preserve">for severe </w:t>
      </w:r>
      <w:r w:rsidR="009E7F6D">
        <w:rPr>
          <w:iCs/>
        </w:rPr>
        <w:t xml:space="preserve">asthma). The PBAC agreed with the pre-PBAC response that the inconsistencies evident between the single inhaler triple therapies </w:t>
      </w:r>
      <w:r w:rsidR="00672309">
        <w:rPr>
          <w:iCs/>
        </w:rPr>
        <w:t xml:space="preserve">across these two indications </w:t>
      </w:r>
      <w:r w:rsidR="009E7F6D">
        <w:rPr>
          <w:iCs/>
        </w:rPr>
        <w:t xml:space="preserve">may not be appropriate. </w:t>
      </w:r>
      <w:r w:rsidR="00CF22F3">
        <w:rPr>
          <w:iCs/>
        </w:rPr>
        <w:t xml:space="preserve"> </w:t>
      </w:r>
    </w:p>
    <w:bookmarkEnd w:id="18"/>
    <w:p w14:paraId="250686E7" w14:textId="77777777" w:rsidR="00852771" w:rsidRPr="00F21704" w:rsidRDefault="00934AD7" w:rsidP="002838FE">
      <w:pPr>
        <w:pStyle w:val="3-BodyText"/>
        <w:rPr>
          <w:iCs/>
          <w:color w:val="000000" w:themeColor="text1"/>
        </w:rPr>
      </w:pPr>
      <w:r w:rsidRPr="00F21704">
        <w:rPr>
          <w:iCs/>
          <w:color w:val="000000" w:themeColor="text1"/>
        </w:rPr>
        <w:t>The</w:t>
      </w:r>
      <w:r w:rsidR="00DF4343" w:rsidRPr="00F21704">
        <w:rPr>
          <w:iCs/>
          <w:color w:val="000000" w:themeColor="text1"/>
        </w:rPr>
        <w:t xml:space="preserve"> </w:t>
      </w:r>
      <w:r w:rsidRPr="00F21704">
        <w:rPr>
          <w:iCs/>
          <w:color w:val="000000" w:themeColor="text1"/>
        </w:rPr>
        <w:t>requested restriction is</w:t>
      </w:r>
      <w:r w:rsidR="002545C3" w:rsidRPr="00F21704">
        <w:rPr>
          <w:iCs/>
          <w:color w:val="000000" w:themeColor="text1"/>
        </w:rPr>
        <w:t xml:space="preserve"> consistent with that of the current </w:t>
      </w:r>
      <w:r w:rsidR="009F0295" w:rsidRPr="00F21704">
        <w:rPr>
          <w:iCs/>
          <w:color w:val="000000" w:themeColor="text1"/>
        </w:rPr>
        <w:t>MF/IND/GLY</w:t>
      </w:r>
      <w:r w:rsidR="002545C3" w:rsidRPr="00F21704">
        <w:rPr>
          <w:iCs/>
          <w:color w:val="000000" w:themeColor="text1"/>
        </w:rPr>
        <w:t xml:space="preserve"> listing for severe asthma. </w:t>
      </w:r>
      <w:r w:rsidR="002838FE" w:rsidRPr="00F21704">
        <w:rPr>
          <w:iCs/>
          <w:color w:val="000000" w:themeColor="text1"/>
        </w:rPr>
        <w:t xml:space="preserve">The PSCR noted </w:t>
      </w:r>
      <w:r w:rsidR="00591067">
        <w:rPr>
          <w:iCs/>
          <w:color w:val="000000" w:themeColor="text1"/>
        </w:rPr>
        <w:t xml:space="preserve">a proposed </w:t>
      </w:r>
      <w:r w:rsidR="002838FE" w:rsidRPr="00F21704">
        <w:rPr>
          <w:iCs/>
          <w:color w:val="000000" w:themeColor="text1"/>
        </w:rPr>
        <w:t xml:space="preserve">correction to the clinical criteria of the MF/IND/GLY listing highlighted by the Secretariat. The correction </w:t>
      </w:r>
      <w:r w:rsidR="002838FE" w:rsidRPr="00F21704">
        <w:rPr>
          <w:iCs/>
        </w:rPr>
        <w:t xml:space="preserve">clarified that continuing patients need not re-experience severe exacerbations on a recurring 12-month basis to qualify for continued treatment. </w:t>
      </w:r>
      <w:r w:rsidR="00852771" w:rsidRPr="00F21704">
        <w:rPr>
          <w:iCs/>
          <w:color w:val="000000" w:themeColor="text1"/>
        </w:rPr>
        <w:t xml:space="preserve">The </w:t>
      </w:r>
      <w:r w:rsidR="008A733B" w:rsidRPr="00F21704">
        <w:rPr>
          <w:iCs/>
          <w:color w:val="000000" w:themeColor="text1"/>
        </w:rPr>
        <w:t xml:space="preserve">PSCR </w:t>
      </w:r>
      <w:r w:rsidR="00B0532D" w:rsidRPr="00F21704">
        <w:rPr>
          <w:iCs/>
          <w:color w:val="000000" w:themeColor="text1"/>
        </w:rPr>
        <w:t xml:space="preserve"> was </w:t>
      </w:r>
      <w:r w:rsidR="00852771" w:rsidRPr="00F21704">
        <w:rPr>
          <w:iCs/>
          <w:color w:val="000000" w:themeColor="text1"/>
        </w:rPr>
        <w:t>accepting of the proposal</w:t>
      </w:r>
      <w:r w:rsidR="002838FE" w:rsidRPr="00F21704">
        <w:rPr>
          <w:iCs/>
          <w:color w:val="000000" w:themeColor="text1"/>
        </w:rPr>
        <w:t xml:space="preserve"> by the Secretariat to apply the same correction to the proposed </w:t>
      </w:r>
      <w:r w:rsidR="0081496A">
        <w:rPr>
          <w:iCs/>
          <w:color w:val="000000" w:themeColor="text1"/>
        </w:rPr>
        <w:t>FF/UMEC/VI</w:t>
      </w:r>
      <w:r w:rsidR="002838FE" w:rsidRPr="00F21704">
        <w:rPr>
          <w:iCs/>
          <w:color w:val="000000" w:themeColor="text1"/>
        </w:rPr>
        <w:t xml:space="preserve"> </w:t>
      </w:r>
      <w:r w:rsidR="00B0532D" w:rsidRPr="00F21704">
        <w:rPr>
          <w:iCs/>
          <w:color w:val="000000" w:themeColor="text1"/>
        </w:rPr>
        <w:t>clinical criterion</w:t>
      </w:r>
      <w:r w:rsidR="002838FE" w:rsidRPr="00F21704">
        <w:rPr>
          <w:iCs/>
          <w:color w:val="000000" w:themeColor="text1"/>
        </w:rPr>
        <w:t xml:space="preserve"> which would now state</w:t>
      </w:r>
      <w:r w:rsidR="00B0532D" w:rsidRPr="00F21704">
        <w:rPr>
          <w:iCs/>
          <w:color w:val="000000" w:themeColor="text1"/>
        </w:rPr>
        <w:t>:</w:t>
      </w:r>
    </w:p>
    <w:p w14:paraId="067200E5" w14:textId="77777777" w:rsidR="002101B5" w:rsidRPr="00591067" w:rsidRDefault="00852771" w:rsidP="002101B5">
      <w:pPr>
        <w:pStyle w:val="3-BodyText"/>
        <w:numPr>
          <w:ilvl w:val="0"/>
          <w:numId w:val="0"/>
        </w:numPr>
        <w:ind w:left="720"/>
        <w:rPr>
          <w:rFonts w:ascii="Arial Narrow" w:hAnsi="Arial Narrow"/>
          <w:iCs/>
          <w:color w:val="000000" w:themeColor="text1"/>
          <w:sz w:val="20"/>
          <w:szCs w:val="20"/>
        </w:rPr>
      </w:pPr>
      <w:r w:rsidRPr="00591067">
        <w:rPr>
          <w:rFonts w:ascii="Arial Narrow" w:hAnsi="Arial Narrow"/>
          <w:iCs/>
          <w:color w:val="000000" w:themeColor="text1"/>
          <w:sz w:val="20"/>
          <w:szCs w:val="20"/>
        </w:rPr>
        <w:t xml:space="preserve">Patient must have experienced at least one severe asthma exacerbation in the 12 months prior to </w:t>
      </w:r>
      <w:r w:rsidR="00B871A6" w:rsidRPr="00591067">
        <w:rPr>
          <w:rFonts w:ascii="Arial Narrow" w:hAnsi="Arial Narrow"/>
          <w:iCs/>
          <w:color w:val="000000" w:themeColor="text1"/>
          <w:sz w:val="20"/>
          <w:szCs w:val="20"/>
        </w:rPr>
        <w:t>having first commenced</w:t>
      </w:r>
      <w:r w:rsidRPr="00591067">
        <w:rPr>
          <w:rFonts w:ascii="Arial Narrow" w:hAnsi="Arial Narrow"/>
          <w:iCs/>
          <w:color w:val="000000" w:themeColor="text1"/>
          <w:sz w:val="20"/>
          <w:szCs w:val="20"/>
        </w:rPr>
        <w:t xml:space="preserve"> treatment for severe asthma, which required systemic corticosteroid treatment despite each of: (i) receiving optimised asthma therapy, (ii) being assessed for adherence to therapy, (iii) being assessed for correct inhaler technique.</w:t>
      </w:r>
    </w:p>
    <w:p w14:paraId="5E9914C6" w14:textId="77777777" w:rsidR="009E7F6D" w:rsidRPr="00C964E1" w:rsidRDefault="0081496A" w:rsidP="00C964E1">
      <w:pPr>
        <w:pStyle w:val="3-BodyText"/>
        <w:rPr>
          <w:iCs/>
          <w:color w:val="000000" w:themeColor="text1"/>
        </w:rPr>
      </w:pPr>
      <w:r>
        <w:rPr>
          <w:iCs/>
          <w:color w:val="000000" w:themeColor="text1"/>
        </w:rPr>
        <w:t>FF/UMEC/VI</w:t>
      </w:r>
      <w:r w:rsidR="00C879FA" w:rsidRPr="000F48E0">
        <w:rPr>
          <w:iCs/>
          <w:color w:val="000000" w:themeColor="text1"/>
        </w:rPr>
        <w:t xml:space="preserve"> </w:t>
      </w:r>
      <w:r>
        <w:rPr>
          <w:iCs/>
          <w:color w:val="000000" w:themeColor="text1"/>
        </w:rPr>
        <w:t>100/62.5/25</w:t>
      </w:r>
      <w:r w:rsidR="001B116F" w:rsidRPr="000F48E0">
        <w:rPr>
          <w:iCs/>
          <w:color w:val="000000" w:themeColor="text1"/>
        </w:rPr>
        <w:t xml:space="preserve"> mcg</w:t>
      </w:r>
      <w:r w:rsidR="009009A3" w:rsidRPr="000F48E0">
        <w:rPr>
          <w:iCs/>
          <w:color w:val="000000" w:themeColor="text1"/>
        </w:rPr>
        <w:t xml:space="preserve"> </w:t>
      </w:r>
      <w:r w:rsidR="00C879FA" w:rsidRPr="000F48E0">
        <w:rPr>
          <w:iCs/>
          <w:color w:val="000000" w:themeColor="text1"/>
        </w:rPr>
        <w:t xml:space="preserve">is currently PBS-listed for the maintenance treatment of adults with moderate to severe COPD who require treatment with LAMA + ICS + LABA. </w:t>
      </w:r>
      <w:r w:rsidR="00E42843" w:rsidRPr="000F48E0">
        <w:rPr>
          <w:iCs/>
          <w:color w:val="000000" w:themeColor="text1"/>
        </w:rPr>
        <w:t>Although</w:t>
      </w:r>
      <w:r w:rsidR="00C879FA" w:rsidRPr="000F48E0">
        <w:rPr>
          <w:iCs/>
          <w:color w:val="000000" w:themeColor="text1"/>
        </w:rPr>
        <w:t xml:space="preserve"> the </w:t>
      </w:r>
      <w:r w:rsidR="00274FA4" w:rsidRPr="000F48E0">
        <w:rPr>
          <w:iCs/>
          <w:color w:val="000000" w:themeColor="text1"/>
        </w:rPr>
        <w:t>“</w:t>
      </w:r>
      <w:r w:rsidR="002545C3" w:rsidRPr="000F48E0">
        <w:rPr>
          <w:iCs/>
          <w:color w:val="000000" w:themeColor="text1"/>
        </w:rPr>
        <w:t>administrative advice</w:t>
      </w:r>
      <w:r w:rsidR="00274FA4" w:rsidRPr="000F48E0">
        <w:rPr>
          <w:iCs/>
          <w:color w:val="000000" w:themeColor="text1"/>
        </w:rPr>
        <w:t>”</w:t>
      </w:r>
      <w:r w:rsidR="00E42843" w:rsidRPr="000F48E0">
        <w:rPr>
          <w:iCs/>
          <w:color w:val="000000" w:themeColor="text1"/>
        </w:rPr>
        <w:t xml:space="preserve"> of the requested restriction</w:t>
      </w:r>
      <w:r w:rsidR="00C879FA" w:rsidRPr="000F48E0">
        <w:rPr>
          <w:iCs/>
          <w:color w:val="000000" w:themeColor="text1"/>
        </w:rPr>
        <w:t xml:space="preserve"> </w:t>
      </w:r>
      <w:r w:rsidR="002838FE">
        <w:rPr>
          <w:iCs/>
          <w:color w:val="000000" w:themeColor="text1"/>
        </w:rPr>
        <w:t xml:space="preserve">for the </w:t>
      </w:r>
      <w:r>
        <w:rPr>
          <w:iCs/>
          <w:color w:val="000000" w:themeColor="text1"/>
        </w:rPr>
        <w:t>200/62.5/25</w:t>
      </w:r>
      <w:r w:rsidR="002838FE">
        <w:rPr>
          <w:iCs/>
          <w:color w:val="000000" w:themeColor="text1"/>
        </w:rPr>
        <w:t xml:space="preserve"> mcg dosage </w:t>
      </w:r>
      <w:r w:rsidR="00C879FA" w:rsidRPr="000F48E0">
        <w:rPr>
          <w:iCs/>
          <w:color w:val="000000" w:themeColor="text1"/>
        </w:rPr>
        <w:t>noted that “</w:t>
      </w:r>
      <w:r w:rsidR="00E42843" w:rsidRPr="000F48E0">
        <w:rPr>
          <w:iCs/>
          <w:color w:val="000000" w:themeColor="text1"/>
        </w:rPr>
        <w:t>t</w:t>
      </w:r>
      <w:r w:rsidR="00C879FA" w:rsidRPr="000F48E0">
        <w:rPr>
          <w:iCs/>
          <w:color w:val="000000" w:themeColor="text1"/>
        </w:rPr>
        <w:t>his drug strength is not PBS-subsidised for the treatment of chronic obstructive pulmonary disease (COPD)”</w:t>
      </w:r>
      <w:r w:rsidR="00E42843" w:rsidRPr="000F48E0">
        <w:rPr>
          <w:iCs/>
          <w:color w:val="000000" w:themeColor="text1"/>
        </w:rPr>
        <w:t xml:space="preserve">, </w:t>
      </w:r>
      <w:r w:rsidR="002838FE" w:rsidRPr="00F21704">
        <w:rPr>
          <w:iCs/>
          <w:color w:val="000000" w:themeColor="text1"/>
        </w:rPr>
        <w:t>the ESC considered</w:t>
      </w:r>
      <w:r w:rsidR="002838FE">
        <w:rPr>
          <w:i/>
          <w:iCs/>
          <w:color w:val="000000" w:themeColor="text1"/>
        </w:rPr>
        <w:t xml:space="preserve"> </w:t>
      </w:r>
      <w:r w:rsidR="00E42843" w:rsidRPr="000F48E0">
        <w:rPr>
          <w:iCs/>
          <w:color w:val="000000" w:themeColor="text1"/>
        </w:rPr>
        <w:t xml:space="preserve">there is a chance of </w:t>
      </w:r>
      <w:r w:rsidR="00F72B81">
        <w:rPr>
          <w:iCs/>
          <w:color w:val="000000" w:themeColor="text1"/>
        </w:rPr>
        <w:t xml:space="preserve">use in COPD patients who do not have asthma. </w:t>
      </w:r>
    </w:p>
    <w:p w14:paraId="31BEE9FD" w14:textId="77777777" w:rsidR="007C4ED2" w:rsidRPr="00C964E1" w:rsidRDefault="007C4ED2" w:rsidP="00C964E1">
      <w:pPr>
        <w:pStyle w:val="3-BodyText"/>
        <w:numPr>
          <w:ilvl w:val="0"/>
          <w:numId w:val="0"/>
        </w:numPr>
        <w:ind w:left="720"/>
        <w:rPr>
          <w:i/>
          <w:iCs/>
          <w:color w:val="000000" w:themeColor="text1"/>
        </w:rPr>
      </w:pPr>
      <w:r w:rsidRPr="007C4ED2">
        <w:rPr>
          <w:i/>
          <w:iCs/>
          <w:color w:val="000000" w:themeColor="text1"/>
        </w:rPr>
        <w:t>For more detail on PBAC’s vi</w:t>
      </w:r>
      <w:r w:rsidR="00C964E1">
        <w:rPr>
          <w:i/>
          <w:iCs/>
          <w:color w:val="000000" w:themeColor="text1"/>
        </w:rPr>
        <w:t>ew, see section 7 PBAC outcome.</w:t>
      </w:r>
    </w:p>
    <w:p w14:paraId="042364A2" w14:textId="77777777" w:rsidR="00934AD7" w:rsidRPr="001808B1" w:rsidRDefault="00934AD7" w:rsidP="00EA556C">
      <w:pPr>
        <w:pStyle w:val="2-SectionHeading"/>
      </w:pPr>
      <w:bookmarkStart w:id="19" w:name="_Toc22898849"/>
      <w:bookmarkStart w:id="20" w:name="_Toc82689130"/>
      <w:r w:rsidRPr="001808B1">
        <w:t>Population and disease</w:t>
      </w:r>
      <w:bookmarkEnd w:id="19"/>
      <w:bookmarkEnd w:id="20"/>
    </w:p>
    <w:p w14:paraId="5CD84689" w14:textId="77777777" w:rsidR="00414F1E" w:rsidRPr="001808B1" w:rsidRDefault="00414F1E" w:rsidP="00EA556C">
      <w:pPr>
        <w:pStyle w:val="3-BodyText"/>
      </w:pPr>
      <w:r w:rsidRPr="001808B1">
        <w:t>Asthma is a chronic inflammatory disease of the airways that is defined clinically as the presence of airflow limitation and respiratory symptoms (e.g.</w:t>
      </w:r>
      <w:r w:rsidR="00E47F6B" w:rsidRPr="001808B1">
        <w:t>,</w:t>
      </w:r>
      <w:r w:rsidRPr="001808B1">
        <w:t xml:space="preserve"> wheeze, shortness of breath, cough, chest tightness) that vary over time.</w:t>
      </w:r>
      <w:r w:rsidR="00BC490C" w:rsidRPr="001808B1">
        <w:t xml:space="preserve"> </w:t>
      </w:r>
      <w:r w:rsidRPr="001808B1">
        <w:t xml:space="preserve">The primary goal of asthma pharmacotherapy is to reduce </w:t>
      </w:r>
      <w:r w:rsidR="00B5686A" w:rsidRPr="001808B1">
        <w:t xml:space="preserve">the </w:t>
      </w:r>
      <w:r w:rsidRPr="001808B1">
        <w:t>underlying inflammation and promote bronchodilation.</w:t>
      </w:r>
    </w:p>
    <w:p w14:paraId="7016CBA2" w14:textId="77777777" w:rsidR="00414F1E" w:rsidRPr="000F48E0" w:rsidRDefault="00414F1E" w:rsidP="00EA556C">
      <w:pPr>
        <w:pStyle w:val="3-BodyText"/>
      </w:pPr>
      <w:r w:rsidRPr="001808B1">
        <w:t>Asthma severity is determined by the type and amount of treatment needed to maintain adequate symptom control, with more serious disease requiring a greater intensity of treatment.</w:t>
      </w:r>
      <w:r w:rsidR="00BC490C" w:rsidRPr="001808B1">
        <w:t xml:space="preserve"> </w:t>
      </w:r>
      <w:r w:rsidRPr="001808B1">
        <w:t>Pharmacological management involves a stepwise approach for mild to moderate asthma and a targeted approach for severe asthma.</w:t>
      </w:r>
      <w:r w:rsidR="005851B4" w:rsidRPr="001808B1">
        <w:t xml:space="preserve"> A stepwise approach involves the adjustment of medication up or down to achieve good symptom control and minimise future risk of exacerbations and medication side-effects.</w:t>
      </w:r>
      <w:r w:rsidR="00E54AFB" w:rsidRPr="001808B1">
        <w:t xml:space="preserve"> </w:t>
      </w:r>
      <w:r w:rsidR="00BF3DC2" w:rsidRPr="001808B1">
        <w:t>A t</w:t>
      </w:r>
      <w:r w:rsidR="00E54AFB" w:rsidRPr="001808B1">
        <w:t>argeted approach</w:t>
      </w:r>
      <w:r w:rsidR="00CF662B" w:rsidRPr="001808B1">
        <w:t xml:space="preserve"> for severe asthma</w:t>
      </w:r>
      <w:r w:rsidR="00E54AFB" w:rsidRPr="001808B1">
        <w:t xml:space="preserve"> is aimed at eliminat</w:t>
      </w:r>
      <w:r w:rsidR="00CF662B" w:rsidRPr="001808B1">
        <w:t>ing</w:t>
      </w:r>
      <w:r w:rsidR="00E54AFB" w:rsidRPr="001808B1">
        <w:t xml:space="preserve"> symptoms and exacerbation risk</w:t>
      </w:r>
      <w:r w:rsidR="00CF662B" w:rsidRPr="001808B1">
        <w:t>s.</w:t>
      </w:r>
      <w:r w:rsidRPr="001808B1">
        <w:t xml:space="preserve"> In the current Australian guidelines (Australian Asthma Handbook, 2020), severe asthma is defined as asthma that remains uncontrolled despite </w:t>
      </w:r>
      <w:r w:rsidR="00E235E7" w:rsidRPr="001808B1">
        <w:t>high dose</w:t>
      </w:r>
      <w:r w:rsidRPr="001808B1">
        <w:t xml:space="preserve"> ICS plus LABA (with correct inhaler technique and good adherence) or maintenance oral corticosteroids, or that requires such treatment to prevent it </w:t>
      </w:r>
      <w:r w:rsidR="00B5686A" w:rsidRPr="001808B1">
        <w:t xml:space="preserve">from </w:t>
      </w:r>
      <w:r w:rsidRPr="001808B1">
        <w:t>becoming uncontrolled. Patients who experience exacerbations or uncontrolled asthma despite m</w:t>
      </w:r>
      <w:r w:rsidR="00010BC6">
        <w:t>e</w:t>
      </w:r>
      <w:r w:rsidRPr="001808B1">
        <w:t>d</w:t>
      </w:r>
      <w:r w:rsidR="00010BC6">
        <w:t>ium</w:t>
      </w:r>
      <w:r w:rsidRPr="001808B1">
        <w:t xml:space="preserve"> or </w:t>
      </w:r>
      <w:r w:rsidR="00E235E7" w:rsidRPr="001808B1">
        <w:t>high dose</w:t>
      </w:r>
      <w:r w:rsidRPr="001808B1">
        <w:t xml:space="preserve"> ICS/LABA can be prescribed ICS/LABA/LAMA treatment</w:t>
      </w:r>
      <w:r w:rsidRPr="000F48E0">
        <w:t>.</w:t>
      </w:r>
      <w:r w:rsidR="00010BC6" w:rsidRPr="000F48E0">
        <w:t xml:space="preserve"> </w:t>
      </w:r>
      <w:r w:rsidR="00010BC6" w:rsidRPr="000F48E0">
        <w:rPr>
          <w:iCs/>
        </w:rPr>
        <w:t xml:space="preserve">In the Australian and international guidelines, medium dose ICS includes </w:t>
      </w:r>
      <w:r w:rsidR="00010BC6" w:rsidRPr="000F48E0">
        <w:t xml:space="preserve">800 </w:t>
      </w:r>
      <w:r w:rsidR="00010BC6" w:rsidRPr="000F48E0">
        <w:rPr>
          <w:rFonts w:cs="Calibri"/>
        </w:rPr>
        <w:t>mc</w:t>
      </w:r>
      <w:r w:rsidR="00010BC6" w:rsidRPr="000F48E0">
        <w:t xml:space="preserve">g of budesonide per day or equivalent (at the upper dosage limit), and high dose ICS refers to more than 800 </w:t>
      </w:r>
      <w:r w:rsidR="00010BC6" w:rsidRPr="000F48E0">
        <w:rPr>
          <w:rFonts w:cs="Calibri"/>
        </w:rPr>
        <w:t>mcg</w:t>
      </w:r>
      <w:r w:rsidR="00010BC6" w:rsidRPr="000F48E0">
        <w:t xml:space="preserve"> of budesonide per day or equivalent.</w:t>
      </w:r>
    </w:p>
    <w:p w14:paraId="358F0C33" w14:textId="77777777" w:rsidR="009D7BC2" w:rsidRPr="007C4ED2" w:rsidRDefault="004660F2" w:rsidP="00E84E1C">
      <w:pPr>
        <w:pStyle w:val="3-BodyText"/>
      </w:pPr>
      <w:r w:rsidRPr="000F48E0">
        <w:t xml:space="preserve">The submission proposed that </w:t>
      </w:r>
      <w:r w:rsidR="0081496A">
        <w:t>FF/UMEC/VI 200/62.5/25</w:t>
      </w:r>
      <w:r w:rsidRPr="000F48E0">
        <w:t xml:space="preserve"> would be an alternative treatment option to</w:t>
      </w:r>
      <w:r w:rsidR="0058277F" w:rsidRPr="000F48E0">
        <w:t xml:space="preserve"> high dose</w:t>
      </w:r>
      <w:r w:rsidRPr="000F48E0">
        <w:t xml:space="preserve"> </w:t>
      </w:r>
      <w:r w:rsidR="00AB71BE" w:rsidRPr="000F48E0">
        <w:t>ICS/LABA+</w:t>
      </w:r>
      <w:r w:rsidRPr="000F48E0">
        <w:t>LAMA (i.e.</w:t>
      </w:r>
      <w:r w:rsidR="0058277F" w:rsidRPr="000F48E0">
        <w:t>,</w:t>
      </w:r>
      <w:r w:rsidR="00B51C89" w:rsidRPr="000F48E0">
        <w:t xml:space="preserve"> </w:t>
      </w:r>
      <w:r w:rsidR="0058277F" w:rsidRPr="000F48E0">
        <w:t xml:space="preserve">high dose </w:t>
      </w:r>
      <w:r w:rsidR="00B51C89" w:rsidRPr="000F48E0">
        <w:t>ICS/LABA +</w:t>
      </w:r>
      <w:r w:rsidRPr="000F48E0">
        <w:t xml:space="preserve"> TIO) or </w:t>
      </w:r>
      <w:r w:rsidR="0033591B" w:rsidRPr="000F48E0">
        <w:t xml:space="preserve">to </w:t>
      </w:r>
      <w:r w:rsidRPr="000F48E0">
        <w:t>MF/IND/GLY</w:t>
      </w:r>
      <w:r w:rsidR="0058277F" w:rsidRPr="000F48E0">
        <w:t xml:space="preserve"> 136/114/46</w:t>
      </w:r>
      <w:r w:rsidRPr="000F48E0">
        <w:t xml:space="preserve"> (Step 4 in the </w:t>
      </w:r>
      <w:r w:rsidR="00963BC4" w:rsidRPr="000F48E0">
        <w:t>Australian Asthma Handbook (</w:t>
      </w:r>
      <w:r w:rsidRPr="000F48E0">
        <w:t>AAH</w:t>
      </w:r>
      <w:r w:rsidR="00963BC4" w:rsidRPr="000F48E0">
        <w:t>)</w:t>
      </w:r>
      <w:r w:rsidRPr="000F48E0">
        <w:t xml:space="preserve"> stepwise treatment algorithm). </w:t>
      </w:r>
      <w:r w:rsidR="00644044" w:rsidRPr="000F48E0">
        <w:rPr>
          <w:iCs/>
        </w:rPr>
        <w:t>MF/IND/GLY</w:t>
      </w:r>
      <w:r w:rsidR="007B3905" w:rsidRPr="000F48E0">
        <w:rPr>
          <w:iCs/>
        </w:rPr>
        <w:t xml:space="preserve"> </w:t>
      </w:r>
      <w:r w:rsidR="0058277F" w:rsidRPr="000F48E0">
        <w:rPr>
          <w:iCs/>
        </w:rPr>
        <w:t xml:space="preserve">136/114/46 </w:t>
      </w:r>
      <w:r w:rsidR="00644044" w:rsidRPr="000F48E0">
        <w:rPr>
          <w:iCs/>
        </w:rPr>
        <w:t>was</w:t>
      </w:r>
      <w:r w:rsidR="00DB6F5B" w:rsidRPr="000F48E0">
        <w:rPr>
          <w:iCs/>
        </w:rPr>
        <w:t xml:space="preserve"> proposed as an alternative treatment option to add on LAMA (i.e. TIO) in ‘add-on specialised treatment’ (Step 5) for patients with uncontrolled asthma taking moderate (i.e. medium) or high dose ICS/LABA (paragraph 4.3, MF/IND/GLY PSD, July 2020 PBAC Meeting)</w:t>
      </w:r>
      <w:r w:rsidR="00644044" w:rsidRPr="000F48E0">
        <w:rPr>
          <w:iCs/>
        </w:rPr>
        <w:t>.</w:t>
      </w:r>
      <w:r w:rsidR="00E4240A" w:rsidRPr="000F48E0">
        <w:rPr>
          <w:iCs/>
        </w:rPr>
        <w:t xml:space="preserve"> There is some overlap between Step 4 and Step 5 of the treatment algorithm</w:t>
      </w:r>
      <w:r w:rsidR="00E4240A" w:rsidRPr="000F48E0">
        <w:rPr>
          <w:rStyle w:val="FootnoteReference"/>
          <w:iCs/>
        </w:rPr>
        <w:footnoteReference w:id="2"/>
      </w:r>
      <w:r w:rsidR="00E4240A" w:rsidRPr="000F48E0">
        <w:rPr>
          <w:iCs/>
        </w:rPr>
        <w:t xml:space="preserve"> as the Australian guidelines state </w:t>
      </w:r>
      <w:r w:rsidR="003518B6" w:rsidRPr="000F48E0">
        <w:rPr>
          <w:iCs/>
        </w:rPr>
        <w:t>that</w:t>
      </w:r>
      <w:r w:rsidR="00E4240A" w:rsidRPr="000F48E0">
        <w:rPr>
          <w:iCs/>
        </w:rPr>
        <w:t xml:space="preserve"> adult</w:t>
      </w:r>
      <w:r w:rsidR="00831172" w:rsidRPr="000F48E0">
        <w:rPr>
          <w:iCs/>
        </w:rPr>
        <w:t>s</w:t>
      </w:r>
      <w:r w:rsidR="00E4240A" w:rsidRPr="000F48E0">
        <w:rPr>
          <w:iCs/>
        </w:rPr>
        <w:t xml:space="preserve"> with confirmed severe asthma </w:t>
      </w:r>
      <w:r w:rsidR="007D6968" w:rsidRPr="000F48E0">
        <w:rPr>
          <w:iCs/>
        </w:rPr>
        <w:t xml:space="preserve">who </w:t>
      </w:r>
      <w:r w:rsidR="00E4240A" w:rsidRPr="000F48E0">
        <w:rPr>
          <w:iCs/>
        </w:rPr>
        <w:t xml:space="preserve">continue to experience frequent symptoms or flare-ups despite optimisation of inhaler technique and adherence, and treatment of comorbidities, a trial of </w:t>
      </w:r>
      <w:r w:rsidR="0093561C" w:rsidRPr="000F48E0">
        <w:rPr>
          <w:iCs/>
        </w:rPr>
        <w:t>add-on treatment with TIO</w:t>
      </w:r>
      <w:r w:rsidR="00E4240A" w:rsidRPr="000F48E0">
        <w:rPr>
          <w:iCs/>
        </w:rPr>
        <w:t xml:space="preserve"> or montelukast can be considered in primary care before referring for specialist assessment for monoclonal antibody therapy (paragraph 4.3, MF/IND/GLY PSD, July 2020 PBAC Meeting).</w:t>
      </w:r>
    </w:p>
    <w:p w14:paraId="4BD3CE3A" w14:textId="77777777" w:rsidR="007C4ED2" w:rsidRPr="007C4ED2" w:rsidRDefault="007C4ED2" w:rsidP="007C4ED2">
      <w:pPr>
        <w:pStyle w:val="3-BodyText"/>
        <w:numPr>
          <w:ilvl w:val="0"/>
          <w:numId w:val="0"/>
        </w:numPr>
        <w:ind w:left="720"/>
        <w:rPr>
          <w:i/>
        </w:rPr>
      </w:pPr>
      <w:r w:rsidRPr="007C4ED2">
        <w:rPr>
          <w:i/>
        </w:rPr>
        <w:t>For more detail on PBAC’s view, see section 7 PBAC outcome.</w:t>
      </w:r>
    </w:p>
    <w:p w14:paraId="179B6EC6" w14:textId="77777777" w:rsidR="00934AD7" w:rsidRPr="001808B1" w:rsidRDefault="00934AD7" w:rsidP="00EA556C">
      <w:pPr>
        <w:pStyle w:val="2-SectionHeading"/>
      </w:pPr>
      <w:bookmarkStart w:id="21" w:name="_Toc22898850"/>
      <w:bookmarkStart w:id="22" w:name="_Toc82689131"/>
      <w:r w:rsidRPr="001808B1">
        <w:t>Comparator</w:t>
      </w:r>
      <w:bookmarkEnd w:id="21"/>
      <w:bookmarkEnd w:id="22"/>
    </w:p>
    <w:p w14:paraId="40F56464" w14:textId="77777777" w:rsidR="00934AD7" w:rsidRPr="001808B1" w:rsidRDefault="00934AD7" w:rsidP="00EA556C">
      <w:pPr>
        <w:pStyle w:val="3-BodyText"/>
        <w:rPr>
          <w:snapToGrid/>
          <w:lang w:val="en-US"/>
        </w:rPr>
      </w:pPr>
      <w:r w:rsidRPr="001808B1">
        <w:t xml:space="preserve">The submission nominated </w:t>
      </w:r>
      <w:r w:rsidR="0042335B" w:rsidRPr="001808B1">
        <w:t>MF/IND/GLY</w:t>
      </w:r>
      <w:r w:rsidR="0058277F">
        <w:t xml:space="preserve"> 136/114/46</w:t>
      </w:r>
      <w:r w:rsidR="0058277F" w:rsidRPr="001808B1">
        <w:t xml:space="preserve"> </w:t>
      </w:r>
      <w:r w:rsidR="0042335B" w:rsidRPr="001808B1">
        <w:t xml:space="preserve">and </w:t>
      </w:r>
      <w:r w:rsidR="002E7A7B" w:rsidRPr="001808B1">
        <w:t xml:space="preserve">high dose </w:t>
      </w:r>
      <w:r w:rsidR="0042335B" w:rsidRPr="001808B1">
        <w:t>ICS/LABA FDCs</w:t>
      </w:r>
      <w:r w:rsidR="002C0E92" w:rsidRPr="001808B1">
        <w:t xml:space="preserve"> </w:t>
      </w:r>
      <w:r w:rsidR="0042335B" w:rsidRPr="001808B1">
        <w:t xml:space="preserve">+ TIO </w:t>
      </w:r>
      <w:r w:rsidRPr="001808B1">
        <w:t xml:space="preserve">as </w:t>
      </w:r>
      <w:r w:rsidR="0042335B" w:rsidRPr="001808B1">
        <w:t>the comparators</w:t>
      </w:r>
      <w:r w:rsidRPr="001808B1">
        <w:t>.</w:t>
      </w:r>
      <w:r w:rsidR="00CD0838" w:rsidRPr="001808B1">
        <w:t xml:space="preserve"> MF/IND/GLY</w:t>
      </w:r>
      <w:r w:rsidR="0058277F">
        <w:t xml:space="preserve"> 136/114/46</w:t>
      </w:r>
      <w:r w:rsidR="0058277F" w:rsidRPr="001808B1">
        <w:t xml:space="preserve"> </w:t>
      </w:r>
      <w:r w:rsidR="00351ECC">
        <w:t>was nominated as</w:t>
      </w:r>
      <w:r w:rsidR="00CD0838" w:rsidRPr="001808B1">
        <w:t xml:space="preserve"> the main comparator.</w:t>
      </w:r>
    </w:p>
    <w:p w14:paraId="21192E97" w14:textId="77777777" w:rsidR="0042335B" w:rsidRPr="000F48E0" w:rsidRDefault="00CB3931" w:rsidP="00EA556C">
      <w:pPr>
        <w:pStyle w:val="3-BodyText"/>
        <w:rPr>
          <w:snapToGrid/>
          <w:lang w:val="en-US"/>
        </w:rPr>
      </w:pPr>
      <w:r w:rsidRPr="000F48E0">
        <w:t xml:space="preserve">While both </w:t>
      </w:r>
      <w:r w:rsidR="0093561C" w:rsidRPr="000F48E0">
        <w:t>medium</w:t>
      </w:r>
      <w:r w:rsidRPr="000F48E0">
        <w:t xml:space="preserve"> and </w:t>
      </w:r>
      <w:r w:rsidR="00E235E7" w:rsidRPr="000F48E0">
        <w:t>high dose</w:t>
      </w:r>
      <w:r w:rsidRPr="000F48E0">
        <w:t xml:space="preserve"> ICS/LABA+TIO would be </w:t>
      </w:r>
      <w:r w:rsidR="00351ECC">
        <w:t>potential</w:t>
      </w:r>
      <w:r w:rsidR="00351ECC" w:rsidRPr="000F48E0">
        <w:t xml:space="preserve"> </w:t>
      </w:r>
      <w:r w:rsidRPr="000F48E0">
        <w:t xml:space="preserve">comparators, the submission chose only </w:t>
      </w:r>
      <w:r w:rsidR="00E235E7" w:rsidRPr="000F48E0">
        <w:t>high dose</w:t>
      </w:r>
      <w:r w:rsidRPr="000F48E0">
        <w:t xml:space="preserve"> ICS/LABA+TIO because </w:t>
      </w:r>
      <w:r w:rsidR="0081496A">
        <w:t>FF/UMEC/VI</w:t>
      </w:r>
      <w:r w:rsidRPr="000F48E0">
        <w:t xml:space="preserve"> </w:t>
      </w:r>
      <w:r w:rsidR="0083005E">
        <w:br/>
      </w:r>
      <w:r w:rsidR="0081496A">
        <w:t>200/62.5/25</w:t>
      </w:r>
      <w:r w:rsidR="001B116F" w:rsidRPr="000F48E0">
        <w:t xml:space="preserve"> mcg</w:t>
      </w:r>
      <w:r w:rsidRPr="000F48E0">
        <w:t xml:space="preserve"> contains the equivalent </w:t>
      </w:r>
      <w:r w:rsidR="00E235E7" w:rsidRPr="000F48E0">
        <w:t>high dose</w:t>
      </w:r>
      <w:r w:rsidRPr="000F48E0">
        <w:t xml:space="preserve"> ICS (i.e.</w:t>
      </w:r>
      <w:r w:rsidR="00AC108E" w:rsidRPr="000F48E0">
        <w:t>,</w:t>
      </w:r>
      <w:r w:rsidRPr="000F48E0">
        <w:t xml:space="preserve"> FF 200</w:t>
      </w:r>
      <w:r w:rsidR="001B116F" w:rsidRPr="000F48E0">
        <w:t xml:space="preserve"> mcg</w:t>
      </w:r>
      <w:r w:rsidRPr="000F48E0">
        <w:t>).</w:t>
      </w:r>
      <w:r w:rsidRPr="000F48E0">
        <w:rPr>
          <w:iCs/>
        </w:rPr>
        <w:t xml:space="preserve"> </w:t>
      </w:r>
      <w:r w:rsidR="00351ECC">
        <w:rPr>
          <w:iCs/>
        </w:rPr>
        <w:t>Consistent with this</w:t>
      </w:r>
      <w:r w:rsidRPr="000F48E0">
        <w:rPr>
          <w:iCs/>
        </w:rPr>
        <w:t xml:space="preserve"> the PSD for MF/IND/GLY noted that “the nominated comparison between </w:t>
      </w:r>
      <w:r w:rsidR="00E235E7" w:rsidRPr="000F48E0">
        <w:rPr>
          <w:iCs/>
        </w:rPr>
        <w:t>medium dose</w:t>
      </w:r>
      <w:r w:rsidRPr="000F48E0">
        <w:rPr>
          <w:iCs/>
        </w:rPr>
        <w:t xml:space="preserve"> MF/IND/GLY versus high dose ICS/LABA + LAMA … may not be clinically appropriate. In practice,</w:t>
      </w:r>
      <w:r w:rsidR="00BC490C" w:rsidRPr="000F48E0">
        <w:rPr>
          <w:iCs/>
        </w:rPr>
        <w:t xml:space="preserve"> </w:t>
      </w:r>
      <w:bookmarkStart w:id="23" w:name="_Hlk82509020"/>
      <w:r w:rsidR="009D7BC2" w:rsidRPr="000F48E0">
        <w:rPr>
          <w:iCs/>
        </w:rPr>
        <w:t>medium dose MF/IND/GLY may substitute for medium dose ICS/LABA FDC + LAMA given symptomatic patients taking optimised medium dose ICS/LABA are eligible for triple therapy on the PBS. P</w:t>
      </w:r>
      <w:r w:rsidRPr="000F48E0">
        <w:rPr>
          <w:iCs/>
        </w:rPr>
        <w:t xml:space="preserve">atients </w:t>
      </w:r>
      <w:bookmarkEnd w:id="23"/>
      <w:r w:rsidRPr="000F48E0">
        <w:rPr>
          <w:iCs/>
        </w:rPr>
        <w:t xml:space="preserve">are likely to step up from optimised </w:t>
      </w:r>
      <w:r w:rsidR="00E235E7" w:rsidRPr="000F48E0">
        <w:rPr>
          <w:iCs/>
        </w:rPr>
        <w:t>medium dose</w:t>
      </w:r>
      <w:r w:rsidRPr="000F48E0">
        <w:rPr>
          <w:iCs/>
        </w:rPr>
        <w:t xml:space="preserve"> ICS/LABA to </w:t>
      </w:r>
      <w:r w:rsidR="00E235E7" w:rsidRPr="000F48E0">
        <w:rPr>
          <w:iCs/>
        </w:rPr>
        <w:t>medium dose</w:t>
      </w:r>
      <w:r w:rsidRPr="000F48E0">
        <w:rPr>
          <w:iCs/>
        </w:rPr>
        <w:t xml:space="preserve"> ICS/LABA/LAMA without concurrently changing the dose of ICS” (paragraph 5.2, </w:t>
      </w:r>
      <w:bookmarkStart w:id="24" w:name="_Hlk78730012"/>
      <w:r w:rsidR="00FB055F" w:rsidRPr="000F48E0">
        <w:rPr>
          <w:iCs/>
        </w:rPr>
        <w:t>MF/IND/GLY PSD, July 2020 PBAC Meeting</w:t>
      </w:r>
      <w:bookmarkEnd w:id="24"/>
      <w:r w:rsidRPr="000F48E0">
        <w:rPr>
          <w:iCs/>
        </w:rPr>
        <w:t>)</w:t>
      </w:r>
      <w:r w:rsidR="003518B6" w:rsidRPr="000F48E0">
        <w:rPr>
          <w:iCs/>
        </w:rPr>
        <w:t>.</w:t>
      </w:r>
      <w:r w:rsidRPr="000F48E0">
        <w:rPr>
          <w:iCs/>
        </w:rPr>
        <w:t xml:space="preserve"> </w:t>
      </w:r>
    </w:p>
    <w:p w14:paraId="5E1D1DA9" w14:textId="77777777" w:rsidR="00EE24AF" w:rsidRPr="007C4ED2" w:rsidRDefault="00EE24AF" w:rsidP="00EA556C">
      <w:pPr>
        <w:pStyle w:val="3-BodyText"/>
        <w:tabs>
          <w:tab w:val="left" w:pos="6946"/>
        </w:tabs>
        <w:rPr>
          <w:snapToGrid/>
          <w:lang w:val="en-US"/>
        </w:rPr>
      </w:pPr>
      <w:r w:rsidRPr="000F48E0">
        <w:rPr>
          <w:snapToGrid/>
          <w:lang w:val="en-US"/>
        </w:rPr>
        <w:t xml:space="preserve">The submission </w:t>
      </w:r>
      <w:r w:rsidR="00700D98">
        <w:rPr>
          <w:snapToGrid/>
          <w:lang w:val="en-US"/>
        </w:rPr>
        <w:t>noted</w:t>
      </w:r>
      <w:r w:rsidR="00700D98" w:rsidRPr="000F48E0">
        <w:rPr>
          <w:snapToGrid/>
          <w:lang w:val="en-US"/>
        </w:rPr>
        <w:t xml:space="preserve"> </w:t>
      </w:r>
      <w:r w:rsidRPr="000F48E0">
        <w:rPr>
          <w:snapToGrid/>
          <w:lang w:val="en-US"/>
        </w:rPr>
        <w:t>that the</w:t>
      </w:r>
      <w:r w:rsidR="00CC0966" w:rsidRPr="000F48E0">
        <w:rPr>
          <w:snapToGrid/>
          <w:lang w:val="en-US"/>
        </w:rPr>
        <w:t xml:space="preserve"> Global Initiative for Asthma</w:t>
      </w:r>
      <w:r w:rsidRPr="000F48E0">
        <w:rPr>
          <w:snapToGrid/>
          <w:lang w:val="en-US"/>
        </w:rPr>
        <w:t xml:space="preserve"> </w:t>
      </w:r>
      <w:r w:rsidR="00CC0966" w:rsidRPr="000F48E0">
        <w:rPr>
          <w:snapToGrid/>
          <w:lang w:val="en-US"/>
        </w:rPr>
        <w:t>(</w:t>
      </w:r>
      <w:r w:rsidRPr="000F48E0">
        <w:rPr>
          <w:snapToGrid/>
          <w:lang w:val="en-US"/>
        </w:rPr>
        <w:t>GINA</w:t>
      </w:r>
      <w:r w:rsidR="00CC0966" w:rsidRPr="000F48E0">
        <w:rPr>
          <w:snapToGrid/>
          <w:lang w:val="en-US"/>
        </w:rPr>
        <w:t>)</w:t>
      </w:r>
      <w:r w:rsidRPr="000F48E0">
        <w:rPr>
          <w:snapToGrid/>
          <w:lang w:val="en-US"/>
        </w:rPr>
        <w:t xml:space="preserve"> guidelines recommend </w:t>
      </w:r>
      <w:r w:rsidR="00701361" w:rsidRPr="000F48E0">
        <w:rPr>
          <w:snapToGrid/>
          <w:lang w:val="en-US"/>
        </w:rPr>
        <w:t>m</w:t>
      </w:r>
      <w:r w:rsidRPr="000F48E0">
        <w:rPr>
          <w:snapToGrid/>
          <w:lang w:val="en-US"/>
        </w:rPr>
        <w:t xml:space="preserve">ontelukast (GINA step 4) as an add-on to medium </w:t>
      </w:r>
      <w:r w:rsidR="002F05A0" w:rsidRPr="000F48E0">
        <w:rPr>
          <w:snapToGrid/>
          <w:lang w:val="en-US"/>
        </w:rPr>
        <w:t xml:space="preserve">dose </w:t>
      </w:r>
      <w:r w:rsidRPr="000F48E0">
        <w:rPr>
          <w:snapToGrid/>
          <w:lang w:val="en-US"/>
        </w:rPr>
        <w:t>ICS/LABA. Further</w:t>
      </w:r>
      <w:r w:rsidR="00B5686A" w:rsidRPr="000F48E0">
        <w:rPr>
          <w:snapToGrid/>
          <w:lang w:val="en-US"/>
        </w:rPr>
        <w:t>,</w:t>
      </w:r>
      <w:r w:rsidRPr="000F48E0">
        <w:rPr>
          <w:snapToGrid/>
          <w:lang w:val="en-US"/>
        </w:rPr>
        <w:t xml:space="preserve"> it mentioned that several biologics, including </w:t>
      </w:r>
      <w:r w:rsidR="004120F1" w:rsidRPr="000F48E0">
        <w:rPr>
          <w:snapToGrid/>
          <w:lang w:val="en-US"/>
        </w:rPr>
        <w:t>m</w:t>
      </w:r>
      <w:r w:rsidRPr="000F48E0">
        <w:rPr>
          <w:snapToGrid/>
          <w:lang w:val="en-US"/>
        </w:rPr>
        <w:t xml:space="preserve">epolizumab, reslizumab, benralizumab, dupilumab and omalizumab have been approved by both the European Medicines Agency and Food and Drug Administration for the treatment of severe persistent asthma (GINA step 5) (p27 of the submission). However, the AAH treatment guidelines do not recommend </w:t>
      </w:r>
      <w:r w:rsidR="00701361" w:rsidRPr="000F48E0">
        <w:rPr>
          <w:snapToGrid/>
          <w:lang w:val="en-US"/>
        </w:rPr>
        <w:t>m</w:t>
      </w:r>
      <w:r w:rsidRPr="000F48E0">
        <w:rPr>
          <w:snapToGrid/>
          <w:lang w:val="en-US"/>
        </w:rPr>
        <w:t xml:space="preserve">ontelukast and it is only PBS-approved for use in pediatric, exercise-induced asthma. Further, the use of the biological agents is limited to patients with very severe asthma (step 5 of AAH guidelines) </w:t>
      </w:r>
      <w:r w:rsidRPr="007563B6">
        <w:rPr>
          <w:snapToGrid/>
          <w:lang w:val="en-US"/>
        </w:rPr>
        <w:t xml:space="preserve">(Figure </w:t>
      </w:r>
      <w:r w:rsidR="0093697B">
        <w:rPr>
          <w:snapToGrid/>
          <w:lang w:val="en-US"/>
        </w:rPr>
        <w:br/>
      </w:r>
      <w:r w:rsidRPr="007563B6">
        <w:rPr>
          <w:snapToGrid/>
          <w:lang w:val="en-US"/>
        </w:rPr>
        <w:t>1.2.2, Attachment 1).</w:t>
      </w:r>
      <w:r w:rsidR="00BC490C" w:rsidRPr="000F48E0">
        <w:rPr>
          <w:snapToGrid/>
          <w:lang w:val="en-US"/>
        </w:rPr>
        <w:t xml:space="preserve"> </w:t>
      </w:r>
      <w:r w:rsidRPr="000F48E0">
        <w:rPr>
          <w:snapToGrid/>
          <w:lang w:val="en-US"/>
        </w:rPr>
        <w:t xml:space="preserve">Thus, both </w:t>
      </w:r>
      <w:r w:rsidR="00010BC6" w:rsidRPr="000F48E0">
        <w:rPr>
          <w:snapToGrid/>
          <w:lang w:val="en-US"/>
        </w:rPr>
        <w:t>m</w:t>
      </w:r>
      <w:r w:rsidRPr="000F48E0">
        <w:rPr>
          <w:snapToGrid/>
          <w:lang w:val="en-US"/>
        </w:rPr>
        <w:t xml:space="preserve">ontelukast and biologics were not proposed as potential comparators for </w:t>
      </w:r>
      <w:r w:rsidR="0081496A">
        <w:rPr>
          <w:snapToGrid/>
          <w:lang w:val="en-US"/>
        </w:rPr>
        <w:t>FF/UMEC/VI 200/62.5/25</w:t>
      </w:r>
      <w:r w:rsidRPr="000F48E0">
        <w:rPr>
          <w:snapToGrid/>
          <w:lang w:val="en-US"/>
        </w:rPr>
        <w:t xml:space="preserve">. </w:t>
      </w:r>
      <w:r w:rsidRPr="000F48E0">
        <w:rPr>
          <w:iCs/>
          <w:snapToGrid/>
          <w:lang w:val="en-US"/>
        </w:rPr>
        <w:t>T</w:t>
      </w:r>
      <w:r w:rsidR="009D17B0">
        <w:rPr>
          <w:iCs/>
          <w:snapToGrid/>
          <w:lang w:val="en-US"/>
        </w:rPr>
        <w:t>he evaluation considered t</w:t>
      </w:r>
      <w:r w:rsidRPr="000F48E0">
        <w:rPr>
          <w:iCs/>
          <w:snapToGrid/>
          <w:lang w:val="en-US"/>
        </w:rPr>
        <w:t xml:space="preserve">his </w:t>
      </w:r>
      <w:r w:rsidR="009D17B0">
        <w:rPr>
          <w:iCs/>
          <w:snapToGrid/>
          <w:lang w:val="en-US"/>
        </w:rPr>
        <w:t>wa</w:t>
      </w:r>
      <w:r w:rsidRPr="000F48E0">
        <w:rPr>
          <w:iCs/>
          <w:snapToGrid/>
          <w:lang w:val="en-US"/>
        </w:rPr>
        <w:t>s reasonable.</w:t>
      </w:r>
    </w:p>
    <w:p w14:paraId="1E07CF30" w14:textId="77777777" w:rsidR="007C4ED2" w:rsidRPr="007C4ED2" w:rsidRDefault="007C4ED2" w:rsidP="007C4ED2">
      <w:pPr>
        <w:pStyle w:val="3-BodyText"/>
        <w:numPr>
          <w:ilvl w:val="0"/>
          <w:numId w:val="0"/>
        </w:numPr>
        <w:ind w:left="720"/>
        <w:rPr>
          <w:i/>
          <w:iCs/>
        </w:rPr>
      </w:pPr>
      <w:r w:rsidRPr="007C4ED2">
        <w:rPr>
          <w:i/>
          <w:iCs/>
        </w:rPr>
        <w:t>For more detail on PBAC’s view, see section 7 PBAC outcome.</w:t>
      </w:r>
    </w:p>
    <w:p w14:paraId="2CA42268" w14:textId="77777777" w:rsidR="001F516D" w:rsidRPr="001808B1" w:rsidRDefault="001F516D" w:rsidP="00EA556C">
      <w:pPr>
        <w:pStyle w:val="2-SectionHeading"/>
      </w:pPr>
      <w:bookmarkStart w:id="25" w:name="_Toc82689132"/>
      <w:r w:rsidRPr="001808B1">
        <w:t>Consideration of the evidence</w:t>
      </w:r>
      <w:bookmarkEnd w:id="25"/>
    </w:p>
    <w:p w14:paraId="2FC8AB93" w14:textId="77777777" w:rsidR="007C4ED2" w:rsidRPr="006E1229" w:rsidRDefault="007C4ED2" w:rsidP="007C4ED2">
      <w:pPr>
        <w:pStyle w:val="4-SubsectionHeading"/>
      </w:pPr>
      <w:bookmarkStart w:id="26" w:name="_Toc82689133"/>
      <w:r w:rsidRPr="006E1229">
        <w:t>Sponsor hearing</w:t>
      </w:r>
    </w:p>
    <w:p w14:paraId="406AFE4B" w14:textId="77777777" w:rsidR="007C4ED2" w:rsidRPr="007C4ED2" w:rsidRDefault="007C4ED2" w:rsidP="007C4ED2">
      <w:pPr>
        <w:pStyle w:val="3-BodyText"/>
      </w:pPr>
      <w:r w:rsidRPr="00F91542">
        <w:rPr>
          <w:rFonts w:ascii="Calibri" w:hAnsi="Calibri" w:cs="Calibri"/>
          <w:bCs/>
        </w:rPr>
        <w:t>There was no hearing for this item</w:t>
      </w:r>
      <w:r>
        <w:rPr>
          <w:rFonts w:ascii="Calibri" w:hAnsi="Calibri" w:cs="Calibri"/>
          <w:bCs/>
        </w:rPr>
        <w:t xml:space="preserve">. </w:t>
      </w:r>
    </w:p>
    <w:p w14:paraId="63AA5F8E" w14:textId="77777777" w:rsidR="007C4ED2" w:rsidRPr="006E1229" w:rsidRDefault="007C4ED2" w:rsidP="007C4ED2">
      <w:pPr>
        <w:pStyle w:val="3-SubsectionHeading"/>
        <w:rPr>
          <w:lang w:eastAsia="en-AU"/>
        </w:rPr>
      </w:pPr>
      <w:r w:rsidRPr="006E1229">
        <w:rPr>
          <w:lang w:eastAsia="en-AU"/>
        </w:rPr>
        <w:t>Consumer comments</w:t>
      </w:r>
    </w:p>
    <w:p w14:paraId="1A20C266" w14:textId="77777777" w:rsidR="007C4ED2" w:rsidRPr="007C4ED2" w:rsidRDefault="007C4ED2" w:rsidP="007C4ED2">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and welcomed the input from </w:t>
      </w:r>
      <w:r>
        <w:rPr>
          <w:rFonts w:asciiTheme="minorHAnsi" w:hAnsiTheme="minorHAnsi"/>
          <w:bCs/>
          <w:snapToGrid w:val="0"/>
        </w:rPr>
        <w:t>health care professionals (1) and organisations (2</w:t>
      </w:r>
      <w:r w:rsidRPr="00836F75">
        <w:rPr>
          <w:rFonts w:asciiTheme="minorHAnsi" w:hAnsiTheme="minorHAnsi"/>
          <w:bCs/>
          <w:snapToGrid w:val="0"/>
        </w:rPr>
        <w:t xml:space="preserve">) via the Consumer Comments facility on the PBS website. The comments described a range of benefits of treatment with </w:t>
      </w:r>
      <w:r w:rsidR="0081496A">
        <w:t>FF/UMEC/VI</w:t>
      </w:r>
      <w:r>
        <w:t xml:space="preserve"> </w:t>
      </w:r>
      <w:r w:rsidR="00C30DDF">
        <w:rPr>
          <w:rFonts w:asciiTheme="minorHAnsi" w:hAnsiTheme="minorHAnsi"/>
          <w:bCs/>
          <w:snapToGrid w:val="0"/>
        </w:rPr>
        <w:t xml:space="preserve">including that single inhaler triple therapy provides a treatment option for ICS/LAMA/LABA therapy </w:t>
      </w:r>
      <w:r w:rsidR="00DF12CA">
        <w:rPr>
          <w:rFonts w:asciiTheme="minorHAnsi" w:hAnsiTheme="minorHAnsi"/>
          <w:bCs/>
          <w:snapToGrid w:val="0"/>
        </w:rPr>
        <w:t xml:space="preserve">that is likely less costly and more convenient than </w:t>
      </w:r>
      <w:r w:rsidR="00C30DDF">
        <w:rPr>
          <w:rFonts w:asciiTheme="minorHAnsi" w:hAnsiTheme="minorHAnsi"/>
          <w:bCs/>
          <w:snapToGrid w:val="0"/>
        </w:rPr>
        <w:t xml:space="preserve">mixing device types. In addition, the comments highlighted concerns that the PBS process for obtaining authority for single agent triple therapy for asthma will be unnecessarily complex and time consuming compared to single inhaler triple therapy for conditions such as COPD.    </w:t>
      </w:r>
    </w:p>
    <w:p w14:paraId="75CE8789" w14:textId="77777777" w:rsidR="001F516D" w:rsidRPr="001808B1" w:rsidRDefault="001F516D" w:rsidP="00EA556C">
      <w:pPr>
        <w:pStyle w:val="4-SubsectionHeading"/>
      </w:pPr>
      <w:r w:rsidRPr="001808B1">
        <w:t>Clinical trials</w:t>
      </w:r>
      <w:bookmarkEnd w:id="26"/>
    </w:p>
    <w:p w14:paraId="0F3293B9" w14:textId="77777777" w:rsidR="00A22A06" w:rsidRDefault="00A22A06" w:rsidP="00A22A06">
      <w:pPr>
        <w:pStyle w:val="3-BodyText"/>
      </w:pPr>
      <w:r>
        <w:t xml:space="preserve">The submission was based on one randomised trial comparing </w:t>
      </w:r>
      <w:r w:rsidR="0081496A">
        <w:t>FF/UMEC/VI</w:t>
      </w:r>
      <w:r>
        <w:t xml:space="preserve"> </w:t>
      </w:r>
      <w:r w:rsidR="0093561C">
        <w:t>to dual therapy</w:t>
      </w:r>
      <w:r>
        <w:t xml:space="preserve">: CAPTAIN. </w:t>
      </w:r>
      <w:r w:rsidR="00420922">
        <w:t>In addition it presented five randomised trials</w:t>
      </w:r>
      <w:r>
        <w:t xml:space="preserve">: </w:t>
      </w:r>
    </w:p>
    <w:p w14:paraId="2259EAEA" w14:textId="77777777" w:rsidR="001F516D" w:rsidRPr="00A22A06" w:rsidRDefault="001F516D" w:rsidP="00A22A06">
      <w:pPr>
        <w:pStyle w:val="ListParagraph"/>
        <w:numPr>
          <w:ilvl w:val="0"/>
          <w:numId w:val="3"/>
        </w:numPr>
        <w:rPr>
          <w:lang w:eastAsia="en-US"/>
        </w:rPr>
      </w:pPr>
      <w:r w:rsidRPr="00A22A06">
        <w:rPr>
          <w:lang w:eastAsia="en-US"/>
        </w:rPr>
        <w:t>T</w:t>
      </w:r>
      <w:r w:rsidR="00A22A06">
        <w:rPr>
          <w:lang w:eastAsia="en-US"/>
        </w:rPr>
        <w:t>wo</w:t>
      </w:r>
      <w:r w:rsidRPr="00A22A06">
        <w:rPr>
          <w:lang w:eastAsia="en-US"/>
        </w:rPr>
        <w:t xml:space="preserve"> comparing </w:t>
      </w:r>
      <w:r w:rsidR="00E235E7" w:rsidRPr="00A22A06">
        <w:rPr>
          <w:lang w:eastAsia="en-US"/>
        </w:rPr>
        <w:t>high dose</w:t>
      </w:r>
      <w:r w:rsidRPr="00A22A06">
        <w:rPr>
          <w:lang w:eastAsia="en-US"/>
        </w:rPr>
        <w:t xml:space="preserve"> </w:t>
      </w:r>
      <w:r w:rsidRPr="001808B1">
        <w:rPr>
          <w:lang w:eastAsia="en-US"/>
        </w:rPr>
        <w:t>single inhaler triple therapy (</w:t>
      </w:r>
      <w:r w:rsidR="00036F14" w:rsidRPr="001808B1">
        <w:rPr>
          <w:lang w:eastAsia="en-US"/>
        </w:rPr>
        <w:t>beclometasone dipropionate/formoterol</w:t>
      </w:r>
      <w:r w:rsidR="00A22A06">
        <w:rPr>
          <w:lang w:eastAsia="en-US"/>
        </w:rPr>
        <w:t>/</w:t>
      </w:r>
      <w:r w:rsidR="00036F14" w:rsidRPr="001808B1">
        <w:rPr>
          <w:lang w:eastAsia="en-US"/>
        </w:rPr>
        <w:t>glycopyrronium (</w:t>
      </w:r>
      <w:r w:rsidRPr="001808B1">
        <w:rPr>
          <w:lang w:eastAsia="en-US"/>
        </w:rPr>
        <w:t>BDP/FOR/GLY)</w:t>
      </w:r>
      <w:r w:rsidR="00036F14" w:rsidRPr="001808B1">
        <w:rPr>
          <w:lang w:eastAsia="en-US"/>
        </w:rPr>
        <w:t>)</w:t>
      </w:r>
      <w:r w:rsidRPr="00A22A06">
        <w:rPr>
          <w:lang w:eastAsia="en-US"/>
        </w:rPr>
        <w:t xml:space="preserve"> and </w:t>
      </w:r>
      <w:r w:rsidR="00E235E7" w:rsidRPr="00A22A06">
        <w:rPr>
          <w:lang w:eastAsia="en-US"/>
        </w:rPr>
        <w:t>high dose</w:t>
      </w:r>
      <w:r w:rsidRPr="00A22A06">
        <w:rPr>
          <w:lang w:eastAsia="en-US"/>
        </w:rPr>
        <w:t xml:space="preserve"> ICS/LABA (BDP/FOR or MF/IND or FP/SAL): TRIGGER, IRIDIUM.</w:t>
      </w:r>
    </w:p>
    <w:p w14:paraId="6E95CA27" w14:textId="77777777" w:rsidR="001F516D" w:rsidRPr="001808B1" w:rsidRDefault="001F516D" w:rsidP="00EA556C">
      <w:pPr>
        <w:pStyle w:val="ListParagraph"/>
        <w:numPr>
          <w:ilvl w:val="0"/>
          <w:numId w:val="3"/>
        </w:numPr>
        <w:rPr>
          <w:snapToGrid/>
          <w:lang w:val="en-US"/>
        </w:rPr>
      </w:pPr>
      <w:r w:rsidRPr="001808B1">
        <w:rPr>
          <w:snapToGrid/>
          <w:lang w:val="en-US"/>
        </w:rPr>
        <w:t xml:space="preserve">Two comparing </w:t>
      </w:r>
      <w:r w:rsidR="00E235E7" w:rsidRPr="001808B1">
        <w:rPr>
          <w:snapToGrid/>
          <w:lang w:val="en-US"/>
        </w:rPr>
        <w:t>high dose</w:t>
      </w:r>
      <w:r w:rsidRPr="001808B1">
        <w:rPr>
          <w:snapToGrid/>
          <w:lang w:val="en-US"/>
        </w:rPr>
        <w:t xml:space="preserve"> </w:t>
      </w:r>
      <w:r w:rsidRPr="001808B1">
        <w:t>single inhaler triple therapy (</w:t>
      </w:r>
      <w:r w:rsidRPr="001808B1">
        <w:rPr>
          <w:lang w:eastAsia="en-US"/>
        </w:rPr>
        <w:t xml:space="preserve">BDP/FOR/GLY or MF/IND/GLY) </w:t>
      </w:r>
      <w:r w:rsidRPr="001808B1">
        <w:rPr>
          <w:snapToGrid/>
          <w:lang w:val="en-US"/>
        </w:rPr>
        <w:t xml:space="preserve">and </w:t>
      </w:r>
      <w:r w:rsidR="00E235E7" w:rsidRPr="001808B1">
        <w:rPr>
          <w:snapToGrid/>
          <w:lang w:val="en-US"/>
        </w:rPr>
        <w:t>high dose</w:t>
      </w:r>
      <w:r w:rsidRPr="001808B1">
        <w:rPr>
          <w:snapToGrid/>
          <w:lang w:val="en-US"/>
        </w:rPr>
        <w:t xml:space="preserve"> multiple inhaler triple therapy (BDP/FOR + TIO or FP/SAL + TIO): TRIGGER and ARGON.</w:t>
      </w:r>
    </w:p>
    <w:p w14:paraId="03792E63" w14:textId="77777777" w:rsidR="001F516D" w:rsidRDefault="001F516D" w:rsidP="00EA556C">
      <w:pPr>
        <w:pStyle w:val="ListParagraph"/>
        <w:numPr>
          <w:ilvl w:val="0"/>
          <w:numId w:val="3"/>
        </w:numPr>
        <w:rPr>
          <w:snapToGrid/>
          <w:lang w:val="en-US"/>
        </w:rPr>
      </w:pPr>
      <w:r w:rsidRPr="001808B1">
        <w:rPr>
          <w:snapToGrid/>
          <w:lang w:val="en-US"/>
        </w:rPr>
        <w:t>Two</w:t>
      </w:r>
      <w:r w:rsidR="00420922">
        <w:rPr>
          <w:snapToGrid/>
          <w:lang w:val="en-US"/>
        </w:rPr>
        <w:t xml:space="preserve"> </w:t>
      </w:r>
      <w:r w:rsidRPr="001808B1">
        <w:t xml:space="preserve">(based on the trials PrimoTinA 1 &amp; 2) </w:t>
      </w:r>
      <w:r w:rsidRPr="001808B1">
        <w:rPr>
          <w:snapToGrid/>
          <w:lang w:val="en-US"/>
        </w:rPr>
        <w:t xml:space="preserve">comparing pooled </w:t>
      </w:r>
      <w:r w:rsidR="00B44F88">
        <w:rPr>
          <w:snapToGrid/>
          <w:lang w:val="en-US"/>
        </w:rPr>
        <w:t>medium</w:t>
      </w:r>
      <w:r w:rsidRPr="001808B1">
        <w:rPr>
          <w:snapToGrid/>
          <w:lang w:val="en-US"/>
        </w:rPr>
        <w:t>/</w:t>
      </w:r>
      <w:r w:rsidR="00E235E7" w:rsidRPr="001808B1">
        <w:rPr>
          <w:snapToGrid/>
          <w:lang w:val="en-US"/>
        </w:rPr>
        <w:t>high dose</w:t>
      </w:r>
      <w:r w:rsidRPr="001808B1">
        <w:rPr>
          <w:snapToGrid/>
          <w:lang w:val="en-US"/>
        </w:rPr>
        <w:t xml:space="preserve"> multiple inhaler triple therapy (ICS/LABA + TIO) and pooled </w:t>
      </w:r>
      <w:r w:rsidR="00B44F88">
        <w:rPr>
          <w:snapToGrid/>
          <w:lang w:val="en-US"/>
        </w:rPr>
        <w:t>medium</w:t>
      </w:r>
      <w:r w:rsidRPr="001808B1">
        <w:rPr>
          <w:snapToGrid/>
          <w:lang w:val="en-US"/>
        </w:rPr>
        <w:t>/</w:t>
      </w:r>
      <w:r w:rsidR="00E235E7" w:rsidRPr="001808B1">
        <w:rPr>
          <w:snapToGrid/>
          <w:lang w:val="en-US"/>
        </w:rPr>
        <w:t>high dose</w:t>
      </w:r>
      <w:r w:rsidRPr="001808B1">
        <w:rPr>
          <w:snapToGrid/>
          <w:lang w:val="en-US"/>
        </w:rPr>
        <w:t xml:space="preserve"> ICS/LABA (PrimoTinA 1 &amp; 2).</w:t>
      </w:r>
    </w:p>
    <w:p w14:paraId="5AF534F3" w14:textId="77777777" w:rsidR="00420922" w:rsidRPr="000F48E0" w:rsidRDefault="00420922" w:rsidP="00420922">
      <w:pPr>
        <w:pStyle w:val="3-BodyText"/>
      </w:pPr>
      <w:r w:rsidRPr="000F48E0">
        <w:t xml:space="preserve">The PBAC considered the ARGON and IRIDIUM trials during the assessment of MF/IND/GLY in July 2020. The submission for MF/IND/GLY also presented evidence from the CAPTAIN trial. </w:t>
      </w:r>
    </w:p>
    <w:p w14:paraId="0BFD35D5" w14:textId="77777777" w:rsidR="00081EFF" w:rsidRPr="000F48E0" w:rsidRDefault="00081EFF" w:rsidP="00420922">
      <w:pPr>
        <w:pStyle w:val="3-BodyText"/>
      </w:pPr>
      <w:bookmarkStart w:id="27" w:name="_Hlk82435472"/>
      <w:r w:rsidRPr="000F48E0">
        <w:t xml:space="preserve">The CAPTAIN trial included evidence for two strengths of </w:t>
      </w:r>
      <w:r w:rsidR="0081496A">
        <w:t>FF/UMEC/VI</w:t>
      </w:r>
      <w:r w:rsidRPr="000F48E0">
        <w:t xml:space="preserve"> (</w:t>
      </w:r>
      <w:r w:rsidR="0081496A">
        <w:t>100/62.5/25</w:t>
      </w:r>
      <w:r w:rsidRPr="000F48E0">
        <w:t xml:space="preserve"> and </w:t>
      </w:r>
      <w:r w:rsidR="0081496A">
        <w:t>200/62.5/25</w:t>
      </w:r>
      <w:r w:rsidRPr="000F48E0">
        <w:t>), but the submission only sought listing for the higher strength.</w:t>
      </w:r>
    </w:p>
    <w:bookmarkEnd w:id="27"/>
    <w:p w14:paraId="0C06E0E8" w14:textId="77777777" w:rsidR="001F516D" w:rsidRPr="000F48E0" w:rsidRDefault="00A22A06" w:rsidP="00202425">
      <w:pPr>
        <w:pStyle w:val="3-BodyText"/>
        <w:rPr>
          <w:snapToGrid/>
          <w:lang w:val="en-US"/>
        </w:rPr>
      </w:pPr>
      <w:r w:rsidRPr="000F48E0">
        <w:rPr>
          <w:iCs/>
        </w:rPr>
        <w:t xml:space="preserve">No randomised controlled trials comparing </w:t>
      </w:r>
      <w:r w:rsidR="0081496A">
        <w:rPr>
          <w:iCs/>
        </w:rPr>
        <w:t>FF/UMEC/VI 200/62.5/25</w:t>
      </w:r>
      <w:r w:rsidRPr="000F48E0">
        <w:rPr>
          <w:iCs/>
        </w:rPr>
        <w:t xml:space="preserve"> with MF/IND/GLY 136/114/46 or </w:t>
      </w:r>
      <w:r w:rsidR="0081496A">
        <w:rPr>
          <w:iCs/>
        </w:rPr>
        <w:t>FF/UMEC/VI 200/62.5/25</w:t>
      </w:r>
      <w:r w:rsidRPr="000F48E0">
        <w:rPr>
          <w:iCs/>
        </w:rPr>
        <w:t xml:space="preserve"> with high dose ICS/LABA+TIO were identified. </w:t>
      </w:r>
      <w:r w:rsidR="00420922" w:rsidRPr="000F48E0">
        <w:rPr>
          <w:iCs/>
        </w:rPr>
        <w:t>As such, t</w:t>
      </w:r>
      <w:r w:rsidR="001F516D" w:rsidRPr="000F48E0">
        <w:rPr>
          <w:iCs/>
        </w:rPr>
        <w:t>he submission presented</w:t>
      </w:r>
      <w:r w:rsidR="001F516D" w:rsidRPr="000F48E0">
        <w:rPr>
          <w:snapToGrid/>
          <w:lang w:val="en-US"/>
        </w:rPr>
        <w:t xml:space="preserve"> the following two indirect treatment comparisons:</w:t>
      </w:r>
    </w:p>
    <w:p w14:paraId="7EEEE46B" w14:textId="77777777" w:rsidR="001F516D" w:rsidRPr="001808B1" w:rsidRDefault="0081496A" w:rsidP="00EA556C">
      <w:pPr>
        <w:pStyle w:val="ListParagraph"/>
        <w:numPr>
          <w:ilvl w:val="0"/>
          <w:numId w:val="3"/>
        </w:numPr>
        <w:rPr>
          <w:snapToGrid/>
          <w:lang w:val="en-US"/>
        </w:rPr>
      </w:pPr>
      <w:r>
        <w:rPr>
          <w:snapToGrid/>
          <w:lang w:val="en-US"/>
        </w:rPr>
        <w:t>FF/UMEC/VI 200/62.5/25</w:t>
      </w:r>
      <w:r w:rsidR="001F516D" w:rsidRPr="001808B1">
        <w:rPr>
          <w:snapToGrid/>
          <w:lang w:val="en-US"/>
        </w:rPr>
        <w:t xml:space="preserve"> one actuation once daily versus MF/IND/GLY 136/114/46 one actuation once daily </w:t>
      </w:r>
      <w:r w:rsidR="001F516D" w:rsidRPr="001808B1">
        <w:rPr>
          <w:lang w:val="en-US"/>
        </w:rPr>
        <w:t xml:space="preserve">with </w:t>
      </w:r>
      <w:r w:rsidR="009F744F" w:rsidRPr="001808B1">
        <w:rPr>
          <w:lang w:val="en-US"/>
        </w:rPr>
        <w:t>ICS/LABA</w:t>
      </w:r>
      <w:r w:rsidR="001F516D" w:rsidRPr="001808B1">
        <w:rPr>
          <w:lang w:val="en-US"/>
        </w:rPr>
        <w:t xml:space="preserve"> as the common comparator (</w:t>
      </w:r>
      <w:r w:rsidR="009F744F" w:rsidRPr="001808B1">
        <w:rPr>
          <w:lang w:val="en-US"/>
        </w:rPr>
        <w:t xml:space="preserve">CAPTAIN and IRIDIUM </w:t>
      </w:r>
      <w:r w:rsidR="001F516D" w:rsidRPr="001808B1">
        <w:rPr>
          <w:lang w:val="en-US"/>
        </w:rPr>
        <w:t>trials)</w:t>
      </w:r>
      <w:r w:rsidR="001F516D" w:rsidRPr="001808B1">
        <w:rPr>
          <w:snapToGrid/>
          <w:lang w:val="en-US"/>
        </w:rPr>
        <w:t>; and</w:t>
      </w:r>
    </w:p>
    <w:p w14:paraId="2DBDC94B" w14:textId="77777777" w:rsidR="001F516D" w:rsidRPr="001808B1" w:rsidRDefault="0081496A" w:rsidP="00EA556C">
      <w:pPr>
        <w:pStyle w:val="ListParagraph"/>
        <w:numPr>
          <w:ilvl w:val="0"/>
          <w:numId w:val="3"/>
        </w:numPr>
        <w:rPr>
          <w:snapToGrid/>
          <w:lang w:val="en-US"/>
        </w:rPr>
      </w:pPr>
      <w:r>
        <w:rPr>
          <w:snapToGrid/>
          <w:lang w:val="en-US"/>
        </w:rPr>
        <w:t>FF/UMEC/VI 200/62.5/25</w:t>
      </w:r>
      <w:r w:rsidR="001F516D" w:rsidRPr="001808B1">
        <w:rPr>
          <w:snapToGrid/>
          <w:lang w:val="en-US"/>
        </w:rPr>
        <w:t xml:space="preserve"> one actuation once daily versus </w:t>
      </w:r>
      <w:r w:rsidR="00E235E7" w:rsidRPr="001808B1">
        <w:rPr>
          <w:snapToGrid/>
          <w:lang w:val="en-US"/>
        </w:rPr>
        <w:t>high dose</w:t>
      </w:r>
      <w:r w:rsidR="001F516D" w:rsidRPr="001808B1">
        <w:rPr>
          <w:snapToGrid/>
          <w:lang w:val="en-US"/>
        </w:rPr>
        <w:t xml:space="preserve"> ICS/LABA + TIO 2.5 two actuations once daily </w:t>
      </w:r>
      <w:r w:rsidR="001F516D" w:rsidRPr="001808B1">
        <w:rPr>
          <w:lang w:val="en-US"/>
        </w:rPr>
        <w:t xml:space="preserve">with </w:t>
      </w:r>
      <w:r w:rsidR="009F744F" w:rsidRPr="001808B1">
        <w:rPr>
          <w:snapToGrid/>
          <w:lang w:val="en-US"/>
        </w:rPr>
        <w:t>MF/IND/GLY 136/114/46</w:t>
      </w:r>
      <w:r w:rsidR="009F744F" w:rsidRPr="001808B1">
        <w:rPr>
          <w:lang w:val="en-US"/>
        </w:rPr>
        <w:t xml:space="preserve"> and ICS/LABA</w:t>
      </w:r>
      <w:r w:rsidR="001F516D" w:rsidRPr="001808B1">
        <w:rPr>
          <w:lang w:val="en-US"/>
        </w:rPr>
        <w:t xml:space="preserve"> as common comparator</w:t>
      </w:r>
      <w:r w:rsidR="009F744F" w:rsidRPr="001808B1">
        <w:rPr>
          <w:lang w:val="en-US"/>
        </w:rPr>
        <w:t>s</w:t>
      </w:r>
      <w:r w:rsidR="001F516D" w:rsidRPr="001808B1">
        <w:rPr>
          <w:lang w:val="en-US"/>
        </w:rPr>
        <w:t xml:space="preserve"> (</w:t>
      </w:r>
      <w:r w:rsidR="009F744F" w:rsidRPr="001808B1">
        <w:rPr>
          <w:lang w:val="en-US"/>
        </w:rPr>
        <w:t xml:space="preserve">CAPTAIN, ARGON, IRIDIUM, TRIGGER </w:t>
      </w:r>
      <w:r w:rsidR="001F516D" w:rsidRPr="001808B1">
        <w:rPr>
          <w:lang w:val="en-US"/>
        </w:rPr>
        <w:t>trials)</w:t>
      </w:r>
      <w:r w:rsidR="001F516D" w:rsidRPr="001808B1">
        <w:rPr>
          <w:snapToGrid/>
          <w:lang w:val="en-US"/>
        </w:rPr>
        <w:t>.</w:t>
      </w:r>
    </w:p>
    <w:p w14:paraId="64E015CA" w14:textId="77777777" w:rsidR="001F516D" w:rsidRPr="001808B1" w:rsidRDefault="001F516D" w:rsidP="00EA556C">
      <w:pPr>
        <w:pStyle w:val="3-BodyText"/>
      </w:pPr>
      <w:r w:rsidRPr="001808B1">
        <w:t>A network diagram of the trials included in the indirect comparison</w:t>
      </w:r>
      <w:r w:rsidR="009F744F" w:rsidRPr="001808B1">
        <w:t>s</w:t>
      </w:r>
      <w:r w:rsidRPr="001808B1">
        <w:t xml:space="preserve"> is presented in Figure </w:t>
      </w:r>
      <w:r w:rsidR="00942085" w:rsidRPr="001808B1">
        <w:t>1</w:t>
      </w:r>
      <w:r w:rsidRPr="001808B1">
        <w:t>.</w:t>
      </w:r>
    </w:p>
    <w:p w14:paraId="03B0D488" w14:textId="77777777" w:rsidR="001F516D" w:rsidRPr="001808B1" w:rsidRDefault="001F516D" w:rsidP="00EA556C">
      <w:pPr>
        <w:pStyle w:val="TableFigureHeading"/>
        <w:rPr>
          <w:lang w:eastAsia="en-US"/>
        </w:rPr>
      </w:pPr>
      <w:r w:rsidRPr="001808B1">
        <w:rPr>
          <w:lang w:eastAsia="en-US"/>
        </w:rPr>
        <w:t xml:space="preserve">Figure </w:t>
      </w:r>
      <w:r w:rsidR="00942085" w:rsidRPr="001808B1">
        <w:rPr>
          <w:lang w:eastAsia="en-US"/>
        </w:rPr>
        <w:t>1</w:t>
      </w:r>
      <w:r w:rsidRPr="001808B1">
        <w:rPr>
          <w:lang w:eastAsia="en-US"/>
        </w:rPr>
        <w:t>:</w:t>
      </w:r>
      <w:r w:rsidRPr="001808B1">
        <w:rPr>
          <w:lang w:eastAsia="en-US"/>
        </w:rPr>
        <w:tab/>
        <w:t>Network diagram of the trials included to inform the indirect comparison</w:t>
      </w:r>
      <w:r w:rsidR="009F744F" w:rsidRPr="001808B1">
        <w:rPr>
          <w:lang w:eastAsia="en-US"/>
        </w:rPr>
        <w:t>s</w:t>
      </w:r>
      <w:r w:rsidRPr="001808B1">
        <w:rPr>
          <w:lang w:eastAsia="en-US"/>
        </w:rPr>
        <w:t xml:space="preserve"> of the proposed intervention (TRELEGY </w:t>
      </w:r>
      <w:r w:rsidR="0081496A">
        <w:rPr>
          <w:lang w:eastAsia="en-US"/>
        </w:rPr>
        <w:t>200/62.5/25</w:t>
      </w:r>
      <w:r w:rsidRPr="001808B1">
        <w:rPr>
          <w:lang w:eastAsia="en-US"/>
        </w:rPr>
        <w:t xml:space="preserve"> D vs FF/IND/GLY 136/114/46 and high dose ICS/LABA+ TIO 2.5 2xD) via </w:t>
      </w:r>
      <w:r w:rsidR="00E235E7" w:rsidRPr="001808B1">
        <w:rPr>
          <w:lang w:eastAsia="en-US"/>
        </w:rPr>
        <w:t>high dose</w:t>
      </w:r>
      <w:r w:rsidRPr="001808B1">
        <w:rPr>
          <w:lang w:eastAsia="en-US"/>
        </w:rPr>
        <w:t xml:space="preserve"> ICS/LABA (6 trials)</w:t>
      </w:r>
    </w:p>
    <w:p w14:paraId="31D61955" w14:textId="77777777" w:rsidR="001F516D" w:rsidRPr="001808B1" w:rsidRDefault="001F516D" w:rsidP="00EA556C">
      <w:pPr>
        <w:rPr>
          <w:rFonts w:ascii="Candara" w:eastAsia="MS Gothic" w:hAnsi="Candara" w:cs="Times New Roman"/>
          <w:szCs w:val="22"/>
          <w:lang w:eastAsia="en-US"/>
        </w:rPr>
      </w:pPr>
      <w:r w:rsidRPr="001808B1">
        <w:rPr>
          <w:rFonts w:ascii="Candara" w:eastAsia="MS Gothic" w:hAnsi="Candara" w:cs="Times New Roman"/>
          <w:noProof/>
          <w:szCs w:val="22"/>
        </w:rPr>
        <w:drawing>
          <wp:inline distT="0" distB="0" distL="0" distR="0" wp14:anchorId="1A3525E9" wp14:editId="03FC0C47">
            <wp:extent cx="5390707" cy="2320883"/>
            <wp:effectExtent l="0" t="0" r="635" b="381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26432" cy="2336264"/>
                    </a:xfrm>
                    <a:prstGeom prst="rect">
                      <a:avLst/>
                    </a:prstGeom>
                  </pic:spPr>
                </pic:pic>
              </a:graphicData>
            </a:graphic>
          </wp:inline>
        </w:drawing>
      </w:r>
    </w:p>
    <w:p w14:paraId="7D96A6FE" w14:textId="77777777" w:rsidR="001F516D" w:rsidRPr="001808B1" w:rsidRDefault="001F516D" w:rsidP="00EA556C">
      <w:pPr>
        <w:pStyle w:val="TableFigureFooter"/>
        <w:rPr>
          <w:rFonts w:eastAsia="Calibri"/>
          <w:lang w:val="en-US" w:eastAsia="en-US"/>
        </w:rPr>
      </w:pPr>
      <w:r w:rsidRPr="001808B1">
        <w:rPr>
          <w:rFonts w:eastAsia="Calibri"/>
          <w:lang w:val="en-US" w:eastAsia="en-US"/>
        </w:rPr>
        <w:t>Source: Figure 6, p49 of the submission</w:t>
      </w:r>
    </w:p>
    <w:p w14:paraId="17916BAA" w14:textId="77777777" w:rsidR="0016519A" w:rsidRPr="001808B1" w:rsidRDefault="001F516D" w:rsidP="00EA556C">
      <w:pPr>
        <w:pStyle w:val="TableFigureFooter"/>
        <w:rPr>
          <w:rFonts w:eastAsia="Calibri"/>
          <w:lang w:val="en-US" w:eastAsia="en-US"/>
        </w:rPr>
      </w:pPr>
      <w:r w:rsidRPr="001808B1">
        <w:rPr>
          <w:rFonts w:eastAsia="Calibri"/>
          <w:lang w:val="en-US" w:eastAsia="en-US"/>
        </w:rPr>
        <w:t>BDP: beclometasone dipropionate; BD: twice daily; FF: fluticasone furoate; FOR: formoterol fumarate; FP: fluticasone propionate; GLY: glycopyrronium bromide; ICS: inhaled corticosteroid; IND: indacaterol acetate; LABA: long-acting beta agonist; MF: mometasone furoate; QD: once daily; SAL: salmeterol; TIO: tiotropium; UMEC: umeclidinium; VI: vilanterol</w:t>
      </w:r>
      <w:r w:rsidR="0016519A">
        <w:rPr>
          <w:rFonts w:eastAsia="Calibri"/>
          <w:b/>
          <w:color w:val="000000"/>
          <w:lang w:val="en-GB" w:eastAsia="en-US"/>
        </w:rPr>
        <w:t xml:space="preserve"> </w:t>
      </w:r>
    </w:p>
    <w:p w14:paraId="40DC294E" w14:textId="77777777" w:rsidR="001F516D" w:rsidRPr="001808B1" w:rsidRDefault="001F516D" w:rsidP="00EA556C">
      <w:pPr>
        <w:pStyle w:val="TableFigureFooter"/>
        <w:rPr>
          <w:rFonts w:eastAsia="Calibri"/>
          <w:b/>
          <w:i/>
          <w:sz w:val="20"/>
          <w:szCs w:val="21"/>
          <w:lang w:val="en-US" w:eastAsia="en-US"/>
        </w:rPr>
      </w:pPr>
      <w:r w:rsidRPr="001808B1">
        <w:rPr>
          <w:rFonts w:eastAsia="Calibri"/>
          <w:b/>
          <w:color w:val="000000"/>
          <w:lang w:val="en-GB" w:eastAsia="en-US"/>
        </w:rPr>
        <w:t>Colour code</w:t>
      </w:r>
      <w:r w:rsidRPr="001808B1">
        <w:rPr>
          <w:rFonts w:eastAsia="Calibri"/>
          <w:b/>
          <w:i/>
          <w:color w:val="000000"/>
          <w:sz w:val="20"/>
          <w:szCs w:val="21"/>
          <w:lang w:val="en-GB" w:eastAsia="en-US"/>
        </w:rPr>
        <w:t>:</w:t>
      </w:r>
    </w:p>
    <w:p w14:paraId="5929794A" w14:textId="77777777" w:rsidR="001F516D" w:rsidRPr="001808B1" w:rsidRDefault="001F516D" w:rsidP="00EA556C">
      <w:pPr>
        <w:pStyle w:val="TableFigureFooter"/>
        <w:rPr>
          <w:rFonts w:eastAsia="Calibri"/>
          <w:b/>
          <w:i/>
          <w:sz w:val="20"/>
          <w:szCs w:val="21"/>
          <w:lang w:val="en-US" w:eastAsia="en-US"/>
        </w:rPr>
      </w:pPr>
      <w:r w:rsidRPr="001808B1">
        <w:rPr>
          <w:rFonts w:eastAsia="Calibri"/>
          <w:noProof/>
          <w:color w:val="000000"/>
          <w:sz w:val="16"/>
          <w:szCs w:val="21"/>
        </w:rPr>
        <w:drawing>
          <wp:inline distT="0" distB="0" distL="0" distR="0" wp14:anchorId="776FAED8" wp14:editId="1293975F">
            <wp:extent cx="2725420" cy="2438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pic:nvPicPr>
                  <pic:blipFill>
                    <a:blip r:embed="rId9">
                      <a:extLst>
                        <a:ext uri="{28A0092B-C50C-407E-A947-70E740481C1C}">
                          <a14:useLocalDpi xmlns:a14="http://schemas.microsoft.com/office/drawing/2010/main" val="0"/>
                        </a:ext>
                      </a:extLst>
                    </a:blip>
                    <a:stretch>
                      <a:fillRect/>
                    </a:stretch>
                  </pic:blipFill>
                  <pic:spPr>
                    <a:xfrm>
                      <a:off x="0" y="0"/>
                      <a:ext cx="2725420" cy="243840"/>
                    </a:xfrm>
                    <a:prstGeom prst="rect">
                      <a:avLst/>
                    </a:prstGeom>
                  </pic:spPr>
                </pic:pic>
              </a:graphicData>
            </a:graphic>
          </wp:inline>
        </w:drawing>
      </w:r>
    </w:p>
    <w:p w14:paraId="271EF190" w14:textId="77777777" w:rsidR="001F516D" w:rsidRPr="001808B1" w:rsidRDefault="001F516D" w:rsidP="00EA556C">
      <w:pPr>
        <w:pStyle w:val="3-BodyText"/>
      </w:pPr>
      <w:r w:rsidRPr="001808B1">
        <w:rPr>
          <w:snapToGrid/>
          <w:lang w:val="en-US"/>
        </w:rPr>
        <w:t xml:space="preserve">Details of the trials presented in the submission are provided in Table 2. </w:t>
      </w:r>
    </w:p>
    <w:p w14:paraId="6925E771" w14:textId="77777777" w:rsidR="001F516D" w:rsidRPr="001808B1" w:rsidRDefault="001F516D" w:rsidP="009B2A59">
      <w:pPr>
        <w:pStyle w:val="TableFigureHeading"/>
        <w:keepLines/>
      </w:pPr>
      <w:r w:rsidRPr="001808B1">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Trials and associated reports presented in the submission"/>
      </w:tblPr>
      <w:tblGrid>
        <w:gridCol w:w="1283"/>
        <w:gridCol w:w="5949"/>
        <w:gridCol w:w="1785"/>
      </w:tblGrid>
      <w:tr w:rsidR="00645AA2" w:rsidRPr="001808B1" w14:paraId="118B883C" w14:textId="77777777" w:rsidTr="00645AA2">
        <w:trPr>
          <w:trHeight w:val="20"/>
          <w:tblHeader/>
        </w:trPr>
        <w:tc>
          <w:tcPr>
            <w:tcW w:w="651" w:type="pct"/>
            <w:tcBorders>
              <w:bottom w:val="single" w:sz="4" w:space="0" w:color="auto"/>
            </w:tcBorders>
            <w:shd w:val="clear" w:color="auto" w:fill="auto"/>
          </w:tcPr>
          <w:p w14:paraId="6E2CDADA" w14:textId="77777777" w:rsidR="00645AA2" w:rsidRPr="001808B1" w:rsidRDefault="00645AA2" w:rsidP="009B2A59">
            <w:pPr>
              <w:pStyle w:val="In-tableHeading"/>
              <w:keepLines/>
              <w:widowControl w:val="0"/>
              <w:rPr>
                <w:lang w:eastAsia="en-US"/>
              </w:rPr>
            </w:pPr>
            <w:r w:rsidRPr="001808B1">
              <w:rPr>
                <w:lang w:eastAsia="en-US"/>
              </w:rPr>
              <w:t>Trial ID</w:t>
            </w:r>
          </w:p>
        </w:tc>
        <w:tc>
          <w:tcPr>
            <w:tcW w:w="3329" w:type="pct"/>
            <w:shd w:val="clear" w:color="auto" w:fill="auto"/>
          </w:tcPr>
          <w:p w14:paraId="49D4C040" w14:textId="77777777" w:rsidR="00645AA2" w:rsidRPr="001808B1" w:rsidRDefault="00645AA2" w:rsidP="009B2A59">
            <w:pPr>
              <w:pStyle w:val="In-tableHeading"/>
              <w:keepLines/>
              <w:widowControl w:val="0"/>
              <w:rPr>
                <w:lang w:eastAsia="en-US"/>
              </w:rPr>
            </w:pPr>
            <w:r w:rsidRPr="001808B1">
              <w:t>Protocol title/ Publication title</w:t>
            </w:r>
          </w:p>
        </w:tc>
        <w:tc>
          <w:tcPr>
            <w:tcW w:w="1020" w:type="pct"/>
          </w:tcPr>
          <w:p w14:paraId="01E03630" w14:textId="77777777" w:rsidR="00645AA2" w:rsidRPr="001808B1" w:rsidRDefault="00645AA2" w:rsidP="009B2A59">
            <w:pPr>
              <w:pStyle w:val="In-tableHeading"/>
              <w:keepLines/>
              <w:widowControl w:val="0"/>
              <w:rPr>
                <w:lang w:eastAsia="en-US"/>
              </w:rPr>
            </w:pPr>
            <w:r w:rsidRPr="001808B1">
              <w:rPr>
                <w:lang w:eastAsia="en-US"/>
              </w:rPr>
              <w:t>Publication citation</w:t>
            </w:r>
          </w:p>
        </w:tc>
      </w:tr>
      <w:tr w:rsidR="00645AA2" w:rsidRPr="001808B1" w14:paraId="6C330D84" w14:textId="77777777" w:rsidTr="00645AA2">
        <w:trPr>
          <w:trHeight w:val="20"/>
        </w:trPr>
        <w:tc>
          <w:tcPr>
            <w:tcW w:w="651" w:type="pct"/>
            <w:tcBorders>
              <w:bottom w:val="nil"/>
            </w:tcBorders>
          </w:tcPr>
          <w:p w14:paraId="30F63380" w14:textId="77777777" w:rsidR="00645AA2" w:rsidRPr="001808B1" w:rsidRDefault="00645AA2" w:rsidP="009B2A59">
            <w:pPr>
              <w:pStyle w:val="Tabletext"/>
              <w:keepNext/>
              <w:keepLines/>
              <w:rPr>
                <w:lang w:eastAsia="en-US"/>
              </w:rPr>
            </w:pPr>
            <w:r w:rsidRPr="001808B1">
              <w:rPr>
                <w:lang w:eastAsia="en-US"/>
              </w:rPr>
              <w:t>CAPTAIN</w:t>
            </w:r>
          </w:p>
        </w:tc>
        <w:tc>
          <w:tcPr>
            <w:tcW w:w="3329" w:type="pct"/>
          </w:tcPr>
          <w:p w14:paraId="70228DD6" w14:textId="77777777" w:rsidR="00645AA2" w:rsidRPr="001808B1" w:rsidRDefault="00645AA2" w:rsidP="009B2A59">
            <w:pPr>
              <w:pStyle w:val="Tabletext"/>
              <w:keepNext/>
              <w:keepLines/>
              <w:rPr>
                <w:lang w:eastAsia="en-US"/>
              </w:rPr>
            </w:pPr>
            <w:r w:rsidRPr="001808B1">
              <w:rPr>
                <w:lang w:eastAsia="en-US"/>
              </w:rPr>
              <w:t>Efficacy and safety of once-daily single-inhaler triple therapy (</w:t>
            </w:r>
            <w:r w:rsidR="0081496A">
              <w:rPr>
                <w:lang w:eastAsia="en-US"/>
              </w:rPr>
              <w:t>FF/UMEC/VI</w:t>
            </w:r>
            <w:r w:rsidRPr="001808B1">
              <w:rPr>
                <w:lang w:eastAsia="en-US"/>
              </w:rPr>
              <w:t>) versus FF/VI in patients with inadequately controlled asthma (CAPTAIN): a double-blind, randomised, phase 3A trial</w:t>
            </w:r>
          </w:p>
        </w:tc>
        <w:tc>
          <w:tcPr>
            <w:tcW w:w="1020" w:type="pct"/>
          </w:tcPr>
          <w:p w14:paraId="78A850DC" w14:textId="77777777" w:rsidR="00645AA2" w:rsidRPr="001808B1" w:rsidRDefault="00645AA2" w:rsidP="009B2A59">
            <w:pPr>
              <w:pStyle w:val="Tabletext"/>
              <w:keepNext/>
              <w:keepLines/>
              <w:rPr>
                <w:lang w:eastAsia="en-US"/>
              </w:rPr>
            </w:pPr>
            <w:r w:rsidRPr="001808B1">
              <w:rPr>
                <w:lang w:eastAsia="en-US"/>
              </w:rPr>
              <w:t>Lancet Respir Med, 2020</w:t>
            </w:r>
          </w:p>
        </w:tc>
      </w:tr>
      <w:tr w:rsidR="00645AA2" w:rsidRPr="001808B1" w14:paraId="6114FD5A" w14:textId="77777777" w:rsidTr="00645AA2">
        <w:trPr>
          <w:trHeight w:val="20"/>
        </w:trPr>
        <w:tc>
          <w:tcPr>
            <w:tcW w:w="651" w:type="pct"/>
            <w:tcBorders>
              <w:top w:val="nil"/>
              <w:bottom w:val="single" w:sz="4" w:space="0" w:color="auto"/>
            </w:tcBorders>
          </w:tcPr>
          <w:p w14:paraId="7D9A7C0F" w14:textId="77777777" w:rsidR="00645AA2" w:rsidRPr="001808B1" w:rsidRDefault="00645AA2" w:rsidP="009B2A59">
            <w:pPr>
              <w:pStyle w:val="Tabletext"/>
              <w:keepNext/>
              <w:keepLines/>
              <w:rPr>
                <w:lang w:eastAsia="en-US"/>
              </w:rPr>
            </w:pPr>
          </w:p>
        </w:tc>
        <w:tc>
          <w:tcPr>
            <w:tcW w:w="3329" w:type="pct"/>
          </w:tcPr>
          <w:p w14:paraId="2A963613" w14:textId="77777777" w:rsidR="00645AA2" w:rsidRPr="001808B1" w:rsidRDefault="00645AA2" w:rsidP="009B2A59">
            <w:pPr>
              <w:pStyle w:val="Tabletext"/>
              <w:keepNext/>
              <w:keepLines/>
              <w:rPr>
                <w:lang w:eastAsia="en-US"/>
              </w:rPr>
            </w:pPr>
            <w:r w:rsidRPr="001808B1">
              <w:rPr>
                <w:lang w:eastAsia="en-US"/>
              </w:rPr>
              <w:t xml:space="preserve">Clinical Study Report: A Phase III, randomised, double blind, active controlled, parallel group study, comparing the efficacy, safety and tolerability of the fixed dose combination </w:t>
            </w:r>
            <w:r w:rsidR="0081496A">
              <w:rPr>
                <w:lang w:eastAsia="en-US"/>
              </w:rPr>
              <w:t>FF/UMEC/VI</w:t>
            </w:r>
            <w:r w:rsidRPr="001808B1">
              <w:rPr>
                <w:lang w:eastAsia="en-US"/>
              </w:rPr>
              <w:t xml:space="preserve"> with the fixed dose dual combination of FF/VI, administered once-daily via a dry powder inhaler in subjects with inadequately controlled asthma</w:t>
            </w:r>
          </w:p>
        </w:tc>
        <w:tc>
          <w:tcPr>
            <w:tcW w:w="1020" w:type="pct"/>
          </w:tcPr>
          <w:p w14:paraId="5FA53CA9" w14:textId="77777777" w:rsidR="00645AA2" w:rsidRPr="001808B1" w:rsidRDefault="00645AA2" w:rsidP="009B2A59">
            <w:pPr>
              <w:pStyle w:val="Tabletext"/>
              <w:keepNext/>
              <w:keepLines/>
              <w:rPr>
                <w:lang w:eastAsia="en-US"/>
              </w:rPr>
            </w:pPr>
            <w:r w:rsidRPr="001808B1">
              <w:rPr>
                <w:lang w:eastAsia="en-US"/>
              </w:rPr>
              <w:t>2019</w:t>
            </w:r>
          </w:p>
        </w:tc>
      </w:tr>
      <w:tr w:rsidR="00645AA2" w:rsidRPr="001808B1" w14:paraId="6F016799" w14:textId="77777777" w:rsidTr="00645AA2">
        <w:trPr>
          <w:trHeight w:val="20"/>
        </w:trPr>
        <w:tc>
          <w:tcPr>
            <w:tcW w:w="651" w:type="pct"/>
            <w:vMerge w:val="restart"/>
          </w:tcPr>
          <w:p w14:paraId="7D485D5A" w14:textId="77777777" w:rsidR="00645AA2" w:rsidRPr="001808B1" w:rsidRDefault="00645AA2" w:rsidP="009B2A59">
            <w:pPr>
              <w:pStyle w:val="Tabletext"/>
              <w:keepNext/>
              <w:keepLines/>
              <w:rPr>
                <w:lang w:eastAsia="en-US"/>
              </w:rPr>
            </w:pPr>
            <w:r w:rsidRPr="001808B1">
              <w:rPr>
                <w:lang w:eastAsia="en-US"/>
              </w:rPr>
              <w:t>PrimoTinA</w:t>
            </w:r>
          </w:p>
          <w:p w14:paraId="5C3248F8" w14:textId="77777777" w:rsidR="00645AA2" w:rsidRPr="001808B1" w:rsidRDefault="00645AA2" w:rsidP="009B2A59">
            <w:pPr>
              <w:pStyle w:val="Tabletext"/>
              <w:keepNext/>
              <w:keepLines/>
              <w:rPr>
                <w:lang w:eastAsia="en-US"/>
              </w:rPr>
            </w:pPr>
            <w:r w:rsidRPr="001808B1">
              <w:rPr>
                <w:lang w:eastAsia="en-US"/>
              </w:rPr>
              <w:t>NCT00772538 and NCT00776984</w:t>
            </w:r>
          </w:p>
          <w:p w14:paraId="102634ED" w14:textId="77777777" w:rsidR="00645AA2" w:rsidRPr="001808B1" w:rsidRDefault="00645AA2" w:rsidP="009B2A59">
            <w:pPr>
              <w:pStyle w:val="Tabletext"/>
              <w:keepNext/>
              <w:keepLines/>
              <w:rPr>
                <w:lang w:eastAsia="en-US"/>
              </w:rPr>
            </w:pPr>
          </w:p>
        </w:tc>
        <w:tc>
          <w:tcPr>
            <w:tcW w:w="3329" w:type="pct"/>
          </w:tcPr>
          <w:p w14:paraId="24C931FB" w14:textId="77777777" w:rsidR="00645AA2" w:rsidRPr="001808B1" w:rsidRDefault="00645AA2" w:rsidP="009B2A59">
            <w:pPr>
              <w:pStyle w:val="Tabletext"/>
              <w:keepNext/>
              <w:keepLines/>
              <w:rPr>
                <w:lang w:eastAsia="en-US"/>
              </w:rPr>
            </w:pPr>
            <w:r w:rsidRPr="001808B1">
              <w:rPr>
                <w:lang w:eastAsia="en-US"/>
              </w:rPr>
              <w:t>Tiotropium in asthma poorly controlled with standard combination therapy</w:t>
            </w:r>
          </w:p>
        </w:tc>
        <w:tc>
          <w:tcPr>
            <w:tcW w:w="1020" w:type="pct"/>
          </w:tcPr>
          <w:p w14:paraId="558F2168" w14:textId="77777777" w:rsidR="00645AA2" w:rsidRPr="001808B1" w:rsidRDefault="00645AA2" w:rsidP="009B2A59">
            <w:pPr>
              <w:pStyle w:val="Tabletext"/>
              <w:keepNext/>
              <w:keepLines/>
              <w:rPr>
                <w:lang w:eastAsia="en-US"/>
              </w:rPr>
            </w:pPr>
            <w:r w:rsidRPr="001808B1">
              <w:rPr>
                <w:lang w:eastAsia="en-US"/>
              </w:rPr>
              <w:t>The New England Journal of Medicine, 2012</w:t>
            </w:r>
          </w:p>
        </w:tc>
      </w:tr>
      <w:tr w:rsidR="00645AA2" w:rsidRPr="001808B1" w14:paraId="50C001AC" w14:textId="77777777" w:rsidTr="00645AA2">
        <w:trPr>
          <w:trHeight w:val="425"/>
        </w:trPr>
        <w:tc>
          <w:tcPr>
            <w:tcW w:w="651" w:type="pct"/>
            <w:vMerge/>
          </w:tcPr>
          <w:p w14:paraId="23F04A1A" w14:textId="77777777" w:rsidR="00645AA2" w:rsidRPr="001808B1" w:rsidRDefault="00645AA2" w:rsidP="009B2A59">
            <w:pPr>
              <w:pStyle w:val="Tabletext"/>
              <w:keepNext/>
              <w:keepLines/>
              <w:rPr>
                <w:lang w:eastAsia="en-US"/>
              </w:rPr>
            </w:pPr>
          </w:p>
        </w:tc>
        <w:tc>
          <w:tcPr>
            <w:tcW w:w="3329" w:type="pct"/>
          </w:tcPr>
          <w:p w14:paraId="5457821D" w14:textId="77777777" w:rsidR="00645AA2" w:rsidRPr="001808B1" w:rsidRDefault="00645AA2" w:rsidP="009B2A59">
            <w:pPr>
              <w:pStyle w:val="Tabletext"/>
              <w:keepNext/>
              <w:keepLines/>
              <w:rPr>
                <w:szCs w:val="18"/>
                <w:lang w:eastAsia="en-US"/>
              </w:rPr>
            </w:pPr>
            <w:r w:rsidRPr="001808B1">
              <w:rPr>
                <w:szCs w:val="18"/>
                <w:lang w:eastAsia="en-US"/>
              </w:rPr>
              <w:t>Tiotropium improves lung function, exacerbation rate, and asthma control, independent of baseline characteristics including age, degree of airway obstruction, and allergic status.</w:t>
            </w:r>
          </w:p>
        </w:tc>
        <w:tc>
          <w:tcPr>
            <w:tcW w:w="1020" w:type="pct"/>
          </w:tcPr>
          <w:p w14:paraId="3C2774FE" w14:textId="77777777" w:rsidR="00645AA2" w:rsidRPr="001808B1" w:rsidRDefault="00645AA2" w:rsidP="009B2A59">
            <w:pPr>
              <w:pStyle w:val="Tabletext"/>
              <w:keepNext/>
              <w:keepLines/>
              <w:rPr>
                <w:lang w:eastAsia="en-US"/>
              </w:rPr>
            </w:pPr>
            <w:r w:rsidRPr="001808B1">
              <w:rPr>
                <w:szCs w:val="18"/>
                <w:lang w:eastAsia="en-US"/>
              </w:rPr>
              <w:t>Respiratory Medicine, 2016</w:t>
            </w:r>
          </w:p>
        </w:tc>
      </w:tr>
      <w:tr w:rsidR="00645AA2" w:rsidRPr="001808B1" w14:paraId="1A335947" w14:textId="77777777" w:rsidTr="00645AA2">
        <w:trPr>
          <w:trHeight w:val="20"/>
        </w:trPr>
        <w:tc>
          <w:tcPr>
            <w:tcW w:w="651" w:type="pct"/>
            <w:tcBorders>
              <w:top w:val="single" w:sz="4" w:space="0" w:color="auto"/>
              <w:bottom w:val="single" w:sz="4" w:space="0" w:color="auto"/>
            </w:tcBorders>
          </w:tcPr>
          <w:p w14:paraId="710D15AC" w14:textId="77777777" w:rsidR="00645AA2" w:rsidRPr="001808B1" w:rsidRDefault="00645AA2" w:rsidP="009B2A59">
            <w:pPr>
              <w:pStyle w:val="Tabletext"/>
              <w:keepNext/>
              <w:keepLines/>
              <w:rPr>
                <w:szCs w:val="18"/>
                <w:lang w:eastAsia="en-US"/>
              </w:rPr>
            </w:pPr>
            <w:r w:rsidRPr="001808B1">
              <w:rPr>
                <w:szCs w:val="18"/>
                <w:lang w:eastAsia="en-US"/>
              </w:rPr>
              <w:t>IRIDIUM</w:t>
            </w:r>
          </w:p>
          <w:p w14:paraId="1E0560CC" w14:textId="77777777" w:rsidR="00645AA2" w:rsidRPr="001808B1" w:rsidRDefault="00645AA2" w:rsidP="009B2A59">
            <w:pPr>
              <w:pStyle w:val="Tabletext"/>
              <w:keepNext/>
              <w:keepLines/>
              <w:rPr>
                <w:lang w:eastAsia="en-US"/>
              </w:rPr>
            </w:pPr>
            <w:r w:rsidRPr="001808B1">
              <w:rPr>
                <w:szCs w:val="18"/>
                <w:lang w:eastAsia="en-US"/>
              </w:rPr>
              <w:t>NCT02571777</w:t>
            </w:r>
          </w:p>
        </w:tc>
        <w:tc>
          <w:tcPr>
            <w:tcW w:w="3329" w:type="pct"/>
          </w:tcPr>
          <w:p w14:paraId="4F5F2895" w14:textId="77777777" w:rsidR="00645AA2" w:rsidRPr="001808B1" w:rsidRDefault="00645AA2" w:rsidP="009B2A59">
            <w:pPr>
              <w:pStyle w:val="Tabletext"/>
              <w:keepNext/>
              <w:keepLines/>
              <w:rPr>
                <w:rFonts w:cs="Arial Narrow"/>
                <w:color w:val="000000"/>
                <w:szCs w:val="18"/>
                <w:lang w:eastAsia="en-US"/>
              </w:rPr>
            </w:pPr>
            <w:r w:rsidRPr="001808B1">
              <w:rPr>
                <w:rFonts w:cs="Arial Narrow"/>
                <w:color w:val="000000"/>
                <w:szCs w:val="18"/>
                <w:lang w:eastAsia="en-US"/>
              </w:rPr>
              <w:t>Once-daily, single inhaler mometasone-indacaterol-glycopyrronium versus mometasone-indacaterol or twice-daily fluticasone-salmeterol in patients with inadequately controlled asthma (IRIDIUM): a randomised, double-blind, controlled phase 3 study.</w:t>
            </w:r>
          </w:p>
        </w:tc>
        <w:tc>
          <w:tcPr>
            <w:tcW w:w="1020" w:type="pct"/>
          </w:tcPr>
          <w:p w14:paraId="10A4B7FF" w14:textId="77777777" w:rsidR="00645AA2" w:rsidRPr="001808B1" w:rsidRDefault="00645AA2" w:rsidP="009B2A59">
            <w:pPr>
              <w:pStyle w:val="Tabletext"/>
              <w:keepNext/>
              <w:keepLines/>
              <w:rPr>
                <w:szCs w:val="18"/>
                <w:lang w:eastAsia="en-US"/>
              </w:rPr>
            </w:pPr>
            <w:r w:rsidRPr="001808B1">
              <w:rPr>
                <w:rFonts w:cs="Arial Narrow"/>
                <w:color w:val="000000"/>
                <w:szCs w:val="18"/>
                <w:lang w:eastAsia="en-US"/>
              </w:rPr>
              <w:t>Lancet Respir Med, 2020</w:t>
            </w:r>
          </w:p>
        </w:tc>
      </w:tr>
      <w:tr w:rsidR="00645AA2" w:rsidRPr="001808B1" w14:paraId="44CA91A2" w14:textId="77777777" w:rsidTr="00645AA2">
        <w:trPr>
          <w:trHeight w:val="20"/>
        </w:trPr>
        <w:tc>
          <w:tcPr>
            <w:tcW w:w="651" w:type="pct"/>
            <w:tcBorders>
              <w:top w:val="nil"/>
              <w:bottom w:val="single" w:sz="4" w:space="0" w:color="auto"/>
            </w:tcBorders>
          </w:tcPr>
          <w:p w14:paraId="3EF4AFA4" w14:textId="77777777" w:rsidR="00645AA2" w:rsidRPr="001808B1" w:rsidRDefault="00645AA2" w:rsidP="009B2A59">
            <w:pPr>
              <w:pStyle w:val="Tabletext"/>
              <w:keepNext/>
              <w:keepLines/>
              <w:rPr>
                <w:szCs w:val="18"/>
                <w:lang w:eastAsia="en-US"/>
              </w:rPr>
            </w:pPr>
            <w:r w:rsidRPr="001808B1">
              <w:rPr>
                <w:szCs w:val="18"/>
                <w:lang w:eastAsia="en-US"/>
              </w:rPr>
              <w:t>ARGON</w:t>
            </w:r>
          </w:p>
          <w:p w14:paraId="4C02FEEB" w14:textId="77777777" w:rsidR="00645AA2" w:rsidRPr="001808B1" w:rsidRDefault="00645AA2" w:rsidP="009B2A59">
            <w:pPr>
              <w:pStyle w:val="Tabletext"/>
              <w:keepNext/>
              <w:keepLines/>
              <w:rPr>
                <w:lang w:eastAsia="en-US"/>
              </w:rPr>
            </w:pPr>
            <w:r w:rsidRPr="001808B1">
              <w:rPr>
                <w:szCs w:val="18"/>
                <w:lang w:eastAsia="en-US"/>
              </w:rPr>
              <w:t>NCT03158311</w:t>
            </w:r>
          </w:p>
        </w:tc>
        <w:tc>
          <w:tcPr>
            <w:tcW w:w="3329" w:type="pct"/>
          </w:tcPr>
          <w:p w14:paraId="29FA5D22" w14:textId="77777777" w:rsidR="00645AA2" w:rsidRPr="001808B1" w:rsidRDefault="00645AA2" w:rsidP="009B2A59">
            <w:pPr>
              <w:pStyle w:val="Tabletext"/>
              <w:keepNext/>
              <w:keepLines/>
              <w:rPr>
                <w:szCs w:val="18"/>
                <w:lang w:eastAsia="en-US"/>
              </w:rPr>
            </w:pPr>
            <w:r w:rsidRPr="001808B1">
              <w:rPr>
                <w:szCs w:val="18"/>
                <w:lang w:eastAsia="en-US"/>
              </w:rPr>
              <w:t>Fixed-dose combination of indacaterol/glycopyrronium/mometasone furoate once-daily versus salmeterol/fluticasone twice-daily plus tiotropium once-daily in patients with uncontrolled asthma: A randomised, Phase IIIb, non-inferiority study (ARGON).</w:t>
            </w:r>
          </w:p>
        </w:tc>
        <w:tc>
          <w:tcPr>
            <w:tcW w:w="1020" w:type="pct"/>
          </w:tcPr>
          <w:p w14:paraId="04D39A14" w14:textId="77777777" w:rsidR="00645AA2" w:rsidRPr="001808B1" w:rsidRDefault="00645AA2" w:rsidP="009B2A59">
            <w:pPr>
              <w:pStyle w:val="Tabletext"/>
              <w:keepNext/>
              <w:keepLines/>
              <w:rPr>
                <w:lang w:eastAsia="en-US"/>
              </w:rPr>
            </w:pPr>
            <w:r w:rsidRPr="001808B1">
              <w:rPr>
                <w:szCs w:val="18"/>
                <w:lang w:eastAsia="en-US"/>
              </w:rPr>
              <w:t>Respiratory Medicine, 2020</w:t>
            </w:r>
          </w:p>
        </w:tc>
      </w:tr>
      <w:tr w:rsidR="00645AA2" w:rsidRPr="001808B1" w14:paraId="77395BC2" w14:textId="77777777" w:rsidTr="00645AA2">
        <w:trPr>
          <w:trHeight w:val="20"/>
        </w:trPr>
        <w:tc>
          <w:tcPr>
            <w:tcW w:w="651" w:type="pct"/>
            <w:tcBorders>
              <w:top w:val="nil"/>
              <w:bottom w:val="single" w:sz="4" w:space="0" w:color="auto"/>
            </w:tcBorders>
          </w:tcPr>
          <w:p w14:paraId="2A41DFAD" w14:textId="77777777" w:rsidR="00645AA2" w:rsidRPr="001808B1" w:rsidRDefault="00645AA2" w:rsidP="009B2A59">
            <w:pPr>
              <w:pStyle w:val="Tabletext"/>
              <w:keepNext/>
              <w:keepLines/>
              <w:rPr>
                <w:lang w:eastAsia="en-US"/>
              </w:rPr>
            </w:pPr>
            <w:r w:rsidRPr="001808B1">
              <w:rPr>
                <w:lang w:eastAsia="en-US"/>
              </w:rPr>
              <w:t>TRIGGER</w:t>
            </w:r>
          </w:p>
          <w:p w14:paraId="3C2EB1EF" w14:textId="77777777" w:rsidR="00645AA2" w:rsidRPr="001808B1" w:rsidRDefault="00645AA2" w:rsidP="009B2A59">
            <w:pPr>
              <w:pStyle w:val="Tabletext"/>
              <w:keepNext/>
              <w:keepLines/>
              <w:rPr>
                <w:lang w:eastAsia="en-US"/>
              </w:rPr>
            </w:pPr>
            <w:r w:rsidRPr="001808B1">
              <w:rPr>
                <w:lang w:eastAsia="en-US"/>
              </w:rPr>
              <w:t>NCT02676089</w:t>
            </w:r>
          </w:p>
        </w:tc>
        <w:tc>
          <w:tcPr>
            <w:tcW w:w="3329" w:type="pct"/>
          </w:tcPr>
          <w:p w14:paraId="666CFF9B" w14:textId="77777777" w:rsidR="00645AA2" w:rsidRPr="001808B1" w:rsidRDefault="00645AA2" w:rsidP="009B2A59">
            <w:pPr>
              <w:pStyle w:val="Tabletext"/>
              <w:keepNext/>
              <w:keepLines/>
              <w:rPr>
                <w:lang w:eastAsia="en-US"/>
              </w:rPr>
            </w:pPr>
            <w:r w:rsidRPr="001808B1">
              <w:rPr>
                <w:lang w:eastAsia="en-US"/>
              </w:rPr>
              <w:t>Single inhaler extrafine triple therapy in uncontrolled asthma (TRIMARAN and TRIGGER): two double-blind, parallel-group, randomised, controlled phase 3 trials.</w:t>
            </w:r>
          </w:p>
        </w:tc>
        <w:tc>
          <w:tcPr>
            <w:tcW w:w="1020" w:type="pct"/>
          </w:tcPr>
          <w:p w14:paraId="7E96B8B8" w14:textId="77777777" w:rsidR="00645AA2" w:rsidRPr="001808B1" w:rsidRDefault="00645AA2" w:rsidP="009B2A59">
            <w:pPr>
              <w:pStyle w:val="Tabletext"/>
              <w:keepNext/>
              <w:keepLines/>
              <w:rPr>
                <w:lang w:eastAsia="en-US"/>
              </w:rPr>
            </w:pPr>
            <w:r w:rsidRPr="001808B1">
              <w:rPr>
                <w:lang w:eastAsia="en-US"/>
              </w:rPr>
              <w:t>Lancet, 2019</w:t>
            </w:r>
          </w:p>
        </w:tc>
      </w:tr>
    </w:tbl>
    <w:p w14:paraId="6E82177C" w14:textId="77777777" w:rsidR="001F516D" w:rsidRPr="001808B1" w:rsidRDefault="001F516D" w:rsidP="009B2A59">
      <w:pPr>
        <w:pStyle w:val="TableFigureFooter"/>
        <w:keepNext/>
        <w:keepLines/>
      </w:pPr>
      <w:r w:rsidRPr="001808B1">
        <w:t>Source: Table 14, pp44-46 of the submission</w:t>
      </w:r>
    </w:p>
    <w:p w14:paraId="0FCBF38D" w14:textId="77777777" w:rsidR="001F516D" w:rsidRPr="001808B1" w:rsidRDefault="001F516D" w:rsidP="009B2A59">
      <w:pPr>
        <w:pStyle w:val="TableFigureFooter"/>
        <w:keepNext/>
        <w:keepLines/>
      </w:pPr>
      <w:r w:rsidRPr="001808B1">
        <w:t>CSR: FF: fluticasone fumarate; FP: Fluticasone propionate; UMEC: umeclidinium; VI: vilanterol</w:t>
      </w:r>
    </w:p>
    <w:p w14:paraId="1E4B134F" w14:textId="77777777" w:rsidR="001F516D" w:rsidRPr="000F48E0" w:rsidRDefault="001F516D" w:rsidP="00EA556C">
      <w:pPr>
        <w:pStyle w:val="3-BodyText"/>
      </w:pPr>
      <w:r w:rsidRPr="001808B1">
        <w:t xml:space="preserve">The key features of the randomised trials </w:t>
      </w:r>
      <w:r w:rsidRPr="000F48E0">
        <w:t xml:space="preserve">are summarised in Table 3. </w:t>
      </w:r>
      <w:r w:rsidRPr="000F48E0">
        <w:rPr>
          <w:iCs/>
        </w:rPr>
        <w:t>Only the CAPTAIN and PrimoTinA1&amp;2 trials included Australian sites.</w:t>
      </w:r>
    </w:p>
    <w:p w14:paraId="4130822F" w14:textId="77777777" w:rsidR="001F516D" w:rsidRPr="001808B1" w:rsidRDefault="001F516D" w:rsidP="00EA556C">
      <w:pPr>
        <w:pStyle w:val="TableFigureHeading"/>
        <w:rPr>
          <w:rStyle w:val="CommentReference"/>
          <w:b/>
          <w:color w:val="auto"/>
          <w:szCs w:val="24"/>
        </w:rPr>
      </w:pPr>
      <w:r w:rsidRPr="001808B1">
        <w:rPr>
          <w:rStyle w:val="CommentReference"/>
          <w:b/>
          <w:color w:val="auto"/>
          <w:szCs w:val="24"/>
        </w:rPr>
        <w:t>Table 3: Key features of the included evidence for indirect comparison</w:t>
      </w:r>
    </w:p>
    <w:tbl>
      <w:tblPr>
        <w:tblStyle w:val="TableGrid"/>
        <w:tblW w:w="0" w:type="auto"/>
        <w:tblLayout w:type="fixed"/>
        <w:tblCellMar>
          <w:left w:w="28" w:type="dxa"/>
          <w:right w:w="28" w:type="dxa"/>
        </w:tblCellMar>
        <w:tblLook w:val="04A0" w:firstRow="1" w:lastRow="0" w:firstColumn="1" w:lastColumn="0" w:noHBand="0" w:noVBand="1"/>
        <w:tblCaption w:val="Table 3: Key features of the included evidence for indirect comparison"/>
      </w:tblPr>
      <w:tblGrid>
        <w:gridCol w:w="846"/>
        <w:gridCol w:w="850"/>
        <w:gridCol w:w="1134"/>
        <w:gridCol w:w="709"/>
        <w:gridCol w:w="1559"/>
        <w:gridCol w:w="993"/>
        <w:gridCol w:w="2926"/>
      </w:tblGrid>
      <w:tr w:rsidR="001F516D" w:rsidRPr="001808B1" w14:paraId="3304ADD5" w14:textId="77777777" w:rsidTr="00BA1878">
        <w:trPr>
          <w:tblHeader/>
        </w:trPr>
        <w:tc>
          <w:tcPr>
            <w:tcW w:w="846" w:type="dxa"/>
          </w:tcPr>
          <w:p w14:paraId="7CFF1FA9" w14:textId="77777777" w:rsidR="001F516D" w:rsidRPr="001808B1" w:rsidRDefault="001F516D" w:rsidP="00EA556C">
            <w:pPr>
              <w:keepNext/>
              <w:keepLines/>
              <w:widowControl w:val="0"/>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Trial</w:t>
            </w:r>
          </w:p>
        </w:tc>
        <w:tc>
          <w:tcPr>
            <w:tcW w:w="850" w:type="dxa"/>
            <w:vAlign w:val="center"/>
          </w:tcPr>
          <w:p w14:paraId="626E8762" w14:textId="77777777" w:rsidR="001F516D" w:rsidRPr="001808B1" w:rsidRDefault="001F516D" w:rsidP="00EA556C">
            <w:pPr>
              <w:keepNext/>
              <w:keepLines/>
              <w:widowControl w:val="0"/>
              <w:jc w:val="center"/>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N</w:t>
            </w:r>
          </w:p>
        </w:tc>
        <w:tc>
          <w:tcPr>
            <w:tcW w:w="1134" w:type="dxa"/>
            <w:vAlign w:val="center"/>
          </w:tcPr>
          <w:p w14:paraId="454CB782" w14:textId="77777777" w:rsidR="001F516D" w:rsidRPr="001808B1" w:rsidRDefault="001F516D" w:rsidP="00EA556C">
            <w:pPr>
              <w:keepNext/>
              <w:keepLines/>
              <w:widowControl w:val="0"/>
              <w:jc w:val="center"/>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Design/</w:t>
            </w:r>
            <w:r w:rsidR="00846A55">
              <w:rPr>
                <w:rFonts w:ascii="Arial Narrow" w:hAnsi="Arial Narrow"/>
                <w:b/>
                <w:bCs/>
                <w:iCs/>
                <w:snapToGrid w:val="0"/>
                <w:sz w:val="20"/>
                <w:szCs w:val="20"/>
                <w:lang w:eastAsia="en-US"/>
              </w:rPr>
              <w:br/>
            </w:r>
            <w:r w:rsidRPr="001808B1">
              <w:rPr>
                <w:rFonts w:ascii="Arial Narrow" w:hAnsi="Arial Narrow"/>
                <w:b/>
                <w:bCs/>
                <w:iCs/>
                <w:snapToGrid w:val="0"/>
                <w:sz w:val="20"/>
                <w:szCs w:val="20"/>
                <w:lang w:eastAsia="en-US"/>
              </w:rPr>
              <w:t>duration</w:t>
            </w:r>
          </w:p>
        </w:tc>
        <w:tc>
          <w:tcPr>
            <w:tcW w:w="709" w:type="dxa"/>
            <w:vAlign w:val="center"/>
          </w:tcPr>
          <w:p w14:paraId="2B28C833" w14:textId="77777777" w:rsidR="001F516D" w:rsidRPr="001808B1" w:rsidRDefault="001F516D" w:rsidP="00EA556C">
            <w:pPr>
              <w:keepNext/>
              <w:keepLines/>
              <w:widowControl w:val="0"/>
              <w:jc w:val="center"/>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Bias</w:t>
            </w:r>
          </w:p>
        </w:tc>
        <w:tc>
          <w:tcPr>
            <w:tcW w:w="1559" w:type="dxa"/>
            <w:vAlign w:val="center"/>
          </w:tcPr>
          <w:p w14:paraId="56951B6D" w14:textId="77777777" w:rsidR="001F516D" w:rsidRPr="001808B1" w:rsidRDefault="001F516D" w:rsidP="00EA556C">
            <w:pPr>
              <w:keepNext/>
              <w:keepLines/>
              <w:widowControl w:val="0"/>
              <w:jc w:val="center"/>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Treatment arms</w:t>
            </w:r>
          </w:p>
        </w:tc>
        <w:tc>
          <w:tcPr>
            <w:tcW w:w="993" w:type="dxa"/>
            <w:vAlign w:val="center"/>
          </w:tcPr>
          <w:p w14:paraId="314A08B4" w14:textId="77777777" w:rsidR="001F516D" w:rsidRPr="001808B1" w:rsidRDefault="001F516D" w:rsidP="00EA556C">
            <w:pPr>
              <w:keepNext/>
              <w:keepLines/>
              <w:widowControl w:val="0"/>
              <w:jc w:val="center"/>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Population</w:t>
            </w:r>
          </w:p>
        </w:tc>
        <w:tc>
          <w:tcPr>
            <w:tcW w:w="2926" w:type="dxa"/>
            <w:vAlign w:val="center"/>
          </w:tcPr>
          <w:p w14:paraId="003CAEA5" w14:textId="77777777" w:rsidR="001F516D" w:rsidRPr="001808B1" w:rsidRDefault="001F516D" w:rsidP="00EA556C">
            <w:pPr>
              <w:keepNext/>
              <w:keepLines/>
              <w:widowControl w:val="0"/>
              <w:jc w:val="center"/>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Key efficacy outcomes</w:t>
            </w:r>
          </w:p>
        </w:tc>
      </w:tr>
      <w:tr w:rsidR="001F516D" w:rsidRPr="001808B1" w14:paraId="76C77580" w14:textId="77777777" w:rsidTr="00576B4F">
        <w:tc>
          <w:tcPr>
            <w:tcW w:w="846" w:type="dxa"/>
            <w:vAlign w:val="center"/>
          </w:tcPr>
          <w:p w14:paraId="558D9F91"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CAPTAIN</w:t>
            </w:r>
          </w:p>
        </w:tc>
        <w:tc>
          <w:tcPr>
            <w:tcW w:w="850" w:type="dxa"/>
            <w:vAlign w:val="center"/>
          </w:tcPr>
          <w:p w14:paraId="352F6813" w14:textId="77777777" w:rsidR="001F516D" w:rsidRPr="001808B1" w:rsidRDefault="001F516D" w:rsidP="00EA556C">
            <w:pPr>
              <w:keepNext/>
              <w:keepLines/>
              <w:widowControl w:val="0"/>
              <w:jc w:val="center"/>
              <w:rPr>
                <w:rFonts w:ascii="Arial Narrow" w:hAnsi="Arial Narrow"/>
                <w:iCs/>
                <w:snapToGrid w:val="0"/>
                <w:sz w:val="20"/>
                <w:szCs w:val="20"/>
                <w:lang w:eastAsia="en-US"/>
              </w:rPr>
            </w:pPr>
            <w:r w:rsidRPr="001808B1">
              <w:rPr>
                <w:rFonts w:ascii="Arial Narrow" w:hAnsi="Arial Narrow"/>
                <w:iCs/>
                <w:snapToGrid w:val="0"/>
                <w:sz w:val="20"/>
                <w:szCs w:val="20"/>
                <w:lang w:eastAsia="en-US"/>
              </w:rPr>
              <w:t>2,436</w:t>
            </w:r>
          </w:p>
        </w:tc>
        <w:tc>
          <w:tcPr>
            <w:tcW w:w="1134" w:type="dxa"/>
            <w:vAlign w:val="center"/>
          </w:tcPr>
          <w:p w14:paraId="76B8780A"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MC, R, DB, parallel, 3w run-in + 24w tx (+7d follow-up)</w:t>
            </w:r>
          </w:p>
        </w:tc>
        <w:tc>
          <w:tcPr>
            <w:tcW w:w="709" w:type="dxa"/>
            <w:vAlign w:val="center"/>
          </w:tcPr>
          <w:p w14:paraId="1DE2215A" w14:textId="77777777" w:rsidR="001F516D" w:rsidRPr="00846A55" w:rsidRDefault="001F516D" w:rsidP="00EA556C">
            <w:pPr>
              <w:keepNext/>
              <w:keepLines/>
              <w:widowControl w:val="0"/>
              <w:jc w:val="left"/>
              <w:rPr>
                <w:rFonts w:ascii="Arial Narrow" w:hAnsi="Arial Narrow"/>
                <w:snapToGrid w:val="0"/>
                <w:sz w:val="20"/>
                <w:szCs w:val="20"/>
                <w:lang w:eastAsia="en-US"/>
              </w:rPr>
            </w:pPr>
            <w:r w:rsidRPr="00846A55">
              <w:rPr>
                <w:rFonts w:ascii="Arial Narrow" w:hAnsi="Arial Narrow"/>
                <w:snapToGrid w:val="0"/>
                <w:sz w:val="20"/>
                <w:szCs w:val="20"/>
                <w:lang w:eastAsia="en-US"/>
              </w:rPr>
              <w:t>Low</w:t>
            </w:r>
          </w:p>
        </w:tc>
        <w:tc>
          <w:tcPr>
            <w:tcW w:w="1559" w:type="dxa"/>
            <w:vAlign w:val="center"/>
          </w:tcPr>
          <w:p w14:paraId="07264E25"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 xml:space="preserve">Triple therapies: </w:t>
            </w:r>
            <w:r w:rsidR="0081496A">
              <w:rPr>
                <w:rFonts w:ascii="Arial Narrow" w:hAnsi="Arial Narrow"/>
                <w:b/>
                <w:bCs/>
                <w:iCs/>
                <w:snapToGrid w:val="0"/>
                <w:sz w:val="20"/>
                <w:szCs w:val="20"/>
                <w:lang w:eastAsia="en-US"/>
              </w:rPr>
              <w:t>FF/UMEC/VI</w:t>
            </w:r>
            <w:r w:rsidRPr="001808B1">
              <w:rPr>
                <w:rFonts w:ascii="Arial Narrow" w:hAnsi="Arial Narrow"/>
                <w:iCs/>
                <w:snapToGrid w:val="0"/>
                <w:sz w:val="20"/>
                <w:szCs w:val="20"/>
                <w:lang w:eastAsia="en-US"/>
              </w:rPr>
              <w:t xml:space="preserve"> (100/31.25</w:t>
            </w:r>
            <w:r w:rsidR="00D5659D">
              <w:rPr>
                <w:rFonts w:ascii="Arial Narrow" w:hAnsi="Arial Narrow"/>
                <w:iCs/>
                <w:snapToGrid w:val="0"/>
                <w:sz w:val="20"/>
                <w:szCs w:val="20"/>
                <w:lang w:eastAsia="en-US"/>
              </w:rPr>
              <w:t>/25</w:t>
            </w:r>
            <w:r w:rsidRPr="001808B1">
              <w:rPr>
                <w:rFonts w:ascii="Arial Narrow" w:hAnsi="Arial Narrow"/>
                <w:iCs/>
                <w:snapToGrid w:val="0"/>
                <w:sz w:val="20"/>
                <w:szCs w:val="20"/>
                <w:lang w:eastAsia="en-US"/>
              </w:rPr>
              <w:t xml:space="preserve"> D; </w:t>
            </w:r>
            <w:r w:rsidR="0081496A">
              <w:rPr>
                <w:rFonts w:ascii="Arial Narrow" w:hAnsi="Arial Narrow"/>
                <w:iCs/>
                <w:snapToGrid w:val="0"/>
                <w:sz w:val="20"/>
                <w:szCs w:val="20"/>
                <w:lang w:eastAsia="en-US"/>
              </w:rPr>
              <w:t>100/62.5/25</w:t>
            </w:r>
            <w:r w:rsidRPr="001808B1">
              <w:rPr>
                <w:rFonts w:ascii="Arial Narrow" w:hAnsi="Arial Narrow"/>
                <w:iCs/>
                <w:snapToGrid w:val="0"/>
                <w:sz w:val="20"/>
                <w:szCs w:val="20"/>
                <w:lang w:eastAsia="en-US"/>
              </w:rPr>
              <w:t xml:space="preserve"> D; 200/31.25</w:t>
            </w:r>
            <w:r w:rsidR="00D5659D">
              <w:rPr>
                <w:rFonts w:ascii="Arial Narrow" w:hAnsi="Arial Narrow"/>
                <w:iCs/>
                <w:snapToGrid w:val="0"/>
                <w:sz w:val="20"/>
                <w:szCs w:val="20"/>
                <w:lang w:eastAsia="en-US"/>
              </w:rPr>
              <w:t>/25</w:t>
            </w:r>
            <w:r w:rsidRPr="001808B1">
              <w:rPr>
                <w:rFonts w:ascii="Arial Narrow" w:hAnsi="Arial Narrow"/>
                <w:iCs/>
                <w:snapToGrid w:val="0"/>
                <w:sz w:val="20"/>
                <w:szCs w:val="20"/>
                <w:lang w:eastAsia="en-US"/>
              </w:rPr>
              <w:t xml:space="preserve"> D; </w:t>
            </w:r>
            <w:r w:rsidR="0081496A">
              <w:rPr>
                <w:rFonts w:ascii="Arial Narrow" w:hAnsi="Arial Narrow"/>
                <w:b/>
                <w:bCs/>
                <w:iCs/>
                <w:snapToGrid w:val="0"/>
                <w:sz w:val="20"/>
                <w:szCs w:val="20"/>
                <w:lang w:eastAsia="en-US"/>
              </w:rPr>
              <w:t>200/62.5/25</w:t>
            </w:r>
            <w:r w:rsidRPr="001808B1">
              <w:rPr>
                <w:rFonts w:ascii="Arial Narrow" w:hAnsi="Arial Narrow"/>
                <w:b/>
                <w:bCs/>
                <w:iCs/>
                <w:snapToGrid w:val="0"/>
                <w:sz w:val="20"/>
                <w:szCs w:val="20"/>
                <w:lang w:eastAsia="en-US"/>
              </w:rPr>
              <w:t xml:space="preserve"> D</w:t>
            </w:r>
            <w:r w:rsidRPr="001808B1">
              <w:rPr>
                <w:rFonts w:ascii="Arial Narrow" w:hAnsi="Arial Narrow"/>
                <w:iCs/>
                <w:snapToGrid w:val="0"/>
                <w:sz w:val="20"/>
                <w:szCs w:val="20"/>
                <w:lang w:eastAsia="en-US"/>
              </w:rPr>
              <w:t>)</w:t>
            </w:r>
          </w:p>
          <w:p w14:paraId="639089C0" w14:textId="77777777" w:rsidR="001F516D" w:rsidRPr="001808B1" w:rsidRDefault="001F516D" w:rsidP="00EA556C">
            <w:pPr>
              <w:keepNext/>
              <w:keepLines/>
              <w:widowControl w:val="0"/>
              <w:jc w:val="left"/>
              <w:rPr>
                <w:rFonts w:ascii="Arial Narrow" w:hAnsi="Arial Narrow"/>
                <w:iCs/>
                <w:snapToGrid w:val="0"/>
                <w:sz w:val="20"/>
                <w:szCs w:val="20"/>
                <w:lang w:eastAsia="en-US"/>
              </w:rPr>
            </w:pPr>
          </w:p>
          <w:p w14:paraId="3B018050"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Double therapies: FF/VI (100/25 D; 200/25 D)</w:t>
            </w:r>
          </w:p>
        </w:tc>
        <w:tc>
          <w:tcPr>
            <w:tcW w:w="993" w:type="dxa"/>
            <w:vAlign w:val="center"/>
          </w:tcPr>
          <w:p w14:paraId="43A456AD" w14:textId="458246A0"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 xml:space="preserve">Aged </w:t>
            </w:r>
            <w:r w:rsidR="00EC237A">
              <w:rPr>
                <w:rFonts w:ascii="Candara" w:hAnsi="Candara"/>
                <w:iCs/>
                <w:snapToGrid w:val="0"/>
                <w:sz w:val="20"/>
                <w:szCs w:val="20"/>
                <w:lang w:eastAsia="en-US"/>
              </w:rPr>
              <w:t>≥</w:t>
            </w:r>
            <w:r w:rsidR="00EC237A">
              <w:rPr>
                <w:rFonts w:ascii="Arial Narrow" w:hAnsi="Arial Narrow"/>
                <w:iCs/>
                <w:snapToGrid w:val="0"/>
                <w:sz w:val="20"/>
                <w:szCs w:val="20"/>
                <w:lang w:eastAsia="en-US"/>
              </w:rPr>
              <w:t>18y</w:t>
            </w:r>
            <w:r w:rsidRPr="001808B1">
              <w:rPr>
                <w:rFonts w:ascii="Arial Narrow" w:hAnsi="Arial Narrow"/>
                <w:iCs/>
                <w:snapToGrid w:val="0"/>
                <w:sz w:val="20"/>
                <w:szCs w:val="20"/>
                <w:lang w:eastAsia="en-US"/>
              </w:rPr>
              <w:t>, Asthma, FEV1 ≥30% and &lt;85%</w:t>
            </w:r>
          </w:p>
        </w:tc>
        <w:tc>
          <w:tcPr>
            <w:tcW w:w="2926" w:type="dxa"/>
            <w:vAlign w:val="center"/>
          </w:tcPr>
          <w:p w14:paraId="129E0DFB"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1º: Trough FEV1 (24w)</w:t>
            </w:r>
          </w:p>
          <w:p w14:paraId="548B1592"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2 º: Annualised rate of moderate/severe asthma exacerbations (24w, 52w), ACQ-7 (24w), AQLQ (24w), SGRQ (24w)</w:t>
            </w:r>
          </w:p>
        </w:tc>
      </w:tr>
      <w:tr w:rsidR="001F516D" w:rsidRPr="001808B1" w14:paraId="18D0E061" w14:textId="77777777" w:rsidTr="00576B4F">
        <w:trPr>
          <w:trHeight w:val="465"/>
        </w:trPr>
        <w:tc>
          <w:tcPr>
            <w:tcW w:w="846" w:type="dxa"/>
            <w:vMerge w:val="restart"/>
            <w:vAlign w:val="center"/>
          </w:tcPr>
          <w:p w14:paraId="5CF3AC2E"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PrimoTinA1&amp;2</w:t>
            </w:r>
          </w:p>
        </w:tc>
        <w:tc>
          <w:tcPr>
            <w:tcW w:w="850" w:type="dxa"/>
            <w:vAlign w:val="center"/>
          </w:tcPr>
          <w:p w14:paraId="0B214425" w14:textId="77777777" w:rsidR="001F516D" w:rsidRPr="001808B1" w:rsidRDefault="001F516D" w:rsidP="00EA556C">
            <w:pPr>
              <w:keepNext/>
              <w:keepLines/>
              <w:widowControl w:val="0"/>
              <w:jc w:val="center"/>
              <w:rPr>
                <w:rFonts w:ascii="Arial Narrow" w:hAnsi="Arial Narrow"/>
                <w:iCs/>
                <w:snapToGrid w:val="0"/>
                <w:sz w:val="20"/>
                <w:szCs w:val="20"/>
                <w:lang w:eastAsia="en-US"/>
              </w:rPr>
            </w:pPr>
            <w:r w:rsidRPr="001808B1">
              <w:rPr>
                <w:rFonts w:ascii="Arial Narrow" w:hAnsi="Arial Narrow"/>
                <w:iCs/>
                <w:snapToGrid w:val="0"/>
                <w:sz w:val="20"/>
                <w:szCs w:val="20"/>
                <w:lang w:eastAsia="en-US"/>
              </w:rPr>
              <w:t>PrimoTinA-1: 459</w:t>
            </w:r>
          </w:p>
        </w:tc>
        <w:tc>
          <w:tcPr>
            <w:tcW w:w="1134" w:type="dxa"/>
            <w:vMerge w:val="restart"/>
            <w:vAlign w:val="center"/>
          </w:tcPr>
          <w:p w14:paraId="163FF458"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MC, R, DB, parallel, 4w run-in + 48w tx</w:t>
            </w:r>
          </w:p>
        </w:tc>
        <w:tc>
          <w:tcPr>
            <w:tcW w:w="709" w:type="dxa"/>
            <w:vMerge w:val="restart"/>
            <w:vAlign w:val="center"/>
          </w:tcPr>
          <w:p w14:paraId="2E8D9096" w14:textId="77777777" w:rsidR="001F516D" w:rsidRPr="00846A55" w:rsidRDefault="001F516D" w:rsidP="00EA556C">
            <w:pPr>
              <w:keepNext/>
              <w:keepLines/>
              <w:widowControl w:val="0"/>
              <w:jc w:val="left"/>
              <w:rPr>
                <w:rFonts w:ascii="Arial Narrow" w:hAnsi="Arial Narrow"/>
                <w:snapToGrid w:val="0"/>
                <w:sz w:val="20"/>
                <w:szCs w:val="20"/>
                <w:lang w:eastAsia="en-US"/>
              </w:rPr>
            </w:pPr>
            <w:r w:rsidRPr="00846A55">
              <w:rPr>
                <w:rFonts w:ascii="Arial Narrow" w:hAnsi="Arial Narrow"/>
                <w:snapToGrid w:val="0"/>
                <w:sz w:val="20"/>
                <w:szCs w:val="20"/>
                <w:lang w:eastAsia="en-US"/>
              </w:rPr>
              <w:t>Low</w:t>
            </w:r>
          </w:p>
        </w:tc>
        <w:tc>
          <w:tcPr>
            <w:tcW w:w="1559" w:type="dxa"/>
            <w:vMerge w:val="restart"/>
            <w:vAlign w:val="center"/>
          </w:tcPr>
          <w:p w14:paraId="07F0A250"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 xml:space="preserve">Triple therapies: </w:t>
            </w:r>
            <w:r w:rsidRPr="001808B1">
              <w:rPr>
                <w:rFonts w:ascii="Arial Narrow" w:hAnsi="Arial Narrow"/>
                <w:b/>
                <w:bCs/>
                <w:iCs/>
                <w:snapToGrid w:val="0"/>
                <w:sz w:val="20"/>
                <w:szCs w:val="20"/>
                <w:lang w:eastAsia="en-US"/>
              </w:rPr>
              <w:t>ICS/LABA (medium-high dose) + TIO</w:t>
            </w:r>
            <w:r w:rsidRPr="001808B1">
              <w:rPr>
                <w:rFonts w:ascii="Arial Narrow" w:hAnsi="Arial Narrow"/>
                <w:iCs/>
                <w:snapToGrid w:val="0"/>
                <w:sz w:val="20"/>
                <w:szCs w:val="20"/>
                <w:lang w:eastAsia="en-US"/>
              </w:rPr>
              <w:t xml:space="preserve"> </w:t>
            </w:r>
            <w:r w:rsidRPr="00846A55">
              <w:rPr>
                <w:rFonts w:ascii="Arial Narrow" w:hAnsi="Arial Narrow"/>
                <w:b/>
                <w:iCs/>
                <w:snapToGrid w:val="0"/>
                <w:sz w:val="20"/>
                <w:szCs w:val="20"/>
                <w:lang w:eastAsia="en-US"/>
              </w:rPr>
              <w:t>(5 D)</w:t>
            </w:r>
          </w:p>
          <w:p w14:paraId="358F860B" w14:textId="77777777" w:rsidR="001F516D" w:rsidRPr="001808B1" w:rsidRDefault="001F516D" w:rsidP="00EA556C">
            <w:pPr>
              <w:keepNext/>
              <w:keepLines/>
              <w:widowControl w:val="0"/>
              <w:jc w:val="left"/>
              <w:rPr>
                <w:rFonts w:ascii="Arial Narrow" w:hAnsi="Arial Narrow"/>
                <w:iCs/>
                <w:snapToGrid w:val="0"/>
                <w:sz w:val="20"/>
                <w:szCs w:val="20"/>
                <w:lang w:eastAsia="en-US"/>
              </w:rPr>
            </w:pPr>
          </w:p>
          <w:p w14:paraId="5E162990"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Double therapies: ICS/LABA (medium-high dose)</w:t>
            </w:r>
          </w:p>
        </w:tc>
        <w:tc>
          <w:tcPr>
            <w:tcW w:w="993" w:type="dxa"/>
            <w:vMerge w:val="restart"/>
            <w:vAlign w:val="center"/>
          </w:tcPr>
          <w:p w14:paraId="134563CA"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Aged 18-75y, Asthma, FEV1 &lt;80%</w:t>
            </w:r>
          </w:p>
        </w:tc>
        <w:tc>
          <w:tcPr>
            <w:tcW w:w="2926" w:type="dxa"/>
            <w:vMerge w:val="restart"/>
            <w:vAlign w:val="center"/>
          </w:tcPr>
          <w:p w14:paraId="6811F421"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Co-1º: Peak FEV1 response (24w), Trough FEV1 (24w), Time to the first severe asthma exacerbation (48w)</w:t>
            </w:r>
          </w:p>
          <w:p w14:paraId="13CF753A"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2 º: peak and trough FEV1 (48w), FVC at each treatment visit, time to the first asthma exacerbation (24w), EQ5D, ACQ-7 and AQLQ (24w)</w:t>
            </w:r>
          </w:p>
        </w:tc>
      </w:tr>
      <w:tr w:rsidR="001F516D" w:rsidRPr="001808B1" w14:paraId="7BBB517E" w14:textId="77777777" w:rsidTr="00576B4F">
        <w:trPr>
          <w:trHeight w:val="450"/>
        </w:trPr>
        <w:tc>
          <w:tcPr>
            <w:tcW w:w="846" w:type="dxa"/>
            <w:vMerge/>
            <w:vAlign w:val="center"/>
          </w:tcPr>
          <w:p w14:paraId="203CA675" w14:textId="77777777" w:rsidR="001F516D" w:rsidRPr="001808B1" w:rsidRDefault="001F516D" w:rsidP="00EA556C">
            <w:pPr>
              <w:keepNext/>
              <w:keepLines/>
              <w:widowControl w:val="0"/>
              <w:jc w:val="left"/>
              <w:rPr>
                <w:rFonts w:ascii="Arial Narrow" w:hAnsi="Arial Narrow"/>
                <w:iCs/>
                <w:snapToGrid w:val="0"/>
                <w:sz w:val="20"/>
                <w:szCs w:val="20"/>
                <w:lang w:eastAsia="en-US"/>
              </w:rPr>
            </w:pPr>
          </w:p>
        </w:tc>
        <w:tc>
          <w:tcPr>
            <w:tcW w:w="850" w:type="dxa"/>
            <w:vAlign w:val="center"/>
          </w:tcPr>
          <w:p w14:paraId="51CA9957" w14:textId="77777777" w:rsidR="001F516D" w:rsidRPr="001808B1" w:rsidRDefault="001F516D" w:rsidP="00EA556C">
            <w:pPr>
              <w:keepNext/>
              <w:keepLines/>
              <w:widowControl w:val="0"/>
              <w:jc w:val="center"/>
              <w:rPr>
                <w:rFonts w:ascii="Arial Narrow" w:hAnsi="Arial Narrow"/>
                <w:iCs/>
                <w:snapToGrid w:val="0"/>
                <w:sz w:val="20"/>
                <w:szCs w:val="20"/>
                <w:lang w:eastAsia="en-US"/>
              </w:rPr>
            </w:pPr>
            <w:r w:rsidRPr="001808B1">
              <w:rPr>
                <w:rFonts w:ascii="Arial Narrow" w:hAnsi="Arial Narrow"/>
                <w:iCs/>
                <w:snapToGrid w:val="0"/>
                <w:sz w:val="20"/>
                <w:szCs w:val="20"/>
                <w:lang w:eastAsia="en-US"/>
              </w:rPr>
              <w:t>PrimoTinA-2: 453</w:t>
            </w:r>
          </w:p>
        </w:tc>
        <w:tc>
          <w:tcPr>
            <w:tcW w:w="1134" w:type="dxa"/>
            <w:vMerge/>
            <w:vAlign w:val="center"/>
          </w:tcPr>
          <w:p w14:paraId="64697957" w14:textId="77777777" w:rsidR="001F516D" w:rsidRPr="001808B1" w:rsidRDefault="001F516D" w:rsidP="00EA556C">
            <w:pPr>
              <w:keepNext/>
              <w:keepLines/>
              <w:widowControl w:val="0"/>
              <w:jc w:val="left"/>
              <w:rPr>
                <w:rFonts w:ascii="Arial Narrow" w:hAnsi="Arial Narrow"/>
                <w:iCs/>
                <w:snapToGrid w:val="0"/>
                <w:sz w:val="20"/>
                <w:szCs w:val="20"/>
                <w:lang w:eastAsia="en-US"/>
              </w:rPr>
            </w:pPr>
          </w:p>
        </w:tc>
        <w:tc>
          <w:tcPr>
            <w:tcW w:w="709" w:type="dxa"/>
            <w:vMerge/>
            <w:vAlign w:val="center"/>
          </w:tcPr>
          <w:p w14:paraId="3D60FD89" w14:textId="77777777" w:rsidR="001F516D" w:rsidRPr="00846A55" w:rsidRDefault="001F516D" w:rsidP="00EA556C">
            <w:pPr>
              <w:keepNext/>
              <w:keepLines/>
              <w:widowControl w:val="0"/>
              <w:jc w:val="left"/>
              <w:rPr>
                <w:rFonts w:ascii="Arial Narrow" w:hAnsi="Arial Narrow"/>
                <w:snapToGrid w:val="0"/>
                <w:sz w:val="20"/>
                <w:szCs w:val="20"/>
                <w:lang w:eastAsia="en-US"/>
              </w:rPr>
            </w:pPr>
          </w:p>
        </w:tc>
        <w:tc>
          <w:tcPr>
            <w:tcW w:w="1559" w:type="dxa"/>
            <w:vMerge/>
            <w:vAlign w:val="center"/>
          </w:tcPr>
          <w:p w14:paraId="4CEB3F12" w14:textId="77777777" w:rsidR="001F516D" w:rsidRPr="001808B1" w:rsidRDefault="001F516D" w:rsidP="00EA556C">
            <w:pPr>
              <w:keepNext/>
              <w:keepLines/>
              <w:widowControl w:val="0"/>
              <w:jc w:val="left"/>
              <w:rPr>
                <w:rFonts w:ascii="Arial Narrow" w:hAnsi="Arial Narrow"/>
                <w:iCs/>
                <w:snapToGrid w:val="0"/>
                <w:sz w:val="20"/>
                <w:szCs w:val="20"/>
                <w:lang w:eastAsia="en-US"/>
              </w:rPr>
            </w:pPr>
          </w:p>
        </w:tc>
        <w:tc>
          <w:tcPr>
            <w:tcW w:w="993" w:type="dxa"/>
            <w:vMerge/>
            <w:vAlign w:val="center"/>
          </w:tcPr>
          <w:p w14:paraId="77DF6842" w14:textId="77777777" w:rsidR="001F516D" w:rsidRPr="001808B1" w:rsidRDefault="001F516D" w:rsidP="00EA556C">
            <w:pPr>
              <w:keepNext/>
              <w:keepLines/>
              <w:widowControl w:val="0"/>
              <w:jc w:val="left"/>
              <w:rPr>
                <w:rFonts w:ascii="Arial Narrow" w:hAnsi="Arial Narrow"/>
                <w:iCs/>
                <w:snapToGrid w:val="0"/>
                <w:sz w:val="20"/>
                <w:szCs w:val="20"/>
                <w:lang w:eastAsia="en-US"/>
              </w:rPr>
            </w:pPr>
          </w:p>
        </w:tc>
        <w:tc>
          <w:tcPr>
            <w:tcW w:w="2926" w:type="dxa"/>
            <w:vMerge/>
            <w:vAlign w:val="center"/>
          </w:tcPr>
          <w:p w14:paraId="50AF9A32" w14:textId="77777777" w:rsidR="001F516D" w:rsidRPr="001808B1" w:rsidRDefault="001F516D" w:rsidP="00EA556C">
            <w:pPr>
              <w:keepNext/>
              <w:keepLines/>
              <w:widowControl w:val="0"/>
              <w:jc w:val="left"/>
              <w:rPr>
                <w:rFonts w:ascii="Arial Narrow" w:hAnsi="Arial Narrow"/>
                <w:iCs/>
                <w:snapToGrid w:val="0"/>
                <w:sz w:val="20"/>
                <w:szCs w:val="20"/>
                <w:lang w:eastAsia="en-US"/>
              </w:rPr>
            </w:pPr>
          </w:p>
        </w:tc>
      </w:tr>
      <w:tr w:rsidR="001F516D" w:rsidRPr="001808B1" w14:paraId="619CF996" w14:textId="77777777" w:rsidTr="00576B4F">
        <w:tc>
          <w:tcPr>
            <w:tcW w:w="846" w:type="dxa"/>
            <w:vAlign w:val="center"/>
          </w:tcPr>
          <w:p w14:paraId="5C324D1A"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TRIGGER</w:t>
            </w:r>
          </w:p>
        </w:tc>
        <w:tc>
          <w:tcPr>
            <w:tcW w:w="850" w:type="dxa"/>
            <w:vAlign w:val="center"/>
          </w:tcPr>
          <w:p w14:paraId="10C4C1E1" w14:textId="77777777" w:rsidR="001F516D" w:rsidRPr="001808B1" w:rsidRDefault="001F516D" w:rsidP="00EA556C">
            <w:pPr>
              <w:keepNext/>
              <w:keepLines/>
              <w:widowControl w:val="0"/>
              <w:jc w:val="center"/>
              <w:rPr>
                <w:rFonts w:ascii="Arial Narrow" w:hAnsi="Arial Narrow"/>
                <w:iCs/>
                <w:snapToGrid w:val="0"/>
                <w:sz w:val="20"/>
                <w:szCs w:val="20"/>
                <w:lang w:eastAsia="en-US"/>
              </w:rPr>
            </w:pPr>
            <w:r w:rsidRPr="001808B1">
              <w:rPr>
                <w:rFonts w:ascii="Arial Narrow" w:hAnsi="Arial Narrow"/>
                <w:iCs/>
                <w:snapToGrid w:val="0"/>
                <w:sz w:val="20"/>
                <w:szCs w:val="20"/>
                <w:lang w:eastAsia="en-US"/>
              </w:rPr>
              <w:t>1,437</w:t>
            </w:r>
          </w:p>
        </w:tc>
        <w:tc>
          <w:tcPr>
            <w:tcW w:w="1134" w:type="dxa"/>
            <w:vAlign w:val="center"/>
          </w:tcPr>
          <w:p w14:paraId="674E89A3"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MC, R, OL*, parallel, 4w run-in + 52w tx</w:t>
            </w:r>
          </w:p>
        </w:tc>
        <w:tc>
          <w:tcPr>
            <w:tcW w:w="709" w:type="dxa"/>
            <w:vAlign w:val="center"/>
          </w:tcPr>
          <w:p w14:paraId="4B031532" w14:textId="77777777" w:rsidR="001F516D" w:rsidRPr="00846A55" w:rsidRDefault="001F516D" w:rsidP="00EA556C">
            <w:pPr>
              <w:keepNext/>
              <w:keepLines/>
              <w:widowControl w:val="0"/>
              <w:jc w:val="left"/>
              <w:rPr>
                <w:rFonts w:ascii="Arial Narrow" w:hAnsi="Arial Narrow"/>
                <w:snapToGrid w:val="0"/>
                <w:sz w:val="20"/>
                <w:szCs w:val="20"/>
                <w:lang w:eastAsia="en-US"/>
              </w:rPr>
            </w:pPr>
            <w:r w:rsidRPr="00846A55">
              <w:rPr>
                <w:rFonts w:ascii="Arial Narrow" w:hAnsi="Arial Narrow"/>
                <w:snapToGrid w:val="0"/>
                <w:sz w:val="20"/>
                <w:szCs w:val="20"/>
                <w:lang w:eastAsia="en-US"/>
              </w:rPr>
              <w:t>High</w:t>
            </w:r>
          </w:p>
        </w:tc>
        <w:tc>
          <w:tcPr>
            <w:tcW w:w="1559" w:type="dxa"/>
            <w:vAlign w:val="center"/>
          </w:tcPr>
          <w:p w14:paraId="5050F6FB"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 xml:space="preserve">Triple therapies: </w:t>
            </w:r>
            <w:r w:rsidRPr="001808B1">
              <w:rPr>
                <w:rFonts w:ascii="Arial Narrow" w:hAnsi="Arial Narrow"/>
                <w:b/>
                <w:bCs/>
                <w:iCs/>
                <w:snapToGrid w:val="0"/>
                <w:sz w:val="20"/>
                <w:szCs w:val="20"/>
                <w:lang w:eastAsia="en-US"/>
              </w:rPr>
              <w:t>BDP/FOR/GLY (400/12/20</w:t>
            </w:r>
            <w:r w:rsidRPr="001808B1">
              <w:rPr>
                <w:rFonts w:ascii="Arial Narrow" w:hAnsi="Arial Narrow"/>
                <w:iCs/>
                <w:snapToGrid w:val="0"/>
                <w:sz w:val="20"/>
                <w:szCs w:val="20"/>
                <w:lang w:eastAsia="en-US"/>
              </w:rPr>
              <w:t xml:space="preserve"> BD)</w:t>
            </w:r>
          </w:p>
          <w:p w14:paraId="4D1FD087"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b/>
                <w:bCs/>
                <w:iCs/>
                <w:snapToGrid w:val="0"/>
                <w:sz w:val="20"/>
                <w:szCs w:val="20"/>
                <w:lang w:eastAsia="en-US"/>
              </w:rPr>
              <w:t>BDP/FOR (400/12 BD) + TIO</w:t>
            </w:r>
            <w:r w:rsidRPr="001808B1">
              <w:rPr>
                <w:rFonts w:ascii="Arial Narrow" w:hAnsi="Arial Narrow"/>
                <w:iCs/>
                <w:snapToGrid w:val="0"/>
                <w:sz w:val="20"/>
                <w:szCs w:val="20"/>
                <w:lang w:eastAsia="en-US"/>
              </w:rPr>
              <w:t xml:space="preserve"> </w:t>
            </w:r>
            <w:r w:rsidRPr="00846A55">
              <w:rPr>
                <w:rFonts w:ascii="Arial Narrow" w:hAnsi="Arial Narrow"/>
                <w:b/>
                <w:iCs/>
                <w:snapToGrid w:val="0"/>
                <w:sz w:val="20"/>
                <w:szCs w:val="20"/>
                <w:lang w:eastAsia="en-US"/>
              </w:rPr>
              <w:t>(5 D)</w:t>
            </w:r>
          </w:p>
          <w:p w14:paraId="588FA09C" w14:textId="77777777" w:rsidR="001F516D" w:rsidRPr="001808B1" w:rsidRDefault="001F516D" w:rsidP="00EA556C">
            <w:pPr>
              <w:keepNext/>
              <w:keepLines/>
              <w:widowControl w:val="0"/>
              <w:jc w:val="left"/>
              <w:rPr>
                <w:rFonts w:ascii="Arial Narrow" w:hAnsi="Arial Narrow"/>
                <w:iCs/>
                <w:snapToGrid w:val="0"/>
                <w:sz w:val="20"/>
                <w:szCs w:val="20"/>
                <w:lang w:eastAsia="en-US"/>
              </w:rPr>
            </w:pPr>
          </w:p>
          <w:p w14:paraId="19116B26"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Double therapies: BDP/FOR (400/12 BD)</w:t>
            </w:r>
          </w:p>
        </w:tc>
        <w:tc>
          <w:tcPr>
            <w:tcW w:w="993" w:type="dxa"/>
            <w:vAlign w:val="center"/>
          </w:tcPr>
          <w:p w14:paraId="4C48488D" w14:textId="77777777" w:rsidR="001F516D" w:rsidRPr="001808B1" w:rsidRDefault="001F516D" w:rsidP="00CB2396">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Aged ≥18y</w:t>
            </w:r>
            <w:r w:rsidR="00EC237A">
              <w:rPr>
                <w:rFonts w:ascii="Arial Narrow" w:hAnsi="Arial Narrow"/>
                <w:iCs/>
                <w:snapToGrid w:val="0"/>
                <w:sz w:val="20"/>
                <w:szCs w:val="20"/>
                <w:lang w:eastAsia="en-US"/>
              </w:rPr>
              <w:t>-75</w:t>
            </w:r>
            <w:r w:rsidR="00EC237A" w:rsidRPr="001808B1">
              <w:rPr>
                <w:rFonts w:ascii="Arial Narrow" w:hAnsi="Arial Narrow"/>
                <w:iCs/>
                <w:snapToGrid w:val="0"/>
                <w:sz w:val="20"/>
                <w:szCs w:val="20"/>
                <w:lang w:eastAsia="en-US"/>
              </w:rPr>
              <w:t>y</w:t>
            </w:r>
            <w:r w:rsidRPr="001808B1">
              <w:rPr>
                <w:rFonts w:ascii="Arial Narrow" w:hAnsi="Arial Narrow"/>
                <w:iCs/>
                <w:snapToGrid w:val="0"/>
                <w:sz w:val="20"/>
                <w:szCs w:val="20"/>
                <w:lang w:eastAsia="en-US"/>
              </w:rPr>
              <w:t>, Asthma, FEV1 &lt;80%</w:t>
            </w:r>
          </w:p>
        </w:tc>
        <w:tc>
          <w:tcPr>
            <w:tcW w:w="2926" w:type="dxa"/>
            <w:vAlign w:val="center"/>
          </w:tcPr>
          <w:p w14:paraId="0C142876"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Co-1º: Morning pre-dose FEV1 at (26w) and the rate of moderate and severe exacerbations (52w).</w:t>
            </w:r>
          </w:p>
          <w:p w14:paraId="7C60E52B"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2 º: Peak FEV1 change from baseline (26w), Average morning PEF change from baseline (26w), annualised rate of severe, moderate, and moderate and severe exacerbations</w:t>
            </w:r>
          </w:p>
          <w:p w14:paraId="2C44AC91"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 xml:space="preserve">Others: ACQ-7, PEF, rescue medication, asthma symptom-free days, asthma control days </w:t>
            </w:r>
          </w:p>
        </w:tc>
      </w:tr>
      <w:tr w:rsidR="001F516D" w:rsidRPr="001808B1" w14:paraId="215D35D2" w14:textId="77777777" w:rsidTr="00576B4F">
        <w:tc>
          <w:tcPr>
            <w:tcW w:w="846" w:type="dxa"/>
            <w:vAlign w:val="center"/>
          </w:tcPr>
          <w:p w14:paraId="5E1FD132"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IRIDIUM</w:t>
            </w:r>
          </w:p>
        </w:tc>
        <w:tc>
          <w:tcPr>
            <w:tcW w:w="850" w:type="dxa"/>
            <w:vAlign w:val="center"/>
          </w:tcPr>
          <w:p w14:paraId="05A965FA" w14:textId="77777777" w:rsidR="001F516D" w:rsidRPr="001808B1" w:rsidRDefault="001F516D" w:rsidP="00EA556C">
            <w:pPr>
              <w:keepNext/>
              <w:keepLines/>
              <w:widowControl w:val="0"/>
              <w:jc w:val="center"/>
              <w:rPr>
                <w:rFonts w:ascii="Arial Narrow" w:hAnsi="Arial Narrow"/>
                <w:iCs/>
                <w:snapToGrid w:val="0"/>
                <w:sz w:val="20"/>
                <w:szCs w:val="20"/>
                <w:lang w:eastAsia="en-US"/>
              </w:rPr>
            </w:pPr>
            <w:r w:rsidRPr="001808B1">
              <w:rPr>
                <w:rFonts w:ascii="Arial Narrow" w:hAnsi="Arial Narrow"/>
                <w:iCs/>
                <w:snapToGrid w:val="0"/>
                <w:sz w:val="20"/>
                <w:szCs w:val="20"/>
                <w:lang w:eastAsia="en-US"/>
              </w:rPr>
              <w:t>3,092</w:t>
            </w:r>
          </w:p>
        </w:tc>
        <w:tc>
          <w:tcPr>
            <w:tcW w:w="1134" w:type="dxa"/>
            <w:vAlign w:val="center"/>
          </w:tcPr>
          <w:p w14:paraId="4EB9D022"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MC, R, DB, parallel, 2w run-in + 52w tx (+30d follow-up)</w:t>
            </w:r>
          </w:p>
        </w:tc>
        <w:tc>
          <w:tcPr>
            <w:tcW w:w="709" w:type="dxa"/>
            <w:vAlign w:val="center"/>
          </w:tcPr>
          <w:p w14:paraId="4972778D" w14:textId="77777777" w:rsidR="001F516D" w:rsidRPr="00846A55" w:rsidRDefault="001F516D" w:rsidP="00EA556C">
            <w:pPr>
              <w:keepNext/>
              <w:keepLines/>
              <w:widowControl w:val="0"/>
              <w:jc w:val="left"/>
              <w:rPr>
                <w:rFonts w:ascii="Arial Narrow" w:hAnsi="Arial Narrow"/>
                <w:snapToGrid w:val="0"/>
                <w:sz w:val="20"/>
                <w:szCs w:val="20"/>
                <w:lang w:eastAsia="en-US"/>
              </w:rPr>
            </w:pPr>
            <w:r w:rsidRPr="00846A55">
              <w:rPr>
                <w:rFonts w:ascii="Arial Narrow" w:hAnsi="Arial Narrow"/>
                <w:snapToGrid w:val="0"/>
                <w:sz w:val="20"/>
                <w:szCs w:val="20"/>
                <w:lang w:eastAsia="en-US"/>
              </w:rPr>
              <w:t>Low</w:t>
            </w:r>
          </w:p>
        </w:tc>
        <w:tc>
          <w:tcPr>
            <w:tcW w:w="1559" w:type="dxa"/>
            <w:vAlign w:val="center"/>
          </w:tcPr>
          <w:p w14:paraId="476135D6"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 xml:space="preserve">Triple therapy: </w:t>
            </w:r>
          </w:p>
          <w:p w14:paraId="775B35DF" w14:textId="77777777" w:rsidR="001F516D" w:rsidRPr="001808B1" w:rsidRDefault="001F516D" w:rsidP="00EA556C">
            <w:pPr>
              <w:keepNext/>
              <w:keepLines/>
              <w:widowControl w:val="0"/>
              <w:jc w:val="left"/>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MF/IND/GLY 136/114/46 D</w:t>
            </w:r>
          </w:p>
          <w:p w14:paraId="012E91C5" w14:textId="77777777" w:rsidR="001F516D" w:rsidRPr="001808B1" w:rsidRDefault="001F516D" w:rsidP="00EA556C">
            <w:pPr>
              <w:keepNext/>
              <w:keepLines/>
              <w:widowControl w:val="0"/>
              <w:jc w:val="left"/>
              <w:rPr>
                <w:rFonts w:ascii="Arial Narrow" w:hAnsi="Arial Narrow"/>
                <w:iCs/>
                <w:snapToGrid w:val="0"/>
                <w:sz w:val="20"/>
                <w:szCs w:val="20"/>
                <w:lang w:eastAsia="en-US"/>
              </w:rPr>
            </w:pPr>
          </w:p>
          <w:p w14:paraId="729AD974"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Double therapies</w:t>
            </w:r>
          </w:p>
          <w:p w14:paraId="39951B66" w14:textId="77777777" w:rsidR="001F516D" w:rsidRPr="001808B1" w:rsidRDefault="001F516D" w:rsidP="00EA556C">
            <w:pPr>
              <w:keepNext/>
              <w:keepLines/>
              <w:widowControl w:val="0"/>
              <w:jc w:val="left"/>
              <w:rPr>
                <w:rFonts w:ascii="Arial Narrow" w:hAnsi="Arial Narrow"/>
                <w:b/>
                <w:bCs/>
                <w:iCs/>
                <w:snapToGrid w:val="0"/>
                <w:sz w:val="20"/>
                <w:szCs w:val="20"/>
                <w:lang w:eastAsia="en-US"/>
              </w:rPr>
            </w:pPr>
            <w:r w:rsidRPr="001808B1">
              <w:rPr>
                <w:rFonts w:ascii="Arial Narrow" w:hAnsi="Arial Narrow"/>
                <w:b/>
                <w:bCs/>
                <w:iCs/>
                <w:snapToGrid w:val="0"/>
                <w:sz w:val="20"/>
                <w:szCs w:val="20"/>
                <w:lang w:eastAsia="en-US"/>
              </w:rPr>
              <w:t>MF/IND DPI (160/150 and 320/150 D)</w:t>
            </w:r>
          </w:p>
          <w:p w14:paraId="2848D86B"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FP/SAL (500/50 BD)</w:t>
            </w:r>
          </w:p>
        </w:tc>
        <w:tc>
          <w:tcPr>
            <w:tcW w:w="993" w:type="dxa"/>
            <w:vAlign w:val="center"/>
          </w:tcPr>
          <w:p w14:paraId="0DA35BD6"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Aged 18-75y, Asthma, FEV1 &lt;80%</w:t>
            </w:r>
          </w:p>
        </w:tc>
        <w:tc>
          <w:tcPr>
            <w:tcW w:w="2926" w:type="dxa"/>
            <w:vAlign w:val="center"/>
          </w:tcPr>
          <w:p w14:paraId="4F06E7D9"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1º: Trough FEV1 (26w)</w:t>
            </w:r>
          </w:p>
          <w:p w14:paraId="56F95822"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2º: ACQ-7 (26w)</w:t>
            </w:r>
          </w:p>
          <w:p w14:paraId="36B6E432"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Other: spirometry^^, ACQ-7, AQLQ, SGRQ, salbutamol, exacerbations</w:t>
            </w:r>
          </w:p>
        </w:tc>
      </w:tr>
      <w:tr w:rsidR="001F516D" w:rsidRPr="001808B1" w14:paraId="6D898F0E" w14:textId="77777777" w:rsidTr="00576B4F">
        <w:tc>
          <w:tcPr>
            <w:tcW w:w="846" w:type="dxa"/>
            <w:vAlign w:val="center"/>
          </w:tcPr>
          <w:p w14:paraId="0FE68319"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ARGON</w:t>
            </w:r>
          </w:p>
        </w:tc>
        <w:tc>
          <w:tcPr>
            <w:tcW w:w="850" w:type="dxa"/>
            <w:vAlign w:val="center"/>
          </w:tcPr>
          <w:p w14:paraId="19400657" w14:textId="77777777" w:rsidR="001F516D" w:rsidRPr="001808B1" w:rsidRDefault="001F516D" w:rsidP="00EA556C">
            <w:pPr>
              <w:keepNext/>
              <w:keepLines/>
              <w:widowControl w:val="0"/>
              <w:jc w:val="center"/>
              <w:rPr>
                <w:rFonts w:ascii="Arial Narrow" w:hAnsi="Arial Narrow"/>
                <w:iCs/>
                <w:snapToGrid w:val="0"/>
                <w:sz w:val="20"/>
                <w:szCs w:val="20"/>
                <w:lang w:eastAsia="en-US"/>
              </w:rPr>
            </w:pPr>
            <w:r w:rsidRPr="001808B1">
              <w:rPr>
                <w:rFonts w:ascii="Arial Narrow" w:hAnsi="Arial Narrow"/>
                <w:iCs/>
                <w:snapToGrid w:val="0"/>
                <w:sz w:val="20"/>
                <w:szCs w:val="20"/>
                <w:lang w:eastAsia="en-US"/>
              </w:rPr>
              <w:t>1,426</w:t>
            </w:r>
          </w:p>
        </w:tc>
        <w:tc>
          <w:tcPr>
            <w:tcW w:w="1134" w:type="dxa"/>
            <w:vAlign w:val="center"/>
          </w:tcPr>
          <w:p w14:paraId="483FEA2F"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MC, R, OL</w:t>
            </w:r>
            <w:r w:rsidRPr="001808B1">
              <w:rPr>
                <w:rFonts w:ascii="Arial Narrow" w:hAnsi="Arial Narrow"/>
                <w:iCs/>
                <w:snapToGrid w:val="0"/>
                <w:sz w:val="20"/>
                <w:szCs w:val="20"/>
                <w:vertAlign w:val="superscript"/>
                <w:lang w:eastAsia="en-US"/>
              </w:rPr>
              <w:t>^</w:t>
            </w:r>
            <w:r w:rsidRPr="001808B1">
              <w:rPr>
                <w:rFonts w:ascii="Arial Narrow" w:hAnsi="Arial Narrow"/>
                <w:iCs/>
                <w:snapToGrid w:val="0"/>
                <w:sz w:val="20"/>
                <w:szCs w:val="20"/>
                <w:lang w:eastAsia="en-US"/>
              </w:rPr>
              <w:t>, parallel, 2w run-in + 24w tx (+7d follow-up)</w:t>
            </w:r>
          </w:p>
        </w:tc>
        <w:tc>
          <w:tcPr>
            <w:tcW w:w="709" w:type="dxa"/>
            <w:vAlign w:val="center"/>
          </w:tcPr>
          <w:p w14:paraId="5707D7DA" w14:textId="77777777" w:rsidR="001F516D" w:rsidRPr="007B58A2" w:rsidRDefault="001F516D" w:rsidP="00EA556C">
            <w:pPr>
              <w:keepNext/>
              <w:keepLines/>
              <w:widowControl w:val="0"/>
              <w:jc w:val="left"/>
              <w:rPr>
                <w:rFonts w:ascii="Arial Narrow" w:hAnsi="Arial Narrow"/>
                <w:snapToGrid w:val="0"/>
                <w:sz w:val="20"/>
                <w:szCs w:val="20"/>
                <w:lang w:eastAsia="en-US"/>
              </w:rPr>
            </w:pPr>
            <w:r w:rsidRPr="007B58A2">
              <w:rPr>
                <w:rFonts w:ascii="Arial Narrow" w:hAnsi="Arial Narrow"/>
                <w:snapToGrid w:val="0"/>
                <w:sz w:val="20"/>
                <w:szCs w:val="20"/>
                <w:lang w:eastAsia="en-US"/>
              </w:rPr>
              <w:t>High</w:t>
            </w:r>
          </w:p>
        </w:tc>
        <w:tc>
          <w:tcPr>
            <w:tcW w:w="1559" w:type="dxa"/>
            <w:vAlign w:val="center"/>
          </w:tcPr>
          <w:p w14:paraId="62F0AAAC"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b/>
                <w:bCs/>
                <w:iCs/>
                <w:snapToGrid w:val="0"/>
                <w:sz w:val="20"/>
                <w:szCs w:val="20"/>
                <w:lang w:eastAsia="en-US"/>
              </w:rPr>
              <w:t>MF/IND/GLY</w:t>
            </w:r>
            <w:r w:rsidRPr="001808B1">
              <w:rPr>
                <w:rFonts w:ascii="Arial Narrow" w:hAnsi="Arial Narrow"/>
                <w:iCs/>
                <w:snapToGrid w:val="0"/>
                <w:sz w:val="20"/>
                <w:szCs w:val="20"/>
                <w:lang w:eastAsia="en-US"/>
              </w:rPr>
              <w:t xml:space="preserve"> DPI (80/150/50</w:t>
            </w:r>
            <w:r w:rsidR="00C060DA" w:rsidRPr="001808B1">
              <w:rPr>
                <w:rFonts w:ascii="Arial Narrow" w:hAnsi="Arial Narrow"/>
                <w:iCs/>
                <w:snapToGrid w:val="0"/>
                <w:sz w:val="20"/>
                <w:szCs w:val="20"/>
                <w:lang w:eastAsia="en-US"/>
              </w:rPr>
              <w:t>*</w:t>
            </w:r>
            <w:r w:rsidR="002763E8">
              <w:rPr>
                <w:rFonts w:ascii="Arial Narrow" w:hAnsi="Arial Narrow"/>
                <w:iCs/>
                <w:snapToGrid w:val="0"/>
                <w:sz w:val="20"/>
                <w:szCs w:val="20"/>
                <w:lang w:eastAsia="en-US"/>
              </w:rPr>
              <w:t>*</w:t>
            </w:r>
            <w:r w:rsidRPr="001808B1">
              <w:rPr>
                <w:rFonts w:ascii="Arial Narrow" w:hAnsi="Arial Narrow"/>
                <w:iCs/>
                <w:snapToGrid w:val="0"/>
                <w:sz w:val="20"/>
                <w:szCs w:val="20"/>
                <w:lang w:eastAsia="en-US"/>
              </w:rPr>
              <w:t xml:space="preserve"> and 160/150/50</w:t>
            </w:r>
            <w:r w:rsidR="00C060DA" w:rsidRPr="001808B1">
              <w:rPr>
                <w:rFonts w:ascii="Arial Narrow" w:hAnsi="Arial Narrow"/>
                <w:iCs/>
                <w:snapToGrid w:val="0"/>
                <w:sz w:val="20"/>
                <w:szCs w:val="20"/>
                <w:lang w:eastAsia="en-US"/>
              </w:rPr>
              <w:t>*</w:t>
            </w:r>
            <w:r w:rsidR="002763E8">
              <w:rPr>
                <w:rFonts w:ascii="Arial Narrow" w:hAnsi="Arial Narrow"/>
                <w:iCs/>
                <w:snapToGrid w:val="0"/>
                <w:sz w:val="20"/>
                <w:szCs w:val="20"/>
                <w:lang w:eastAsia="en-US"/>
              </w:rPr>
              <w:t>*</w:t>
            </w:r>
            <w:r w:rsidRPr="001808B1">
              <w:rPr>
                <w:rFonts w:ascii="Arial Narrow" w:hAnsi="Arial Narrow"/>
                <w:iCs/>
                <w:snapToGrid w:val="0"/>
                <w:sz w:val="20"/>
                <w:szCs w:val="20"/>
                <w:lang w:eastAsia="en-US"/>
              </w:rPr>
              <w:t xml:space="preserve"> D)</w:t>
            </w:r>
          </w:p>
          <w:p w14:paraId="45D07894"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b/>
                <w:bCs/>
                <w:iCs/>
                <w:snapToGrid w:val="0"/>
                <w:sz w:val="20"/>
                <w:szCs w:val="20"/>
                <w:lang w:eastAsia="en-US"/>
              </w:rPr>
              <w:t>FP/SAL (500/50 BD) + TIO</w:t>
            </w:r>
            <w:r w:rsidRPr="001808B1">
              <w:rPr>
                <w:rFonts w:ascii="Arial Narrow" w:hAnsi="Arial Narrow"/>
                <w:iCs/>
                <w:snapToGrid w:val="0"/>
                <w:sz w:val="20"/>
                <w:szCs w:val="20"/>
                <w:lang w:eastAsia="en-US"/>
              </w:rPr>
              <w:t xml:space="preserve"> </w:t>
            </w:r>
            <w:r w:rsidRPr="00846A55">
              <w:rPr>
                <w:rFonts w:ascii="Arial Narrow" w:hAnsi="Arial Narrow"/>
                <w:b/>
                <w:iCs/>
                <w:snapToGrid w:val="0"/>
                <w:sz w:val="20"/>
                <w:szCs w:val="20"/>
                <w:lang w:eastAsia="en-US"/>
              </w:rPr>
              <w:t>(2.5 *2D)</w:t>
            </w:r>
          </w:p>
        </w:tc>
        <w:tc>
          <w:tcPr>
            <w:tcW w:w="993" w:type="dxa"/>
            <w:vAlign w:val="center"/>
          </w:tcPr>
          <w:p w14:paraId="69AE956A"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Aged ≥18y, Asthma, FEV1 &lt;85%</w:t>
            </w:r>
          </w:p>
        </w:tc>
        <w:tc>
          <w:tcPr>
            <w:tcW w:w="2926" w:type="dxa"/>
            <w:vAlign w:val="center"/>
          </w:tcPr>
          <w:p w14:paraId="69A6E091"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1º: AQLQ (24w)</w:t>
            </w:r>
          </w:p>
          <w:p w14:paraId="42020B71"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2º: Trough FEV1 and ACQ-7 (24w)</w:t>
            </w:r>
          </w:p>
          <w:p w14:paraId="637DD60D" w14:textId="77777777" w:rsidR="001F516D" w:rsidRPr="001808B1" w:rsidRDefault="001F516D" w:rsidP="00EA556C">
            <w:pPr>
              <w:keepNext/>
              <w:keepLines/>
              <w:widowControl w:val="0"/>
              <w:jc w:val="left"/>
              <w:rPr>
                <w:rFonts w:ascii="Arial Narrow" w:hAnsi="Arial Narrow"/>
                <w:iCs/>
                <w:snapToGrid w:val="0"/>
                <w:sz w:val="20"/>
                <w:szCs w:val="20"/>
                <w:lang w:eastAsia="en-US"/>
              </w:rPr>
            </w:pPr>
            <w:r w:rsidRPr="001808B1">
              <w:rPr>
                <w:rFonts w:ascii="Arial Narrow" w:hAnsi="Arial Narrow"/>
                <w:iCs/>
                <w:snapToGrid w:val="0"/>
                <w:sz w:val="20"/>
                <w:szCs w:val="20"/>
                <w:lang w:eastAsia="en-US"/>
              </w:rPr>
              <w:t>Other: Spirometry^^, ACQ-7, AQLQ-S, Work Productivity and Activity Impairment Questionnaire (WPAI-Asthma), EQ-5D-5L, salbutamol, exacerbations</w:t>
            </w:r>
          </w:p>
        </w:tc>
      </w:tr>
    </w:tbl>
    <w:p w14:paraId="51420039" w14:textId="77777777" w:rsidR="001F516D" w:rsidRPr="00846A55" w:rsidRDefault="001F516D" w:rsidP="00EA556C">
      <w:pPr>
        <w:pStyle w:val="TableFigureFooter"/>
        <w:rPr>
          <w:iCs/>
        </w:rPr>
      </w:pPr>
      <w:r w:rsidRPr="00846A55">
        <w:rPr>
          <w:iCs/>
        </w:rPr>
        <w:t>Source: Compiled during the evaluation based on Table 15, p48, Table 16, pp52-57, Table 22, p75-78, Table 23, p80-85 of the submission</w:t>
      </w:r>
    </w:p>
    <w:p w14:paraId="6C0F7986" w14:textId="77777777" w:rsidR="001F516D" w:rsidRPr="001808B1" w:rsidRDefault="001F516D" w:rsidP="00EA556C">
      <w:pPr>
        <w:pStyle w:val="TableFigureFooter"/>
      </w:pPr>
      <w:r w:rsidRPr="001808B1">
        <w:t>Some information in the table was extracted from CAPTAIN CSR, Kerstjens et al. 2012 (PrimoTinA1&amp;2), Kerstjens et al. 2020 (IRIDIUM), and Virchow et al 2019 (TRIGGER) and Gessner et al. (2020).</w:t>
      </w:r>
    </w:p>
    <w:p w14:paraId="28B5FC52" w14:textId="77777777" w:rsidR="001F516D" w:rsidRPr="001808B1" w:rsidRDefault="001F516D" w:rsidP="00EA556C">
      <w:pPr>
        <w:pStyle w:val="TableFigureFooter"/>
      </w:pPr>
      <w:r w:rsidRPr="001808B1">
        <w:rPr>
          <w:szCs w:val="18"/>
          <w:lang w:eastAsia="en-US"/>
        </w:rPr>
        <w:t>ACQ-7: asthma control questionnaire; AQLQ=asthma quality of life questionnaire; BDP:</w:t>
      </w:r>
      <w:r w:rsidRPr="001808B1">
        <w:t xml:space="preserve"> </w:t>
      </w:r>
      <w:r w:rsidRPr="001808B1">
        <w:rPr>
          <w:szCs w:val="18"/>
          <w:lang w:eastAsia="en-US"/>
        </w:rPr>
        <w:t>Beclomethasone dipropionate; B</w:t>
      </w:r>
      <w:r w:rsidR="00E76B75" w:rsidRPr="001808B1">
        <w:rPr>
          <w:szCs w:val="18"/>
          <w:lang w:eastAsia="en-US"/>
        </w:rPr>
        <w:t xml:space="preserve">: </w:t>
      </w:r>
      <w:r w:rsidRPr="001808B1">
        <w:rPr>
          <w:szCs w:val="18"/>
          <w:lang w:eastAsia="en-US"/>
        </w:rPr>
        <w:t>double blind; DP:</w:t>
      </w:r>
      <w:r w:rsidR="00943437" w:rsidRPr="001808B1">
        <w:rPr>
          <w:szCs w:val="18"/>
          <w:lang w:eastAsia="en-US"/>
        </w:rPr>
        <w:t xml:space="preserve"> </w:t>
      </w:r>
      <w:r w:rsidRPr="001808B1">
        <w:rPr>
          <w:szCs w:val="18"/>
          <w:lang w:eastAsia="en-US"/>
        </w:rPr>
        <w:t>Dry Powder Inhaler; EQ-5D-5L : European Quality of life- five dimensions- five levels; FEV</w:t>
      </w:r>
      <w:r w:rsidRPr="001808B1">
        <w:rPr>
          <w:szCs w:val="18"/>
          <w:vertAlign w:val="subscript"/>
          <w:lang w:eastAsia="en-US"/>
        </w:rPr>
        <w:t>25-75</w:t>
      </w:r>
      <w:r w:rsidR="00E76B75" w:rsidRPr="001808B1">
        <w:rPr>
          <w:szCs w:val="18"/>
          <w:vertAlign w:val="subscript"/>
          <w:lang w:eastAsia="en-US"/>
        </w:rPr>
        <w:t xml:space="preserve">: </w:t>
      </w:r>
      <w:r w:rsidRPr="001808B1">
        <w:rPr>
          <w:szCs w:val="18"/>
          <w:lang w:eastAsia="en-US"/>
        </w:rPr>
        <w:t>forced expiratory flow between 25% and 75%; FF: fluticasone furoate; FP</w:t>
      </w:r>
      <w:r w:rsidR="00E76B75" w:rsidRPr="001808B1">
        <w:rPr>
          <w:szCs w:val="18"/>
          <w:lang w:eastAsia="en-US"/>
        </w:rPr>
        <w:t xml:space="preserve">: </w:t>
      </w:r>
      <w:r w:rsidRPr="001808B1">
        <w:rPr>
          <w:szCs w:val="18"/>
          <w:lang w:eastAsia="en-US"/>
        </w:rPr>
        <w:t>fluticasone propionate; FOR: formoterol; FVC</w:t>
      </w:r>
      <w:r w:rsidR="00E76B75" w:rsidRPr="001808B1">
        <w:rPr>
          <w:szCs w:val="18"/>
          <w:lang w:eastAsia="en-US"/>
        </w:rPr>
        <w:t xml:space="preserve">: </w:t>
      </w:r>
      <w:r w:rsidRPr="001808B1">
        <w:rPr>
          <w:szCs w:val="18"/>
          <w:lang w:eastAsia="en-US"/>
        </w:rPr>
        <w:t>forced vital capacity; GLY</w:t>
      </w:r>
      <w:r w:rsidR="00E76B75" w:rsidRPr="001808B1">
        <w:rPr>
          <w:szCs w:val="18"/>
          <w:lang w:eastAsia="en-US"/>
        </w:rPr>
        <w:t xml:space="preserve">: </w:t>
      </w:r>
      <w:r w:rsidRPr="001808B1">
        <w:rPr>
          <w:szCs w:val="18"/>
          <w:lang w:eastAsia="en-US"/>
        </w:rPr>
        <w:t>glycopyrronium bromide; IND</w:t>
      </w:r>
      <w:r w:rsidR="00E76B75" w:rsidRPr="001808B1">
        <w:rPr>
          <w:szCs w:val="18"/>
          <w:lang w:eastAsia="en-US"/>
        </w:rPr>
        <w:t xml:space="preserve">: </w:t>
      </w:r>
      <w:r w:rsidRPr="001808B1">
        <w:rPr>
          <w:szCs w:val="18"/>
          <w:lang w:eastAsia="en-US"/>
        </w:rPr>
        <w:t>indacaterol; MC</w:t>
      </w:r>
      <w:r w:rsidR="00E76B75" w:rsidRPr="001808B1">
        <w:rPr>
          <w:szCs w:val="18"/>
          <w:lang w:eastAsia="en-US"/>
        </w:rPr>
        <w:t xml:space="preserve">: </w:t>
      </w:r>
      <w:r w:rsidRPr="001808B1">
        <w:rPr>
          <w:szCs w:val="18"/>
          <w:lang w:eastAsia="en-US"/>
        </w:rPr>
        <w:t>multicentre; MF</w:t>
      </w:r>
      <w:r w:rsidR="00E76B75" w:rsidRPr="001808B1">
        <w:rPr>
          <w:szCs w:val="18"/>
          <w:lang w:eastAsia="en-US"/>
        </w:rPr>
        <w:t xml:space="preserve">: </w:t>
      </w:r>
      <w:r w:rsidRPr="001808B1">
        <w:rPr>
          <w:szCs w:val="18"/>
          <w:lang w:eastAsia="en-US"/>
        </w:rPr>
        <w:t>mometasone furoate; OL</w:t>
      </w:r>
      <w:r w:rsidR="00E76B75" w:rsidRPr="001808B1">
        <w:rPr>
          <w:szCs w:val="18"/>
          <w:lang w:eastAsia="en-US"/>
        </w:rPr>
        <w:t xml:space="preserve">: </w:t>
      </w:r>
      <w:r w:rsidRPr="001808B1">
        <w:rPr>
          <w:szCs w:val="18"/>
          <w:lang w:eastAsia="en-US"/>
        </w:rPr>
        <w:t>open label; PEF</w:t>
      </w:r>
      <w:r w:rsidR="00E76B75" w:rsidRPr="001808B1">
        <w:rPr>
          <w:szCs w:val="18"/>
          <w:lang w:eastAsia="en-US"/>
        </w:rPr>
        <w:t xml:space="preserve">: </w:t>
      </w:r>
      <w:r w:rsidRPr="001808B1">
        <w:rPr>
          <w:szCs w:val="18"/>
          <w:lang w:eastAsia="en-US"/>
        </w:rPr>
        <w:t>peak expiratory flow rate; R</w:t>
      </w:r>
      <w:r w:rsidR="00E76B75" w:rsidRPr="001808B1">
        <w:rPr>
          <w:szCs w:val="18"/>
          <w:lang w:eastAsia="en-US"/>
        </w:rPr>
        <w:t xml:space="preserve">: </w:t>
      </w:r>
      <w:r w:rsidRPr="001808B1">
        <w:rPr>
          <w:szCs w:val="18"/>
          <w:lang w:eastAsia="en-US"/>
        </w:rPr>
        <w:t>randomised; SAL</w:t>
      </w:r>
      <w:r w:rsidR="00E76B75" w:rsidRPr="001808B1">
        <w:rPr>
          <w:szCs w:val="18"/>
          <w:lang w:eastAsia="en-US"/>
        </w:rPr>
        <w:t xml:space="preserve">: </w:t>
      </w:r>
      <w:r w:rsidRPr="001808B1">
        <w:rPr>
          <w:szCs w:val="18"/>
          <w:lang w:eastAsia="en-US"/>
        </w:rPr>
        <w:t>salmeterol; TIO</w:t>
      </w:r>
      <w:r w:rsidR="00E76B75" w:rsidRPr="001808B1">
        <w:rPr>
          <w:szCs w:val="18"/>
          <w:lang w:eastAsia="en-US"/>
        </w:rPr>
        <w:t xml:space="preserve">: </w:t>
      </w:r>
      <w:r w:rsidRPr="001808B1">
        <w:rPr>
          <w:szCs w:val="18"/>
          <w:lang w:eastAsia="en-US"/>
        </w:rPr>
        <w:t>tiotropium; BD</w:t>
      </w:r>
      <w:r w:rsidR="00E76B75" w:rsidRPr="001808B1">
        <w:rPr>
          <w:szCs w:val="18"/>
          <w:lang w:eastAsia="en-US"/>
        </w:rPr>
        <w:t xml:space="preserve">: </w:t>
      </w:r>
      <w:r w:rsidRPr="001808B1">
        <w:rPr>
          <w:szCs w:val="18"/>
          <w:lang w:eastAsia="en-US"/>
        </w:rPr>
        <w:t>twice daily; D: Once daily; d</w:t>
      </w:r>
      <w:r w:rsidR="00E76B75" w:rsidRPr="001808B1">
        <w:rPr>
          <w:szCs w:val="18"/>
          <w:lang w:eastAsia="en-US"/>
        </w:rPr>
        <w:t xml:space="preserve">: </w:t>
      </w:r>
      <w:r w:rsidRPr="001808B1">
        <w:rPr>
          <w:szCs w:val="18"/>
          <w:lang w:eastAsia="en-US"/>
        </w:rPr>
        <w:t>day; tx</w:t>
      </w:r>
      <w:r w:rsidR="00E76B75" w:rsidRPr="001808B1">
        <w:rPr>
          <w:szCs w:val="18"/>
          <w:lang w:eastAsia="en-US"/>
        </w:rPr>
        <w:t xml:space="preserve">: </w:t>
      </w:r>
      <w:r w:rsidRPr="001808B1">
        <w:rPr>
          <w:szCs w:val="18"/>
          <w:lang w:eastAsia="en-US"/>
        </w:rPr>
        <w:t>treatment; UMEC: umeclidinium; w</w:t>
      </w:r>
      <w:r w:rsidR="00E76B75" w:rsidRPr="001808B1">
        <w:rPr>
          <w:szCs w:val="18"/>
          <w:lang w:eastAsia="en-US"/>
        </w:rPr>
        <w:t xml:space="preserve">: </w:t>
      </w:r>
      <w:r w:rsidRPr="001808B1">
        <w:rPr>
          <w:szCs w:val="18"/>
          <w:lang w:eastAsia="en-US"/>
        </w:rPr>
        <w:t>week; VI: vilanterol; y</w:t>
      </w:r>
      <w:r w:rsidR="00E76B75" w:rsidRPr="001808B1">
        <w:rPr>
          <w:szCs w:val="18"/>
          <w:lang w:eastAsia="en-US"/>
        </w:rPr>
        <w:t xml:space="preserve">: </w:t>
      </w:r>
      <w:r w:rsidRPr="001808B1">
        <w:rPr>
          <w:szCs w:val="18"/>
          <w:lang w:eastAsia="en-US"/>
        </w:rPr>
        <w:t>year</w:t>
      </w:r>
    </w:p>
    <w:p w14:paraId="689DAC54" w14:textId="77777777" w:rsidR="001F516D" w:rsidRDefault="001F516D" w:rsidP="00EA556C">
      <w:pPr>
        <w:pStyle w:val="TableFigureFooter"/>
        <w:rPr>
          <w:i/>
          <w:iCs/>
        </w:rPr>
      </w:pPr>
      <w:r w:rsidRPr="001808B1">
        <w:t xml:space="preserve">* BDP/FOR+TIO arm in the TRIGGER trial was open-label. Therefore, the evaluation assessed the risk of bias to be high. </w:t>
      </w:r>
      <w:r w:rsidRPr="00846A55">
        <w:rPr>
          <w:iCs/>
        </w:rPr>
        <w:t>However, any bias is more likely to affect subjective outcomes, such as AQLQ score, rather than objective outcome, such as FEV1.</w:t>
      </w:r>
    </w:p>
    <w:p w14:paraId="03E90ADB" w14:textId="77777777" w:rsidR="002763E8" w:rsidRPr="001808B1" w:rsidRDefault="002763E8" w:rsidP="002763E8">
      <w:pPr>
        <w:pStyle w:val="TableFigureFooter"/>
      </w:pPr>
      <w:r w:rsidRPr="001808B1">
        <w:t>*</w:t>
      </w:r>
      <w:r>
        <w:t>*</w:t>
      </w:r>
      <w:r w:rsidRPr="001808B1">
        <w:t>The update labelled doses for 80/150/50 and 16</w:t>
      </w:r>
      <w:r w:rsidRPr="006F4A1C">
        <w:t>0/150/50 are 68/114/46 and 136/114/46, respectively.</w:t>
      </w:r>
    </w:p>
    <w:p w14:paraId="1E521C19" w14:textId="77777777" w:rsidR="001F516D" w:rsidRPr="00846A55" w:rsidRDefault="001F516D" w:rsidP="00EA556C">
      <w:pPr>
        <w:pStyle w:val="TableFigureFooter"/>
        <w:rPr>
          <w:iCs/>
        </w:rPr>
      </w:pPr>
      <w:r w:rsidRPr="00846A55">
        <w:rPr>
          <w:iCs/>
        </w:rPr>
        <w:t>^</w:t>
      </w:r>
      <w:r w:rsidRPr="00846A55">
        <w:t xml:space="preserve"> </w:t>
      </w:r>
      <w:r w:rsidRPr="00846A55">
        <w:rPr>
          <w:iCs/>
        </w:rPr>
        <w:t>Partial blind/open-label study. Investigators and patients had knowledge of treatment allocation between MF/IND/GLY and/or comparator, however MF/IND/GLY dosage strength allocation was masked. SAL/FP + TIO was open-label and both investigators and patients had full knowledge of treatment allocation. The global sponsor team responsible for data review and analysis was blinded to all treatment allocation.</w:t>
      </w:r>
    </w:p>
    <w:p w14:paraId="4F0CA8D3" w14:textId="77777777" w:rsidR="001F516D" w:rsidRPr="00846A55" w:rsidRDefault="001F516D" w:rsidP="00EA556C">
      <w:pPr>
        <w:pStyle w:val="TableFigureFooter"/>
        <w:rPr>
          <w:iCs/>
        </w:rPr>
      </w:pPr>
      <w:r w:rsidRPr="00846A55">
        <w:rPr>
          <w:iCs/>
        </w:rPr>
        <w:t>^</w:t>
      </w:r>
      <w:r w:rsidRPr="00846A55">
        <w:t xml:space="preserve"> ^</w:t>
      </w:r>
      <w:r w:rsidRPr="00846A55">
        <w:rPr>
          <w:iCs/>
        </w:rPr>
        <w:t>FEV1, PEF, FVC, FEF25-75%, trough FEV1 (other visits). The PBAC previously noted that “the primary outcome, the Asthma Quality of Life Questionnaire (AQLQ), was subjective and at a high risk of bias due to the partial open label nature of the trial. As such, the PBAC considered the AQLQ results of ARGON trial were not a reliable measure to inform the clinical claim” (paragraph 7.4</w:t>
      </w:r>
      <w:r w:rsidR="007B3905" w:rsidRPr="00846A55">
        <w:rPr>
          <w:iCs/>
        </w:rPr>
        <w:t>,</w:t>
      </w:r>
      <w:r w:rsidRPr="00846A55">
        <w:rPr>
          <w:iCs/>
        </w:rPr>
        <w:t xml:space="preserve"> </w:t>
      </w:r>
      <w:r w:rsidR="00B337D1" w:rsidRPr="00846A55">
        <w:rPr>
          <w:iCs/>
        </w:rPr>
        <w:t>MF/IND/GLY PSD</w:t>
      </w:r>
      <w:r w:rsidRPr="00846A55">
        <w:rPr>
          <w:iCs/>
        </w:rPr>
        <w:t>, July 2020 PBAC Meeting).</w:t>
      </w:r>
    </w:p>
    <w:p w14:paraId="33B573E8" w14:textId="77777777" w:rsidR="001F516D" w:rsidRPr="00846A55" w:rsidRDefault="001F516D" w:rsidP="00EA556C">
      <w:pPr>
        <w:pStyle w:val="TableFigureFooter"/>
        <w:rPr>
          <w:rFonts w:asciiTheme="minorHAnsi" w:hAnsiTheme="minorHAnsi"/>
          <w:iCs/>
          <w:sz w:val="24"/>
          <w:szCs w:val="24"/>
        </w:rPr>
      </w:pPr>
      <w:r w:rsidRPr="00846A55">
        <w:rPr>
          <w:b/>
          <w:bCs/>
          <w:iCs/>
        </w:rPr>
        <w:t>Text in bold</w:t>
      </w:r>
      <w:r w:rsidRPr="00846A55">
        <w:rPr>
          <w:iCs/>
        </w:rPr>
        <w:t xml:space="preserve"> represents the intervention or one of the two comparators in the current submission</w:t>
      </w:r>
    </w:p>
    <w:p w14:paraId="532C492C" w14:textId="77777777" w:rsidR="001F516D" w:rsidRPr="001808B1" w:rsidRDefault="001F516D" w:rsidP="00EA556C">
      <w:pPr>
        <w:pStyle w:val="3-BodyText"/>
      </w:pPr>
      <w:r w:rsidRPr="001808B1">
        <w:t>All trials were multicentre, randomised controlled trials</w:t>
      </w:r>
      <w:r w:rsidR="00E76B75" w:rsidRPr="001808B1">
        <w:t xml:space="preserve">. </w:t>
      </w:r>
      <w:r w:rsidRPr="001808B1">
        <w:t>The mean duration of asthma at baseline ranged from 16.8 to 26.2 years in the CAPTAIN, IRIDIUM, ARGON and TRIGGER trials. The PrimoTinA-asthma 1 &amp; 2</w:t>
      </w:r>
      <w:r w:rsidR="003060EF">
        <w:t xml:space="preserve"> trial</w:t>
      </w:r>
      <w:r w:rsidRPr="001808B1">
        <w:t xml:space="preserve"> reported median </w:t>
      </w:r>
      <w:r w:rsidR="003060EF">
        <w:t xml:space="preserve">rather than mean </w:t>
      </w:r>
      <w:r w:rsidRPr="001808B1">
        <w:t>duration (26-31 years). The intended duration of treatment was 24 weeks in the ARGON trial, 48</w:t>
      </w:r>
      <w:r w:rsidR="009F744F" w:rsidRPr="001808B1">
        <w:t xml:space="preserve"> weeks</w:t>
      </w:r>
      <w:r w:rsidRPr="001808B1">
        <w:t xml:space="preserve"> in PrimoTinA1&amp;2 </w:t>
      </w:r>
      <w:r w:rsidR="003060EF">
        <w:t xml:space="preserve">trial </w:t>
      </w:r>
      <w:r w:rsidRPr="001808B1">
        <w:t xml:space="preserve">and 52 </w:t>
      </w:r>
      <w:r w:rsidR="009F744F" w:rsidRPr="001808B1">
        <w:t xml:space="preserve">weeks </w:t>
      </w:r>
      <w:r w:rsidRPr="001808B1">
        <w:t xml:space="preserve">in the CAPTAIN, TRIGGER and IRIDIUM trials. </w:t>
      </w:r>
    </w:p>
    <w:p w14:paraId="64FFF82C" w14:textId="77777777" w:rsidR="001F516D" w:rsidRPr="000F48E0" w:rsidRDefault="001F516D" w:rsidP="00286666">
      <w:pPr>
        <w:pStyle w:val="3-BodyText"/>
      </w:pPr>
      <w:r w:rsidRPr="000F48E0">
        <w:rPr>
          <w:iCs/>
        </w:rPr>
        <w:t>Overall, the risk of bias in CAPTAIN, PrimoTinA1&amp;2, and IRIDIUM was considered low; however, the risk of bias in ARGON and TRIGGER was considered high as follows:</w:t>
      </w:r>
    </w:p>
    <w:p w14:paraId="4AE08BFF" w14:textId="77777777" w:rsidR="001F516D" w:rsidRPr="000F48E0" w:rsidRDefault="001F516D" w:rsidP="00286666">
      <w:pPr>
        <w:pStyle w:val="ListParagraph"/>
        <w:numPr>
          <w:ilvl w:val="0"/>
          <w:numId w:val="3"/>
        </w:numPr>
        <w:rPr>
          <w:iCs/>
        </w:rPr>
      </w:pPr>
      <w:r w:rsidRPr="000F48E0">
        <w:rPr>
          <w:iCs/>
        </w:rPr>
        <w:t xml:space="preserve">In the ARGON trial, patients and investigators were not blinded to treatment allocation in the </w:t>
      </w:r>
      <w:r w:rsidR="00D36380" w:rsidRPr="000F48E0">
        <w:rPr>
          <w:iCs/>
        </w:rPr>
        <w:t>fluticasone propionate (FP) /salmeterol (</w:t>
      </w:r>
      <w:r w:rsidRPr="000F48E0">
        <w:rPr>
          <w:iCs/>
        </w:rPr>
        <w:t>SAL</w:t>
      </w:r>
      <w:r w:rsidR="00D36380" w:rsidRPr="000F48E0">
        <w:rPr>
          <w:iCs/>
        </w:rPr>
        <w:t xml:space="preserve">) </w:t>
      </w:r>
      <w:r w:rsidRPr="000F48E0">
        <w:rPr>
          <w:iCs/>
        </w:rPr>
        <w:t>+</w:t>
      </w:r>
      <w:r w:rsidR="00D36380" w:rsidRPr="000F48E0">
        <w:rPr>
          <w:iCs/>
        </w:rPr>
        <w:t xml:space="preserve"> </w:t>
      </w:r>
      <w:r w:rsidRPr="000F48E0">
        <w:rPr>
          <w:iCs/>
        </w:rPr>
        <w:t xml:space="preserve">TIO arm, and </w:t>
      </w:r>
      <w:r w:rsidR="004972DB" w:rsidRPr="000F48E0">
        <w:rPr>
          <w:iCs/>
        </w:rPr>
        <w:t xml:space="preserve">the </w:t>
      </w:r>
      <w:r w:rsidRPr="000F48E0">
        <w:rPr>
          <w:iCs/>
        </w:rPr>
        <w:t>primary outcome measure was a subjective measure (</w:t>
      </w:r>
      <w:r w:rsidR="007F6D00" w:rsidRPr="000F48E0">
        <w:t>asthma quality of life questionnaire (</w:t>
      </w:r>
      <w:r w:rsidRPr="000F48E0">
        <w:rPr>
          <w:iCs/>
        </w:rPr>
        <w:t>AQLQ</w:t>
      </w:r>
      <w:r w:rsidR="007F6D00" w:rsidRPr="000F48E0">
        <w:rPr>
          <w:iCs/>
        </w:rPr>
        <w:t>)</w:t>
      </w:r>
      <w:r w:rsidRPr="000F48E0">
        <w:rPr>
          <w:iCs/>
        </w:rPr>
        <w:t>, a patient-reported questionnaire).</w:t>
      </w:r>
    </w:p>
    <w:p w14:paraId="23679193" w14:textId="77777777" w:rsidR="001F516D" w:rsidRPr="000F48E0" w:rsidRDefault="001F516D" w:rsidP="00286666">
      <w:pPr>
        <w:pStyle w:val="ListParagraph"/>
        <w:numPr>
          <w:ilvl w:val="0"/>
          <w:numId w:val="3"/>
        </w:numPr>
        <w:rPr>
          <w:rFonts w:ascii="Times New Roman" w:hAnsi="Times New Roman" w:cs="Times New Roman"/>
        </w:rPr>
      </w:pPr>
      <w:r w:rsidRPr="000F48E0">
        <w:rPr>
          <w:iCs/>
        </w:rPr>
        <w:t xml:space="preserve">The ARGON trial enrolled symptomatic patients after a run-in period with FP/SAL, therefore could result in selection bias against FP/SAL+TIO during the treatment phase. The trial also allowed patients with symptom control in the FP/SAL+TIO arm to “step down” treatment including stopping intake of TIO. This was not possible in the triple therapy arm (MF/IND/GLY), thus potentially favouring MF/IND/GLY. It follows that this would favour </w:t>
      </w:r>
      <w:r w:rsidR="0081496A">
        <w:rPr>
          <w:iCs/>
        </w:rPr>
        <w:t>FF/UMEC/VI 200/62.5/25</w:t>
      </w:r>
      <w:r w:rsidRPr="000F48E0">
        <w:rPr>
          <w:iCs/>
        </w:rPr>
        <w:t xml:space="preserve"> versus multiple inhaler triple therapy in the current submission.</w:t>
      </w:r>
    </w:p>
    <w:p w14:paraId="5748895F" w14:textId="77777777" w:rsidR="001F516D" w:rsidRPr="000F48E0" w:rsidRDefault="001F516D" w:rsidP="00286666">
      <w:pPr>
        <w:pStyle w:val="ListParagraph"/>
        <w:numPr>
          <w:ilvl w:val="0"/>
          <w:numId w:val="3"/>
        </w:numPr>
        <w:rPr>
          <w:rFonts w:ascii="Times New Roman" w:hAnsi="Times New Roman" w:cs="Times New Roman"/>
        </w:rPr>
      </w:pPr>
      <w:r w:rsidRPr="000F48E0">
        <w:rPr>
          <w:iCs/>
        </w:rPr>
        <w:t>In the TRIGGER trial, one of the arms (BDP/FOR+TIO) was open-label. The submission claimed that the risk of bias in TRIGGER was low. However, it was judged to be high as part of this evaluation.</w:t>
      </w:r>
      <w:r w:rsidRPr="000F48E0">
        <w:rPr>
          <w:rFonts w:ascii="Times New Roman" w:hAnsi="Times New Roman" w:cs="Times New Roman"/>
        </w:rPr>
        <w:t xml:space="preserve"> </w:t>
      </w:r>
    </w:p>
    <w:p w14:paraId="14CADA9B" w14:textId="77777777" w:rsidR="001F516D" w:rsidRPr="000F48E0" w:rsidRDefault="001F516D" w:rsidP="00286666">
      <w:pPr>
        <w:pStyle w:val="ListParagraph"/>
        <w:numPr>
          <w:ilvl w:val="0"/>
          <w:numId w:val="3"/>
        </w:numPr>
        <w:rPr>
          <w:iCs/>
        </w:rPr>
      </w:pPr>
      <w:r w:rsidRPr="000F48E0">
        <w:rPr>
          <w:iCs/>
        </w:rPr>
        <w:t>Any bias is more likely to affect subjective outcomes, such as AQLQ score, rather than objective outcome, such as FEV1.</w:t>
      </w:r>
    </w:p>
    <w:p w14:paraId="45311EA9" w14:textId="77777777" w:rsidR="001F516D" w:rsidRPr="000F48E0" w:rsidRDefault="001F516D" w:rsidP="00EA556C">
      <w:pPr>
        <w:pStyle w:val="3-BodyText"/>
      </w:pPr>
      <w:r w:rsidRPr="000F48E0">
        <w:rPr>
          <w:iCs/>
        </w:rPr>
        <w:t>There were differences across the trials that may violate the assumption of transitivity/exchangeability of the common reference arm and bias results of the indirect comparisons</w:t>
      </w:r>
      <w:r w:rsidRPr="000F48E0">
        <w:t xml:space="preserve">: </w:t>
      </w:r>
    </w:p>
    <w:p w14:paraId="087215A3" w14:textId="77777777" w:rsidR="001F516D" w:rsidRPr="000F48E0" w:rsidRDefault="001F516D" w:rsidP="00EA556C">
      <w:pPr>
        <w:pStyle w:val="ListParagraph"/>
        <w:numPr>
          <w:ilvl w:val="0"/>
          <w:numId w:val="3"/>
        </w:numPr>
        <w:rPr>
          <w:iCs/>
        </w:rPr>
      </w:pPr>
      <w:r w:rsidRPr="000F48E0">
        <w:rPr>
          <w:iCs/>
        </w:rPr>
        <w:t>The ARGON trial recruited patients who had an established history of asthma for over 6 months, while the CAPTAIN, TRIGGER and IRIDIUM trials included patients</w:t>
      </w:r>
      <w:r w:rsidRPr="001808B1">
        <w:rPr>
          <w:i/>
          <w:iCs/>
        </w:rPr>
        <w:t xml:space="preserve"> </w:t>
      </w:r>
      <w:r w:rsidRPr="000F48E0">
        <w:rPr>
          <w:iCs/>
        </w:rPr>
        <w:t>with asthma history of over 1 year. The PrimoTinA 1&amp;2 trial required patients to have asthma history ≥5 years.</w:t>
      </w:r>
    </w:p>
    <w:p w14:paraId="1BB4B255" w14:textId="77777777" w:rsidR="001F516D" w:rsidRPr="00F21704" w:rsidRDefault="001F516D" w:rsidP="00EA556C">
      <w:pPr>
        <w:pStyle w:val="ListParagraph"/>
        <w:numPr>
          <w:ilvl w:val="0"/>
          <w:numId w:val="3"/>
        </w:numPr>
        <w:rPr>
          <w:iCs/>
        </w:rPr>
      </w:pPr>
      <w:r w:rsidRPr="000F48E0">
        <w:rPr>
          <w:iCs/>
        </w:rPr>
        <w:t>The CAPTAIN trial included patients (approximately 15%</w:t>
      </w:r>
      <w:r w:rsidR="002306F8">
        <w:rPr>
          <w:iCs/>
        </w:rPr>
        <w:t>, 364/2,426</w:t>
      </w:r>
      <w:r w:rsidRPr="000F48E0">
        <w:rPr>
          <w:iCs/>
        </w:rPr>
        <w:t>) who had no history of exacerbations in the past 12 months. This differed fr</w:t>
      </w:r>
      <w:r w:rsidR="009F744F" w:rsidRPr="000F48E0">
        <w:rPr>
          <w:iCs/>
        </w:rPr>
        <w:t>om</w:t>
      </w:r>
      <w:r w:rsidRPr="000F48E0">
        <w:rPr>
          <w:iCs/>
        </w:rPr>
        <w:t xml:space="preserve"> the other included trials, which specified for inclusion that participants had </w:t>
      </w:r>
      <w:r w:rsidR="003060EF">
        <w:rPr>
          <w:iCs/>
        </w:rPr>
        <w:t xml:space="preserve">to have </w:t>
      </w:r>
      <w:r w:rsidRPr="000F48E0">
        <w:rPr>
          <w:iCs/>
        </w:rPr>
        <w:t xml:space="preserve">experienced </w:t>
      </w:r>
      <w:r w:rsidR="009F744F" w:rsidRPr="000F48E0">
        <w:rPr>
          <w:rFonts w:cstheme="minorHAnsi"/>
          <w:iCs/>
        </w:rPr>
        <w:t>≥</w:t>
      </w:r>
      <w:r w:rsidRPr="000F48E0">
        <w:rPr>
          <w:iCs/>
        </w:rPr>
        <w:t>1 exacerbation</w:t>
      </w:r>
      <w:r w:rsidR="004409F7" w:rsidRPr="000F48E0">
        <w:rPr>
          <w:iCs/>
        </w:rPr>
        <w:t>s</w:t>
      </w:r>
      <w:r w:rsidRPr="000F48E0">
        <w:rPr>
          <w:iCs/>
        </w:rPr>
        <w:t xml:space="preserve"> requiring systemic glucocorticoids, an emergency department visit or hospitalisation in the previous year. The requested PBS listing (clinical criteria) for </w:t>
      </w:r>
      <w:r w:rsidR="0081496A">
        <w:rPr>
          <w:iCs/>
        </w:rPr>
        <w:t>FF/UMEC/VI 200/62.5/25</w:t>
      </w:r>
      <w:r w:rsidRPr="000F48E0">
        <w:rPr>
          <w:iCs/>
        </w:rPr>
        <w:t xml:space="preserve"> requires that patients have experienced at least one severe exacerbation in the previous 12 months. In this regard, the submission presented a posthoc subgroup analysis of the population in the CAPTAIN trial with </w:t>
      </w:r>
      <w:r w:rsidR="004409F7" w:rsidRPr="000F48E0">
        <w:rPr>
          <w:rFonts w:cstheme="minorHAnsi"/>
          <w:iCs/>
        </w:rPr>
        <w:t>≥</w:t>
      </w:r>
      <w:r w:rsidRPr="000F48E0">
        <w:rPr>
          <w:iCs/>
        </w:rPr>
        <w:t>1 exacerbations in the previous year.</w:t>
      </w:r>
      <w:r w:rsidR="00F15E91">
        <w:rPr>
          <w:iCs/>
        </w:rPr>
        <w:t xml:space="preserve"> </w:t>
      </w:r>
      <w:r w:rsidR="00253F47" w:rsidRPr="00F21704">
        <w:rPr>
          <w:iCs/>
        </w:rPr>
        <w:t>The ESC noted that a high</w:t>
      </w:r>
      <w:r w:rsidR="00F15E91" w:rsidRPr="00F21704">
        <w:rPr>
          <w:iCs/>
        </w:rPr>
        <w:t xml:space="preserve"> proportion of patients </w:t>
      </w:r>
      <w:r w:rsidR="00253F47" w:rsidRPr="00F21704">
        <w:rPr>
          <w:iCs/>
        </w:rPr>
        <w:t xml:space="preserve">in the CAPTAIN trial </w:t>
      </w:r>
      <w:r w:rsidR="00F15E91" w:rsidRPr="00F21704">
        <w:rPr>
          <w:iCs/>
        </w:rPr>
        <w:t xml:space="preserve">had no history of severe exacerbations in the </w:t>
      </w:r>
      <w:r w:rsidR="00253F47" w:rsidRPr="00F21704">
        <w:rPr>
          <w:iCs/>
        </w:rPr>
        <w:t>past 12 months (approximately 33</w:t>
      </w:r>
      <w:r w:rsidR="00F15E91" w:rsidRPr="00F21704">
        <w:rPr>
          <w:iCs/>
        </w:rPr>
        <w:t xml:space="preserve">% of the FF/VI 200/25 and </w:t>
      </w:r>
      <w:r w:rsidR="0081496A">
        <w:rPr>
          <w:iCs/>
        </w:rPr>
        <w:t>FF/UMEC/VI 200/62.5/25</w:t>
      </w:r>
      <w:r w:rsidR="00F15E91" w:rsidRPr="00F21704">
        <w:rPr>
          <w:iCs/>
        </w:rPr>
        <w:t xml:space="preserve"> arms </w:t>
      </w:r>
      <w:r w:rsidR="00253F47" w:rsidRPr="00F21704">
        <w:rPr>
          <w:iCs/>
        </w:rPr>
        <w:t xml:space="preserve">271/814). </w:t>
      </w:r>
    </w:p>
    <w:p w14:paraId="7E2A2F7B" w14:textId="77777777" w:rsidR="001F516D" w:rsidRPr="000F48E0" w:rsidRDefault="001F516D" w:rsidP="00EA556C">
      <w:pPr>
        <w:pStyle w:val="ListParagraph"/>
        <w:numPr>
          <w:ilvl w:val="0"/>
          <w:numId w:val="3"/>
        </w:numPr>
        <w:rPr>
          <w:iCs/>
        </w:rPr>
      </w:pPr>
      <w:r w:rsidRPr="000F48E0">
        <w:rPr>
          <w:iCs/>
        </w:rPr>
        <w:t xml:space="preserve">Only the PrimoTinA 1 &amp; 2 trials included </w:t>
      </w:r>
      <w:r w:rsidR="00E76B75" w:rsidRPr="000F48E0">
        <w:rPr>
          <w:iCs/>
        </w:rPr>
        <w:t>forced vital capacity</w:t>
      </w:r>
      <w:r w:rsidRPr="000F48E0">
        <w:rPr>
          <w:iCs/>
        </w:rPr>
        <w:t xml:space="preserve"> ≤70% as one of the inclusion criteria.</w:t>
      </w:r>
    </w:p>
    <w:p w14:paraId="336C8243" w14:textId="77777777" w:rsidR="001F516D" w:rsidRPr="000F48E0" w:rsidRDefault="001F516D" w:rsidP="00EA556C">
      <w:pPr>
        <w:pStyle w:val="ListParagraph"/>
        <w:numPr>
          <w:ilvl w:val="0"/>
          <w:numId w:val="3"/>
        </w:numPr>
        <w:rPr>
          <w:iCs/>
        </w:rPr>
      </w:pPr>
      <w:r w:rsidRPr="000F48E0">
        <w:rPr>
          <w:iCs/>
        </w:rPr>
        <w:t xml:space="preserve">Patients with smoking history of &gt;20 pack-years were excluded in the ARGON trial. This differed from the </w:t>
      </w:r>
      <w:r w:rsidR="004409F7" w:rsidRPr="000F48E0">
        <w:rPr>
          <w:iCs/>
        </w:rPr>
        <w:t>other</w:t>
      </w:r>
      <w:r w:rsidRPr="000F48E0">
        <w:rPr>
          <w:iCs/>
        </w:rPr>
        <w:t xml:space="preserve"> trials, which excluded current smokers or past smokers with &gt;10 pack-years.</w:t>
      </w:r>
    </w:p>
    <w:p w14:paraId="64CE127D" w14:textId="77777777" w:rsidR="001F516D" w:rsidRPr="000F48E0" w:rsidRDefault="001F516D" w:rsidP="00EA556C">
      <w:pPr>
        <w:pStyle w:val="ListParagraph"/>
        <w:numPr>
          <w:ilvl w:val="0"/>
          <w:numId w:val="3"/>
        </w:numPr>
        <w:rPr>
          <w:iCs/>
        </w:rPr>
      </w:pPr>
      <w:r w:rsidRPr="000F48E0">
        <w:rPr>
          <w:iCs/>
        </w:rPr>
        <w:t xml:space="preserve">The proportion of male patients ranged from 27.3% to 61%. </w:t>
      </w:r>
    </w:p>
    <w:p w14:paraId="50A8308F" w14:textId="77777777" w:rsidR="001F516D" w:rsidRPr="000F48E0" w:rsidRDefault="001F516D" w:rsidP="00EA556C">
      <w:pPr>
        <w:pStyle w:val="ListParagraph"/>
        <w:numPr>
          <w:ilvl w:val="0"/>
          <w:numId w:val="3"/>
        </w:numPr>
        <w:rPr>
          <w:iCs/>
        </w:rPr>
      </w:pPr>
      <w:r w:rsidRPr="000F48E0">
        <w:rPr>
          <w:iCs/>
        </w:rPr>
        <w:t>The proportion of patients who were current or ex-smokers ranged from 3.6% to 31.8%.</w:t>
      </w:r>
    </w:p>
    <w:p w14:paraId="5F5BAE0C" w14:textId="77777777" w:rsidR="001F516D" w:rsidRDefault="001F516D" w:rsidP="00EA556C">
      <w:pPr>
        <w:pStyle w:val="ListParagraph"/>
        <w:numPr>
          <w:ilvl w:val="0"/>
          <w:numId w:val="3"/>
        </w:numPr>
        <w:rPr>
          <w:iCs/>
        </w:rPr>
      </w:pPr>
      <w:bookmarkStart w:id="28" w:name="_Hlk81771625"/>
      <w:r w:rsidRPr="000F48E0">
        <w:rPr>
          <w:iCs/>
        </w:rPr>
        <w:t>Differences in the ICS/LABA combinations, dosages and dose frequencies.</w:t>
      </w:r>
    </w:p>
    <w:bookmarkEnd w:id="28"/>
    <w:p w14:paraId="5B30E2DE" w14:textId="77777777" w:rsidR="002E0F0C" w:rsidRPr="001808B1" w:rsidRDefault="009B2A59" w:rsidP="002E0F0C">
      <w:pPr>
        <w:pStyle w:val="3-BodyText"/>
        <w:rPr>
          <w:snapToGrid/>
          <w:lang w:val="en-US"/>
        </w:rPr>
      </w:pPr>
      <w:r>
        <w:rPr>
          <w:snapToGrid/>
          <w:lang w:val="en-US"/>
        </w:rPr>
        <w:t>The primary outcome for the CAPTAIN trial was</w:t>
      </w:r>
      <w:r w:rsidR="00A15391">
        <w:rPr>
          <w:snapToGrid/>
          <w:lang w:val="en-US"/>
        </w:rPr>
        <w:t xml:space="preserve"> </w:t>
      </w:r>
      <w:r w:rsidR="00A15391" w:rsidRPr="001808B1">
        <w:t xml:space="preserve">change </w:t>
      </w:r>
      <w:r w:rsidR="00A15391">
        <w:t xml:space="preserve">from baseline </w:t>
      </w:r>
      <w:r w:rsidR="00A15391" w:rsidRPr="001808B1">
        <w:t>in trough forced expiratory volume in one second (FEV1)</w:t>
      </w:r>
      <w:r w:rsidR="00A15391">
        <w:t>.</w:t>
      </w:r>
      <w:r>
        <w:rPr>
          <w:snapToGrid/>
          <w:lang w:val="en-US"/>
        </w:rPr>
        <w:t xml:space="preserve"> </w:t>
      </w:r>
      <w:r w:rsidR="002E0F0C" w:rsidRPr="001808B1">
        <w:rPr>
          <w:snapToGrid/>
          <w:lang w:val="en-US"/>
        </w:rPr>
        <w:t>The submission reported the following secondary outcomes of interest: annualised rate of moderate/severe exacerbations, time to first moderate/severe exacerbation, ACQ-7 total score, ACQ-7 responder rate, AQLQ total score, and St George’s Respiratory Questionnaire (SGRQ).</w:t>
      </w:r>
    </w:p>
    <w:p w14:paraId="7D7C36B0" w14:textId="77777777" w:rsidR="001F516D" w:rsidRPr="000F48E0" w:rsidRDefault="001F516D" w:rsidP="00EA556C">
      <w:pPr>
        <w:pStyle w:val="3-BodyText"/>
      </w:pPr>
      <w:r w:rsidRPr="001808B1">
        <w:t xml:space="preserve">The clinically relevant outcomes for asthma are differences in lung function tests, rescue medication use, symptom-free days/control (e.g., Asthma Control Questionnaire, ACQ), asthma exacerbations and quality of life (e.g., AQLQ). In past decisions, the PBAC has relied on lung function tests to determine non-inferiority between ICS/LABA FDCs, including change in morning peak expiratory flow (PEF), and less commonly change in trough </w:t>
      </w:r>
      <w:r w:rsidR="00A15391">
        <w:t>FEV1</w:t>
      </w:r>
      <w:r w:rsidRPr="001808B1">
        <w:t xml:space="preserve">. The PBAC recommended TIO for triple therapy ICS/LABA+LAMA in severe asthma based on acceptable cost-effectiveness versus dual therapy ICS/LABA, supported by a clinically relevant improvement in FEV1 in the trial data and where ACQ-7 and exacerbations informed the health states in the model (paragraph 6.9, tiotropium bromide PSD, March 2016 PBAC meeting). </w:t>
      </w:r>
      <w:bookmarkStart w:id="29" w:name="_Hlk82425580"/>
      <w:r w:rsidR="00D20B5C" w:rsidRPr="000F48E0">
        <w:rPr>
          <w:iCs/>
          <w:color w:val="000000" w:themeColor="text1"/>
        </w:rPr>
        <w:t xml:space="preserve">The recommendation of MF/IND/GLY was based on improvement in trough FEV1 (paragraph 7.5, MF/IND/GLY PSD, July 2020 PBAC Meeting). </w:t>
      </w:r>
      <w:bookmarkEnd w:id="29"/>
    </w:p>
    <w:p w14:paraId="214AE830" w14:textId="77777777" w:rsidR="001F516D" w:rsidRPr="006D35A3" w:rsidRDefault="001F516D" w:rsidP="00EA556C">
      <w:pPr>
        <w:pStyle w:val="3-BodyText"/>
        <w:rPr>
          <w:rFonts w:eastAsia="Calibri"/>
        </w:rPr>
      </w:pPr>
      <w:r w:rsidRPr="000F48E0">
        <w:t>The submission nominated a non-inferiority margin of 0.10 L in the mean change from baseline in clinic trough FEV1 at the end of the treatment period. The PBAC previously considered that an increase in FEV1 of 0.10 L was likely to be clinically meaningful for severe asthma (paragraph 7.5, tiotropium bromide PSD July 2015 PBAC meeting), which is lower than the</w:t>
      </w:r>
      <w:r w:rsidR="00A40E77" w:rsidRPr="000F48E0">
        <w:t xml:space="preserve"> </w:t>
      </w:r>
      <w:r w:rsidRPr="000F48E0">
        <w:t>non-inferiority margin of between 0.15 to 0.20 L accepted by the PBAC for less severe asthma (page 4, fluticasone propionate with eformoterol fumarate FDC PSD</w:t>
      </w:r>
      <w:r w:rsidR="00645AA2" w:rsidRPr="000F48E0">
        <w:t>,</w:t>
      </w:r>
      <w:r w:rsidRPr="000F48E0">
        <w:t xml:space="preserve"> July 2013 PBAC </w:t>
      </w:r>
      <w:r w:rsidR="00645AA2" w:rsidRPr="000F48E0">
        <w:t>Meeting</w:t>
      </w:r>
      <w:r w:rsidRPr="000F48E0">
        <w:t>; and paragraph 6.4, fluticasone furoate with vilanterol FDC PSD</w:t>
      </w:r>
      <w:r w:rsidR="00645AA2" w:rsidRPr="000F48E0">
        <w:t>,</w:t>
      </w:r>
      <w:r w:rsidRPr="000F48E0">
        <w:t xml:space="preserve"> March 2014 PBAC </w:t>
      </w:r>
      <w:r w:rsidR="00645AA2" w:rsidRPr="000F48E0">
        <w:t>Meeting</w:t>
      </w:r>
      <w:r w:rsidRPr="000F48E0">
        <w:t xml:space="preserve">). </w:t>
      </w:r>
      <w:r w:rsidRPr="000F48E0">
        <w:rPr>
          <w:iCs/>
        </w:rPr>
        <w:t>A</w:t>
      </w:r>
      <w:r w:rsidR="002E0F0C" w:rsidRPr="000F48E0">
        <w:rPr>
          <w:iCs/>
        </w:rPr>
        <w:t xml:space="preserve"> non-inferiority margin</w:t>
      </w:r>
      <w:r w:rsidRPr="000F48E0">
        <w:rPr>
          <w:iCs/>
        </w:rPr>
        <w:t xml:space="preserve"> of </w:t>
      </w:r>
      <w:r w:rsidR="00794FB3">
        <w:rPr>
          <w:iCs/>
        </w:rPr>
        <w:br/>
      </w:r>
      <w:r w:rsidRPr="000F48E0">
        <w:rPr>
          <w:iCs/>
        </w:rPr>
        <w:t xml:space="preserve">0.10 L for </w:t>
      </w:r>
      <w:r w:rsidRPr="006D35A3">
        <w:rPr>
          <w:iCs/>
        </w:rPr>
        <w:t xml:space="preserve">severe asthma is consistent with </w:t>
      </w:r>
      <w:r w:rsidR="00B55039">
        <w:rPr>
          <w:iCs/>
        </w:rPr>
        <w:t xml:space="preserve">the </w:t>
      </w:r>
      <w:r w:rsidRPr="006D35A3">
        <w:rPr>
          <w:iCs/>
        </w:rPr>
        <w:t>sample size calculation</w:t>
      </w:r>
      <w:r w:rsidR="00B55039">
        <w:rPr>
          <w:iCs/>
        </w:rPr>
        <w:t>s</w:t>
      </w:r>
      <w:r w:rsidRPr="006D35A3">
        <w:rPr>
          <w:iCs/>
        </w:rPr>
        <w:t xml:space="preserve"> </w:t>
      </w:r>
      <w:r w:rsidR="00B55039">
        <w:rPr>
          <w:iCs/>
        </w:rPr>
        <w:t>for</w:t>
      </w:r>
      <w:r w:rsidR="00B55039" w:rsidRPr="006D35A3">
        <w:rPr>
          <w:iCs/>
        </w:rPr>
        <w:t xml:space="preserve"> </w:t>
      </w:r>
      <w:r w:rsidRPr="006D35A3">
        <w:rPr>
          <w:iCs/>
        </w:rPr>
        <w:t xml:space="preserve">the CAPTAIN and PrimoTinA1&amp;2 trials but not </w:t>
      </w:r>
      <w:r w:rsidR="00B55039">
        <w:rPr>
          <w:iCs/>
        </w:rPr>
        <w:t>for</w:t>
      </w:r>
      <w:r w:rsidR="00B55039" w:rsidRPr="006D35A3">
        <w:rPr>
          <w:iCs/>
        </w:rPr>
        <w:t xml:space="preserve"> </w:t>
      </w:r>
      <w:r w:rsidRPr="006D35A3">
        <w:rPr>
          <w:iCs/>
        </w:rPr>
        <w:t>the IRIDIUM and TRIGGER trials (0.09 L).</w:t>
      </w:r>
    </w:p>
    <w:p w14:paraId="51BA42CB" w14:textId="77777777" w:rsidR="006D35A3" w:rsidRPr="00F21704" w:rsidRDefault="001F516D" w:rsidP="00EA556C">
      <w:pPr>
        <w:pStyle w:val="3-BodyText"/>
        <w:rPr>
          <w:rFonts w:eastAsia="Calibri"/>
        </w:rPr>
      </w:pPr>
      <w:r w:rsidRPr="006D35A3">
        <w:t xml:space="preserve">The submission did not specify a non-inferiority margin for </w:t>
      </w:r>
      <w:r w:rsidR="00D20B5C" w:rsidRPr="006D35A3">
        <w:t xml:space="preserve">the </w:t>
      </w:r>
      <w:r w:rsidRPr="006D35A3">
        <w:t xml:space="preserve">other outcomes and instead considered the lack of a statistical difference between </w:t>
      </w:r>
      <w:r w:rsidR="0081496A">
        <w:t>FF/UMEC/VI 200/62.5/25</w:t>
      </w:r>
      <w:r w:rsidRPr="006D35A3">
        <w:t xml:space="preserve"> and comparators as supporting the claim of non-inferiority.</w:t>
      </w:r>
      <w:r w:rsidR="006D35A3" w:rsidRPr="006D35A3">
        <w:t xml:space="preserve"> </w:t>
      </w:r>
      <w:r w:rsidR="006D35A3" w:rsidRPr="00F21704">
        <w:t xml:space="preserve">The ESC considered it reasonable, based on prior PBAC decisions, to rely predominantly on the primary outcome (FEV1) for the purposes of assessing non-inferiority whilst noting that non-inferiority was not established for the secondary outcome measures including rates of moderate/severe exacerbations. The ESC also noted that no precedents were found for non-inferiority margins for the time to first moderate/severe exacerbation or ACQ-7 responder rates.  </w:t>
      </w:r>
    </w:p>
    <w:p w14:paraId="71A138EA" w14:textId="77777777" w:rsidR="001F516D" w:rsidRPr="001808B1" w:rsidRDefault="001F516D" w:rsidP="00EA556C">
      <w:pPr>
        <w:pStyle w:val="4-SubsectionHeading"/>
      </w:pPr>
      <w:bookmarkStart w:id="30" w:name="_Toc22897641"/>
      <w:bookmarkStart w:id="31" w:name="_Toc22898853"/>
      <w:bookmarkStart w:id="32" w:name="_Toc82689134"/>
      <w:r w:rsidRPr="001808B1">
        <w:t>Comparative effectiveness</w:t>
      </w:r>
      <w:bookmarkEnd w:id="30"/>
      <w:bookmarkEnd w:id="31"/>
      <w:bookmarkEnd w:id="32"/>
    </w:p>
    <w:p w14:paraId="51115AAC" w14:textId="77777777" w:rsidR="001F516D" w:rsidRDefault="001F516D" w:rsidP="00EA556C">
      <w:pPr>
        <w:pStyle w:val="3-BodyText"/>
      </w:pPr>
      <w:r w:rsidRPr="001808B1">
        <w:t>Tables 4-</w:t>
      </w:r>
      <w:r w:rsidR="00970E41">
        <w:t>6</w:t>
      </w:r>
      <w:r w:rsidRPr="001808B1">
        <w:t xml:space="preserve"> provide the</w:t>
      </w:r>
      <w:r w:rsidR="00484A89">
        <w:t xml:space="preserve"> CAPTAIN</w:t>
      </w:r>
      <w:r w:rsidRPr="001808B1">
        <w:t xml:space="preserve"> trial results for primary and secondary outcomes.</w:t>
      </w:r>
      <w:r w:rsidR="00484A89">
        <w:t xml:space="preserve"> </w:t>
      </w:r>
      <w:r w:rsidR="00F618D9">
        <w:t xml:space="preserve">As outlined in </w:t>
      </w:r>
      <w:r w:rsidR="00F618D9" w:rsidRPr="00F10864">
        <w:t>paragraph 6.1</w:t>
      </w:r>
      <w:r w:rsidR="00F875D4" w:rsidRPr="00F10864">
        <w:t>2</w:t>
      </w:r>
      <w:r w:rsidR="00F618D9">
        <w:t>, the CAPTAIN trial differed from</w:t>
      </w:r>
      <w:r w:rsidR="007106A8">
        <w:t xml:space="preserve"> the</w:t>
      </w:r>
      <w:r w:rsidR="00F618D9">
        <w:t xml:space="preserve"> other trials with respect to exacerbation history. </w:t>
      </w:r>
      <w:r w:rsidR="00484A89">
        <w:t>Where possible, the results for both</w:t>
      </w:r>
      <w:r w:rsidR="007106A8">
        <w:t xml:space="preserve"> the</w:t>
      </w:r>
      <w:r w:rsidR="00484A89">
        <w:t xml:space="preserve"> ITT and </w:t>
      </w:r>
      <w:r w:rsidR="00F618D9">
        <w:t xml:space="preserve">the </w:t>
      </w:r>
      <w:r w:rsidR="00484A89">
        <w:t xml:space="preserve">subgroup </w:t>
      </w:r>
      <w:r w:rsidR="00F618D9">
        <w:t xml:space="preserve">analysis of patients </w:t>
      </w:r>
      <w:r w:rsidR="00484A89">
        <w:t xml:space="preserve">with </w:t>
      </w:r>
      <w:r w:rsidR="00484A89" w:rsidRPr="00484A89">
        <w:t>≥1 exacerbation</w:t>
      </w:r>
      <w:r w:rsidR="00484A89">
        <w:t xml:space="preserve"> are presented. </w:t>
      </w:r>
      <w:r w:rsidR="00C22925">
        <w:t xml:space="preserve"> </w:t>
      </w:r>
    </w:p>
    <w:p w14:paraId="21D06775" w14:textId="6748C352" w:rsidR="00484A89" w:rsidRDefault="00484A89" w:rsidP="00EA556C">
      <w:pPr>
        <w:pStyle w:val="3-BodyText"/>
      </w:pPr>
      <w:r>
        <w:t xml:space="preserve">The CAPTAIN trial also included the medium strength </w:t>
      </w:r>
      <w:r w:rsidR="0081496A">
        <w:t>FF/UMEC/VI</w:t>
      </w:r>
      <w:r>
        <w:t xml:space="preserve"> </w:t>
      </w:r>
      <w:r w:rsidR="002946DC">
        <w:t xml:space="preserve">with the results for </w:t>
      </w:r>
      <w:r w:rsidR="0081496A">
        <w:t>FF/UMEC/VI</w:t>
      </w:r>
      <w:r w:rsidR="002946DC">
        <w:t xml:space="preserve"> </w:t>
      </w:r>
      <w:r w:rsidR="0081496A">
        <w:t>100/62.5/25</w:t>
      </w:r>
      <w:r w:rsidR="002946DC">
        <w:t xml:space="preserve"> </w:t>
      </w:r>
      <w:r w:rsidR="002946DC" w:rsidRPr="006601EB">
        <w:t xml:space="preserve">presented in </w:t>
      </w:r>
      <w:r w:rsidR="006601EB" w:rsidRPr="006601EB">
        <w:t>the submission but not reproduced here</w:t>
      </w:r>
      <w:r w:rsidR="002946DC">
        <w:t xml:space="preserve">.  </w:t>
      </w:r>
    </w:p>
    <w:p w14:paraId="6D7A0065" w14:textId="7C6E1A33" w:rsidR="00EA5079" w:rsidRDefault="00EA5079" w:rsidP="00EA5079">
      <w:pPr>
        <w:pStyle w:val="3-BodyText"/>
        <w:numPr>
          <w:ilvl w:val="0"/>
          <w:numId w:val="0"/>
        </w:numPr>
      </w:pPr>
    </w:p>
    <w:p w14:paraId="26F00BF1" w14:textId="6206E84D" w:rsidR="00EA5079" w:rsidRDefault="00EA5079" w:rsidP="00EA5079">
      <w:pPr>
        <w:pStyle w:val="3-BodyText"/>
        <w:numPr>
          <w:ilvl w:val="0"/>
          <w:numId w:val="0"/>
        </w:numPr>
      </w:pPr>
    </w:p>
    <w:p w14:paraId="3E0AC450" w14:textId="3E1A11F2" w:rsidR="00EA5079" w:rsidRDefault="00EA5079" w:rsidP="00EA5079">
      <w:pPr>
        <w:pStyle w:val="3-BodyText"/>
        <w:numPr>
          <w:ilvl w:val="0"/>
          <w:numId w:val="0"/>
        </w:numPr>
      </w:pPr>
    </w:p>
    <w:p w14:paraId="092F4570" w14:textId="77777777" w:rsidR="00EA5079" w:rsidRPr="001808B1" w:rsidRDefault="00EA5079" w:rsidP="00EA5079">
      <w:pPr>
        <w:pStyle w:val="3-BodyText"/>
        <w:numPr>
          <w:ilvl w:val="0"/>
          <w:numId w:val="0"/>
        </w:numPr>
      </w:pPr>
    </w:p>
    <w:p w14:paraId="531DA75A" w14:textId="77777777" w:rsidR="001F516D" w:rsidRPr="00E47C14" w:rsidRDefault="001F516D" w:rsidP="00895AB9">
      <w:pPr>
        <w:pStyle w:val="TableFigureHeading"/>
        <w:keepLines/>
      </w:pPr>
      <w:r w:rsidRPr="001808B1">
        <w:rPr>
          <w:lang w:eastAsia="en-US"/>
        </w:rPr>
        <w:t xml:space="preserve">Table </w:t>
      </w:r>
      <w:r w:rsidR="00CE25E9">
        <w:rPr>
          <w:lang w:eastAsia="en-US"/>
        </w:rPr>
        <w:t>4</w:t>
      </w:r>
      <w:r w:rsidRPr="001808B1">
        <w:rPr>
          <w:lang w:eastAsia="en-US"/>
        </w:rPr>
        <w:t xml:space="preserve">: </w:t>
      </w:r>
      <w:r w:rsidR="00036529">
        <w:rPr>
          <w:lang w:eastAsia="en-US"/>
        </w:rPr>
        <w:t>Change from baseline in trough FEV1 and % of patients having</w:t>
      </w:r>
      <w:r w:rsidR="00A40E77">
        <w:rPr>
          <w:lang w:eastAsia="en-US"/>
        </w:rPr>
        <w:t xml:space="preserve"> </w:t>
      </w:r>
      <w:r w:rsidR="00036529" w:rsidRPr="00E47C14">
        <w:rPr>
          <w:lang w:eastAsia="en-US"/>
        </w:rPr>
        <w:t>&gt;100 mL improvement</w:t>
      </w:r>
      <w:r w:rsidR="002A4F6E" w:rsidRPr="00E47C14">
        <w:rPr>
          <w:lang w:eastAsia="en-US"/>
        </w:rPr>
        <w:t xml:space="preserve"> (i.e. responder)</w:t>
      </w:r>
      <w:r w:rsidR="00036529" w:rsidRPr="00E47C14">
        <w:rPr>
          <w:lang w:eastAsia="en-US"/>
        </w:rPr>
        <w:t xml:space="preserve"> from baseline for trough FEV1</w:t>
      </w:r>
      <w:r w:rsidR="00DE4AA5" w:rsidRPr="00E47C14">
        <w:rPr>
          <w:lang w:eastAsia="en-US"/>
        </w:rPr>
        <w:t xml:space="preserve"> (</w:t>
      </w:r>
      <w:r w:rsidR="0038531E">
        <w:rPr>
          <w:lang w:eastAsia="en-US"/>
        </w:rPr>
        <w:t>ITT and subgroup results based on the CAPTAIN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Change from baseline in trough FEV1 and % of patients having &gt;100 mL improvement (i.e. responder) from baseline for trough FEV1 (ITT and subgroup results based on the CAPTAIN trial)"/>
      </w:tblPr>
      <w:tblGrid>
        <w:gridCol w:w="2974"/>
        <w:gridCol w:w="1417"/>
        <w:gridCol w:w="1702"/>
        <w:gridCol w:w="1277"/>
        <w:gridCol w:w="1647"/>
      </w:tblGrid>
      <w:tr w:rsidR="003B3285" w:rsidRPr="001808B1" w14:paraId="6FBCD375" w14:textId="77777777" w:rsidTr="002946DC">
        <w:trPr>
          <w:tblHeader/>
        </w:trPr>
        <w:tc>
          <w:tcPr>
            <w:tcW w:w="1649" w:type="pct"/>
            <w:vMerge w:val="restart"/>
            <w:shd w:val="clear" w:color="auto" w:fill="FFFFFF" w:themeFill="background1"/>
          </w:tcPr>
          <w:p w14:paraId="33AA1C36" w14:textId="77777777" w:rsidR="00036529" w:rsidRPr="001808B1" w:rsidRDefault="00036529" w:rsidP="00895AB9">
            <w:pPr>
              <w:pStyle w:val="In-tableHeading"/>
              <w:keepLines/>
            </w:pPr>
          </w:p>
        </w:tc>
        <w:tc>
          <w:tcPr>
            <w:tcW w:w="1730" w:type="pct"/>
            <w:gridSpan w:val="2"/>
            <w:shd w:val="clear" w:color="auto" w:fill="FFFFFF" w:themeFill="background1"/>
          </w:tcPr>
          <w:p w14:paraId="20090867" w14:textId="77777777" w:rsidR="00036529" w:rsidRPr="001808B1" w:rsidRDefault="00036529" w:rsidP="00895AB9">
            <w:pPr>
              <w:pStyle w:val="In-tableHeading"/>
              <w:keepLines/>
            </w:pPr>
            <w:r>
              <w:t>ITT population</w:t>
            </w:r>
          </w:p>
        </w:tc>
        <w:tc>
          <w:tcPr>
            <w:tcW w:w="1621" w:type="pct"/>
            <w:gridSpan w:val="2"/>
            <w:shd w:val="clear" w:color="auto" w:fill="FFFFFF" w:themeFill="background1"/>
          </w:tcPr>
          <w:p w14:paraId="15942785" w14:textId="77777777" w:rsidR="00036529" w:rsidRDefault="00036529" w:rsidP="00895AB9">
            <w:pPr>
              <w:pStyle w:val="In-tableHeading"/>
              <w:keepLines/>
            </w:pPr>
            <w:r>
              <w:t>Subgroup ≥1 exacerbation</w:t>
            </w:r>
          </w:p>
        </w:tc>
      </w:tr>
      <w:tr w:rsidR="00525EFC" w:rsidRPr="001808B1" w14:paraId="25FEDB74" w14:textId="77777777" w:rsidTr="002946DC">
        <w:trPr>
          <w:tblHeader/>
        </w:trPr>
        <w:tc>
          <w:tcPr>
            <w:tcW w:w="1649" w:type="pct"/>
            <w:vMerge/>
            <w:shd w:val="clear" w:color="auto" w:fill="FFFFFF" w:themeFill="background1"/>
          </w:tcPr>
          <w:p w14:paraId="3A092DE9" w14:textId="77777777" w:rsidR="00525EFC" w:rsidRPr="001808B1" w:rsidRDefault="00525EFC" w:rsidP="00895AB9">
            <w:pPr>
              <w:pStyle w:val="In-tableHeading"/>
              <w:keepLines/>
            </w:pPr>
          </w:p>
        </w:tc>
        <w:tc>
          <w:tcPr>
            <w:tcW w:w="786" w:type="pct"/>
            <w:shd w:val="clear" w:color="auto" w:fill="FFFFFF" w:themeFill="background1"/>
          </w:tcPr>
          <w:p w14:paraId="0D33079C" w14:textId="77777777" w:rsidR="00525EFC" w:rsidRPr="001808B1" w:rsidRDefault="00525EFC" w:rsidP="00895AB9">
            <w:pPr>
              <w:pStyle w:val="In-tableHeading"/>
              <w:keepLines/>
            </w:pPr>
            <w:r w:rsidRPr="001808B1">
              <w:t>FF/VI</w:t>
            </w:r>
          </w:p>
          <w:p w14:paraId="79B7957B" w14:textId="77777777" w:rsidR="00525EFC" w:rsidRPr="001808B1" w:rsidRDefault="00525EFC" w:rsidP="00895AB9">
            <w:pPr>
              <w:pStyle w:val="In-tableHeading"/>
              <w:keepLines/>
            </w:pPr>
            <w:r w:rsidRPr="001808B1">
              <w:t>200/25</w:t>
            </w:r>
          </w:p>
          <w:p w14:paraId="12EE772A" w14:textId="77777777" w:rsidR="00525EFC" w:rsidRPr="001808B1" w:rsidRDefault="00525EFC" w:rsidP="00895AB9">
            <w:pPr>
              <w:pStyle w:val="In-tableHeading"/>
              <w:keepLines/>
            </w:pPr>
            <w:r w:rsidRPr="001808B1">
              <w:t>N=406</w:t>
            </w:r>
          </w:p>
        </w:tc>
        <w:tc>
          <w:tcPr>
            <w:tcW w:w="944" w:type="pct"/>
            <w:shd w:val="clear" w:color="auto" w:fill="FFFFFF" w:themeFill="background1"/>
          </w:tcPr>
          <w:p w14:paraId="615E33E3" w14:textId="77777777" w:rsidR="00525EFC" w:rsidRPr="001808B1" w:rsidRDefault="0081496A" w:rsidP="00895AB9">
            <w:pPr>
              <w:pStyle w:val="In-tableHeading"/>
              <w:keepLines/>
            </w:pPr>
            <w:r>
              <w:t>FF/UMEC/VI</w:t>
            </w:r>
          </w:p>
          <w:p w14:paraId="75F97D0E" w14:textId="77777777" w:rsidR="00525EFC" w:rsidRPr="001808B1" w:rsidRDefault="0081496A" w:rsidP="00895AB9">
            <w:pPr>
              <w:pStyle w:val="In-tableHeading"/>
              <w:keepLines/>
            </w:pPr>
            <w:r>
              <w:t>200/62.5/25</w:t>
            </w:r>
          </w:p>
          <w:p w14:paraId="7F3F6A02" w14:textId="77777777" w:rsidR="00525EFC" w:rsidRPr="001808B1" w:rsidRDefault="00525EFC" w:rsidP="00895AB9">
            <w:pPr>
              <w:pStyle w:val="In-tableHeading"/>
              <w:keepLines/>
            </w:pPr>
            <w:r w:rsidRPr="001808B1">
              <w:t>N=408</w:t>
            </w:r>
          </w:p>
        </w:tc>
        <w:tc>
          <w:tcPr>
            <w:tcW w:w="708" w:type="pct"/>
            <w:shd w:val="clear" w:color="auto" w:fill="FFFFFF" w:themeFill="background1"/>
          </w:tcPr>
          <w:p w14:paraId="3ED2CC88" w14:textId="77777777" w:rsidR="00525EFC" w:rsidRPr="001808B1" w:rsidRDefault="00525EFC" w:rsidP="00895AB9">
            <w:pPr>
              <w:pStyle w:val="In-tableHeading"/>
              <w:keepLines/>
            </w:pPr>
            <w:r w:rsidRPr="001808B1">
              <w:t>FF/VI</w:t>
            </w:r>
          </w:p>
          <w:p w14:paraId="37FD5659" w14:textId="77777777" w:rsidR="00525EFC" w:rsidRPr="001808B1" w:rsidRDefault="00525EFC" w:rsidP="00895AB9">
            <w:pPr>
              <w:pStyle w:val="In-tableHeading"/>
              <w:keepLines/>
            </w:pPr>
            <w:r w:rsidRPr="001808B1">
              <w:t>200/25</w:t>
            </w:r>
          </w:p>
          <w:p w14:paraId="0CE65F1D" w14:textId="77777777" w:rsidR="00525EFC" w:rsidRPr="001808B1" w:rsidRDefault="00525EFC" w:rsidP="00895AB9">
            <w:pPr>
              <w:pStyle w:val="In-tableHeading"/>
              <w:keepLines/>
            </w:pPr>
            <w:r w:rsidRPr="001808B1">
              <w:t>N=</w:t>
            </w:r>
            <w:r w:rsidR="006253CE">
              <w:t>248</w:t>
            </w:r>
          </w:p>
        </w:tc>
        <w:tc>
          <w:tcPr>
            <w:tcW w:w="913" w:type="pct"/>
            <w:shd w:val="clear" w:color="auto" w:fill="FFFFFF" w:themeFill="background1"/>
          </w:tcPr>
          <w:p w14:paraId="7CDB99A6" w14:textId="77777777" w:rsidR="00525EFC" w:rsidRPr="001808B1" w:rsidRDefault="0081496A" w:rsidP="00895AB9">
            <w:pPr>
              <w:pStyle w:val="In-tableHeading"/>
              <w:keepLines/>
            </w:pPr>
            <w:r>
              <w:t>FF/UMEC/VI</w:t>
            </w:r>
          </w:p>
          <w:p w14:paraId="0FA26567" w14:textId="77777777" w:rsidR="00525EFC" w:rsidRPr="001808B1" w:rsidRDefault="0081496A" w:rsidP="00895AB9">
            <w:pPr>
              <w:pStyle w:val="In-tableHeading"/>
              <w:keepLines/>
            </w:pPr>
            <w:r>
              <w:t>200/62.5/25</w:t>
            </w:r>
          </w:p>
          <w:p w14:paraId="6418C9B4" w14:textId="77777777" w:rsidR="00525EFC" w:rsidRPr="001808B1" w:rsidRDefault="00525EFC" w:rsidP="00895AB9">
            <w:pPr>
              <w:pStyle w:val="In-tableHeading"/>
              <w:keepLines/>
            </w:pPr>
            <w:r w:rsidRPr="001808B1">
              <w:t>N=</w:t>
            </w:r>
            <w:r w:rsidR="006253CE">
              <w:t>283</w:t>
            </w:r>
          </w:p>
        </w:tc>
      </w:tr>
      <w:tr w:rsidR="00803384" w:rsidRPr="001808B1" w14:paraId="5168AB7F" w14:textId="77777777" w:rsidTr="00970E41">
        <w:tc>
          <w:tcPr>
            <w:tcW w:w="5000" w:type="pct"/>
            <w:gridSpan w:val="5"/>
            <w:shd w:val="clear" w:color="auto" w:fill="FFFFFF" w:themeFill="background1"/>
          </w:tcPr>
          <w:p w14:paraId="3D35BB8B" w14:textId="77777777" w:rsidR="00803384" w:rsidRPr="00970E41" w:rsidRDefault="00803384" w:rsidP="00895AB9">
            <w:pPr>
              <w:pStyle w:val="Tabletext"/>
              <w:keepNext/>
              <w:keepLines/>
              <w:rPr>
                <w:b/>
                <w:bCs/>
                <w:lang w:eastAsia="en-US"/>
              </w:rPr>
            </w:pPr>
            <w:r w:rsidRPr="00970E41">
              <w:rPr>
                <w:b/>
                <w:bCs/>
                <w:lang w:eastAsia="en-US"/>
              </w:rPr>
              <w:t xml:space="preserve">Mean change from baseline </w:t>
            </w:r>
            <w:r w:rsidR="00C2388F" w:rsidRPr="00970E41">
              <w:rPr>
                <w:b/>
                <w:bCs/>
                <w:lang w:eastAsia="en-US"/>
              </w:rPr>
              <w:t>trough FEV1 at</w:t>
            </w:r>
            <w:r w:rsidRPr="00970E41">
              <w:rPr>
                <w:b/>
                <w:bCs/>
                <w:lang w:eastAsia="en-US"/>
              </w:rPr>
              <w:t xml:space="preserve"> Week 24</w:t>
            </w:r>
          </w:p>
        </w:tc>
      </w:tr>
      <w:tr w:rsidR="003B3285" w:rsidRPr="001808B1" w14:paraId="5EF1EB6C" w14:textId="77777777" w:rsidTr="002946DC">
        <w:tc>
          <w:tcPr>
            <w:tcW w:w="1649" w:type="pct"/>
            <w:shd w:val="clear" w:color="auto" w:fill="FFFFFF" w:themeFill="background1"/>
          </w:tcPr>
          <w:p w14:paraId="37880579" w14:textId="77777777" w:rsidR="00803384" w:rsidRDefault="00803384" w:rsidP="00895AB9">
            <w:pPr>
              <w:pStyle w:val="Tabletext"/>
              <w:keepNext/>
              <w:keepLines/>
              <w:rPr>
                <w:lang w:eastAsia="en-US"/>
              </w:rPr>
            </w:pPr>
            <w:r>
              <w:rPr>
                <w:lang w:eastAsia="en-US"/>
              </w:rPr>
              <w:t>Mean change (SE), 95% CI</w:t>
            </w:r>
            <w:r w:rsidR="00FF7622">
              <w:rPr>
                <w:lang w:eastAsia="en-US"/>
              </w:rPr>
              <w:t xml:space="preserve"> (L)</w:t>
            </w:r>
          </w:p>
        </w:tc>
        <w:tc>
          <w:tcPr>
            <w:tcW w:w="786" w:type="pct"/>
            <w:shd w:val="clear" w:color="auto" w:fill="FFFFFF" w:themeFill="background1"/>
          </w:tcPr>
          <w:p w14:paraId="7846C0BB" w14:textId="77777777" w:rsidR="00803384" w:rsidRDefault="00803384" w:rsidP="00895AB9">
            <w:pPr>
              <w:pStyle w:val="Tabletext"/>
              <w:keepNext/>
              <w:keepLines/>
              <w:rPr>
                <w:lang w:eastAsia="en-US"/>
              </w:rPr>
            </w:pPr>
            <w:r>
              <w:rPr>
                <w:lang w:eastAsia="en-US"/>
              </w:rPr>
              <w:t>0.076 (0.0156)</w:t>
            </w:r>
          </w:p>
          <w:p w14:paraId="4D5CB49A" w14:textId="77777777" w:rsidR="00803384" w:rsidRPr="001808B1" w:rsidRDefault="00803384" w:rsidP="00895AB9">
            <w:pPr>
              <w:pStyle w:val="Tabletext"/>
              <w:keepNext/>
              <w:keepLines/>
              <w:rPr>
                <w:lang w:eastAsia="en-US"/>
              </w:rPr>
            </w:pPr>
            <w:r>
              <w:rPr>
                <w:lang w:eastAsia="en-US"/>
              </w:rPr>
              <w:t>(0.045, 0.106)</w:t>
            </w:r>
          </w:p>
        </w:tc>
        <w:tc>
          <w:tcPr>
            <w:tcW w:w="944" w:type="pct"/>
            <w:shd w:val="clear" w:color="auto" w:fill="FFFFFF" w:themeFill="background1"/>
          </w:tcPr>
          <w:p w14:paraId="78895CB9" w14:textId="77777777" w:rsidR="00803384" w:rsidRDefault="00803384" w:rsidP="00895AB9">
            <w:pPr>
              <w:pStyle w:val="Tabletext"/>
              <w:keepNext/>
              <w:keepLines/>
              <w:rPr>
                <w:lang w:eastAsia="en-US"/>
              </w:rPr>
            </w:pPr>
            <w:r>
              <w:rPr>
                <w:lang w:eastAsia="en-US"/>
              </w:rPr>
              <w:t>0.168 (0.0155)</w:t>
            </w:r>
          </w:p>
          <w:p w14:paraId="48B70ACF" w14:textId="77777777" w:rsidR="00803384" w:rsidRPr="001808B1" w:rsidRDefault="00803384" w:rsidP="00895AB9">
            <w:pPr>
              <w:pStyle w:val="Tabletext"/>
              <w:keepNext/>
              <w:keepLines/>
              <w:rPr>
                <w:lang w:eastAsia="en-US"/>
              </w:rPr>
            </w:pPr>
            <w:r>
              <w:rPr>
                <w:lang w:eastAsia="en-US"/>
              </w:rPr>
              <w:t>(0.137, 0.198)</w:t>
            </w:r>
          </w:p>
        </w:tc>
        <w:tc>
          <w:tcPr>
            <w:tcW w:w="708" w:type="pct"/>
            <w:shd w:val="clear" w:color="auto" w:fill="FFFFFF" w:themeFill="background1"/>
          </w:tcPr>
          <w:p w14:paraId="31268CBA" w14:textId="77777777" w:rsidR="00FE7A67" w:rsidRDefault="00FE7A67" w:rsidP="00895AB9">
            <w:pPr>
              <w:pStyle w:val="Tabletext"/>
              <w:keepNext/>
              <w:keepLines/>
              <w:rPr>
                <w:lang w:eastAsia="en-US"/>
              </w:rPr>
            </w:pPr>
            <w:r>
              <w:rPr>
                <w:lang w:eastAsia="en-US"/>
              </w:rPr>
              <w:t>0.076 (0.0198)</w:t>
            </w:r>
          </w:p>
          <w:p w14:paraId="2EF19A22" w14:textId="77777777" w:rsidR="00803384" w:rsidRPr="001808B1" w:rsidRDefault="00FE7A67" w:rsidP="00895AB9">
            <w:pPr>
              <w:pStyle w:val="Tabletext"/>
              <w:keepNext/>
              <w:keepLines/>
              <w:rPr>
                <w:lang w:eastAsia="en-US"/>
              </w:rPr>
            </w:pPr>
            <w:r>
              <w:rPr>
                <w:lang w:eastAsia="en-US"/>
              </w:rPr>
              <w:t>(0.037, 0.114)</w:t>
            </w:r>
          </w:p>
        </w:tc>
        <w:tc>
          <w:tcPr>
            <w:tcW w:w="913" w:type="pct"/>
            <w:shd w:val="clear" w:color="auto" w:fill="FFFFFF" w:themeFill="background1"/>
          </w:tcPr>
          <w:p w14:paraId="05B2C6AC" w14:textId="77777777" w:rsidR="00FE7A67" w:rsidRDefault="00FE7A67" w:rsidP="00895AB9">
            <w:pPr>
              <w:pStyle w:val="Tabletext"/>
              <w:keepNext/>
              <w:keepLines/>
              <w:rPr>
                <w:lang w:eastAsia="en-US"/>
              </w:rPr>
            </w:pPr>
            <w:r>
              <w:rPr>
                <w:lang w:eastAsia="en-US"/>
              </w:rPr>
              <w:t>0.153 (0.0186)</w:t>
            </w:r>
          </w:p>
          <w:p w14:paraId="367C706E" w14:textId="77777777" w:rsidR="00803384" w:rsidRPr="001808B1" w:rsidRDefault="00FE7A67" w:rsidP="00895AB9">
            <w:pPr>
              <w:pStyle w:val="Tabletext"/>
              <w:keepNext/>
              <w:keepLines/>
              <w:rPr>
                <w:lang w:eastAsia="en-US"/>
              </w:rPr>
            </w:pPr>
            <w:r>
              <w:rPr>
                <w:lang w:eastAsia="en-US"/>
              </w:rPr>
              <w:t>(0.117, 0.190)</w:t>
            </w:r>
          </w:p>
        </w:tc>
      </w:tr>
      <w:tr w:rsidR="003B3285" w:rsidRPr="001808B1" w14:paraId="27AFBA11" w14:textId="77777777" w:rsidTr="002946DC">
        <w:tc>
          <w:tcPr>
            <w:tcW w:w="1649" w:type="pct"/>
            <w:shd w:val="clear" w:color="auto" w:fill="FFFFFF" w:themeFill="background1"/>
          </w:tcPr>
          <w:p w14:paraId="01E188AC" w14:textId="77777777" w:rsidR="00803384" w:rsidRDefault="0081496A" w:rsidP="00895AB9">
            <w:pPr>
              <w:pStyle w:val="Tabletext"/>
              <w:keepNext/>
              <w:keepLines/>
              <w:rPr>
                <w:lang w:eastAsia="en-US"/>
              </w:rPr>
            </w:pPr>
            <w:r>
              <w:rPr>
                <w:lang w:eastAsia="en-US"/>
              </w:rPr>
              <w:t>FF/UMEC/VI 200/62.5/25</w:t>
            </w:r>
            <w:r w:rsidR="00FE7A67">
              <w:rPr>
                <w:lang w:eastAsia="en-US"/>
              </w:rPr>
              <w:t xml:space="preserve"> vs </w:t>
            </w:r>
            <w:r w:rsidR="00803384">
              <w:rPr>
                <w:lang w:eastAsia="en-US"/>
              </w:rPr>
              <w:t>FF/VI 200/25</w:t>
            </w:r>
            <w:r w:rsidR="00FF7622">
              <w:rPr>
                <w:lang w:eastAsia="en-US"/>
              </w:rPr>
              <w:t xml:space="preserve"> (L)</w:t>
            </w:r>
          </w:p>
          <w:p w14:paraId="4444DA51" w14:textId="77777777" w:rsidR="00FE7A67" w:rsidRDefault="00FE7A67" w:rsidP="00895AB9">
            <w:pPr>
              <w:pStyle w:val="Tabletext"/>
              <w:keepNext/>
              <w:keepLines/>
              <w:rPr>
                <w:lang w:eastAsia="en-US"/>
              </w:rPr>
            </w:pPr>
            <w:r>
              <w:rPr>
                <w:lang w:eastAsia="en-US"/>
              </w:rPr>
              <w:t>Difference (SE), 95% CI</w:t>
            </w:r>
            <w:r w:rsidR="002946DC">
              <w:rPr>
                <w:lang w:eastAsia="en-US"/>
              </w:rPr>
              <w:t xml:space="preserve">, </w:t>
            </w:r>
            <w:r w:rsidR="002946DC" w:rsidRPr="001808B1">
              <w:rPr>
                <w:rFonts w:eastAsia="MS Gothic"/>
                <w:lang w:eastAsia="en-US"/>
              </w:rPr>
              <w:t>p-value</w:t>
            </w:r>
          </w:p>
        </w:tc>
        <w:tc>
          <w:tcPr>
            <w:tcW w:w="786" w:type="pct"/>
            <w:shd w:val="clear" w:color="auto" w:fill="FFFFFF" w:themeFill="background1"/>
          </w:tcPr>
          <w:p w14:paraId="2078393C" w14:textId="77777777" w:rsidR="00803384" w:rsidRPr="001808B1" w:rsidRDefault="00FE7A67" w:rsidP="00895AB9">
            <w:pPr>
              <w:pStyle w:val="Tabletext"/>
              <w:keepNext/>
              <w:keepLines/>
              <w:rPr>
                <w:lang w:eastAsia="en-US"/>
              </w:rPr>
            </w:pPr>
            <w:r>
              <w:rPr>
                <w:lang w:eastAsia="en-US"/>
              </w:rPr>
              <w:t>Reference arm</w:t>
            </w:r>
          </w:p>
        </w:tc>
        <w:tc>
          <w:tcPr>
            <w:tcW w:w="944" w:type="pct"/>
            <w:shd w:val="clear" w:color="auto" w:fill="FFFFFF" w:themeFill="background1"/>
          </w:tcPr>
          <w:p w14:paraId="3F387B2E" w14:textId="77777777" w:rsidR="00FE7A67" w:rsidRPr="00FE7A67" w:rsidRDefault="00FE7A67" w:rsidP="00895AB9">
            <w:pPr>
              <w:pStyle w:val="Tabletext"/>
              <w:keepNext/>
              <w:keepLines/>
              <w:rPr>
                <w:b/>
                <w:bCs/>
                <w:lang w:eastAsia="en-US"/>
              </w:rPr>
            </w:pPr>
            <w:r w:rsidRPr="00FE7A67">
              <w:rPr>
                <w:b/>
                <w:bCs/>
                <w:lang w:eastAsia="en-US"/>
              </w:rPr>
              <w:t>0.092</w:t>
            </w:r>
            <w:r w:rsidR="00970E41">
              <w:rPr>
                <w:b/>
                <w:bCs/>
                <w:lang w:eastAsia="en-US"/>
              </w:rPr>
              <w:t xml:space="preserve"> L</w:t>
            </w:r>
            <w:r w:rsidRPr="00FE7A67">
              <w:rPr>
                <w:b/>
                <w:bCs/>
                <w:lang w:eastAsia="en-US"/>
              </w:rPr>
              <w:t xml:space="preserve"> (0.0220</w:t>
            </w:r>
            <w:r w:rsidR="00970E41">
              <w:rPr>
                <w:b/>
                <w:bCs/>
                <w:lang w:eastAsia="en-US"/>
              </w:rPr>
              <w:t xml:space="preserve"> L</w:t>
            </w:r>
            <w:r w:rsidRPr="00FE7A67">
              <w:rPr>
                <w:b/>
                <w:bCs/>
                <w:lang w:eastAsia="en-US"/>
              </w:rPr>
              <w:t>)</w:t>
            </w:r>
          </w:p>
          <w:p w14:paraId="74DA5904" w14:textId="77777777" w:rsidR="00FE7A67" w:rsidRPr="00FE7A67" w:rsidRDefault="00FE7A67" w:rsidP="00895AB9">
            <w:pPr>
              <w:pStyle w:val="Tabletext"/>
              <w:keepNext/>
              <w:keepLines/>
              <w:rPr>
                <w:b/>
                <w:bCs/>
                <w:lang w:eastAsia="en-US"/>
              </w:rPr>
            </w:pPr>
            <w:r w:rsidRPr="00FE7A67">
              <w:rPr>
                <w:b/>
                <w:bCs/>
                <w:lang w:eastAsia="en-US"/>
              </w:rPr>
              <w:t>(0.049</w:t>
            </w:r>
            <w:r w:rsidR="00970E41">
              <w:rPr>
                <w:b/>
                <w:bCs/>
                <w:lang w:eastAsia="en-US"/>
              </w:rPr>
              <w:t xml:space="preserve"> L</w:t>
            </w:r>
            <w:r w:rsidRPr="00FE7A67">
              <w:rPr>
                <w:b/>
                <w:bCs/>
                <w:lang w:eastAsia="en-US"/>
              </w:rPr>
              <w:t>, 0.135</w:t>
            </w:r>
            <w:r w:rsidR="00970E41">
              <w:rPr>
                <w:b/>
                <w:bCs/>
                <w:lang w:eastAsia="en-US"/>
              </w:rPr>
              <w:t xml:space="preserve"> L</w:t>
            </w:r>
            <w:r w:rsidRPr="00FE7A67">
              <w:rPr>
                <w:b/>
                <w:bCs/>
                <w:lang w:eastAsia="en-US"/>
              </w:rPr>
              <w:t>)</w:t>
            </w:r>
          </w:p>
          <w:p w14:paraId="7795EF54" w14:textId="77777777" w:rsidR="00803384" w:rsidRPr="00FE7A67" w:rsidRDefault="002946DC" w:rsidP="00895AB9">
            <w:pPr>
              <w:pStyle w:val="Tabletext"/>
              <w:keepNext/>
              <w:keepLines/>
              <w:rPr>
                <w:b/>
                <w:bCs/>
                <w:lang w:eastAsia="en-US"/>
              </w:rPr>
            </w:pPr>
            <w:r>
              <w:rPr>
                <w:b/>
                <w:bCs/>
                <w:lang w:eastAsia="en-US"/>
              </w:rPr>
              <w:t>p</w:t>
            </w:r>
            <w:r w:rsidR="00FE7A67" w:rsidRPr="00FE7A67">
              <w:rPr>
                <w:b/>
                <w:bCs/>
                <w:lang w:eastAsia="en-US"/>
              </w:rPr>
              <w:t>&lt;0.001</w:t>
            </w:r>
          </w:p>
        </w:tc>
        <w:tc>
          <w:tcPr>
            <w:tcW w:w="708" w:type="pct"/>
            <w:shd w:val="clear" w:color="auto" w:fill="FFFFFF" w:themeFill="background1"/>
          </w:tcPr>
          <w:p w14:paraId="4E0B538A" w14:textId="77777777" w:rsidR="00803384" w:rsidRPr="001808B1" w:rsidRDefault="00FE7A67" w:rsidP="00895AB9">
            <w:pPr>
              <w:pStyle w:val="Tabletext"/>
              <w:keepNext/>
              <w:keepLines/>
              <w:rPr>
                <w:lang w:eastAsia="en-US"/>
              </w:rPr>
            </w:pPr>
            <w:r>
              <w:rPr>
                <w:lang w:eastAsia="en-US"/>
              </w:rPr>
              <w:t>Reference arm</w:t>
            </w:r>
          </w:p>
        </w:tc>
        <w:tc>
          <w:tcPr>
            <w:tcW w:w="913" w:type="pct"/>
            <w:shd w:val="clear" w:color="auto" w:fill="FFFFFF" w:themeFill="background1"/>
          </w:tcPr>
          <w:p w14:paraId="2390AFDF" w14:textId="77777777" w:rsidR="00FE7A67" w:rsidRPr="00FE7A67" w:rsidRDefault="00FE7A67" w:rsidP="00895AB9">
            <w:pPr>
              <w:pStyle w:val="Tabletext"/>
              <w:keepNext/>
              <w:keepLines/>
              <w:rPr>
                <w:b/>
                <w:bCs/>
                <w:lang w:eastAsia="en-US"/>
              </w:rPr>
            </w:pPr>
            <w:r w:rsidRPr="00FE7A67">
              <w:rPr>
                <w:b/>
                <w:bCs/>
                <w:lang w:eastAsia="en-US"/>
              </w:rPr>
              <w:t>0.078</w:t>
            </w:r>
            <w:r w:rsidR="00970E41">
              <w:rPr>
                <w:b/>
                <w:bCs/>
                <w:lang w:eastAsia="en-US"/>
              </w:rPr>
              <w:t xml:space="preserve"> L</w:t>
            </w:r>
            <w:r w:rsidRPr="00FE7A67">
              <w:rPr>
                <w:b/>
                <w:bCs/>
                <w:lang w:eastAsia="en-US"/>
              </w:rPr>
              <w:t xml:space="preserve"> (0.0272</w:t>
            </w:r>
            <w:r w:rsidR="00970E41">
              <w:rPr>
                <w:b/>
                <w:bCs/>
                <w:lang w:eastAsia="en-US"/>
              </w:rPr>
              <w:t xml:space="preserve"> L</w:t>
            </w:r>
            <w:r w:rsidRPr="00FE7A67">
              <w:rPr>
                <w:b/>
                <w:bCs/>
                <w:lang w:eastAsia="en-US"/>
              </w:rPr>
              <w:t>)</w:t>
            </w:r>
          </w:p>
          <w:p w14:paraId="00B7D695" w14:textId="77777777" w:rsidR="00803384" w:rsidRPr="001808B1" w:rsidRDefault="00FE7A67" w:rsidP="00895AB9">
            <w:pPr>
              <w:pStyle w:val="Tabletext"/>
              <w:keepNext/>
              <w:keepLines/>
              <w:rPr>
                <w:lang w:eastAsia="en-US"/>
              </w:rPr>
            </w:pPr>
            <w:r w:rsidRPr="00FE7A67">
              <w:rPr>
                <w:b/>
                <w:bCs/>
                <w:lang w:eastAsia="en-US"/>
              </w:rPr>
              <w:t>(0.024</w:t>
            </w:r>
            <w:r w:rsidR="00970E41">
              <w:rPr>
                <w:b/>
                <w:bCs/>
                <w:lang w:eastAsia="en-US"/>
              </w:rPr>
              <w:t xml:space="preserve"> L</w:t>
            </w:r>
            <w:r w:rsidRPr="00FE7A67">
              <w:rPr>
                <w:b/>
                <w:bCs/>
                <w:lang w:eastAsia="en-US"/>
              </w:rPr>
              <w:t>, 0.131</w:t>
            </w:r>
            <w:r w:rsidR="00970E41">
              <w:rPr>
                <w:b/>
                <w:bCs/>
                <w:lang w:eastAsia="en-US"/>
              </w:rPr>
              <w:t xml:space="preserve"> L</w:t>
            </w:r>
            <w:r w:rsidRPr="00FE7A67">
              <w:rPr>
                <w:b/>
                <w:bCs/>
                <w:lang w:eastAsia="en-US"/>
              </w:rPr>
              <w:t xml:space="preserve">), </w:t>
            </w:r>
            <w:r w:rsidR="002946DC">
              <w:rPr>
                <w:b/>
                <w:bCs/>
                <w:lang w:eastAsia="en-US"/>
              </w:rPr>
              <w:t>p&lt;</w:t>
            </w:r>
            <w:r w:rsidRPr="00FE7A67">
              <w:rPr>
                <w:b/>
                <w:bCs/>
                <w:lang w:eastAsia="en-US"/>
              </w:rPr>
              <w:t>0.0042^</w:t>
            </w:r>
          </w:p>
        </w:tc>
      </w:tr>
      <w:tr w:rsidR="00644D9B" w:rsidRPr="001808B1" w14:paraId="63037AE9" w14:textId="77777777" w:rsidTr="00970E41">
        <w:tc>
          <w:tcPr>
            <w:tcW w:w="5000" w:type="pct"/>
            <w:gridSpan w:val="5"/>
            <w:shd w:val="clear" w:color="auto" w:fill="FFFFFF" w:themeFill="background1"/>
          </w:tcPr>
          <w:p w14:paraId="1B81F0E6" w14:textId="77777777" w:rsidR="00970E41" w:rsidRPr="00970E41" w:rsidRDefault="00970E41" w:rsidP="00895AB9">
            <w:pPr>
              <w:pStyle w:val="Tabletext"/>
              <w:keepNext/>
              <w:keepLines/>
              <w:rPr>
                <w:b/>
                <w:bCs/>
                <w:lang w:eastAsia="en-US"/>
              </w:rPr>
            </w:pPr>
            <w:r w:rsidRPr="00970E41">
              <w:rPr>
                <w:b/>
                <w:bCs/>
                <w:lang w:eastAsia="en-US"/>
              </w:rPr>
              <w:t>% of patients having</w:t>
            </w:r>
            <w:r w:rsidR="00A40E77">
              <w:rPr>
                <w:b/>
                <w:bCs/>
                <w:lang w:eastAsia="en-US"/>
              </w:rPr>
              <w:t xml:space="preserve"> </w:t>
            </w:r>
            <w:r w:rsidRPr="00970E41">
              <w:rPr>
                <w:b/>
                <w:bCs/>
                <w:lang w:eastAsia="en-US"/>
              </w:rPr>
              <w:t>&gt;100 mL improvement (i.e. responder) from baseline for trough FEV1 at week 24</w:t>
            </w:r>
            <w:r w:rsidR="005923C1">
              <w:rPr>
                <w:b/>
                <w:bCs/>
                <w:lang w:eastAsia="en-US"/>
              </w:rPr>
              <w:t xml:space="preserve"> and 52</w:t>
            </w:r>
          </w:p>
        </w:tc>
      </w:tr>
      <w:tr w:rsidR="002946DC" w:rsidRPr="001808B1" w14:paraId="7A1327FF" w14:textId="77777777" w:rsidTr="002946DC">
        <w:tc>
          <w:tcPr>
            <w:tcW w:w="1649" w:type="pct"/>
            <w:shd w:val="clear" w:color="auto" w:fill="FFFFFF" w:themeFill="background1"/>
          </w:tcPr>
          <w:p w14:paraId="178F2C8D" w14:textId="77777777" w:rsidR="002946DC" w:rsidRPr="002946DC" w:rsidRDefault="002946DC" w:rsidP="00895AB9">
            <w:pPr>
              <w:pStyle w:val="Tabletext"/>
              <w:keepNext/>
              <w:keepLines/>
              <w:rPr>
                <w:bCs/>
                <w:lang w:eastAsia="en-US"/>
              </w:rPr>
            </w:pPr>
            <w:r w:rsidRPr="002946DC">
              <w:rPr>
                <w:bCs/>
                <w:lang w:eastAsia="en-US"/>
              </w:rPr>
              <w:t>Week 24</w:t>
            </w:r>
          </w:p>
        </w:tc>
        <w:tc>
          <w:tcPr>
            <w:tcW w:w="786" w:type="pct"/>
            <w:shd w:val="clear" w:color="auto" w:fill="FFFFFF" w:themeFill="background1"/>
          </w:tcPr>
          <w:p w14:paraId="6AACEE98" w14:textId="77777777" w:rsidR="002946DC" w:rsidRPr="00970E41" w:rsidRDefault="002946DC" w:rsidP="00895AB9">
            <w:pPr>
              <w:pStyle w:val="Tabletext"/>
              <w:keepNext/>
              <w:keepLines/>
              <w:rPr>
                <w:b/>
                <w:bCs/>
                <w:lang w:eastAsia="en-US"/>
              </w:rPr>
            </w:pPr>
          </w:p>
        </w:tc>
        <w:tc>
          <w:tcPr>
            <w:tcW w:w="944" w:type="pct"/>
            <w:shd w:val="clear" w:color="auto" w:fill="FFFFFF" w:themeFill="background1"/>
          </w:tcPr>
          <w:p w14:paraId="074A211A" w14:textId="77777777" w:rsidR="002946DC" w:rsidRPr="00970E41" w:rsidRDefault="002946DC" w:rsidP="00895AB9">
            <w:pPr>
              <w:pStyle w:val="Tabletext"/>
              <w:keepNext/>
              <w:keepLines/>
              <w:rPr>
                <w:b/>
                <w:bCs/>
                <w:lang w:eastAsia="en-US"/>
              </w:rPr>
            </w:pPr>
          </w:p>
        </w:tc>
        <w:tc>
          <w:tcPr>
            <w:tcW w:w="1621" w:type="pct"/>
            <w:gridSpan w:val="2"/>
            <w:vMerge w:val="restart"/>
            <w:shd w:val="clear" w:color="auto" w:fill="FFFFFF" w:themeFill="background1"/>
          </w:tcPr>
          <w:p w14:paraId="41E49ACB" w14:textId="77777777" w:rsidR="002946DC" w:rsidRPr="00970E41" w:rsidRDefault="002946DC" w:rsidP="00895AB9">
            <w:pPr>
              <w:pStyle w:val="Tabletext"/>
              <w:keepNext/>
              <w:keepLines/>
              <w:rPr>
                <w:b/>
                <w:bCs/>
                <w:lang w:eastAsia="en-US"/>
              </w:rPr>
            </w:pPr>
            <w:r>
              <w:rPr>
                <w:rFonts w:eastAsia="MS Gothic"/>
                <w:lang w:eastAsia="en-US"/>
              </w:rPr>
              <w:t>NR</w:t>
            </w:r>
          </w:p>
        </w:tc>
      </w:tr>
      <w:tr w:rsidR="002946DC" w:rsidRPr="001808B1" w14:paraId="26226F1A" w14:textId="77777777" w:rsidTr="002946DC">
        <w:trPr>
          <w:trHeight w:val="842"/>
        </w:trPr>
        <w:tc>
          <w:tcPr>
            <w:tcW w:w="1649" w:type="pct"/>
            <w:shd w:val="clear" w:color="auto" w:fill="auto"/>
          </w:tcPr>
          <w:p w14:paraId="4BF26210" w14:textId="77777777" w:rsidR="002946DC" w:rsidRPr="001808B1" w:rsidRDefault="002946DC" w:rsidP="00FE7A67">
            <w:pPr>
              <w:pStyle w:val="Tabletext"/>
              <w:rPr>
                <w:rFonts w:eastAsia="MS Gothic"/>
                <w:vertAlign w:val="superscript"/>
                <w:lang w:eastAsia="en-US"/>
              </w:rPr>
            </w:pPr>
            <w:r w:rsidRPr="001808B1">
              <w:rPr>
                <w:rFonts w:eastAsia="MS Gothic"/>
                <w:lang w:eastAsia="en-US"/>
              </w:rPr>
              <w:t>n</w:t>
            </w:r>
          </w:p>
          <w:p w14:paraId="2CA8E68A" w14:textId="77777777" w:rsidR="002946DC" w:rsidRPr="001808B1" w:rsidRDefault="002946DC" w:rsidP="00FE7A67">
            <w:pPr>
              <w:pStyle w:val="Tabletext"/>
              <w:rPr>
                <w:rFonts w:eastAsia="MS Gothic"/>
                <w:lang w:eastAsia="en-US"/>
              </w:rPr>
            </w:pPr>
            <w:r w:rsidRPr="001808B1">
              <w:rPr>
                <w:rFonts w:eastAsia="MS Gothic"/>
                <w:lang w:eastAsia="en-US"/>
              </w:rPr>
              <w:t>Responder</w:t>
            </w:r>
          </w:p>
          <w:p w14:paraId="66A11718" w14:textId="77777777" w:rsidR="002946DC" w:rsidRPr="001808B1" w:rsidRDefault="002946DC" w:rsidP="00FE7A67">
            <w:pPr>
              <w:pStyle w:val="Tabletext"/>
              <w:rPr>
                <w:rFonts w:eastAsia="MS Gothic"/>
                <w:lang w:eastAsia="en-US"/>
              </w:rPr>
            </w:pPr>
            <w:r w:rsidRPr="001808B1">
              <w:rPr>
                <w:rFonts w:eastAsia="MS Gothic"/>
                <w:lang w:eastAsia="en-US"/>
              </w:rPr>
              <w:t>Non-responder</w:t>
            </w:r>
          </w:p>
          <w:p w14:paraId="4CFFE130" w14:textId="77777777" w:rsidR="002946DC" w:rsidRPr="001808B1" w:rsidRDefault="002946DC" w:rsidP="00FE7A67">
            <w:pPr>
              <w:pStyle w:val="Tabletext"/>
              <w:rPr>
                <w:rFonts w:eastAsia="MS Gothic"/>
                <w:lang w:eastAsia="en-US"/>
              </w:rPr>
            </w:pPr>
            <w:r w:rsidRPr="001808B1">
              <w:rPr>
                <w:rFonts w:eastAsia="MS Gothic"/>
                <w:lang w:eastAsia="en-US"/>
              </w:rPr>
              <w:t>Non-responder due to missing data</w:t>
            </w:r>
          </w:p>
        </w:tc>
        <w:tc>
          <w:tcPr>
            <w:tcW w:w="786" w:type="pct"/>
          </w:tcPr>
          <w:p w14:paraId="0F6ED6BE" w14:textId="77777777" w:rsidR="002946DC" w:rsidRPr="001808B1" w:rsidRDefault="002946DC" w:rsidP="00FE7A67">
            <w:pPr>
              <w:pStyle w:val="Tabletext"/>
              <w:rPr>
                <w:rFonts w:eastAsia="MS Gothic"/>
                <w:lang w:eastAsia="en-US"/>
              </w:rPr>
            </w:pPr>
            <w:r w:rsidRPr="001808B1">
              <w:rPr>
                <w:rFonts w:eastAsia="MS Gothic"/>
                <w:lang w:eastAsia="en-US"/>
              </w:rPr>
              <w:t>406</w:t>
            </w:r>
          </w:p>
          <w:p w14:paraId="2A30E482" w14:textId="77777777" w:rsidR="002946DC" w:rsidRPr="001808B1" w:rsidRDefault="002946DC" w:rsidP="00FE7A67">
            <w:pPr>
              <w:pStyle w:val="Tabletext"/>
              <w:rPr>
                <w:rFonts w:eastAsia="MS Gothic"/>
                <w:lang w:eastAsia="en-US"/>
              </w:rPr>
            </w:pPr>
            <w:r w:rsidRPr="001808B1">
              <w:rPr>
                <w:rFonts w:eastAsia="MS Gothic"/>
                <w:lang w:eastAsia="en-US"/>
              </w:rPr>
              <w:t>151 (37%)</w:t>
            </w:r>
          </w:p>
          <w:p w14:paraId="30BB0C85" w14:textId="77777777" w:rsidR="002946DC" w:rsidRPr="001808B1" w:rsidRDefault="002946DC" w:rsidP="00FE7A67">
            <w:pPr>
              <w:pStyle w:val="Tabletext"/>
              <w:rPr>
                <w:rFonts w:eastAsia="MS Gothic"/>
                <w:lang w:eastAsia="en-US"/>
              </w:rPr>
            </w:pPr>
            <w:r w:rsidRPr="001808B1">
              <w:rPr>
                <w:rFonts w:eastAsia="MS Gothic"/>
                <w:lang w:eastAsia="en-US"/>
              </w:rPr>
              <w:t>255 (63%)</w:t>
            </w:r>
          </w:p>
          <w:p w14:paraId="12DC1420" w14:textId="77777777" w:rsidR="002946DC" w:rsidRPr="001808B1" w:rsidRDefault="002946DC" w:rsidP="00FE7A67">
            <w:pPr>
              <w:pStyle w:val="Tabletext"/>
              <w:rPr>
                <w:rFonts w:eastAsia="MS Gothic"/>
                <w:lang w:eastAsia="en-US"/>
              </w:rPr>
            </w:pPr>
            <w:r w:rsidRPr="001808B1">
              <w:rPr>
                <w:rFonts w:eastAsia="MS Gothic"/>
                <w:lang w:eastAsia="en-US"/>
              </w:rPr>
              <w:t>21 (5%)</w:t>
            </w:r>
          </w:p>
        </w:tc>
        <w:tc>
          <w:tcPr>
            <w:tcW w:w="944" w:type="pct"/>
          </w:tcPr>
          <w:p w14:paraId="1FFCBFE2" w14:textId="77777777" w:rsidR="002946DC" w:rsidRPr="001808B1" w:rsidRDefault="002946DC" w:rsidP="00FE7A67">
            <w:pPr>
              <w:pStyle w:val="Tabletext"/>
              <w:rPr>
                <w:rFonts w:eastAsia="MS Gothic"/>
                <w:lang w:eastAsia="en-US"/>
              </w:rPr>
            </w:pPr>
            <w:r w:rsidRPr="001808B1">
              <w:rPr>
                <w:rFonts w:eastAsia="MS Gothic"/>
                <w:lang w:eastAsia="en-US"/>
              </w:rPr>
              <w:t>408</w:t>
            </w:r>
          </w:p>
          <w:p w14:paraId="3E59F3AE" w14:textId="77777777" w:rsidR="002946DC" w:rsidRPr="001808B1" w:rsidRDefault="002946DC" w:rsidP="00FE7A67">
            <w:pPr>
              <w:pStyle w:val="Tabletext"/>
              <w:rPr>
                <w:rFonts w:eastAsia="MS Gothic"/>
                <w:lang w:eastAsia="en-US"/>
              </w:rPr>
            </w:pPr>
            <w:r w:rsidRPr="001808B1">
              <w:rPr>
                <w:rFonts w:eastAsia="MS Gothic"/>
                <w:lang w:eastAsia="en-US"/>
              </w:rPr>
              <w:t>210 (51%)</w:t>
            </w:r>
          </w:p>
          <w:p w14:paraId="1BE624FE" w14:textId="77777777" w:rsidR="002946DC" w:rsidRPr="001808B1" w:rsidRDefault="002946DC" w:rsidP="00FE7A67">
            <w:pPr>
              <w:pStyle w:val="Tabletext"/>
              <w:rPr>
                <w:rFonts w:eastAsia="MS Gothic"/>
                <w:lang w:eastAsia="en-US"/>
              </w:rPr>
            </w:pPr>
            <w:r w:rsidRPr="001808B1">
              <w:rPr>
                <w:rFonts w:eastAsia="MS Gothic"/>
                <w:lang w:eastAsia="en-US"/>
              </w:rPr>
              <w:t>198 (49%)</w:t>
            </w:r>
          </w:p>
          <w:p w14:paraId="6725E263" w14:textId="77777777" w:rsidR="002946DC" w:rsidRPr="001808B1" w:rsidRDefault="002946DC" w:rsidP="00FE7A67">
            <w:pPr>
              <w:pStyle w:val="Tabletext"/>
              <w:rPr>
                <w:rFonts w:eastAsia="MS Gothic"/>
                <w:lang w:eastAsia="en-US"/>
              </w:rPr>
            </w:pPr>
            <w:r w:rsidRPr="001808B1">
              <w:rPr>
                <w:rFonts w:eastAsia="MS Gothic"/>
                <w:lang w:eastAsia="en-US"/>
              </w:rPr>
              <w:t>17 (4%)</w:t>
            </w:r>
          </w:p>
        </w:tc>
        <w:tc>
          <w:tcPr>
            <w:tcW w:w="1621" w:type="pct"/>
            <w:gridSpan w:val="2"/>
            <w:vMerge/>
          </w:tcPr>
          <w:p w14:paraId="336AE00F" w14:textId="77777777" w:rsidR="002946DC" w:rsidRPr="001808B1" w:rsidRDefault="002946DC" w:rsidP="00FE7A67">
            <w:pPr>
              <w:pStyle w:val="Tabletext"/>
              <w:rPr>
                <w:rFonts w:eastAsia="MS Gothic"/>
                <w:lang w:eastAsia="en-US"/>
              </w:rPr>
            </w:pPr>
          </w:p>
        </w:tc>
      </w:tr>
      <w:tr w:rsidR="002946DC" w:rsidRPr="001808B1" w14:paraId="3CDE18EF" w14:textId="77777777" w:rsidTr="002946DC">
        <w:trPr>
          <w:trHeight w:val="63"/>
        </w:trPr>
        <w:tc>
          <w:tcPr>
            <w:tcW w:w="1649" w:type="pct"/>
            <w:shd w:val="clear" w:color="auto" w:fill="auto"/>
          </w:tcPr>
          <w:p w14:paraId="120CEF25" w14:textId="77777777" w:rsidR="002946DC" w:rsidRPr="001808B1" w:rsidRDefault="0081496A" w:rsidP="00FE7A67">
            <w:pPr>
              <w:pStyle w:val="Tabletext"/>
              <w:rPr>
                <w:rFonts w:eastAsia="MS Gothic"/>
                <w:lang w:eastAsia="en-US"/>
              </w:rPr>
            </w:pPr>
            <w:r>
              <w:rPr>
                <w:rFonts w:eastAsia="MS Gothic"/>
                <w:lang w:eastAsia="en-US"/>
              </w:rPr>
              <w:t>FF/UMEC/VI 200/62.5/25</w:t>
            </w:r>
            <w:r w:rsidR="002946DC" w:rsidRPr="001808B1">
              <w:rPr>
                <w:rFonts w:eastAsia="MS Gothic"/>
                <w:lang w:eastAsia="en-US"/>
              </w:rPr>
              <w:t xml:space="preserve"> vs. FF/VI 200/25</w:t>
            </w:r>
          </w:p>
          <w:p w14:paraId="153F28D9" w14:textId="77777777" w:rsidR="002946DC" w:rsidRPr="001808B1" w:rsidRDefault="002946DC" w:rsidP="00FE7A67">
            <w:pPr>
              <w:pStyle w:val="Tabletext"/>
              <w:rPr>
                <w:rFonts w:eastAsia="MS Gothic"/>
                <w:lang w:eastAsia="en-US"/>
              </w:rPr>
            </w:pPr>
            <w:r w:rsidRPr="001808B1">
              <w:rPr>
                <w:rFonts w:eastAsia="MS Gothic"/>
                <w:lang w:eastAsia="en-US"/>
              </w:rPr>
              <w:t>Odds Ratio (95% CI); p-value</w:t>
            </w:r>
          </w:p>
        </w:tc>
        <w:tc>
          <w:tcPr>
            <w:tcW w:w="786" w:type="pct"/>
          </w:tcPr>
          <w:p w14:paraId="330ECE78" w14:textId="77777777" w:rsidR="002946DC" w:rsidRPr="001808B1" w:rsidRDefault="002946DC" w:rsidP="00FE7A67">
            <w:pPr>
              <w:pStyle w:val="Tabletext"/>
              <w:rPr>
                <w:rFonts w:eastAsia="MS Gothic"/>
                <w:lang w:eastAsia="en-US"/>
              </w:rPr>
            </w:pPr>
            <w:r w:rsidRPr="001808B1">
              <w:rPr>
                <w:rFonts w:eastAsia="MS Gothic"/>
                <w:lang w:eastAsia="en-US"/>
              </w:rPr>
              <w:t>Reference arm</w:t>
            </w:r>
          </w:p>
        </w:tc>
        <w:tc>
          <w:tcPr>
            <w:tcW w:w="944" w:type="pct"/>
          </w:tcPr>
          <w:p w14:paraId="5A13AFED" w14:textId="77777777" w:rsidR="002946DC" w:rsidRPr="001808B1" w:rsidRDefault="002946DC" w:rsidP="00FE7A67">
            <w:pPr>
              <w:pStyle w:val="Tabletext"/>
              <w:rPr>
                <w:rFonts w:eastAsia="MS Gothic"/>
                <w:lang w:eastAsia="en-US"/>
              </w:rPr>
            </w:pPr>
          </w:p>
          <w:p w14:paraId="40510B3D" w14:textId="77777777" w:rsidR="002946DC" w:rsidRPr="00960E02" w:rsidRDefault="002946DC" w:rsidP="00FE7A67">
            <w:pPr>
              <w:pStyle w:val="Tabletext"/>
              <w:rPr>
                <w:rFonts w:eastAsia="MS Gothic"/>
                <w:b/>
                <w:bCs/>
                <w:lang w:eastAsia="en-US"/>
              </w:rPr>
            </w:pPr>
            <w:r w:rsidRPr="00960E02">
              <w:rPr>
                <w:rFonts w:eastAsia="MS Gothic"/>
                <w:b/>
                <w:bCs/>
                <w:lang w:eastAsia="en-US"/>
              </w:rPr>
              <w:t>1.82 (1.37, 2.41); &lt;0.001</w:t>
            </w:r>
          </w:p>
        </w:tc>
        <w:tc>
          <w:tcPr>
            <w:tcW w:w="1621" w:type="pct"/>
            <w:gridSpan w:val="2"/>
            <w:vMerge/>
          </w:tcPr>
          <w:p w14:paraId="0028EB78" w14:textId="77777777" w:rsidR="002946DC" w:rsidRPr="001808B1" w:rsidRDefault="002946DC" w:rsidP="00FE7A67">
            <w:pPr>
              <w:pStyle w:val="Tabletext"/>
              <w:rPr>
                <w:rFonts w:eastAsia="MS Gothic"/>
                <w:lang w:eastAsia="en-US"/>
              </w:rPr>
            </w:pPr>
          </w:p>
        </w:tc>
      </w:tr>
      <w:tr w:rsidR="002946DC" w:rsidRPr="001808B1" w14:paraId="66A84008" w14:textId="77777777" w:rsidTr="002946DC">
        <w:trPr>
          <w:trHeight w:val="63"/>
        </w:trPr>
        <w:tc>
          <w:tcPr>
            <w:tcW w:w="1649" w:type="pct"/>
            <w:shd w:val="clear" w:color="auto" w:fill="auto"/>
          </w:tcPr>
          <w:p w14:paraId="2F6F6776" w14:textId="77777777" w:rsidR="002946DC" w:rsidRPr="001808B1" w:rsidRDefault="002946DC" w:rsidP="00FE7A67">
            <w:pPr>
              <w:pStyle w:val="Tabletext"/>
              <w:rPr>
                <w:rFonts w:eastAsia="MS Gothic"/>
                <w:lang w:eastAsia="en-US"/>
              </w:rPr>
            </w:pPr>
            <w:r w:rsidRPr="001808B1">
              <w:rPr>
                <w:rFonts w:eastAsia="MS Gothic"/>
                <w:lang w:eastAsia="en-US"/>
              </w:rPr>
              <w:t>Week 52</w:t>
            </w:r>
          </w:p>
        </w:tc>
        <w:tc>
          <w:tcPr>
            <w:tcW w:w="786" w:type="pct"/>
          </w:tcPr>
          <w:p w14:paraId="5FE0EB8A" w14:textId="77777777" w:rsidR="002946DC" w:rsidRPr="001808B1" w:rsidRDefault="002946DC" w:rsidP="00FE7A67">
            <w:pPr>
              <w:pStyle w:val="Tabletext"/>
              <w:rPr>
                <w:rFonts w:eastAsia="MS Gothic"/>
                <w:lang w:eastAsia="en-US"/>
              </w:rPr>
            </w:pPr>
          </w:p>
        </w:tc>
        <w:tc>
          <w:tcPr>
            <w:tcW w:w="944" w:type="pct"/>
          </w:tcPr>
          <w:p w14:paraId="52B8E685" w14:textId="77777777" w:rsidR="002946DC" w:rsidRPr="001808B1" w:rsidRDefault="002946DC" w:rsidP="00FE7A67">
            <w:pPr>
              <w:pStyle w:val="Tabletext"/>
              <w:rPr>
                <w:rFonts w:eastAsia="MS Gothic"/>
                <w:lang w:eastAsia="en-US"/>
              </w:rPr>
            </w:pPr>
          </w:p>
        </w:tc>
        <w:tc>
          <w:tcPr>
            <w:tcW w:w="1621" w:type="pct"/>
            <w:gridSpan w:val="2"/>
            <w:vMerge/>
          </w:tcPr>
          <w:p w14:paraId="1A7070E8" w14:textId="77777777" w:rsidR="002946DC" w:rsidRPr="001808B1" w:rsidRDefault="002946DC" w:rsidP="00FE7A67">
            <w:pPr>
              <w:pStyle w:val="Tabletext"/>
              <w:rPr>
                <w:rFonts w:eastAsia="MS Gothic"/>
                <w:lang w:eastAsia="en-US"/>
              </w:rPr>
            </w:pPr>
          </w:p>
        </w:tc>
      </w:tr>
      <w:tr w:rsidR="002946DC" w:rsidRPr="001808B1" w14:paraId="1BCC6A02" w14:textId="77777777" w:rsidTr="002946DC">
        <w:trPr>
          <w:trHeight w:val="63"/>
        </w:trPr>
        <w:tc>
          <w:tcPr>
            <w:tcW w:w="1649" w:type="pct"/>
            <w:tcBorders>
              <w:top w:val="single" w:sz="4" w:space="0" w:color="auto"/>
              <w:left w:val="single" w:sz="4" w:space="0" w:color="auto"/>
              <w:bottom w:val="single" w:sz="4" w:space="0" w:color="auto"/>
              <w:right w:val="single" w:sz="4" w:space="0" w:color="auto"/>
            </w:tcBorders>
            <w:shd w:val="clear" w:color="auto" w:fill="auto"/>
          </w:tcPr>
          <w:p w14:paraId="5FAD653F" w14:textId="77777777" w:rsidR="002946DC" w:rsidRPr="001808B1" w:rsidRDefault="002946DC" w:rsidP="00FE7A67">
            <w:pPr>
              <w:pStyle w:val="Tabletext"/>
              <w:rPr>
                <w:rFonts w:eastAsia="MS Gothic"/>
                <w:lang w:eastAsia="en-US"/>
              </w:rPr>
            </w:pPr>
            <w:r w:rsidRPr="001808B1">
              <w:rPr>
                <w:rFonts w:eastAsia="MS Gothic"/>
                <w:lang w:eastAsia="en-US"/>
              </w:rPr>
              <w:t>n</w:t>
            </w:r>
          </w:p>
          <w:p w14:paraId="1A1202C6" w14:textId="77777777" w:rsidR="002946DC" w:rsidRPr="001808B1" w:rsidRDefault="002946DC" w:rsidP="00FE7A67">
            <w:pPr>
              <w:pStyle w:val="Tabletext"/>
              <w:rPr>
                <w:rFonts w:eastAsia="MS Gothic"/>
                <w:lang w:eastAsia="en-US"/>
              </w:rPr>
            </w:pPr>
            <w:r w:rsidRPr="001808B1">
              <w:rPr>
                <w:rFonts w:eastAsia="MS Gothic"/>
                <w:lang w:eastAsia="en-US"/>
              </w:rPr>
              <w:t>Responder</w:t>
            </w:r>
          </w:p>
          <w:p w14:paraId="40011416" w14:textId="77777777" w:rsidR="002946DC" w:rsidRPr="001808B1" w:rsidRDefault="002946DC" w:rsidP="00FE7A67">
            <w:pPr>
              <w:pStyle w:val="Tabletext"/>
              <w:rPr>
                <w:rFonts w:eastAsia="MS Gothic"/>
                <w:lang w:eastAsia="en-US"/>
              </w:rPr>
            </w:pPr>
            <w:r w:rsidRPr="001808B1">
              <w:rPr>
                <w:rFonts w:eastAsia="MS Gothic"/>
                <w:lang w:eastAsia="en-US"/>
              </w:rPr>
              <w:t>Non-responder</w:t>
            </w:r>
          </w:p>
          <w:p w14:paraId="046C65A4" w14:textId="77777777" w:rsidR="002946DC" w:rsidRPr="001808B1" w:rsidRDefault="002946DC" w:rsidP="00FE7A67">
            <w:pPr>
              <w:pStyle w:val="Tabletext"/>
              <w:rPr>
                <w:rFonts w:eastAsia="MS Gothic"/>
                <w:lang w:eastAsia="en-US"/>
              </w:rPr>
            </w:pPr>
            <w:r w:rsidRPr="001808B1">
              <w:rPr>
                <w:rFonts w:eastAsia="MS Gothic"/>
                <w:lang w:eastAsia="en-US"/>
              </w:rPr>
              <w:t>Non-responder due to missing data</w:t>
            </w:r>
          </w:p>
        </w:tc>
        <w:tc>
          <w:tcPr>
            <w:tcW w:w="786" w:type="pct"/>
            <w:tcBorders>
              <w:top w:val="single" w:sz="4" w:space="0" w:color="auto"/>
              <w:left w:val="single" w:sz="4" w:space="0" w:color="auto"/>
              <w:bottom w:val="single" w:sz="4" w:space="0" w:color="auto"/>
              <w:right w:val="single" w:sz="4" w:space="0" w:color="auto"/>
            </w:tcBorders>
          </w:tcPr>
          <w:p w14:paraId="4D83E94B" w14:textId="77777777" w:rsidR="002946DC" w:rsidRPr="001808B1" w:rsidRDefault="002946DC" w:rsidP="00FE7A67">
            <w:pPr>
              <w:pStyle w:val="Tabletext"/>
              <w:rPr>
                <w:rFonts w:eastAsia="MS Gothic"/>
                <w:lang w:eastAsia="en-US"/>
              </w:rPr>
            </w:pPr>
            <w:r w:rsidRPr="001808B1">
              <w:rPr>
                <w:rFonts w:eastAsia="MS Gothic"/>
                <w:lang w:eastAsia="en-US"/>
              </w:rPr>
              <w:t>101</w:t>
            </w:r>
          </w:p>
          <w:p w14:paraId="5899BC3C" w14:textId="77777777" w:rsidR="002946DC" w:rsidRPr="001808B1" w:rsidRDefault="002946DC" w:rsidP="00FE7A67">
            <w:pPr>
              <w:pStyle w:val="Tabletext"/>
              <w:rPr>
                <w:rFonts w:eastAsia="MS Gothic"/>
                <w:lang w:eastAsia="en-US"/>
              </w:rPr>
            </w:pPr>
            <w:r w:rsidRPr="001808B1">
              <w:rPr>
                <w:rFonts w:eastAsia="MS Gothic"/>
                <w:lang w:eastAsia="en-US"/>
              </w:rPr>
              <w:t>37 (37%)</w:t>
            </w:r>
          </w:p>
          <w:p w14:paraId="1CD72968" w14:textId="77777777" w:rsidR="002946DC" w:rsidRPr="001808B1" w:rsidRDefault="002946DC" w:rsidP="00FE7A67">
            <w:pPr>
              <w:pStyle w:val="Tabletext"/>
              <w:rPr>
                <w:rFonts w:eastAsia="MS Gothic"/>
                <w:lang w:eastAsia="en-US"/>
              </w:rPr>
            </w:pPr>
            <w:r w:rsidRPr="001808B1">
              <w:rPr>
                <w:rFonts w:eastAsia="MS Gothic"/>
                <w:lang w:eastAsia="en-US"/>
              </w:rPr>
              <w:t>64 (63%)</w:t>
            </w:r>
          </w:p>
          <w:p w14:paraId="055C4BEF" w14:textId="77777777" w:rsidR="002946DC" w:rsidRPr="001808B1" w:rsidRDefault="002946DC" w:rsidP="00FE7A67">
            <w:pPr>
              <w:pStyle w:val="Tabletext"/>
              <w:rPr>
                <w:rFonts w:eastAsia="MS Gothic"/>
                <w:lang w:eastAsia="en-US"/>
              </w:rPr>
            </w:pPr>
            <w:r w:rsidRPr="001808B1">
              <w:rPr>
                <w:rFonts w:eastAsia="MS Gothic"/>
                <w:lang w:eastAsia="en-US"/>
              </w:rPr>
              <w:t>12 (12%)</w:t>
            </w:r>
          </w:p>
        </w:tc>
        <w:tc>
          <w:tcPr>
            <w:tcW w:w="944" w:type="pct"/>
            <w:tcBorders>
              <w:top w:val="single" w:sz="4" w:space="0" w:color="auto"/>
              <w:left w:val="single" w:sz="4" w:space="0" w:color="auto"/>
              <w:bottom w:val="single" w:sz="4" w:space="0" w:color="auto"/>
            </w:tcBorders>
          </w:tcPr>
          <w:p w14:paraId="40D9B870" w14:textId="77777777" w:rsidR="002946DC" w:rsidRPr="001808B1" w:rsidRDefault="002946DC" w:rsidP="00FE7A67">
            <w:pPr>
              <w:pStyle w:val="Tabletext"/>
              <w:rPr>
                <w:rFonts w:eastAsia="MS Gothic"/>
                <w:lang w:eastAsia="en-US"/>
              </w:rPr>
            </w:pPr>
            <w:r w:rsidRPr="001808B1">
              <w:rPr>
                <w:rFonts w:eastAsia="MS Gothic"/>
                <w:lang w:eastAsia="en-US"/>
              </w:rPr>
              <w:t>100</w:t>
            </w:r>
          </w:p>
          <w:p w14:paraId="7B856565" w14:textId="77777777" w:rsidR="002946DC" w:rsidRPr="001808B1" w:rsidRDefault="002946DC" w:rsidP="00FE7A67">
            <w:pPr>
              <w:pStyle w:val="Tabletext"/>
              <w:rPr>
                <w:rFonts w:eastAsia="MS Gothic"/>
                <w:lang w:eastAsia="en-US"/>
              </w:rPr>
            </w:pPr>
            <w:r w:rsidRPr="001808B1">
              <w:rPr>
                <w:rFonts w:eastAsia="MS Gothic"/>
                <w:lang w:eastAsia="en-US"/>
              </w:rPr>
              <w:t>52 (52%)</w:t>
            </w:r>
          </w:p>
          <w:p w14:paraId="478FC32F" w14:textId="77777777" w:rsidR="002946DC" w:rsidRPr="001808B1" w:rsidRDefault="002946DC" w:rsidP="00FE7A67">
            <w:pPr>
              <w:pStyle w:val="Tabletext"/>
              <w:rPr>
                <w:rFonts w:eastAsia="MS Gothic"/>
                <w:lang w:eastAsia="en-US"/>
              </w:rPr>
            </w:pPr>
            <w:r w:rsidRPr="001808B1">
              <w:rPr>
                <w:rFonts w:eastAsia="MS Gothic"/>
                <w:lang w:eastAsia="en-US"/>
              </w:rPr>
              <w:t>48 (48%)</w:t>
            </w:r>
          </w:p>
          <w:p w14:paraId="713FC6B3" w14:textId="77777777" w:rsidR="002946DC" w:rsidRPr="001808B1" w:rsidRDefault="002946DC" w:rsidP="00FE7A67">
            <w:pPr>
              <w:pStyle w:val="Tabletext"/>
              <w:rPr>
                <w:rFonts w:eastAsia="MS Gothic"/>
                <w:lang w:eastAsia="en-US"/>
              </w:rPr>
            </w:pPr>
            <w:r w:rsidRPr="001808B1">
              <w:rPr>
                <w:rFonts w:eastAsia="MS Gothic"/>
                <w:lang w:eastAsia="en-US"/>
              </w:rPr>
              <w:t>9 (9%)</w:t>
            </w:r>
          </w:p>
        </w:tc>
        <w:tc>
          <w:tcPr>
            <w:tcW w:w="1621" w:type="pct"/>
            <w:gridSpan w:val="2"/>
            <w:vMerge/>
          </w:tcPr>
          <w:p w14:paraId="36B6BF0F" w14:textId="77777777" w:rsidR="002946DC" w:rsidRPr="001808B1" w:rsidRDefault="002946DC" w:rsidP="00FE7A67">
            <w:pPr>
              <w:pStyle w:val="Tabletext"/>
              <w:rPr>
                <w:rFonts w:eastAsia="MS Gothic"/>
                <w:lang w:eastAsia="en-US"/>
              </w:rPr>
            </w:pPr>
          </w:p>
        </w:tc>
      </w:tr>
      <w:tr w:rsidR="002946DC" w:rsidRPr="001808B1" w14:paraId="3020643D" w14:textId="77777777" w:rsidTr="002946DC">
        <w:trPr>
          <w:trHeight w:val="108"/>
        </w:trPr>
        <w:tc>
          <w:tcPr>
            <w:tcW w:w="1649" w:type="pct"/>
            <w:tcBorders>
              <w:top w:val="single" w:sz="4" w:space="0" w:color="auto"/>
              <w:left w:val="single" w:sz="4" w:space="0" w:color="auto"/>
              <w:bottom w:val="single" w:sz="4" w:space="0" w:color="auto"/>
              <w:right w:val="single" w:sz="4" w:space="0" w:color="auto"/>
            </w:tcBorders>
            <w:shd w:val="clear" w:color="auto" w:fill="auto"/>
          </w:tcPr>
          <w:p w14:paraId="0C0B941D" w14:textId="77777777" w:rsidR="002946DC" w:rsidRPr="001808B1" w:rsidRDefault="0081496A" w:rsidP="00FE7A67">
            <w:pPr>
              <w:pStyle w:val="Tabletext"/>
              <w:rPr>
                <w:rFonts w:eastAsia="MS Gothic"/>
                <w:lang w:eastAsia="en-US"/>
              </w:rPr>
            </w:pPr>
            <w:r>
              <w:rPr>
                <w:rFonts w:eastAsia="MS Gothic"/>
                <w:lang w:eastAsia="en-US"/>
              </w:rPr>
              <w:t>FF/UMEC/VI 200/62.5/25</w:t>
            </w:r>
            <w:r w:rsidR="002946DC" w:rsidRPr="001808B1">
              <w:rPr>
                <w:rFonts w:eastAsia="MS Gothic"/>
                <w:lang w:eastAsia="en-US"/>
              </w:rPr>
              <w:t xml:space="preserve"> vs. FF/VI 200/25</w:t>
            </w:r>
          </w:p>
          <w:p w14:paraId="333DD7A8" w14:textId="77777777" w:rsidR="002946DC" w:rsidRPr="001808B1" w:rsidRDefault="002946DC" w:rsidP="00FE7A67">
            <w:pPr>
              <w:pStyle w:val="Tabletext"/>
              <w:rPr>
                <w:rFonts w:eastAsia="MS Gothic"/>
                <w:lang w:eastAsia="en-US"/>
              </w:rPr>
            </w:pPr>
            <w:r w:rsidRPr="001808B1">
              <w:rPr>
                <w:rFonts w:eastAsia="MS Gothic"/>
                <w:lang w:eastAsia="en-US"/>
              </w:rPr>
              <w:t>Odds Ratio (95% CI); p-value</w:t>
            </w:r>
          </w:p>
        </w:tc>
        <w:tc>
          <w:tcPr>
            <w:tcW w:w="786" w:type="pct"/>
            <w:tcBorders>
              <w:top w:val="single" w:sz="4" w:space="0" w:color="auto"/>
              <w:left w:val="single" w:sz="4" w:space="0" w:color="auto"/>
              <w:bottom w:val="single" w:sz="4" w:space="0" w:color="auto"/>
              <w:right w:val="single" w:sz="4" w:space="0" w:color="auto"/>
            </w:tcBorders>
          </w:tcPr>
          <w:p w14:paraId="66870792" w14:textId="77777777" w:rsidR="002946DC" w:rsidRPr="001808B1" w:rsidRDefault="002946DC" w:rsidP="00FE7A67">
            <w:pPr>
              <w:pStyle w:val="Tabletext"/>
              <w:rPr>
                <w:rFonts w:eastAsia="MS Gothic"/>
                <w:lang w:eastAsia="en-US"/>
              </w:rPr>
            </w:pPr>
            <w:r w:rsidRPr="001808B1">
              <w:rPr>
                <w:rFonts w:eastAsia="MS Gothic"/>
                <w:lang w:eastAsia="en-US"/>
              </w:rPr>
              <w:t>Reference arm</w:t>
            </w:r>
          </w:p>
        </w:tc>
        <w:tc>
          <w:tcPr>
            <w:tcW w:w="944" w:type="pct"/>
            <w:tcBorders>
              <w:top w:val="single" w:sz="4" w:space="0" w:color="auto"/>
              <w:left w:val="single" w:sz="4" w:space="0" w:color="auto"/>
              <w:bottom w:val="single" w:sz="4" w:space="0" w:color="auto"/>
            </w:tcBorders>
          </w:tcPr>
          <w:p w14:paraId="653A4713" w14:textId="77777777" w:rsidR="002946DC" w:rsidRPr="001808B1" w:rsidRDefault="002946DC" w:rsidP="00FE7A67">
            <w:pPr>
              <w:pStyle w:val="Tabletext"/>
              <w:rPr>
                <w:rFonts w:eastAsia="MS Gothic"/>
                <w:lang w:eastAsia="en-US"/>
              </w:rPr>
            </w:pPr>
          </w:p>
          <w:p w14:paraId="07C59858" w14:textId="77777777" w:rsidR="002946DC" w:rsidRPr="00960E02" w:rsidRDefault="002946DC" w:rsidP="00FE7A67">
            <w:pPr>
              <w:pStyle w:val="Tabletext"/>
              <w:rPr>
                <w:rFonts w:eastAsia="MS Gothic"/>
                <w:b/>
                <w:bCs/>
                <w:lang w:eastAsia="en-US"/>
              </w:rPr>
            </w:pPr>
            <w:r w:rsidRPr="00960E02">
              <w:rPr>
                <w:rFonts w:eastAsia="MS Gothic"/>
                <w:b/>
                <w:bCs/>
                <w:lang w:eastAsia="en-US"/>
              </w:rPr>
              <w:t>1.91 (1.07, 3.40); 0.028</w:t>
            </w:r>
          </w:p>
        </w:tc>
        <w:tc>
          <w:tcPr>
            <w:tcW w:w="1621" w:type="pct"/>
            <w:gridSpan w:val="2"/>
            <w:vMerge/>
            <w:tcBorders>
              <w:bottom w:val="single" w:sz="4" w:space="0" w:color="auto"/>
            </w:tcBorders>
          </w:tcPr>
          <w:p w14:paraId="427225C9" w14:textId="77777777" w:rsidR="002946DC" w:rsidRPr="001808B1" w:rsidRDefault="002946DC" w:rsidP="00FE7A67">
            <w:pPr>
              <w:pStyle w:val="Tabletext"/>
              <w:rPr>
                <w:rFonts w:eastAsia="MS Gothic"/>
                <w:lang w:eastAsia="en-US"/>
              </w:rPr>
            </w:pPr>
          </w:p>
        </w:tc>
      </w:tr>
    </w:tbl>
    <w:p w14:paraId="65B2584B" w14:textId="77777777" w:rsidR="001F516D" w:rsidRPr="001808B1" w:rsidRDefault="001F516D" w:rsidP="00EA556C">
      <w:pPr>
        <w:pStyle w:val="TableFigureFooter"/>
        <w:rPr>
          <w:rFonts w:eastAsia="MS Gothic"/>
          <w:lang w:eastAsia="en-US"/>
        </w:rPr>
      </w:pPr>
      <w:r w:rsidRPr="001808B1">
        <w:rPr>
          <w:rFonts w:eastAsia="MS Gothic"/>
          <w:lang w:eastAsia="en-US"/>
        </w:rPr>
        <w:t>Source: Tables 26-27, pp93-94</w:t>
      </w:r>
      <w:r w:rsidR="00525EFC">
        <w:rPr>
          <w:rFonts w:eastAsia="MS Gothic"/>
          <w:lang w:eastAsia="en-US"/>
        </w:rPr>
        <w:t>, Table 44, p108</w:t>
      </w:r>
      <w:r w:rsidRPr="001808B1">
        <w:rPr>
          <w:rFonts w:eastAsia="MS Gothic"/>
          <w:lang w:eastAsia="en-US"/>
        </w:rPr>
        <w:t xml:space="preserve"> of the submission</w:t>
      </w:r>
    </w:p>
    <w:p w14:paraId="05F210D0" w14:textId="77777777" w:rsidR="001F516D" w:rsidRPr="001808B1" w:rsidRDefault="001F516D" w:rsidP="00EA556C">
      <w:pPr>
        <w:pStyle w:val="TableFigureFooter"/>
        <w:rPr>
          <w:rFonts w:eastAsia="MS Gothic"/>
          <w:lang w:eastAsia="en-US"/>
        </w:rPr>
      </w:pPr>
      <w:r w:rsidRPr="001808B1">
        <w:rPr>
          <w:rFonts w:eastAsia="MS Gothic"/>
          <w:lang w:eastAsia="en-US"/>
        </w:rPr>
        <w:t xml:space="preserve">CI: confidence interval; FF: fluticasone furoate; </w:t>
      </w:r>
      <w:r w:rsidRPr="001808B1">
        <w:rPr>
          <w:rFonts w:eastAsia="MS Gothic"/>
          <w:iCs/>
          <w:spacing w:val="10"/>
          <w:lang w:eastAsia="en-US"/>
        </w:rPr>
        <w:t>N</w:t>
      </w:r>
      <w:r w:rsidRPr="001808B1">
        <w:rPr>
          <w:rFonts w:eastAsia="MS Gothic"/>
          <w:spacing w:val="10"/>
          <w:lang w:eastAsia="en-US"/>
        </w:rPr>
        <w:t xml:space="preserve">: </w:t>
      </w:r>
      <w:r w:rsidRPr="001808B1">
        <w:rPr>
          <w:rFonts w:eastAsia="MS Gothic"/>
          <w:lang w:eastAsia="en-US"/>
        </w:rPr>
        <w:t xml:space="preserve">total participants in group; </w:t>
      </w:r>
      <w:r w:rsidR="00960E02">
        <w:rPr>
          <w:rFonts w:eastAsia="MS Gothic"/>
          <w:lang w:eastAsia="en-US"/>
        </w:rPr>
        <w:t xml:space="preserve">NR: Not reported; </w:t>
      </w:r>
      <w:r w:rsidRPr="001808B1">
        <w:rPr>
          <w:rFonts w:eastAsia="MS Gothic"/>
          <w:lang w:eastAsia="en-US"/>
        </w:rPr>
        <w:t>UMEC: umeclidinium; VI: vilanterol</w:t>
      </w:r>
    </w:p>
    <w:p w14:paraId="327BADB1" w14:textId="77777777" w:rsidR="001F516D" w:rsidRPr="001808B1" w:rsidRDefault="001F516D" w:rsidP="00EA556C">
      <w:pPr>
        <w:pStyle w:val="TableFigureFooter"/>
        <w:rPr>
          <w:rFonts w:eastAsia="MS Gothic"/>
          <w:lang w:eastAsia="en-US"/>
        </w:rPr>
      </w:pPr>
      <w:r w:rsidRPr="001808B1">
        <w:rPr>
          <w:rFonts w:eastAsia="MS Gothic"/>
          <w:lang w:eastAsia="en-US"/>
        </w:rPr>
        <w:t xml:space="preserve">Note: A responder is defined as an improvement (increase) in trough FEV1 </w:t>
      </w:r>
      <w:r w:rsidRPr="001808B1">
        <w:rPr>
          <w:rFonts w:eastAsia="MS Gothic"/>
          <w:u w:val="single"/>
          <w:lang w:eastAsia="en-US"/>
        </w:rPr>
        <w:t>&gt;</w:t>
      </w:r>
      <w:r w:rsidRPr="001808B1">
        <w:rPr>
          <w:rFonts w:eastAsia="MS Gothic"/>
          <w:lang w:eastAsia="en-US"/>
        </w:rPr>
        <w:t xml:space="preserve">100 mL from baseline. </w:t>
      </w:r>
    </w:p>
    <w:p w14:paraId="4DC326A2" w14:textId="77777777" w:rsidR="001F516D" w:rsidRPr="001808B1" w:rsidRDefault="001F516D" w:rsidP="00FE7A67">
      <w:pPr>
        <w:pStyle w:val="TableFigureFooter"/>
        <w:spacing w:after="0"/>
        <w:rPr>
          <w:rFonts w:eastAsia="MS Gothic"/>
          <w:lang w:eastAsia="en-US"/>
        </w:rPr>
      </w:pPr>
      <w:r w:rsidRPr="001808B1">
        <w:rPr>
          <w:rFonts w:eastAsia="MS Gothic"/>
          <w:lang w:eastAsia="en-US"/>
        </w:rPr>
        <w:t xml:space="preserve">A non-responder was defined as having a decrease, no change or an increase from baseline of &lt;100 mL, or missing trough FEV1 at the post-baseline visit. If trough FEV1 was missing at baseline, responder status is missing and subjects are excluded from the analysis. </w:t>
      </w:r>
    </w:p>
    <w:p w14:paraId="52ADEBB1" w14:textId="77777777" w:rsidR="001F516D" w:rsidRDefault="001F516D" w:rsidP="00FE7A67">
      <w:pPr>
        <w:pStyle w:val="TableFigureFooter"/>
        <w:spacing w:after="0"/>
        <w:rPr>
          <w:rFonts w:eastAsia="MS Gothic"/>
          <w:lang w:eastAsia="en-US"/>
        </w:rPr>
      </w:pPr>
      <w:r w:rsidRPr="001808B1">
        <w:rPr>
          <w:rFonts w:eastAsia="MS Gothic"/>
          <w:lang w:eastAsia="en-US"/>
        </w:rPr>
        <w:t>Analysis performed using a generalised linear mixed model with a logit link function and covariates of treatment, age, sex, region, visit, pre-study ICS dose at screening, baseline visit, baseline value by visit and treatment by visit interactions.</w:t>
      </w:r>
    </w:p>
    <w:p w14:paraId="7537D325" w14:textId="77777777" w:rsidR="00FE7A67" w:rsidRPr="006253CE" w:rsidRDefault="00FE7A67" w:rsidP="00FE7A67">
      <w:pPr>
        <w:rPr>
          <w:rFonts w:ascii="Arial Narrow" w:hAnsi="Arial Narrow"/>
          <w:iCs/>
          <w:sz w:val="18"/>
          <w:szCs w:val="18"/>
        </w:rPr>
      </w:pPr>
      <w:r w:rsidRPr="006253CE">
        <w:rPr>
          <w:rFonts w:ascii="Arial Narrow" w:hAnsi="Arial Narrow"/>
          <w:iCs/>
          <w:sz w:val="18"/>
          <w:szCs w:val="18"/>
        </w:rPr>
        <w:t>^Calculated using the following formula: exp (−0.717*z − 0.416*z</w:t>
      </w:r>
      <w:r w:rsidRPr="006253CE">
        <w:rPr>
          <w:rFonts w:ascii="Arial Narrow" w:hAnsi="Arial Narrow"/>
          <w:iCs/>
          <w:sz w:val="18"/>
          <w:szCs w:val="18"/>
          <w:vertAlign w:val="superscript"/>
        </w:rPr>
        <w:t>2</w:t>
      </w:r>
      <w:r w:rsidRPr="006253CE">
        <w:rPr>
          <w:rFonts w:ascii="Arial Narrow" w:hAnsi="Arial Narrow"/>
          <w:iCs/>
          <w:sz w:val="18"/>
          <w:szCs w:val="18"/>
        </w:rPr>
        <w:t>), where z= mean difference/SE, SE= (upper limit- lower limit)/(2*1.96)</w:t>
      </w:r>
    </w:p>
    <w:p w14:paraId="79AC1737" w14:textId="77777777" w:rsidR="00FE7A67" w:rsidRDefault="00FE7A67" w:rsidP="00794FB3">
      <w:pPr>
        <w:rPr>
          <w:rFonts w:ascii="Arial Narrow" w:hAnsi="Arial Narrow"/>
          <w:iCs/>
          <w:sz w:val="18"/>
          <w:szCs w:val="18"/>
        </w:rPr>
      </w:pPr>
      <w:r w:rsidRPr="006253CE">
        <w:rPr>
          <w:rFonts w:ascii="Arial Narrow" w:hAnsi="Arial Narrow"/>
          <w:b/>
          <w:bCs/>
          <w:iCs/>
          <w:sz w:val="18"/>
          <w:szCs w:val="18"/>
        </w:rPr>
        <w:t>Bold</w:t>
      </w:r>
      <w:r w:rsidRPr="006253CE">
        <w:rPr>
          <w:rFonts w:ascii="Arial Narrow" w:hAnsi="Arial Narrow"/>
          <w:iCs/>
          <w:sz w:val="18"/>
          <w:szCs w:val="18"/>
        </w:rPr>
        <w:t xml:space="preserve"> indicates statistically significant res</w:t>
      </w:r>
      <w:r w:rsidR="00794FB3">
        <w:rPr>
          <w:rFonts w:ascii="Arial Narrow" w:hAnsi="Arial Narrow"/>
          <w:iCs/>
          <w:sz w:val="18"/>
          <w:szCs w:val="18"/>
        </w:rPr>
        <w:t>ults based on a priori analysis</w:t>
      </w:r>
    </w:p>
    <w:p w14:paraId="5A03A505" w14:textId="77777777" w:rsidR="00794FB3" w:rsidRPr="00794FB3" w:rsidRDefault="00794FB3" w:rsidP="00794FB3">
      <w:pPr>
        <w:rPr>
          <w:rFonts w:ascii="Arial Narrow" w:hAnsi="Arial Narrow"/>
          <w:iCs/>
          <w:sz w:val="18"/>
          <w:szCs w:val="18"/>
        </w:rPr>
      </w:pPr>
    </w:p>
    <w:p w14:paraId="58DE9D63" w14:textId="0C6C8762" w:rsidR="002A4F6E" w:rsidRPr="00F21704" w:rsidRDefault="002A4F6E" w:rsidP="002A4F6E">
      <w:pPr>
        <w:pStyle w:val="3-BodyText"/>
      </w:pPr>
      <w:r w:rsidRPr="001808B1">
        <w:t xml:space="preserve">Numerically, the ITT population observed </w:t>
      </w:r>
      <w:r>
        <w:t>great</w:t>
      </w:r>
      <w:r w:rsidRPr="001808B1">
        <w:t xml:space="preserve">er incremental change from baseline </w:t>
      </w:r>
      <w:r w:rsidR="00C308C8">
        <w:t xml:space="preserve">in </w:t>
      </w:r>
      <w:r w:rsidRPr="001808B1">
        <w:t xml:space="preserve">trough FEV1 in the </w:t>
      </w:r>
      <w:r w:rsidR="0081496A">
        <w:t>FF/UMEC/VI 200/62.5/25</w:t>
      </w:r>
      <w:r w:rsidRPr="001808B1">
        <w:t xml:space="preserve"> group versus the FF/VI 200/25 </w:t>
      </w:r>
      <w:r w:rsidR="00A15391">
        <w:br/>
      </w:r>
      <w:r w:rsidRPr="001808B1">
        <w:t>(</w:t>
      </w:r>
      <w:r w:rsidR="00961F0F">
        <w:t>0.0</w:t>
      </w:r>
      <w:r w:rsidRPr="001808B1">
        <w:t>92 L) compared to the subgroup having ≥1 exacerbation (</w:t>
      </w:r>
      <w:r w:rsidR="00961F0F">
        <w:t>0.0</w:t>
      </w:r>
      <w:r w:rsidRPr="001808B1">
        <w:t>78 L)</w:t>
      </w:r>
      <w:r w:rsidR="00004DE0">
        <w:t xml:space="preserve"> (see Table 4)</w:t>
      </w:r>
      <w:r w:rsidRPr="001808B1">
        <w:t>.</w:t>
      </w:r>
      <w:r w:rsidR="00484A89">
        <w:t xml:space="preserve"> Both results were statistically significant (p&lt;0.05</w:t>
      </w:r>
      <w:r w:rsidR="00484A89" w:rsidRPr="000F48E0">
        <w:t>).</w:t>
      </w:r>
      <w:r w:rsidRPr="000F48E0">
        <w:t xml:space="preserve"> </w:t>
      </w:r>
      <w:r w:rsidRPr="000F48E0">
        <w:rPr>
          <w:iCs/>
        </w:rPr>
        <w:t xml:space="preserve">In the </w:t>
      </w:r>
      <w:r w:rsidR="00961F0F" w:rsidRPr="000F48E0">
        <w:rPr>
          <w:iCs/>
        </w:rPr>
        <w:t xml:space="preserve">July 2020 </w:t>
      </w:r>
      <w:r w:rsidRPr="000F48E0">
        <w:rPr>
          <w:iCs/>
        </w:rPr>
        <w:t>MF/IND/GLY</w:t>
      </w:r>
      <w:r w:rsidR="00961F0F" w:rsidRPr="000F48E0">
        <w:rPr>
          <w:iCs/>
        </w:rPr>
        <w:t xml:space="preserve"> submission</w:t>
      </w:r>
      <w:r w:rsidRPr="000F48E0">
        <w:rPr>
          <w:iCs/>
        </w:rPr>
        <w:t xml:space="preserve">, the ESC considered that the lung function improvements </w:t>
      </w:r>
      <w:r w:rsidR="00484A89" w:rsidRPr="000F48E0">
        <w:rPr>
          <w:iCs/>
        </w:rPr>
        <w:t>[i.e., the mean difference in trough FEV1 of 0.073</w:t>
      </w:r>
      <w:r w:rsidR="00253F47">
        <w:rPr>
          <w:iCs/>
        </w:rPr>
        <w:t xml:space="preserve"> </w:t>
      </w:r>
      <w:r w:rsidR="00484A89" w:rsidRPr="000F48E0">
        <w:rPr>
          <w:iCs/>
        </w:rPr>
        <w:t xml:space="preserve">L (95% CI </w:t>
      </w:r>
      <w:r w:rsidR="00961F0F" w:rsidRPr="000F48E0">
        <w:rPr>
          <w:iCs/>
        </w:rPr>
        <w:t>0.03</w:t>
      </w:r>
      <w:r w:rsidR="00484A89" w:rsidRPr="000F48E0">
        <w:rPr>
          <w:iCs/>
        </w:rPr>
        <w:t xml:space="preserve">, </w:t>
      </w:r>
      <w:r w:rsidR="00961F0F" w:rsidRPr="000F48E0">
        <w:rPr>
          <w:iCs/>
        </w:rPr>
        <w:t>0.12</w:t>
      </w:r>
      <w:r w:rsidR="00484A89" w:rsidRPr="000F48E0">
        <w:rPr>
          <w:iCs/>
        </w:rPr>
        <w:t>)</w:t>
      </w:r>
      <w:r w:rsidR="00847A30" w:rsidRPr="000F48E0">
        <w:rPr>
          <w:rStyle w:val="FootnoteReference"/>
          <w:iCs/>
        </w:rPr>
        <w:t xml:space="preserve"> </w:t>
      </w:r>
      <w:r w:rsidR="00847A30" w:rsidRPr="000F48E0">
        <w:rPr>
          <w:rStyle w:val="FootnoteReference"/>
          <w:iCs/>
        </w:rPr>
        <w:footnoteReference w:id="3"/>
      </w:r>
      <w:r w:rsidR="00484A89" w:rsidRPr="000F48E0">
        <w:rPr>
          <w:iCs/>
        </w:rPr>
        <w:t>]</w:t>
      </w:r>
      <w:r w:rsidRPr="000F48E0">
        <w:rPr>
          <w:iCs/>
        </w:rPr>
        <w:t xml:space="preserve"> for MF/IND/GLY were comparable with those demonstrated in other studies evaluating the benefit of LAMA in addition to LABA/ICS in similar patient populations</w:t>
      </w:r>
      <w:r w:rsidR="001400B4" w:rsidRPr="000F48E0">
        <w:rPr>
          <w:iCs/>
        </w:rPr>
        <w:t xml:space="preserve"> (</w:t>
      </w:r>
      <w:r w:rsidR="00970E41" w:rsidRPr="000F48E0">
        <w:rPr>
          <w:iCs/>
        </w:rPr>
        <w:t>paragraph 6.16</w:t>
      </w:r>
      <w:r w:rsidR="001400B4" w:rsidRPr="000F48E0">
        <w:rPr>
          <w:iCs/>
        </w:rPr>
        <w:t>, MF/IND/GLY PSD, July 2020 PBAC Meeting)</w:t>
      </w:r>
      <w:r w:rsidRPr="000F48E0">
        <w:rPr>
          <w:iCs/>
        </w:rPr>
        <w:t>.</w:t>
      </w:r>
      <w:r w:rsidR="00253F47">
        <w:rPr>
          <w:iCs/>
        </w:rPr>
        <w:t xml:space="preserve"> </w:t>
      </w:r>
      <w:r w:rsidR="00253F47" w:rsidRPr="00F21704">
        <w:rPr>
          <w:iCs/>
        </w:rPr>
        <w:t xml:space="preserve">The PSCR noted that the mean difference in trough FEV1 of 0.073 L reported for MF/IND/GLY in July 2020 was </w:t>
      </w:r>
      <w:r w:rsidR="00051F55" w:rsidRPr="00F21704">
        <w:rPr>
          <w:iCs/>
        </w:rPr>
        <w:t xml:space="preserve">numerically </w:t>
      </w:r>
      <w:r w:rsidR="00253F47" w:rsidRPr="00F21704">
        <w:rPr>
          <w:iCs/>
        </w:rPr>
        <w:t xml:space="preserve">lower than the 0.078 </w:t>
      </w:r>
      <w:r w:rsidR="00471936" w:rsidRPr="00F21704">
        <w:rPr>
          <w:iCs/>
        </w:rPr>
        <w:t xml:space="preserve">L </w:t>
      </w:r>
      <w:r w:rsidR="00253F47" w:rsidRPr="00F21704">
        <w:rPr>
          <w:iCs/>
        </w:rPr>
        <w:t xml:space="preserve">benefit demonstrated for </w:t>
      </w:r>
      <w:r w:rsidR="0081496A">
        <w:rPr>
          <w:iCs/>
        </w:rPr>
        <w:t>FF/UMEC/VI</w:t>
      </w:r>
      <w:r w:rsidR="00253F47" w:rsidRPr="00F21704">
        <w:rPr>
          <w:iCs/>
        </w:rPr>
        <w:t xml:space="preserve"> versus dual therapy in </w:t>
      </w:r>
      <w:r w:rsidR="00256298" w:rsidRPr="00F21704">
        <w:rPr>
          <w:iCs/>
        </w:rPr>
        <w:t xml:space="preserve">the </w:t>
      </w:r>
      <w:r w:rsidR="00C53AC3" w:rsidRPr="00F21704">
        <w:rPr>
          <w:iCs/>
        </w:rPr>
        <w:t>CAPTAIN</w:t>
      </w:r>
      <w:r w:rsidR="00256298" w:rsidRPr="00F21704">
        <w:rPr>
          <w:iCs/>
        </w:rPr>
        <w:t xml:space="preserve"> trial</w:t>
      </w:r>
      <w:r w:rsidR="00C53AC3" w:rsidRPr="00F21704">
        <w:rPr>
          <w:iCs/>
        </w:rPr>
        <w:t xml:space="preserve">. </w:t>
      </w:r>
    </w:p>
    <w:p w14:paraId="6F48C05E" w14:textId="77777777" w:rsidR="001400B4" w:rsidRPr="000F48E0" w:rsidRDefault="001400B4" w:rsidP="00202425">
      <w:pPr>
        <w:pStyle w:val="3-BodyText"/>
      </w:pPr>
      <w:r w:rsidRPr="000F48E0">
        <w:t xml:space="preserve">In the CAPTAIN ITT population, the proportion of patients with &gt;100mL improvement from baseline for trough FEV1 was higher for the </w:t>
      </w:r>
      <w:r w:rsidR="0081496A">
        <w:t>FF/UMEC/VI 200/62.5/25</w:t>
      </w:r>
      <w:r w:rsidRPr="000F48E0">
        <w:t xml:space="preserve"> group compared with FF/VI 200/25 group</w:t>
      </w:r>
      <w:r w:rsidR="00553F69" w:rsidRPr="000F48E0">
        <w:t xml:space="preserve"> (at both week 24 and 52)</w:t>
      </w:r>
      <w:r w:rsidRPr="000F48E0">
        <w:t>.</w:t>
      </w:r>
      <w:r w:rsidR="006C5053" w:rsidRPr="000F48E0">
        <w:t xml:space="preserve"> The results were statistically significant (p&lt;0.05).</w:t>
      </w:r>
      <w:r w:rsidR="006C5053" w:rsidRPr="000F48E0">
        <w:rPr>
          <w:iCs/>
        </w:rPr>
        <w:t xml:space="preserve"> </w:t>
      </w:r>
      <w:r w:rsidR="004C56C5" w:rsidRPr="000F48E0">
        <w:rPr>
          <w:iCs/>
        </w:rPr>
        <w:t>These results are similar to th</w:t>
      </w:r>
      <w:r w:rsidR="00C308C8" w:rsidRPr="000F48E0">
        <w:rPr>
          <w:iCs/>
        </w:rPr>
        <w:t>ose</w:t>
      </w:r>
      <w:r w:rsidR="004C56C5" w:rsidRPr="000F48E0">
        <w:rPr>
          <w:iCs/>
        </w:rPr>
        <w:t xml:space="preserve"> reported in</w:t>
      </w:r>
      <w:r w:rsidR="005C72E5" w:rsidRPr="000F48E0">
        <w:rPr>
          <w:iCs/>
        </w:rPr>
        <w:t xml:space="preserve"> July 2020 where </w:t>
      </w:r>
      <w:r w:rsidR="004C56C5" w:rsidRPr="000F48E0">
        <w:rPr>
          <w:iCs/>
        </w:rPr>
        <w:t>MF/IND/GLY</w:t>
      </w:r>
      <w:r w:rsidR="005C72E5" w:rsidRPr="000F48E0">
        <w:rPr>
          <w:iCs/>
        </w:rPr>
        <w:t xml:space="preserve"> arms had a</w:t>
      </w:r>
      <w:r w:rsidR="004C56C5" w:rsidRPr="000F48E0">
        <w:rPr>
          <w:iCs/>
        </w:rPr>
        <w:t xml:space="preserve"> higher proportion of responders compared with dual therapies</w:t>
      </w:r>
      <w:r w:rsidR="00ED283A" w:rsidRPr="000F48E0">
        <w:rPr>
          <w:iCs/>
        </w:rPr>
        <w:t xml:space="preserve"> </w:t>
      </w:r>
      <w:r w:rsidR="004C56C5" w:rsidRPr="000F48E0">
        <w:rPr>
          <w:iCs/>
        </w:rPr>
        <w:t>(MF/IND and FP/SAL)</w:t>
      </w:r>
      <w:r w:rsidR="00553F69" w:rsidRPr="000F48E0">
        <w:rPr>
          <w:iCs/>
        </w:rPr>
        <w:t xml:space="preserve"> (</w:t>
      </w:r>
      <w:r w:rsidR="00970E41" w:rsidRPr="000F48E0">
        <w:rPr>
          <w:iCs/>
        </w:rPr>
        <w:t>paragraph 6.16</w:t>
      </w:r>
      <w:r w:rsidR="00553F69" w:rsidRPr="000F48E0">
        <w:rPr>
          <w:iCs/>
        </w:rPr>
        <w:t>, MF/IND/GLY PSD, July 2020 PBAC Meeting)</w:t>
      </w:r>
      <w:r w:rsidR="006C5053" w:rsidRPr="000F48E0">
        <w:rPr>
          <w:iCs/>
        </w:rPr>
        <w:t>.</w:t>
      </w:r>
    </w:p>
    <w:p w14:paraId="5508DB72" w14:textId="77777777" w:rsidR="001F516D" w:rsidRDefault="001F516D" w:rsidP="00EA556C">
      <w:pPr>
        <w:pStyle w:val="TableFigureHeading"/>
        <w:keepLines/>
        <w:rPr>
          <w:lang w:eastAsia="en-US"/>
        </w:rPr>
      </w:pPr>
      <w:r w:rsidRPr="001808B1">
        <w:rPr>
          <w:lang w:eastAsia="en-US"/>
        </w:rPr>
        <w:t xml:space="preserve">Table </w:t>
      </w:r>
      <w:r w:rsidR="00662543">
        <w:rPr>
          <w:lang w:eastAsia="en-US"/>
        </w:rPr>
        <w:t>5</w:t>
      </w:r>
      <w:r w:rsidRPr="001808B1">
        <w:rPr>
          <w:lang w:eastAsia="en-US"/>
        </w:rPr>
        <w:t>: Asthma exacerbation</w:t>
      </w:r>
      <w:r w:rsidR="0038531E">
        <w:rPr>
          <w:lang w:eastAsia="en-US"/>
        </w:rPr>
        <w:t xml:space="preserve"> outcomes</w:t>
      </w:r>
      <w:r w:rsidRPr="001808B1">
        <w:rPr>
          <w:lang w:eastAsia="en-US"/>
        </w:rPr>
        <w:t xml:space="preserve"> </w:t>
      </w:r>
      <w:r w:rsidR="00525EFC">
        <w:rPr>
          <w:lang w:eastAsia="en-US"/>
        </w:rPr>
        <w:t>(ITT and subgroup results based on the CAPTAIN trial)</w:t>
      </w:r>
      <w:r w:rsidRPr="001808B1">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Asthma exacerbation outcomes (ITT and subgroup results based on the CAPTAIN trial) "/>
      </w:tblPr>
      <w:tblGrid>
        <w:gridCol w:w="2829"/>
        <w:gridCol w:w="1701"/>
        <w:gridCol w:w="1562"/>
        <w:gridCol w:w="1277"/>
        <w:gridCol w:w="1648"/>
      </w:tblGrid>
      <w:tr w:rsidR="003B3285" w:rsidRPr="001808B1" w14:paraId="490F0978" w14:textId="77777777" w:rsidTr="00F875D4">
        <w:trPr>
          <w:tblHeader/>
        </w:trPr>
        <w:tc>
          <w:tcPr>
            <w:tcW w:w="1569" w:type="pct"/>
            <w:vMerge w:val="restart"/>
            <w:shd w:val="clear" w:color="auto" w:fill="FFFFFF" w:themeFill="background1"/>
          </w:tcPr>
          <w:p w14:paraId="4FD783A6" w14:textId="77777777" w:rsidR="00525EFC" w:rsidRPr="001808B1" w:rsidRDefault="00525EFC" w:rsidP="00202425">
            <w:pPr>
              <w:pStyle w:val="In-tableHeading"/>
            </w:pPr>
          </w:p>
        </w:tc>
        <w:tc>
          <w:tcPr>
            <w:tcW w:w="1809" w:type="pct"/>
            <w:gridSpan w:val="2"/>
            <w:shd w:val="clear" w:color="auto" w:fill="FFFFFF" w:themeFill="background1"/>
          </w:tcPr>
          <w:p w14:paraId="19E24BFA" w14:textId="77777777" w:rsidR="00525EFC" w:rsidRPr="001808B1" w:rsidRDefault="00525EFC" w:rsidP="00202425">
            <w:pPr>
              <w:pStyle w:val="In-tableHeading"/>
            </w:pPr>
            <w:r>
              <w:t>ITT population</w:t>
            </w:r>
          </w:p>
        </w:tc>
        <w:tc>
          <w:tcPr>
            <w:tcW w:w="1622" w:type="pct"/>
            <w:gridSpan w:val="2"/>
            <w:shd w:val="clear" w:color="auto" w:fill="FFFFFF" w:themeFill="background1"/>
          </w:tcPr>
          <w:p w14:paraId="1989730A" w14:textId="77777777" w:rsidR="00525EFC" w:rsidRDefault="00525EFC" w:rsidP="00202425">
            <w:pPr>
              <w:pStyle w:val="In-tableHeading"/>
            </w:pPr>
            <w:r>
              <w:t>Subgroup ≥1 exacerbation</w:t>
            </w:r>
          </w:p>
        </w:tc>
      </w:tr>
      <w:tr w:rsidR="003B3285" w:rsidRPr="001808B1" w14:paraId="36834DC7" w14:textId="77777777" w:rsidTr="00F875D4">
        <w:trPr>
          <w:tblHeader/>
        </w:trPr>
        <w:tc>
          <w:tcPr>
            <w:tcW w:w="1569" w:type="pct"/>
            <w:vMerge/>
            <w:shd w:val="clear" w:color="auto" w:fill="FFFFFF" w:themeFill="background1"/>
          </w:tcPr>
          <w:p w14:paraId="60EB1B55" w14:textId="77777777" w:rsidR="00525EFC" w:rsidRPr="001808B1" w:rsidRDefault="00525EFC" w:rsidP="00202425">
            <w:pPr>
              <w:pStyle w:val="In-tableHeading"/>
            </w:pPr>
          </w:p>
        </w:tc>
        <w:tc>
          <w:tcPr>
            <w:tcW w:w="943" w:type="pct"/>
            <w:shd w:val="clear" w:color="auto" w:fill="FFFFFF" w:themeFill="background1"/>
          </w:tcPr>
          <w:p w14:paraId="36846472" w14:textId="77777777" w:rsidR="00525EFC" w:rsidRPr="001808B1" w:rsidRDefault="00525EFC" w:rsidP="00202425">
            <w:pPr>
              <w:pStyle w:val="In-tableHeading"/>
            </w:pPr>
            <w:r w:rsidRPr="001808B1">
              <w:t>FF/VI</w:t>
            </w:r>
          </w:p>
          <w:p w14:paraId="100E37B8" w14:textId="77777777" w:rsidR="00525EFC" w:rsidRPr="001808B1" w:rsidRDefault="00525EFC" w:rsidP="00202425">
            <w:pPr>
              <w:pStyle w:val="In-tableHeading"/>
            </w:pPr>
            <w:r w:rsidRPr="001808B1">
              <w:t>200/25</w:t>
            </w:r>
          </w:p>
          <w:p w14:paraId="0C7C3A34" w14:textId="77777777" w:rsidR="00525EFC" w:rsidRPr="001808B1" w:rsidRDefault="00525EFC" w:rsidP="00202425">
            <w:pPr>
              <w:pStyle w:val="In-tableHeading"/>
            </w:pPr>
            <w:r w:rsidRPr="001808B1">
              <w:t>N=406</w:t>
            </w:r>
          </w:p>
        </w:tc>
        <w:tc>
          <w:tcPr>
            <w:tcW w:w="866" w:type="pct"/>
            <w:shd w:val="clear" w:color="auto" w:fill="FFFFFF" w:themeFill="background1"/>
          </w:tcPr>
          <w:p w14:paraId="14D1A4C0" w14:textId="77777777" w:rsidR="00525EFC" w:rsidRPr="001808B1" w:rsidRDefault="0081496A" w:rsidP="00202425">
            <w:pPr>
              <w:pStyle w:val="In-tableHeading"/>
            </w:pPr>
            <w:r>
              <w:t>FF/UMEC/VI</w:t>
            </w:r>
          </w:p>
          <w:p w14:paraId="49AA14A5" w14:textId="77777777" w:rsidR="00525EFC" w:rsidRPr="001808B1" w:rsidRDefault="0081496A" w:rsidP="00202425">
            <w:pPr>
              <w:pStyle w:val="In-tableHeading"/>
            </w:pPr>
            <w:r>
              <w:t>200/62.5/25</w:t>
            </w:r>
          </w:p>
          <w:p w14:paraId="1CE6CEF1" w14:textId="77777777" w:rsidR="00525EFC" w:rsidRPr="001808B1" w:rsidRDefault="00525EFC" w:rsidP="00202425">
            <w:pPr>
              <w:pStyle w:val="In-tableHeading"/>
            </w:pPr>
            <w:r w:rsidRPr="001808B1">
              <w:t>N=408</w:t>
            </w:r>
          </w:p>
        </w:tc>
        <w:tc>
          <w:tcPr>
            <w:tcW w:w="708" w:type="pct"/>
            <w:shd w:val="clear" w:color="auto" w:fill="FFFFFF" w:themeFill="background1"/>
          </w:tcPr>
          <w:p w14:paraId="5D9DB496" w14:textId="77777777" w:rsidR="00525EFC" w:rsidRPr="001808B1" w:rsidRDefault="00525EFC" w:rsidP="00202425">
            <w:pPr>
              <w:pStyle w:val="In-tableHeading"/>
            </w:pPr>
            <w:r w:rsidRPr="001808B1">
              <w:t>FF/VI</w:t>
            </w:r>
          </w:p>
          <w:p w14:paraId="0625D1D0" w14:textId="77777777" w:rsidR="00525EFC" w:rsidRPr="001808B1" w:rsidRDefault="00525EFC" w:rsidP="00202425">
            <w:pPr>
              <w:pStyle w:val="In-tableHeading"/>
            </w:pPr>
            <w:r w:rsidRPr="001808B1">
              <w:t>200/25</w:t>
            </w:r>
          </w:p>
          <w:p w14:paraId="73EEBA94" w14:textId="77777777" w:rsidR="00525EFC" w:rsidRPr="001808B1" w:rsidRDefault="00525EFC" w:rsidP="00202425">
            <w:pPr>
              <w:pStyle w:val="In-tableHeading"/>
            </w:pPr>
            <w:r w:rsidRPr="001808B1">
              <w:t>N=</w:t>
            </w:r>
            <w:r w:rsidR="00A924A9">
              <w:t>249</w:t>
            </w:r>
          </w:p>
        </w:tc>
        <w:tc>
          <w:tcPr>
            <w:tcW w:w="914" w:type="pct"/>
            <w:shd w:val="clear" w:color="auto" w:fill="FFFFFF" w:themeFill="background1"/>
          </w:tcPr>
          <w:p w14:paraId="2878AB70" w14:textId="77777777" w:rsidR="00525EFC" w:rsidRPr="001808B1" w:rsidRDefault="0081496A" w:rsidP="00202425">
            <w:pPr>
              <w:pStyle w:val="In-tableHeading"/>
            </w:pPr>
            <w:r>
              <w:t>FF/UMEC/VI</w:t>
            </w:r>
          </w:p>
          <w:p w14:paraId="3855C247" w14:textId="77777777" w:rsidR="00525EFC" w:rsidRPr="001808B1" w:rsidRDefault="0081496A" w:rsidP="00202425">
            <w:pPr>
              <w:pStyle w:val="In-tableHeading"/>
            </w:pPr>
            <w:r>
              <w:t>200/62.5/25</w:t>
            </w:r>
          </w:p>
          <w:p w14:paraId="4D0AE86C" w14:textId="77777777" w:rsidR="00525EFC" w:rsidRPr="001808B1" w:rsidRDefault="00525EFC" w:rsidP="00202425">
            <w:pPr>
              <w:pStyle w:val="In-tableHeading"/>
            </w:pPr>
            <w:r w:rsidRPr="001808B1">
              <w:t>N=</w:t>
            </w:r>
            <w:r w:rsidR="00A924A9">
              <w:t>284</w:t>
            </w:r>
          </w:p>
        </w:tc>
      </w:tr>
      <w:tr w:rsidR="00A55DD7" w:rsidRPr="001808B1" w14:paraId="7DDD0899" w14:textId="77777777" w:rsidTr="00525EFC">
        <w:trPr>
          <w:tblHeader/>
        </w:trPr>
        <w:tc>
          <w:tcPr>
            <w:tcW w:w="5000" w:type="pct"/>
            <w:gridSpan w:val="5"/>
            <w:shd w:val="clear" w:color="auto" w:fill="FFFFFF" w:themeFill="background1"/>
          </w:tcPr>
          <w:p w14:paraId="664B9D43" w14:textId="77777777" w:rsidR="00525EFC" w:rsidRPr="0038531E" w:rsidRDefault="00525EFC" w:rsidP="00525EFC">
            <w:pPr>
              <w:pStyle w:val="Tabletext"/>
              <w:rPr>
                <w:b/>
                <w:bCs/>
                <w:lang w:eastAsia="en-US"/>
              </w:rPr>
            </w:pPr>
            <w:r w:rsidRPr="0038531E">
              <w:rPr>
                <w:b/>
                <w:bCs/>
                <w:lang w:eastAsia="en-US"/>
              </w:rPr>
              <w:t>Annualised rate of moderate/severe asthma exacerbations</w:t>
            </w:r>
            <w:r w:rsidR="0038531E" w:rsidRPr="0038531E">
              <w:rPr>
                <w:b/>
                <w:bCs/>
                <w:lang w:eastAsia="en-US"/>
              </w:rPr>
              <w:t xml:space="preserve"> </w:t>
            </w:r>
            <w:r w:rsidR="0038531E" w:rsidRPr="0038531E">
              <w:rPr>
                <w:b/>
                <w:lang w:eastAsia="en-US"/>
              </w:rPr>
              <w:t>across weeks 1 to 52</w:t>
            </w:r>
          </w:p>
        </w:tc>
      </w:tr>
      <w:tr w:rsidR="003B3285" w:rsidRPr="001808B1" w14:paraId="4FAC4A45" w14:textId="77777777" w:rsidTr="00F875D4">
        <w:trPr>
          <w:tblHeader/>
        </w:trPr>
        <w:tc>
          <w:tcPr>
            <w:tcW w:w="1569" w:type="pct"/>
            <w:shd w:val="clear" w:color="auto" w:fill="FFFFFF" w:themeFill="background1"/>
          </w:tcPr>
          <w:p w14:paraId="239FE00D" w14:textId="77777777" w:rsidR="00525EFC" w:rsidRDefault="00525EFC" w:rsidP="00525EFC">
            <w:pPr>
              <w:pStyle w:val="Tabletext"/>
              <w:rPr>
                <w:lang w:eastAsia="en-US"/>
              </w:rPr>
            </w:pPr>
            <w:r w:rsidRPr="00525EFC">
              <w:rPr>
                <w:lang w:eastAsia="en-US"/>
              </w:rPr>
              <w:t>Mean annualised rate (95% CI)</w:t>
            </w:r>
          </w:p>
        </w:tc>
        <w:tc>
          <w:tcPr>
            <w:tcW w:w="943" w:type="pct"/>
            <w:shd w:val="clear" w:color="auto" w:fill="FFFFFF" w:themeFill="background1"/>
          </w:tcPr>
          <w:p w14:paraId="47631FF9" w14:textId="77777777" w:rsidR="00525EFC" w:rsidRPr="001808B1" w:rsidRDefault="00525EFC" w:rsidP="00525EFC">
            <w:pPr>
              <w:pStyle w:val="Tabletext"/>
              <w:rPr>
                <w:lang w:eastAsia="en-US"/>
              </w:rPr>
            </w:pPr>
            <w:r w:rsidRPr="00525EFC">
              <w:rPr>
                <w:lang w:eastAsia="en-US"/>
              </w:rPr>
              <w:t>0.57 (0.47, 0.69)</w:t>
            </w:r>
          </w:p>
        </w:tc>
        <w:tc>
          <w:tcPr>
            <w:tcW w:w="866" w:type="pct"/>
            <w:shd w:val="clear" w:color="auto" w:fill="FFFFFF" w:themeFill="background1"/>
          </w:tcPr>
          <w:p w14:paraId="40CE77B6" w14:textId="77777777" w:rsidR="00525EFC" w:rsidRPr="001808B1" w:rsidRDefault="00525EFC" w:rsidP="00525EFC">
            <w:pPr>
              <w:pStyle w:val="Tabletext"/>
              <w:rPr>
                <w:lang w:eastAsia="en-US"/>
              </w:rPr>
            </w:pPr>
            <w:r w:rsidRPr="00525EFC">
              <w:rPr>
                <w:lang w:eastAsia="en-US"/>
              </w:rPr>
              <w:t>0.55 (0.45, 0.67)</w:t>
            </w:r>
          </w:p>
        </w:tc>
        <w:tc>
          <w:tcPr>
            <w:tcW w:w="708" w:type="pct"/>
            <w:shd w:val="clear" w:color="auto" w:fill="FFFFFF" w:themeFill="background1"/>
          </w:tcPr>
          <w:p w14:paraId="4BD35C4E" w14:textId="77777777" w:rsidR="00525EFC" w:rsidRPr="001808B1" w:rsidRDefault="00525EFC" w:rsidP="00525EFC">
            <w:pPr>
              <w:pStyle w:val="Tabletext"/>
              <w:rPr>
                <w:lang w:eastAsia="en-US"/>
              </w:rPr>
            </w:pPr>
            <w:r w:rsidRPr="00525EFC">
              <w:rPr>
                <w:lang w:eastAsia="en-US"/>
              </w:rPr>
              <w:t>0.72 (0.57, 0.91)</w:t>
            </w:r>
          </w:p>
        </w:tc>
        <w:tc>
          <w:tcPr>
            <w:tcW w:w="914" w:type="pct"/>
            <w:shd w:val="clear" w:color="auto" w:fill="FFFFFF" w:themeFill="background1"/>
          </w:tcPr>
          <w:p w14:paraId="0688F85A" w14:textId="77777777" w:rsidR="00525EFC" w:rsidRPr="001808B1" w:rsidRDefault="00525EFC" w:rsidP="00525EFC">
            <w:pPr>
              <w:pStyle w:val="Tabletext"/>
              <w:rPr>
                <w:lang w:eastAsia="en-US"/>
              </w:rPr>
            </w:pPr>
            <w:r w:rsidRPr="00525EFC">
              <w:rPr>
                <w:lang w:eastAsia="en-US"/>
              </w:rPr>
              <w:t>0.58 (0.46, 0.74)</w:t>
            </w:r>
          </w:p>
        </w:tc>
      </w:tr>
      <w:tr w:rsidR="003B3285" w:rsidRPr="001808B1" w14:paraId="15C1904F" w14:textId="77777777" w:rsidTr="00F875D4">
        <w:trPr>
          <w:tblHeader/>
        </w:trPr>
        <w:tc>
          <w:tcPr>
            <w:tcW w:w="1569" w:type="pct"/>
            <w:shd w:val="clear" w:color="auto" w:fill="FFFFFF" w:themeFill="background1"/>
          </w:tcPr>
          <w:p w14:paraId="1FAA0E0A" w14:textId="77777777" w:rsidR="00525EFC" w:rsidRDefault="00525EFC" w:rsidP="00525EFC">
            <w:pPr>
              <w:pStyle w:val="Tabletext"/>
              <w:rPr>
                <w:lang w:eastAsia="en-US"/>
              </w:rPr>
            </w:pPr>
            <w:r>
              <w:rPr>
                <w:lang w:eastAsia="en-US"/>
              </w:rPr>
              <w:t>Rate ratio (95% CI)</w:t>
            </w:r>
          </w:p>
          <w:p w14:paraId="59E9485C" w14:textId="77777777" w:rsidR="00525EFC" w:rsidRDefault="00525EFC" w:rsidP="00525EFC">
            <w:pPr>
              <w:pStyle w:val="Tabletext"/>
              <w:rPr>
                <w:lang w:eastAsia="en-US"/>
              </w:rPr>
            </w:pPr>
            <w:r>
              <w:rPr>
                <w:lang w:eastAsia="en-US"/>
              </w:rPr>
              <w:t>p-value</w:t>
            </w:r>
          </w:p>
          <w:p w14:paraId="6589CA23" w14:textId="77777777" w:rsidR="00525EFC" w:rsidRDefault="00525EFC" w:rsidP="00525EFC">
            <w:pPr>
              <w:pStyle w:val="Tabletext"/>
              <w:rPr>
                <w:lang w:eastAsia="en-US"/>
              </w:rPr>
            </w:pPr>
            <w:r>
              <w:rPr>
                <w:lang w:eastAsia="en-US"/>
              </w:rPr>
              <w:t>% reduction (95% CI)</w:t>
            </w:r>
          </w:p>
        </w:tc>
        <w:tc>
          <w:tcPr>
            <w:tcW w:w="943" w:type="pct"/>
            <w:shd w:val="clear" w:color="auto" w:fill="FFFFFF" w:themeFill="background1"/>
          </w:tcPr>
          <w:p w14:paraId="721C7CF3" w14:textId="77777777" w:rsidR="00525EFC" w:rsidRPr="001808B1" w:rsidRDefault="00525EFC" w:rsidP="00525EFC">
            <w:pPr>
              <w:pStyle w:val="Tabletext"/>
              <w:rPr>
                <w:lang w:eastAsia="en-US"/>
              </w:rPr>
            </w:pPr>
            <w:r>
              <w:rPr>
                <w:lang w:eastAsia="en-US"/>
              </w:rPr>
              <w:t>Reference arm</w:t>
            </w:r>
          </w:p>
        </w:tc>
        <w:tc>
          <w:tcPr>
            <w:tcW w:w="866" w:type="pct"/>
            <w:shd w:val="clear" w:color="auto" w:fill="FFFFFF" w:themeFill="background1"/>
          </w:tcPr>
          <w:p w14:paraId="49F2671E" w14:textId="77777777" w:rsidR="00525EFC" w:rsidRPr="006B7FC6" w:rsidRDefault="00525EFC" w:rsidP="00525EFC">
            <w:pPr>
              <w:pStyle w:val="Tabletext"/>
              <w:rPr>
                <w:lang w:eastAsia="en-US"/>
              </w:rPr>
            </w:pPr>
            <w:r w:rsidRPr="006B7FC6">
              <w:rPr>
                <w:lang w:eastAsia="en-US"/>
              </w:rPr>
              <w:t>0.97 (0.73, 1.28)</w:t>
            </w:r>
          </w:p>
          <w:p w14:paraId="736AD904" w14:textId="77777777" w:rsidR="00525EFC" w:rsidRPr="006B7FC6" w:rsidRDefault="006B7FC6" w:rsidP="00525EFC">
            <w:pPr>
              <w:pStyle w:val="Tabletext"/>
              <w:rPr>
                <w:lang w:eastAsia="en-US"/>
              </w:rPr>
            </w:pPr>
            <w:r w:rsidRPr="006B7FC6">
              <w:rPr>
                <w:lang w:eastAsia="en-US"/>
              </w:rPr>
              <w:t>p=</w:t>
            </w:r>
            <w:r w:rsidR="00525EFC" w:rsidRPr="006B7FC6">
              <w:rPr>
                <w:lang w:eastAsia="en-US"/>
              </w:rPr>
              <w:t>0.818</w:t>
            </w:r>
          </w:p>
          <w:p w14:paraId="6514569A" w14:textId="77777777" w:rsidR="00525EFC" w:rsidRPr="006B7FC6" w:rsidRDefault="00525EFC" w:rsidP="00525EFC">
            <w:pPr>
              <w:pStyle w:val="Tabletext"/>
              <w:rPr>
                <w:lang w:eastAsia="en-US"/>
              </w:rPr>
            </w:pPr>
            <w:r w:rsidRPr="006B7FC6">
              <w:rPr>
                <w:lang w:eastAsia="en-US"/>
              </w:rPr>
              <w:t>3.2 (-28.2, 27.0)</w:t>
            </w:r>
          </w:p>
        </w:tc>
        <w:tc>
          <w:tcPr>
            <w:tcW w:w="708" w:type="pct"/>
            <w:shd w:val="clear" w:color="auto" w:fill="FFFFFF" w:themeFill="background1"/>
          </w:tcPr>
          <w:p w14:paraId="584B3E5E" w14:textId="77777777" w:rsidR="00525EFC" w:rsidRPr="001808B1" w:rsidRDefault="00525EFC" w:rsidP="00525EFC">
            <w:pPr>
              <w:pStyle w:val="Tabletext"/>
              <w:rPr>
                <w:lang w:eastAsia="en-US"/>
              </w:rPr>
            </w:pPr>
            <w:r w:rsidRPr="004C7483">
              <w:t>Reference arm</w:t>
            </w:r>
          </w:p>
        </w:tc>
        <w:tc>
          <w:tcPr>
            <w:tcW w:w="914" w:type="pct"/>
            <w:shd w:val="clear" w:color="auto" w:fill="FFFFFF" w:themeFill="background1"/>
          </w:tcPr>
          <w:p w14:paraId="59A46F9E" w14:textId="77777777" w:rsidR="00525EFC" w:rsidRDefault="00525EFC" w:rsidP="00525EFC">
            <w:pPr>
              <w:pStyle w:val="Tabletext"/>
            </w:pPr>
            <w:r>
              <w:t>0.80 (0.58, 1.12)</w:t>
            </w:r>
          </w:p>
          <w:p w14:paraId="145AE794" w14:textId="77777777" w:rsidR="00612CB4" w:rsidRPr="006B7FC6" w:rsidRDefault="00612CB4" w:rsidP="00525EFC">
            <w:pPr>
              <w:pStyle w:val="Tabletext"/>
              <w:rPr>
                <w:i/>
              </w:rPr>
            </w:pPr>
          </w:p>
          <w:p w14:paraId="7E72D0CF" w14:textId="77777777" w:rsidR="00525EFC" w:rsidRPr="001808B1" w:rsidRDefault="00525EFC" w:rsidP="00525EFC">
            <w:pPr>
              <w:pStyle w:val="Tabletext"/>
              <w:rPr>
                <w:lang w:eastAsia="en-US"/>
              </w:rPr>
            </w:pPr>
            <w:r>
              <w:t>19.6 (-11.9, 42.3)</w:t>
            </w:r>
          </w:p>
        </w:tc>
      </w:tr>
      <w:tr w:rsidR="00A55DD7" w:rsidRPr="001808B1" w14:paraId="0647A50E" w14:textId="77777777" w:rsidTr="00973B6F">
        <w:trPr>
          <w:tblHeader/>
        </w:trPr>
        <w:tc>
          <w:tcPr>
            <w:tcW w:w="5000" w:type="pct"/>
            <w:gridSpan w:val="5"/>
            <w:shd w:val="clear" w:color="auto" w:fill="FFFFFF" w:themeFill="background1"/>
          </w:tcPr>
          <w:p w14:paraId="3DC9EAF6" w14:textId="77777777" w:rsidR="00973B6F" w:rsidRPr="006B7FC6" w:rsidRDefault="00973B6F" w:rsidP="00525EFC">
            <w:pPr>
              <w:pStyle w:val="Tabletext"/>
              <w:rPr>
                <w:b/>
                <w:bCs/>
              </w:rPr>
            </w:pPr>
            <w:r w:rsidRPr="006B7FC6">
              <w:rPr>
                <w:b/>
                <w:bCs/>
              </w:rPr>
              <w:t>Time to first moderate/severe asthma exacerbation</w:t>
            </w:r>
          </w:p>
        </w:tc>
      </w:tr>
      <w:tr w:rsidR="003B3285" w:rsidRPr="001808B1" w14:paraId="2E5F09ED" w14:textId="77777777" w:rsidTr="00F875D4">
        <w:trPr>
          <w:tblHeader/>
        </w:trPr>
        <w:tc>
          <w:tcPr>
            <w:tcW w:w="1569" w:type="pct"/>
            <w:shd w:val="clear" w:color="auto" w:fill="FFFFFF" w:themeFill="background1"/>
          </w:tcPr>
          <w:p w14:paraId="0593BAB8" w14:textId="77777777" w:rsidR="00973B6F" w:rsidRDefault="00973B6F" w:rsidP="00973B6F">
            <w:pPr>
              <w:pStyle w:val="Tabletext"/>
              <w:rPr>
                <w:lang w:eastAsia="en-US"/>
              </w:rPr>
            </w:pPr>
            <w:r>
              <w:rPr>
                <w:lang w:eastAsia="en-US"/>
              </w:rPr>
              <w:t>Probability of having event (%) (95% CI)</w:t>
            </w:r>
          </w:p>
        </w:tc>
        <w:tc>
          <w:tcPr>
            <w:tcW w:w="943" w:type="pct"/>
            <w:tcBorders>
              <w:top w:val="single" w:sz="4" w:space="0" w:color="auto"/>
              <w:left w:val="single" w:sz="4" w:space="0" w:color="auto"/>
              <w:bottom w:val="single" w:sz="4" w:space="0" w:color="auto"/>
              <w:right w:val="single" w:sz="4" w:space="0" w:color="auto"/>
            </w:tcBorders>
            <w:vAlign w:val="center"/>
          </w:tcPr>
          <w:p w14:paraId="0F6ED3E7" w14:textId="77777777" w:rsidR="00973B6F" w:rsidRPr="001A2F4A" w:rsidRDefault="00973B6F" w:rsidP="00E47C14">
            <w:pPr>
              <w:jc w:val="left"/>
              <w:rPr>
                <w:rFonts w:ascii="Arial Narrow" w:hAnsi="Arial Narrow"/>
                <w:sz w:val="20"/>
                <w:szCs w:val="20"/>
              </w:rPr>
            </w:pPr>
            <w:r w:rsidRPr="001A2F4A">
              <w:rPr>
                <w:rFonts w:ascii="Arial Narrow" w:hAnsi="Arial Narrow"/>
                <w:sz w:val="20"/>
                <w:szCs w:val="20"/>
              </w:rPr>
              <w:t>37.0</w:t>
            </w:r>
          </w:p>
          <w:p w14:paraId="29C3FB18" w14:textId="77777777" w:rsidR="00973B6F" w:rsidRDefault="00973B6F" w:rsidP="00973B6F">
            <w:pPr>
              <w:pStyle w:val="Tabletext"/>
              <w:rPr>
                <w:lang w:eastAsia="en-US"/>
              </w:rPr>
            </w:pPr>
            <w:r w:rsidRPr="001A2F4A">
              <w:rPr>
                <w:szCs w:val="20"/>
              </w:rPr>
              <w:t>(30.1, 45.0)</w:t>
            </w:r>
          </w:p>
        </w:tc>
        <w:tc>
          <w:tcPr>
            <w:tcW w:w="866" w:type="pct"/>
            <w:tcBorders>
              <w:top w:val="single" w:sz="4" w:space="0" w:color="auto"/>
              <w:left w:val="single" w:sz="4" w:space="0" w:color="auto"/>
              <w:bottom w:val="single" w:sz="4" w:space="0" w:color="auto"/>
              <w:right w:val="single" w:sz="4" w:space="0" w:color="auto"/>
            </w:tcBorders>
            <w:vAlign w:val="center"/>
          </w:tcPr>
          <w:p w14:paraId="5E8487B5" w14:textId="77777777" w:rsidR="00973B6F" w:rsidRPr="006B7FC6" w:rsidRDefault="00973B6F" w:rsidP="00C90BE6">
            <w:pPr>
              <w:pStyle w:val="Tabletext"/>
              <w:rPr>
                <w:lang w:eastAsia="en-US"/>
              </w:rPr>
            </w:pPr>
            <w:r w:rsidRPr="006B7FC6">
              <w:rPr>
                <w:lang w:eastAsia="en-US"/>
              </w:rPr>
              <w:t>40.7</w:t>
            </w:r>
          </w:p>
          <w:p w14:paraId="1D57093E" w14:textId="77777777" w:rsidR="00973B6F" w:rsidRPr="006B7FC6" w:rsidRDefault="00973B6F" w:rsidP="00C90BE6">
            <w:pPr>
              <w:pStyle w:val="Tabletext"/>
              <w:rPr>
                <w:lang w:eastAsia="en-US"/>
              </w:rPr>
            </w:pPr>
            <w:r w:rsidRPr="006B7FC6">
              <w:rPr>
                <w:lang w:eastAsia="en-US"/>
              </w:rPr>
              <w:t>(33.7, 48.6)</w:t>
            </w:r>
          </w:p>
        </w:tc>
        <w:tc>
          <w:tcPr>
            <w:tcW w:w="708" w:type="pct"/>
            <w:shd w:val="clear" w:color="auto" w:fill="FFFFFF" w:themeFill="background1"/>
          </w:tcPr>
          <w:p w14:paraId="2F0A44E0" w14:textId="77777777" w:rsidR="00355B6C" w:rsidRDefault="00355B6C" w:rsidP="00355B6C">
            <w:pPr>
              <w:pStyle w:val="Tabletext"/>
            </w:pPr>
            <w:r>
              <w:t>44.4</w:t>
            </w:r>
          </w:p>
          <w:p w14:paraId="38010571" w14:textId="77777777" w:rsidR="00973B6F" w:rsidRPr="004C7483" w:rsidRDefault="00355B6C" w:rsidP="00355B6C">
            <w:pPr>
              <w:pStyle w:val="Tabletext"/>
            </w:pPr>
            <w:r>
              <w:t>(35.2, 54.9)</w:t>
            </w:r>
          </w:p>
        </w:tc>
        <w:tc>
          <w:tcPr>
            <w:tcW w:w="914" w:type="pct"/>
            <w:shd w:val="clear" w:color="auto" w:fill="FFFFFF" w:themeFill="background1"/>
          </w:tcPr>
          <w:p w14:paraId="1A3A7F25" w14:textId="77777777" w:rsidR="00355B6C" w:rsidRDefault="00355B6C" w:rsidP="00355B6C">
            <w:pPr>
              <w:pStyle w:val="Tabletext"/>
            </w:pPr>
            <w:r>
              <w:t>39.3</w:t>
            </w:r>
          </w:p>
          <w:p w14:paraId="512C5FAB" w14:textId="77777777" w:rsidR="00973B6F" w:rsidRDefault="00355B6C" w:rsidP="00355B6C">
            <w:pPr>
              <w:pStyle w:val="Tabletext"/>
            </w:pPr>
            <w:r>
              <w:t>(31.5, 48.1)</w:t>
            </w:r>
          </w:p>
        </w:tc>
      </w:tr>
      <w:tr w:rsidR="003B3285" w:rsidRPr="001808B1" w14:paraId="76258DAD" w14:textId="77777777" w:rsidTr="00F875D4">
        <w:trPr>
          <w:tblHeader/>
        </w:trPr>
        <w:tc>
          <w:tcPr>
            <w:tcW w:w="1569" w:type="pct"/>
            <w:shd w:val="clear" w:color="auto" w:fill="FFFFFF" w:themeFill="background1"/>
          </w:tcPr>
          <w:p w14:paraId="0F0C84AB" w14:textId="77777777" w:rsidR="00973B6F" w:rsidRDefault="00973B6F" w:rsidP="00973B6F">
            <w:pPr>
              <w:pStyle w:val="Tabletext"/>
              <w:rPr>
                <w:lang w:eastAsia="en-US"/>
              </w:rPr>
            </w:pPr>
            <w:r>
              <w:rPr>
                <w:lang w:eastAsia="en-US"/>
              </w:rPr>
              <w:t>Hazard Ratio (95%CI)</w:t>
            </w:r>
          </w:p>
        </w:tc>
        <w:tc>
          <w:tcPr>
            <w:tcW w:w="943" w:type="pct"/>
            <w:shd w:val="clear" w:color="auto" w:fill="FFFFFF" w:themeFill="background1"/>
          </w:tcPr>
          <w:p w14:paraId="6E4A571B" w14:textId="77777777" w:rsidR="00973B6F" w:rsidRDefault="00973B6F" w:rsidP="00525EFC">
            <w:pPr>
              <w:pStyle w:val="Tabletext"/>
              <w:rPr>
                <w:lang w:eastAsia="en-US"/>
              </w:rPr>
            </w:pPr>
            <w:r>
              <w:rPr>
                <w:lang w:eastAsia="en-US"/>
              </w:rPr>
              <w:t>Reference arm</w:t>
            </w:r>
          </w:p>
        </w:tc>
        <w:tc>
          <w:tcPr>
            <w:tcW w:w="866" w:type="pct"/>
            <w:shd w:val="clear" w:color="auto" w:fill="FFFFFF" w:themeFill="background1"/>
          </w:tcPr>
          <w:p w14:paraId="34FC8F7C" w14:textId="77777777" w:rsidR="00973B6F" w:rsidRPr="006B7FC6" w:rsidRDefault="00973B6F" w:rsidP="00973B6F">
            <w:pPr>
              <w:pStyle w:val="Tabletext"/>
              <w:rPr>
                <w:lang w:eastAsia="en-US"/>
              </w:rPr>
            </w:pPr>
            <w:r w:rsidRPr="006B7FC6">
              <w:rPr>
                <w:lang w:eastAsia="en-US"/>
              </w:rPr>
              <w:t>1.04</w:t>
            </w:r>
          </w:p>
          <w:p w14:paraId="58195872" w14:textId="77777777" w:rsidR="00973B6F" w:rsidRPr="006B7FC6" w:rsidRDefault="00973B6F" w:rsidP="00973B6F">
            <w:pPr>
              <w:pStyle w:val="Tabletext"/>
              <w:rPr>
                <w:lang w:eastAsia="en-US"/>
              </w:rPr>
            </w:pPr>
            <w:r w:rsidRPr="006B7FC6">
              <w:rPr>
                <w:lang w:eastAsia="en-US"/>
              </w:rPr>
              <w:t>(0.79, 1.36)</w:t>
            </w:r>
          </w:p>
        </w:tc>
        <w:tc>
          <w:tcPr>
            <w:tcW w:w="708" w:type="pct"/>
            <w:shd w:val="clear" w:color="auto" w:fill="FFFFFF" w:themeFill="background1"/>
          </w:tcPr>
          <w:p w14:paraId="5F62E36E" w14:textId="77777777" w:rsidR="00973B6F" w:rsidRPr="004C7483" w:rsidRDefault="00355B6C" w:rsidP="00525EFC">
            <w:pPr>
              <w:pStyle w:val="Tabletext"/>
            </w:pPr>
            <w:r>
              <w:t>Reference arm</w:t>
            </w:r>
          </w:p>
        </w:tc>
        <w:tc>
          <w:tcPr>
            <w:tcW w:w="914" w:type="pct"/>
            <w:shd w:val="clear" w:color="auto" w:fill="FFFFFF" w:themeFill="background1"/>
          </w:tcPr>
          <w:p w14:paraId="6FBBE0E1" w14:textId="77777777" w:rsidR="00355B6C" w:rsidRDefault="00355B6C" w:rsidP="00355B6C">
            <w:pPr>
              <w:pStyle w:val="Tabletext"/>
            </w:pPr>
            <w:r>
              <w:t>0.94</w:t>
            </w:r>
          </w:p>
          <w:p w14:paraId="15AF037D" w14:textId="77777777" w:rsidR="00973B6F" w:rsidRDefault="00355B6C" w:rsidP="006B7FC6">
            <w:pPr>
              <w:pStyle w:val="Tabletext"/>
            </w:pPr>
            <w:r>
              <w:t>(0.69, 1.28)</w:t>
            </w:r>
          </w:p>
        </w:tc>
      </w:tr>
      <w:tr w:rsidR="003B3285" w:rsidRPr="001808B1" w14:paraId="14276D9F" w14:textId="77777777" w:rsidTr="00F875D4">
        <w:trPr>
          <w:tblHeader/>
        </w:trPr>
        <w:tc>
          <w:tcPr>
            <w:tcW w:w="1569" w:type="pct"/>
            <w:shd w:val="clear" w:color="auto" w:fill="FFFFFF" w:themeFill="background1"/>
          </w:tcPr>
          <w:p w14:paraId="19B919B1" w14:textId="77777777" w:rsidR="00973B6F" w:rsidRDefault="00973B6F" w:rsidP="00973B6F">
            <w:pPr>
              <w:pStyle w:val="Tabletext"/>
              <w:rPr>
                <w:lang w:eastAsia="en-US"/>
              </w:rPr>
            </w:pPr>
            <w:r>
              <w:rPr>
                <w:lang w:eastAsia="en-US"/>
              </w:rPr>
              <w:t>Percentage reduction in risk (%) (95% CI); p-value</w:t>
            </w:r>
          </w:p>
        </w:tc>
        <w:tc>
          <w:tcPr>
            <w:tcW w:w="943" w:type="pct"/>
            <w:shd w:val="clear" w:color="auto" w:fill="FFFFFF" w:themeFill="background1"/>
          </w:tcPr>
          <w:p w14:paraId="6D1B47E1" w14:textId="77777777" w:rsidR="00973B6F" w:rsidRDefault="00355B6C" w:rsidP="00525EFC">
            <w:pPr>
              <w:pStyle w:val="Tabletext"/>
              <w:rPr>
                <w:lang w:eastAsia="en-US"/>
              </w:rPr>
            </w:pPr>
            <w:r>
              <w:rPr>
                <w:lang w:eastAsia="en-US"/>
              </w:rPr>
              <w:t>Reference arm</w:t>
            </w:r>
          </w:p>
        </w:tc>
        <w:tc>
          <w:tcPr>
            <w:tcW w:w="866" w:type="pct"/>
            <w:shd w:val="clear" w:color="auto" w:fill="FFFFFF" w:themeFill="background1"/>
          </w:tcPr>
          <w:p w14:paraId="4AA185DD" w14:textId="77777777" w:rsidR="00355B6C" w:rsidRPr="006B7FC6" w:rsidRDefault="00355B6C" w:rsidP="00355B6C">
            <w:pPr>
              <w:pStyle w:val="Tabletext"/>
              <w:rPr>
                <w:lang w:eastAsia="en-US"/>
              </w:rPr>
            </w:pPr>
            <w:r w:rsidRPr="006B7FC6">
              <w:rPr>
                <w:lang w:eastAsia="en-US"/>
              </w:rPr>
              <w:t>-3.8</w:t>
            </w:r>
          </w:p>
          <w:p w14:paraId="31994454" w14:textId="77777777" w:rsidR="00355B6C" w:rsidRPr="006B7FC6" w:rsidRDefault="00355B6C" w:rsidP="00355B6C">
            <w:pPr>
              <w:pStyle w:val="Tabletext"/>
              <w:rPr>
                <w:lang w:eastAsia="en-US"/>
              </w:rPr>
            </w:pPr>
            <w:r w:rsidRPr="006B7FC6">
              <w:rPr>
                <w:lang w:eastAsia="en-US"/>
              </w:rPr>
              <w:t>(-35.8, 20.6)</w:t>
            </w:r>
          </w:p>
          <w:p w14:paraId="5FDF2A92" w14:textId="77777777" w:rsidR="00973B6F" w:rsidRPr="006B7FC6" w:rsidRDefault="00355B6C" w:rsidP="00355B6C">
            <w:pPr>
              <w:pStyle w:val="Tabletext"/>
              <w:rPr>
                <w:lang w:eastAsia="en-US"/>
              </w:rPr>
            </w:pPr>
            <w:r w:rsidRPr="006B7FC6">
              <w:rPr>
                <w:lang w:eastAsia="en-US"/>
              </w:rPr>
              <w:t>0.784</w:t>
            </w:r>
          </w:p>
        </w:tc>
        <w:tc>
          <w:tcPr>
            <w:tcW w:w="708" w:type="pct"/>
            <w:shd w:val="clear" w:color="auto" w:fill="FFFFFF" w:themeFill="background1"/>
          </w:tcPr>
          <w:p w14:paraId="0F711E00" w14:textId="77777777" w:rsidR="00973B6F" w:rsidRPr="004C7483" w:rsidRDefault="00355B6C" w:rsidP="00525EFC">
            <w:pPr>
              <w:pStyle w:val="Tabletext"/>
            </w:pPr>
            <w:r>
              <w:t>Reference arm</w:t>
            </w:r>
          </w:p>
        </w:tc>
        <w:tc>
          <w:tcPr>
            <w:tcW w:w="914" w:type="pct"/>
            <w:shd w:val="clear" w:color="auto" w:fill="FFFFFF" w:themeFill="background1"/>
          </w:tcPr>
          <w:p w14:paraId="01989C41" w14:textId="77777777" w:rsidR="00355B6C" w:rsidRDefault="00355B6C" w:rsidP="00355B6C">
            <w:pPr>
              <w:pStyle w:val="Tabletext"/>
            </w:pPr>
            <w:r>
              <w:t>6.3</w:t>
            </w:r>
          </w:p>
          <w:p w14:paraId="56AF0A35" w14:textId="77777777" w:rsidR="00973B6F" w:rsidRDefault="00355B6C" w:rsidP="00355B6C">
            <w:pPr>
              <w:pStyle w:val="Tabletext"/>
            </w:pPr>
            <w:r>
              <w:t>(-28.0, 31.4)</w:t>
            </w:r>
          </w:p>
        </w:tc>
      </w:tr>
      <w:tr w:rsidR="00A55DD7" w:rsidRPr="001808B1" w14:paraId="26E09E2B" w14:textId="77777777" w:rsidTr="00495019">
        <w:trPr>
          <w:tblHeader/>
        </w:trPr>
        <w:tc>
          <w:tcPr>
            <w:tcW w:w="5000" w:type="pct"/>
            <w:gridSpan w:val="5"/>
            <w:shd w:val="clear" w:color="auto" w:fill="FFFFFF" w:themeFill="background1"/>
          </w:tcPr>
          <w:p w14:paraId="47A52DF3" w14:textId="77777777" w:rsidR="00495019" w:rsidRPr="00973B6F" w:rsidRDefault="00495019" w:rsidP="00525EFC">
            <w:pPr>
              <w:pStyle w:val="Tabletext"/>
              <w:rPr>
                <w:b/>
                <w:bCs/>
                <w:lang w:eastAsia="en-US"/>
              </w:rPr>
            </w:pPr>
            <w:r w:rsidRPr="00973B6F">
              <w:rPr>
                <w:b/>
                <w:bCs/>
                <w:lang w:eastAsia="en-US"/>
              </w:rPr>
              <w:t>Annualised rate of severe asthma exacerbations</w:t>
            </w:r>
            <w:r w:rsidR="0038531E">
              <w:rPr>
                <w:b/>
                <w:bCs/>
                <w:lang w:eastAsia="en-US"/>
              </w:rPr>
              <w:t xml:space="preserve"> </w:t>
            </w:r>
            <w:r w:rsidR="0038531E" w:rsidRPr="0038531E">
              <w:rPr>
                <w:b/>
                <w:lang w:eastAsia="en-US"/>
              </w:rPr>
              <w:t>across weeks 1 to 52</w:t>
            </w:r>
          </w:p>
        </w:tc>
      </w:tr>
      <w:tr w:rsidR="003B3285" w:rsidRPr="001808B1" w14:paraId="2CAB1A78" w14:textId="77777777" w:rsidTr="00F875D4">
        <w:trPr>
          <w:tblHeader/>
        </w:trPr>
        <w:tc>
          <w:tcPr>
            <w:tcW w:w="1569" w:type="pct"/>
            <w:shd w:val="clear" w:color="auto" w:fill="FFFFFF" w:themeFill="background1"/>
          </w:tcPr>
          <w:p w14:paraId="122097C3" w14:textId="77777777" w:rsidR="00AE57EC" w:rsidRDefault="00AE57EC" w:rsidP="00AE57EC">
            <w:pPr>
              <w:pStyle w:val="Tabletext"/>
              <w:rPr>
                <w:lang w:eastAsia="en-US"/>
              </w:rPr>
            </w:pPr>
            <w:r w:rsidRPr="008147B7">
              <w:t>Mean annualised rate (95% CI)</w:t>
            </w:r>
          </w:p>
        </w:tc>
        <w:tc>
          <w:tcPr>
            <w:tcW w:w="943" w:type="pct"/>
            <w:shd w:val="clear" w:color="auto" w:fill="FFFFFF" w:themeFill="background1"/>
          </w:tcPr>
          <w:p w14:paraId="076AD9E7" w14:textId="77777777" w:rsidR="00AE57EC" w:rsidRPr="001808B1" w:rsidRDefault="00AE57EC" w:rsidP="00AE57EC">
            <w:pPr>
              <w:pStyle w:val="Tabletext"/>
              <w:rPr>
                <w:lang w:eastAsia="en-US"/>
              </w:rPr>
            </w:pPr>
            <w:r w:rsidRPr="008147B7">
              <w:t>0.26 (0.20, 0.34)</w:t>
            </w:r>
          </w:p>
        </w:tc>
        <w:tc>
          <w:tcPr>
            <w:tcW w:w="866" w:type="pct"/>
            <w:shd w:val="clear" w:color="auto" w:fill="FFFFFF" w:themeFill="background1"/>
          </w:tcPr>
          <w:p w14:paraId="29362007" w14:textId="77777777" w:rsidR="00AE57EC" w:rsidRPr="001808B1" w:rsidRDefault="00AE57EC" w:rsidP="00AE57EC">
            <w:pPr>
              <w:pStyle w:val="Tabletext"/>
              <w:rPr>
                <w:lang w:eastAsia="en-US"/>
              </w:rPr>
            </w:pPr>
            <w:r w:rsidRPr="008147B7">
              <w:t>0.23 (0.17, 0.30)</w:t>
            </w:r>
          </w:p>
        </w:tc>
        <w:tc>
          <w:tcPr>
            <w:tcW w:w="1622" w:type="pct"/>
            <w:gridSpan w:val="2"/>
            <w:vMerge w:val="restart"/>
            <w:shd w:val="clear" w:color="auto" w:fill="FFFFFF" w:themeFill="background1"/>
          </w:tcPr>
          <w:p w14:paraId="1C776D5C" w14:textId="77777777" w:rsidR="00AE57EC" w:rsidRPr="001808B1" w:rsidRDefault="00AE57EC" w:rsidP="00AE57EC">
            <w:pPr>
              <w:pStyle w:val="Tabletext"/>
              <w:rPr>
                <w:lang w:eastAsia="en-US"/>
              </w:rPr>
            </w:pPr>
            <w:r>
              <w:rPr>
                <w:lang w:eastAsia="en-US"/>
              </w:rPr>
              <w:t>NR</w:t>
            </w:r>
          </w:p>
        </w:tc>
      </w:tr>
      <w:tr w:rsidR="003B3285" w:rsidRPr="001808B1" w14:paraId="6486143A" w14:textId="77777777" w:rsidTr="00F875D4">
        <w:trPr>
          <w:tblHeader/>
        </w:trPr>
        <w:tc>
          <w:tcPr>
            <w:tcW w:w="1569" w:type="pct"/>
            <w:shd w:val="clear" w:color="auto" w:fill="FFFFFF" w:themeFill="background1"/>
          </w:tcPr>
          <w:p w14:paraId="3B234257" w14:textId="77777777" w:rsidR="00AE57EC" w:rsidRPr="008147B7" w:rsidRDefault="00AE57EC" w:rsidP="00AE57EC">
            <w:pPr>
              <w:pStyle w:val="Tabletext"/>
            </w:pPr>
            <w:r>
              <w:t>Rate ratio</w:t>
            </w:r>
            <w:r w:rsidR="006B7FC6">
              <w:t xml:space="preserve"> </w:t>
            </w:r>
            <w:r w:rsidR="006B7FC6">
              <w:rPr>
                <w:lang w:eastAsia="en-US"/>
              </w:rPr>
              <w:t>(95% CI); p-value</w:t>
            </w:r>
          </w:p>
        </w:tc>
        <w:tc>
          <w:tcPr>
            <w:tcW w:w="943" w:type="pct"/>
            <w:shd w:val="clear" w:color="auto" w:fill="FFFFFF" w:themeFill="background1"/>
          </w:tcPr>
          <w:p w14:paraId="52B4C7CA" w14:textId="77777777" w:rsidR="00AE57EC" w:rsidRPr="008147B7" w:rsidRDefault="00AE57EC" w:rsidP="00AE57EC">
            <w:pPr>
              <w:pStyle w:val="Tabletext"/>
            </w:pPr>
            <w:r>
              <w:t>Reference arm</w:t>
            </w:r>
          </w:p>
        </w:tc>
        <w:tc>
          <w:tcPr>
            <w:tcW w:w="866" w:type="pct"/>
            <w:shd w:val="clear" w:color="auto" w:fill="FFFFFF" w:themeFill="background1"/>
          </w:tcPr>
          <w:p w14:paraId="7C617575" w14:textId="77777777" w:rsidR="00AE57EC" w:rsidRPr="008147B7" w:rsidRDefault="00AE57EC" w:rsidP="00AE57EC">
            <w:pPr>
              <w:pStyle w:val="Tabletext"/>
            </w:pPr>
            <w:r w:rsidRPr="008147B7">
              <w:t xml:space="preserve">0.88 (0.60, 1.31); </w:t>
            </w:r>
            <w:r w:rsidR="006B7FC6">
              <w:t>p=</w:t>
            </w:r>
            <w:r w:rsidRPr="008147B7">
              <w:t>0.540</w:t>
            </w:r>
          </w:p>
        </w:tc>
        <w:tc>
          <w:tcPr>
            <w:tcW w:w="1622" w:type="pct"/>
            <w:gridSpan w:val="2"/>
            <w:vMerge/>
            <w:shd w:val="clear" w:color="auto" w:fill="FFFFFF" w:themeFill="background1"/>
          </w:tcPr>
          <w:p w14:paraId="41E40AFB" w14:textId="77777777" w:rsidR="00AE57EC" w:rsidRPr="001808B1" w:rsidRDefault="00AE57EC" w:rsidP="00AE57EC">
            <w:pPr>
              <w:pStyle w:val="Tabletext"/>
              <w:rPr>
                <w:lang w:eastAsia="en-US"/>
              </w:rPr>
            </w:pPr>
          </w:p>
        </w:tc>
      </w:tr>
      <w:tr w:rsidR="003B3285" w:rsidRPr="001808B1" w14:paraId="5664CD8C" w14:textId="77777777" w:rsidTr="00F875D4">
        <w:trPr>
          <w:tblHeader/>
        </w:trPr>
        <w:tc>
          <w:tcPr>
            <w:tcW w:w="1569" w:type="pct"/>
            <w:shd w:val="clear" w:color="auto" w:fill="FFFFFF" w:themeFill="background1"/>
          </w:tcPr>
          <w:p w14:paraId="06C2D522" w14:textId="77777777" w:rsidR="00AE57EC" w:rsidRDefault="00AE57EC" w:rsidP="00AE57EC">
            <w:pPr>
              <w:pStyle w:val="Tabletext"/>
              <w:rPr>
                <w:lang w:eastAsia="en-US"/>
              </w:rPr>
            </w:pPr>
            <w:r w:rsidRPr="008147B7">
              <w:t>% reduction (95% CI)</w:t>
            </w:r>
          </w:p>
        </w:tc>
        <w:tc>
          <w:tcPr>
            <w:tcW w:w="943" w:type="pct"/>
            <w:shd w:val="clear" w:color="auto" w:fill="FFFFFF" w:themeFill="background1"/>
          </w:tcPr>
          <w:p w14:paraId="7B772794" w14:textId="77777777" w:rsidR="00AE57EC" w:rsidRPr="001808B1" w:rsidRDefault="00AE57EC" w:rsidP="00AE57EC">
            <w:pPr>
              <w:pStyle w:val="Tabletext"/>
              <w:rPr>
                <w:lang w:eastAsia="en-US"/>
              </w:rPr>
            </w:pPr>
            <w:r w:rsidRPr="008147B7">
              <w:t>Reference arm</w:t>
            </w:r>
          </w:p>
        </w:tc>
        <w:tc>
          <w:tcPr>
            <w:tcW w:w="866" w:type="pct"/>
            <w:shd w:val="clear" w:color="auto" w:fill="FFFFFF" w:themeFill="background1"/>
          </w:tcPr>
          <w:p w14:paraId="25365BBE" w14:textId="77777777" w:rsidR="00AE57EC" w:rsidRPr="001808B1" w:rsidRDefault="00AE57EC" w:rsidP="00AE57EC">
            <w:pPr>
              <w:pStyle w:val="Tabletext"/>
              <w:rPr>
                <w:lang w:eastAsia="en-US"/>
              </w:rPr>
            </w:pPr>
            <w:r w:rsidRPr="008147B7">
              <w:t>11.60% (-31.10%, 40.40%)</w:t>
            </w:r>
          </w:p>
        </w:tc>
        <w:tc>
          <w:tcPr>
            <w:tcW w:w="1622" w:type="pct"/>
            <w:gridSpan w:val="2"/>
            <w:vMerge/>
            <w:shd w:val="clear" w:color="auto" w:fill="FFFFFF" w:themeFill="background1"/>
          </w:tcPr>
          <w:p w14:paraId="316A4EFB" w14:textId="77777777" w:rsidR="00AE57EC" w:rsidRPr="001808B1" w:rsidRDefault="00AE57EC" w:rsidP="00AE57EC">
            <w:pPr>
              <w:pStyle w:val="Tabletext"/>
              <w:rPr>
                <w:lang w:eastAsia="en-US"/>
              </w:rPr>
            </w:pPr>
          </w:p>
        </w:tc>
      </w:tr>
      <w:tr w:rsidR="003B3285" w:rsidRPr="001808B1" w14:paraId="215A1E24" w14:textId="77777777" w:rsidTr="00AE57EC">
        <w:trPr>
          <w:tblHeader/>
        </w:trPr>
        <w:tc>
          <w:tcPr>
            <w:tcW w:w="3378" w:type="pct"/>
            <w:gridSpan w:val="3"/>
            <w:shd w:val="clear" w:color="auto" w:fill="FFFFFF" w:themeFill="background1"/>
          </w:tcPr>
          <w:p w14:paraId="742E4FF2" w14:textId="77777777" w:rsidR="00AE57EC" w:rsidRPr="00AE57EC" w:rsidRDefault="00AE57EC" w:rsidP="00AE57EC">
            <w:pPr>
              <w:pStyle w:val="Tabletext"/>
              <w:rPr>
                <w:b/>
                <w:bCs/>
                <w:lang w:eastAsia="en-US"/>
              </w:rPr>
            </w:pPr>
            <w:r w:rsidRPr="00AE57EC">
              <w:rPr>
                <w:b/>
                <w:bCs/>
                <w:lang w:eastAsia="en-US"/>
              </w:rPr>
              <w:t>Time to first severe asthma exacerbations</w:t>
            </w:r>
          </w:p>
        </w:tc>
        <w:tc>
          <w:tcPr>
            <w:tcW w:w="1622" w:type="pct"/>
            <w:gridSpan w:val="2"/>
            <w:vMerge/>
            <w:shd w:val="clear" w:color="auto" w:fill="FFFFFF" w:themeFill="background1"/>
          </w:tcPr>
          <w:p w14:paraId="2FBDD9D2" w14:textId="77777777" w:rsidR="00AE57EC" w:rsidRPr="001808B1" w:rsidRDefault="00AE57EC" w:rsidP="00AE57EC">
            <w:pPr>
              <w:pStyle w:val="Tabletext"/>
              <w:rPr>
                <w:lang w:eastAsia="en-US"/>
              </w:rPr>
            </w:pPr>
          </w:p>
        </w:tc>
      </w:tr>
      <w:tr w:rsidR="00A55DD7" w:rsidRPr="001808B1" w14:paraId="7C0D0DC7" w14:textId="77777777" w:rsidTr="00F875D4">
        <w:trPr>
          <w:tblHeader/>
        </w:trPr>
        <w:tc>
          <w:tcPr>
            <w:tcW w:w="1569" w:type="pct"/>
            <w:tcBorders>
              <w:top w:val="single" w:sz="4" w:space="0" w:color="auto"/>
              <w:left w:val="single" w:sz="4" w:space="0" w:color="auto"/>
              <w:bottom w:val="single" w:sz="4" w:space="0" w:color="auto"/>
              <w:right w:val="single" w:sz="4" w:space="0" w:color="auto"/>
            </w:tcBorders>
          </w:tcPr>
          <w:p w14:paraId="1942FE2F" w14:textId="77777777" w:rsidR="00AE57EC" w:rsidRDefault="00AE57EC" w:rsidP="00AE57EC">
            <w:pPr>
              <w:pStyle w:val="Tabletext"/>
              <w:rPr>
                <w:lang w:eastAsia="en-US"/>
              </w:rPr>
            </w:pPr>
            <w:r w:rsidRPr="001808B1">
              <w:rPr>
                <w:lang w:eastAsia="en-US"/>
              </w:rPr>
              <w:t>Probability of having event (95% CI)</w:t>
            </w:r>
          </w:p>
        </w:tc>
        <w:tc>
          <w:tcPr>
            <w:tcW w:w="943" w:type="pct"/>
            <w:tcBorders>
              <w:top w:val="single" w:sz="4" w:space="0" w:color="auto"/>
              <w:left w:val="single" w:sz="4" w:space="0" w:color="auto"/>
              <w:bottom w:val="single" w:sz="4" w:space="0" w:color="auto"/>
              <w:right w:val="single" w:sz="4" w:space="0" w:color="auto"/>
            </w:tcBorders>
          </w:tcPr>
          <w:p w14:paraId="3A1DFFE8" w14:textId="77777777" w:rsidR="00AE57EC" w:rsidRPr="001808B1" w:rsidRDefault="00AE57EC" w:rsidP="00AE57EC">
            <w:pPr>
              <w:pStyle w:val="Tabletext"/>
              <w:rPr>
                <w:lang w:eastAsia="en-US"/>
              </w:rPr>
            </w:pPr>
            <w:r w:rsidRPr="001808B1">
              <w:rPr>
                <w:szCs w:val="20"/>
              </w:rPr>
              <w:t>20.80 (15.3, 27.9)</w:t>
            </w:r>
          </w:p>
        </w:tc>
        <w:tc>
          <w:tcPr>
            <w:tcW w:w="866" w:type="pct"/>
            <w:tcBorders>
              <w:top w:val="single" w:sz="4" w:space="0" w:color="auto"/>
              <w:left w:val="single" w:sz="4" w:space="0" w:color="auto"/>
              <w:bottom w:val="single" w:sz="4" w:space="0" w:color="auto"/>
            </w:tcBorders>
          </w:tcPr>
          <w:p w14:paraId="2BEF2EEA" w14:textId="77777777" w:rsidR="00AE57EC" w:rsidRPr="001808B1" w:rsidRDefault="00AE57EC" w:rsidP="00AE57EC">
            <w:pPr>
              <w:pStyle w:val="Tabletext"/>
              <w:rPr>
                <w:lang w:eastAsia="en-US"/>
              </w:rPr>
            </w:pPr>
            <w:r w:rsidRPr="001808B1">
              <w:rPr>
                <w:szCs w:val="20"/>
              </w:rPr>
              <w:t>33.8 (15.6, 63.2)</w:t>
            </w:r>
          </w:p>
        </w:tc>
        <w:tc>
          <w:tcPr>
            <w:tcW w:w="1622" w:type="pct"/>
            <w:gridSpan w:val="2"/>
            <w:vMerge/>
          </w:tcPr>
          <w:p w14:paraId="11E7935D" w14:textId="77777777" w:rsidR="00AE57EC" w:rsidRPr="001808B1" w:rsidRDefault="00AE57EC" w:rsidP="00AE57EC">
            <w:pPr>
              <w:pStyle w:val="Tabletext"/>
              <w:rPr>
                <w:lang w:eastAsia="en-US"/>
              </w:rPr>
            </w:pPr>
          </w:p>
        </w:tc>
      </w:tr>
      <w:tr w:rsidR="00A55DD7" w:rsidRPr="001808B1" w14:paraId="139441D7" w14:textId="77777777" w:rsidTr="00F875D4">
        <w:trPr>
          <w:tblHeader/>
        </w:trPr>
        <w:tc>
          <w:tcPr>
            <w:tcW w:w="1569" w:type="pct"/>
            <w:tcBorders>
              <w:top w:val="single" w:sz="4" w:space="0" w:color="auto"/>
              <w:left w:val="single" w:sz="4" w:space="0" w:color="auto"/>
              <w:bottom w:val="single" w:sz="4" w:space="0" w:color="auto"/>
              <w:right w:val="single" w:sz="4" w:space="0" w:color="auto"/>
            </w:tcBorders>
          </w:tcPr>
          <w:p w14:paraId="1BD697F0" w14:textId="77777777" w:rsidR="00AE57EC" w:rsidRDefault="00AE57EC" w:rsidP="00AE57EC">
            <w:pPr>
              <w:pStyle w:val="Tabletext"/>
              <w:rPr>
                <w:lang w:eastAsia="en-US"/>
              </w:rPr>
            </w:pPr>
            <w:r w:rsidRPr="001808B1">
              <w:rPr>
                <w:lang w:eastAsia="en-US"/>
              </w:rPr>
              <w:t>Hazard ratio (95% CI)</w:t>
            </w:r>
          </w:p>
        </w:tc>
        <w:tc>
          <w:tcPr>
            <w:tcW w:w="943" w:type="pct"/>
            <w:tcBorders>
              <w:top w:val="single" w:sz="4" w:space="0" w:color="auto"/>
              <w:left w:val="single" w:sz="4" w:space="0" w:color="auto"/>
              <w:bottom w:val="single" w:sz="4" w:space="0" w:color="auto"/>
              <w:right w:val="single" w:sz="4" w:space="0" w:color="auto"/>
            </w:tcBorders>
          </w:tcPr>
          <w:p w14:paraId="128F836B" w14:textId="77777777" w:rsidR="00AE57EC" w:rsidRPr="001808B1" w:rsidRDefault="00AE57EC" w:rsidP="00AE57EC">
            <w:pPr>
              <w:pStyle w:val="Tabletext"/>
              <w:rPr>
                <w:lang w:eastAsia="en-US"/>
              </w:rPr>
            </w:pPr>
            <w:r w:rsidRPr="001808B1">
              <w:rPr>
                <w:lang w:eastAsia="en-US"/>
              </w:rPr>
              <w:t>Reference arm</w:t>
            </w:r>
          </w:p>
        </w:tc>
        <w:tc>
          <w:tcPr>
            <w:tcW w:w="866" w:type="pct"/>
            <w:tcBorders>
              <w:top w:val="single" w:sz="4" w:space="0" w:color="auto"/>
              <w:left w:val="single" w:sz="4" w:space="0" w:color="auto"/>
              <w:bottom w:val="single" w:sz="4" w:space="0" w:color="auto"/>
            </w:tcBorders>
          </w:tcPr>
          <w:p w14:paraId="26B16050" w14:textId="77777777" w:rsidR="00AE57EC" w:rsidRPr="001808B1" w:rsidRDefault="00AE57EC" w:rsidP="00AE57EC">
            <w:pPr>
              <w:pStyle w:val="Tabletext"/>
              <w:rPr>
                <w:lang w:eastAsia="en-US"/>
              </w:rPr>
            </w:pPr>
            <w:r w:rsidRPr="001808B1">
              <w:rPr>
                <w:lang w:eastAsia="en-US"/>
              </w:rPr>
              <w:t>0.93 (0.64, 1.34)</w:t>
            </w:r>
          </w:p>
        </w:tc>
        <w:tc>
          <w:tcPr>
            <w:tcW w:w="1622" w:type="pct"/>
            <w:gridSpan w:val="2"/>
            <w:vMerge/>
          </w:tcPr>
          <w:p w14:paraId="7DC898A1" w14:textId="77777777" w:rsidR="00AE57EC" w:rsidRPr="001808B1" w:rsidRDefault="00AE57EC" w:rsidP="00AE57EC">
            <w:pPr>
              <w:pStyle w:val="Tabletext"/>
              <w:rPr>
                <w:lang w:eastAsia="en-US"/>
              </w:rPr>
            </w:pPr>
          </w:p>
        </w:tc>
      </w:tr>
      <w:tr w:rsidR="00A55DD7" w:rsidRPr="001808B1" w14:paraId="7390E516" w14:textId="77777777" w:rsidTr="00F875D4">
        <w:trPr>
          <w:tblHeader/>
        </w:trPr>
        <w:tc>
          <w:tcPr>
            <w:tcW w:w="1569" w:type="pct"/>
            <w:tcBorders>
              <w:top w:val="single" w:sz="4" w:space="0" w:color="auto"/>
              <w:left w:val="single" w:sz="4" w:space="0" w:color="auto"/>
              <w:bottom w:val="single" w:sz="4" w:space="0" w:color="auto"/>
              <w:right w:val="single" w:sz="4" w:space="0" w:color="auto"/>
            </w:tcBorders>
          </w:tcPr>
          <w:p w14:paraId="39AE9791" w14:textId="77777777" w:rsidR="00AE57EC" w:rsidRDefault="00AE57EC" w:rsidP="00AE57EC">
            <w:pPr>
              <w:pStyle w:val="Tabletext"/>
              <w:rPr>
                <w:lang w:eastAsia="en-US"/>
              </w:rPr>
            </w:pPr>
            <w:r w:rsidRPr="001808B1">
              <w:rPr>
                <w:lang w:eastAsia="en-US"/>
              </w:rPr>
              <w:t>% reduction in risk (95% CI); p value</w:t>
            </w:r>
          </w:p>
        </w:tc>
        <w:tc>
          <w:tcPr>
            <w:tcW w:w="943" w:type="pct"/>
            <w:tcBorders>
              <w:top w:val="single" w:sz="4" w:space="0" w:color="auto"/>
              <w:left w:val="single" w:sz="4" w:space="0" w:color="auto"/>
              <w:bottom w:val="single" w:sz="4" w:space="0" w:color="auto"/>
              <w:right w:val="single" w:sz="4" w:space="0" w:color="auto"/>
            </w:tcBorders>
          </w:tcPr>
          <w:p w14:paraId="79F973EF" w14:textId="77777777" w:rsidR="00AE57EC" w:rsidRPr="001808B1" w:rsidRDefault="00AE57EC" w:rsidP="00AE57EC">
            <w:pPr>
              <w:pStyle w:val="Tabletext"/>
              <w:rPr>
                <w:lang w:eastAsia="en-US"/>
              </w:rPr>
            </w:pPr>
            <w:r w:rsidRPr="001808B1">
              <w:rPr>
                <w:szCs w:val="20"/>
              </w:rPr>
              <w:t>reference arm</w:t>
            </w:r>
          </w:p>
        </w:tc>
        <w:tc>
          <w:tcPr>
            <w:tcW w:w="866" w:type="pct"/>
            <w:tcBorders>
              <w:top w:val="single" w:sz="4" w:space="0" w:color="auto"/>
              <w:left w:val="single" w:sz="4" w:space="0" w:color="auto"/>
              <w:bottom w:val="single" w:sz="4" w:space="0" w:color="auto"/>
              <w:right w:val="single" w:sz="4" w:space="0" w:color="auto"/>
            </w:tcBorders>
          </w:tcPr>
          <w:p w14:paraId="71E184FE" w14:textId="77777777" w:rsidR="00AE57EC" w:rsidRPr="001808B1" w:rsidRDefault="00AE57EC" w:rsidP="00AE57EC">
            <w:pPr>
              <w:pStyle w:val="Tabletext"/>
              <w:rPr>
                <w:lang w:eastAsia="en-US"/>
              </w:rPr>
            </w:pPr>
            <w:r w:rsidRPr="001808B1">
              <w:rPr>
                <w:szCs w:val="20"/>
              </w:rPr>
              <w:t xml:space="preserve">7.2 (-34.1, 35.8); </w:t>
            </w:r>
            <w:r w:rsidR="006B7FC6">
              <w:rPr>
                <w:szCs w:val="20"/>
              </w:rPr>
              <w:t>p=</w:t>
            </w:r>
            <w:r w:rsidRPr="001808B1">
              <w:rPr>
                <w:szCs w:val="20"/>
              </w:rPr>
              <w:t>0.692</w:t>
            </w:r>
          </w:p>
        </w:tc>
        <w:tc>
          <w:tcPr>
            <w:tcW w:w="1622" w:type="pct"/>
            <w:gridSpan w:val="2"/>
            <w:vMerge/>
          </w:tcPr>
          <w:p w14:paraId="73B7F723" w14:textId="77777777" w:rsidR="00AE57EC" w:rsidRPr="001808B1" w:rsidRDefault="00AE57EC" w:rsidP="00AE57EC">
            <w:pPr>
              <w:pStyle w:val="Tabletext"/>
              <w:rPr>
                <w:lang w:eastAsia="en-US"/>
              </w:rPr>
            </w:pPr>
          </w:p>
        </w:tc>
      </w:tr>
    </w:tbl>
    <w:p w14:paraId="18B16213" w14:textId="77777777" w:rsidR="001F516D" w:rsidRPr="001808B1" w:rsidRDefault="001F516D" w:rsidP="00EA556C">
      <w:pPr>
        <w:pStyle w:val="TableFigureFooter"/>
        <w:rPr>
          <w:rFonts w:eastAsia="MS Gothic"/>
          <w:lang w:eastAsia="en-US"/>
        </w:rPr>
      </w:pPr>
      <w:r w:rsidRPr="001808B1">
        <w:rPr>
          <w:rFonts w:eastAsia="MS Gothic" w:cs="Arial Narrow"/>
          <w:szCs w:val="16"/>
          <w:lang w:eastAsia="en-US"/>
        </w:rPr>
        <w:t>S</w:t>
      </w:r>
      <w:r w:rsidRPr="001808B1">
        <w:rPr>
          <w:rFonts w:eastAsia="MS Gothic" w:cs="Arial Narrow"/>
          <w:spacing w:val="-2"/>
          <w:szCs w:val="16"/>
          <w:lang w:eastAsia="en-US"/>
        </w:rPr>
        <w:t>o</w:t>
      </w:r>
      <w:r w:rsidRPr="001808B1">
        <w:rPr>
          <w:rFonts w:eastAsia="MS Gothic" w:cs="Arial Narrow"/>
          <w:spacing w:val="1"/>
          <w:szCs w:val="16"/>
          <w:lang w:eastAsia="en-US"/>
        </w:rPr>
        <w:t>u</w:t>
      </w:r>
      <w:r w:rsidRPr="001808B1">
        <w:rPr>
          <w:rFonts w:eastAsia="MS Gothic" w:cs="Arial Narrow"/>
          <w:spacing w:val="-1"/>
          <w:szCs w:val="16"/>
          <w:lang w:eastAsia="en-US"/>
        </w:rPr>
        <w:t>r</w:t>
      </w:r>
      <w:r w:rsidRPr="001808B1">
        <w:rPr>
          <w:rFonts w:eastAsia="MS Gothic" w:cs="Arial Narrow"/>
          <w:spacing w:val="-2"/>
          <w:szCs w:val="16"/>
          <w:lang w:eastAsia="en-US"/>
        </w:rPr>
        <w:t>c</w:t>
      </w:r>
      <w:r w:rsidRPr="001808B1">
        <w:rPr>
          <w:rFonts w:eastAsia="MS Gothic" w:cs="Arial Narrow"/>
          <w:spacing w:val="1"/>
          <w:szCs w:val="16"/>
          <w:lang w:eastAsia="en-US"/>
        </w:rPr>
        <w:t>e</w:t>
      </w:r>
      <w:r w:rsidRPr="001808B1">
        <w:rPr>
          <w:rFonts w:eastAsia="MS Gothic" w:cs="Arial Narrow"/>
          <w:szCs w:val="16"/>
          <w:lang w:eastAsia="en-US"/>
        </w:rPr>
        <w:t>:</w:t>
      </w:r>
      <w:r w:rsidRPr="001808B1">
        <w:rPr>
          <w:rFonts w:eastAsia="MS Gothic" w:cs="Arial Narrow"/>
          <w:spacing w:val="-2"/>
          <w:szCs w:val="16"/>
          <w:lang w:eastAsia="en-US"/>
        </w:rPr>
        <w:t xml:space="preserve"> </w:t>
      </w:r>
      <w:r w:rsidRPr="001808B1">
        <w:rPr>
          <w:rFonts w:eastAsia="MS Gothic"/>
          <w:lang w:eastAsia="en-US"/>
        </w:rPr>
        <w:t xml:space="preserve">Tables 28-31, </w:t>
      </w:r>
      <w:r w:rsidR="00AE57EC">
        <w:rPr>
          <w:rFonts w:eastAsia="MS Gothic"/>
          <w:lang w:eastAsia="en-US"/>
        </w:rPr>
        <w:t>p</w:t>
      </w:r>
      <w:r w:rsidRPr="001808B1">
        <w:rPr>
          <w:rFonts w:eastAsia="MS Gothic"/>
          <w:lang w:eastAsia="en-US"/>
        </w:rPr>
        <w:t>94-96</w:t>
      </w:r>
      <w:r w:rsidR="00AE57EC">
        <w:rPr>
          <w:rFonts w:eastAsia="MS Gothic"/>
          <w:lang w:eastAsia="en-US"/>
        </w:rPr>
        <w:t>, Table 45, p109</w:t>
      </w:r>
      <w:r w:rsidR="00C2388F">
        <w:rPr>
          <w:rFonts w:eastAsia="MS Gothic"/>
          <w:lang w:eastAsia="en-US"/>
        </w:rPr>
        <w:t>, Table 46, p110</w:t>
      </w:r>
      <w:r w:rsidRPr="001808B1">
        <w:rPr>
          <w:rFonts w:eastAsia="MS Gothic"/>
          <w:lang w:eastAsia="en-US"/>
        </w:rPr>
        <w:t xml:space="preserve"> of the submission</w:t>
      </w:r>
    </w:p>
    <w:p w14:paraId="680C27BA" w14:textId="77777777" w:rsidR="001F516D" w:rsidRPr="001808B1" w:rsidRDefault="001F516D" w:rsidP="00EA556C">
      <w:pPr>
        <w:pStyle w:val="TableFigureFooter"/>
        <w:rPr>
          <w:rFonts w:eastAsia="MS Gothic" w:cs="Arial Narrow"/>
          <w:szCs w:val="16"/>
          <w:lang w:eastAsia="en-US"/>
        </w:rPr>
      </w:pPr>
      <w:r w:rsidRPr="001808B1">
        <w:rPr>
          <w:rFonts w:eastAsia="MS Gothic"/>
          <w:lang w:eastAsia="en-US"/>
        </w:rPr>
        <w:t>CI: Confidence Interval; FF: Fluticasone Furoate; UMEC: Umeclidinium; VI: Vilanterol; NA: Not applicable</w:t>
      </w:r>
    </w:p>
    <w:p w14:paraId="355CE695" w14:textId="77777777" w:rsidR="00F318B5" w:rsidRDefault="00F318B5" w:rsidP="00EA556C">
      <w:pPr>
        <w:pStyle w:val="TableFigureFooter"/>
        <w:rPr>
          <w:rFonts w:eastAsia="MS Gothic" w:cs="Arial Narrow"/>
          <w:i/>
          <w:iCs/>
          <w:color w:val="00B050"/>
          <w:szCs w:val="16"/>
          <w:lang w:eastAsia="en-US"/>
        </w:rPr>
      </w:pPr>
    </w:p>
    <w:p w14:paraId="4806BE11" w14:textId="77777777" w:rsidR="00F318B5" w:rsidRDefault="00F318B5" w:rsidP="00F318B5">
      <w:pPr>
        <w:pStyle w:val="3-BodyText"/>
      </w:pPr>
      <w:r w:rsidRPr="001808B1">
        <w:t>A trend for greater reductions in moderate or severe exacerbation</w:t>
      </w:r>
      <w:r w:rsidR="00D73B55">
        <w:t>s</w:t>
      </w:r>
      <w:r w:rsidRPr="001808B1">
        <w:t xml:space="preserve"> was reported for the comparison of </w:t>
      </w:r>
      <w:r w:rsidR="00D73B55">
        <w:t xml:space="preserve">the </w:t>
      </w:r>
      <w:r w:rsidR="0081496A">
        <w:t>FF/UMEC/VI 200/62.5/25</w:t>
      </w:r>
      <w:r w:rsidRPr="001808B1">
        <w:t xml:space="preserve"> group versus the FF/VI 200/25 group in the subgroup with ≥1 exacerbation in the past 12 months than in the ITT population (rate ratio 0.80 and 0.97, respectively)</w:t>
      </w:r>
      <w:r w:rsidR="00004DE0">
        <w:t xml:space="preserve"> </w:t>
      </w:r>
      <w:r w:rsidR="00004DE0" w:rsidRPr="00C53AC3">
        <w:t>(see Table 5)</w:t>
      </w:r>
      <w:r w:rsidRPr="00C53AC3">
        <w:t>.</w:t>
      </w:r>
      <w:r w:rsidR="00662543">
        <w:t xml:space="preserve"> However, there was no statistically significant difference between </w:t>
      </w:r>
      <w:r w:rsidR="0081496A">
        <w:t>FF/UMEC/VI 200/62.5/25</w:t>
      </w:r>
      <w:r w:rsidR="00662543">
        <w:t xml:space="preserve"> and FF/VI 200/25 in terms of all endpoints related to exacerbations.</w:t>
      </w:r>
      <w:r w:rsidRPr="001808B1">
        <w:t xml:space="preserve"> The submission did not present a subgroup analysis of the annualised rate of severe asthma exacerbations as the severe exacerbation rate was low in the study (p109 of the submission). This would result in substantial variability in the estimated effects.</w:t>
      </w:r>
    </w:p>
    <w:p w14:paraId="45B66725" w14:textId="77777777" w:rsidR="00662543" w:rsidRPr="00662543" w:rsidRDefault="00662543" w:rsidP="00662543">
      <w:pPr>
        <w:pStyle w:val="3-BodyText"/>
      </w:pPr>
      <w:r w:rsidRPr="00662543">
        <w:t xml:space="preserve">Similar </w:t>
      </w:r>
      <w:r w:rsidR="00196152">
        <w:t xml:space="preserve">trends to </w:t>
      </w:r>
      <w:r w:rsidRPr="00662543">
        <w:t xml:space="preserve">improvement in ACQ7 change from baseline were observed for </w:t>
      </w:r>
      <w:r w:rsidR="00E47C14">
        <w:t xml:space="preserve">the subgroup of </w:t>
      </w:r>
      <w:r w:rsidRPr="00662543">
        <w:t>patients with ≥1 exacerbation in the past 12 months compared with the ITT population (change from baseline: -0.062 and -0.059 for the ITT and the subgroup, respectively)</w:t>
      </w:r>
      <w:r w:rsidR="00202C16">
        <w:t xml:space="preserve"> </w:t>
      </w:r>
      <w:r w:rsidR="00202C16" w:rsidRPr="00C53AC3">
        <w:t>(see Table 6)</w:t>
      </w:r>
      <w:r w:rsidRPr="00C53AC3">
        <w:t>.</w:t>
      </w:r>
      <w:r w:rsidRPr="00662543">
        <w:t xml:space="preserve"> </w:t>
      </w:r>
    </w:p>
    <w:p w14:paraId="019FCF89" w14:textId="77777777" w:rsidR="001F516D" w:rsidRDefault="001F516D" w:rsidP="00EA556C">
      <w:pPr>
        <w:pStyle w:val="TableFigureHeading"/>
      </w:pPr>
      <w:r w:rsidRPr="001808B1">
        <w:t xml:space="preserve">Table </w:t>
      </w:r>
      <w:r w:rsidR="00662543">
        <w:t>6</w:t>
      </w:r>
      <w:r w:rsidRPr="001808B1">
        <w:t xml:space="preserve">: Mean change from baseline in ACQ-7 total score and proportion of responders (MCID </w:t>
      </w:r>
      <w:r w:rsidRPr="001808B1">
        <w:rPr>
          <w:rFonts w:cs="Calibri"/>
        </w:rPr>
        <w:t>≥</w:t>
      </w:r>
      <w:r w:rsidRPr="001808B1">
        <w:t>0.5 points) at week 24</w:t>
      </w:r>
      <w:r w:rsidR="0038531E">
        <w:t xml:space="preserve"> </w:t>
      </w:r>
      <w:r w:rsidR="0038531E">
        <w:rPr>
          <w:lang w:eastAsia="en-US"/>
        </w:rPr>
        <w:t>(ITT and subgroup results based on the CAPTAIN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Mean change from baseline in ACQ-7 total score and proportion of responders (MCID ≥0.5 points) at week 24 (ITT and subgroup results based on the CAPTAIN trial)"/>
      </w:tblPr>
      <w:tblGrid>
        <w:gridCol w:w="3115"/>
        <w:gridCol w:w="1558"/>
        <w:gridCol w:w="1419"/>
        <w:gridCol w:w="1416"/>
        <w:gridCol w:w="1509"/>
      </w:tblGrid>
      <w:tr w:rsidR="00644D9B" w:rsidRPr="001808B1" w14:paraId="6D0F73BE" w14:textId="77777777" w:rsidTr="00202425">
        <w:trPr>
          <w:tblHeader/>
        </w:trPr>
        <w:tc>
          <w:tcPr>
            <w:tcW w:w="1727" w:type="pct"/>
            <w:vMerge w:val="restart"/>
            <w:shd w:val="clear" w:color="auto" w:fill="FFFFFF" w:themeFill="background1"/>
          </w:tcPr>
          <w:p w14:paraId="6AE96D1E" w14:textId="77777777" w:rsidR="00C2388F" w:rsidRPr="001808B1" w:rsidRDefault="00C2388F" w:rsidP="00202425">
            <w:pPr>
              <w:pStyle w:val="In-tableHeading"/>
            </w:pPr>
          </w:p>
        </w:tc>
        <w:tc>
          <w:tcPr>
            <w:tcW w:w="1651" w:type="pct"/>
            <w:gridSpan w:val="2"/>
            <w:shd w:val="clear" w:color="auto" w:fill="FFFFFF" w:themeFill="background1"/>
          </w:tcPr>
          <w:p w14:paraId="180C1A81" w14:textId="77777777" w:rsidR="00C2388F" w:rsidRPr="001808B1" w:rsidRDefault="00C2388F" w:rsidP="00202425">
            <w:pPr>
              <w:pStyle w:val="In-tableHeading"/>
            </w:pPr>
            <w:r>
              <w:t>ITT population</w:t>
            </w:r>
          </w:p>
        </w:tc>
        <w:tc>
          <w:tcPr>
            <w:tcW w:w="1622" w:type="pct"/>
            <w:gridSpan w:val="2"/>
            <w:shd w:val="clear" w:color="auto" w:fill="FFFFFF" w:themeFill="background1"/>
          </w:tcPr>
          <w:p w14:paraId="23617698" w14:textId="77777777" w:rsidR="00C2388F" w:rsidRDefault="00C2388F" w:rsidP="00202425">
            <w:pPr>
              <w:pStyle w:val="In-tableHeading"/>
            </w:pPr>
            <w:r>
              <w:t>Subgroup ≥1 exacerbation</w:t>
            </w:r>
          </w:p>
        </w:tc>
      </w:tr>
      <w:tr w:rsidR="00644D9B" w:rsidRPr="001808B1" w14:paraId="066306CD" w14:textId="77777777" w:rsidTr="00A924A9">
        <w:trPr>
          <w:tblHeader/>
        </w:trPr>
        <w:tc>
          <w:tcPr>
            <w:tcW w:w="1727" w:type="pct"/>
            <w:vMerge/>
            <w:shd w:val="clear" w:color="auto" w:fill="FFFFFF" w:themeFill="background1"/>
          </w:tcPr>
          <w:p w14:paraId="04D827A7" w14:textId="77777777" w:rsidR="00C2388F" w:rsidRPr="001808B1" w:rsidRDefault="00C2388F" w:rsidP="00202425">
            <w:pPr>
              <w:pStyle w:val="In-tableHeading"/>
            </w:pPr>
          </w:p>
        </w:tc>
        <w:tc>
          <w:tcPr>
            <w:tcW w:w="864" w:type="pct"/>
            <w:shd w:val="clear" w:color="auto" w:fill="FFFFFF" w:themeFill="background1"/>
          </w:tcPr>
          <w:p w14:paraId="7375ED3C" w14:textId="77777777" w:rsidR="00C2388F" w:rsidRPr="001808B1" w:rsidRDefault="00C2388F" w:rsidP="00202425">
            <w:pPr>
              <w:pStyle w:val="In-tableHeading"/>
            </w:pPr>
            <w:r w:rsidRPr="001808B1">
              <w:t>FF/VI</w:t>
            </w:r>
          </w:p>
          <w:p w14:paraId="0E1B0026" w14:textId="77777777" w:rsidR="00C2388F" w:rsidRPr="001808B1" w:rsidRDefault="00C2388F" w:rsidP="00202425">
            <w:pPr>
              <w:pStyle w:val="In-tableHeading"/>
            </w:pPr>
            <w:r w:rsidRPr="001808B1">
              <w:t>200/25</w:t>
            </w:r>
          </w:p>
          <w:p w14:paraId="3CE17444" w14:textId="77777777" w:rsidR="00C2388F" w:rsidRPr="001808B1" w:rsidRDefault="00C2388F" w:rsidP="00202425">
            <w:pPr>
              <w:pStyle w:val="In-tableHeading"/>
            </w:pPr>
            <w:r w:rsidRPr="001808B1">
              <w:t>N=406</w:t>
            </w:r>
          </w:p>
        </w:tc>
        <w:tc>
          <w:tcPr>
            <w:tcW w:w="787" w:type="pct"/>
            <w:shd w:val="clear" w:color="auto" w:fill="FFFFFF" w:themeFill="background1"/>
          </w:tcPr>
          <w:p w14:paraId="303632F7" w14:textId="77777777" w:rsidR="00C2388F" w:rsidRPr="001808B1" w:rsidRDefault="0081496A" w:rsidP="00202425">
            <w:pPr>
              <w:pStyle w:val="In-tableHeading"/>
            </w:pPr>
            <w:r>
              <w:t>FF/UMEC/VI</w:t>
            </w:r>
          </w:p>
          <w:p w14:paraId="2A4DF48A" w14:textId="77777777" w:rsidR="00C2388F" w:rsidRPr="001808B1" w:rsidRDefault="0081496A" w:rsidP="00202425">
            <w:pPr>
              <w:pStyle w:val="In-tableHeading"/>
            </w:pPr>
            <w:r>
              <w:t>200/62.5/25</w:t>
            </w:r>
          </w:p>
          <w:p w14:paraId="0BAB1E90" w14:textId="77777777" w:rsidR="00C2388F" w:rsidRPr="001808B1" w:rsidRDefault="00C2388F" w:rsidP="00202425">
            <w:pPr>
              <w:pStyle w:val="In-tableHeading"/>
            </w:pPr>
            <w:r w:rsidRPr="001808B1">
              <w:t>N=408</w:t>
            </w:r>
          </w:p>
        </w:tc>
        <w:tc>
          <w:tcPr>
            <w:tcW w:w="785" w:type="pct"/>
            <w:shd w:val="clear" w:color="auto" w:fill="FFFFFF" w:themeFill="background1"/>
          </w:tcPr>
          <w:p w14:paraId="3EC03847" w14:textId="77777777" w:rsidR="00C2388F" w:rsidRPr="001808B1" w:rsidRDefault="00C2388F" w:rsidP="00202425">
            <w:pPr>
              <w:pStyle w:val="In-tableHeading"/>
            </w:pPr>
            <w:r w:rsidRPr="001808B1">
              <w:t>FF/VI</w:t>
            </w:r>
          </w:p>
          <w:p w14:paraId="6F3BDDF2" w14:textId="77777777" w:rsidR="00C2388F" w:rsidRPr="001808B1" w:rsidRDefault="00C2388F" w:rsidP="00202425">
            <w:pPr>
              <w:pStyle w:val="In-tableHeading"/>
            </w:pPr>
            <w:r w:rsidRPr="001808B1">
              <w:t>200/25</w:t>
            </w:r>
          </w:p>
          <w:p w14:paraId="66BE8B2B" w14:textId="77777777" w:rsidR="00C2388F" w:rsidRPr="001808B1" w:rsidRDefault="00C2388F" w:rsidP="00202425">
            <w:pPr>
              <w:pStyle w:val="In-tableHeading"/>
            </w:pPr>
            <w:r w:rsidRPr="001808B1">
              <w:t>N=</w:t>
            </w:r>
            <w:r w:rsidR="00A924A9">
              <w:t>241</w:t>
            </w:r>
          </w:p>
        </w:tc>
        <w:tc>
          <w:tcPr>
            <w:tcW w:w="837" w:type="pct"/>
            <w:shd w:val="clear" w:color="auto" w:fill="FFFFFF" w:themeFill="background1"/>
          </w:tcPr>
          <w:p w14:paraId="36EDCD02" w14:textId="77777777" w:rsidR="00C2388F" w:rsidRPr="001808B1" w:rsidRDefault="0081496A" w:rsidP="00202425">
            <w:pPr>
              <w:pStyle w:val="In-tableHeading"/>
            </w:pPr>
            <w:r>
              <w:t>FF/UMEC/VI</w:t>
            </w:r>
          </w:p>
          <w:p w14:paraId="5BDE9E24" w14:textId="77777777" w:rsidR="00C2388F" w:rsidRPr="001808B1" w:rsidRDefault="0081496A" w:rsidP="00202425">
            <w:pPr>
              <w:pStyle w:val="In-tableHeading"/>
            </w:pPr>
            <w:r>
              <w:t>200/62.5/25</w:t>
            </w:r>
          </w:p>
          <w:p w14:paraId="0665B1CF" w14:textId="77777777" w:rsidR="00C2388F" w:rsidRPr="001808B1" w:rsidRDefault="00C2388F" w:rsidP="00202425">
            <w:pPr>
              <w:pStyle w:val="In-tableHeading"/>
            </w:pPr>
            <w:r w:rsidRPr="001808B1">
              <w:t>N=</w:t>
            </w:r>
            <w:r w:rsidR="00A924A9">
              <w:t>274</w:t>
            </w:r>
          </w:p>
        </w:tc>
      </w:tr>
      <w:tr w:rsidR="00644D9B" w:rsidRPr="001808B1" w14:paraId="07F7EF12" w14:textId="77777777" w:rsidTr="00202425">
        <w:trPr>
          <w:tblHeader/>
        </w:trPr>
        <w:tc>
          <w:tcPr>
            <w:tcW w:w="5000" w:type="pct"/>
            <w:gridSpan w:val="5"/>
            <w:shd w:val="clear" w:color="auto" w:fill="FFFFFF" w:themeFill="background1"/>
          </w:tcPr>
          <w:p w14:paraId="2008AD95" w14:textId="77777777" w:rsidR="00C2388F" w:rsidRPr="0038531E" w:rsidRDefault="00C2388F" w:rsidP="00202425">
            <w:pPr>
              <w:pStyle w:val="Tabletext"/>
              <w:rPr>
                <w:b/>
                <w:lang w:eastAsia="en-US"/>
              </w:rPr>
            </w:pPr>
            <w:r w:rsidRPr="0038531E">
              <w:rPr>
                <w:b/>
                <w:lang w:eastAsia="en-US"/>
              </w:rPr>
              <w:t xml:space="preserve">Mean change from baseline in ACQ-7 total score at </w:t>
            </w:r>
            <w:r w:rsidR="0038531E">
              <w:rPr>
                <w:b/>
                <w:lang w:eastAsia="en-US"/>
              </w:rPr>
              <w:t>w</w:t>
            </w:r>
            <w:r w:rsidRPr="0038531E">
              <w:rPr>
                <w:b/>
                <w:lang w:eastAsia="en-US"/>
              </w:rPr>
              <w:t>eek 24</w:t>
            </w:r>
          </w:p>
        </w:tc>
      </w:tr>
      <w:tr w:rsidR="00644D9B" w:rsidRPr="001808B1" w14:paraId="223FA599" w14:textId="77777777" w:rsidTr="00A924A9">
        <w:trPr>
          <w:tblHeader/>
        </w:trPr>
        <w:tc>
          <w:tcPr>
            <w:tcW w:w="1727" w:type="pct"/>
            <w:shd w:val="clear" w:color="auto" w:fill="FFFFFF" w:themeFill="background1"/>
          </w:tcPr>
          <w:p w14:paraId="4D9B3305" w14:textId="77777777" w:rsidR="00C2388F" w:rsidRDefault="00C2388F" w:rsidP="00202425">
            <w:pPr>
              <w:pStyle w:val="Tabletext"/>
              <w:rPr>
                <w:lang w:eastAsia="en-US"/>
              </w:rPr>
            </w:pPr>
            <w:r>
              <w:rPr>
                <w:lang w:eastAsia="en-US"/>
              </w:rPr>
              <w:t>Mean change (SE), 95% CI</w:t>
            </w:r>
          </w:p>
        </w:tc>
        <w:tc>
          <w:tcPr>
            <w:tcW w:w="864" w:type="pct"/>
            <w:shd w:val="clear" w:color="auto" w:fill="FFFFFF" w:themeFill="background1"/>
          </w:tcPr>
          <w:p w14:paraId="56012A78" w14:textId="77777777" w:rsidR="00C2388F" w:rsidRDefault="00C2388F" w:rsidP="00C2388F">
            <w:pPr>
              <w:pStyle w:val="Tabletext"/>
              <w:rPr>
                <w:lang w:eastAsia="en-US"/>
              </w:rPr>
            </w:pPr>
            <w:r>
              <w:rPr>
                <w:lang w:eastAsia="en-US"/>
              </w:rPr>
              <w:t>-0.717 (0.0339)</w:t>
            </w:r>
          </w:p>
          <w:p w14:paraId="05C72DC4" w14:textId="77777777" w:rsidR="00C2388F" w:rsidRPr="001808B1" w:rsidRDefault="00C2388F" w:rsidP="00C2388F">
            <w:pPr>
              <w:pStyle w:val="Tabletext"/>
              <w:rPr>
                <w:lang w:eastAsia="en-US"/>
              </w:rPr>
            </w:pPr>
            <w:r>
              <w:rPr>
                <w:lang w:eastAsia="en-US"/>
              </w:rPr>
              <w:t>(-0.784, -0.651)</w:t>
            </w:r>
          </w:p>
        </w:tc>
        <w:tc>
          <w:tcPr>
            <w:tcW w:w="787" w:type="pct"/>
            <w:shd w:val="clear" w:color="auto" w:fill="FFFFFF" w:themeFill="background1"/>
          </w:tcPr>
          <w:p w14:paraId="45336875" w14:textId="77777777" w:rsidR="00C2388F" w:rsidRDefault="00C2388F" w:rsidP="00C2388F">
            <w:pPr>
              <w:pStyle w:val="Tabletext"/>
              <w:rPr>
                <w:lang w:eastAsia="en-US"/>
              </w:rPr>
            </w:pPr>
            <w:r>
              <w:rPr>
                <w:lang w:eastAsia="en-US"/>
              </w:rPr>
              <w:t>-0.779 (0.0339)</w:t>
            </w:r>
          </w:p>
          <w:p w14:paraId="603B2971" w14:textId="77777777" w:rsidR="00C2388F" w:rsidRPr="001808B1" w:rsidRDefault="00C2388F" w:rsidP="00C2388F">
            <w:pPr>
              <w:pStyle w:val="Tabletext"/>
              <w:rPr>
                <w:lang w:eastAsia="en-US"/>
              </w:rPr>
            </w:pPr>
            <w:r>
              <w:rPr>
                <w:lang w:eastAsia="en-US"/>
              </w:rPr>
              <w:t>(-0.846, -0.713)</w:t>
            </w:r>
          </w:p>
        </w:tc>
        <w:tc>
          <w:tcPr>
            <w:tcW w:w="785" w:type="pct"/>
            <w:shd w:val="clear" w:color="auto" w:fill="FFFFFF" w:themeFill="background1"/>
          </w:tcPr>
          <w:p w14:paraId="58B1C531" w14:textId="77777777" w:rsidR="00C2388F" w:rsidRDefault="00C2388F" w:rsidP="00C2388F">
            <w:pPr>
              <w:pStyle w:val="Tabletext"/>
              <w:rPr>
                <w:lang w:eastAsia="en-US"/>
              </w:rPr>
            </w:pPr>
            <w:r>
              <w:rPr>
                <w:lang w:eastAsia="en-US"/>
              </w:rPr>
              <w:t>-0.662 (0.0430)</w:t>
            </w:r>
          </w:p>
          <w:p w14:paraId="36E6CD48" w14:textId="77777777" w:rsidR="00C2388F" w:rsidRPr="001808B1" w:rsidRDefault="00C2388F" w:rsidP="00C2388F">
            <w:pPr>
              <w:pStyle w:val="Tabletext"/>
              <w:rPr>
                <w:lang w:eastAsia="en-US"/>
              </w:rPr>
            </w:pPr>
            <w:r>
              <w:rPr>
                <w:lang w:eastAsia="en-US"/>
              </w:rPr>
              <w:t>(-0.746, -0.578)</w:t>
            </w:r>
          </w:p>
        </w:tc>
        <w:tc>
          <w:tcPr>
            <w:tcW w:w="837" w:type="pct"/>
            <w:shd w:val="clear" w:color="auto" w:fill="FFFFFF" w:themeFill="background1"/>
          </w:tcPr>
          <w:p w14:paraId="4F5E0CE3" w14:textId="77777777" w:rsidR="00C2388F" w:rsidRDefault="00C2388F" w:rsidP="00C2388F">
            <w:pPr>
              <w:pStyle w:val="Tabletext"/>
              <w:rPr>
                <w:lang w:eastAsia="en-US"/>
              </w:rPr>
            </w:pPr>
            <w:r>
              <w:rPr>
                <w:lang w:eastAsia="en-US"/>
              </w:rPr>
              <w:t>-0.721 (0.0405)</w:t>
            </w:r>
          </w:p>
          <w:p w14:paraId="6621301D" w14:textId="77777777" w:rsidR="00C2388F" w:rsidRPr="001808B1" w:rsidRDefault="00C2388F" w:rsidP="00C2388F">
            <w:pPr>
              <w:pStyle w:val="Tabletext"/>
              <w:rPr>
                <w:lang w:eastAsia="en-US"/>
              </w:rPr>
            </w:pPr>
            <w:r>
              <w:rPr>
                <w:lang w:eastAsia="en-US"/>
              </w:rPr>
              <w:t>(-0.801, -0.642)</w:t>
            </w:r>
          </w:p>
        </w:tc>
      </w:tr>
      <w:tr w:rsidR="00644D9B" w:rsidRPr="001808B1" w14:paraId="6E83B737" w14:textId="77777777" w:rsidTr="00A924A9">
        <w:trPr>
          <w:tblHeader/>
        </w:trPr>
        <w:tc>
          <w:tcPr>
            <w:tcW w:w="1727" w:type="pct"/>
            <w:shd w:val="clear" w:color="auto" w:fill="FFFFFF" w:themeFill="background1"/>
          </w:tcPr>
          <w:p w14:paraId="7EC0A8FB" w14:textId="77777777" w:rsidR="00C2388F" w:rsidRDefault="0081496A" w:rsidP="00202425">
            <w:pPr>
              <w:pStyle w:val="Tabletext"/>
              <w:rPr>
                <w:lang w:eastAsia="en-US"/>
              </w:rPr>
            </w:pPr>
            <w:r>
              <w:rPr>
                <w:lang w:eastAsia="en-US"/>
              </w:rPr>
              <w:t>FF/UMEC/VI 200/62.5/25</w:t>
            </w:r>
            <w:r w:rsidR="00C2388F">
              <w:rPr>
                <w:lang w:eastAsia="en-US"/>
              </w:rPr>
              <w:t xml:space="preserve"> vs FF/VI 200/25</w:t>
            </w:r>
          </w:p>
          <w:p w14:paraId="401FB38C" w14:textId="77777777" w:rsidR="00C2388F" w:rsidRDefault="00C2388F" w:rsidP="00202425">
            <w:pPr>
              <w:pStyle w:val="Tabletext"/>
              <w:rPr>
                <w:lang w:eastAsia="en-US"/>
              </w:rPr>
            </w:pPr>
            <w:r>
              <w:rPr>
                <w:lang w:eastAsia="en-US"/>
              </w:rPr>
              <w:t>Difference (SE), 95% CI</w:t>
            </w:r>
          </w:p>
        </w:tc>
        <w:tc>
          <w:tcPr>
            <w:tcW w:w="864" w:type="pct"/>
            <w:shd w:val="clear" w:color="auto" w:fill="FFFFFF" w:themeFill="background1"/>
          </w:tcPr>
          <w:p w14:paraId="1B37E032" w14:textId="77777777" w:rsidR="00C2388F" w:rsidRPr="001808B1" w:rsidRDefault="00C2388F" w:rsidP="00202425">
            <w:pPr>
              <w:pStyle w:val="Tabletext"/>
              <w:rPr>
                <w:lang w:eastAsia="en-US"/>
              </w:rPr>
            </w:pPr>
            <w:r>
              <w:rPr>
                <w:lang w:eastAsia="en-US"/>
              </w:rPr>
              <w:t>Reference arm</w:t>
            </w:r>
          </w:p>
        </w:tc>
        <w:tc>
          <w:tcPr>
            <w:tcW w:w="787" w:type="pct"/>
            <w:shd w:val="clear" w:color="auto" w:fill="FFFFFF" w:themeFill="background1"/>
          </w:tcPr>
          <w:p w14:paraId="49A0ABF0" w14:textId="77777777" w:rsidR="00C2388F" w:rsidRPr="0038531E" w:rsidRDefault="00C2388F" w:rsidP="00C2388F">
            <w:pPr>
              <w:pStyle w:val="Tabletext"/>
              <w:rPr>
                <w:lang w:eastAsia="en-US"/>
              </w:rPr>
            </w:pPr>
            <w:r w:rsidRPr="0038531E">
              <w:rPr>
                <w:lang w:eastAsia="en-US"/>
              </w:rPr>
              <w:t>-0.062 (0.0479)</w:t>
            </w:r>
          </w:p>
          <w:p w14:paraId="33F104DC" w14:textId="77777777" w:rsidR="00C2388F" w:rsidRPr="0038531E" w:rsidRDefault="00C2388F" w:rsidP="00C2388F">
            <w:pPr>
              <w:pStyle w:val="Tabletext"/>
              <w:rPr>
                <w:lang w:eastAsia="en-US"/>
              </w:rPr>
            </w:pPr>
            <w:r w:rsidRPr="0038531E">
              <w:rPr>
                <w:lang w:eastAsia="en-US"/>
              </w:rPr>
              <w:t>(-0.156, 0.032)</w:t>
            </w:r>
          </w:p>
          <w:p w14:paraId="40542A43" w14:textId="77777777" w:rsidR="00C2388F" w:rsidRPr="0038531E" w:rsidRDefault="00C2388F" w:rsidP="00C2388F">
            <w:pPr>
              <w:pStyle w:val="Tabletext"/>
              <w:rPr>
                <w:b/>
                <w:bCs/>
                <w:lang w:eastAsia="en-US"/>
              </w:rPr>
            </w:pPr>
          </w:p>
        </w:tc>
        <w:tc>
          <w:tcPr>
            <w:tcW w:w="785" w:type="pct"/>
            <w:shd w:val="clear" w:color="auto" w:fill="FFFFFF" w:themeFill="background1"/>
          </w:tcPr>
          <w:p w14:paraId="77E62AF9" w14:textId="77777777" w:rsidR="00C2388F" w:rsidRPr="001808B1" w:rsidRDefault="00C2388F" w:rsidP="00202425">
            <w:pPr>
              <w:pStyle w:val="Tabletext"/>
              <w:rPr>
                <w:lang w:eastAsia="en-US"/>
              </w:rPr>
            </w:pPr>
            <w:r>
              <w:rPr>
                <w:lang w:eastAsia="en-US"/>
              </w:rPr>
              <w:t>Reference arm</w:t>
            </w:r>
          </w:p>
        </w:tc>
        <w:tc>
          <w:tcPr>
            <w:tcW w:w="837" w:type="pct"/>
            <w:shd w:val="clear" w:color="auto" w:fill="FFFFFF" w:themeFill="background1"/>
          </w:tcPr>
          <w:p w14:paraId="540B7C1B" w14:textId="77777777" w:rsidR="00C2388F" w:rsidRDefault="00C2388F" w:rsidP="00C2388F">
            <w:pPr>
              <w:pStyle w:val="Tabletext"/>
              <w:rPr>
                <w:lang w:eastAsia="en-US"/>
              </w:rPr>
            </w:pPr>
            <w:r>
              <w:rPr>
                <w:lang w:eastAsia="en-US"/>
              </w:rPr>
              <w:t>-0.059 (0.0590)</w:t>
            </w:r>
          </w:p>
          <w:p w14:paraId="57A4F624" w14:textId="77777777" w:rsidR="00C2388F" w:rsidRPr="001808B1" w:rsidRDefault="00C2388F" w:rsidP="00C2388F">
            <w:pPr>
              <w:pStyle w:val="Tabletext"/>
              <w:rPr>
                <w:lang w:eastAsia="en-US"/>
              </w:rPr>
            </w:pPr>
            <w:r>
              <w:rPr>
                <w:lang w:eastAsia="en-US"/>
              </w:rPr>
              <w:t>(-0.175, 0.056)</w:t>
            </w:r>
          </w:p>
        </w:tc>
      </w:tr>
      <w:tr w:rsidR="00644D9B" w:rsidRPr="001808B1" w14:paraId="22E47016" w14:textId="77777777" w:rsidTr="00C2388F">
        <w:trPr>
          <w:tblHeader/>
        </w:trPr>
        <w:tc>
          <w:tcPr>
            <w:tcW w:w="5000" w:type="pct"/>
            <w:gridSpan w:val="5"/>
            <w:shd w:val="clear" w:color="auto" w:fill="FFFFFF" w:themeFill="background1"/>
          </w:tcPr>
          <w:p w14:paraId="4E18A7A6" w14:textId="77777777" w:rsidR="00C2388F" w:rsidRPr="0038531E" w:rsidRDefault="0038531E" w:rsidP="0038531E">
            <w:pPr>
              <w:pStyle w:val="Tabletext"/>
              <w:rPr>
                <w:b/>
                <w:bCs/>
                <w:lang w:eastAsia="en-US"/>
              </w:rPr>
            </w:pPr>
            <w:r w:rsidRPr="0038531E">
              <w:rPr>
                <w:b/>
                <w:bCs/>
                <w:lang w:eastAsia="en-US"/>
              </w:rPr>
              <w:t xml:space="preserve">Percent of responders according to </w:t>
            </w:r>
            <w:r w:rsidR="00C2388F" w:rsidRPr="0038531E">
              <w:rPr>
                <w:b/>
                <w:bCs/>
                <w:lang w:eastAsia="en-US"/>
              </w:rPr>
              <w:t xml:space="preserve">ACQ-7 </w:t>
            </w:r>
            <w:r w:rsidRPr="0038531E">
              <w:rPr>
                <w:b/>
                <w:bCs/>
                <w:lang w:eastAsia="en-US"/>
              </w:rPr>
              <w:t>total score from baseline at week 24</w:t>
            </w:r>
          </w:p>
        </w:tc>
      </w:tr>
      <w:tr w:rsidR="00644D9B" w:rsidRPr="001808B1" w14:paraId="28034BFE" w14:textId="77777777" w:rsidTr="00A924A9">
        <w:trPr>
          <w:tblHeader/>
        </w:trPr>
        <w:tc>
          <w:tcPr>
            <w:tcW w:w="1727" w:type="pct"/>
            <w:shd w:val="clear" w:color="auto" w:fill="auto"/>
          </w:tcPr>
          <w:p w14:paraId="30ACBB3C" w14:textId="77777777" w:rsidR="00A924A9" w:rsidRDefault="00A924A9" w:rsidP="0016778A">
            <w:pPr>
              <w:pStyle w:val="Tabletext"/>
              <w:rPr>
                <w:rFonts w:eastAsia="MS Gothic"/>
                <w:lang w:eastAsia="en-US"/>
              </w:rPr>
            </w:pPr>
          </w:p>
          <w:p w14:paraId="6D97ABF5" w14:textId="77777777" w:rsidR="0016778A" w:rsidRPr="001808B1" w:rsidRDefault="0016778A" w:rsidP="0016778A">
            <w:pPr>
              <w:pStyle w:val="Tabletext"/>
              <w:rPr>
                <w:rFonts w:eastAsia="MS Gothic"/>
                <w:lang w:eastAsia="en-US"/>
              </w:rPr>
            </w:pPr>
            <w:r w:rsidRPr="001808B1">
              <w:rPr>
                <w:rFonts w:eastAsia="MS Gothic"/>
                <w:lang w:eastAsia="en-US"/>
              </w:rPr>
              <w:t>Responder</w:t>
            </w:r>
          </w:p>
          <w:p w14:paraId="6EACDAED" w14:textId="77777777" w:rsidR="0016778A" w:rsidRPr="001808B1" w:rsidRDefault="0016778A" w:rsidP="0016778A">
            <w:pPr>
              <w:pStyle w:val="Tabletext"/>
              <w:rPr>
                <w:rFonts w:eastAsia="MS Gothic"/>
                <w:lang w:eastAsia="en-US"/>
              </w:rPr>
            </w:pPr>
            <w:r w:rsidRPr="001808B1">
              <w:rPr>
                <w:rFonts w:eastAsia="MS Gothic"/>
                <w:lang w:eastAsia="en-US"/>
              </w:rPr>
              <w:t>Non-responder</w:t>
            </w:r>
          </w:p>
          <w:p w14:paraId="785798ED" w14:textId="77777777" w:rsidR="0016778A" w:rsidRDefault="0016778A" w:rsidP="0016778A">
            <w:pPr>
              <w:pStyle w:val="Tabletext"/>
              <w:rPr>
                <w:lang w:eastAsia="en-US"/>
              </w:rPr>
            </w:pPr>
            <w:r w:rsidRPr="001808B1">
              <w:rPr>
                <w:rFonts w:eastAsia="MS Gothic"/>
                <w:lang w:eastAsia="en-US"/>
              </w:rPr>
              <w:t>Non-responder due to missing data</w:t>
            </w:r>
          </w:p>
        </w:tc>
        <w:tc>
          <w:tcPr>
            <w:tcW w:w="864" w:type="pct"/>
          </w:tcPr>
          <w:p w14:paraId="5392AC6A" w14:textId="77777777" w:rsidR="00A924A9" w:rsidRDefault="00196152" w:rsidP="0016778A">
            <w:pPr>
              <w:pStyle w:val="Tabletext"/>
              <w:rPr>
                <w:szCs w:val="20"/>
              </w:rPr>
            </w:pPr>
            <w:r>
              <w:rPr>
                <w:szCs w:val="20"/>
              </w:rPr>
              <w:t>N=397</w:t>
            </w:r>
          </w:p>
          <w:p w14:paraId="3CED4323" w14:textId="77777777" w:rsidR="0016778A" w:rsidRPr="001808B1" w:rsidRDefault="0016778A" w:rsidP="0016778A">
            <w:pPr>
              <w:pStyle w:val="Tabletext"/>
              <w:rPr>
                <w:szCs w:val="20"/>
              </w:rPr>
            </w:pPr>
            <w:r w:rsidRPr="001808B1">
              <w:rPr>
                <w:szCs w:val="20"/>
              </w:rPr>
              <w:t>231 (58%)</w:t>
            </w:r>
          </w:p>
          <w:p w14:paraId="75356D61" w14:textId="77777777" w:rsidR="0016778A" w:rsidRPr="001808B1" w:rsidRDefault="0016778A" w:rsidP="0016778A">
            <w:pPr>
              <w:pStyle w:val="Tabletext"/>
              <w:rPr>
                <w:szCs w:val="20"/>
              </w:rPr>
            </w:pPr>
            <w:r w:rsidRPr="001808B1">
              <w:rPr>
                <w:szCs w:val="20"/>
              </w:rPr>
              <w:t>166 (42%)</w:t>
            </w:r>
          </w:p>
          <w:p w14:paraId="1DB21003" w14:textId="77777777" w:rsidR="0016778A" w:rsidRDefault="0016778A" w:rsidP="0016778A">
            <w:pPr>
              <w:pStyle w:val="Tabletext"/>
              <w:rPr>
                <w:lang w:eastAsia="en-US"/>
              </w:rPr>
            </w:pPr>
            <w:r w:rsidRPr="001808B1">
              <w:rPr>
                <w:szCs w:val="20"/>
              </w:rPr>
              <w:t>23 (6%)</w:t>
            </w:r>
          </w:p>
        </w:tc>
        <w:tc>
          <w:tcPr>
            <w:tcW w:w="787" w:type="pct"/>
          </w:tcPr>
          <w:p w14:paraId="531CFA9C" w14:textId="77777777" w:rsidR="00A924A9" w:rsidRDefault="00196152" w:rsidP="0016778A">
            <w:pPr>
              <w:pStyle w:val="Tabletext"/>
              <w:rPr>
                <w:szCs w:val="20"/>
              </w:rPr>
            </w:pPr>
            <w:r>
              <w:rPr>
                <w:szCs w:val="20"/>
              </w:rPr>
              <w:t>N=395</w:t>
            </w:r>
          </w:p>
          <w:p w14:paraId="19C7235E" w14:textId="77777777" w:rsidR="0016778A" w:rsidRPr="0038531E" w:rsidRDefault="0016778A" w:rsidP="0016778A">
            <w:pPr>
              <w:pStyle w:val="Tabletext"/>
              <w:rPr>
                <w:szCs w:val="20"/>
              </w:rPr>
            </w:pPr>
            <w:r w:rsidRPr="0038531E">
              <w:rPr>
                <w:szCs w:val="20"/>
              </w:rPr>
              <w:t>251 (64%)</w:t>
            </w:r>
          </w:p>
          <w:p w14:paraId="07A487D2" w14:textId="77777777" w:rsidR="0016778A" w:rsidRPr="0038531E" w:rsidRDefault="0016778A" w:rsidP="0016778A">
            <w:pPr>
              <w:pStyle w:val="Tabletext"/>
              <w:rPr>
                <w:szCs w:val="20"/>
              </w:rPr>
            </w:pPr>
            <w:r w:rsidRPr="0038531E">
              <w:rPr>
                <w:szCs w:val="20"/>
              </w:rPr>
              <w:t>144 (36%)</w:t>
            </w:r>
          </w:p>
          <w:p w14:paraId="4DFB3F62" w14:textId="77777777" w:rsidR="0016778A" w:rsidRPr="0038531E" w:rsidRDefault="0016778A" w:rsidP="0016778A">
            <w:pPr>
              <w:pStyle w:val="Tabletext"/>
              <w:rPr>
                <w:lang w:eastAsia="en-US"/>
              </w:rPr>
            </w:pPr>
            <w:r w:rsidRPr="0038531E">
              <w:rPr>
                <w:szCs w:val="20"/>
              </w:rPr>
              <w:t>19 (5%)</w:t>
            </w:r>
          </w:p>
        </w:tc>
        <w:tc>
          <w:tcPr>
            <w:tcW w:w="785" w:type="pct"/>
            <w:vAlign w:val="center"/>
          </w:tcPr>
          <w:p w14:paraId="3ABB6001" w14:textId="77777777" w:rsidR="0016778A" w:rsidRPr="0016778A" w:rsidRDefault="00196152" w:rsidP="0016778A">
            <w:pPr>
              <w:pStyle w:val="Tabletext"/>
              <w:rPr>
                <w:szCs w:val="20"/>
              </w:rPr>
            </w:pPr>
            <w:r>
              <w:rPr>
                <w:szCs w:val="20"/>
              </w:rPr>
              <w:t>N=</w:t>
            </w:r>
            <w:r w:rsidR="0016778A" w:rsidRPr="0016778A">
              <w:rPr>
                <w:szCs w:val="20"/>
              </w:rPr>
              <w:t>243</w:t>
            </w:r>
          </w:p>
          <w:p w14:paraId="415ED231" w14:textId="77777777" w:rsidR="0016778A" w:rsidRPr="0016778A" w:rsidRDefault="0016778A" w:rsidP="0016778A">
            <w:pPr>
              <w:pStyle w:val="Tabletext"/>
              <w:rPr>
                <w:szCs w:val="20"/>
              </w:rPr>
            </w:pPr>
            <w:r w:rsidRPr="0016778A">
              <w:rPr>
                <w:szCs w:val="20"/>
              </w:rPr>
              <w:t>141 (58%)</w:t>
            </w:r>
          </w:p>
          <w:p w14:paraId="6DB274BE" w14:textId="77777777" w:rsidR="0016778A" w:rsidRPr="0016778A" w:rsidRDefault="0016778A" w:rsidP="0016778A">
            <w:pPr>
              <w:pStyle w:val="Tabletext"/>
              <w:rPr>
                <w:szCs w:val="20"/>
              </w:rPr>
            </w:pPr>
            <w:r w:rsidRPr="0016778A">
              <w:rPr>
                <w:szCs w:val="20"/>
              </w:rPr>
              <w:t>102 (42%)</w:t>
            </w:r>
          </w:p>
          <w:p w14:paraId="7235A025" w14:textId="77777777" w:rsidR="0016778A" w:rsidRPr="0016778A" w:rsidRDefault="0016778A" w:rsidP="0016778A">
            <w:pPr>
              <w:pStyle w:val="Tabletext"/>
              <w:rPr>
                <w:szCs w:val="20"/>
              </w:rPr>
            </w:pPr>
            <w:r w:rsidRPr="0016778A">
              <w:rPr>
                <w:szCs w:val="20"/>
              </w:rPr>
              <w:t>9 (4%)</w:t>
            </w:r>
          </w:p>
        </w:tc>
        <w:tc>
          <w:tcPr>
            <w:tcW w:w="837" w:type="pct"/>
            <w:vAlign w:val="center"/>
          </w:tcPr>
          <w:p w14:paraId="0E4DA6DA" w14:textId="77777777" w:rsidR="0016778A" w:rsidRPr="0016778A" w:rsidRDefault="00196152" w:rsidP="0016778A">
            <w:pPr>
              <w:pStyle w:val="Tabletext"/>
              <w:rPr>
                <w:szCs w:val="20"/>
              </w:rPr>
            </w:pPr>
            <w:r>
              <w:rPr>
                <w:szCs w:val="20"/>
              </w:rPr>
              <w:t>N=</w:t>
            </w:r>
            <w:r w:rsidR="0016778A" w:rsidRPr="0016778A">
              <w:rPr>
                <w:szCs w:val="20"/>
              </w:rPr>
              <w:t>275</w:t>
            </w:r>
          </w:p>
          <w:p w14:paraId="5406B2F7" w14:textId="77777777" w:rsidR="0016778A" w:rsidRPr="0016778A" w:rsidRDefault="0016778A" w:rsidP="0016778A">
            <w:pPr>
              <w:pStyle w:val="Tabletext"/>
              <w:rPr>
                <w:szCs w:val="20"/>
              </w:rPr>
            </w:pPr>
            <w:r w:rsidRPr="0016778A">
              <w:rPr>
                <w:szCs w:val="20"/>
              </w:rPr>
              <w:t>164 (60%)</w:t>
            </w:r>
          </w:p>
          <w:p w14:paraId="200C894C" w14:textId="77777777" w:rsidR="0016778A" w:rsidRPr="0016778A" w:rsidRDefault="0016778A" w:rsidP="0016778A">
            <w:pPr>
              <w:pStyle w:val="Tabletext"/>
              <w:rPr>
                <w:szCs w:val="20"/>
              </w:rPr>
            </w:pPr>
            <w:r w:rsidRPr="0016778A">
              <w:rPr>
                <w:szCs w:val="20"/>
              </w:rPr>
              <w:t>111 (40%)</w:t>
            </w:r>
          </w:p>
          <w:p w14:paraId="1BFBDABD" w14:textId="77777777" w:rsidR="0016778A" w:rsidRPr="0016778A" w:rsidRDefault="0016778A" w:rsidP="0016778A">
            <w:pPr>
              <w:pStyle w:val="Tabletext"/>
              <w:rPr>
                <w:szCs w:val="20"/>
              </w:rPr>
            </w:pPr>
            <w:r w:rsidRPr="0016778A">
              <w:rPr>
                <w:szCs w:val="20"/>
              </w:rPr>
              <w:t>15 (5%)</w:t>
            </w:r>
          </w:p>
        </w:tc>
      </w:tr>
      <w:tr w:rsidR="00644D9B" w:rsidRPr="001808B1" w14:paraId="004095E7" w14:textId="77777777" w:rsidTr="00A924A9">
        <w:trPr>
          <w:tblHeader/>
        </w:trPr>
        <w:tc>
          <w:tcPr>
            <w:tcW w:w="1727" w:type="pct"/>
            <w:shd w:val="clear" w:color="auto" w:fill="auto"/>
          </w:tcPr>
          <w:p w14:paraId="2187261E" w14:textId="77777777" w:rsidR="00297F09" w:rsidRPr="001808B1" w:rsidRDefault="00297F09" w:rsidP="00C2388F">
            <w:pPr>
              <w:pStyle w:val="Tabletext"/>
              <w:rPr>
                <w:rFonts w:eastAsia="MS Gothic"/>
                <w:lang w:eastAsia="en-US"/>
              </w:rPr>
            </w:pPr>
            <w:r>
              <w:rPr>
                <w:rFonts w:eastAsia="MS Gothic"/>
                <w:lang w:eastAsia="en-US"/>
              </w:rPr>
              <w:t>Odds ratio</w:t>
            </w:r>
            <w:r w:rsidR="0016778A">
              <w:rPr>
                <w:rFonts w:eastAsia="MS Gothic"/>
                <w:lang w:eastAsia="en-US"/>
              </w:rPr>
              <w:t xml:space="preserve"> (95% CI), p-value</w:t>
            </w:r>
          </w:p>
        </w:tc>
        <w:tc>
          <w:tcPr>
            <w:tcW w:w="864" w:type="pct"/>
          </w:tcPr>
          <w:p w14:paraId="58CE1461" w14:textId="77777777" w:rsidR="00297F09" w:rsidRPr="001808B1" w:rsidRDefault="0016778A" w:rsidP="00C2388F">
            <w:pPr>
              <w:pStyle w:val="Tabletext"/>
              <w:rPr>
                <w:szCs w:val="20"/>
              </w:rPr>
            </w:pPr>
            <w:r>
              <w:rPr>
                <w:szCs w:val="20"/>
              </w:rPr>
              <w:t>Reference arm</w:t>
            </w:r>
          </w:p>
        </w:tc>
        <w:tc>
          <w:tcPr>
            <w:tcW w:w="787" w:type="pct"/>
          </w:tcPr>
          <w:p w14:paraId="74F0B204" w14:textId="77777777" w:rsidR="00297F09" w:rsidRPr="0038531E" w:rsidRDefault="0016778A" w:rsidP="00C2388F">
            <w:pPr>
              <w:pStyle w:val="Tabletext"/>
              <w:rPr>
                <w:szCs w:val="20"/>
              </w:rPr>
            </w:pPr>
            <w:r w:rsidRPr="0038531E">
              <w:rPr>
                <w:rFonts w:eastAsia="MS Gothic"/>
                <w:lang w:eastAsia="en-US"/>
              </w:rPr>
              <w:t xml:space="preserve">1.28 (0.95, 1.72); </w:t>
            </w:r>
            <w:r w:rsidR="0038531E" w:rsidRPr="0038531E">
              <w:rPr>
                <w:rFonts w:eastAsia="MS Gothic"/>
                <w:lang w:eastAsia="en-US"/>
              </w:rPr>
              <w:t xml:space="preserve">p= </w:t>
            </w:r>
            <w:r w:rsidRPr="0038531E">
              <w:rPr>
                <w:rFonts w:eastAsia="MS Gothic"/>
                <w:lang w:eastAsia="en-US"/>
              </w:rPr>
              <w:t>0.102</w:t>
            </w:r>
          </w:p>
        </w:tc>
        <w:tc>
          <w:tcPr>
            <w:tcW w:w="785" w:type="pct"/>
            <w:shd w:val="clear" w:color="auto" w:fill="FFFFFF" w:themeFill="background1"/>
          </w:tcPr>
          <w:p w14:paraId="50EA290E" w14:textId="77777777" w:rsidR="00297F09" w:rsidRPr="001808B1" w:rsidRDefault="0016778A" w:rsidP="00C2388F">
            <w:pPr>
              <w:pStyle w:val="Tabletext"/>
              <w:rPr>
                <w:lang w:eastAsia="en-US"/>
              </w:rPr>
            </w:pPr>
            <w:r>
              <w:rPr>
                <w:lang w:eastAsia="en-US"/>
              </w:rPr>
              <w:t>Reference arm</w:t>
            </w:r>
          </w:p>
        </w:tc>
        <w:tc>
          <w:tcPr>
            <w:tcW w:w="837" w:type="pct"/>
            <w:shd w:val="clear" w:color="auto" w:fill="FFFFFF" w:themeFill="background1"/>
          </w:tcPr>
          <w:p w14:paraId="4235E39D" w14:textId="77777777" w:rsidR="0016778A" w:rsidRDefault="0016778A" w:rsidP="0016778A">
            <w:pPr>
              <w:pStyle w:val="Tabletext"/>
              <w:rPr>
                <w:lang w:eastAsia="en-US"/>
              </w:rPr>
            </w:pPr>
            <w:r>
              <w:rPr>
                <w:lang w:eastAsia="en-US"/>
              </w:rPr>
              <w:t>1.08</w:t>
            </w:r>
          </w:p>
          <w:p w14:paraId="2869DC99" w14:textId="77777777" w:rsidR="00297F09" w:rsidRPr="001808B1" w:rsidRDefault="0016778A" w:rsidP="00C2388F">
            <w:pPr>
              <w:pStyle w:val="Tabletext"/>
              <w:rPr>
                <w:lang w:eastAsia="en-US"/>
              </w:rPr>
            </w:pPr>
            <w:r>
              <w:rPr>
                <w:lang w:eastAsia="en-US"/>
              </w:rPr>
              <w:t>(0.75, 1.56)</w:t>
            </w:r>
            <w:r w:rsidR="00133C4F">
              <w:rPr>
                <w:lang w:eastAsia="en-US"/>
              </w:rPr>
              <w:t xml:space="preserve">; </w:t>
            </w:r>
            <w:r w:rsidR="0038531E">
              <w:rPr>
                <w:lang w:eastAsia="en-US"/>
              </w:rPr>
              <w:t xml:space="preserve">p= </w:t>
            </w:r>
            <w:r w:rsidR="00133C4F" w:rsidRPr="00133C4F">
              <w:t>0.693</w:t>
            </w:r>
          </w:p>
        </w:tc>
      </w:tr>
    </w:tbl>
    <w:p w14:paraId="48C37ADC" w14:textId="77777777" w:rsidR="001F516D" w:rsidRPr="001808B1" w:rsidRDefault="001F516D" w:rsidP="00EA556C">
      <w:pPr>
        <w:pStyle w:val="TableFigureFooter"/>
      </w:pPr>
      <w:r w:rsidRPr="001808B1">
        <w:t>Source: Tables 34,37, pp99-101</w:t>
      </w:r>
      <w:r w:rsidR="00C2388F">
        <w:t>, Table 48, p112</w:t>
      </w:r>
      <w:r w:rsidRPr="001808B1">
        <w:t xml:space="preserve"> of the submission</w:t>
      </w:r>
    </w:p>
    <w:p w14:paraId="0E4D2FC1" w14:textId="77777777" w:rsidR="001F516D" w:rsidRPr="001808B1" w:rsidRDefault="001F516D" w:rsidP="00EA556C">
      <w:pPr>
        <w:pStyle w:val="TableFigureFooter"/>
        <w:rPr>
          <w:rFonts w:eastAsia="MS Gothic"/>
        </w:rPr>
      </w:pPr>
      <w:r w:rsidRPr="001808B1">
        <w:rPr>
          <w:rFonts w:eastAsia="MS Gothic"/>
        </w:rPr>
        <w:t>ACQ-7: Asthma control Questionnaire; CI: Confidence Interval; FF: Fluticasone Furoate; UMEC: Umeclidinium; VI: Vilanterol</w:t>
      </w:r>
    </w:p>
    <w:p w14:paraId="422DBB35" w14:textId="77777777" w:rsidR="001F516D" w:rsidRPr="001808B1" w:rsidRDefault="001F516D" w:rsidP="00EA556C">
      <w:pPr>
        <w:pStyle w:val="TableFigureFooter"/>
      </w:pPr>
      <w:r w:rsidRPr="001808B1">
        <w:t>^Difference of mean change in ACQ-7 total score at week 24</w:t>
      </w:r>
    </w:p>
    <w:p w14:paraId="6F73ADA7" w14:textId="77777777" w:rsidR="001F516D" w:rsidRPr="00196152" w:rsidRDefault="001F516D" w:rsidP="00EA556C">
      <w:pPr>
        <w:pStyle w:val="TableFigureFooter"/>
        <w:rPr>
          <w:rFonts w:eastAsia="MS Gothic"/>
          <w:iCs/>
        </w:rPr>
      </w:pPr>
      <w:r w:rsidRPr="00196152">
        <w:rPr>
          <w:rFonts w:eastAsia="MS Gothic"/>
          <w:iCs/>
        </w:rPr>
        <w:t>^^Calculated using an online calculator (</w:t>
      </w:r>
      <w:r w:rsidRPr="00FA44A3">
        <w:rPr>
          <w:rFonts w:eastAsia="MS Gothic"/>
          <w:iCs/>
        </w:rPr>
        <w:t>https://www.medcalc.org/calc/comparison_of_proportions.php</w:t>
      </w:r>
      <w:r w:rsidRPr="00196152">
        <w:rPr>
          <w:rFonts w:eastAsia="MS Gothic"/>
          <w:iCs/>
        </w:rPr>
        <w:t>). Results are based on a Chi-square test.</w:t>
      </w:r>
    </w:p>
    <w:p w14:paraId="43D9D1DC" w14:textId="77777777" w:rsidR="00E80F78" w:rsidRPr="00E80F78" w:rsidRDefault="00202C16" w:rsidP="00E80F78">
      <w:pPr>
        <w:pStyle w:val="3-BodyText"/>
        <w:rPr>
          <w:iCs/>
        </w:rPr>
      </w:pPr>
      <w:r w:rsidRPr="00202C16">
        <w:rPr>
          <w:rFonts w:eastAsia="MS Gothic"/>
          <w:iCs/>
        </w:rPr>
        <w:t>Similar improvements in AQLQ change from baseline were observed for patients with ≥1 exacerbation in the past 12 months compared with the ITT population (change from baseline: -0.01 and 0.04 for the ITT and the subgroup, respectively)</w:t>
      </w:r>
      <w:r w:rsidR="004712A8">
        <w:rPr>
          <w:rFonts w:eastAsia="MS Gothic"/>
          <w:iCs/>
        </w:rPr>
        <w:t xml:space="preserve"> (not statistically significant)</w:t>
      </w:r>
      <w:r w:rsidR="004E2DDF">
        <w:rPr>
          <w:rFonts w:eastAsia="MS Gothic"/>
          <w:iCs/>
        </w:rPr>
        <w:t xml:space="preserve">. </w:t>
      </w:r>
      <w:r w:rsidRPr="00202C16">
        <w:rPr>
          <w:rFonts w:eastAsia="MS Gothic"/>
          <w:iCs/>
        </w:rPr>
        <w:t>The submission</w:t>
      </w:r>
      <w:r w:rsidR="00004DE0">
        <w:rPr>
          <w:rFonts w:eastAsia="MS Gothic"/>
          <w:iCs/>
        </w:rPr>
        <w:t xml:space="preserve"> also</w:t>
      </w:r>
      <w:r w:rsidRPr="00202C16">
        <w:rPr>
          <w:rFonts w:eastAsia="MS Gothic"/>
          <w:iCs/>
        </w:rPr>
        <w:t xml:space="preserve"> presented S</w:t>
      </w:r>
      <w:r w:rsidR="00004DE0">
        <w:rPr>
          <w:rFonts w:eastAsia="MS Gothic"/>
          <w:iCs/>
        </w:rPr>
        <w:t xml:space="preserve">t </w:t>
      </w:r>
      <w:r w:rsidRPr="00202C16">
        <w:rPr>
          <w:rFonts w:eastAsia="MS Gothic"/>
          <w:iCs/>
        </w:rPr>
        <w:t>G</w:t>
      </w:r>
      <w:r w:rsidR="003E2B60">
        <w:rPr>
          <w:rFonts w:eastAsia="MS Gothic"/>
          <w:iCs/>
        </w:rPr>
        <w:t>e</w:t>
      </w:r>
      <w:r w:rsidR="00004DE0">
        <w:rPr>
          <w:rFonts w:eastAsia="MS Gothic"/>
          <w:iCs/>
        </w:rPr>
        <w:t xml:space="preserve">orge’s </w:t>
      </w:r>
      <w:r w:rsidRPr="00202C16">
        <w:rPr>
          <w:rFonts w:eastAsia="MS Gothic"/>
          <w:iCs/>
        </w:rPr>
        <w:t>R</w:t>
      </w:r>
      <w:r w:rsidR="00004DE0">
        <w:rPr>
          <w:rFonts w:eastAsia="MS Gothic"/>
          <w:iCs/>
        </w:rPr>
        <w:t xml:space="preserve">espiratory </w:t>
      </w:r>
      <w:r w:rsidRPr="00202C16">
        <w:rPr>
          <w:rFonts w:eastAsia="MS Gothic"/>
          <w:iCs/>
        </w:rPr>
        <w:t>Q</w:t>
      </w:r>
      <w:r w:rsidR="00004DE0">
        <w:rPr>
          <w:rFonts w:eastAsia="MS Gothic"/>
          <w:iCs/>
        </w:rPr>
        <w:t>uestionnaire (SGRQ)</w:t>
      </w:r>
      <w:r w:rsidRPr="00202C16">
        <w:rPr>
          <w:rFonts w:eastAsia="MS Gothic"/>
          <w:iCs/>
        </w:rPr>
        <w:t xml:space="preserve"> change from baseline to provide additional support for the other patient-related outcome results for </w:t>
      </w:r>
      <w:r w:rsidR="0081496A">
        <w:rPr>
          <w:rFonts w:eastAsia="MS Gothic"/>
          <w:iCs/>
        </w:rPr>
        <w:t>FF/UMEC/VI 200/62.5/25</w:t>
      </w:r>
      <w:r w:rsidRPr="00202C16">
        <w:rPr>
          <w:rFonts w:eastAsia="MS Gothic"/>
          <w:iCs/>
        </w:rPr>
        <w:t>.</w:t>
      </w:r>
      <w:r>
        <w:rPr>
          <w:rFonts w:eastAsia="MS Gothic"/>
          <w:iCs/>
        </w:rPr>
        <w:t xml:space="preserve"> There was no statistically significant difference between </w:t>
      </w:r>
      <w:r w:rsidR="0081496A">
        <w:rPr>
          <w:rFonts w:eastAsia="MS Gothic"/>
          <w:iCs/>
        </w:rPr>
        <w:t>FF/UMEC/VI 200/62.5/25</w:t>
      </w:r>
      <w:r>
        <w:rPr>
          <w:rFonts w:eastAsia="MS Gothic"/>
          <w:iCs/>
        </w:rPr>
        <w:t xml:space="preserve"> a</w:t>
      </w:r>
      <w:r w:rsidR="008F71E6">
        <w:rPr>
          <w:rFonts w:eastAsia="MS Gothic"/>
          <w:iCs/>
        </w:rPr>
        <w:t>n</w:t>
      </w:r>
      <w:r>
        <w:rPr>
          <w:rFonts w:eastAsia="MS Gothic"/>
          <w:iCs/>
        </w:rPr>
        <w:t>d FF/VI 200/25 in terms of SGRQ total score.</w:t>
      </w:r>
    </w:p>
    <w:p w14:paraId="1654B7DF" w14:textId="77777777" w:rsidR="001F516D" w:rsidRPr="001808B1" w:rsidRDefault="00C53AC3" w:rsidP="00EA556C">
      <w:pPr>
        <w:pStyle w:val="3-BodyText"/>
        <w:rPr>
          <w:b/>
          <w:bCs/>
        </w:rPr>
      </w:pPr>
      <w:r w:rsidRPr="00F21704">
        <w:t xml:space="preserve">The evaluation considered </w:t>
      </w:r>
      <w:r w:rsidR="0081496A">
        <w:t>FF/UMEC/VI 200/62.5/25</w:t>
      </w:r>
      <w:r w:rsidR="001F516D" w:rsidRPr="00F21704">
        <w:t xml:space="preserve"> was superior to FF/VI 200/25 for the outcomes based on trough</w:t>
      </w:r>
      <w:r w:rsidR="001F516D" w:rsidRPr="001808B1">
        <w:t xml:space="preserve"> FEV1 for both the ITT population and the </w:t>
      </w:r>
      <w:r w:rsidR="001F516D" w:rsidRPr="001808B1">
        <w:rPr>
          <w:rFonts w:cstheme="minorHAnsi"/>
        </w:rPr>
        <w:t>≥</w:t>
      </w:r>
      <w:r w:rsidR="001F516D" w:rsidRPr="001808B1">
        <w:t>1 prior exacerbation subgroup.</w:t>
      </w:r>
    </w:p>
    <w:p w14:paraId="4B1E9C69" w14:textId="77777777" w:rsidR="007F48FC" w:rsidRDefault="00C22925" w:rsidP="00C22925">
      <w:pPr>
        <w:pStyle w:val="3-BodyText"/>
      </w:pPr>
      <w:r>
        <w:t xml:space="preserve">The submission presented two indirect treatment comparisons </w:t>
      </w:r>
      <w:r w:rsidR="007F48FC">
        <w:t xml:space="preserve">comparing </w:t>
      </w:r>
      <w:r w:rsidR="0081496A">
        <w:t>FF/UMEC/VI 200/62.5/25</w:t>
      </w:r>
      <w:r w:rsidR="007F48FC">
        <w:t xml:space="preserve"> with MF/IND/GLY 136/114/46 or </w:t>
      </w:r>
      <w:r w:rsidR="0081496A">
        <w:t>FF/UMEC/VI 200/62.5/25</w:t>
      </w:r>
      <w:r w:rsidR="007F48FC">
        <w:t xml:space="preserve"> with high dose ICS/LABA+TIO. The following endpoints were included in the indirect treatment comparisons:</w:t>
      </w:r>
    </w:p>
    <w:p w14:paraId="70633D09" w14:textId="77777777" w:rsidR="00504308" w:rsidRPr="001808B1" w:rsidRDefault="00504308" w:rsidP="00504308">
      <w:pPr>
        <w:pStyle w:val="ListParagraph"/>
        <w:numPr>
          <w:ilvl w:val="0"/>
          <w:numId w:val="3"/>
        </w:numPr>
      </w:pPr>
      <w:r w:rsidRPr="001808B1">
        <w:t xml:space="preserve">Trough FEV1 at week 24 </w:t>
      </w:r>
    </w:p>
    <w:p w14:paraId="2A297AC2" w14:textId="77777777" w:rsidR="00504308" w:rsidRPr="001808B1" w:rsidRDefault="00504308" w:rsidP="00504308">
      <w:pPr>
        <w:pStyle w:val="ListParagraph"/>
        <w:numPr>
          <w:ilvl w:val="0"/>
          <w:numId w:val="3"/>
        </w:numPr>
      </w:pPr>
      <w:r w:rsidRPr="001808B1">
        <w:t>Annualised rate of moderate/severe exacerbation at week 52</w:t>
      </w:r>
    </w:p>
    <w:p w14:paraId="14571AF4" w14:textId="77777777" w:rsidR="00504308" w:rsidRPr="001808B1" w:rsidRDefault="00504308" w:rsidP="00504308">
      <w:pPr>
        <w:pStyle w:val="ListParagraph"/>
        <w:numPr>
          <w:ilvl w:val="0"/>
          <w:numId w:val="3"/>
        </w:numPr>
      </w:pPr>
      <w:r w:rsidRPr="001808B1">
        <w:t>Time to first moderate/severe exacerbation</w:t>
      </w:r>
    </w:p>
    <w:p w14:paraId="6CB1B823" w14:textId="77777777" w:rsidR="00504308" w:rsidRPr="001808B1" w:rsidRDefault="00504308" w:rsidP="00504308">
      <w:pPr>
        <w:pStyle w:val="ListParagraph"/>
        <w:numPr>
          <w:ilvl w:val="0"/>
          <w:numId w:val="3"/>
        </w:numPr>
      </w:pPr>
      <w:r w:rsidRPr="001808B1">
        <w:t>ACQ7 score change from baseline at week 24</w:t>
      </w:r>
    </w:p>
    <w:p w14:paraId="78F20B13" w14:textId="77777777" w:rsidR="00504308" w:rsidRPr="001808B1" w:rsidRDefault="00504308" w:rsidP="00504308">
      <w:pPr>
        <w:pStyle w:val="ListParagraph"/>
        <w:numPr>
          <w:ilvl w:val="0"/>
          <w:numId w:val="3"/>
        </w:numPr>
      </w:pPr>
      <w:r w:rsidRPr="001808B1">
        <w:t>ACQ7 responder at week 24</w:t>
      </w:r>
      <w:r w:rsidR="00C22925">
        <w:t>.</w:t>
      </w:r>
    </w:p>
    <w:p w14:paraId="789FDB8C" w14:textId="77777777" w:rsidR="00004DE0" w:rsidRDefault="00BB3184" w:rsidP="00C22925">
      <w:pPr>
        <w:pStyle w:val="3-BodyText"/>
      </w:pPr>
      <w:r w:rsidRPr="00BB3184">
        <w:t xml:space="preserve">The submission reported that </w:t>
      </w:r>
      <w:r w:rsidR="00010F85">
        <w:t xml:space="preserve">the </w:t>
      </w:r>
      <w:r w:rsidRPr="00BB3184">
        <w:t xml:space="preserve">trial populations were matched for comparison where possible. The CAPTAIN population subgroup with ≥1 severe exacerbation in the past 12 months was used for </w:t>
      </w:r>
      <w:r w:rsidR="00010F85">
        <w:t xml:space="preserve">the </w:t>
      </w:r>
      <w:r w:rsidRPr="00BB3184">
        <w:t>comparison as this aligns with the requested restriction</w:t>
      </w:r>
      <w:r w:rsidR="00C22925">
        <w:t>.</w:t>
      </w:r>
      <w:r w:rsidRPr="00BB3184">
        <w:t xml:space="preserve"> The CAPTAIN ITT was also </w:t>
      </w:r>
      <w:r w:rsidR="00C22925">
        <w:t xml:space="preserve">included in the </w:t>
      </w:r>
      <w:r w:rsidRPr="00BB3184">
        <w:t>comparison. As outcomes differed between trials, the indirect treatment comparison was conducted for matching trial outcomes with the CAPTAIN trial.</w:t>
      </w:r>
      <w:r w:rsidR="00C22925">
        <w:t xml:space="preserve"> </w:t>
      </w:r>
      <w:r w:rsidR="001F516D" w:rsidRPr="001808B1">
        <w:t xml:space="preserve">Table </w:t>
      </w:r>
      <w:r w:rsidR="00004DE0">
        <w:t>7</w:t>
      </w:r>
      <w:r w:rsidR="00004DE0" w:rsidRPr="001808B1">
        <w:t xml:space="preserve"> </w:t>
      </w:r>
      <w:r w:rsidR="001F516D" w:rsidRPr="001808B1">
        <w:t>presents the indirect</w:t>
      </w:r>
      <w:r w:rsidR="00504308">
        <w:t xml:space="preserve"> treatment</w:t>
      </w:r>
      <w:r w:rsidR="001F516D" w:rsidRPr="001808B1">
        <w:t xml:space="preserve"> comparison results.</w:t>
      </w:r>
    </w:p>
    <w:p w14:paraId="27B68F9C" w14:textId="77777777" w:rsidR="00004DE0" w:rsidRPr="001808B1" w:rsidRDefault="00004DE0" w:rsidP="00004DE0">
      <w:pPr>
        <w:pStyle w:val="3-BodyText"/>
        <w:sectPr w:rsidR="00004DE0" w:rsidRPr="001808B1" w:rsidSect="002E1550">
          <w:headerReference w:type="default" r:id="rId10"/>
          <w:footerReference w:type="default" r:id="rId11"/>
          <w:pgSz w:w="11907" w:h="16840" w:code="9"/>
          <w:pgMar w:top="1440" w:right="1440" w:bottom="1440" w:left="1440" w:header="1440" w:footer="1440" w:gutter="0"/>
          <w:pgNumType w:start="1"/>
          <w:cols w:space="708"/>
          <w:docGrid w:linePitch="360"/>
        </w:sectPr>
      </w:pPr>
    </w:p>
    <w:p w14:paraId="21B00FFE" w14:textId="77777777" w:rsidR="001F516D" w:rsidRPr="001808B1" w:rsidRDefault="001F516D" w:rsidP="00EA556C">
      <w:pPr>
        <w:pStyle w:val="TableFigureHeading"/>
      </w:pPr>
      <w:r w:rsidRPr="001808B1">
        <w:t xml:space="preserve">Table </w:t>
      </w:r>
      <w:r w:rsidR="00004DE0">
        <w:t>7</w:t>
      </w:r>
      <w:r w:rsidRPr="001808B1">
        <w:t>: Summary effectiveness results based on indirect comparison</w:t>
      </w:r>
      <w:bookmarkStart w:id="33" w:name="_Hlk82513666"/>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effectiveness results based on indirect comparison"/>
      </w:tblPr>
      <w:tblGrid>
        <w:gridCol w:w="2546"/>
        <w:gridCol w:w="1278"/>
        <w:gridCol w:w="2127"/>
        <w:gridCol w:w="2408"/>
        <w:gridCol w:w="2836"/>
        <w:gridCol w:w="2691"/>
      </w:tblGrid>
      <w:tr w:rsidR="00256298" w:rsidRPr="001808B1" w14:paraId="21CFBC0A" w14:textId="77777777" w:rsidTr="0030312B">
        <w:tc>
          <w:tcPr>
            <w:tcW w:w="917" w:type="pct"/>
            <w:vMerge w:val="restart"/>
            <w:tcBorders>
              <w:top w:val="single" w:sz="4" w:space="0" w:color="auto"/>
              <w:left w:val="single" w:sz="4" w:space="0" w:color="auto"/>
              <w:right w:val="single" w:sz="4" w:space="0" w:color="auto"/>
            </w:tcBorders>
            <w:shd w:val="clear" w:color="auto" w:fill="auto"/>
            <w:hideMark/>
          </w:tcPr>
          <w:p w14:paraId="7A623F36" w14:textId="77777777" w:rsidR="00256298" w:rsidRPr="001808B1" w:rsidRDefault="00256298" w:rsidP="00646FC1">
            <w:pPr>
              <w:pStyle w:val="In-tableHeading"/>
            </w:pPr>
          </w:p>
        </w:tc>
        <w:tc>
          <w:tcPr>
            <w:tcW w:w="460" w:type="pct"/>
            <w:vMerge w:val="restart"/>
            <w:tcBorders>
              <w:top w:val="single" w:sz="4" w:space="0" w:color="auto"/>
              <w:left w:val="single" w:sz="4" w:space="0" w:color="auto"/>
              <w:right w:val="single" w:sz="4" w:space="0" w:color="auto"/>
            </w:tcBorders>
            <w:shd w:val="clear" w:color="auto" w:fill="auto"/>
          </w:tcPr>
          <w:p w14:paraId="262006CF" w14:textId="77777777" w:rsidR="00256298" w:rsidRPr="001808B1" w:rsidRDefault="00256298" w:rsidP="00646FC1">
            <w:pPr>
              <w:pStyle w:val="In-tableHeading"/>
            </w:pPr>
            <w:r w:rsidRPr="001808B1">
              <w:rPr>
                <w:bCs/>
              </w:rPr>
              <w:t>Interpretation</w:t>
            </w:r>
          </w:p>
        </w:tc>
        <w:tc>
          <w:tcPr>
            <w:tcW w:w="1633" w:type="pct"/>
            <w:gridSpan w:val="2"/>
            <w:tcBorders>
              <w:top w:val="single" w:sz="4" w:space="0" w:color="auto"/>
              <w:left w:val="single" w:sz="4" w:space="0" w:color="auto"/>
              <w:bottom w:val="single" w:sz="4" w:space="0" w:color="auto"/>
              <w:right w:val="single" w:sz="4" w:space="0" w:color="auto"/>
            </w:tcBorders>
            <w:shd w:val="clear" w:color="auto" w:fill="auto"/>
          </w:tcPr>
          <w:p w14:paraId="35B20758" w14:textId="77777777" w:rsidR="00256298" w:rsidRPr="001808B1" w:rsidRDefault="0081496A" w:rsidP="00646FC1">
            <w:pPr>
              <w:pStyle w:val="In-tableHeading"/>
            </w:pPr>
            <w:r>
              <w:t>FF/UMEC/VI 200/62.5/25</w:t>
            </w:r>
            <w:r w:rsidR="00256298" w:rsidRPr="001808B1">
              <w:t xml:space="preserve"> vs MF/IND/GLY 136/114/46 mean</w:t>
            </w:r>
            <w:r w:rsidR="00256298">
              <w:t xml:space="preserve"> (</w:t>
            </w:r>
            <w:r w:rsidR="00256298" w:rsidRPr="001808B1">
              <w:t>95% CI</w:t>
            </w:r>
            <w:r w:rsidR="00256298">
              <w:t>); p value</w:t>
            </w:r>
          </w:p>
        </w:tc>
        <w:tc>
          <w:tcPr>
            <w:tcW w:w="1990" w:type="pct"/>
            <w:gridSpan w:val="2"/>
            <w:tcBorders>
              <w:top w:val="single" w:sz="4" w:space="0" w:color="auto"/>
              <w:left w:val="single" w:sz="4" w:space="0" w:color="auto"/>
              <w:bottom w:val="single" w:sz="4" w:space="0" w:color="auto"/>
              <w:right w:val="single" w:sz="4" w:space="0" w:color="auto"/>
            </w:tcBorders>
            <w:shd w:val="clear" w:color="auto" w:fill="auto"/>
          </w:tcPr>
          <w:p w14:paraId="09D09423" w14:textId="77777777" w:rsidR="00256298" w:rsidRPr="001808B1" w:rsidRDefault="0081496A" w:rsidP="00646FC1">
            <w:pPr>
              <w:pStyle w:val="In-tableHeading"/>
            </w:pPr>
            <w:r>
              <w:t>FF/UMEC/VI 200/62.5/25</w:t>
            </w:r>
            <w:r w:rsidR="00256298" w:rsidRPr="001808B1">
              <w:t xml:space="preserve"> vs high dose ICS/LABA+TIO mean</w:t>
            </w:r>
            <w:r w:rsidR="00256298">
              <w:t xml:space="preserve"> (</w:t>
            </w:r>
            <w:r w:rsidR="00256298" w:rsidRPr="001808B1">
              <w:t>95% CI</w:t>
            </w:r>
            <w:r w:rsidR="00256298">
              <w:t>; p value</w:t>
            </w:r>
            <w:r w:rsidR="00256298" w:rsidRPr="001808B1">
              <w:t>)</w:t>
            </w:r>
          </w:p>
        </w:tc>
      </w:tr>
      <w:tr w:rsidR="00256298" w:rsidRPr="001808B1" w14:paraId="0979EE6E" w14:textId="77777777" w:rsidTr="0030312B">
        <w:tc>
          <w:tcPr>
            <w:tcW w:w="917" w:type="pct"/>
            <w:vMerge/>
            <w:tcBorders>
              <w:left w:val="single" w:sz="4" w:space="0" w:color="auto"/>
              <w:bottom w:val="single" w:sz="4" w:space="0" w:color="auto"/>
              <w:right w:val="single" w:sz="4" w:space="0" w:color="auto"/>
            </w:tcBorders>
            <w:shd w:val="clear" w:color="auto" w:fill="auto"/>
          </w:tcPr>
          <w:p w14:paraId="396D7D63" w14:textId="77777777" w:rsidR="00256298" w:rsidRPr="001808B1" w:rsidRDefault="00256298" w:rsidP="00646FC1">
            <w:pPr>
              <w:pStyle w:val="In-tableHeading"/>
            </w:pPr>
          </w:p>
        </w:tc>
        <w:tc>
          <w:tcPr>
            <w:tcW w:w="460" w:type="pct"/>
            <w:vMerge/>
            <w:tcBorders>
              <w:left w:val="single" w:sz="4" w:space="0" w:color="auto"/>
              <w:bottom w:val="single" w:sz="4" w:space="0" w:color="auto"/>
              <w:right w:val="single" w:sz="4" w:space="0" w:color="auto"/>
            </w:tcBorders>
            <w:shd w:val="clear" w:color="auto" w:fill="auto"/>
          </w:tcPr>
          <w:p w14:paraId="387009D2" w14:textId="77777777" w:rsidR="00256298" w:rsidRPr="001808B1" w:rsidRDefault="00256298" w:rsidP="00646FC1">
            <w:pPr>
              <w:pStyle w:val="In-tableHeading"/>
              <w:rPr>
                <w:bCs/>
              </w:rPr>
            </w:pP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3D358260" w14:textId="77777777" w:rsidR="00256298" w:rsidRPr="001808B1" w:rsidRDefault="00256298" w:rsidP="00646FC1">
            <w:pPr>
              <w:pStyle w:val="In-tableHeading"/>
              <w:rPr>
                <w:bCs/>
              </w:rPr>
            </w:pPr>
            <w:r w:rsidRPr="001808B1">
              <w:rPr>
                <w:bCs/>
              </w:rPr>
              <w:t>CAPTAIN ITT</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48D7627C" w14:textId="77777777" w:rsidR="00256298" w:rsidRPr="001808B1" w:rsidRDefault="00256298" w:rsidP="00646FC1">
            <w:pPr>
              <w:pStyle w:val="In-tableHeading"/>
              <w:rPr>
                <w:bCs/>
              </w:rPr>
            </w:pPr>
            <w:r w:rsidRPr="001808B1">
              <w:rPr>
                <w:bCs/>
              </w:rPr>
              <w:t>CAPTAIN ≥1 exacerbation</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09E9FF13" w14:textId="77777777" w:rsidR="00256298" w:rsidRPr="001808B1" w:rsidRDefault="00256298" w:rsidP="00646FC1">
            <w:pPr>
              <w:pStyle w:val="In-tableHeading"/>
              <w:rPr>
                <w:bCs/>
              </w:rPr>
            </w:pPr>
            <w:r w:rsidRPr="001808B1">
              <w:rPr>
                <w:bCs/>
              </w:rPr>
              <w:t>CAPTAIN ITT</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70EB2F13" w14:textId="77777777" w:rsidR="00256298" w:rsidRPr="001808B1" w:rsidRDefault="00256298" w:rsidP="00646FC1">
            <w:pPr>
              <w:pStyle w:val="In-tableHeading"/>
              <w:rPr>
                <w:bCs/>
              </w:rPr>
            </w:pPr>
            <w:r w:rsidRPr="001808B1">
              <w:rPr>
                <w:bCs/>
              </w:rPr>
              <w:t>CAPTAIN ≥1 exacerbation</w:t>
            </w:r>
          </w:p>
        </w:tc>
      </w:tr>
      <w:tr w:rsidR="00256298" w:rsidRPr="001808B1" w14:paraId="2E5C518C" w14:textId="77777777" w:rsidTr="0030312B">
        <w:trPr>
          <w:trHeight w:val="501"/>
        </w:trPr>
        <w:tc>
          <w:tcPr>
            <w:tcW w:w="917" w:type="pct"/>
            <w:tcBorders>
              <w:top w:val="single" w:sz="4" w:space="0" w:color="auto"/>
              <w:left w:val="single" w:sz="4" w:space="0" w:color="auto"/>
              <w:right w:val="single" w:sz="4" w:space="0" w:color="auto"/>
            </w:tcBorders>
            <w:shd w:val="clear" w:color="auto" w:fill="auto"/>
          </w:tcPr>
          <w:p w14:paraId="25BCB5A0" w14:textId="77777777" w:rsidR="00256298" w:rsidRPr="001808B1" w:rsidRDefault="00256298" w:rsidP="00646FC1">
            <w:pPr>
              <w:pStyle w:val="Tabletext"/>
              <w:rPr>
                <w:b/>
                <w:bCs/>
              </w:rPr>
            </w:pPr>
            <w:r w:rsidRPr="001808B1">
              <w:rPr>
                <w:b/>
                <w:bCs/>
              </w:rPr>
              <w:t>Trough FEV1, 24 weeks (mL)</w:t>
            </w:r>
          </w:p>
        </w:tc>
        <w:tc>
          <w:tcPr>
            <w:tcW w:w="460" w:type="pct"/>
            <w:tcBorders>
              <w:top w:val="single" w:sz="4" w:space="0" w:color="auto"/>
              <w:left w:val="single" w:sz="4" w:space="0" w:color="auto"/>
              <w:right w:val="single" w:sz="4" w:space="0" w:color="auto"/>
            </w:tcBorders>
            <w:shd w:val="clear" w:color="auto" w:fill="auto"/>
          </w:tcPr>
          <w:p w14:paraId="53906F6D" w14:textId="77777777" w:rsidR="00256298" w:rsidRPr="001808B1" w:rsidRDefault="00256298" w:rsidP="00646FC1">
            <w:pPr>
              <w:pStyle w:val="Tabletext"/>
            </w:pPr>
            <w:r w:rsidRPr="001808B1">
              <w:t>High numbers better</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670F7A31" w14:textId="77777777" w:rsidR="00256298" w:rsidRPr="00C53AC3" w:rsidRDefault="00256298" w:rsidP="00646FC1">
            <w:pPr>
              <w:pStyle w:val="Tabletext"/>
            </w:pPr>
            <w:r w:rsidRPr="00C53AC3">
              <w:t xml:space="preserve">0.55 (-52.26, 53.36); p=0.98 </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57CFA296" w14:textId="77777777" w:rsidR="00256298" w:rsidRPr="00C53AC3" w:rsidRDefault="00256298" w:rsidP="00646FC1">
            <w:pPr>
              <w:pStyle w:val="Tabletext"/>
            </w:pPr>
            <w:r w:rsidRPr="00C53AC3">
              <w:t>-13.45 (-74.87, 47.97); p=0.67</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539D26D6" w14:textId="77777777" w:rsidR="00256298" w:rsidRPr="00C53AC3" w:rsidRDefault="00256298" w:rsidP="00646FC1">
            <w:pPr>
              <w:pStyle w:val="Tabletext"/>
            </w:pPr>
            <w:r w:rsidRPr="00C53AC3">
              <w:t>35.67 (-91.01,162.35); p=0.58</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4EE7D17C" w14:textId="77777777" w:rsidR="00256298" w:rsidRPr="00C53AC3" w:rsidRDefault="00256298" w:rsidP="00646FC1">
            <w:pPr>
              <w:pStyle w:val="Tabletext"/>
            </w:pPr>
            <w:r w:rsidRPr="00C53AC3">
              <w:t>21.67 (-108.83,152.17); p=0.74</w:t>
            </w:r>
          </w:p>
        </w:tc>
      </w:tr>
      <w:tr w:rsidR="00256298" w:rsidRPr="001808B1" w14:paraId="72CA96EF" w14:textId="77777777" w:rsidTr="0030312B">
        <w:tc>
          <w:tcPr>
            <w:tcW w:w="917" w:type="pct"/>
            <w:tcBorders>
              <w:top w:val="single" w:sz="4" w:space="0" w:color="auto"/>
              <w:left w:val="single" w:sz="4" w:space="0" w:color="auto"/>
              <w:right w:val="single" w:sz="4" w:space="0" w:color="auto"/>
            </w:tcBorders>
            <w:shd w:val="clear" w:color="auto" w:fill="auto"/>
          </w:tcPr>
          <w:p w14:paraId="26B136FC" w14:textId="77777777" w:rsidR="00256298" w:rsidRPr="001808B1" w:rsidRDefault="00256298" w:rsidP="00646FC1">
            <w:pPr>
              <w:pStyle w:val="Tabletext"/>
              <w:rPr>
                <w:b/>
                <w:bCs/>
              </w:rPr>
            </w:pPr>
            <w:r w:rsidRPr="001808B1">
              <w:rPr>
                <w:b/>
                <w:bCs/>
              </w:rPr>
              <w:t>Annualised rate moderate/severe exacerbation, 52 weeks (rate ratio)</w:t>
            </w:r>
          </w:p>
        </w:tc>
        <w:tc>
          <w:tcPr>
            <w:tcW w:w="460" w:type="pct"/>
            <w:tcBorders>
              <w:top w:val="single" w:sz="4" w:space="0" w:color="auto"/>
              <w:left w:val="single" w:sz="4" w:space="0" w:color="auto"/>
              <w:right w:val="single" w:sz="4" w:space="0" w:color="auto"/>
            </w:tcBorders>
            <w:shd w:val="clear" w:color="auto" w:fill="auto"/>
          </w:tcPr>
          <w:p w14:paraId="77973431" w14:textId="77777777" w:rsidR="00256298" w:rsidRPr="001808B1" w:rsidRDefault="00256298" w:rsidP="00646FC1">
            <w:pPr>
              <w:pStyle w:val="Tabletext"/>
            </w:pPr>
            <w:r w:rsidRPr="001808B1">
              <w:t>High numbers worse</w:t>
            </w:r>
          </w:p>
        </w:tc>
        <w:tc>
          <w:tcPr>
            <w:tcW w:w="766" w:type="pct"/>
            <w:tcBorders>
              <w:top w:val="single" w:sz="4" w:space="0" w:color="auto"/>
              <w:left w:val="single" w:sz="4" w:space="0" w:color="auto"/>
              <w:bottom w:val="single" w:sz="4" w:space="0" w:color="auto"/>
              <w:right w:val="single" w:sz="4" w:space="0" w:color="auto"/>
            </w:tcBorders>
            <w:shd w:val="clear" w:color="auto" w:fill="auto"/>
          </w:tcPr>
          <w:p w14:paraId="7EBA230C" w14:textId="77777777" w:rsidR="00256298" w:rsidRPr="001808B1" w:rsidRDefault="00256298" w:rsidP="00646FC1">
            <w:pPr>
              <w:pStyle w:val="Tabletext"/>
            </w:pPr>
            <w:r w:rsidRPr="001808B1">
              <w:t>1.33</w:t>
            </w:r>
            <w:r>
              <w:t xml:space="preserve"> (</w:t>
            </w:r>
            <w:r w:rsidRPr="001808B1">
              <w:t>0.82</w:t>
            </w:r>
            <w:r>
              <w:t xml:space="preserve">, </w:t>
            </w:r>
            <w:r w:rsidRPr="001808B1">
              <w:t>2.16</w:t>
            </w:r>
            <w:r>
              <w:t>);</w:t>
            </w:r>
            <w:r w:rsidRPr="001808B1">
              <w:t xml:space="preserve"> p=0.25</w:t>
            </w: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45DF8F40" w14:textId="77777777" w:rsidR="00256298" w:rsidRPr="001808B1" w:rsidRDefault="00256298" w:rsidP="00646FC1">
            <w:pPr>
              <w:pStyle w:val="Tabletext"/>
            </w:pPr>
            <w:r w:rsidRPr="001808B1">
              <w:t>1.10</w:t>
            </w:r>
            <w:r>
              <w:t xml:space="preserve"> (</w:t>
            </w:r>
            <w:r w:rsidRPr="001808B1">
              <w:t>0.65</w:t>
            </w:r>
            <w:r>
              <w:t xml:space="preserve">, </w:t>
            </w:r>
            <w:r w:rsidRPr="001808B1">
              <w:t>1.84</w:t>
            </w:r>
            <w:r>
              <w:t>);</w:t>
            </w:r>
            <w:r w:rsidRPr="001808B1">
              <w:t xml:space="preserve"> p=0.73</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2C8768E3" w14:textId="77777777" w:rsidR="00256298" w:rsidRPr="001808B1" w:rsidRDefault="00256298" w:rsidP="00646FC1">
            <w:pPr>
              <w:pStyle w:val="Tabletext"/>
            </w:pPr>
            <w:r w:rsidRPr="001808B1">
              <w:t>1.18</w:t>
            </w:r>
            <w:r>
              <w:t xml:space="preserve"> (</w:t>
            </w:r>
            <w:r w:rsidRPr="001808B1">
              <w:t>0.84</w:t>
            </w:r>
            <w:r>
              <w:t xml:space="preserve">, </w:t>
            </w:r>
            <w:r w:rsidRPr="001808B1">
              <w:t>1.66</w:t>
            </w:r>
            <w:r>
              <w:t>);</w:t>
            </w:r>
            <w:r w:rsidRPr="001808B1">
              <w:t xml:space="preserve"> p=0.34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1CF8FC0" w14:textId="77777777" w:rsidR="00256298" w:rsidRPr="001808B1" w:rsidRDefault="00256298" w:rsidP="00646FC1">
            <w:pPr>
              <w:pStyle w:val="Tabletext"/>
            </w:pPr>
            <w:r w:rsidRPr="001808B1">
              <w:t>0.97</w:t>
            </w:r>
            <w:r>
              <w:t xml:space="preserve"> (</w:t>
            </w:r>
            <w:r w:rsidRPr="001808B1">
              <w:t>0.66</w:t>
            </w:r>
            <w:r>
              <w:t>,</w:t>
            </w:r>
            <w:r w:rsidRPr="001808B1">
              <w:t xml:space="preserve"> 1.44</w:t>
            </w:r>
            <w:r>
              <w:t>);</w:t>
            </w:r>
            <w:r w:rsidRPr="001808B1">
              <w:t xml:space="preserve"> p=0.89</w:t>
            </w:r>
          </w:p>
        </w:tc>
      </w:tr>
      <w:tr w:rsidR="00256298" w:rsidRPr="001808B1" w14:paraId="321E6439" w14:textId="77777777" w:rsidTr="0030312B">
        <w:trPr>
          <w:trHeight w:val="525"/>
        </w:trPr>
        <w:tc>
          <w:tcPr>
            <w:tcW w:w="917" w:type="pct"/>
            <w:tcBorders>
              <w:top w:val="single" w:sz="4" w:space="0" w:color="auto"/>
              <w:left w:val="single" w:sz="4" w:space="0" w:color="auto"/>
              <w:right w:val="single" w:sz="4" w:space="0" w:color="auto"/>
            </w:tcBorders>
            <w:shd w:val="clear" w:color="auto" w:fill="auto"/>
          </w:tcPr>
          <w:p w14:paraId="610D3506" w14:textId="77777777" w:rsidR="00256298" w:rsidRPr="001808B1" w:rsidRDefault="00256298" w:rsidP="00646FC1">
            <w:pPr>
              <w:pStyle w:val="Tabletext"/>
              <w:rPr>
                <w:b/>
                <w:bCs/>
              </w:rPr>
            </w:pPr>
            <w:r w:rsidRPr="001808B1">
              <w:rPr>
                <w:b/>
                <w:bCs/>
              </w:rPr>
              <w:t>Time to first moderate/severe exacerbation (hazard ratio)</w:t>
            </w:r>
          </w:p>
        </w:tc>
        <w:tc>
          <w:tcPr>
            <w:tcW w:w="460" w:type="pct"/>
            <w:tcBorders>
              <w:top w:val="single" w:sz="4" w:space="0" w:color="auto"/>
              <w:left w:val="single" w:sz="4" w:space="0" w:color="auto"/>
              <w:right w:val="single" w:sz="4" w:space="0" w:color="auto"/>
            </w:tcBorders>
            <w:shd w:val="clear" w:color="auto" w:fill="auto"/>
          </w:tcPr>
          <w:p w14:paraId="52B81E17" w14:textId="77777777" w:rsidR="00256298" w:rsidRPr="001808B1" w:rsidRDefault="00256298" w:rsidP="00646FC1">
            <w:pPr>
              <w:pStyle w:val="Tabletext"/>
            </w:pPr>
            <w:r w:rsidRPr="001808B1">
              <w:t>High numbers worse</w:t>
            </w:r>
          </w:p>
        </w:tc>
        <w:tc>
          <w:tcPr>
            <w:tcW w:w="766" w:type="pct"/>
            <w:tcBorders>
              <w:top w:val="single" w:sz="4" w:space="0" w:color="auto"/>
              <w:left w:val="single" w:sz="4" w:space="0" w:color="auto"/>
              <w:right w:val="single" w:sz="4" w:space="0" w:color="auto"/>
            </w:tcBorders>
            <w:shd w:val="clear" w:color="auto" w:fill="auto"/>
          </w:tcPr>
          <w:p w14:paraId="7C673C4E" w14:textId="77777777" w:rsidR="00256298" w:rsidRPr="001808B1" w:rsidRDefault="00256298" w:rsidP="00646FC1">
            <w:pPr>
              <w:pStyle w:val="Tabletext"/>
            </w:pPr>
            <w:r w:rsidRPr="001808B1">
              <w:t>1.35</w:t>
            </w:r>
            <w:r>
              <w:t xml:space="preserve"> (</w:t>
            </w:r>
            <w:r w:rsidRPr="001808B1">
              <w:t>1.00</w:t>
            </w:r>
            <w:r>
              <w:t xml:space="preserve">, </w:t>
            </w:r>
            <w:r w:rsidRPr="001808B1">
              <w:t>1.82</w:t>
            </w:r>
            <w:r>
              <w:t>);</w:t>
            </w:r>
            <w:r w:rsidRPr="001808B1">
              <w:t xml:space="preserve"> p=0.05</w:t>
            </w:r>
          </w:p>
        </w:tc>
        <w:tc>
          <w:tcPr>
            <w:tcW w:w="867" w:type="pct"/>
            <w:tcBorders>
              <w:top w:val="single" w:sz="4" w:space="0" w:color="auto"/>
              <w:left w:val="single" w:sz="4" w:space="0" w:color="auto"/>
              <w:right w:val="single" w:sz="4" w:space="0" w:color="auto"/>
            </w:tcBorders>
            <w:shd w:val="clear" w:color="auto" w:fill="auto"/>
          </w:tcPr>
          <w:p w14:paraId="1F818861" w14:textId="77777777" w:rsidR="00256298" w:rsidRPr="001808B1" w:rsidRDefault="00256298" w:rsidP="00646FC1">
            <w:pPr>
              <w:pStyle w:val="Tabletext"/>
            </w:pPr>
            <w:r w:rsidRPr="001808B1">
              <w:t>1.22</w:t>
            </w:r>
            <w:r>
              <w:t xml:space="preserve"> (</w:t>
            </w:r>
            <w:r w:rsidRPr="001808B1">
              <w:t>0.87</w:t>
            </w:r>
            <w:r>
              <w:t>,</w:t>
            </w:r>
            <w:r w:rsidRPr="001808B1">
              <w:t xml:space="preserve"> 1.71</w:t>
            </w:r>
            <w:r>
              <w:t>);</w:t>
            </w:r>
            <w:r w:rsidRPr="001808B1">
              <w:t xml:space="preserve"> p=0.24</w:t>
            </w:r>
          </w:p>
        </w:tc>
        <w:tc>
          <w:tcPr>
            <w:tcW w:w="1021" w:type="pct"/>
            <w:tcBorders>
              <w:top w:val="single" w:sz="4" w:space="0" w:color="auto"/>
              <w:left w:val="single" w:sz="4" w:space="0" w:color="auto"/>
              <w:right w:val="single" w:sz="4" w:space="0" w:color="auto"/>
            </w:tcBorders>
            <w:shd w:val="clear" w:color="auto" w:fill="auto"/>
          </w:tcPr>
          <w:p w14:paraId="4759B772" w14:textId="77777777" w:rsidR="00256298" w:rsidRPr="001808B1" w:rsidRDefault="00256298" w:rsidP="00646FC1">
            <w:pPr>
              <w:pStyle w:val="Tabletext"/>
            </w:pPr>
            <w:r w:rsidRPr="001808B1">
              <w:t>1.26</w:t>
            </w:r>
            <w:r>
              <w:t xml:space="preserve"> (</w:t>
            </w:r>
            <w:r w:rsidRPr="001808B1">
              <w:t>0.88</w:t>
            </w:r>
            <w:r>
              <w:t xml:space="preserve">, </w:t>
            </w:r>
            <w:r w:rsidRPr="001808B1">
              <w:t>1.80</w:t>
            </w:r>
            <w:r>
              <w:t>);</w:t>
            </w:r>
            <w:r w:rsidRPr="001808B1">
              <w:t xml:space="preserve"> p=0.20</w:t>
            </w:r>
          </w:p>
        </w:tc>
        <w:tc>
          <w:tcPr>
            <w:tcW w:w="969" w:type="pct"/>
            <w:tcBorders>
              <w:top w:val="single" w:sz="4" w:space="0" w:color="auto"/>
              <w:left w:val="single" w:sz="4" w:space="0" w:color="auto"/>
              <w:right w:val="single" w:sz="4" w:space="0" w:color="auto"/>
            </w:tcBorders>
            <w:shd w:val="clear" w:color="auto" w:fill="auto"/>
          </w:tcPr>
          <w:p w14:paraId="57DF71D2" w14:textId="77777777" w:rsidR="00256298" w:rsidRPr="001808B1" w:rsidRDefault="00256298" w:rsidP="00646FC1">
            <w:pPr>
              <w:pStyle w:val="Tabletext"/>
            </w:pPr>
            <w:r w:rsidRPr="001808B1">
              <w:t>1.14</w:t>
            </w:r>
            <w:r>
              <w:t xml:space="preserve"> (</w:t>
            </w:r>
            <w:r w:rsidRPr="001808B1">
              <w:t>0.77</w:t>
            </w:r>
            <w:r>
              <w:t xml:space="preserve">, </w:t>
            </w:r>
            <w:r w:rsidRPr="001808B1">
              <w:t>1.68</w:t>
            </w:r>
            <w:r>
              <w:t>);</w:t>
            </w:r>
            <w:r w:rsidRPr="001808B1">
              <w:t xml:space="preserve"> p=0.51</w:t>
            </w:r>
          </w:p>
        </w:tc>
      </w:tr>
      <w:tr w:rsidR="00256298" w:rsidRPr="001808B1" w14:paraId="1D8E7A6F" w14:textId="77777777" w:rsidTr="0030312B">
        <w:trPr>
          <w:trHeight w:val="754"/>
        </w:trPr>
        <w:tc>
          <w:tcPr>
            <w:tcW w:w="917" w:type="pct"/>
            <w:tcBorders>
              <w:top w:val="single" w:sz="4" w:space="0" w:color="auto"/>
              <w:left w:val="single" w:sz="4" w:space="0" w:color="auto"/>
              <w:right w:val="single" w:sz="4" w:space="0" w:color="auto"/>
            </w:tcBorders>
            <w:shd w:val="clear" w:color="auto" w:fill="auto"/>
          </w:tcPr>
          <w:p w14:paraId="52F7BDDD" w14:textId="77777777" w:rsidR="00256298" w:rsidRPr="001808B1" w:rsidRDefault="00256298" w:rsidP="00646FC1">
            <w:pPr>
              <w:pStyle w:val="Tabletext"/>
              <w:rPr>
                <w:b/>
                <w:bCs/>
              </w:rPr>
            </w:pPr>
            <w:r w:rsidRPr="001808B1">
              <w:rPr>
                <w:b/>
                <w:bCs/>
              </w:rPr>
              <w:t>Change from baseline in ACQ-7 Total Score: 24 weeks (exl. PrimoTINA)</w:t>
            </w:r>
          </w:p>
        </w:tc>
        <w:tc>
          <w:tcPr>
            <w:tcW w:w="460" w:type="pct"/>
            <w:tcBorders>
              <w:top w:val="single" w:sz="4" w:space="0" w:color="auto"/>
              <w:left w:val="single" w:sz="4" w:space="0" w:color="auto"/>
              <w:right w:val="single" w:sz="4" w:space="0" w:color="auto"/>
            </w:tcBorders>
            <w:shd w:val="clear" w:color="auto" w:fill="auto"/>
          </w:tcPr>
          <w:p w14:paraId="053BBB5A" w14:textId="77777777" w:rsidR="00256298" w:rsidRPr="001808B1" w:rsidRDefault="00256298" w:rsidP="00646FC1">
            <w:pPr>
              <w:pStyle w:val="Tabletext"/>
            </w:pPr>
            <w:r w:rsidRPr="001808B1">
              <w:t>High numbers worse</w:t>
            </w:r>
          </w:p>
        </w:tc>
        <w:tc>
          <w:tcPr>
            <w:tcW w:w="766" w:type="pct"/>
            <w:tcBorders>
              <w:top w:val="single" w:sz="4" w:space="0" w:color="auto"/>
              <w:left w:val="single" w:sz="4" w:space="0" w:color="auto"/>
              <w:right w:val="single" w:sz="4" w:space="0" w:color="auto"/>
            </w:tcBorders>
            <w:shd w:val="clear" w:color="auto" w:fill="auto"/>
          </w:tcPr>
          <w:p w14:paraId="5F8F2D08" w14:textId="77777777" w:rsidR="00256298" w:rsidRPr="00C53AC3" w:rsidRDefault="00256298" w:rsidP="00646FC1">
            <w:pPr>
              <w:pStyle w:val="Tabletext"/>
            </w:pPr>
            <w:r w:rsidRPr="00C53AC3">
              <w:t>-0.026 (-0.121, 0.069); p=0.59</w:t>
            </w:r>
          </w:p>
          <w:p w14:paraId="12BF74BC" w14:textId="77777777" w:rsidR="00256298" w:rsidRPr="00C53AC3" w:rsidRDefault="00256298" w:rsidP="00646FC1">
            <w:pPr>
              <w:pStyle w:val="Tabletext"/>
            </w:pPr>
          </w:p>
        </w:tc>
        <w:tc>
          <w:tcPr>
            <w:tcW w:w="867" w:type="pct"/>
            <w:tcBorders>
              <w:top w:val="single" w:sz="4" w:space="0" w:color="auto"/>
              <w:left w:val="single" w:sz="4" w:space="0" w:color="auto"/>
              <w:right w:val="single" w:sz="4" w:space="0" w:color="auto"/>
            </w:tcBorders>
            <w:shd w:val="clear" w:color="auto" w:fill="auto"/>
          </w:tcPr>
          <w:p w14:paraId="55EE0831" w14:textId="77777777" w:rsidR="00256298" w:rsidRPr="00C53AC3" w:rsidRDefault="00256298" w:rsidP="00646FC1">
            <w:pPr>
              <w:pStyle w:val="Tabletext"/>
            </w:pPr>
            <w:r w:rsidRPr="00C53AC3">
              <w:t>-0.023 (-0.139, 0.093); p=0.70</w:t>
            </w:r>
          </w:p>
        </w:tc>
        <w:tc>
          <w:tcPr>
            <w:tcW w:w="1021" w:type="pct"/>
            <w:tcBorders>
              <w:top w:val="single" w:sz="4" w:space="0" w:color="auto"/>
              <w:left w:val="single" w:sz="4" w:space="0" w:color="auto"/>
              <w:right w:val="single" w:sz="4" w:space="0" w:color="auto"/>
            </w:tcBorders>
            <w:shd w:val="clear" w:color="auto" w:fill="auto"/>
          </w:tcPr>
          <w:p w14:paraId="27BD2CF9" w14:textId="77777777" w:rsidR="00256298" w:rsidRPr="00C53AC3" w:rsidRDefault="00256298" w:rsidP="00646FC1">
            <w:pPr>
              <w:pStyle w:val="Tabletext"/>
            </w:pPr>
            <w:r w:rsidRPr="00C53AC3">
              <w:t>-0.059 (-0.260, 0.142); p=0.56</w:t>
            </w:r>
          </w:p>
        </w:tc>
        <w:tc>
          <w:tcPr>
            <w:tcW w:w="969" w:type="pct"/>
            <w:tcBorders>
              <w:top w:val="single" w:sz="4" w:space="0" w:color="auto"/>
              <w:left w:val="single" w:sz="4" w:space="0" w:color="auto"/>
              <w:right w:val="single" w:sz="4" w:space="0" w:color="auto"/>
            </w:tcBorders>
            <w:shd w:val="clear" w:color="auto" w:fill="auto"/>
          </w:tcPr>
          <w:p w14:paraId="1F7318E3" w14:textId="77777777" w:rsidR="00256298" w:rsidRPr="00C53AC3" w:rsidRDefault="00256298" w:rsidP="00646FC1">
            <w:pPr>
              <w:pStyle w:val="Tabletext"/>
            </w:pPr>
            <w:r w:rsidRPr="00C53AC3">
              <w:t>-0.056 (-0.268, 0.156); p=0.60</w:t>
            </w:r>
          </w:p>
        </w:tc>
      </w:tr>
      <w:tr w:rsidR="00256298" w:rsidRPr="001808B1" w14:paraId="5FDE23C7" w14:textId="77777777" w:rsidTr="0030312B">
        <w:trPr>
          <w:trHeight w:val="663"/>
        </w:trPr>
        <w:tc>
          <w:tcPr>
            <w:tcW w:w="917" w:type="pct"/>
            <w:tcBorders>
              <w:top w:val="single" w:sz="4" w:space="0" w:color="auto"/>
              <w:left w:val="single" w:sz="4" w:space="0" w:color="auto"/>
              <w:right w:val="single" w:sz="4" w:space="0" w:color="auto"/>
            </w:tcBorders>
            <w:shd w:val="clear" w:color="auto" w:fill="auto"/>
          </w:tcPr>
          <w:p w14:paraId="7DFBB01D" w14:textId="77777777" w:rsidR="00256298" w:rsidRPr="001808B1" w:rsidRDefault="00256298" w:rsidP="00646FC1">
            <w:pPr>
              <w:pStyle w:val="Tabletext"/>
              <w:rPr>
                <w:b/>
                <w:bCs/>
              </w:rPr>
            </w:pPr>
            <w:r w:rsidRPr="001808B1">
              <w:rPr>
                <w:b/>
                <w:bCs/>
              </w:rPr>
              <w:t>ACQ-7 responder rate (odds ratio)</w:t>
            </w:r>
          </w:p>
        </w:tc>
        <w:tc>
          <w:tcPr>
            <w:tcW w:w="460" w:type="pct"/>
            <w:tcBorders>
              <w:top w:val="single" w:sz="4" w:space="0" w:color="auto"/>
              <w:left w:val="single" w:sz="4" w:space="0" w:color="auto"/>
              <w:right w:val="single" w:sz="4" w:space="0" w:color="auto"/>
            </w:tcBorders>
            <w:shd w:val="clear" w:color="auto" w:fill="auto"/>
          </w:tcPr>
          <w:p w14:paraId="3BA046CA" w14:textId="77777777" w:rsidR="00256298" w:rsidRPr="001808B1" w:rsidRDefault="00256298" w:rsidP="00646FC1">
            <w:pPr>
              <w:pStyle w:val="Tabletext"/>
            </w:pPr>
            <w:r w:rsidRPr="001808B1">
              <w:t>High numbers better</w:t>
            </w:r>
          </w:p>
        </w:tc>
        <w:tc>
          <w:tcPr>
            <w:tcW w:w="766" w:type="pct"/>
            <w:tcBorders>
              <w:top w:val="single" w:sz="4" w:space="0" w:color="auto"/>
              <w:left w:val="single" w:sz="4" w:space="0" w:color="auto"/>
              <w:right w:val="single" w:sz="4" w:space="0" w:color="auto"/>
            </w:tcBorders>
            <w:shd w:val="clear" w:color="auto" w:fill="auto"/>
          </w:tcPr>
          <w:p w14:paraId="0EC88FC6" w14:textId="77777777" w:rsidR="00256298" w:rsidRPr="00DE4AA5" w:rsidRDefault="00256298" w:rsidP="00646FC1">
            <w:pPr>
              <w:pStyle w:val="Tabletext"/>
              <w:rPr>
                <w:color w:val="00B050"/>
              </w:rPr>
            </w:pPr>
            <w:r w:rsidRPr="00C53AC3">
              <w:t>1.18 (0.81, 1.71), p=0.38</w:t>
            </w:r>
          </w:p>
        </w:tc>
        <w:tc>
          <w:tcPr>
            <w:tcW w:w="867" w:type="pct"/>
            <w:tcBorders>
              <w:top w:val="single" w:sz="4" w:space="0" w:color="auto"/>
              <w:left w:val="single" w:sz="4" w:space="0" w:color="auto"/>
              <w:right w:val="single" w:sz="4" w:space="0" w:color="auto"/>
            </w:tcBorders>
            <w:shd w:val="clear" w:color="auto" w:fill="auto"/>
          </w:tcPr>
          <w:p w14:paraId="3F4050FB" w14:textId="77777777" w:rsidR="00256298" w:rsidRPr="001808B1" w:rsidRDefault="00256298" w:rsidP="00646FC1">
            <w:pPr>
              <w:pStyle w:val="Tabletext"/>
            </w:pPr>
            <w:r w:rsidRPr="001808B1">
              <w:t>1.00</w:t>
            </w:r>
            <w:r>
              <w:t xml:space="preserve"> (</w:t>
            </w:r>
            <w:r w:rsidRPr="001808B1">
              <w:t>0.65</w:t>
            </w:r>
            <w:r>
              <w:t xml:space="preserve">, </w:t>
            </w:r>
            <w:r w:rsidRPr="001808B1">
              <w:t>1.53</w:t>
            </w:r>
            <w:r>
              <w:t>);</w:t>
            </w:r>
            <w:r w:rsidRPr="001808B1">
              <w:t xml:space="preserve"> p=0.98</w:t>
            </w:r>
          </w:p>
        </w:tc>
        <w:tc>
          <w:tcPr>
            <w:tcW w:w="1021" w:type="pct"/>
            <w:tcBorders>
              <w:top w:val="single" w:sz="4" w:space="0" w:color="auto"/>
              <w:left w:val="single" w:sz="4" w:space="0" w:color="auto"/>
              <w:right w:val="single" w:sz="4" w:space="0" w:color="auto"/>
            </w:tcBorders>
            <w:shd w:val="clear" w:color="auto" w:fill="auto"/>
          </w:tcPr>
          <w:p w14:paraId="216F93EA" w14:textId="77777777" w:rsidR="00256298" w:rsidRPr="001808B1" w:rsidRDefault="00256298" w:rsidP="00646FC1">
            <w:pPr>
              <w:pStyle w:val="Tabletext"/>
            </w:pPr>
            <w:r w:rsidRPr="001808B1">
              <w:t>1.10</w:t>
            </w:r>
            <w:r>
              <w:t xml:space="preserve"> (</w:t>
            </w:r>
            <w:r w:rsidRPr="001808B1">
              <w:t>0.72</w:t>
            </w:r>
            <w:r>
              <w:t xml:space="preserve">, </w:t>
            </w:r>
            <w:r w:rsidRPr="001808B1">
              <w:t>1.69</w:t>
            </w:r>
            <w:r>
              <w:t>);</w:t>
            </w:r>
            <w:r w:rsidRPr="001808B1">
              <w:t xml:space="preserve"> p=0.66</w:t>
            </w:r>
          </w:p>
        </w:tc>
        <w:tc>
          <w:tcPr>
            <w:tcW w:w="969" w:type="pct"/>
            <w:tcBorders>
              <w:top w:val="single" w:sz="4" w:space="0" w:color="auto"/>
              <w:left w:val="single" w:sz="4" w:space="0" w:color="auto"/>
              <w:right w:val="single" w:sz="4" w:space="0" w:color="auto"/>
            </w:tcBorders>
            <w:shd w:val="clear" w:color="auto" w:fill="auto"/>
          </w:tcPr>
          <w:p w14:paraId="508A2C9B" w14:textId="77777777" w:rsidR="00256298" w:rsidRPr="001808B1" w:rsidRDefault="00256298" w:rsidP="00646FC1">
            <w:pPr>
              <w:pStyle w:val="Tabletext"/>
            </w:pPr>
            <w:r w:rsidRPr="001808B1">
              <w:t>0.93</w:t>
            </w:r>
            <w:r>
              <w:t xml:space="preserve"> (</w:t>
            </w:r>
            <w:r w:rsidRPr="001808B1">
              <w:t>0.58</w:t>
            </w:r>
            <w:r>
              <w:t xml:space="preserve">, </w:t>
            </w:r>
            <w:r w:rsidRPr="001808B1">
              <w:t>1.50</w:t>
            </w:r>
            <w:r>
              <w:t>);</w:t>
            </w:r>
            <w:r w:rsidRPr="001808B1">
              <w:t xml:space="preserve"> p=0.76</w:t>
            </w:r>
          </w:p>
        </w:tc>
      </w:tr>
    </w:tbl>
    <w:p w14:paraId="680F7197" w14:textId="77777777" w:rsidR="001F516D" w:rsidRPr="001808B1" w:rsidRDefault="001F516D" w:rsidP="00EA556C">
      <w:pPr>
        <w:pStyle w:val="TableFigureFooter"/>
      </w:pPr>
      <w:r w:rsidRPr="001808B1">
        <w:t>Source: Table 56, p128, Table 59, p134, Table 60, p135, Table 62, p138, Table 63, p139 Table 67, p143, Table 68, p144, Table 72, p149, Table 73, p151 of the submission.</w:t>
      </w:r>
    </w:p>
    <w:p w14:paraId="3385A811" w14:textId="77777777" w:rsidR="008F71E6" w:rsidRDefault="001F516D" w:rsidP="00EA556C">
      <w:pPr>
        <w:pStyle w:val="TableFigureFooter"/>
      </w:pPr>
      <w:r w:rsidRPr="001808B1">
        <w:t>ACQ-7=Asthma Control Questionnaire; FEV1=forced expiratory volume in one second; PSD = Public Summary Document; SE = Standard error</w:t>
      </w:r>
      <w:r w:rsidR="00CE2375">
        <w:t>.</w:t>
      </w:r>
    </w:p>
    <w:bookmarkEnd w:id="33"/>
    <w:p w14:paraId="298D5178" w14:textId="77777777" w:rsidR="001F516D" w:rsidRPr="001808B1" w:rsidRDefault="001F516D" w:rsidP="00EA556C">
      <w:pPr>
        <w:pStyle w:val="TableFigureFooter"/>
        <w:rPr>
          <w:i/>
          <w:iCs/>
        </w:rPr>
        <w:sectPr w:rsidR="001F516D" w:rsidRPr="001808B1" w:rsidSect="00576B4F">
          <w:pgSz w:w="16840" w:h="11907" w:orient="landscape" w:code="9"/>
          <w:pgMar w:top="1440" w:right="1440" w:bottom="1440" w:left="1440" w:header="1440" w:footer="1440" w:gutter="0"/>
          <w:cols w:space="708"/>
          <w:docGrid w:linePitch="360"/>
        </w:sectPr>
      </w:pPr>
    </w:p>
    <w:p w14:paraId="2D7B3266" w14:textId="77777777" w:rsidR="00491E82" w:rsidRPr="00001939" w:rsidRDefault="00491E82" w:rsidP="00EA556C">
      <w:pPr>
        <w:pStyle w:val="3-BodyText"/>
      </w:pPr>
      <w:bookmarkStart w:id="34" w:name="_Hlk81765299"/>
      <w:r>
        <w:t xml:space="preserve">The </w:t>
      </w:r>
      <w:r w:rsidRPr="00001939">
        <w:t xml:space="preserve">submission reported that for the CAPTAIN study primary outcome, trough FEV1 at week 24, when compared to both MF/IND/GLY 136/114/46 and high-dose ICS/LABA + TIO 2.5, </w:t>
      </w:r>
      <w:r w:rsidR="0081496A">
        <w:t>FF/UMEC/VI 200/62.5/25</w:t>
      </w:r>
      <w:r w:rsidRPr="00001939">
        <w:t xml:space="preserve"> demonstrated non-inferiority with both the CAPTAIN ITT population and the CAPTAIN subgroup with ≥1 severe exacerbation in the past 12 months based on the specified non-inferiority margin</w:t>
      </w:r>
      <w:r w:rsidR="007E7E3D">
        <w:t xml:space="preserve"> (0.10 L)</w:t>
      </w:r>
      <w:r w:rsidRPr="00001939">
        <w:t xml:space="preserve">. For all other outcomes included in the indirect treatment comparison, no significant difference was found with </w:t>
      </w:r>
      <w:r w:rsidR="0081496A">
        <w:t>FF/UMEC/VI 200/62.5/25</w:t>
      </w:r>
      <w:r w:rsidRPr="00001939">
        <w:t xml:space="preserve"> compared to both MF/IND/GLY 136/114/46 and high-dose ICS/LABA + TIO 2.5.</w:t>
      </w:r>
    </w:p>
    <w:p w14:paraId="6A4949AB" w14:textId="77777777" w:rsidR="001F516D" w:rsidRPr="00001939" w:rsidRDefault="001F516D" w:rsidP="00EA556C">
      <w:pPr>
        <w:pStyle w:val="3-BodyText"/>
        <w:rPr>
          <w:iCs/>
        </w:rPr>
      </w:pPr>
      <w:r w:rsidRPr="00001939">
        <w:rPr>
          <w:iCs/>
        </w:rPr>
        <w:t xml:space="preserve">Given a non-inferiority margin of 0.10 L, </w:t>
      </w:r>
      <w:r w:rsidR="0081496A">
        <w:rPr>
          <w:iCs/>
        </w:rPr>
        <w:t>FF/UMEC/VI 200/62.5/25</w:t>
      </w:r>
      <w:r w:rsidR="002B33CB" w:rsidRPr="00001939">
        <w:rPr>
          <w:iCs/>
        </w:rPr>
        <w:t xml:space="preserve"> </w:t>
      </w:r>
      <w:r w:rsidRPr="00001939">
        <w:rPr>
          <w:iCs/>
        </w:rPr>
        <w:t>was not non-inferior compared to high dose ICS/LABA+TIO (multiple inhaler triple therapy) for trough FEV1 in the subgroup meeting the PBS restriction (≥1 exacerbation in previous 12 months)</w:t>
      </w:r>
      <w:r w:rsidR="0034333A">
        <w:rPr>
          <w:iCs/>
        </w:rPr>
        <w:t xml:space="preserve"> as the lower 95% CI (-0.11 L)</w:t>
      </w:r>
      <w:r w:rsidR="00794FB3">
        <w:rPr>
          <w:iCs/>
        </w:rPr>
        <w:t xml:space="preserve"> exceeded</w:t>
      </w:r>
      <w:r w:rsidR="0034333A">
        <w:rPr>
          <w:iCs/>
        </w:rPr>
        <w:t xml:space="preserve"> </w:t>
      </w:r>
      <w:r w:rsidR="00A26A80">
        <w:rPr>
          <w:iCs/>
        </w:rPr>
        <w:t>-</w:t>
      </w:r>
      <w:r w:rsidR="0034333A">
        <w:rPr>
          <w:iCs/>
        </w:rPr>
        <w:t>0.10 L</w:t>
      </w:r>
      <w:r w:rsidRPr="00001939">
        <w:rPr>
          <w:iCs/>
        </w:rPr>
        <w:t xml:space="preserve">. </w:t>
      </w:r>
      <w:r w:rsidR="0081496A">
        <w:rPr>
          <w:iCs/>
        </w:rPr>
        <w:t>FF/UMEC/VI 200/62.5/25</w:t>
      </w:r>
      <w:r w:rsidR="002B33CB" w:rsidRPr="00001939">
        <w:rPr>
          <w:iCs/>
        </w:rPr>
        <w:t xml:space="preserve"> </w:t>
      </w:r>
      <w:r w:rsidRPr="00001939">
        <w:rPr>
          <w:iCs/>
        </w:rPr>
        <w:t>was non-inferior compared to MF/IND/GLY</w:t>
      </w:r>
      <w:r w:rsidR="002B33CB" w:rsidRPr="00001939">
        <w:rPr>
          <w:iCs/>
        </w:rPr>
        <w:t xml:space="preserve"> 136/114/46 </w:t>
      </w:r>
      <w:r w:rsidRPr="00001939">
        <w:rPr>
          <w:iCs/>
        </w:rPr>
        <w:t xml:space="preserve">for trough FEV1 for the ITT group and for the subgroup meeting the PBS restriction. </w:t>
      </w:r>
    </w:p>
    <w:p w14:paraId="189C246D" w14:textId="77777777" w:rsidR="001F516D" w:rsidRPr="001808B1" w:rsidRDefault="001F516D" w:rsidP="00EA556C">
      <w:pPr>
        <w:pStyle w:val="4-SubsectionHeading"/>
      </w:pPr>
      <w:bookmarkStart w:id="35" w:name="_Toc22897642"/>
      <w:bookmarkStart w:id="36" w:name="_Toc22898854"/>
      <w:bookmarkStart w:id="37" w:name="_Toc82689135"/>
      <w:bookmarkEnd w:id="34"/>
      <w:r w:rsidRPr="001808B1">
        <w:t>Comparative harms</w:t>
      </w:r>
      <w:bookmarkEnd w:id="35"/>
      <w:bookmarkEnd w:id="36"/>
      <w:bookmarkEnd w:id="37"/>
    </w:p>
    <w:p w14:paraId="392E3460" w14:textId="77777777" w:rsidR="001F516D" w:rsidRPr="001808B1" w:rsidRDefault="001F516D" w:rsidP="00EA556C">
      <w:pPr>
        <w:pStyle w:val="3-BodyText"/>
      </w:pPr>
      <w:r w:rsidRPr="001808B1">
        <w:t xml:space="preserve">The submission did not conduct a formal indirect comparison of adverse events to assess the non-inferiority of </w:t>
      </w:r>
      <w:r w:rsidR="0081496A">
        <w:t>FF/UMEC/VI 200/62.5/25</w:t>
      </w:r>
      <w:r w:rsidRPr="001808B1">
        <w:t xml:space="preserve"> compared to MF/IND/GLY 136/114/46 or ICS/LABAs + LAMA.</w:t>
      </w:r>
    </w:p>
    <w:p w14:paraId="3C9C2B5B" w14:textId="77777777" w:rsidR="001F516D" w:rsidRPr="00E23C38" w:rsidRDefault="001F516D" w:rsidP="00E23C38">
      <w:pPr>
        <w:pStyle w:val="3-BodyText"/>
        <w:rPr>
          <w:color w:val="000000" w:themeColor="text1"/>
        </w:rPr>
      </w:pPr>
      <w:r w:rsidRPr="00001939">
        <w:rPr>
          <w:iCs/>
        </w:rPr>
        <w:t xml:space="preserve">The incidence rate of ‘any adverse events’ was higher for </w:t>
      </w:r>
      <w:r w:rsidR="0081496A">
        <w:rPr>
          <w:iCs/>
        </w:rPr>
        <w:t>FF/UMEC/VI 200/62.5/25</w:t>
      </w:r>
      <w:r w:rsidRPr="00001939">
        <w:rPr>
          <w:iCs/>
        </w:rPr>
        <w:t xml:space="preserve"> in the CAPTAIN trial compared with MF/IND/GLY 136/114/46 in the IRIDIUM trial. However, serious and treatment-related adverse events were similar for both treatments.</w:t>
      </w:r>
      <w:r w:rsidR="00A50E62">
        <w:rPr>
          <w:iCs/>
        </w:rPr>
        <w:t xml:space="preserve"> </w:t>
      </w:r>
    </w:p>
    <w:p w14:paraId="4E380BCA" w14:textId="77777777" w:rsidR="001F516D" w:rsidRPr="00A45225" w:rsidRDefault="001F516D" w:rsidP="00E23C38">
      <w:pPr>
        <w:pStyle w:val="3-BodyText"/>
      </w:pPr>
      <w:r w:rsidRPr="00A45225">
        <w:t>T</w:t>
      </w:r>
      <w:r w:rsidR="00E23C38">
        <w:t xml:space="preserve">able 8 presents the safety outcomes across the remaining included trials. </w:t>
      </w:r>
    </w:p>
    <w:p w14:paraId="57291408" w14:textId="77777777" w:rsidR="001F516D" w:rsidRPr="001808B1" w:rsidRDefault="001F516D" w:rsidP="00611501">
      <w:pPr>
        <w:pStyle w:val="TableFigureHeading"/>
        <w:rPr>
          <w:lang w:eastAsia="en-US"/>
        </w:rPr>
      </w:pPr>
      <w:r w:rsidRPr="001808B1">
        <w:rPr>
          <w:lang w:eastAsia="en-US"/>
        </w:rPr>
        <w:t xml:space="preserve">Table </w:t>
      </w:r>
      <w:r w:rsidR="00646FC1">
        <w:rPr>
          <w:lang w:eastAsia="en-US"/>
        </w:rPr>
        <w:t>8</w:t>
      </w:r>
      <w:r w:rsidRPr="001808B1">
        <w:rPr>
          <w:lang w:eastAsia="en-US"/>
        </w:rPr>
        <w:t>: Comparison of clinical adverse events (number of patients (%)</w:t>
      </w:r>
      <w:r w:rsidR="00BB5F22">
        <w:rPr>
          <w:lang w:eastAsia="en-US"/>
        </w:rPr>
        <w:t>)</w:t>
      </w:r>
    </w:p>
    <w:tbl>
      <w:tblPr>
        <w:tblW w:w="0" w:type="auto"/>
        <w:tblLook w:val="04A0" w:firstRow="1" w:lastRow="0" w:firstColumn="1" w:lastColumn="0" w:noHBand="0" w:noVBand="1"/>
        <w:tblCaption w:val="Table 8: Comparison of clinical adverse events (number of patients (%))"/>
      </w:tblPr>
      <w:tblGrid>
        <w:gridCol w:w="4267"/>
        <w:gridCol w:w="1258"/>
        <w:gridCol w:w="991"/>
        <w:gridCol w:w="1164"/>
        <w:gridCol w:w="1337"/>
      </w:tblGrid>
      <w:tr w:rsidR="001F516D" w:rsidRPr="001808B1" w14:paraId="53FF16AD" w14:textId="77777777" w:rsidTr="00576B4F">
        <w:trPr>
          <w:trHeight w:val="20"/>
          <w:tblHeader/>
        </w:trPr>
        <w:tc>
          <w:tcPr>
            <w:tcW w:w="4267" w:type="dxa"/>
            <w:tcBorders>
              <w:top w:val="single" w:sz="4" w:space="0" w:color="auto"/>
              <w:left w:val="single" w:sz="4" w:space="0" w:color="auto"/>
              <w:bottom w:val="nil"/>
              <w:right w:val="single" w:sz="4" w:space="0" w:color="auto"/>
            </w:tcBorders>
            <w:shd w:val="clear" w:color="auto" w:fill="auto"/>
            <w:noWrap/>
            <w:hideMark/>
          </w:tcPr>
          <w:p w14:paraId="5DF253F7" w14:textId="77777777" w:rsidR="001F516D" w:rsidRPr="001808B1" w:rsidRDefault="001F516D" w:rsidP="00611501">
            <w:pPr>
              <w:pStyle w:val="In-tableHeading"/>
            </w:pPr>
            <w:r w:rsidRPr="001808B1">
              <w:t>Study</w:t>
            </w:r>
          </w:p>
        </w:tc>
        <w:tc>
          <w:tcPr>
            <w:tcW w:w="1258" w:type="dxa"/>
            <w:tcBorders>
              <w:top w:val="single" w:sz="4" w:space="0" w:color="auto"/>
              <w:left w:val="nil"/>
              <w:bottom w:val="nil"/>
              <w:right w:val="single" w:sz="4" w:space="0" w:color="auto"/>
            </w:tcBorders>
            <w:shd w:val="clear" w:color="auto" w:fill="auto"/>
            <w:hideMark/>
          </w:tcPr>
          <w:p w14:paraId="348C1B80" w14:textId="77777777" w:rsidR="001F516D" w:rsidRPr="001808B1" w:rsidRDefault="001F516D" w:rsidP="00611501">
            <w:pPr>
              <w:pStyle w:val="In-tableHeading"/>
            </w:pPr>
            <w:r w:rsidRPr="001808B1">
              <w:t>Any adverse event</w:t>
            </w:r>
          </w:p>
        </w:tc>
        <w:tc>
          <w:tcPr>
            <w:tcW w:w="991" w:type="dxa"/>
            <w:tcBorders>
              <w:top w:val="single" w:sz="4" w:space="0" w:color="auto"/>
              <w:left w:val="nil"/>
              <w:bottom w:val="nil"/>
              <w:right w:val="single" w:sz="4" w:space="0" w:color="auto"/>
            </w:tcBorders>
            <w:shd w:val="clear" w:color="auto" w:fill="auto"/>
            <w:hideMark/>
          </w:tcPr>
          <w:p w14:paraId="7E07BF22" w14:textId="77777777" w:rsidR="001F516D" w:rsidRPr="001808B1" w:rsidRDefault="001F516D" w:rsidP="00611501">
            <w:pPr>
              <w:pStyle w:val="In-tableHeading"/>
            </w:pPr>
            <w:r w:rsidRPr="001808B1">
              <w:t>Serious AEs</w:t>
            </w:r>
          </w:p>
        </w:tc>
        <w:tc>
          <w:tcPr>
            <w:tcW w:w="1164" w:type="dxa"/>
            <w:tcBorders>
              <w:top w:val="single" w:sz="4" w:space="0" w:color="auto"/>
              <w:left w:val="nil"/>
              <w:bottom w:val="nil"/>
              <w:right w:val="single" w:sz="4" w:space="0" w:color="auto"/>
            </w:tcBorders>
            <w:shd w:val="clear" w:color="auto" w:fill="auto"/>
            <w:hideMark/>
          </w:tcPr>
          <w:p w14:paraId="0A3C800E" w14:textId="77777777" w:rsidR="001F516D" w:rsidRPr="001808B1" w:rsidRDefault="001F516D" w:rsidP="00611501">
            <w:pPr>
              <w:pStyle w:val="In-tableHeading"/>
            </w:pPr>
            <w:r w:rsidRPr="001808B1">
              <w:t>Treatment-related AEs</w:t>
            </w:r>
          </w:p>
        </w:tc>
        <w:tc>
          <w:tcPr>
            <w:tcW w:w="1337" w:type="dxa"/>
            <w:tcBorders>
              <w:top w:val="single" w:sz="4" w:space="0" w:color="auto"/>
              <w:left w:val="nil"/>
              <w:bottom w:val="nil"/>
              <w:right w:val="single" w:sz="4" w:space="0" w:color="auto"/>
            </w:tcBorders>
            <w:shd w:val="clear" w:color="auto" w:fill="auto"/>
            <w:hideMark/>
          </w:tcPr>
          <w:p w14:paraId="4E094093" w14:textId="77777777" w:rsidR="001F516D" w:rsidRPr="001808B1" w:rsidRDefault="001F516D" w:rsidP="00611501">
            <w:pPr>
              <w:pStyle w:val="In-tableHeading"/>
            </w:pPr>
            <w:r w:rsidRPr="001808B1">
              <w:t>Treatment-related serious AEs</w:t>
            </w:r>
          </w:p>
        </w:tc>
      </w:tr>
      <w:tr w:rsidR="001F516D" w:rsidRPr="001808B1" w14:paraId="7BCE3B69" w14:textId="77777777" w:rsidTr="00576B4F">
        <w:trPr>
          <w:trHeight w:val="20"/>
        </w:trPr>
        <w:tc>
          <w:tcPr>
            <w:tcW w:w="4267" w:type="dxa"/>
            <w:tcBorders>
              <w:top w:val="single" w:sz="4" w:space="0" w:color="auto"/>
              <w:left w:val="single" w:sz="4" w:space="0" w:color="auto"/>
              <w:bottom w:val="nil"/>
              <w:right w:val="single" w:sz="4" w:space="0" w:color="auto"/>
            </w:tcBorders>
            <w:shd w:val="clear" w:color="auto" w:fill="auto"/>
            <w:noWrap/>
            <w:hideMark/>
          </w:tcPr>
          <w:p w14:paraId="7C15CB6D" w14:textId="77777777" w:rsidR="001F516D" w:rsidRPr="001808B1" w:rsidRDefault="001F516D" w:rsidP="00611501">
            <w:pPr>
              <w:pStyle w:val="Tabletext"/>
              <w:keepNext/>
              <w:rPr>
                <w:b/>
                <w:bCs/>
              </w:rPr>
            </w:pPr>
            <w:r w:rsidRPr="001808B1">
              <w:rPr>
                <w:b/>
                <w:bCs/>
              </w:rPr>
              <w:t>ARGON</w:t>
            </w:r>
          </w:p>
        </w:tc>
        <w:tc>
          <w:tcPr>
            <w:tcW w:w="1258" w:type="dxa"/>
            <w:tcBorders>
              <w:top w:val="single" w:sz="4" w:space="0" w:color="auto"/>
              <w:left w:val="nil"/>
              <w:bottom w:val="nil"/>
              <w:right w:val="single" w:sz="4" w:space="0" w:color="auto"/>
            </w:tcBorders>
            <w:shd w:val="clear" w:color="auto" w:fill="auto"/>
            <w:noWrap/>
            <w:hideMark/>
          </w:tcPr>
          <w:p w14:paraId="6B2A19F8" w14:textId="77777777" w:rsidR="001F516D" w:rsidRPr="001808B1" w:rsidRDefault="001F516D" w:rsidP="00611501">
            <w:pPr>
              <w:pStyle w:val="Tabletext"/>
              <w:keepNext/>
            </w:pPr>
          </w:p>
        </w:tc>
        <w:tc>
          <w:tcPr>
            <w:tcW w:w="991" w:type="dxa"/>
            <w:tcBorders>
              <w:top w:val="single" w:sz="4" w:space="0" w:color="auto"/>
              <w:left w:val="nil"/>
              <w:bottom w:val="nil"/>
              <w:right w:val="single" w:sz="4" w:space="0" w:color="auto"/>
            </w:tcBorders>
            <w:shd w:val="clear" w:color="auto" w:fill="auto"/>
            <w:noWrap/>
            <w:hideMark/>
          </w:tcPr>
          <w:p w14:paraId="49332539" w14:textId="77777777" w:rsidR="001F516D" w:rsidRPr="001808B1" w:rsidRDefault="001F516D" w:rsidP="00611501">
            <w:pPr>
              <w:pStyle w:val="Tabletext"/>
              <w:keepNext/>
            </w:pPr>
          </w:p>
        </w:tc>
        <w:tc>
          <w:tcPr>
            <w:tcW w:w="1164" w:type="dxa"/>
            <w:tcBorders>
              <w:top w:val="single" w:sz="4" w:space="0" w:color="auto"/>
              <w:left w:val="nil"/>
              <w:bottom w:val="nil"/>
              <w:right w:val="single" w:sz="4" w:space="0" w:color="auto"/>
            </w:tcBorders>
            <w:shd w:val="clear" w:color="auto" w:fill="auto"/>
            <w:noWrap/>
            <w:hideMark/>
          </w:tcPr>
          <w:p w14:paraId="4A27C55C" w14:textId="77777777" w:rsidR="001F516D" w:rsidRPr="001808B1" w:rsidRDefault="001F516D" w:rsidP="00611501">
            <w:pPr>
              <w:pStyle w:val="Tabletext"/>
              <w:keepNext/>
            </w:pPr>
          </w:p>
        </w:tc>
        <w:tc>
          <w:tcPr>
            <w:tcW w:w="1337" w:type="dxa"/>
            <w:tcBorders>
              <w:top w:val="single" w:sz="4" w:space="0" w:color="auto"/>
              <w:left w:val="nil"/>
              <w:bottom w:val="nil"/>
              <w:right w:val="single" w:sz="4" w:space="0" w:color="auto"/>
            </w:tcBorders>
            <w:shd w:val="clear" w:color="auto" w:fill="auto"/>
            <w:noWrap/>
            <w:hideMark/>
          </w:tcPr>
          <w:p w14:paraId="72CB4976" w14:textId="77777777" w:rsidR="001F516D" w:rsidRPr="001808B1" w:rsidRDefault="001F516D" w:rsidP="00611501">
            <w:pPr>
              <w:pStyle w:val="Tabletext"/>
              <w:keepNext/>
            </w:pPr>
          </w:p>
        </w:tc>
      </w:tr>
      <w:tr w:rsidR="001F516D" w:rsidRPr="001808B1" w14:paraId="1F97676B" w14:textId="77777777" w:rsidTr="00576B4F">
        <w:trPr>
          <w:trHeight w:val="20"/>
        </w:trPr>
        <w:tc>
          <w:tcPr>
            <w:tcW w:w="4267" w:type="dxa"/>
            <w:tcBorders>
              <w:top w:val="nil"/>
              <w:left w:val="single" w:sz="4" w:space="0" w:color="auto"/>
              <w:bottom w:val="nil"/>
              <w:right w:val="single" w:sz="4" w:space="0" w:color="auto"/>
            </w:tcBorders>
            <w:shd w:val="clear" w:color="auto" w:fill="auto"/>
            <w:noWrap/>
            <w:hideMark/>
          </w:tcPr>
          <w:p w14:paraId="31CA1B9D" w14:textId="77777777" w:rsidR="001F516D" w:rsidRPr="001808B1" w:rsidRDefault="001F516D" w:rsidP="00611501">
            <w:pPr>
              <w:pStyle w:val="Tabletext"/>
              <w:keepNext/>
            </w:pPr>
            <w:r w:rsidRPr="001808B1">
              <w:t>IND/GLY/MF (150/50/160 μg) D</w:t>
            </w:r>
          </w:p>
        </w:tc>
        <w:tc>
          <w:tcPr>
            <w:tcW w:w="1258" w:type="dxa"/>
            <w:tcBorders>
              <w:top w:val="nil"/>
              <w:left w:val="nil"/>
              <w:bottom w:val="nil"/>
              <w:right w:val="single" w:sz="4" w:space="0" w:color="auto"/>
            </w:tcBorders>
            <w:shd w:val="clear" w:color="auto" w:fill="auto"/>
            <w:noWrap/>
            <w:hideMark/>
          </w:tcPr>
          <w:p w14:paraId="3192223D" w14:textId="77777777" w:rsidR="001F516D" w:rsidRPr="001808B1" w:rsidRDefault="001F516D" w:rsidP="00611501">
            <w:pPr>
              <w:pStyle w:val="Tabletext"/>
              <w:keepNext/>
            </w:pPr>
            <w:r w:rsidRPr="001808B1">
              <w:t>52%</w:t>
            </w:r>
          </w:p>
        </w:tc>
        <w:tc>
          <w:tcPr>
            <w:tcW w:w="991" w:type="dxa"/>
            <w:tcBorders>
              <w:top w:val="nil"/>
              <w:left w:val="nil"/>
              <w:bottom w:val="nil"/>
              <w:right w:val="single" w:sz="4" w:space="0" w:color="auto"/>
            </w:tcBorders>
            <w:shd w:val="clear" w:color="auto" w:fill="auto"/>
            <w:noWrap/>
            <w:hideMark/>
          </w:tcPr>
          <w:p w14:paraId="4E384D95" w14:textId="77777777" w:rsidR="001F516D" w:rsidRPr="001808B1" w:rsidRDefault="001F516D" w:rsidP="00611501">
            <w:pPr>
              <w:pStyle w:val="Tabletext"/>
              <w:keepNext/>
            </w:pPr>
            <w:r w:rsidRPr="001808B1">
              <w:t>4%</w:t>
            </w:r>
          </w:p>
        </w:tc>
        <w:tc>
          <w:tcPr>
            <w:tcW w:w="1164" w:type="dxa"/>
            <w:tcBorders>
              <w:top w:val="nil"/>
              <w:left w:val="nil"/>
              <w:bottom w:val="nil"/>
              <w:right w:val="single" w:sz="4" w:space="0" w:color="auto"/>
            </w:tcBorders>
            <w:shd w:val="clear" w:color="auto" w:fill="auto"/>
            <w:noWrap/>
            <w:hideMark/>
          </w:tcPr>
          <w:p w14:paraId="61053BA5" w14:textId="77777777" w:rsidR="001F516D" w:rsidRPr="001808B1" w:rsidRDefault="001F516D" w:rsidP="00611501">
            <w:pPr>
              <w:pStyle w:val="Tabletext"/>
              <w:keepNext/>
            </w:pPr>
            <w:r w:rsidRPr="001808B1">
              <w:t>6%</w:t>
            </w:r>
          </w:p>
        </w:tc>
        <w:tc>
          <w:tcPr>
            <w:tcW w:w="1337" w:type="dxa"/>
            <w:tcBorders>
              <w:top w:val="nil"/>
              <w:left w:val="nil"/>
              <w:bottom w:val="nil"/>
              <w:right w:val="single" w:sz="4" w:space="0" w:color="auto"/>
            </w:tcBorders>
            <w:shd w:val="clear" w:color="auto" w:fill="auto"/>
            <w:noWrap/>
            <w:hideMark/>
          </w:tcPr>
          <w:p w14:paraId="20CE2613" w14:textId="77777777" w:rsidR="001F516D" w:rsidRPr="001808B1" w:rsidRDefault="001F516D" w:rsidP="00611501">
            <w:pPr>
              <w:pStyle w:val="Tabletext"/>
              <w:keepNext/>
            </w:pPr>
            <w:r w:rsidRPr="001808B1">
              <w:t>0%</w:t>
            </w:r>
          </w:p>
        </w:tc>
      </w:tr>
      <w:tr w:rsidR="001F516D" w:rsidRPr="001808B1" w14:paraId="238C2677" w14:textId="77777777" w:rsidTr="00576B4F">
        <w:trPr>
          <w:trHeight w:val="20"/>
        </w:trPr>
        <w:tc>
          <w:tcPr>
            <w:tcW w:w="4267" w:type="dxa"/>
            <w:tcBorders>
              <w:top w:val="nil"/>
              <w:left w:val="single" w:sz="4" w:space="0" w:color="auto"/>
              <w:bottom w:val="single" w:sz="4" w:space="0" w:color="auto"/>
              <w:right w:val="single" w:sz="4" w:space="0" w:color="auto"/>
            </w:tcBorders>
            <w:shd w:val="clear" w:color="auto" w:fill="auto"/>
            <w:noWrap/>
            <w:hideMark/>
          </w:tcPr>
          <w:p w14:paraId="0E673669" w14:textId="77777777" w:rsidR="001F516D" w:rsidRPr="001808B1" w:rsidRDefault="001F516D" w:rsidP="00611501">
            <w:pPr>
              <w:pStyle w:val="Tabletext"/>
              <w:keepNext/>
            </w:pPr>
            <w:r w:rsidRPr="001808B1">
              <w:t>SAL/FP (50/500 mcg) BD + TIO 5µg D</w:t>
            </w:r>
          </w:p>
        </w:tc>
        <w:tc>
          <w:tcPr>
            <w:tcW w:w="1258" w:type="dxa"/>
            <w:tcBorders>
              <w:top w:val="nil"/>
              <w:left w:val="nil"/>
              <w:bottom w:val="single" w:sz="4" w:space="0" w:color="auto"/>
              <w:right w:val="single" w:sz="4" w:space="0" w:color="auto"/>
            </w:tcBorders>
            <w:shd w:val="clear" w:color="auto" w:fill="auto"/>
            <w:noWrap/>
            <w:hideMark/>
          </w:tcPr>
          <w:p w14:paraId="289F1903" w14:textId="77777777" w:rsidR="001F516D" w:rsidRPr="001808B1" w:rsidRDefault="001F516D" w:rsidP="00611501">
            <w:pPr>
              <w:pStyle w:val="Tabletext"/>
              <w:keepNext/>
            </w:pPr>
            <w:r w:rsidRPr="001808B1">
              <w:t>52%</w:t>
            </w:r>
          </w:p>
        </w:tc>
        <w:tc>
          <w:tcPr>
            <w:tcW w:w="991" w:type="dxa"/>
            <w:tcBorders>
              <w:top w:val="nil"/>
              <w:left w:val="nil"/>
              <w:bottom w:val="single" w:sz="4" w:space="0" w:color="auto"/>
              <w:right w:val="single" w:sz="4" w:space="0" w:color="auto"/>
            </w:tcBorders>
            <w:shd w:val="clear" w:color="auto" w:fill="auto"/>
            <w:noWrap/>
            <w:hideMark/>
          </w:tcPr>
          <w:p w14:paraId="7A8F4AC6" w14:textId="77777777" w:rsidR="001F516D" w:rsidRPr="001808B1" w:rsidRDefault="001F516D" w:rsidP="00611501">
            <w:pPr>
              <w:pStyle w:val="Tabletext"/>
              <w:keepNext/>
            </w:pPr>
            <w:r w:rsidRPr="001808B1">
              <w:t>4%</w:t>
            </w:r>
          </w:p>
        </w:tc>
        <w:tc>
          <w:tcPr>
            <w:tcW w:w="1164" w:type="dxa"/>
            <w:tcBorders>
              <w:top w:val="nil"/>
              <w:left w:val="nil"/>
              <w:bottom w:val="single" w:sz="4" w:space="0" w:color="auto"/>
              <w:right w:val="single" w:sz="4" w:space="0" w:color="auto"/>
            </w:tcBorders>
            <w:shd w:val="clear" w:color="auto" w:fill="auto"/>
            <w:noWrap/>
            <w:hideMark/>
          </w:tcPr>
          <w:p w14:paraId="66348118" w14:textId="77777777" w:rsidR="001F516D" w:rsidRPr="001808B1" w:rsidRDefault="001F516D" w:rsidP="00611501">
            <w:pPr>
              <w:pStyle w:val="Tabletext"/>
              <w:keepNext/>
            </w:pPr>
            <w:r w:rsidRPr="001808B1">
              <w:t>4%</w:t>
            </w:r>
          </w:p>
        </w:tc>
        <w:tc>
          <w:tcPr>
            <w:tcW w:w="1337" w:type="dxa"/>
            <w:tcBorders>
              <w:top w:val="nil"/>
              <w:left w:val="nil"/>
              <w:bottom w:val="single" w:sz="4" w:space="0" w:color="auto"/>
              <w:right w:val="single" w:sz="4" w:space="0" w:color="auto"/>
            </w:tcBorders>
            <w:shd w:val="clear" w:color="auto" w:fill="auto"/>
            <w:noWrap/>
            <w:hideMark/>
          </w:tcPr>
          <w:p w14:paraId="0749569B" w14:textId="77777777" w:rsidR="001F516D" w:rsidRPr="001808B1" w:rsidRDefault="001F516D" w:rsidP="00611501">
            <w:pPr>
              <w:pStyle w:val="Tabletext"/>
              <w:keepNext/>
            </w:pPr>
            <w:r w:rsidRPr="001808B1">
              <w:t>0%</w:t>
            </w:r>
          </w:p>
        </w:tc>
      </w:tr>
      <w:tr w:rsidR="001F516D" w:rsidRPr="001808B1" w14:paraId="50C253E8" w14:textId="77777777" w:rsidTr="00576B4F">
        <w:trPr>
          <w:trHeight w:val="20"/>
        </w:trPr>
        <w:tc>
          <w:tcPr>
            <w:tcW w:w="4267" w:type="dxa"/>
            <w:tcBorders>
              <w:top w:val="nil"/>
              <w:left w:val="single" w:sz="4" w:space="0" w:color="auto"/>
              <w:bottom w:val="nil"/>
              <w:right w:val="single" w:sz="4" w:space="0" w:color="auto"/>
            </w:tcBorders>
            <w:shd w:val="clear" w:color="auto" w:fill="auto"/>
            <w:noWrap/>
            <w:hideMark/>
          </w:tcPr>
          <w:p w14:paraId="52AC78DF" w14:textId="77777777" w:rsidR="001F516D" w:rsidRPr="001808B1" w:rsidRDefault="001F516D" w:rsidP="00611501">
            <w:pPr>
              <w:pStyle w:val="Tabletext"/>
              <w:keepNext/>
              <w:rPr>
                <w:b/>
              </w:rPr>
            </w:pPr>
            <w:r w:rsidRPr="001808B1">
              <w:rPr>
                <w:b/>
              </w:rPr>
              <w:t>CAPTAIN</w:t>
            </w:r>
          </w:p>
        </w:tc>
        <w:tc>
          <w:tcPr>
            <w:tcW w:w="1258" w:type="dxa"/>
            <w:tcBorders>
              <w:top w:val="nil"/>
              <w:left w:val="nil"/>
              <w:bottom w:val="nil"/>
              <w:right w:val="single" w:sz="4" w:space="0" w:color="auto"/>
            </w:tcBorders>
            <w:shd w:val="clear" w:color="auto" w:fill="auto"/>
            <w:noWrap/>
            <w:hideMark/>
          </w:tcPr>
          <w:p w14:paraId="3DA5F474" w14:textId="77777777" w:rsidR="001F516D" w:rsidRPr="001808B1" w:rsidRDefault="001F516D" w:rsidP="00611501">
            <w:pPr>
              <w:pStyle w:val="Tabletext"/>
              <w:keepNext/>
              <w:rPr>
                <w:bCs/>
              </w:rPr>
            </w:pPr>
          </w:p>
        </w:tc>
        <w:tc>
          <w:tcPr>
            <w:tcW w:w="991" w:type="dxa"/>
            <w:tcBorders>
              <w:top w:val="nil"/>
              <w:left w:val="nil"/>
              <w:bottom w:val="nil"/>
              <w:right w:val="single" w:sz="4" w:space="0" w:color="auto"/>
            </w:tcBorders>
            <w:shd w:val="clear" w:color="auto" w:fill="auto"/>
            <w:noWrap/>
            <w:hideMark/>
          </w:tcPr>
          <w:p w14:paraId="229FE022" w14:textId="77777777" w:rsidR="001F516D" w:rsidRPr="001808B1" w:rsidRDefault="001F516D" w:rsidP="00611501">
            <w:pPr>
              <w:pStyle w:val="Tabletext"/>
              <w:keepNext/>
              <w:rPr>
                <w:bCs/>
              </w:rPr>
            </w:pPr>
          </w:p>
        </w:tc>
        <w:tc>
          <w:tcPr>
            <w:tcW w:w="1164" w:type="dxa"/>
            <w:tcBorders>
              <w:top w:val="nil"/>
              <w:left w:val="nil"/>
              <w:bottom w:val="nil"/>
              <w:right w:val="single" w:sz="4" w:space="0" w:color="auto"/>
            </w:tcBorders>
            <w:shd w:val="clear" w:color="auto" w:fill="auto"/>
            <w:noWrap/>
            <w:hideMark/>
          </w:tcPr>
          <w:p w14:paraId="6A663198" w14:textId="77777777" w:rsidR="001F516D" w:rsidRPr="001808B1" w:rsidRDefault="001F516D" w:rsidP="00611501">
            <w:pPr>
              <w:pStyle w:val="Tabletext"/>
              <w:keepNext/>
              <w:rPr>
                <w:bCs/>
              </w:rPr>
            </w:pPr>
          </w:p>
        </w:tc>
        <w:tc>
          <w:tcPr>
            <w:tcW w:w="1337" w:type="dxa"/>
            <w:tcBorders>
              <w:top w:val="nil"/>
              <w:left w:val="nil"/>
              <w:bottom w:val="nil"/>
              <w:right w:val="single" w:sz="4" w:space="0" w:color="auto"/>
            </w:tcBorders>
            <w:shd w:val="clear" w:color="auto" w:fill="auto"/>
            <w:noWrap/>
            <w:hideMark/>
          </w:tcPr>
          <w:p w14:paraId="6D898BBA" w14:textId="77777777" w:rsidR="001F516D" w:rsidRPr="001808B1" w:rsidRDefault="001F516D" w:rsidP="00611501">
            <w:pPr>
              <w:pStyle w:val="Tabletext"/>
              <w:keepNext/>
              <w:rPr>
                <w:bCs/>
              </w:rPr>
            </w:pPr>
          </w:p>
        </w:tc>
      </w:tr>
      <w:tr w:rsidR="001F516D" w:rsidRPr="001808B1" w14:paraId="5AB8D8FF" w14:textId="77777777" w:rsidTr="00576B4F">
        <w:trPr>
          <w:trHeight w:val="20"/>
        </w:trPr>
        <w:tc>
          <w:tcPr>
            <w:tcW w:w="4267" w:type="dxa"/>
            <w:tcBorders>
              <w:top w:val="nil"/>
              <w:left w:val="single" w:sz="4" w:space="0" w:color="auto"/>
              <w:right w:val="single" w:sz="4" w:space="0" w:color="auto"/>
            </w:tcBorders>
            <w:shd w:val="clear" w:color="auto" w:fill="auto"/>
            <w:noWrap/>
            <w:hideMark/>
          </w:tcPr>
          <w:p w14:paraId="4A19D681" w14:textId="77777777" w:rsidR="001F516D" w:rsidRPr="001808B1" w:rsidRDefault="0081496A" w:rsidP="00611501">
            <w:pPr>
              <w:pStyle w:val="Tabletext"/>
              <w:keepNext/>
            </w:pPr>
            <w:r>
              <w:t>FF/UMEC/VI</w:t>
            </w:r>
            <w:r w:rsidR="001F516D" w:rsidRPr="001808B1">
              <w:t xml:space="preserve"> 200/31.25/25 mcg</w:t>
            </w:r>
          </w:p>
        </w:tc>
        <w:tc>
          <w:tcPr>
            <w:tcW w:w="1258" w:type="dxa"/>
            <w:tcBorders>
              <w:top w:val="nil"/>
              <w:left w:val="nil"/>
              <w:right w:val="single" w:sz="4" w:space="0" w:color="auto"/>
            </w:tcBorders>
            <w:shd w:val="clear" w:color="auto" w:fill="auto"/>
            <w:noWrap/>
            <w:hideMark/>
          </w:tcPr>
          <w:p w14:paraId="5C46E9EE" w14:textId="77777777" w:rsidR="001F516D" w:rsidRPr="001808B1" w:rsidRDefault="001F516D" w:rsidP="00611501">
            <w:pPr>
              <w:pStyle w:val="Tabletext"/>
              <w:keepNext/>
            </w:pPr>
            <w:r w:rsidRPr="001808B1">
              <w:t>48%</w:t>
            </w:r>
          </w:p>
        </w:tc>
        <w:tc>
          <w:tcPr>
            <w:tcW w:w="991" w:type="dxa"/>
            <w:tcBorders>
              <w:top w:val="nil"/>
              <w:left w:val="nil"/>
              <w:right w:val="single" w:sz="4" w:space="0" w:color="auto"/>
            </w:tcBorders>
            <w:shd w:val="clear" w:color="auto" w:fill="auto"/>
            <w:noWrap/>
            <w:hideMark/>
          </w:tcPr>
          <w:p w14:paraId="27892BD9" w14:textId="77777777" w:rsidR="001F516D" w:rsidRPr="001808B1" w:rsidRDefault="001F516D" w:rsidP="00611501">
            <w:pPr>
              <w:pStyle w:val="Tabletext"/>
              <w:keepNext/>
            </w:pPr>
            <w:r w:rsidRPr="001808B1">
              <w:t>6%</w:t>
            </w:r>
          </w:p>
        </w:tc>
        <w:tc>
          <w:tcPr>
            <w:tcW w:w="1164" w:type="dxa"/>
            <w:tcBorders>
              <w:top w:val="nil"/>
              <w:left w:val="nil"/>
              <w:right w:val="single" w:sz="4" w:space="0" w:color="auto"/>
            </w:tcBorders>
            <w:shd w:val="clear" w:color="auto" w:fill="auto"/>
            <w:noWrap/>
            <w:hideMark/>
          </w:tcPr>
          <w:p w14:paraId="5463FC3F" w14:textId="77777777" w:rsidR="001F516D" w:rsidRPr="001808B1" w:rsidRDefault="001F516D" w:rsidP="00611501">
            <w:pPr>
              <w:pStyle w:val="Tabletext"/>
              <w:keepNext/>
            </w:pPr>
            <w:r w:rsidRPr="001808B1">
              <w:t>5%</w:t>
            </w:r>
          </w:p>
        </w:tc>
        <w:tc>
          <w:tcPr>
            <w:tcW w:w="1337" w:type="dxa"/>
            <w:tcBorders>
              <w:top w:val="nil"/>
              <w:left w:val="nil"/>
              <w:right w:val="single" w:sz="4" w:space="0" w:color="auto"/>
            </w:tcBorders>
            <w:shd w:val="clear" w:color="auto" w:fill="auto"/>
            <w:noWrap/>
            <w:hideMark/>
          </w:tcPr>
          <w:p w14:paraId="1AD0E39E" w14:textId="77777777" w:rsidR="001F516D" w:rsidRPr="001808B1" w:rsidRDefault="001F516D" w:rsidP="00611501">
            <w:pPr>
              <w:pStyle w:val="Tabletext"/>
              <w:keepNext/>
            </w:pPr>
            <w:r w:rsidRPr="001808B1">
              <w:t>0%</w:t>
            </w:r>
          </w:p>
        </w:tc>
      </w:tr>
      <w:tr w:rsidR="001F516D" w:rsidRPr="001808B1" w14:paraId="37F33456" w14:textId="77777777" w:rsidTr="00576B4F">
        <w:trPr>
          <w:trHeight w:val="20"/>
        </w:trPr>
        <w:tc>
          <w:tcPr>
            <w:tcW w:w="4267" w:type="dxa"/>
            <w:tcBorders>
              <w:top w:val="nil"/>
              <w:left w:val="single" w:sz="4" w:space="0" w:color="auto"/>
              <w:right w:val="single" w:sz="4" w:space="0" w:color="auto"/>
            </w:tcBorders>
            <w:shd w:val="clear" w:color="auto" w:fill="auto"/>
            <w:noWrap/>
            <w:hideMark/>
          </w:tcPr>
          <w:p w14:paraId="00699C1C" w14:textId="77777777" w:rsidR="001F516D" w:rsidRPr="001808B1" w:rsidRDefault="0081496A" w:rsidP="00611501">
            <w:pPr>
              <w:pStyle w:val="Tabletext"/>
              <w:keepNext/>
            </w:pPr>
            <w:r>
              <w:t>FF/UMEC/VI 200/62.5/25</w:t>
            </w:r>
            <w:r w:rsidR="001F516D" w:rsidRPr="001808B1">
              <w:t xml:space="preserve"> mcg</w:t>
            </w:r>
          </w:p>
        </w:tc>
        <w:tc>
          <w:tcPr>
            <w:tcW w:w="1258" w:type="dxa"/>
            <w:tcBorders>
              <w:top w:val="nil"/>
              <w:left w:val="nil"/>
              <w:right w:val="single" w:sz="4" w:space="0" w:color="auto"/>
            </w:tcBorders>
            <w:shd w:val="clear" w:color="auto" w:fill="auto"/>
            <w:noWrap/>
            <w:hideMark/>
          </w:tcPr>
          <w:p w14:paraId="6E96A01B" w14:textId="77777777" w:rsidR="001F516D" w:rsidRPr="001808B1" w:rsidRDefault="001F516D" w:rsidP="00611501">
            <w:pPr>
              <w:pStyle w:val="Tabletext"/>
              <w:keepNext/>
            </w:pPr>
            <w:r w:rsidRPr="001808B1">
              <w:t>53%</w:t>
            </w:r>
          </w:p>
        </w:tc>
        <w:tc>
          <w:tcPr>
            <w:tcW w:w="991" w:type="dxa"/>
            <w:tcBorders>
              <w:top w:val="nil"/>
              <w:left w:val="nil"/>
              <w:right w:val="single" w:sz="4" w:space="0" w:color="auto"/>
            </w:tcBorders>
            <w:shd w:val="clear" w:color="auto" w:fill="auto"/>
            <w:noWrap/>
            <w:hideMark/>
          </w:tcPr>
          <w:p w14:paraId="23892605" w14:textId="77777777" w:rsidR="001F516D" w:rsidRPr="001808B1" w:rsidRDefault="001F516D" w:rsidP="00611501">
            <w:pPr>
              <w:pStyle w:val="Tabletext"/>
              <w:keepNext/>
            </w:pPr>
            <w:r w:rsidRPr="001808B1">
              <w:t>5%</w:t>
            </w:r>
          </w:p>
        </w:tc>
        <w:tc>
          <w:tcPr>
            <w:tcW w:w="1164" w:type="dxa"/>
            <w:tcBorders>
              <w:top w:val="nil"/>
              <w:left w:val="nil"/>
              <w:right w:val="single" w:sz="4" w:space="0" w:color="auto"/>
            </w:tcBorders>
            <w:shd w:val="clear" w:color="auto" w:fill="auto"/>
            <w:noWrap/>
            <w:hideMark/>
          </w:tcPr>
          <w:p w14:paraId="5F845991" w14:textId="77777777" w:rsidR="001F516D" w:rsidRPr="001808B1" w:rsidRDefault="001F516D" w:rsidP="00611501">
            <w:pPr>
              <w:pStyle w:val="Tabletext"/>
              <w:keepNext/>
            </w:pPr>
            <w:r w:rsidRPr="001808B1">
              <w:t>5%</w:t>
            </w:r>
          </w:p>
        </w:tc>
        <w:tc>
          <w:tcPr>
            <w:tcW w:w="1337" w:type="dxa"/>
            <w:tcBorders>
              <w:top w:val="nil"/>
              <w:left w:val="nil"/>
              <w:right w:val="single" w:sz="4" w:space="0" w:color="auto"/>
            </w:tcBorders>
            <w:shd w:val="clear" w:color="auto" w:fill="auto"/>
            <w:noWrap/>
            <w:hideMark/>
          </w:tcPr>
          <w:p w14:paraId="736D0203" w14:textId="77777777" w:rsidR="001F516D" w:rsidRPr="001808B1" w:rsidRDefault="001F516D" w:rsidP="00611501">
            <w:pPr>
              <w:pStyle w:val="Tabletext"/>
              <w:keepNext/>
            </w:pPr>
            <w:r w:rsidRPr="001808B1">
              <w:t>0%</w:t>
            </w:r>
          </w:p>
        </w:tc>
      </w:tr>
      <w:tr w:rsidR="001F516D" w:rsidRPr="001808B1" w14:paraId="7D5B3611" w14:textId="77777777" w:rsidTr="00576B4F">
        <w:trPr>
          <w:trHeight w:val="20"/>
        </w:trPr>
        <w:tc>
          <w:tcPr>
            <w:tcW w:w="4267" w:type="dxa"/>
            <w:tcBorders>
              <w:left w:val="single" w:sz="4" w:space="0" w:color="auto"/>
              <w:bottom w:val="single" w:sz="4" w:space="0" w:color="auto"/>
              <w:right w:val="single" w:sz="4" w:space="0" w:color="auto"/>
            </w:tcBorders>
            <w:shd w:val="clear" w:color="auto" w:fill="auto"/>
            <w:noWrap/>
            <w:hideMark/>
          </w:tcPr>
          <w:p w14:paraId="082B9BD7" w14:textId="77777777" w:rsidR="001F516D" w:rsidRPr="001808B1" w:rsidRDefault="001F516D" w:rsidP="00611501">
            <w:pPr>
              <w:pStyle w:val="Tabletext"/>
              <w:keepNext/>
            </w:pPr>
            <w:r w:rsidRPr="001808B1">
              <w:t>FF/VI 200/25 mcg</w:t>
            </w:r>
          </w:p>
        </w:tc>
        <w:tc>
          <w:tcPr>
            <w:tcW w:w="1258" w:type="dxa"/>
            <w:tcBorders>
              <w:left w:val="nil"/>
              <w:bottom w:val="single" w:sz="4" w:space="0" w:color="auto"/>
              <w:right w:val="single" w:sz="4" w:space="0" w:color="auto"/>
            </w:tcBorders>
            <w:shd w:val="clear" w:color="auto" w:fill="auto"/>
            <w:noWrap/>
            <w:hideMark/>
          </w:tcPr>
          <w:p w14:paraId="0C063D5B" w14:textId="77777777" w:rsidR="001F516D" w:rsidRPr="001808B1" w:rsidRDefault="001F516D" w:rsidP="00611501">
            <w:pPr>
              <w:pStyle w:val="Tabletext"/>
              <w:keepNext/>
            </w:pPr>
            <w:r w:rsidRPr="001808B1">
              <w:t>52%</w:t>
            </w:r>
          </w:p>
        </w:tc>
        <w:tc>
          <w:tcPr>
            <w:tcW w:w="991" w:type="dxa"/>
            <w:tcBorders>
              <w:left w:val="nil"/>
              <w:bottom w:val="single" w:sz="4" w:space="0" w:color="auto"/>
              <w:right w:val="single" w:sz="4" w:space="0" w:color="auto"/>
            </w:tcBorders>
            <w:shd w:val="clear" w:color="auto" w:fill="auto"/>
            <w:noWrap/>
            <w:hideMark/>
          </w:tcPr>
          <w:p w14:paraId="666C9303" w14:textId="77777777" w:rsidR="001F516D" w:rsidRPr="001808B1" w:rsidRDefault="001F516D" w:rsidP="00611501">
            <w:pPr>
              <w:pStyle w:val="Tabletext"/>
              <w:keepNext/>
            </w:pPr>
            <w:r w:rsidRPr="001808B1">
              <w:t>5%</w:t>
            </w:r>
          </w:p>
        </w:tc>
        <w:tc>
          <w:tcPr>
            <w:tcW w:w="1164" w:type="dxa"/>
            <w:tcBorders>
              <w:left w:val="nil"/>
              <w:bottom w:val="single" w:sz="4" w:space="0" w:color="auto"/>
              <w:right w:val="single" w:sz="4" w:space="0" w:color="auto"/>
            </w:tcBorders>
            <w:shd w:val="clear" w:color="auto" w:fill="auto"/>
            <w:noWrap/>
            <w:hideMark/>
          </w:tcPr>
          <w:p w14:paraId="6E50DAD0" w14:textId="77777777" w:rsidR="001F516D" w:rsidRPr="001808B1" w:rsidRDefault="001F516D" w:rsidP="00611501">
            <w:pPr>
              <w:pStyle w:val="Tabletext"/>
              <w:keepNext/>
            </w:pPr>
            <w:r w:rsidRPr="001808B1">
              <w:t>4%</w:t>
            </w:r>
          </w:p>
        </w:tc>
        <w:tc>
          <w:tcPr>
            <w:tcW w:w="1337" w:type="dxa"/>
            <w:tcBorders>
              <w:left w:val="nil"/>
              <w:bottom w:val="single" w:sz="4" w:space="0" w:color="auto"/>
              <w:right w:val="single" w:sz="4" w:space="0" w:color="auto"/>
            </w:tcBorders>
            <w:shd w:val="clear" w:color="auto" w:fill="auto"/>
            <w:noWrap/>
            <w:hideMark/>
          </w:tcPr>
          <w:p w14:paraId="2EE76004" w14:textId="77777777" w:rsidR="001F516D" w:rsidRPr="001808B1" w:rsidRDefault="001F516D" w:rsidP="00611501">
            <w:pPr>
              <w:pStyle w:val="Tabletext"/>
              <w:keepNext/>
            </w:pPr>
            <w:r w:rsidRPr="001808B1">
              <w:t>0%</w:t>
            </w:r>
          </w:p>
        </w:tc>
      </w:tr>
      <w:tr w:rsidR="001F516D" w:rsidRPr="001808B1" w14:paraId="25C55E55" w14:textId="77777777" w:rsidTr="00576B4F">
        <w:trPr>
          <w:trHeight w:val="20"/>
        </w:trPr>
        <w:tc>
          <w:tcPr>
            <w:tcW w:w="4267" w:type="dxa"/>
            <w:tcBorders>
              <w:top w:val="single" w:sz="4" w:space="0" w:color="auto"/>
              <w:left w:val="single" w:sz="4" w:space="0" w:color="auto"/>
              <w:bottom w:val="nil"/>
              <w:right w:val="single" w:sz="4" w:space="0" w:color="auto"/>
            </w:tcBorders>
            <w:shd w:val="clear" w:color="auto" w:fill="auto"/>
            <w:noWrap/>
            <w:hideMark/>
          </w:tcPr>
          <w:p w14:paraId="2F36285B" w14:textId="77777777" w:rsidR="001F516D" w:rsidRPr="001808B1" w:rsidRDefault="001F516D" w:rsidP="00611501">
            <w:pPr>
              <w:pStyle w:val="Tabletext"/>
              <w:keepNext/>
              <w:rPr>
                <w:b/>
              </w:rPr>
            </w:pPr>
            <w:r w:rsidRPr="001808B1">
              <w:rPr>
                <w:b/>
              </w:rPr>
              <w:t>PrimoTinA1</w:t>
            </w:r>
          </w:p>
        </w:tc>
        <w:tc>
          <w:tcPr>
            <w:tcW w:w="1258" w:type="dxa"/>
            <w:tcBorders>
              <w:top w:val="single" w:sz="4" w:space="0" w:color="auto"/>
              <w:left w:val="nil"/>
              <w:bottom w:val="nil"/>
              <w:right w:val="single" w:sz="4" w:space="0" w:color="auto"/>
            </w:tcBorders>
            <w:shd w:val="clear" w:color="auto" w:fill="auto"/>
            <w:noWrap/>
            <w:hideMark/>
          </w:tcPr>
          <w:p w14:paraId="4BB70067" w14:textId="77777777" w:rsidR="001F516D" w:rsidRPr="001808B1" w:rsidRDefault="001F516D" w:rsidP="00611501">
            <w:pPr>
              <w:pStyle w:val="Tabletext"/>
              <w:keepNext/>
              <w:rPr>
                <w:bCs/>
              </w:rPr>
            </w:pPr>
          </w:p>
        </w:tc>
        <w:tc>
          <w:tcPr>
            <w:tcW w:w="991" w:type="dxa"/>
            <w:tcBorders>
              <w:top w:val="single" w:sz="4" w:space="0" w:color="auto"/>
              <w:left w:val="nil"/>
              <w:bottom w:val="nil"/>
              <w:right w:val="single" w:sz="4" w:space="0" w:color="auto"/>
            </w:tcBorders>
            <w:shd w:val="clear" w:color="auto" w:fill="auto"/>
            <w:noWrap/>
            <w:hideMark/>
          </w:tcPr>
          <w:p w14:paraId="469744FC" w14:textId="77777777" w:rsidR="001F516D" w:rsidRPr="001808B1" w:rsidRDefault="001F516D" w:rsidP="00611501">
            <w:pPr>
              <w:pStyle w:val="Tabletext"/>
              <w:keepNext/>
              <w:rPr>
                <w:bCs/>
              </w:rPr>
            </w:pPr>
          </w:p>
        </w:tc>
        <w:tc>
          <w:tcPr>
            <w:tcW w:w="1164" w:type="dxa"/>
            <w:tcBorders>
              <w:top w:val="single" w:sz="4" w:space="0" w:color="auto"/>
              <w:left w:val="nil"/>
              <w:bottom w:val="nil"/>
              <w:right w:val="single" w:sz="4" w:space="0" w:color="auto"/>
            </w:tcBorders>
            <w:shd w:val="clear" w:color="auto" w:fill="auto"/>
            <w:noWrap/>
            <w:hideMark/>
          </w:tcPr>
          <w:p w14:paraId="343E6205" w14:textId="77777777" w:rsidR="001F516D" w:rsidRPr="001808B1" w:rsidRDefault="001F516D" w:rsidP="00611501">
            <w:pPr>
              <w:pStyle w:val="Tabletext"/>
              <w:keepNext/>
              <w:rPr>
                <w:bCs/>
              </w:rPr>
            </w:pPr>
          </w:p>
        </w:tc>
        <w:tc>
          <w:tcPr>
            <w:tcW w:w="1337" w:type="dxa"/>
            <w:tcBorders>
              <w:top w:val="single" w:sz="4" w:space="0" w:color="auto"/>
              <w:left w:val="nil"/>
              <w:bottom w:val="nil"/>
              <w:right w:val="single" w:sz="4" w:space="0" w:color="auto"/>
            </w:tcBorders>
            <w:shd w:val="clear" w:color="auto" w:fill="auto"/>
            <w:noWrap/>
            <w:hideMark/>
          </w:tcPr>
          <w:p w14:paraId="584337ED" w14:textId="77777777" w:rsidR="002B5681" w:rsidRPr="001808B1" w:rsidRDefault="002B5681" w:rsidP="00611501">
            <w:pPr>
              <w:pStyle w:val="Tabletext"/>
              <w:keepNext/>
              <w:rPr>
                <w:bCs/>
              </w:rPr>
            </w:pPr>
          </w:p>
        </w:tc>
      </w:tr>
      <w:tr w:rsidR="001F516D" w:rsidRPr="001808B1" w14:paraId="46E1C2CE" w14:textId="77777777" w:rsidTr="00576B4F">
        <w:trPr>
          <w:trHeight w:val="20"/>
        </w:trPr>
        <w:tc>
          <w:tcPr>
            <w:tcW w:w="4267" w:type="dxa"/>
            <w:tcBorders>
              <w:top w:val="nil"/>
              <w:left w:val="single" w:sz="4" w:space="0" w:color="auto"/>
              <w:bottom w:val="nil"/>
              <w:right w:val="single" w:sz="4" w:space="0" w:color="auto"/>
            </w:tcBorders>
            <w:shd w:val="clear" w:color="auto" w:fill="auto"/>
            <w:noWrap/>
            <w:hideMark/>
          </w:tcPr>
          <w:p w14:paraId="1FC0B78D" w14:textId="77777777" w:rsidR="001F516D" w:rsidRPr="001808B1" w:rsidRDefault="001F516D" w:rsidP="00611501">
            <w:pPr>
              <w:pStyle w:val="Tabletext"/>
              <w:keepNext/>
            </w:pPr>
            <w:r w:rsidRPr="001808B1">
              <w:t>ICS/LABA (high dose) + PBO</w:t>
            </w:r>
          </w:p>
        </w:tc>
        <w:tc>
          <w:tcPr>
            <w:tcW w:w="1258" w:type="dxa"/>
            <w:tcBorders>
              <w:top w:val="nil"/>
              <w:left w:val="nil"/>
              <w:bottom w:val="nil"/>
              <w:right w:val="single" w:sz="4" w:space="0" w:color="auto"/>
            </w:tcBorders>
            <w:shd w:val="clear" w:color="auto" w:fill="auto"/>
            <w:noWrap/>
            <w:hideMark/>
          </w:tcPr>
          <w:p w14:paraId="3F4E5970" w14:textId="77777777" w:rsidR="001F516D" w:rsidRPr="001808B1" w:rsidRDefault="001F516D" w:rsidP="00611501">
            <w:pPr>
              <w:pStyle w:val="Tabletext"/>
              <w:keepNext/>
            </w:pPr>
            <w:r w:rsidRPr="001808B1">
              <w:t>77%</w:t>
            </w:r>
          </w:p>
        </w:tc>
        <w:tc>
          <w:tcPr>
            <w:tcW w:w="991" w:type="dxa"/>
            <w:tcBorders>
              <w:top w:val="nil"/>
              <w:left w:val="nil"/>
              <w:bottom w:val="nil"/>
              <w:right w:val="single" w:sz="4" w:space="0" w:color="auto"/>
            </w:tcBorders>
            <w:shd w:val="clear" w:color="auto" w:fill="auto"/>
            <w:noWrap/>
            <w:hideMark/>
          </w:tcPr>
          <w:p w14:paraId="3BCA06E3" w14:textId="77777777" w:rsidR="001F516D" w:rsidRPr="001808B1" w:rsidRDefault="001F516D" w:rsidP="00611501">
            <w:pPr>
              <w:pStyle w:val="Tabletext"/>
              <w:keepNext/>
            </w:pPr>
            <w:r w:rsidRPr="001808B1">
              <w:t>7%</w:t>
            </w:r>
          </w:p>
        </w:tc>
        <w:tc>
          <w:tcPr>
            <w:tcW w:w="1164" w:type="dxa"/>
            <w:tcBorders>
              <w:top w:val="nil"/>
              <w:left w:val="nil"/>
              <w:bottom w:val="nil"/>
              <w:right w:val="single" w:sz="4" w:space="0" w:color="auto"/>
            </w:tcBorders>
            <w:shd w:val="clear" w:color="auto" w:fill="auto"/>
            <w:noWrap/>
            <w:hideMark/>
          </w:tcPr>
          <w:p w14:paraId="50770D34" w14:textId="77777777" w:rsidR="001F516D" w:rsidRPr="001808B1" w:rsidRDefault="002B5681" w:rsidP="00611501">
            <w:pPr>
              <w:pStyle w:val="Tabletext"/>
              <w:keepNext/>
            </w:pPr>
            <w:r>
              <w:t>-</w:t>
            </w:r>
          </w:p>
        </w:tc>
        <w:tc>
          <w:tcPr>
            <w:tcW w:w="1337" w:type="dxa"/>
            <w:tcBorders>
              <w:top w:val="nil"/>
              <w:left w:val="nil"/>
              <w:bottom w:val="nil"/>
              <w:right w:val="single" w:sz="4" w:space="0" w:color="auto"/>
            </w:tcBorders>
            <w:shd w:val="clear" w:color="auto" w:fill="auto"/>
            <w:noWrap/>
            <w:hideMark/>
          </w:tcPr>
          <w:p w14:paraId="02425C76" w14:textId="77777777" w:rsidR="001F516D" w:rsidRPr="001808B1" w:rsidRDefault="002B5681" w:rsidP="00611501">
            <w:pPr>
              <w:pStyle w:val="Tabletext"/>
              <w:keepNext/>
            </w:pPr>
            <w:r>
              <w:t>-</w:t>
            </w:r>
          </w:p>
        </w:tc>
      </w:tr>
      <w:tr w:rsidR="001F516D" w:rsidRPr="001808B1" w14:paraId="4BA65D56" w14:textId="77777777" w:rsidTr="00576B4F">
        <w:trPr>
          <w:trHeight w:val="20"/>
        </w:trPr>
        <w:tc>
          <w:tcPr>
            <w:tcW w:w="4267" w:type="dxa"/>
            <w:tcBorders>
              <w:top w:val="nil"/>
              <w:left w:val="single" w:sz="4" w:space="0" w:color="auto"/>
              <w:bottom w:val="nil"/>
              <w:right w:val="single" w:sz="4" w:space="0" w:color="auto"/>
            </w:tcBorders>
            <w:shd w:val="clear" w:color="auto" w:fill="auto"/>
            <w:noWrap/>
            <w:hideMark/>
          </w:tcPr>
          <w:p w14:paraId="5DFB2B8F" w14:textId="77777777" w:rsidR="001F516D" w:rsidRPr="001808B1" w:rsidRDefault="001F516D" w:rsidP="00611501">
            <w:pPr>
              <w:pStyle w:val="Tabletext"/>
              <w:keepNext/>
            </w:pPr>
            <w:r w:rsidRPr="001808B1">
              <w:t>ICS/LABA (high dose) + TIO (5 μg) D</w:t>
            </w:r>
          </w:p>
        </w:tc>
        <w:tc>
          <w:tcPr>
            <w:tcW w:w="1258" w:type="dxa"/>
            <w:tcBorders>
              <w:top w:val="nil"/>
              <w:left w:val="nil"/>
              <w:bottom w:val="nil"/>
              <w:right w:val="single" w:sz="4" w:space="0" w:color="auto"/>
            </w:tcBorders>
            <w:shd w:val="clear" w:color="auto" w:fill="auto"/>
            <w:noWrap/>
            <w:hideMark/>
          </w:tcPr>
          <w:p w14:paraId="07C2EBD0" w14:textId="77777777" w:rsidR="001F516D" w:rsidRPr="001808B1" w:rsidRDefault="001F516D" w:rsidP="00611501">
            <w:pPr>
              <w:pStyle w:val="Tabletext"/>
              <w:keepNext/>
            </w:pPr>
            <w:r w:rsidRPr="001808B1">
              <w:t>71%</w:t>
            </w:r>
          </w:p>
        </w:tc>
        <w:tc>
          <w:tcPr>
            <w:tcW w:w="991" w:type="dxa"/>
            <w:tcBorders>
              <w:top w:val="nil"/>
              <w:left w:val="nil"/>
              <w:bottom w:val="nil"/>
              <w:right w:val="single" w:sz="4" w:space="0" w:color="auto"/>
            </w:tcBorders>
            <w:shd w:val="clear" w:color="auto" w:fill="auto"/>
            <w:noWrap/>
            <w:hideMark/>
          </w:tcPr>
          <w:p w14:paraId="5BDD3C63" w14:textId="77777777" w:rsidR="001F516D" w:rsidRPr="001808B1" w:rsidRDefault="001F516D" w:rsidP="00611501">
            <w:pPr>
              <w:pStyle w:val="Tabletext"/>
              <w:keepNext/>
            </w:pPr>
            <w:r w:rsidRPr="001808B1">
              <w:t>8%</w:t>
            </w:r>
          </w:p>
        </w:tc>
        <w:tc>
          <w:tcPr>
            <w:tcW w:w="1164" w:type="dxa"/>
            <w:tcBorders>
              <w:top w:val="nil"/>
              <w:left w:val="nil"/>
              <w:bottom w:val="nil"/>
              <w:right w:val="single" w:sz="4" w:space="0" w:color="auto"/>
            </w:tcBorders>
            <w:shd w:val="clear" w:color="auto" w:fill="auto"/>
            <w:noWrap/>
            <w:hideMark/>
          </w:tcPr>
          <w:p w14:paraId="51629A26" w14:textId="77777777" w:rsidR="001F516D" w:rsidRPr="001808B1" w:rsidRDefault="002B5681" w:rsidP="00611501">
            <w:pPr>
              <w:pStyle w:val="Tabletext"/>
              <w:keepNext/>
            </w:pPr>
            <w:r>
              <w:t>-</w:t>
            </w:r>
          </w:p>
        </w:tc>
        <w:tc>
          <w:tcPr>
            <w:tcW w:w="1337" w:type="dxa"/>
            <w:tcBorders>
              <w:top w:val="nil"/>
              <w:left w:val="nil"/>
              <w:bottom w:val="nil"/>
              <w:right w:val="single" w:sz="4" w:space="0" w:color="auto"/>
            </w:tcBorders>
            <w:shd w:val="clear" w:color="auto" w:fill="auto"/>
            <w:noWrap/>
            <w:hideMark/>
          </w:tcPr>
          <w:p w14:paraId="4EC08B21" w14:textId="77777777" w:rsidR="001F516D" w:rsidRPr="001808B1" w:rsidRDefault="002B5681" w:rsidP="00611501">
            <w:pPr>
              <w:pStyle w:val="Tabletext"/>
              <w:keepNext/>
            </w:pPr>
            <w:r>
              <w:t>-</w:t>
            </w:r>
          </w:p>
        </w:tc>
      </w:tr>
      <w:tr w:rsidR="001F516D" w:rsidRPr="001808B1" w14:paraId="3D05FD1A" w14:textId="77777777" w:rsidTr="00576B4F">
        <w:trPr>
          <w:trHeight w:val="20"/>
        </w:trPr>
        <w:tc>
          <w:tcPr>
            <w:tcW w:w="4267" w:type="dxa"/>
            <w:tcBorders>
              <w:top w:val="single" w:sz="4" w:space="0" w:color="auto"/>
              <w:left w:val="single" w:sz="4" w:space="0" w:color="auto"/>
              <w:bottom w:val="nil"/>
              <w:right w:val="single" w:sz="4" w:space="0" w:color="auto"/>
            </w:tcBorders>
            <w:shd w:val="clear" w:color="auto" w:fill="auto"/>
            <w:noWrap/>
            <w:hideMark/>
          </w:tcPr>
          <w:p w14:paraId="485778BE" w14:textId="77777777" w:rsidR="001F516D" w:rsidRPr="001808B1" w:rsidRDefault="001F516D" w:rsidP="00611501">
            <w:pPr>
              <w:pStyle w:val="Tabletext"/>
              <w:keepNext/>
              <w:rPr>
                <w:b/>
              </w:rPr>
            </w:pPr>
            <w:r w:rsidRPr="001808B1">
              <w:rPr>
                <w:b/>
              </w:rPr>
              <w:t>PrimoTinA2</w:t>
            </w:r>
          </w:p>
        </w:tc>
        <w:tc>
          <w:tcPr>
            <w:tcW w:w="1258" w:type="dxa"/>
            <w:tcBorders>
              <w:top w:val="single" w:sz="4" w:space="0" w:color="auto"/>
              <w:left w:val="nil"/>
              <w:bottom w:val="nil"/>
              <w:right w:val="single" w:sz="4" w:space="0" w:color="auto"/>
            </w:tcBorders>
            <w:shd w:val="clear" w:color="auto" w:fill="auto"/>
            <w:noWrap/>
            <w:hideMark/>
          </w:tcPr>
          <w:p w14:paraId="5EBFFC52" w14:textId="77777777" w:rsidR="001F516D" w:rsidRPr="001808B1" w:rsidRDefault="001F516D" w:rsidP="00611501">
            <w:pPr>
              <w:pStyle w:val="Tabletext"/>
              <w:keepNext/>
              <w:rPr>
                <w:bCs/>
              </w:rPr>
            </w:pPr>
          </w:p>
        </w:tc>
        <w:tc>
          <w:tcPr>
            <w:tcW w:w="991" w:type="dxa"/>
            <w:tcBorders>
              <w:top w:val="single" w:sz="4" w:space="0" w:color="auto"/>
              <w:left w:val="nil"/>
              <w:bottom w:val="nil"/>
              <w:right w:val="single" w:sz="4" w:space="0" w:color="auto"/>
            </w:tcBorders>
            <w:shd w:val="clear" w:color="auto" w:fill="auto"/>
            <w:noWrap/>
            <w:hideMark/>
          </w:tcPr>
          <w:p w14:paraId="063FB3D4" w14:textId="77777777" w:rsidR="001F516D" w:rsidRPr="001808B1" w:rsidRDefault="001F516D" w:rsidP="00611501">
            <w:pPr>
              <w:pStyle w:val="Tabletext"/>
              <w:keepNext/>
              <w:rPr>
                <w:bCs/>
              </w:rPr>
            </w:pPr>
          </w:p>
        </w:tc>
        <w:tc>
          <w:tcPr>
            <w:tcW w:w="1164" w:type="dxa"/>
            <w:tcBorders>
              <w:top w:val="single" w:sz="4" w:space="0" w:color="auto"/>
              <w:left w:val="nil"/>
              <w:bottom w:val="nil"/>
              <w:right w:val="single" w:sz="4" w:space="0" w:color="auto"/>
            </w:tcBorders>
            <w:shd w:val="clear" w:color="auto" w:fill="auto"/>
            <w:noWrap/>
            <w:hideMark/>
          </w:tcPr>
          <w:p w14:paraId="54E27DEB" w14:textId="77777777" w:rsidR="001F516D" w:rsidRPr="001808B1" w:rsidRDefault="001F516D" w:rsidP="00611501">
            <w:pPr>
              <w:pStyle w:val="Tabletext"/>
              <w:keepNext/>
              <w:rPr>
                <w:bCs/>
              </w:rPr>
            </w:pPr>
          </w:p>
        </w:tc>
        <w:tc>
          <w:tcPr>
            <w:tcW w:w="1337" w:type="dxa"/>
            <w:tcBorders>
              <w:top w:val="single" w:sz="4" w:space="0" w:color="auto"/>
              <w:left w:val="nil"/>
              <w:bottom w:val="nil"/>
              <w:right w:val="single" w:sz="4" w:space="0" w:color="auto"/>
            </w:tcBorders>
            <w:shd w:val="clear" w:color="auto" w:fill="auto"/>
            <w:noWrap/>
            <w:hideMark/>
          </w:tcPr>
          <w:p w14:paraId="1005792A" w14:textId="77777777" w:rsidR="001F516D" w:rsidRPr="001808B1" w:rsidRDefault="001F516D" w:rsidP="00611501">
            <w:pPr>
              <w:pStyle w:val="Tabletext"/>
              <w:keepNext/>
              <w:rPr>
                <w:bCs/>
              </w:rPr>
            </w:pPr>
          </w:p>
        </w:tc>
      </w:tr>
      <w:tr w:rsidR="001F516D" w:rsidRPr="001808B1" w14:paraId="04B3C115" w14:textId="77777777" w:rsidTr="00576B4F">
        <w:trPr>
          <w:trHeight w:val="20"/>
        </w:trPr>
        <w:tc>
          <w:tcPr>
            <w:tcW w:w="4267" w:type="dxa"/>
            <w:tcBorders>
              <w:top w:val="nil"/>
              <w:left w:val="single" w:sz="4" w:space="0" w:color="auto"/>
              <w:bottom w:val="nil"/>
              <w:right w:val="single" w:sz="4" w:space="0" w:color="auto"/>
            </w:tcBorders>
            <w:shd w:val="clear" w:color="auto" w:fill="auto"/>
            <w:noWrap/>
            <w:hideMark/>
          </w:tcPr>
          <w:p w14:paraId="29CB94CE" w14:textId="77777777" w:rsidR="001F516D" w:rsidRPr="001808B1" w:rsidRDefault="001F516D" w:rsidP="00611501">
            <w:pPr>
              <w:pStyle w:val="Tabletext"/>
              <w:keepNext/>
            </w:pPr>
            <w:r w:rsidRPr="001808B1">
              <w:t>ICS/LABA (high dose) + PBO</w:t>
            </w:r>
          </w:p>
        </w:tc>
        <w:tc>
          <w:tcPr>
            <w:tcW w:w="1258" w:type="dxa"/>
            <w:tcBorders>
              <w:top w:val="nil"/>
              <w:left w:val="nil"/>
              <w:bottom w:val="nil"/>
              <w:right w:val="single" w:sz="4" w:space="0" w:color="auto"/>
            </w:tcBorders>
            <w:shd w:val="clear" w:color="auto" w:fill="auto"/>
            <w:noWrap/>
            <w:hideMark/>
          </w:tcPr>
          <w:p w14:paraId="02186BD2" w14:textId="77777777" w:rsidR="001F516D" w:rsidRPr="001808B1" w:rsidRDefault="001F516D" w:rsidP="00611501">
            <w:pPr>
              <w:pStyle w:val="Tabletext"/>
              <w:keepNext/>
            </w:pPr>
            <w:r w:rsidRPr="001808B1">
              <w:t>84%</w:t>
            </w:r>
          </w:p>
        </w:tc>
        <w:tc>
          <w:tcPr>
            <w:tcW w:w="991" w:type="dxa"/>
            <w:tcBorders>
              <w:top w:val="nil"/>
              <w:left w:val="nil"/>
              <w:bottom w:val="nil"/>
              <w:right w:val="single" w:sz="4" w:space="0" w:color="auto"/>
            </w:tcBorders>
            <w:shd w:val="clear" w:color="auto" w:fill="auto"/>
            <w:noWrap/>
            <w:hideMark/>
          </w:tcPr>
          <w:p w14:paraId="7DED079D" w14:textId="77777777" w:rsidR="001F516D" w:rsidRPr="001808B1" w:rsidRDefault="001F516D" w:rsidP="00611501">
            <w:pPr>
              <w:pStyle w:val="Tabletext"/>
              <w:keepNext/>
            </w:pPr>
            <w:r w:rsidRPr="001808B1">
              <w:t>11%</w:t>
            </w:r>
          </w:p>
        </w:tc>
        <w:tc>
          <w:tcPr>
            <w:tcW w:w="1164" w:type="dxa"/>
            <w:tcBorders>
              <w:top w:val="nil"/>
              <w:left w:val="nil"/>
              <w:bottom w:val="nil"/>
              <w:right w:val="single" w:sz="4" w:space="0" w:color="auto"/>
            </w:tcBorders>
            <w:shd w:val="clear" w:color="auto" w:fill="auto"/>
            <w:noWrap/>
            <w:hideMark/>
          </w:tcPr>
          <w:p w14:paraId="094A1850" w14:textId="77777777" w:rsidR="001F516D" w:rsidRPr="001808B1" w:rsidRDefault="002B5681" w:rsidP="00611501">
            <w:pPr>
              <w:pStyle w:val="Tabletext"/>
              <w:keepNext/>
            </w:pPr>
            <w:r>
              <w:t>-</w:t>
            </w:r>
          </w:p>
        </w:tc>
        <w:tc>
          <w:tcPr>
            <w:tcW w:w="1337" w:type="dxa"/>
            <w:tcBorders>
              <w:top w:val="nil"/>
              <w:left w:val="nil"/>
              <w:bottom w:val="nil"/>
              <w:right w:val="single" w:sz="4" w:space="0" w:color="auto"/>
            </w:tcBorders>
            <w:shd w:val="clear" w:color="auto" w:fill="auto"/>
            <w:noWrap/>
            <w:hideMark/>
          </w:tcPr>
          <w:p w14:paraId="7A936C6E" w14:textId="77777777" w:rsidR="001F516D" w:rsidRPr="001808B1" w:rsidRDefault="002B5681" w:rsidP="00611501">
            <w:pPr>
              <w:pStyle w:val="Tabletext"/>
              <w:keepNext/>
            </w:pPr>
            <w:r>
              <w:t>-</w:t>
            </w:r>
          </w:p>
        </w:tc>
      </w:tr>
      <w:tr w:rsidR="001F516D" w:rsidRPr="001808B1" w14:paraId="1AE45CC4" w14:textId="77777777" w:rsidTr="00576B4F">
        <w:trPr>
          <w:trHeight w:val="20"/>
        </w:trPr>
        <w:tc>
          <w:tcPr>
            <w:tcW w:w="4267" w:type="dxa"/>
            <w:tcBorders>
              <w:top w:val="nil"/>
              <w:left w:val="single" w:sz="4" w:space="0" w:color="auto"/>
              <w:bottom w:val="single" w:sz="4" w:space="0" w:color="auto"/>
              <w:right w:val="single" w:sz="4" w:space="0" w:color="auto"/>
            </w:tcBorders>
            <w:shd w:val="clear" w:color="auto" w:fill="auto"/>
            <w:noWrap/>
            <w:hideMark/>
          </w:tcPr>
          <w:p w14:paraId="7F0305B0" w14:textId="77777777" w:rsidR="001F516D" w:rsidRPr="001808B1" w:rsidRDefault="001F516D" w:rsidP="00611501">
            <w:pPr>
              <w:pStyle w:val="Tabletext"/>
              <w:keepNext/>
            </w:pPr>
            <w:r w:rsidRPr="001808B1">
              <w:t>ICS/LABA (high dose) + TIO (5 μg) D</w:t>
            </w:r>
          </w:p>
        </w:tc>
        <w:tc>
          <w:tcPr>
            <w:tcW w:w="1258" w:type="dxa"/>
            <w:tcBorders>
              <w:top w:val="nil"/>
              <w:left w:val="nil"/>
              <w:bottom w:val="single" w:sz="4" w:space="0" w:color="auto"/>
              <w:right w:val="single" w:sz="4" w:space="0" w:color="auto"/>
            </w:tcBorders>
            <w:shd w:val="clear" w:color="auto" w:fill="auto"/>
            <w:noWrap/>
            <w:hideMark/>
          </w:tcPr>
          <w:p w14:paraId="31FE2095" w14:textId="77777777" w:rsidR="001F516D" w:rsidRPr="001808B1" w:rsidRDefault="001F516D" w:rsidP="00611501">
            <w:pPr>
              <w:pStyle w:val="Tabletext"/>
              <w:keepNext/>
            </w:pPr>
            <w:r w:rsidRPr="001808B1">
              <w:t>77%</w:t>
            </w:r>
          </w:p>
        </w:tc>
        <w:tc>
          <w:tcPr>
            <w:tcW w:w="991" w:type="dxa"/>
            <w:tcBorders>
              <w:top w:val="nil"/>
              <w:left w:val="nil"/>
              <w:bottom w:val="single" w:sz="4" w:space="0" w:color="auto"/>
              <w:right w:val="single" w:sz="4" w:space="0" w:color="auto"/>
            </w:tcBorders>
            <w:shd w:val="clear" w:color="auto" w:fill="auto"/>
            <w:noWrap/>
            <w:hideMark/>
          </w:tcPr>
          <w:p w14:paraId="7D34C07A" w14:textId="77777777" w:rsidR="001F516D" w:rsidRPr="001808B1" w:rsidRDefault="001F516D" w:rsidP="00611501">
            <w:pPr>
              <w:pStyle w:val="Tabletext"/>
              <w:keepNext/>
            </w:pPr>
            <w:r w:rsidRPr="001808B1">
              <w:t>9%</w:t>
            </w:r>
          </w:p>
        </w:tc>
        <w:tc>
          <w:tcPr>
            <w:tcW w:w="1164" w:type="dxa"/>
            <w:tcBorders>
              <w:top w:val="nil"/>
              <w:left w:val="nil"/>
              <w:bottom w:val="single" w:sz="4" w:space="0" w:color="auto"/>
              <w:right w:val="single" w:sz="4" w:space="0" w:color="auto"/>
            </w:tcBorders>
            <w:shd w:val="clear" w:color="auto" w:fill="auto"/>
            <w:noWrap/>
            <w:hideMark/>
          </w:tcPr>
          <w:p w14:paraId="6BC90C0B" w14:textId="77777777" w:rsidR="001F516D" w:rsidRPr="001808B1" w:rsidRDefault="002B5681" w:rsidP="00611501">
            <w:pPr>
              <w:pStyle w:val="Tabletext"/>
              <w:keepNext/>
            </w:pPr>
            <w:r>
              <w:t>-</w:t>
            </w:r>
          </w:p>
        </w:tc>
        <w:tc>
          <w:tcPr>
            <w:tcW w:w="1337" w:type="dxa"/>
            <w:tcBorders>
              <w:top w:val="nil"/>
              <w:left w:val="nil"/>
              <w:bottom w:val="single" w:sz="4" w:space="0" w:color="auto"/>
              <w:right w:val="single" w:sz="4" w:space="0" w:color="auto"/>
            </w:tcBorders>
            <w:shd w:val="clear" w:color="auto" w:fill="auto"/>
            <w:noWrap/>
            <w:hideMark/>
          </w:tcPr>
          <w:p w14:paraId="1ADFE86D" w14:textId="77777777" w:rsidR="001F516D" w:rsidRPr="001808B1" w:rsidRDefault="002B5681" w:rsidP="00611501">
            <w:pPr>
              <w:pStyle w:val="Tabletext"/>
              <w:keepNext/>
            </w:pPr>
            <w:r>
              <w:t>-</w:t>
            </w:r>
          </w:p>
        </w:tc>
      </w:tr>
      <w:tr w:rsidR="001F516D" w:rsidRPr="001808B1" w14:paraId="61C42C05" w14:textId="77777777" w:rsidTr="00576B4F">
        <w:trPr>
          <w:trHeight w:val="20"/>
        </w:trPr>
        <w:tc>
          <w:tcPr>
            <w:tcW w:w="4267" w:type="dxa"/>
            <w:tcBorders>
              <w:top w:val="single" w:sz="4" w:space="0" w:color="auto"/>
              <w:left w:val="single" w:sz="4" w:space="0" w:color="auto"/>
              <w:bottom w:val="nil"/>
              <w:right w:val="single" w:sz="4" w:space="0" w:color="auto"/>
            </w:tcBorders>
            <w:shd w:val="clear" w:color="auto" w:fill="auto"/>
            <w:noWrap/>
            <w:hideMark/>
          </w:tcPr>
          <w:p w14:paraId="45C78366" w14:textId="77777777" w:rsidR="002B5681" w:rsidRPr="002B5681" w:rsidRDefault="002B5681" w:rsidP="00611501">
            <w:pPr>
              <w:pStyle w:val="Tabletext"/>
              <w:keepNext/>
              <w:rPr>
                <w:b/>
                <w:bCs/>
              </w:rPr>
            </w:pPr>
            <w:r w:rsidRPr="002B5681">
              <w:rPr>
                <w:b/>
                <w:bCs/>
              </w:rPr>
              <w:t>TRIGGER</w:t>
            </w:r>
          </w:p>
          <w:p w14:paraId="1208C2BD" w14:textId="77777777" w:rsidR="001F516D" w:rsidRPr="001808B1" w:rsidRDefault="001F516D" w:rsidP="00611501">
            <w:pPr>
              <w:pStyle w:val="Tabletext"/>
              <w:keepNext/>
            </w:pPr>
            <w:r w:rsidRPr="001808B1">
              <w:t>BDP/FOR (200/6 μg) 2 inhalations BD</w:t>
            </w:r>
          </w:p>
        </w:tc>
        <w:tc>
          <w:tcPr>
            <w:tcW w:w="1258" w:type="dxa"/>
            <w:tcBorders>
              <w:top w:val="single" w:sz="4" w:space="0" w:color="auto"/>
              <w:left w:val="nil"/>
              <w:bottom w:val="nil"/>
              <w:right w:val="single" w:sz="4" w:space="0" w:color="auto"/>
            </w:tcBorders>
            <w:shd w:val="clear" w:color="auto" w:fill="auto"/>
            <w:noWrap/>
            <w:hideMark/>
          </w:tcPr>
          <w:p w14:paraId="7523889A" w14:textId="77777777" w:rsidR="002B5681" w:rsidRDefault="002B5681" w:rsidP="00611501">
            <w:pPr>
              <w:pStyle w:val="Tabletext"/>
              <w:keepNext/>
            </w:pPr>
          </w:p>
          <w:p w14:paraId="6F3C61C5" w14:textId="77777777" w:rsidR="001F516D" w:rsidRPr="001808B1" w:rsidRDefault="001F516D" w:rsidP="00611501">
            <w:pPr>
              <w:pStyle w:val="Tabletext"/>
              <w:keepNext/>
            </w:pPr>
            <w:r w:rsidRPr="001808B1">
              <w:t>77%</w:t>
            </w:r>
          </w:p>
        </w:tc>
        <w:tc>
          <w:tcPr>
            <w:tcW w:w="991" w:type="dxa"/>
            <w:tcBorders>
              <w:top w:val="single" w:sz="4" w:space="0" w:color="auto"/>
              <w:left w:val="nil"/>
              <w:bottom w:val="nil"/>
              <w:right w:val="single" w:sz="4" w:space="0" w:color="auto"/>
            </w:tcBorders>
            <w:shd w:val="clear" w:color="auto" w:fill="auto"/>
            <w:noWrap/>
            <w:hideMark/>
          </w:tcPr>
          <w:p w14:paraId="7A7FBD12" w14:textId="77777777" w:rsidR="002B5681" w:rsidRDefault="002B5681" w:rsidP="00611501">
            <w:pPr>
              <w:pStyle w:val="Tabletext"/>
              <w:keepNext/>
            </w:pPr>
          </w:p>
          <w:p w14:paraId="11855B25" w14:textId="77777777" w:rsidR="001F516D" w:rsidRPr="001808B1" w:rsidRDefault="001F516D" w:rsidP="00611501">
            <w:pPr>
              <w:pStyle w:val="Tabletext"/>
              <w:keepNext/>
            </w:pPr>
            <w:r w:rsidRPr="001808B1">
              <w:t>16%</w:t>
            </w:r>
          </w:p>
        </w:tc>
        <w:tc>
          <w:tcPr>
            <w:tcW w:w="1164" w:type="dxa"/>
            <w:tcBorders>
              <w:top w:val="single" w:sz="4" w:space="0" w:color="auto"/>
              <w:left w:val="nil"/>
              <w:bottom w:val="nil"/>
              <w:right w:val="single" w:sz="4" w:space="0" w:color="auto"/>
            </w:tcBorders>
            <w:shd w:val="clear" w:color="auto" w:fill="auto"/>
            <w:noWrap/>
            <w:hideMark/>
          </w:tcPr>
          <w:p w14:paraId="44065ACE" w14:textId="77777777" w:rsidR="002B5681" w:rsidRDefault="002B5681" w:rsidP="00611501">
            <w:pPr>
              <w:pStyle w:val="Tabletext"/>
              <w:keepNext/>
            </w:pPr>
          </w:p>
          <w:p w14:paraId="42D66BCD" w14:textId="77777777" w:rsidR="001F516D" w:rsidRPr="001808B1" w:rsidRDefault="001F516D" w:rsidP="00611501">
            <w:pPr>
              <w:pStyle w:val="Tabletext"/>
              <w:keepNext/>
            </w:pPr>
            <w:r w:rsidRPr="001808B1">
              <w:t>4%</w:t>
            </w:r>
          </w:p>
        </w:tc>
        <w:tc>
          <w:tcPr>
            <w:tcW w:w="1337" w:type="dxa"/>
            <w:tcBorders>
              <w:top w:val="single" w:sz="4" w:space="0" w:color="auto"/>
              <w:left w:val="nil"/>
              <w:bottom w:val="nil"/>
              <w:right w:val="single" w:sz="4" w:space="0" w:color="auto"/>
            </w:tcBorders>
            <w:shd w:val="clear" w:color="auto" w:fill="auto"/>
            <w:noWrap/>
            <w:hideMark/>
          </w:tcPr>
          <w:p w14:paraId="36F25E95" w14:textId="77777777" w:rsidR="002B5681" w:rsidRDefault="002B5681" w:rsidP="00611501">
            <w:pPr>
              <w:pStyle w:val="Tabletext"/>
              <w:keepNext/>
            </w:pPr>
          </w:p>
          <w:p w14:paraId="0B233C12" w14:textId="77777777" w:rsidR="001F516D" w:rsidRPr="001808B1" w:rsidRDefault="001F516D" w:rsidP="00611501">
            <w:pPr>
              <w:pStyle w:val="Tabletext"/>
              <w:keepNext/>
            </w:pPr>
            <w:r w:rsidRPr="001808B1">
              <w:t>0%</w:t>
            </w:r>
          </w:p>
        </w:tc>
      </w:tr>
      <w:tr w:rsidR="001F516D" w:rsidRPr="001808B1" w14:paraId="56371E6E" w14:textId="77777777" w:rsidTr="00576B4F">
        <w:trPr>
          <w:trHeight w:val="20"/>
        </w:trPr>
        <w:tc>
          <w:tcPr>
            <w:tcW w:w="4267" w:type="dxa"/>
            <w:tcBorders>
              <w:top w:val="nil"/>
              <w:left w:val="single" w:sz="4" w:space="0" w:color="auto"/>
              <w:bottom w:val="nil"/>
              <w:right w:val="single" w:sz="4" w:space="0" w:color="auto"/>
            </w:tcBorders>
            <w:shd w:val="clear" w:color="auto" w:fill="auto"/>
            <w:noWrap/>
            <w:hideMark/>
          </w:tcPr>
          <w:p w14:paraId="3DD99F79" w14:textId="77777777" w:rsidR="001F516D" w:rsidRPr="001808B1" w:rsidRDefault="001F516D" w:rsidP="00611501">
            <w:pPr>
              <w:pStyle w:val="Tabletext"/>
              <w:keepNext/>
            </w:pPr>
            <w:r w:rsidRPr="001808B1">
              <w:t>BDP/FOR (200/6 μg) 2 inhalations BD + TIO (2.5 μg) 2 inhalations D</w:t>
            </w:r>
          </w:p>
        </w:tc>
        <w:tc>
          <w:tcPr>
            <w:tcW w:w="1258" w:type="dxa"/>
            <w:tcBorders>
              <w:top w:val="nil"/>
              <w:left w:val="nil"/>
              <w:bottom w:val="nil"/>
              <w:right w:val="single" w:sz="4" w:space="0" w:color="auto"/>
            </w:tcBorders>
            <w:shd w:val="clear" w:color="auto" w:fill="auto"/>
            <w:noWrap/>
            <w:hideMark/>
          </w:tcPr>
          <w:p w14:paraId="60C7AEC2" w14:textId="77777777" w:rsidR="001F516D" w:rsidRPr="001808B1" w:rsidRDefault="001F516D" w:rsidP="00611501">
            <w:pPr>
              <w:pStyle w:val="Tabletext"/>
              <w:keepNext/>
            </w:pPr>
            <w:r w:rsidRPr="001808B1">
              <w:t>73%</w:t>
            </w:r>
          </w:p>
        </w:tc>
        <w:tc>
          <w:tcPr>
            <w:tcW w:w="991" w:type="dxa"/>
            <w:tcBorders>
              <w:top w:val="nil"/>
              <w:left w:val="nil"/>
              <w:bottom w:val="nil"/>
              <w:right w:val="single" w:sz="4" w:space="0" w:color="auto"/>
            </w:tcBorders>
            <w:shd w:val="clear" w:color="auto" w:fill="auto"/>
            <w:noWrap/>
            <w:hideMark/>
          </w:tcPr>
          <w:p w14:paraId="67884574" w14:textId="77777777" w:rsidR="001F516D" w:rsidRPr="001808B1" w:rsidRDefault="001F516D" w:rsidP="00611501">
            <w:pPr>
              <w:pStyle w:val="Tabletext"/>
              <w:keepNext/>
            </w:pPr>
            <w:r w:rsidRPr="001808B1">
              <w:t>10%</w:t>
            </w:r>
          </w:p>
        </w:tc>
        <w:tc>
          <w:tcPr>
            <w:tcW w:w="1164" w:type="dxa"/>
            <w:tcBorders>
              <w:top w:val="nil"/>
              <w:left w:val="nil"/>
              <w:bottom w:val="nil"/>
              <w:right w:val="single" w:sz="4" w:space="0" w:color="auto"/>
            </w:tcBorders>
            <w:shd w:val="clear" w:color="auto" w:fill="auto"/>
            <w:noWrap/>
            <w:hideMark/>
          </w:tcPr>
          <w:p w14:paraId="71DD7271" w14:textId="77777777" w:rsidR="001F516D" w:rsidRPr="001808B1" w:rsidRDefault="001F516D" w:rsidP="00611501">
            <w:pPr>
              <w:pStyle w:val="Tabletext"/>
              <w:keepNext/>
            </w:pPr>
            <w:r w:rsidRPr="001808B1">
              <w:t>6%</w:t>
            </w:r>
          </w:p>
        </w:tc>
        <w:tc>
          <w:tcPr>
            <w:tcW w:w="1337" w:type="dxa"/>
            <w:tcBorders>
              <w:top w:val="nil"/>
              <w:left w:val="nil"/>
              <w:bottom w:val="nil"/>
              <w:right w:val="single" w:sz="4" w:space="0" w:color="auto"/>
            </w:tcBorders>
            <w:shd w:val="clear" w:color="auto" w:fill="auto"/>
            <w:noWrap/>
            <w:hideMark/>
          </w:tcPr>
          <w:p w14:paraId="577C4A31" w14:textId="77777777" w:rsidR="001F516D" w:rsidRPr="001808B1" w:rsidRDefault="001F516D" w:rsidP="00611501">
            <w:pPr>
              <w:pStyle w:val="Tabletext"/>
              <w:keepNext/>
            </w:pPr>
            <w:r w:rsidRPr="001808B1">
              <w:t>0%</w:t>
            </w:r>
          </w:p>
        </w:tc>
      </w:tr>
      <w:tr w:rsidR="001F516D" w:rsidRPr="001808B1" w14:paraId="77094980" w14:textId="77777777" w:rsidTr="00576B4F">
        <w:trPr>
          <w:trHeight w:val="20"/>
        </w:trPr>
        <w:tc>
          <w:tcPr>
            <w:tcW w:w="4267" w:type="dxa"/>
            <w:tcBorders>
              <w:top w:val="nil"/>
              <w:left w:val="single" w:sz="4" w:space="0" w:color="auto"/>
              <w:bottom w:val="single" w:sz="4" w:space="0" w:color="auto"/>
              <w:right w:val="single" w:sz="4" w:space="0" w:color="auto"/>
            </w:tcBorders>
            <w:shd w:val="clear" w:color="auto" w:fill="auto"/>
            <w:noWrap/>
            <w:hideMark/>
          </w:tcPr>
          <w:p w14:paraId="1B9739A1" w14:textId="77777777" w:rsidR="001F516D" w:rsidRPr="001808B1" w:rsidRDefault="001F516D" w:rsidP="00611501">
            <w:pPr>
              <w:pStyle w:val="Tabletext"/>
              <w:keepNext/>
            </w:pPr>
            <w:r w:rsidRPr="001808B1">
              <w:t>BDP/FOR/GLY (200/6/10 μg) 2 inhalations BD</w:t>
            </w:r>
          </w:p>
        </w:tc>
        <w:tc>
          <w:tcPr>
            <w:tcW w:w="1258" w:type="dxa"/>
            <w:tcBorders>
              <w:top w:val="nil"/>
              <w:left w:val="nil"/>
              <w:bottom w:val="single" w:sz="4" w:space="0" w:color="auto"/>
              <w:right w:val="single" w:sz="4" w:space="0" w:color="auto"/>
            </w:tcBorders>
            <w:shd w:val="clear" w:color="auto" w:fill="auto"/>
            <w:noWrap/>
            <w:hideMark/>
          </w:tcPr>
          <w:p w14:paraId="138A9CE6" w14:textId="77777777" w:rsidR="001F516D" w:rsidRPr="001808B1" w:rsidRDefault="001F516D" w:rsidP="00611501">
            <w:pPr>
              <w:pStyle w:val="Tabletext"/>
              <w:keepNext/>
            </w:pPr>
            <w:r w:rsidRPr="001808B1">
              <w:t>72%</w:t>
            </w:r>
          </w:p>
        </w:tc>
        <w:tc>
          <w:tcPr>
            <w:tcW w:w="991" w:type="dxa"/>
            <w:tcBorders>
              <w:top w:val="nil"/>
              <w:left w:val="nil"/>
              <w:bottom w:val="single" w:sz="4" w:space="0" w:color="auto"/>
              <w:right w:val="single" w:sz="4" w:space="0" w:color="auto"/>
            </w:tcBorders>
            <w:shd w:val="clear" w:color="auto" w:fill="auto"/>
            <w:noWrap/>
            <w:hideMark/>
          </w:tcPr>
          <w:p w14:paraId="47B1DB00" w14:textId="77777777" w:rsidR="001F516D" w:rsidRPr="001808B1" w:rsidRDefault="001F516D" w:rsidP="00611501">
            <w:pPr>
              <w:pStyle w:val="Tabletext"/>
              <w:keepNext/>
            </w:pPr>
            <w:r w:rsidRPr="001808B1">
              <w:t>11%</w:t>
            </w:r>
          </w:p>
        </w:tc>
        <w:tc>
          <w:tcPr>
            <w:tcW w:w="1164" w:type="dxa"/>
            <w:tcBorders>
              <w:top w:val="nil"/>
              <w:left w:val="nil"/>
              <w:bottom w:val="single" w:sz="4" w:space="0" w:color="auto"/>
              <w:right w:val="single" w:sz="4" w:space="0" w:color="auto"/>
            </w:tcBorders>
            <w:shd w:val="clear" w:color="auto" w:fill="auto"/>
            <w:noWrap/>
            <w:hideMark/>
          </w:tcPr>
          <w:p w14:paraId="0D2B78BA" w14:textId="77777777" w:rsidR="001F516D" w:rsidRPr="001808B1" w:rsidRDefault="001F516D" w:rsidP="00611501">
            <w:pPr>
              <w:pStyle w:val="Tabletext"/>
              <w:keepNext/>
            </w:pPr>
            <w:r w:rsidRPr="001808B1">
              <w:t>5%</w:t>
            </w:r>
          </w:p>
        </w:tc>
        <w:tc>
          <w:tcPr>
            <w:tcW w:w="1337" w:type="dxa"/>
            <w:tcBorders>
              <w:top w:val="nil"/>
              <w:left w:val="nil"/>
              <w:bottom w:val="single" w:sz="4" w:space="0" w:color="auto"/>
              <w:right w:val="single" w:sz="4" w:space="0" w:color="auto"/>
            </w:tcBorders>
            <w:shd w:val="clear" w:color="auto" w:fill="auto"/>
            <w:noWrap/>
            <w:hideMark/>
          </w:tcPr>
          <w:p w14:paraId="57C3365C" w14:textId="77777777" w:rsidR="001F516D" w:rsidRPr="001808B1" w:rsidRDefault="001F516D" w:rsidP="00611501">
            <w:pPr>
              <w:pStyle w:val="Tabletext"/>
              <w:keepNext/>
            </w:pPr>
            <w:r w:rsidRPr="001808B1">
              <w:t>0%</w:t>
            </w:r>
          </w:p>
        </w:tc>
      </w:tr>
    </w:tbl>
    <w:p w14:paraId="3A55AAC9" w14:textId="77777777" w:rsidR="001F516D" w:rsidRPr="001808B1" w:rsidRDefault="001F516D" w:rsidP="00611501">
      <w:pPr>
        <w:keepNext/>
        <w:rPr>
          <w:rStyle w:val="TableFigureFooterChar"/>
          <w:rFonts w:eastAsia="MS Gothic"/>
        </w:rPr>
      </w:pPr>
      <w:r w:rsidRPr="001808B1">
        <w:rPr>
          <w:rStyle w:val="TableFigureFooterChar"/>
          <w:rFonts w:eastAsia="MS Gothic"/>
        </w:rPr>
        <w:t>Source: Table 75, p154 of the submission</w:t>
      </w:r>
    </w:p>
    <w:p w14:paraId="0385C175" w14:textId="77777777" w:rsidR="001F516D" w:rsidRDefault="001F516D" w:rsidP="00611501">
      <w:pPr>
        <w:pStyle w:val="TableFigureHeading"/>
        <w:rPr>
          <w:rStyle w:val="TableFigureFooterChar"/>
          <w:rFonts w:eastAsia="MS Gothic"/>
          <w:b w:val="0"/>
          <w:bCs w:val="0"/>
        </w:rPr>
      </w:pPr>
      <w:r w:rsidRPr="001808B1">
        <w:rPr>
          <w:rStyle w:val="TableFigureFooterChar"/>
          <w:rFonts w:eastAsia="MS Gothic"/>
          <w:b w:val="0"/>
          <w:bCs w:val="0"/>
        </w:rPr>
        <w:t>AE: Adverse events; BDP: beclometasone dipropionate; BD: twice daily; FF: fluticasone furoate; FOR: formoterol fumarate; FP: fluticasone propionate; GLY: glycopyrronium bromide; ICS: inhaled corticosteroid; IND: indacaterol acetate; LABA: long-acting beta agonist; MF: mometasone furoate; D: once daily; SAL: salmeterol; TIO: tiotropium; UMEC: umeclidinium; VI: vilanterol</w:t>
      </w:r>
    </w:p>
    <w:p w14:paraId="3D5B5037" w14:textId="77777777" w:rsidR="00E23C38" w:rsidRPr="00E23C38" w:rsidRDefault="00E23C38" w:rsidP="00E23C38">
      <w:pPr>
        <w:pStyle w:val="In-tableHeading"/>
        <w:rPr>
          <w:lang w:val="en-AU"/>
        </w:rPr>
      </w:pPr>
    </w:p>
    <w:p w14:paraId="732115FC" w14:textId="77777777" w:rsidR="004972DB" w:rsidRPr="004972DB" w:rsidRDefault="00E23C38" w:rsidP="00E23C38">
      <w:pPr>
        <w:pStyle w:val="3-BodyText"/>
      </w:pPr>
      <w:r w:rsidRPr="00A45225">
        <w:t>The most frequently reported AEs</w:t>
      </w:r>
      <w:r w:rsidR="00E2594C">
        <w:t xml:space="preserve"> across the treatment arms of the CAPTAIN trial</w:t>
      </w:r>
      <w:r w:rsidRPr="00A45225">
        <w:t xml:space="preserve"> were</w:t>
      </w:r>
      <w:r w:rsidRPr="001808B1">
        <w:t xml:space="preserve"> nasopharyngitis (range: 13% to 15%), headache (5% to 9%), upper respiratory tract infection (3% to 5%), and bronchitis (3% to 5%)</w:t>
      </w:r>
      <w:r>
        <w:t>.</w:t>
      </w:r>
      <w:r w:rsidRPr="001808B1">
        <w:t xml:space="preserve"> </w:t>
      </w:r>
    </w:p>
    <w:p w14:paraId="575553BD" w14:textId="77777777" w:rsidR="001F516D" w:rsidRPr="001808B1" w:rsidRDefault="001F516D" w:rsidP="00EA556C">
      <w:pPr>
        <w:pStyle w:val="4-SubsectionHeading"/>
      </w:pPr>
      <w:bookmarkStart w:id="38" w:name="_Toc22897644"/>
      <w:bookmarkStart w:id="39" w:name="_Toc22898856"/>
      <w:bookmarkStart w:id="40" w:name="_Toc82689136"/>
      <w:r w:rsidRPr="001808B1">
        <w:t>Clinical claim</w:t>
      </w:r>
      <w:bookmarkEnd w:id="38"/>
      <w:bookmarkEnd w:id="39"/>
      <w:bookmarkEnd w:id="40"/>
    </w:p>
    <w:p w14:paraId="7F7A68C6" w14:textId="77777777" w:rsidR="001F516D" w:rsidRPr="001808B1" w:rsidRDefault="001F516D" w:rsidP="00EA556C">
      <w:pPr>
        <w:pStyle w:val="3-BodyText"/>
        <w:rPr>
          <w:rFonts w:eastAsia="Calibri"/>
        </w:rPr>
      </w:pPr>
      <w:r w:rsidRPr="001808B1">
        <w:rPr>
          <w:rFonts w:eastAsia="Calibri"/>
        </w:rPr>
        <w:t>The submission described</w:t>
      </w:r>
      <w:r w:rsidR="004441AF" w:rsidRPr="001808B1">
        <w:rPr>
          <w:rFonts w:eastAsia="Calibri"/>
        </w:rPr>
        <w:t xml:space="preserve"> the efficacy of</w:t>
      </w:r>
      <w:r w:rsidRPr="001808B1">
        <w:rPr>
          <w:rFonts w:eastAsia="Calibri"/>
        </w:rPr>
        <w:t xml:space="preserve"> </w:t>
      </w:r>
      <w:r w:rsidR="0081496A">
        <w:rPr>
          <w:rFonts w:eastAsia="Calibri"/>
        </w:rPr>
        <w:t>FF/UMEC/VI 200/62.5/25</w:t>
      </w:r>
      <w:r w:rsidR="00325886">
        <w:rPr>
          <w:rFonts w:eastAsia="Calibri"/>
        </w:rPr>
        <w:t xml:space="preserve"> mcg as non-inferior to MF/IND/GLY</w:t>
      </w:r>
      <w:r w:rsidRPr="001808B1">
        <w:rPr>
          <w:rFonts w:eastAsia="Calibri"/>
        </w:rPr>
        <w:t xml:space="preserve"> 136/114/46 mcg in the treatment of patients with asthma who remain uncontrolled on ICS/LABA. Further, it described </w:t>
      </w:r>
      <w:r w:rsidR="0081496A">
        <w:rPr>
          <w:rFonts w:eastAsia="Calibri"/>
        </w:rPr>
        <w:t>FF/UMEC/VI 200/62.5/25</w:t>
      </w:r>
      <w:r w:rsidRPr="001808B1">
        <w:rPr>
          <w:rFonts w:eastAsia="Calibri"/>
        </w:rPr>
        <w:t xml:space="preserve"> mcg to be non-inferior to high dose ICS/LABA </w:t>
      </w:r>
      <w:r w:rsidR="00561D8E">
        <w:rPr>
          <w:rFonts w:eastAsia="Calibri"/>
        </w:rPr>
        <w:t>+ TIO</w:t>
      </w:r>
      <w:r w:rsidRPr="001808B1">
        <w:rPr>
          <w:rFonts w:eastAsia="Calibri"/>
        </w:rPr>
        <w:t xml:space="preserve"> in the treatment of patients with asthma who remain uncontrolled on ICS/LABA</w:t>
      </w:r>
      <w:r w:rsidR="00943437" w:rsidRPr="001808B1">
        <w:rPr>
          <w:rFonts w:eastAsia="Calibri"/>
        </w:rPr>
        <w:t>.</w:t>
      </w:r>
    </w:p>
    <w:p w14:paraId="16128272" w14:textId="77777777" w:rsidR="001F516D" w:rsidRPr="00001939" w:rsidRDefault="001F516D" w:rsidP="00EA556C">
      <w:pPr>
        <w:pStyle w:val="3-BodyText"/>
        <w:rPr>
          <w:rFonts w:eastAsia="Calibri"/>
          <w:iCs/>
        </w:rPr>
      </w:pPr>
      <w:r w:rsidRPr="00001939">
        <w:rPr>
          <w:rFonts w:eastAsia="Calibri"/>
          <w:iCs/>
        </w:rPr>
        <w:t xml:space="preserve">The </w:t>
      </w:r>
      <w:r w:rsidR="00A572E1">
        <w:rPr>
          <w:rFonts w:eastAsia="Calibri"/>
          <w:iCs/>
        </w:rPr>
        <w:t xml:space="preserve">evaluation considered the </w:t>
      </w:r>
      <w:r w:rsidRPr="00001939">
        <w:rPr>
          <w:rFonts w:eastAsia="Calibri"/>
          <w:iCs/>
        </w:rPr>
        <w:t xml:space="preserve">clinical claim of non-inferior efficacy </w:t>
      </w:r>
      <w:r w:rsidR="00A572E1">
        <w:rPr>
          <w:rFonts w:eastAsia="Calibri"/>
          <w:iCs/>
        </w:rPr>
        <w:t>wa</w:t>
      </w:r>
      <w:r w:rsidRPr="00001939">
        <w:rPr>
          <w:rFonts w:eastAsia="Calibri"/>
          <w:iCs/>
        </w:rPr>
        <w:t>s uncertain due to the following reasons:</w:t>
      </w:r>
    </w:p>
    <w:p w14:paraId="5F231578" w14:textId="77777777" w:rsidR="001F516D" w:rsidRPr="00001939" w:rsidRDefault="001F516D" w:rsidP="00F32064">
      <w:pPr>
        <w:pStyle w:val="3-BodyText"/>
        <w:numPr>
          <w:ilvl w:val="0"/>
          <w:numId w:val="16"/>
        </w:numPr>
        <w:ind w:left="1077" w:hanging="357"/>
        <w:rPr>
          <w:rFonts w:eastAsia="Calibri"/>
          <w:iCs/>
        </w:rPr>
      </w:pPr>
      <w:r w:rsidRPr="00001939">
        <w:rPr>
          <w:rFonts w:eastAsia="Calibri"/>
          <w:iCs/>
        </w:rPr>
        <w:t xml:space="preserve">No head-to-head trials comparing </w:t>
      </w:r>
      <w:r w:rsidR="0081496A">
        <w:rPr>
          <w:rFonts w:eastAsia="Calibri"/>
          <w:iCs/>
        </w:rPr>
        <w:t>FF/UMEC/VI 200/62.5/25</w:t>
      </w:r>
      <w:r w:rsidRPr="00001939">
        <w:rPr>
          <w:rFonts w:eastAsia="Calibri"/>
          <w:iCs/>
        </w:rPr>
        <w:t xml:space="preserve"> to MF/IND/GLY</w:t>
      </w:r>
      <w:r w:rsidR="00131E39" w:rsidRPr="00001939">
        <w:rPr>
          <w:rFonts w:eastAsia="Calibri"/>
          <w:iCs/>
        </w:rPr>
        <w:t xml:space="preserve"> 136/114/46</w:t>
      </w:r>
      <w:r w:rsidRPr="00001939">
        <w:rPr>
          <w:rFonts w:eastAsia="Calibri"/>
          <w:iCs/>
        </w:rPr>
        <w:t xml:space="preserve"> or high dose ICS/LABA + TIO were presented.</w:t>
      </w:r>
    </w:p>
    <w:p w14:paraId="5FFB966D" w14:textId="77777777" w:rsidR="001F516D" w:rsidRPr="00001939" w:rsidRDefault="001F516D" w:rsidP="00F32064">
      <w:pPr>
        <w:pStyle w:val="ListParagraph"/>
        <w:numPr>
          <w:ilvl w:val="0"/>
          <w:numId w:val="16"/>
        </w:numPr>
        <w:ind w:left="1077" w:hanging="357"/>
        <w:rPr>
          <w:rFonts w:eastAsia="Calibri"/>
          <w:iCs/>
        </w:rPr>
      </w:pPr>
      <w:r w:rsidRPr="00001939">
        <w:rPr>
          <w:rFonts w:eastAsia="Calibri"/>
          <w:iCs/>
        </w:rPr>
        <w:t xml:space="preserve">The ARGON and TRIGGER trials have a </w:t>
      </w:r>
      <w:r w:rsidR="00C371FE">
        <w:rPr>
          <w:rFonts w:eastAsia="Calibri"/>
          <w:iCs/>
        </w:rPr>
        <w:t>high</w:t>
      </w:r>
      <w:r w:rsidRPr="00001939">
        <w:rPr>
          <w:rFonts w:eastAsia="Calibri"/>
          <w:iCs/>
        </w:rPr>
        <w:t xml:space="preserve"> risk of bias since </w:t>
      </w:r>
      <w:r w:rsidR="004441AF" w:rsidRPr="00001939">
        <w:rPr>
          <w:rFonts w:eastAsia="Calibri"/>
          <w:iCs/>
        </w:rPr>
        <w:t xml:space="preserve">the </w:t>
      </w:r>
      <w:r w:rsidRPr="00001939">
        <w:rPr>
          <w:rFonts w:eastAsia="Calibri"/>
          <w:iCs/>
        </w:rPr>
        <w:t>SAL/FP+TIO arm in the ARGON trial and BDP/FOR+TIO in the TRIGGER trial were open-label. Any bias is more likely to affect subjective outcomes, such as AQLQ score, rather than objective outcome</w:t>
      </w:r>
      <w:r w:rsidR="004441AF" w:rsidRPr="00001939">
        <w:rPr>
          <w:rFonts w:eastAsia="Calibri"/>
          <w:iCs/>
        </w:rPr>
        <w:t>s</w:t>
      </w:r>
      <w:r w:rsidRPr="00001939">
        <w:rPr>
          <w:rFonts w:eastAsia="Calibri"/>
          <w:iCs/>
        </w:rPr>
        <w:t>, such as FEV1.</w:t>
      </w:r>
    </w:p>
    <w:p w14:paraId="51C6BAC6" w14:textId="77777777" w:rsidR="001F516D" w:rsidRPr="00001939" w:rsidRDefault="001F516D" w:rsidP="00F32064">
      <w:pPr>
        <w:pStyle w:val="3-BodyText"/>
        <w:numPr>
          <w:ilvl w:val="0"/>
          <w:numId w:val="16"/>
        </w:numPr>
        <w:ind w:left="1077" w:hanging="357"/>
        <w:rPr>
          <w:rFonts w:eastAsia="Calibri"/>
          <w:iCs/>
        </w:rPr>
      </w:pPr>
      <w:r w:rsidRPr="00001939">
        <w:rPr>
          <w:iCs/>
        </w:rPr>
        <w:t>There were differences across the trials that may violate the assumption of transitivity/exchangeability of the common reference arm and bias results of the indirect comparison</w:t>
      </w:r>
      <w:r w:rsidR="004441AF" w:rsidRPr="00001939">
        <w:rPr>
          <w:iCs/>
        </w:rPr>
        <w:t>s</w:t>
      </w:r>
      <w:r w:rsidRPr="00001939">
        <w:rPr>
          <w:iCs/>
        </w:rPr>
        <w:t xml:space="preserve"> (gender, the proportion ex-smokers, previous exacerbations, and ICS/LABA and ICS/LABA+LAMA combinations, dosages and dose frequencies).</w:t>
      </w:r>
    </w:p>
    <w:p w14:paraId="4FF81C57" w14:textId="77777777" w:rsidR="001F516D" w:rsidRPr="00F21704" w:rsidRDefault="00561D8E" w:rsidP="00325886">
      <w:pPr>
        <w:pStyle w:val="3-BodyText"/>
        <w:spacing w:before="240"/>
        <w:rPr>
          <w:rFonts w:eastAsia="Calibri"/>
          <w:iCs/>
        </w:rPr>
      </w:pPr>
      <w:r>
        <w:rPr>
          <w:rFonts w:eastAsia="Calibri"/>
          <w:iCs/>
        </w:rPr>
        <w:t xml:space="preserve">The evaluators considered that </w:t>
      </w:r>
      <w:r w:rsidR="001F516D" w:rsidRPr="00001939">
        <w:rPr>
          <w:rFonts w:eastAsia="Calibri"/>
          <w:iCs/>
        </w:rPr>
        <w:t xml:space="preserve">it </w:t>
      </w:r>
      <w:r w:rsidR="004441AF" w:rsidRPr="00001939">
        <w:rPr>
          <w:rFonts w:eastAsia="Calibri"/>
          <w:iCs/>
        </w:rPr>
        <w:t>may be</w:t>
      </w:r>
      <w:r w:rsidR="001F516D" w:rsidRPr="00001939">
        <w:rPr>
          <w:rFonts w:eastAsia="Calibri"/>
          <w:iCs/>
        </w:rPr>
        <w:t xml:space="preserve"> reasonable to conclude non-inferiority of </w:t>
      </w:r>
      <w:r w:rsidR="0081496A">
        <w:rPr>
          <w:rFonts w:eastAsia="Calibri"/>
          <w:iCs/>
        </w:rPr>
        <w:t>FF/UMEC/VI 200/62.5/25</w:t>
      </w:r>
      <w:r w:rsidR="001F516D" w:rsidRPr="00001939">
        <w:rPr>
          <w:rFonts w:eastAsia="Calibri"/>
          <w:iCs/>
        </w:rPr>
        <w:t xml:space="preserve"> versus MF/IND/GLY</w:t>
      </w:r>
      <w:r w:rsidR="00131E39" w:rsidRPr="00001939">
        <w:rPr>
          <w:rFonts w:eastAsia="Calibri"/>
          <w:iCs/>
        </w:rPr>
        <w:t xml:space="preserve"> 136/114/46 </w:t>
      </w:r>
      <w:r w:rsidR="001F516D" w:rsidRPr="00001939">
        <w:rPr>
          <w:rFonts w:eastAsia="Calibri"/>
          <w:iCs/>
        </w:rPr>
        <w:t xml:space="preserve">and versus </w:t>
      </w:r>
      <w:r w:rsidR="00131E39" w:rsidRPr="00001939">
        <w:rPr>
          <w:rFonts w:eastAsia="Calibri"/>
          <w:iCs/>
        </w:rPr>
        <w:t xml:space="preserve">high dose </w:t>
      </w:r>
      <w:r w:rsidR="001F516D" w:rsidRPr="00001939">
        <w:rPr>
          <w:rFonts w:eastAsia="Calibri"/>
          <w:iCs/>
        </w:rPr>
        <w:t>ICS/LABAs + TIO</w:t>
      </w:r>
      <w:r>
        <w:rPr>
          <w:rFonts w:eastAsia="Calibri"/>
          <w:iCs/>
        </w:rPr>
        <w:t xml:space="preserve"> if</w:t>
      </w:r>
      <w:r w:rsidRPr="00561D8E">
        <w:rPr>
          <w:rFonts w:eastAsia="Calibri"/>
          <w:iCs/>
        </w:rPr>
        <w:t xml:space="preserve"> </w:t>
      </w:r>
      <w:r w:rsidRPr="00001939">
        <w:rPr>
          <w:rFonts w:eastAsia="Calibri"/>
          <w:iCs/>
        </w:rPr>
        <w:t>change in trough FEV1</w:t>
      </w:r>
      <w:r>
        <w:rPr>
          <w:rFonts w:eastAsia="Calibri"/>
          <w:iCs/>
        </w:rPr>
        <w:t xml:space="preserve"> is considered</w:t>
      </w:r>
      <w:r w:rsidRPr="00001939">
        <w:rPr>
          <w:rFonts w:eastAsia="Calibri"/>
          <w:iCs/>
        </w:rPr>
        <w:t xml:space="preserve"> to be the most relevant outcome</w:t>
      </w:r>
      <w:r w:rsidR="001F516D" w:rsidRPr="00001939">
        <w:rPr>
          <w:rFonts w:eastAsia="Calibri"/>
          <w:iCs/>
        </w:rPr>
        <w:t xml:space="preserve">. </w:t>
      </w:r>
      <w:r w:rsidR="00B418EB" w:rsidRPr="00F21704">
        <w:rPr>
          <w:iCs/>
        </w:rPr>
        <w:t>The PSCR argued the PBAC recently considered MF/IND/GLY non-inferior utilising a clinical claim based on trough FEV1. The ESC agreed with the PSCR and considered a claim of non-inferior efficacy was supported by the FEV1 evidence presented in the submission.</w:t>
      </w:r>
    </w:p>
    <w:p w14:paraId="7C640A59" w14:textId="77777777" w:rsidR="001F516D" w:rsidRPr="007C4ED2" w:rsidRDefault="001F516D" w:rsidP="00EA556C">
      <w:pPr>
        <w:pStyle w:val="3-BodyText"/>
        <w:rPr>
          <w:rFonts w:eastAsia="Calibri"/>
        </w:rPr>
      </w:pPr>
      <w:r w:rsidRPr="00001939">
        <w:rPr>
          <w:rFonts w:eastAsia="Calibri"/>
          <w:iCs/>
        </w:rPr>
        <w:t xml:space="preserve">The submission claimed that </w:t>
      </w:r>
      <w:r w:rsidR="0081496A">
        <w:rPr>
          <w:rFonts w:eastAsia="Calibri"/>
          <w:iCs/>
        </w:rPr>
        <w:t>FF/UMEC/VI 200/62.5/25</w:t>
      </w:r>
      <w:r w:rsidRPr="00001939">
        <w:rPr>
          <w:rFonts w:eastAsia="Calibri"/>
          <w:iCs/>
        </w:rPr>
        <w:t xml:space="preserve"> was non-inferior in terms of safety compared to MF/IND/GLY</w:t>
      </w:r>
      <w:r w:rsidR="00131E39" w:rsidRPr="00001939">
        <w:rPr>
          <w:rFonts w:eastAsia="Calibri"/>
          <w:iCs/>
        </w:rPr>
        <w:t xml:space="preserve"> 136/114/46 </w:t>
      </w:r>
      <w:r w:rsidRPr="00001939">
        <w:rPr>
          <w:rFonts w:eastAsia="Calibri"/>
          <w:iCs/>
        </w:rPr>
        <w:t xml:space="preserve">and high dose ICS/LABAs + TIO. </w:t>
      </w:r>
      <w:r w:rsidR="00561D8E">
        <w:rPr>
          <w:rFonts w:eastAsia="Calibri"/>
          <w:iCs/>
        </w:rPr>
        <w:t>G</w:t>
      </w:r>
      <w:r w:rsidR="00E23C38">
        <w:rPr>
          <w:rFonts w:eastAsia="Calibri"/>
          <w:iCs/>
        </w:rPr>
        <w:t>iven that treatment related</w:t>
      </w:r>
      <w:r w:rsidRPr="00001939">
        <w:rPr>
          <w:rFonts w:eastAsia="Calibri"/>
          <w:iCs/>
        </w:rPr>
        <w:t xml:space="preserve"> adverse event rates were similar across treatments in each trial, </w:t>
      </w:r>
      <w:r w:rsidR="006B608B" w:rsidRPr="00E23C38">
        <w:rPr>
          <w:rFonts w:eastAsia="Calibri"/>
          <w:iCs/>
        </w:rPr>
        <w:t>the ESC considered</w:t>
      </w:r>
      <w:r w:rsidR="006B608B">
        <w:rPr>
          <w:rFonts w:eastAsia="Calibri"/>
          <w:i/>
          <w:iCs/>
        </w:rPr>
        <w:t xml:space="preserve"> </w:t>
      </w:r>
      <w:r w:rsidRPr="00001939">
        <w:rPr>
          <w:rFonts w:eastAsia="Calibri"/>
          <w:iCs/>
        </w:rPr>
        <w:t xml:space="preserve">it </w:t>
      </w:r>
      <w:r w:rsidR="006B608B">
        <w:rPr>
          <w:rFonts w:eastAsia="Calibri"/>
          <w:iCs/>
        </w:rPr>
        <w:t xml:space="preserve">was </w:t>
      </w:r>
      <w:r w:rsidRPr="00001939">
        <w:rPr>
          <w:rFonts w:eastAsia="Calibri"/>
          <w:iCs/>
        </w:rPr>
        <w:t xml:space="preserve">reasonable to suggest that the safety of </w:t>
      </w:r>
      <w:r w:rsidR="0081496A">
        <w:rPr>
          <w:rFonts w:eastAsia="Calibri"/>
          <w:iCs/>
        </w:rPr>
        <w:t>FF/UMEC/VI 200/62.5/25</w:t>
      </w:r>
      <w:r w:rsidRPr="00001939">
        <w:rPr>
          <w:rFonts w:eastAsia="Calibri"/>
          <w:iCs/>
        </w:rPr>
        <w:t xml:space="preserve"> </w:t>
      </w:r>
      <w:r w:rsidR="00A26A80">
        <w:rPr>
          <w:rFonts w:eastAsia="Calibri"/>
          <w:iCs/>
        </w:rPr>
        <w:t>appeared</w:t>
      </w:r>
      <w:r w:rsidRPr="00001939">
        <w:rPr>
          <w:rFonts w:eastAsia="Calibri"/>
          <w:iCs/>
        </w:rPr>
        <w:t xml:space="preserve"> similar to that of high dose MF/IND/GLY</w:t>
      </w:r>
      <w:r w:rsidR="00131E39" w:rsidRPr="00001939">
        <w:rPr>
          <w:rFonts w:eastAsia="Calibri"/>
          <w:iCs/>
        </w:rPr>
        <w:t xml:space="preserve"> 136/114/46 </w:t>
      </w:r>
      <w:r w:rsidRPr="00001939">
        <w:rPr>
          <w:rFonts w:eastAsia="Calibri"/>
          <w:iCs/>
        </w:rPr>
        <w:t>and high dose ICS/LABAs + TIO.</w:t>
      </w:r>
    </w:p>
    <w:p w14:paraId="24EDE2E2" w14:textId="77777777" w:rsidR="007C4ED2" w:rsidRPr="00E23C38" w:rsidRDefault="007C4ED2" w:rsidP="007C4ED2">
      <w:pPr>
        <w:widowControl w:val="0"/>
        <w:numPr>
          <w:ilvl w:val="1"/>
          <w:numId w:val="1"/>
        </w:numPr>
        <w:spacing w:after="120"/>
        <w:rPr>
          <w:rFonts w:asciiTheme="minorHAnsi" w:hAnsiTheme="minorHAnsi"/>
          <w:snapToGrid w:val="0"/>
          <w:szCs w:val="20"/>
        </w:rPr>
      </w:pPr>
      <w:bookmarkStart w:id="41" w:name="_Hlk76376200"/>
      <w:r w:rsidRPr="00E23C38">
        <w:rPr>
          <w:rFonts w:asciiTheme="minorHAnsi" w:hAnsiTheme="minorHAnsi"/>
          <w:iCs/>
          <w:snapToGrid w:val="0"/>
        </w:rPr>
        <w:t>The</w:t>
      </w:r>
      <w:r w:rsidRPr="00E23C38">
        <w:rPr>
          <w:rFonts w:asciiTheme="minorHAnsi" w:hAnsiTheme="minorHAnsi"/>
          <w:snapToGrid w:val="0"/>
          <w:szCs w:val="20"/>
        </w:rPr>
        <w:t xml:space="preserve"> PBAC conside</w:t>
      </w:r>
      <w:r w:rsidR="00E23C38" w:rsidRPr="00E23C38">
        <w:rPr>
          <w:rFonts w:asciiTheme="minorHAnsi" w:hAnsiTheme="minorHAnsi"/>
          <w:snapToGrid w:val="0"/>
          <w:szCs w:val="20"/>
        </w:rPr>
        <w:t xml:space="preserve">red that the claim of non-inferior </w:t>
      </w:r>
      <w:r w:rsidRPr="00E23C38">
        <w:rPr>
          <w:rFonts w:asciiTheme="minorHAnsi" w:hAnsiTheme="minorHAnsi"/>
          <w:snapToGrid w:val="0"/>
          <w:szCs w:val="20"/>
        </w:rPr>
        <w:t>comparative effec</w:t>
      </w:r>
      <w:r w:rsidR="00E23C38" w:rsidRPr="00E23C38">
        <w:rPr>
          <w:rFonts w:asciiTheme="minorHAnsi" w:hAnsiTheme="minorHAnsi"/>
          <w:snapToGrid w:val="0"/>
          <w:szCs w:val="20"/>
        </w:rPr>
        <w:t>tiveness was reasonable</w:t>
      </w:r>
      <w:r w:rsidRPr="00E23C38">
        <w:rPr>
          <w:rFonts w:asciiTheme="minorHAnsi" w:hAnsiTheme="minorHAnsi"/>
          <w:snapToGrid w:val="0"/>
          <w:szCs w:val="20"/>
        </w:rPr>
        <w:t>.</w:t>
      </w:r>
    </w:p>
    <w:p w14:paraId="5525B6F7" w14:textId="77777777" w:rsidR="007C4ED2" w:rsidRPr="00E23C38" w:rsidRDefault="007C4ED2" w:rsidP="007C4ED2">
      <w:pPr>
        <w:widowControl w:val="0"/>
        <w:numPr>
          <w:ilvl w:val="1"/>
          <w:numId w:val="1"/>
        </w:numPr>
        <w:spacing w:after="120"/>
        <w:rPr>
          <w:rFonts w:asciiTheme="minorHAnsi" w:hAnsiTheme="minorHAnsi"/>
          <w:snapToGrid w:val="0"/>
          <w:szCs w:val="20"/>
        </w:rPr>
      </w:pPr>
      <w:r w:rsidRPr="00E23C38">
        <w:rPr>
          <w:rFonts w:asciiTheme="minorHAnsi" w:hAnsiTheme="minorHAnsi"/>
          <w:snapToGrid w:val="0"/>
          <w:szCs w:val="20"/>
        </w:rPr>
        <w:t>The PBAC consid</w:t>
      </w:r>
      <w:r w:rsidR="00E23C38" w:rsidRPr="00E23C38">
        <w:rPr>
          <w:rFonts w:asciiTheme="minorHAnsi" w:hAnsiTheme="minorHAnsi"/>
          <w:snapToGrid w:val="0"/>
          <w:szCs w:val="20"/>
        </w:rPr>
        <w:t>ered that the claim of non-inferior</w:t>
      </w:r>
      <w:r w:rsidRPr="00E23C38">
        <w:rPr>
          <w:rFonts w:asciiTheme="minorHAnsi" w:hAnsiTheme="minorHAnsi"/>
          <w:snapToGrid w:val="0"/>
          <w:szCs w:val="20"/>
        </w:rPr>
        <w:t xml:space="preserve"> comparative safety </w:t>
      </w:r>
      <w:r w:rsidR="00E23C38" w:rsidRPr="00E23C38">
        <w:rPr>
          <w:rFonts w:asciiTheme="minorHAnsi" w:hAnsiTheme="minorHAnsi"/>
          <w:snapToGrid w:val="0"/>
          <w:szCs w:val="20"/>
        </w:rPr>
        <w:t>was reasonable</w:t>
      </w:r>
      <w:r w:rsidRPr="00E23C38">
        <w:rPr>
          <w:rFonts w:asciiTheme="minorHAnsi" w:hAnsiTheme="minorHAnsi"/>
          <w:snapToGrid w:val="0"/>
          <w:szCs w:val="20"/>
        </w:rPr>
        <w:t>.</w:t>
      </w:r>
      <w:bookmarkEnd w:id="41"/>
    </w:p>
    <w:p w14:paraId="22E90AC8" w14:textId="77777777" w:rsidR="001F516D" w:rsidRPr="001808B1" w:rsidRDefault="001F516D" w:rsidP="00EA556C">
      <w:pPr>
        <w:pStyle w:val="4-SubsectionHeading"/>
      </w:pPr>
      <w:bookmarkStart w:id="42" w:name="_Toc82689137"/>
      <w:r w:rsidRPr="001808B1">
        <w:t>Economic analysis</w:t>
      </w:r>
      <w:bookmarkEnd w:id="42"/>
      <w:r w:rsidRPr="001808B1">
        <w:t xml:space="preserve"> </w:t>
      </w:r>
    </w:p>
    <w:p w14:paraId="614F6775" w14:textId="77777777" w:rsidR="001F516D" w:rsidRPr="00F21704" w:rsidRDefault="001F516D" w:rsidP="00DE1CAD">
      <w:pPr>
        <w:pStyle w:val="3-BodyText"/>
      </w:pPr>
      <w:r w:rsidRPr="001808B1">
        <w:t xml:space="preserve">The submission presented a cost-minimisation analysis comparing </w:t>
      </w:r>
      <w:r w:rsidR="0081496A">
        <w:t>FF/UMEC/VI 200/62.5/25</w:t>
      </w:r>
      <w:r w:rsidRPr="001808B1">
        <w:t xml:space="preserve"> and MF/IND/GLY 136/114/46, the main comparator, and versus high dose ICS/LABA + TIO. The analysis assumed no additional costs or cost-offsets.</w:t>
      </w:r>
      <w:r w:rsidR="00196152">
        <w:t xml:space="preserve"> </w:t>
      </w:r>
      <w:r w:rsidR="00196152" w:rsidRPr="00F21704">
        <w:t xml:space="preserve">The </w:t>
      </w:r>
      <w:r w:rsidR="00477591">
        <w:t>PBAC</w:t>
      </w:r>
      <w:r w:rsidR="00196152" w:rsidRPr="00F21704">
        <w:t xml:space="preserve"> considered this was appropriate.</w:t>
      </w:r>
    </w:p>
    <w:p w14:paraId="3E40D450" w14:textId="77777777" w:rsidR="001F516D" w:rsidRPr="001808B1" w:rsidRDefault="001F516D" w:rsidP="00EA556C">
      <w:pPr>
        <w:pStyle w:val="3-BodyText"/>
      </w:pPr>
      <w:r w:rsidRPr="001808B1">
        <w:t>The submission proposed the following equi-effective dose</w:t>
      </w:r>
      <w:r w:rsidR="00E50350">
        <w:t>s</w:t>
      </w:r>
      <w:r w:rsidRPr="001808B1">
        <w:t xml:space="preserve"> based on </w:t>
      </w:r>
      <w:r w:rsidR="00E253FC">
        <w:t xml:space="preserve">the </w:t>
      </w:r>
      <w:r w:rsidRPr="001808B1">
        <w:t>trial evidence presented:</w:t>
      </w:r>
    </w:p>
    <w:p w14:paraId="581DCE9D" w14:textId="77777777" w:rsidR="00E50350" w:rsidRDefault="0081496A" w:rsidP="00F32064">
      <w:pPr>
        <w:pStyle w:val="3-BodyText"/>
        <w:numPr>
          <w:ilvl w:val="0"/>
          <w:numId w:val="16"/>
        </w:numPr>
        <w:ind w:left="1077" w:hanging="357"/>
        <w:rPr>
          <w:bCs/>
        </w:rPr>
      </w:pPr>
      <w:r>
        <w:t>FF/UMEC/VI 200/62.5/25</w:t>
      </w:r>
      <w:r w:rsidR="001F516D" w:rsidRPr="001808B1">
        <w:rPr>
          <w:iCs/>
        </w:rPr>
        <w:t xml:space="preserve"> one actuation daily = </w:t>
      </w:r>
      <w:r w:rsidR="001F516D" w:rsidRPr="001808B1">
        <w:rPr>
          <w:bCs/>
        </w:rPr>
        <w:t xml:space="preserve">MF/IND/GLY </w:t>
      </w:r>
      <w:r w:rsidR="001F516D" w:rsidRPr="001808B1">
        <w:rPr>
          <w:iCs/>
        </w:rPr>
        <w:t>136/114/46 one actuation daily</w:t>
      </w:r>
      <w:r w:rsidR="001F516D" w:rsidRPr="001808B1">
        <w:rPr>
          <w:bCs/>
        </w:rPr>
        <w:t xml:space="preserve">. </w:t>
      </w:r>
    </w:p>
    <w:p w14:paraId="0A8C36CE" w14:textId="77777777" w:rsidR="00F01524" w:rsidRPr="001808B1" w:rsidRDefault="00E50350" w:rsidP="00E50350">
      <w:pPr>
        <w:pStyle w:val="3-BodyText"/>
        <w:numPr>
          <w:ilvl w:val="0"/>
          <w:numId w:val="0"/>
        </w:numPr>
        <w:ind w:left="699"/>
        <w:rPr>
          <w:bCs/>
        </w:rPr>
      </w:pPr>
      <w:r>
        <w:t xml:space="preserve">The dose relativities for </w:t>
      </w:r>
      <w:r w:rsidR="0081496A">
        <w:t>FF/UMEC/VI 200/62.5/25</w:t>
      </w:r>
      <w:r>
        <w:t xml:space="preserve"> one actuation daily versus high dose ICS/LABA + TIO are provided in Table </w:t>
      </w:r>
      <w:r w:rsidR="00646FC1">
        <w:t>9</w:t>
      </w:r>
      <w:r>
        <w:t xml:space="preserve">. </w:t>
      </w:r>
    </w:p>
    <w:p w14:paraId="401F212D" w14:textId="77777777" w:rsidR="00F01524" w:rsidRPr="00477591" w:rsidRDefault="00F01524" w:rsidP="00AF07C0">
      <w:pPr>
        <w:pStyle w:val="3-BodyText"/>
        <w:keepNext/>
        <w:keepLines/>
        <w:numPr>
          <w:ilvl w:val="0"/>
          <w:numId w:val="0"/>
        </w:numPr>
        <w:rPr>
          <w:rFonts w:ascii="Arial Narrow" w:eastAsiaTheme="majorEastAsia" w:hAnsi="Arial Narrow" w:cstheme="majorBidi"/>
          <w:b/>
          <w:bCs/>
          <w:snapToGrid/>
          <w:sz w:val="20"/>
          <w:lang w:eastAsia="en-US"/>
        </w:rPr>
      </w:pPr>
      <w:r w:rsidRPr="00477591">
        <w:rPr>
          <w:rFonts w:ascii="Arial Narrow" w:eastAsiaTheme="majorEastAsia" w:hAnsi="Arial Narrow" w:cstheme="majorBidi"/>
          <w:b/>
          <w:bCs/>
          <w:snapToGrid/>
          <w:sz w:val="20"/>
          <w:lang w:eastAsia="en-US"/>
        </w:rPr>
        <w:t xml:space="preserve">Table </w:t>
      </w:r>
      <w:r w:rsidR="00646FC1" w:rsidRPr="00477591">
        <w:rPr>
          <w:rFonts w:ascii="Arial Narrow" w:eastAsiaTheme="majorEastAsia" w:hAnsi="Arial Narrow" w:cstheme="majorBidi"/>
          <w:b/>
          <w:bCs/>
          <w:snapToGrid/>
          <w:sz w:val="20"/>
          <w:lang w:eastAsia="en-US"/>
        </w:rPr>
        <w:t>9</w:t>
      </w:r>
      <w:r w:rsidRPr="00477591">
        <w:rPr>
          <w:rFonts w:ascii="Arial Narrow" w:eastAsiaTheme="majorEastAsia" w:hAnsi="Arial Narrow" w:cstheme="majorBidi"/>
          <w:b/>
          <w:bCs/>
          <w:snapToGrid/>
          <w:sz w:val="20"/>
          <w:lang w:eastAsia="en-US"/>
        </w:rPr>
        <w:t>: Equi-potent high dose ICS/LABA FDCs and LAMA and high dose ICS/LABA/LAMA FDCs listed on the PBS for asthma</w:t>
      </w:r>
    </w:p>
    <w:tbl>
      <w:tblPr>
        <w:tblStyle w:val="Submissionstandard"/>
        <w:tblW w:w="5000" w:type="pct"/>
        <w:tblLook w:val="04A0" w:firstRow="1" w:lastRow="0" w:firstColumn="1" w:lastColumn="0" w:noHBand="0" w:noVBand="1"/>
        <w:tblCaption w:val="Table 9: Equi-potent high dose ICS/LABA FDCs and LAMA and high dose ICS/LABA/LAMA FDCs listed on the PBS for asthma"/>
      </w:tblPr>
      <w:tblGrid>
        <w:gridCol w:w="988"/>
        <w:gridCol w:w="1275"/>
        <w:gridCol w:w="6754"/>
      </w:tblGrid>
      <w:tr w:rsidR="00F01524" w:rsidRPr="001808B1" w14:paraId="7D50FF78" w14:textId="77777777" w:rsidTr="00BA1878">
        <w:trPr>
          <w:cnfStyle w:val="100000000000" w:firstRow="1" w:lastRow="0" w:firstColumn="0" w:lastColumn="0" w:oddVBand="0" w:evenVBand="0" w:oddHBand="0" w:evenHBand="0" w:firstRowFirstColumn="0" w:firstRowLastColumn="0" w:lastRowFirstColumn="0" w:lastRowLastColumn="0"/>
          <w:tblHeader/>
        </w:trPr>
        <w:tc>
          <w:tcPr>
            <w:tcW w:w="548" w:type="pct"/>
            <w:shd w:val="clear" w:color="auto" w:fill="auto"/>
          </w:tcPr>
          <w:p w14:paraId="054898DD" w14:textId="77777777" w:rsidR="00F01524" w:rsidRPr="001808B1" w:rsidRDefault="00F01524" w:rsidP="00AF07C0">
            <w:pPr>
              <w:pStyle w:val="In-tableHeading"/>
              <w:keepLines/>
              <w:rPr>
                <w:b/>
              </w:rPr>
            </w:pPr>
            <w:bookmarkStart w:id="43" w:name="_GoBack" w:colFirst="0" w:colLast="3"/>
          </w:p>
        </w:tc>
        <w:tc>
          <w:tcPr>
            <w:tcW w:w="707" w:type="pct"/>
            <w:shd w:val="clear" w:color="auto" w:fill="auto"/>
          </w:tcPr>
          <w:p w14:paraId="4D1CFDC6" w14:textId="77777777" w:rsidR="00F01524" w:rsidRPr="001808B1" w:rsidRDefault="00F01524" w:rsidP="00AF07C0">
            <w:pPr>
              <w:pStyle w:val="In-tableHeading"/>
              <w:keepLines/>
              <w:rPr>
                <w:b/>
              </w:rPr>
            </w:pPr>
          </w:p>
        </w:tc>
        <w:tc>
          <w:tcPr>
            <w:tcW w:w="3745" w:type="pct"/>
            <w:shd w:val="clear" w:color="auto" w:fill="auto"/>
          </w:tcPr>
          <w:p w14:paraId="6C406434" w14:textId="77777777" w:rsidR="00F01524" w:rsidRPr="001808B1" w:rsidRDefault="00F01524" w:rsidP="00AF07C0">
            <w:pPr>
              <w:pStyle w:val="In-tableHeading"/>
              <w:keepLines/>
              <w:rPr>
                <w:b/>
              </w:rPr>
            </w:pPr>
            <w:r w:rsidRPr="001808B1">
              <w:rPr>
                <w:b/>
              </w:rPr>
              <w:t>“High” dose ICS/LBA FDCs, providing &gt;800mcg budesonide equi-potent per day for 30 days</w:t>
            </w:r>
          </w:p>
        </w:tc>
      </w:tr>
      <w:bookmarkEnd w:id="43"/>
      <w:tr w:rsidR="00F01524" w:rsidRPr="001808B1" w14:paraId="7DE96127" w14:textId="77777777" w:rsidTr="00F01524">
        <w:tc>
          <w:tcPr>
            <w:tcW w:w="548" w:type="pct"/>
            <w:vMerge w:val="restart"/>
          </w:tcPr>
          <w:p w14:paraId="2765A40B" w14:textId="77777777" w:rsidR="00F01524" w:rsidRPr="001808B1" w:rsidRDefault="00F01524" w:rsidP="00F01524">
            <w:pPr>
              <w:pStyle w:val="TableText0"/>
              <w:jc w:val="left"/>
            </w:pPr>
            <w:r w:rsidRPr="001808B1">
              <w:t>Multiple inhaler triple therapy</w:t>
            </w:r>
          </w:p>
        </w:tc>
        <w:tc>
          <w:tcPr>
            <w:tcW w:w="707" w:type="pct"/>
          </w:tcPr>
          <w:p w14:paraId="015300CF" w14:textId="77777777" w:rsidR="00F01524" w:rsidRPr="001808B1" w:rsidRDefault="00F01524" w:rsidP="003A09C3">
            <w:pPr>
              <w:pStyle w:val="TableText0"/>
            </w:pPr>
            <w:r w:rsidRPr="001808B1">
              <w:t>DPI</w:t>
            </w:r>
          </w:p>
          <w:p w14:paraId="6852AB43" w14:textId="77777777" w:rsidR="00F01524" w:rsidRPr="001808B1" w:rsidRDefault="00F01524" w:rsidP="003A09C3">
            <w:pPr>
              <w:pStyle w:val="TableText0"/>
            </w:pPr>
            <w:r w:rsidRPr="001808B1">
              <w:t>ICS/ LABA</w:t>
            </w:r>
          </w:p>
        </w:tc>
        <w:tc>
          <w:tcPr>
            <w:tcW w:w="3745" w:type="pct"/>
          </w:tcPr>
          <w:p w14:paraId="46810DAB" w14:textId="77777777" w:rsidR="00F01524" w:rsidRPr="001808B1" w:rsidRDefault="00F01524" w:rsidP="003A09C3">
            <w:pPr>
              <w:pStyle w:val="TableText0"/>
              <w:rPr>
                <w:rFonts w:cs="Times New Roman"/>
              </w:rPr>
            </w:pPr>
            <w:r w:rsidRPr="001808B1">
              <w:rPr>
                <w:rFonts w:cs="Times New Roman"/>
              </w:rPr>
              <w:t>FP/SAL 500/50mcg BD (Seretide® Accuhaler®, 60</w:t>
            </w:r>
            <w:r>
              <w:rPr>
                <w:rFonts w:cs="Times New Roman"/>
              </w:rPr>
              <w:t xml:space="preserve"> actuations</w:t>
            </w:r>
            <w:r w:rsidRPr="001808B1">
              <w:rPr>
                <w:rFonts w:cs="Times New Roman"/>
              </w:rPr>
              <w:t xml:space="preserve">) </w:t>
            </w:r>
          </w:p>
          <w:p w14:paraId="5FF646BD" w14:textId="77777777" w:rsidR="00F01524" w:rsidRPr="001808B1" w:rsidRDefault="00F01524" w:rsidP="003A09C3">
            <w:pPr>
              <w:pStyle w:val="TableText0"/>
              <w:rPr>
                <w:rFonts w:cs="Times New Roman"/>
              </w:rPr>
            </w:pPr>
            <w:r w:rsidRPr="001808B1">
              <w:rPr>
                <w:rFonts w:cs="Times New Roman"/>
              </w:rPr>
              <w:t>BUD/FOR 400/12mcg 2 BD (Symbicort® Turbuhaler®, Duoresp® Spiromax®, 120</w:t>
            </w:r>
            <w:r>
              <w:rPr>
                <w:rFonts w:cs="Times New Roman"/>
              </w:rPr>
              <w:t xml:space="preserve"> actuations</w:t>
            </w:r>
            <w:r w:rsidRPr="001808B1">
              <w:rPr>
                <w:rFonts w:cs="Times New Roman"/>
              </w:rPr>
              <w:t>)</w:t>
            </w:r>
          </w:p>
          <w:p w14:paraId="0604B6E7" w14:textId="77777777" w:rsidR="00F01524" w:rsidRPr="001808B1" w:rsidRDefault="00F01524" w:rsidP="003A09C3">
            <w:pPr>
              <w:pStyle w:val="TableText0"/>
              <w:rPr>
                <w:rFonts w:cs="Times New Roman"/>
              </w:rPr>
            </w:pPr>
            <w:r w:rsidRPr="001808B1">
              <w:rPr>
                <w:rFonts w:cs="Times New Roman"/>
              </w:rPr>
              <w:t>FF/VI 200/25mcg D (Breo® Ellipta®, 30</w:t>
            </w:r>
            <w:r>
              <w:rPr>
                <w:rFonts w:cs="Times New Roman"/>
              </w:rPr>
              <w:t xml:space="preserve"> actuations</w:t>
            </w:r>
            <w:r w:rsidRPr="001808B1">
              <w:rPr>
                <w:rFonts w:cs="Times New Roman"/>
              </w:rPr>
              <w:t>)</w:t>
            </w:r>
          </w:p>
        </w:tc>
      </w:tr>
      <w:tr w:rsidR="00F01524" w:rsidRPr="001808B1" w14:paraId="6A4D032C" w14:textId="77777777" w:rsidTr="00F01524">
        <w:tc>
          <w:tcPr>
            <w:tcW w:w="548" w:type="pct"/>
            <w:vMerge/>
          </w:tcPr>
          <w:p w14:paraId="7D411FEF" w14:textId="77777777" w:rsidR="00F01524" w:rsidRPr="001808B1" w:rsidRDefault="00F01524" w:rsidP="00F01524">
            <w:pPr>
              <w:pStyle w:val="TableText0"/>
              <w:jc w:val="left"/>
            </w:pPr>
          </w:p>
        </w:tc>
        <w:tc>
          <w:tcPr>
            <w:tcW w:w="707" w:type="pct"/>
            <w:tcBorders>
              <w:bottom w:val="single" w:sz="4" w:space="0" w:color="auto"/>
            </w:tcBorders>
          </w:tcPr>
          <w:p w14:paraId="4672FCF3" w14:textId="77777777" w:rsidR="00F01524" w:rsidRPr="001808B1" w:rsidRDefault="00F01524" w:rsidP="003A09C3">
            <w:pPr>
              <w:pStyle w:val="TableText0"/>
            </w:pPr>
            <w:r w:rsidRPr="001808B1">
              <w:t>DPI caps</w:t>
            </w:r>
          </w:p>
          <w:p w14:paraId="445ECA1F" w14:textId="77777777" w:rsidR="00F01524" w:rsidRPr="001808B1" w:rsidRDefault="00F01524" w:rsidP="003A09C3">
            <w:pPr>
              <w:pStyle w:val="TableText0"/>
            </w:pPr>
            <w:r w:rsidRPr="001808B1">
              <w:t>ICS/ LABA</w:t>
            </w:r>
          </w:p>
        </w:tc>
        <w:tc>
          <w:tcPr>
            <w:tcW w:w="3745" w:type="pct"/>
            <w:tcBorders>
              <w:bottom w:val="single" w:sz="4" w:space="0" w:color="auto"/>
            </w:tcBorders>
          </w:tcPr>
          <w:p w14:paraId="037CEAEC" w14:textId="77777777" w:rsidR="00F01524" w:rsidRPr="001808B1" w:rsidRDefault="00F01524" w:rsidP="003A09C3">
            <w:pPr>
              <w:pStyle w:val="TableText0"/>
              <w:rPr>
                <w:rFonts w:cs="Times New Roman"/>
              </w:rPr>
            </w:pPr>
            <w:r w:rsidRPr="001808B1">
              <w:rPr>
                <w:rFonts w:cs="Times New Roman"/>
              </w:rPr>
              <w:t xml:space="preserve">MF/IND </w:t>
            </w:r>
            <w:r w:rsidR="00FE65A4">
              <w:rPr>
                <w:rFonts w:cs="Times New Roman"/>
              </w:rPr>
              <w:t>320/150</w:t>
            </w:r>
            <w:r w:rsidRPr="001808B1">
              <w:rPr>
                <w:rFonts w:cs="Times New Roman"/>
              </w:rPr>
              <w:t>mcg D (Atectura® Breezhaler®, 30</w:t>
            </w:r>
            <w:r>
              <w:rPr>
                <w:rFonts w:cs="Times New Roman"/>
              </w:rPr>
              <w:t xml:space="preserve"> actuations</w:t>
            </w:r>
            <w:r w:rsidRPr="001808B1">
              <w:rPr>
                <w:rFonts w:cs="Times New Roman"/>
              </w:rPr>
              <w:t>)</w:t>
            </w:r>
          </w:p>
        </w:tc>
      </w:tr>
      <w:tr w:rsidR="00F01524" w:rsidRPr="001808B1" w14:paraId="5D15DD4A" w14:textId="77777777" w:rsidTr="00F01524">
        <w:trPr>
          <w:trHeight w:val="997"/>
        </w:trPr>
        <w:tc>
          <w:tcPr>
            <w:tcW w:w="548" w:type="pct"/>
            <w:vMerge/>
          </w:tcPr>
          <w:p w14:paraId="277FABF7" w14:textId="77777777" w:rsidR="00F01524" w:rsidRPr="001808B1" w:rsidRDefault="00F01524" w:rsidP="00F01524">
            <w:pPr>
              <w:pStyle w:val="TableText0"/>
              <w:jc w:val="left"/>
            </w:pPr>
          </w:p>
        </w:tc>
        <w:tc>
          <w:tcPr>
            <w:tcW w:w="707" w:type="pct"/>
            <w:tcBorders>
              <w:bottom w:val="single" w:sz="4" w:space="0" w:color="auto"/>
            </w:tcBorders>
          </w:tcPr>
          <w:p w14:paraId="67F4FBAB" w14:textId="77777777" w:rsidR="00F01524" w:rsidRPr="001808B1" w:rsidRDefault="00F01524" w:rsidP="003A09C3">
            <w:pPr>
              <w:pStyle w:val="TableText0"/>
            </w:pPr>
            <w:r w:rsidRPr="001808B1">
              <w:t>MDI</w:t>
            </w:r>
          </w:p>
          <w:p w14:paraId="3C67C043" w14:textId="77777777" w:rsidR="00F01524" w:rsidRPr="001808B1" w:rsidRDefault="00F01524" w:rsidP="003A09C3">
            <w:pPr>
              <w:pStyle w:val="TableText0"/>
            </w:pPr>
            <w:r w:rsidRPr="001808B1">
              <w:t>ICS/LABA</w:t>
            </w:r>
          </w:p>
        </w:tc>
        <w:tc>
          <w:tcPr>
            <w:tcW w:w="3745" w:type="pct"/>
            <w:tcBorders>
              <w:bottom w:val="single" w:sz="4" w:space="0" w:color="auto"/>
            </w:tcBorders>
          </w:tcPr>
          <w:p w14:paraId="7347AED1" w14:textId="77777777" w:rsidR="00F01524" w:rsidRPr="001808B1" w:rsidRDefault="00F01524" w:rsidP="003A09C3">
            <w:pPr>
              <w:pStyle w:val="TableText0"/>
              <w:rPr>
                <w:rFonts w:cs="Times New Roman"/>
              </w:rPr>
            </w:pPr>
            <w:r w:rsidRPr="001808B1">
              <w:rPr>
                <w:rFonts w:cs="Times New Roman"/>
              </w:rPr>
              <w:t>FP/SAL 250/</w:t>
            </w:r>
            <w:r>
              <w:rPr>
                <w:rFonts w:cs="Times New Roman"/>
              </w:rPr>
              <w:t>25</w:t>
            </w:r>
            <w:r w:rsidRPr="001808B1">
              <w:rPr>
                <w:rFonts w:cs="Times New Roman"/>
              </w:rPr>
              <w:t>mcg 2 BD (Seretide®</w:t>
            </w:r>
            <w:r>
              <w:rPr>
                <w:rFonts w:cs="Times New Roman"/>
              </w:rPr>
              <w:t>,</w:t>
            </w:r>
            <w:r w:rsidRPr="001808B1">
              <w:rPr>
                <w:rFonts w:cs="Times New Roman"/>
              </w:rPr>
              <w:t xml:space="preserve"> Evo</w:t>
            </w:r>
            <w:r>
              <w:rPr>
                <w:rFonts w:cs="Times New Roman"/>
              </w:rPr>
              <w:t>cair</w:t>
            </w:r>
            <w:r w:rsidRPr="001808B1">
              <w:rPr>
                <w:rFonts w:cs="Times New Roman"/>
              </w:rPr>
              <w:t xml:space="preserve">®, </w:t>
            </w:r>
            <w:r>
              <w:rPr>
                <w:rFonts w:cs="Times New Roman"/>
              </w:rPr>
              <w:t xml:space="preserve">Fluticasone + Salmeterol Cipla®, Pavtide®, </w:t>
            </w:r>
            <w:r w:rsidRPr="001808B1">
              <w:rPr>
                <w:rFonts w:cs="Times New Roman"/>
              </w:rPr>
              <w:t>SalPlusF</w:t>
            </w:r>
            <w:r>
              <w:rPr>
                <w:rFonts w:cs="Times New Roman"/>
              </w:rPr>
              <w:t xml:space="preserve"> Inhaler</w:t>
            </w:r>
            <w:r w:rsidRPr="001808B1">
              <w:rPr>
                <w:rFonts w:cs="Times New Roman"/>
              </w:rPr>
              <w:t>®, Seroflo®, 120</w:t>
            </w:r>
            <w:r>
              <w:rPr>
                <w:rFonts w:cs="Times New Roman"/>
              </w:rPr>
              <w:t xml:space="preserve"> actuations</w:t>
            </w:r>
            <w:r w:rsidRPr="001808B1">
              <w:rPr>
                <w:rFonts w:cs="Times New Roman"/>
              </w:rPr>
              <w:t xml:space="preserve">) </w:t>
            </w:r>
          </w:p>
          <w:p w14:paraId="200A7805" w14:textId="77777777" w:rsidR="00F01524" w:rsidRPr="001808B1" w:rsidRDefault="00F01524" w:rsidP="003A09C3">
            <w:pPr>
              <w:pStyle w:val="TableText0"/>
              <w:rPr>
                <w:rFonts w:cs="Times New Roman"/>
              </w:rPr>
            </w:pPr>
            <w:r w:rsidRPr="001808B1">
              <w:rPr>
                <w:rFonts w:cs="Times New Roman"/>
              </w:rPr>
              <w:t>BUD/FOR 200/6mcg 4 BD (Symbicort® Rapihaler®, 2</w:t>
            </w:r>
            <w:r>
              <w:rPr>
                <w:rFonts w:cs="Times New Roman"/>
              </w:rPr>
              <w:t>x12</w:t>
            </w:r>
            <w:r w:rsidRPr="001808B1">
              <w:rPr>
                <w:rFonts w:cs="Times New Roman"/>
              </w:rPr>
              <w:t>0</w:t>
            </w:r>
            <w:r>
              <w:rPr>
                <w:rFonts w:cs="Times New Roman"/>
              </w:rPr>
              <w:t xml:space="preserve"> actuations</w:t>
            </w:r>
            <w:r w:rsidRPr="001808B1">
              <w:rPr>
                <w:rFonts w:cs="Times New Roman"/>
              </w:rPr>
              <w:t xml:space="preserve">) </w:t>
            </w:r>
          </w:p>
          <w:p w14:paraId="4CAB2777" w14:textId="77777777" w:rsidR="00F01524" w:rsidRPr="001808B1" w:rsidRDefault="00F01524" w:rsidP="003A09C3">
            <w:pPr>
              <w:pStyle w:val="TableText0"/>
              <w:rPr>
                <w:rFonts w:cs="Times New Roman"/>
              </w:rPr>
            </w:pPr>
            <w:r w:rsidRPr="001808B1">
              <w:rPr>
                <w:rFonts w:cs="Times New Roman"/>
              </w:rPr>
              <w:t>FP/FOR 250/10mcg 2 BD (Flutiform®, 120</w:t>
            </w:r>
            <w:r>
              <w:rPr>
                <w:rFonts w:cs="Times New Roman"/>
              </w:rPr>
              <w:t xml:space="preserve"> actuations</w:t>
            </w:r>
            <w:r w:rsidRPr="001808B1">
              <w:rPr>
                <w:rFonts w:cs="Times New Roman"/>
              </w:rPr>
              <w:t>)</w:t>
            </w:r>
          </w:p>
        </w:tc>
      </w:tr>
      <w:tr w:rsidR="00F01524" w:rsidRPr="001808B1" w14:paraId="53FA3AA5" w14:textId="77777777" w:rsidTr="00F01524">
        <w:tc>
          <w:tcPr>
            <w:tcW w:w="548" w:type="pct"/>
            <w:vMerge/>
            <w:tcBorders>
              <w:bottom w:val="single" w:sz="4" w:space="0" w:color="auto"/>
            </w:tcBorders>
          </w:tcPr>
          <w:p w14:paraId="2AD750A7" w14:textId="77777777" w:rsidR="00F01524" w:rsidRPr="001808B1" w:rsidRDefault="00F01524" w:rsidP="00F01524">
            <w:pPr>
              <w:pStyle w:val="TableText0"/>
              <w:jc w:val="left"/>
            </w:pPr>
          </w:p>
        </w:tc>
        <w:tc>
          <w:tcPr>
            <w:tcW w:w="707" w:type="pct"/>
            <w:tcBorders>
              <w:top w:val="single" w:sz="4" w:space="0" w:color="auto"/>
              <w:bottom w:val="single" w:sz="4" w:space="0" w:color="auto"/>
            </w:tcBorders>
          </w:tcPr>
          <w:p w14:paraId="213DD84F" w14:textId="77777777" w:rsidR="00F01524" w:rsidRPr="001808B1" w:rsidRDefault="00F01524" w:rsidP="003A09C3">
            <w:pPr>
              <w:pStyle w:val="TableText0"/>
            </w:pPr>
            <w:r w:rsidRPr="001808B1">
              <w:t>PLUS</w:t>
            </w:r>
          </w:p>
          <w:p w14:paraId="5CA006AB" w14:textId="77777777" w:rsidR="00F01524" w:rsidRPr="001808B1" w:rsidRDefault="00F01524" w:rsidP="003A09C3">
            <w:pPr>
              <w:pStyle w:val="TableText0"/>
            </w:pPr>
            <w:r w:rsidRPr="001808B1">
              <w:t>LAMA</w:t>
            </w:r>
          </w:p>
        </w:tc>
        <w:tc>
          <w:tcPr>
            <w:tcW w:w="3745" w:type="pct"/>
            <w:tcBorders>
              <w:top w:val="single" w:sz="4" w:space="0" w:color="auto"/>
              <w:bottom w:val="single" w:sz="4" w:space="0" w:color="auto"/>
            </w:tcBorders>
          </w:tcPr>
          <w:p w14:paraId="022CC244" w14:textId="77777777" w:rsidR="00F01524" w:rsidRPr="001808B1" w:rsidRDefault="00F01524" w:rsidP="003A09C3">
            <w:pPr>
              <w:pStyle w:val="TableText0"/>
              <w:rPr>
                <w:rFonts w:cs="Times New Roman"/>
              </w:rPr>
            </w:pPr>
            <w:r w:rsidRPr="001808B1">
              <w:rPr>
                <w:rFonts w:cs="Times New Roman"/>
              </w:rPr>
              <w:t>Tiotropium 2.5mcg 2 D (Spiriva®</w:t>
            </w:r>
            <w:r>
              <w:rPr>
                <w:rFonts w:cs="Times New Roman"/>
              </w:rPr>
              <w:t>, 60 actuations</w:t>
            </w:r>
            <w:r w:rsidRPr="001808B1">
              <w:rPr>
                <w:rFonts w:cs="Times New Roman"/>
              </w:rPr>
              <w:t>)</w:t>
            </w:r>
          </w:p>
          <w:p w14:paraId="0A254CA6" w14:textId="77777777" w:rsidR="00F01524" w:rsidRPr="001808B1" w:rsidRDefault="00F01524" w:rsidP="003A09C3">
            <w:pPr>
              <w:pStyle w:val="TableText0"/>
              <w:rPr>
                <w:rFonts w:cs="Times New Roman"/>
              </w:rPr>
            </w:pPr>
          </w:p>
        </w:tc>
      </w:tr>
      <w:tr w:rsidR="00F01524" w:rsidRPr="001808B1" w14:paraId="3BBE9AE2" w14:textId="77777777" w:rsidTr="00F01524">
        <w:tc>
          <w:tcPr>
            <w:tcW w:w="548" w:type="pct"/>
            <w:tcBorders>
              <w:top w:val="single" w:sz="4" w:space="0" w:color="auto"/>
            </w:tcBorders>
          </w:tcPr>
          <w:p w14:paraId="41A8C192" w14:textId="77777777" w:rsidR="00F01524" w:rsidRPr="001808B1" w:rsidRDefault="00F01524" w:rsidP="00F01524">
            <w:pPr>
              <w:pStyle w:val="TableText0"/>
              <w:jc w:val="left"/>
              <w:rPr>
                <w:rFonts w:cs="Times New Roman"/>
              </w:rPr>
            </w:pPr>
            <w:r w:rsidRPr="001808B1">
              <w:rPr>
                <w:rFonts w:cs="Times New Roman"/>
              </w:rPr>
              <w:t>Single inhaler triple therapy</w:t>
            </w:r>
          </w:p>
        </w:tc>
        <w:tc>
          <w:tcPr>
            <w:tcW w:w="707" w:type="pct"/>
            <w:tcBorders>
              <w:top w:val="single" w:sz="4" w:space="0" w:color="auto"/>
            </w:tcBorders>
          </w:tcPr>
          <w:p w14:paraId="0216CF57" w14:textId="77777777" w:rsidR="00F01524" w:rsidRPr="001808B1" w:rsidRDefault="00F01524" w:rsidP="003A09C3">
            <w:pPr>
              <w:pStyle w:val="TableText0"/>
              <w:rPr>
                <w:rFonts w:cs="Times New Roman"/>
              </w:rPr>
            </w:pPr>
            <w:r w:rsidRPr="001808B1">
              <w:rPr>
                <w:rFonts w:cs="Times New Roman"/>
              </w:rPr>
              <w:t>DPI capsules</w:t>
            </w:r>
          </w:p>
          <w:p w14:paraId="401CF327" w14:textId="77777777" w:rsidR="00F01524" w:rsidRPr="001808B1" w:rsidRDefault="00F01524" w:rsidP="00F42769">
            <w:pPr>
              <w:pStyle w:val="TableText0"/>
              <w:jc w:val="left"/>
              <w:rPr>
                <w:rFonts w:cs="Times New Roman"/>
              </w:rPr>
            </w:pPr>
            <w:r w:rsidRPr="001808B1">
              <w:rPr>
                <w:rFonts w:cs="Times New Roman"/>
              </w:rPr>
              <w:t>ICS/ LABA/ LAMA</w:t>
            </w:r>
          </w:p>
        </w:tc>
        <w:tc>
          <w:tcPr>
            <w:tcW w:w="3745" w:type="pct"/>
            <w:tcBorders>
              <w:top w:val="single" w:sz="4" w:space="0" w:color="auto"/>
            </w:tcBorders>
          </w:tcPr>
          <w:p w14:paraId="31A90200" w14:textId="77777777" w:rsidR="00F01524" w:rsidRPr="001808B1" w:rsidRDefault="00F01524" w:rsidP="003A09C3">
            <w:pPr>
              <w:pStyle w:val="TableText0"/>
              <w:rPr>
                <w:rFonts w:ascii="Candara" w:hAnsi="Candara" w:cs="Times New Roman"/>
                <w:szCs w:val="22"/>
              </w:rPr>
            </w:pPr>
            <w:r w:rsidRPr="001808B1">
              <w:rPr>
                <w:rFonts w:cs="Times New Roman"/>
              </w:rPr>
              <w:t>MF/IND/GLY 136/114/46mcg D (Enerzair® Breezhaler®, 30</w:t>
            </w:r>
            <w:r>
              <w:rPr>
                <w:rFonts w:cs="Times New Roman"/>
              </w:rPr>
              <w:t xml:space="preserve"> actuations</w:t>
            </w:r>
            <w:r w:rsidRPr="001808B1">
              <w:rPr>
                <w:rFonts w:cs="Times New Roman"/>
              </w:rPr>
              <w:t>)</w:t>
            </w:r>
          </w:p>
        </w:tc>
      </w:tr>
    </w:tbl>
    <w:p w14:paraId="1A48A4A0" w14:textId="77777777" w:rsidR="00F01524" w:rsidRPr="00F01524" w:rsidRDefault="00F01524" w:rsidP="00F01524">
      <w:pPr>
        <w:keepNext/>
        <w:rPr>
          <w:rStyle w:val="TableFigureFooterChar"/>
          <w:rFonts w:eastAsia="MS Gothic"/>
        </w:rPr>
      </w:pPr>
      <w:r w:rsidRPr="00F01524">
        <w:rPr>
          <w:rStyle w:val="TableFigureFooterChar"/>
          <w:rFonts w:eastAsia="MS Gothic"/>
        </w:rPr>
        <w:t>Source: Table 84, pp163-164 of the submission</w:t>
      </w:r>
    </w:p>
    <w:p w14:paraId="6FE03D67" w14:textId="77777777" w:rsidR="00F01524" w:rsidRPr="00F01524" w:rsidRDefault="00F01524" w:rsidP="00F01524">
      <w:pPr>
        <w:keepNext/>
        <w:rPr>
          <w:rStyle w:val="TableFigureFooterChar"/>
          <w:rFonts w:eastAsia="MS Gothic"/>
        </w:rPr>
      </w:pPr>
      <w:r w:rsidRPr="00F01524">
        <w:rPr>
          <w:rStyle w:val="TableFigureFooterChar"/>
          <w:rFonts w:eastAsia="MS Gothic"/>
        </w:rPr>
        <w:t>BEC=beclometasone; BUD=budesonide; DPI=dry powder inhaler; FOR=formoterol; FF=fluticasone furoate; FP=fluticasone propionate; IND=indacaterol; MDI=metered dose inhaler; MF=mometasone furoate; SAL=salmeterol; VI=vilanterol; D=once daily; BD=twice daily</w:t>
      </w:r>
    </w:p>
    <w:p w14:paraId="08A089DD" w14:textId="77777777" w:rsidR="00F01524" w:rsidRPr="00F01524" w:rsidRDefault="00F01524" w:rsidP="00F01524">
      <w:pPr>
        <w:keepNext/>
        <w:rPr>
          <w:rStyle w:val="TableFigureFooterChar"/>
          <w:rFonts w:eastAsia="MS Gothic"/>
        </w:rPr>
      </w:pPr>
      <w:r w:rsidRPr="00F01524">
        <w:rPr>
          <w:rStyle w:val="TableFigureFooterChar"/>
          <w:rFonts w:eastAsia="MS Gothic"/>
        </w:rPr>
        <w:t>Note: The equi-potent doses shown in the table are based on Table 8, P19 of MF/IND/GLY PSD, July 2020 PBAC Meeting. The submission also updated the table to include Atectura (medium or high dose MF/IND)</w:t>
      </w:r>
    </w:p>
    <w:p w14:paraId="11D59710" w14:textId="77777777" w:rsidR="00F01524" w:rsidRPr="00F01524" w:rsidRDefault="00F01524" w:rsidP="00F01524">
      <w:pPr>
        <w:keepNext/>
        <w:rPr>
          <w:rStyle w:val="TableFigureFooterChar"/>
          <w:rFonts w:eastAsia="MS Gothic"/>
        </w:rPr>
      </w:pPr>
      <w:r w:rsidRPr="00F01524">
        <w:rPr>
          <w:rStyle w:val="TableFigureFooterChar"/>
          <w:rFonts w:eastAsia="MS Gothic"/>
        </w:rPr>
        <w:t>Tiotropium is the only PBS-listed LAMA to treat asthma.</w:t>
      </w:r>
    </w:p>
    <w:p w14:paraId="4A1107FE" w14:textId="77777777" w:rsidR="00F01524" w:rsidRDefault="00F01524" w:rsidP="00F01524">
      <w:pPr>
        <w:pStyle w:val="3-BodyText"/>
        <w:numPr>
          <w:ilvl w:val="0"/>
          <w:numId w:val="0"/>
        </w:numPr>
        <w:rPr>
          <w:i/>
          <w:iCs/>
        </w:rPr>
      </w:pPr>
    </w:p>
    <w:p w14:paraId="0A6C8A8C" w14:textId="77777777" w:rsidR="00AE29C8" w:rsidRPr="00F34A2F" w:rsidRDefault="00D71F25" w:rsidP="00F34A2F">
      <w:pPr>
        <w:pStyle w:val="3-BodyText"/>
      </w:pPr>
      <w:bookmarkStart w:id="44" w:name="_Hlk82514820"/>
      <w:r w:rsidRPr="00F34A2F">
        <w:rPr>
          <w:bCs/>
        </w:rPr>
        <w:t xml:space="preserve">Based on the cost-minimisation analysis presented in the submission the requested price for </w:t>
      </w:r>
      <w:r w:rsidR="0081496A">
        <w:t>FF/UMEC/VI 200/62.5/25</w:t>
      </w:r>
      <w:r w:rsidRPr="00F34A2F">
        <w:rPr>
          <w:bCs/>
        </w:rPr>
        <w:t xml:space="preserve"> was the same as for MF/IND/GLY </w:t>
      </w:r>
      <w:r w:rsidRPr="00F34A2F">
        <w:rPr>
          <w:iCs/>
        </w:rPr>
        <w:t xml:space="preserve">136/114/46 </w:t>
      </w:r>
      <w:r w:rsidRPr="00F34A2F">
        <w:rPr>
          <w:bCs/>
        </w:rPr>
        <w:t xml:space="preserve">(AEMP = $74.01). </w:t>
      </w:r>
      <w:r>
        <w:t>T</w:t>
      </w:r>
      <w:r w:rsidR="00E50350" w:rsidRPr="00F01524">
        <w:t xml:space="preserve">he submission also noted that the AEMP requested for </w:t>
      </w:r>
      <w:r w:rsidR="0081496A">
        <w:t>FF/UMEC/VI 200/62.5/25</w:t>
      </w:r>
      <w:r w:rsidR="00E50350" w:rsidRPr="00F01524">
        <w:t>, is also equivalent to the least costly multiple inhaler triple therapy consisting of a high dose ICS/LABA (AEMP $45.19) + LAMA (AEMP $28.82) available on the PBS.</w:t>
      </w:r>
      <w:bookmarkEnd w:id="44"/>
    </w:p>
    <w:p w14:paraId="010BC639" w14:textId="77777777" w:rsidR="001F516D" w:rsidRPr="001808B1" w:rsidRDefault="001F516D" w:rsidP="00EA556C">
      <w:pPr>
        <w:pStyle w:val="4-SubsectionHeading"/>
      </w:pPr>
      <w:bookmarkStart w:id="45" w:name="_Toc82689138"/>
      <w:r w:rsidRPr="001808B1">
        <w:t>Drug cost/patient/year</w:t>
      </w:r>
      <w:bookmarkEnd w:id="45"/>
    </w:p>
    <w:p w14:paraId="3BC03660" w14:textId="77777777" w:rsidR="001F516D" w:rsidRPr="001808B1" w:rsidRDefault="001F516D" w:rsidP="00EA556C">
      <w:pPr>
        <w:pStyle w:val="3-BodyText"/>
      </w:pPr>
      <w:r w:rsidRPr="001808B1">
        <w:t xml:space="preserve">The annual cost of </w:t>
      </w:r>
      <w:r w:rsidR="0081496A">
        <w:t>FF/UMEC/VI 200/62.5/25</w:t>
      </w:r>
      <w:r w:rsidR="009315B3">
        <w:t xml:space="preserve"> was </w:t>
      </w:r>
      <w:r w:rsidRPr="001808B1">
        <w:t>$1,115.23. Th</w:t>
      </w:r>
      <w:r w:rsidR="009315B3">
        <w:t>is</w:t>
      </w:r>
      <w:r w:rsidRPr="001808B1">
        <w:t xml:space="preserve"> calculation assume</w:t>
      </w:r>
      <w:r w:rsidR="009315B3">
        <w:t>s</w:t>
      </w:r>
      <w:r w:rsidRPr="001808B1">
        <w:t xml:space="preserve"> 12.175 scripts per year at the requested DPMQ ($91.60).</w:t>
      </w:r>
    </w:p>
    <w:p w14:paraId="57F2C728" w14:textId="77777777" w:rsidR="001F516D" w:rsidRPr="001808B1" w:rsidRDefault="001F516D" w:rsidP="00EA556C">
      <w:pPr>
        <w:pStyle w:val="4-SubsectionHeading"/>
      </w:pPr>
      <w:bookmarkStart w:id="46" w:name="_Toc82689139"/>
      <w:r w:rsidRPr="001808B1">
        <w:t>Estimated PBS usage &amp; financial implications</w:t>
      </w:r>
      <w:bookmarkEnd w:id="46"/>
    </w:p>
    <w:p w14:paraId="17CF3D60" w14:textId="77777777" w:rsidR="001F516D" w:rsidRPr="001808B1" w:rsidRDefault="00001939" w:rsidP="00EA556C">
      <w:pPr>
        <w:pStyle w:val="3-BodyText"/>
      </w:pPr>
      <w:r>
        <w:t xml:space="preserve">This submission was not </w:t>
      </w:r>
      <w:r w:rsidR="001F516D" w:rsidRPr="001808B1">
        <w:t xml:space="preserve">considered by DUSC. The submission adopted a market share approach to forecast the cost of </w:t>
      </w:r>
      <w:r w:rsidR="0081496A">
        <w:t>FF/UMEC/VI 200/62.5/25</w:t>
      </w:r>
      <w:r w:rsidR="001F516D" w:rsidRPr="001808B1">
        <w:t xml:space="preserve"> as an alternative to high dose ICS/LABAs + LAMA products listed on the PBS for asthma. This approach was adopted as there </w:t>
      </w:r>
      <w:r w:rsidR="009315B3">
        <w:t xml:space="preserve">are only </w:t>
      </w:r>
      <w:r w:rsidR="001F516D" w:rsidRPr="001808B1">
        <w:t xml:space="preserve">limited </w:t>
      </w:r>
      <w:r w:rsidR="009315B3">
        <w:t xml:space="preserve">utilisation </w:t>
      </w:r>
      <w:r w:rsidR="001F516D" w:rsidRPr="001808B1">
        <w:t xml:space="preserve">data for MF/IND/GLY 136/114/46, which was PBS-listed on 1 April 2021. </w:t>
      </w:r>
    </w:p>
    <w:p w14:paraId="04723850" w14:textId="77777777" w:rsidR="001F516D" w:rsidRPr="001808B1" w:rsidRDefault="001F516D" w:rsidP="00EA556C">
      <w:pPr>
        <w:pStyle w:val="3-BodyText"/>
        <w:rPr>
          <w:lang w:eastAsia="en-US"/>
        </w:rPr>
      </w:pPr>
      <w:r w:rsidRPr="001808B1">
        <w:t xml:space="preserve">Table </w:t>
      </w:r>
      <w:r w:rsidR="00942085" w:rsidRPr="001808B1">
        <w:t>1</w:t>
      </w:r>
      <w:r w:rsidR="00646FC1">
        <w:t>0</w:t>
      </w:r>
      <w:r w:rsidRPr="001808B1">
        <w:t xml:space="preserve"> summarises the key inputs used in the financial estimates.</w:t>
      </w:r>
    </w:p>
    <w:p w14:paraId="2CE6FD86" w14:textId="77777777" w:rsidR="001F516D" w:rsidRPr="001808B1" w:rsidRDefault="001F516D" w:rsidP="00EA556C">
      <w:pPr>
        <w:pStyle w:val="TableFigureHeading"/>
        <w:rPr>
          <w:lang w:eastAsia="en-US"/>
        </w:rPr>
      </w:pPr>
      <w:r w:rsidRPr="001808B1">
        <w:rPr>
          <w:lang w:eastAsia="en-US"/>
        </w:rPr>
        <w:t xml:space="preserve">Table </w:t>
      </w:r>
      <w:r w:rsidR="00942085" w:rsidRPr="001808B1">
        <w:rPr>
          <w:lang w:eastAsia="en-US"/>
        </w:rPr>
        <w:t>1</w:t>
      </w:r>
      <w:r w:rsidR="00646FC1">
        <w:rPr>
          <w:lang w:eastAsia="en-US"/>
        </w:rPr>
        <w:t>0</w:t>
      </w:r>
      <w:r w:rsidRPr="001808B1">
        <w:rPr>
          <w:lang w:eastAsia="en-US"/>
        </w:rPr>
        <w:t>: Summary of data sources for estimating utilisation</w:t>
      </w:r>
    </w:p>
    <w:tbl>
      <w:tblPr>
        <w:tblStyle w:val="Submissionstandard2"/>
        <w:tblW w:w="0" w:type="auto"/>
        <w:tblLook w:val="04A0" w:firstRow="1" w:lastRow="0" w:firstColumn="1" w:lastColumn="0" w:noHBand="0" w:noVBand="1"/>
        <w:tblCaption w:val="Table 10: Summary of data sources for estimating utilisation"/>
      </w:tblPr>
      <w:tblGrid>
        <w:gridCol w:w="1413"/>
        <w:gridCol w:w="1787"/>
        <w:gridCol w:w="1749"/>
        <w:gridCol w:w="1433"/>
        <w:gridCol w:w="2635"/>
      </w:tblGrid>
      <w:tr w:rsidR="009A31D6" w:rsidRPr="001808B1" w14:paraId="001AA705" w14:textId="77777777" w:rsidTr="00BA1878">
        <w:trPr>
          <w:cnfStyle w:val="100000000000" w:firstRow="1" w:lastRow="0" w:firstColumn="0" w:lastColumn="0" w:oddVBand="0" w:evenVBand="0" w:oddHBand="0" w:evenHBand="0" w:firstRowFirstColumn="0" w:firstRowLastColumn="0" w:lastRowFirstColumn="0" w:lastRowLastColumn="0"/>
          <w:tblHeader/>
        </w:trPr>
        <w:tc>
          <w:tcPr>
            <w:tcW w:w="1413" w:type="dxa"/>
            <w:shd w:val="clear" w:color="auto" w:fill="auto"/>
          </w:tcPr>
          <w:p w14:paraId="3498DAD1" w14:textId="77777777" w:rsidR="001F516D" w:rsidRPr="001808B1" w:rsidRDefault="001F516D" w:rsidP="00EA556C">
            <w:pPr>
              <w:pStyle w:val="In-tableHeading"/>
              <w:keepNext w:val="0"/>
              <w:rPr>
                <w:b/>
                <w:bCs/>
              </w:rPr>
            </w:pPr>
            <w:r w:rsidRPr="001808B1">
              <w:rPr>
                <w:b/>
                <w:bCs/>
              </w:rPr>
              <w:t>Data</w:t>
            </w:r>
          </w:p>
        </w:tc>
        <w:tc>
          <w:tcPr>
            <w:tcW w:w="1787" w:type="dxa"/>
            <w:shd w:val="clear" w:color="auto" w:fill="auto"/>
          </w:tcPr>
          <w:p w14:paraId="670F554C" w14:textId="77777777" w:rsidR="001F516D" w:rsidRPr="001808B1" w:rsidRDefault="001F516D" w:rsidP="00EA556C">
            <w:pPr>
              <w:pStyle w:val="In-tableHeading"/>
              <w:keepNext w:val="0"/>
              <w:rPr>
                <w:b/>
                <w:bCs/>
              </w:rPr>
            </w:pPr>
            <w:r w:rsidRPr="001808B1">
              <w:rPr>
                <w:b/>
                <w:bCs/>
              </w:rPr>
              <w:t>Value</w:t>
            </w:r>
          </w:p>
        </w:tc>
        <w:tc>
          <w:tcPr>
            <w:tcW w:w="0" w:type="auto"/>
            <w:shd w:val="clear" w:color="auto" w:fill="auto"/>
          </w:tcPr>
          <w:p w14:paraId="5248287D" w14:textId="77777777" w:rsidR="001F516D" w:rsidRPr="001808B1" w:rsidRDefault="001F516D" w:rsidP="00EA556C">
            <w:pPr>
              <w:pStyle w:val="In-tableHeading"/>
              <w:keepNext w:val="0"/>
              <w:rPr>
                <w:b/>
                <w:bCs/>
              </w:rPr>
            </w:pPr>
            <w:r w:rsidRPr="001808B1">
              <w:rPr>
                <w:b/>
                <w:bCs/>
              </w:rPr>
              <w:t xml:space="preserve">Description </w:t>
            </w:r>
          </w:p>
        </w:tc>
        <w:tc>
          <w:tcPr>
            <w:tcW w:w="0" w:type="auto"/>
            <w:shd w:val="clear" w:color="auto" w:fill="auto"/>
          </w:tcPr>
          <w:p w14:paraId="3546221F" w14:textId="77777777" w:rsidR="001F516D" w:rsidRPr="001808B1" w:rsidRDefault="001F516D" w:rsidP="00EA556C">
            <w:pPr>
              <w:pStyle w:val="In-tableHeading"/>
              <w:keepNext w:val="0"/>
              <w:rPr>
                <w:b/>
                <w:bCs/>
              </w:rPr>
            </w:pPr>
            <w:r w:rsidRPr="001808B1">
              <w:rPr>
                <w:b/>
                <w:bCs/>
              </w:rPr>
              <w:t xml:space="preserve">Data sources </w:t>
            </w:r>
          </w:p>
        </w:tc>
        <w:tc>
          <w:tcPr>
            <w:tcW w:w="0" w:type="auto"/>
            <w:shd w:val="clear" w:color="auto" w:fill="auto"/>
          </w:tcPr>
          <w:p w14:paraId="5E97C984" w14:textId="77777777" w:rsidR="001F516D" w:rsidRPr="001808B1" w:rsidRDefault="001F516D" w:rsidP="00EA556C">
            <w:pPr>
              <w:pStyle w:val="In-tableHeading"/>
              <w:keepNext w:val="0"/>
              <w:rPr>
                <w:b/>
                <w:bCs/>
              </w:rPr>
            </w:pPr>
            <w:r w:rsidRPr="001808B1">
              <w:rPr>
                <w:b/>
                <w:bCs/>
              </w:rPr>
              <w:t>Comment</w:t>
            </w:r>
          </w:p>
        </w:tc>
      </w:tr>
      <w:tr w:rsidR="009A31D6" w:rsidRPr="001808B1" w14:paraId="56D919A4" w14:textId="77777777" w:rsidTr="00BA1878">
        <w:tc>
          <w:tcPr>
            <w:tcW w:w="1413" w:type="dxa"/>
          </w:tcPr>
          <w:p w14:paraId="19862B08" w14:textId="77777777" w:rsidR="001F516D" w:rsidRPr="001808B1" w:rsidRDefault="001F516D" w:rsidP="00EA556C">
            <w:pPr>
              <w:pStyle w:val="TableText0"/>
              <w:keepNext w:val="0"/>
              <w:jc w:val="left"/>
            </w:pPr>
            <w:r w:rsidRPr="001808B1">
              <w:t>Total scripts and estimated annual rate of growth</w:t>
            </w:r>
          </w:p>
          <w:p w14:paraId="4B2D9EEF" w14:textId="77777777" w:rsidR="001F516D" w:rsidRPr="001808B1" w:rsidRDefault="001F516D" w:rsidP="00EA556C">
            <w:pPr>
              <w:pStyle w:val="TableText0"/>
              <w:keepNext w:val="0"/>
              <w:jc w:val="left"/>
            </w:pPr>
          </w:p>
        </w:tc>
        <w:tc>
          <w:tcPr>
            <w:tcW w:w="1787" w:type="dxa"/>
            <w:shd w:val="clear" w:color="auto" w:fill="auto"/>
          </w:tcPr>
          <w:p w14:paraId="3037148B" w14:textId="77777777" w:rsidR="001F516D" w:rsidRPr="001808B1" w:rsidRDefault="001F516D" w:rsidP="00EA556C">
            <w:pPr>
              <w:pStyle w:val="TableText0"/>
              <w:keepNext w:val="0"/>
              <w:jc w:val="left"/>
            </w:pPr>
            <w:r w:rsidRPr="001808B1">
              <w:t xml:space="preserve">Year 0 (2021): </w:t>
            </w:r>
            <w:r w:rsidR="00FA64BC">
              <w:t>358,424</w:t>
            </w:r>
            <w:r w:rsidR="00A64267" w:rsidRPr="001808B1">
              <w:t xml:space="preserve"> </w:t>
            </w:r>
          </w:p>
          <w:p w14:paraId="4C1BDCC1" w14:textId="77777777" w:rsidR="001F516D" w:rsidRPr="001808B1" w:rsidRDefault="001F516D" w:rsidP="00EA556C">
            <w:pPr>
              <w:pStyle w:val="TableText0"/>
              <w:keepNext w:val="0"/>
              <w:jc w:val="left"/>
            </w:pPr>
            <w:r w:rsidRPr="001808B1">
              <w:t>% increase in year 1: 8%</w:t>
            </w:r>
          </w:p>
          <w:p w14:paraId="63F0C428" w14:textId="77777777" w:rsidR="001F516D" w:rsidRPr="001808B1" w:rsidRDefault="001F516D" w:rsidP="00EA556C">
            <w:pPr>
              <w:pStyle w:val="TableText0"/>
              <w:keepNext w:val="0"/>
              <w:jc w:val="left"/>
            </w:pPr>
            <w:r w:rsidRPr="001808B1">
              <w:t>% increase from year 2 - year 6: 5%</w:t>
            </w:r>
          </w:p>
        </w:tc>
        <w:tc>
          <w:tcPr>
            <w:tcW w:w="0" w:type="auto"/>
          </w:tcPr>
          <w:p w14:paraId="26A22FE3" w14:textId="77777777" w:rsidR="001F516D" w:rsidRPr="001808B1" w:rsidRDefault="001F516D" w:rsidP="00F805BC">
            <w:pPr>
              <w:pStyle w:val="TableText0"/>
              <w:keepNext w:val="0"/>
              <w:jc w:val="left"/>
            </w:pPr>
            <w:r w:rsidRPr="001808B1">
              <w:t>Based on TIO prescription data</w:t>
            </w:r>
            <w:r w:rsidR="00A40E77">
              <w:t xml:space="preserve"> </w:t>
            </w:r>
            <w:r w:rsidRPr="001808B1">
              <w:t>from the year 2020.</w:t>
            </w:r>
            <w:r w:rsidR="00F805BC">
              <w:t xml:space="preserve"> Assumed each tiotropium prescription =</w:t>
            </w:r>
            <w:r w:rsidR="00A40E77">
              <w:t xml:space="preserve"> </w:t>
            </w:r>
            <w:r w:rsidR="00F805BC">
              <w:t xml:space="preserve">one medium or high dose ICS/LABA. </w:t>
            </w:r>
          </w:p>
        </w:tc>
        <w:tc>
          <w:tcPr>
            <w:tcW w:w="0" w:type="auto"/>
          </w:tcPr>
          <w:p w14:paraId="3713ECE2" w14:textId="77777777" w:rsidR="001F516D" w:rsidRPr="001808B1" w:rsidRDefault="001F516D" w:rsidP="00EA556C">
            <w:pPr>
              <w:pStyle w:val="TableText0"/>
              <w:keepNext w:val="0"/>
              <w:jc w:val="left"/>
            </w:pPr>
            <w:r w:rsidRPr="001808B1">
              <w:t>Medicare Statistics, 2021</w:t>
            </w:r>
          </w:p>
          <w:p w14:paraId="127376A4" w14:textId="77777777" w:rsidR="001F516D" w:rsidRPr="001808B1" w:rsidRDefault="001F516D" w:rsidP="00EA556C">
            <w:pPr>
              <w:pStyle w:val="TableText0"/>
              <w:keepNext w:val="0"/>
              <w:jc w:val="left"/>
            </w:pPr>
          </w:p>
          <w:p w14:paraId="729B3190" w14:textId="77777777" w:rsidR="001F516D" w:rsidRPr="001808B1" w:rsidRDefault="001F516D" w:rsidP="00EA556C">
            <w:pPr>
              <w:pStyle w:val="TableText0"/>
              <w:keepNext w:val="0"/>
              <w:jc w:val="left"/>
            </w:pPr>
            <w:r w:rsidRPr="001808B1">
              <w:t>Growth rates based on MF/IND/GLY PSD July 2020</w:t>
            </w:r>
          </w:p>
        </w:tc>
        <w:tc>
          <w:tcPr>
            <w:tcW w:w="0" w:type="auto"/>
          </w:tcPr>
          <w:p w14:paraId="46C96629" w14:textId="77777777" w:rsidR="001F516D" w:rsidRPr="006B608B" w:rsidRDefault="001F516D" w:rsidP="00EA556C">
            <w:pPr>
              <w:pStyle w:val="TableText0"/>
              <w:keepNext w:val="0"/>
              <w:jc w:val="left"/>
              <w:rPr>
                <w:iCs/>
              </w:rPr>
            </w:pPr>
            <w:r w:rsidRPr="006B608B">
              <w:rPr>
                <w:iCs/>
              </w:rPr>
              <w:t>Item 11043F is restricted to triple therapy in combination with ICS/LABA.</w:t>
            </w:r>
          </w:p>
          <w:p w14:paraId="37610EAF" w14:textId="77777777" w:rsidR="001F516D" w:rsidRPr="006B608B" w:rsidRDefault="001F516D" w:rsidP="00EA556C">
            <w:pPr>
              <w:pStyle w:val="TableText0"/>
              <w:keepNext w:val="0"/>
              <w:jc w:val="left"/>
              <w:rPr>
                <w:iCs/>
              </w:rPr>
            </w:pPr>
          </w:p>
          <w:p w14:paraId="217D169C" w14:textId="77777777" w:rsidR="001F516D" w:rsidRPr="001808B1" w:rsidRDefault="00E253FC" w:rsidP="00EA556C">
            <w:pPr>
              <w:pStyle w:val="TableText0"/>
              <w:keepNext w:val="0"/>
              <w:jc w:val="left"/>
              <w:rPr>
                <w:i/>
                <w:iCs/>
              </w:rPr>
            </w:pPr>
            <w:r>
              <w:rPr>
                <w:iCs/>
              </w:rPr>
              <w:t>S</w:t>
            </w:r>
            <w:r w:rsidR="001F516D" w:rsidRPr="006B608B">
              <w:rPr>
                <w:iCs/>
              </w:rPr>
              <w:t>imilar</w:t>
            </w:r>
            <w:r>
              <w:rPr>
                <w:iCs/>
              </w:rPr>
              <w:t xml:space="preserve"> growth</w:t>
            </w:r>
            <w:r w:rsidR="001F516D" w:rsidRPr="006B608B">
              <w:rPr>
                <w:iCs/>
              </w:rPr>
              <w:t xml:space="preserve"> rates were assumed for MF/IND/GLY.</w:t>
            </w:r>
          </w:p>
        </w:tc>
      </w:tr>
      <w:tr w:rsidR="009A31D6" w:rsidRPr="001808B1" w14:paraId="43270AAA" w14:textId="77777777" w:rsidTr="00BA1878">
        <w:tc>
          <w:tcPr>
            <w:tcW w:w="1413" w:type="dxa"/>
          </w:tcPr>
          <w:p w14:paraId="61B9808B" w14:textId="77777777" w:rsidR="001F516D" w:rsidRPr="001808B1" w:rsidRDefault="001F516D" w:rsidP="00EA556C">
            <w:pPr>
              <w:pStyle w:val="TableText0"/>
              <w:keepNext w:val="0"/>
              <w:jc w:val="left"/>
            </w:pPr>
            <w:r w:rsidRPr="001808B1">
              <w:t>Market share</w:t>
            </w:r>
          </w:p>
          <w:p w14:paraId="248537C7" w14:textId="77777777" w:rsidR="001F516D" w:rsidRPr="001808B1" w:rsidRDefault="001F516D" w:rsidP="00EA556C">
            <w:pPr>
              <w:pStyle w:val="TableText0"/>
              <w:keepNext w:val="0"/>
              <w:jc w:val="left"/>
            </w:pPr>
          </w:p>
        </w:tc>
        <w:tc>
          <w:tcPr>
            <w:tcW w:w="1787" w:type="dxa"/>
          </w:tcPr>
          <w:p w14:paraId="25B99A9F" w14:textId="77777777" w:rsidR="001F516D" w:rsidRPr="001808B1" w:rsidRDefault="001F516D" w:rsidP="00EA556C">
            <w:pPr>
              <w:pStyle w:val="TableText0"/>
              <w:keepNext w:val="0"/>
              <w:jc w:val="left"/>
            </w:pPr>
            <w:r w:rsidRPr="001808B1">
              <w:t>Market share of:</w:t>
            </w:r>
          </w:p>
          <w:p w14:paraId="5C6D8A9F" w14:textId="77777777" w:rsidR="001F516D" w:rsidRPr="001808B1" w:rsidRDefault="001F516D" w:rsidP="00EA556C">
            <w:pPr>
              <w:pStyle w:val="TableText0"/>
              <w:keepNext w:val="0"/>
              <w:jc w:val="left"/>
            </w:pPr>
            <w:r w:rsidRPr="001808B1">
              <w:t xml:space="preserve">- </w:t>
            </w:r>
            <w:r w:rsidR="000058C3">
              <w:t xml:space="preserve">seven </w:t>
            </w:r>
            <w:r w:rsidR="00E235E7" w:rsidRPr="001808B1">
              <w:t>high dose</w:t>
            </w:r>
            <w:r w:rsidRPr="001808B1">
              <w:t xml:space="preserve"> ICS/LABAs: 70.21%</w:t>
            </w:r>
          </w:p>
          <w:p w14:paraId="716BCCD3" w14:textId="77777777" w:rsidR="001F516D" w:rsidRPr="001808B1" w:rsidRDefault="001F516D" w:rsidP="00EA556C">
            <w:pPr>
              <w:pStyle w:val="TableText0"/>
              <w:keepNext w:val="0"/>
              <w:jc w:val="left"/>
            </w:pPr>
            <w:r w:rsidRPr="001808B1">
              <w:t xml:space="preserve">- </w:t>
            </w:r>
            <w:r w:rsidR="00B44F88">
              <w:t>Medium</w:t>
            </w:r>
            <w:r w:rsidRPr="001808B1">
              <w:t>-dose ICS/LABAs: 29.79%</w:t>
            </w:r>
          </w:p>
        </w:tc>
        <w:tc>
          <w:tcPr>
            <w:tcW w:w="0" w:type="auto"/>
          </w:tcPr>
          <w:p w14:paraId="4F9DBD67" w14:textId="77777777" w:rsidR="001F516D" w:rsidRPr="001808B1" w:rsidRDefault="001F516D" w:rsidP="003A09C3">
            <w:pPr>
              <w:pStyle w:val="TableText0"/>
              <w:keepNext w:val="0"/>
              <w:jc w:val="left"/>
            </w:pPr>
            <w:r w:rsidRPr="001808B1">
              <w:t>Market share of</w:t>
            </w:r>
            <w:r w:rsidR="000058C3">
              <w:t xml:space="preserve"> seven different</w:t>
            </w:r>
            <w:r w:rsidRPr="001808B1">
              <w:t xml:space="preserve"> </w:t>
            </w:r>
            <w:r w:rsidR="00E235E7" w:rsidRPr="001808B1">
              <w:t>high dose</w:t>
            </w:r>
            <w:r w:rsidRPr="001808B1">
              <w:t xml:space="preserve"> ICS/LABAs (of interest for calculations). </w:t>
            </w:r>
            <w:r w:rsidRPr="00944289">
              <w:rPr>
                <w:iCs/>
              </w:rPr>
              <w:t>The rate of 70.21% was applied for all years</w:t>
            </w:r>
            <w:r w:rsidR="000058C3" w:rsidRPr="00944289">
              <w:rPr>
                <w:iCs/>
              </w:rPr>
              <w:t>^</w:t>
            </w:r>
            <w:r w:rsidRPr="00944289">
              <w:rPr>
                <w:iCs/>
              </w:rPr>
              <w:t>.</w:t>
            </w:r>
          </w:p>
        </w:tc>
        <w:tc>
          <w:tcPr>
            <w:tcW w:w="0" w:type="auto"/>
          </w:tcPr>
          <w:p w14:paraId="7177F0E8" w14:textId="77777777" w:rsidR="001F516D" w:rsidRPr="001808B1" w:rsidRDefault="001F516D" w:rsidP="00EA556C">
            <w:pPr>
              <w:pStyle w:val="TableText0"/>
              <w:keepNext w:val="0"/>
              <w:jc w:val="left"/>
            </w:pPr>
            <w:r w:rsidRPr="001808B1">
              <w:t>Prospection data, a 10% longitudinal patient sample of PBS reimbursed prescriptions</w:t>
            </w:r>
          </w:p>
        </w:tc>
        <w:tc>
          <w:tcPr>
            <w:tcW w:w="0" w:type="auto"/>
          </w:tcPr>
          <w:p w14:paraId="2161E1FA" w14:textId="77777777" w:rsidR="001F516D" w:rsidRPr="001808B1" w:rsidRDefault="009A31D6" w:rsidP="00EA556C">
            <w:pPr>
              <w:pStyle w:val="TableText0"/>
              <w:keepNext w:val="0"/>
              <w:jc w:val="left"/>
              <w:rPr>
                <w:i/>
                <w:iCs/>
              </w:rPr>
            </w:pPr>
            <w:r>
              <w:rPr>
                <w:iCs/>
              </w:rPr>
              <w:t>The evaluation considered this was r</w:t>
            </w:r>
            <w:r w:rsidR="001F516D" w:rsidRPr="006B608B">
              <w:rPr>
                <w:iCs/>
              </w:rPr>
              <w:t>easonable</w:t>
            </w:r>
            <w:r w:rsidR="001F516D" w:rsidRPr="001808B1">
              <w:rPr>
                <w:i/>
                <w:iCs/>
              </w:rPr>
              <w:t>.</w:t>
            </w:r>
          </w:p>
        </w:tc>
      </w:tr>
      <w:tr w:rsidR="009A31D6" w:rsidRPr="001808B1" w14:paraId="58404B97" w14:textId="77777777" w:rsidTr="00BA1878">
        <w:tc>
          <w:tcPr>
            <w:tcW w:w="1413" w:type="dxa"/>
          </w:tcPr>
          <w:p w14:paraId="4BD0E33D" w14:textId="77777777" w:rsidR="001F516D" w:rsidRPr="001808B1" w:rsidRDefault="001F516D" w:rsidP="00EA556C">
            <w:pPr>
              <w:pStyle w:val="TableText0"/>
              <w:keepNext w:val="0"/>
              <w:jc w:val="left"/>
            </w:pPr>
            <w:r w:rsidRPr="001808B1">
              <w:t>Total single inhaler triple therapy market share in triple therapy in asthma</w:t>
            </w:r>
          </w:p>
          <w:p w14:paraId="27AA7FF1" w14:textId="77777777" w:rsidR="001F516D" w:rsidRPr="001808B1" w:rsidRDefault="001F516D" w:rsidP="00EA556C">
            <w:pPr>
              <w:pStyle w:val="TableText0"/>
              <w:keepNext w:val="0"/>
              <w:jc w:val="left"/>
            </w:pPr>
          </w:p>
        </w:tc>
        <w:tc>
          <w:tcPr>
            <w:tcW w:w="1787" w:type="dxa"/>
          </w:tcPr>
          <w:p w14:paraId="52FAFFCA" w14:textId="77777777" w:rsidR="001F516D" w:rsidRPr="001808B1" w:rsidRDefault="00F805BC" w:rsidP="00EA556C">
            <w:pPr>
              <w:pStyle w:val="TableText0"/>
              <w:keepNext w:val="0"/>
              <w:jc w:val="left"/>
            </w:pPr>
            <w:r>
              <w:t>S</w:t>
            </w:r>
            <w:r w:rsidR="001F516D" w:rsidRPr="001808B1">
              <w:t>ingle inhaler triple therapy % of total triple therapy:</w:t>
            </w:r>
          </w:p>
          <w:p w14:paraId="0233CDEA" w14:textId="77777777" w:rsidR="001F516D" w:rsidRPr="001808B1" w:rsidRDefault="001F516D" w:rsidP="00EA556C">
            <w:pPr>
              <w:pStyle w:val="TableText0"/>
              <w:keepNext w:val="0"/>
              <w:jc w:val="left"/>
            </w:pPr>
            <w:r w:rsidRPr="001808B1">
              <w:t>Year 0: 10.5%</w:t>
            </w:r>
          </w:p>
          <w:p w14:paraId="186F4235" w14:textId="77777777" w:rsidR="001F516D" w:rsidRPr="001808B1" w:rsidRDefault="001F516D" w:rsidP="00EA556C">
            <w:pPr>
              <w:pStyle w:val="TableText0"/>
              <w:keepNext w:val="0"/>
              <w:jc w:val="left"/>
            </w:pPr>
            <w:r w:rsidRPr="001808B1">
              <w:t>Year 1: 24.84%</w:t>
            </w:r>
          </w:p>
          <w:p w14:paraId="7F4BA792" w14:textId="77777777" w:rsidR="001F516D" w:rsidRPr="001808B1" w:rsidRDefault="001F516D" w:rsidP="00EA556C">
            <w:pPr>
              <w:pStyle w:val="TableText0"/>
              <w:keepNext w:val="0"/>
              <w:jc w:val="left"/>
            </w:pPr>
            <w:r w:rsidRPr="001808B1">
              <w:t>Year 2: 32.39%</w:t>
            </w:r>
          </w:p>
          <w:p w14:paraId="1468855A" w14:textId="77777777" w:rsidR="001F516D" w:rsidRPr="001808B1" w:rsidRDefault="001F516D" w:rsidP="00EA556C">
            <w:pPr>
              <w:pStyle w:val="TableText0"/>
              <w:keepNext w:val="0"/>
              <w:jc w:val="left"/>
            </w:pPr>
            <w:r w:rsidRPr="001808B1">
              <w:t>Year 3: 38.58%</w:t>
            </w:r>
          </w:p>
          <w:p w14:paraId="08D0842C" w14:textId="77777777" w:rsidR="001F516D" w:rsidRPr="001808B1" w:rsidRDefault="001F516D" w:rsidP="00EA556C">
            <w:pPr>
              <w:pStyle w:val="TableText0"/>
              <w:keepNext w:val="0"/>
              <w:jc w:val="left"/>
            </w:pPr>
            <w:r w:rsidRPr="001808B1">
              <w:t>Year 4: 43.94%</w:t>
            </w:r>
            <w:r w:rsidRPr="001808B1">
              <w:tab/>
            </w:r>
          </w:p>
          <w:p w14:paraId="426B417C" w14:textId="77777777" w:rsidR="001F516D" w:rsidRPr="001808B1" w:rsidRDefault="001F516D" w:rsidP="00EA556C">
            <w:pPr>
              <w:pStyle w:val="TableText0"/>
              <w:keepNext w:val="0"/>
              <w:jc w:val="left"/>
            </w:pPr>
            <w:r w:rsidRPr="001808B1">
              <w:t>Year 5: 48.57%</w:t>
            </w:r>
          </w:p>
          <w:p w14:paraId="27BC000D" w14:textId="77777777" w:rsidR="001F516D" w:rsidRPr="001808B1" w:rsidRDefault="001F516D" w:rsidP="00EA556C">
            <w:pPr>
              <w:pStyle w:val="TableText0"/>
              <w:keepNext w:val="0"/>
              <w:jc w:val="left"/>
            </w:pPr>
            <w:r w:rsidRPr="001808B1">
              <w:t>Year 6: 52.59%</w:t>
            </w:r>
          </w:p>
        </w:tc>
        <w:tc>
          <w:tcPr>
            <w:tcW w:w="0" w:type="auto"/>
          </w:tcPr>
          <w:p w14:paraId="725AA991" w14:textId="77777777" w:rsidR="001F516D" w:rsidRPr="001808B1" w:rsidRDefault="000058C3" w:rsidP="00EA556C">
            <w:pPr>
              <w:pStyle w:val="TableText0"/>
              <w:keepNext w:val="0"/>
              <w:jc w:val="left"/>
            </w:pPr>
            <w:r>
              <w:t>Single inhaler triple therapy</w:t>
            </w:r>
            <w:r w:rsidRPr="000058C3">
              <w:t xml:space="preserve"> uptake in total COPD triple-therapy market from year 2 of a triple being available on the PBS.</w:t>
            </w:r>
          </w:p>
        </w:tc>
        <w:tc>
          <w:tcPr>
            <w:tcW w:w="0" w:type="auto"/>
          </w:tcPr>
          <w:p w14:paraId="1B281E62" w14:textId="77777777" w:rsidR="001F516D" w:rsidRPr="001808B1" w:rsidRDefault="001F516D" w:rsidP="00EA556C">
            <w:pPr>
              <w:pStyle w:val="TableText0"/>
              <w:keepNext w:val="0"/>
              <w:jc w:val="left"/>
            </w:pPr>
            <w:r w:rsidRPr="001808B1">
              <w:t>Prospection data, a 10% longitudinal patient sample of PBS reimbursed prescriptions</w:t>
            </w:r>
          </w:p>
        </w:tc>
        <w:tc>
          <w:tcPr>
            <w:tcW w:w="0" w:type="auto"/>
          </w:tcPr>
          <w:p w14:paraId="6D224F12" w14:textId="77777777" w:rsidR="001F516D" w:rsidRPr="006B608B" w:rsidRDefault="001F516D" w:rsidP="009A31D6">
            <w:pPr>
              <w:pStyle w:val="TableText0"/>
              <w:keepNext w:val="0"/>
              <w:jc w:val="left"/>
              <w:rPr>
                <w:iCs/>
              </w:rPr>
            </w:pPr>
            <w:r w:rsidRPr="006B608B">
              <w:t xml:space="preserve">The PBAC previously noted that “…..there is no requirement that LAMA/LABA FDCs must be used in combination with ICS for COPD (and therefore cannot proxy for triple therapy scripts)” (Table 9, </w:t>
            </w:r>
            <w:r w:rsidR="00B337D1" w:rsidRPr="006B608B">
              <w:t>MF/IND/GLY PSD,</w:t>
            </w:r>
            <w:r w:rsidR="007B3905" w:rsidRPr="006B608B">
              <w:t xml:space="preserve"> </w:t>
            </w:r>
            <w:r w:rsidRPr="006B608B">
              <w:t>July 2020 PBAC Meeting).</w:t>
            </w:r>
          </w:p>
        </w:tc>
      </w:tr>
      <w:tr w:rsidR="009A31D6" w:rsidRPr="001808B1" w14:paraId="6AC6228B" w14:textId="77777777" w:rsidTr="00BA1878">
        <w:tc>
          <w:tcPr>
            <w:tcW w:w="1413" w:type="dxa"/>
          </w:tcPr>
          <w:p w14:paraId="35A0C8FB" w14:textId="77777777" w:rsidR="001F516D" w:rsidRPr="001808B1" w:rsidRDefault="001F516D" w:rsidP="00EA556C">
            <w:pPr>
              <w:pStyle w:val="TableText0"/>
              <w:keepNext w:val="0"/>
              <w:jc w:val="left"/>
            </w:pPr>
            <w:r w:rsidRPr="001808B1">
              <w:t xml:space="preserve">Uptake rate of </w:t>
            </w:r>
            <w:r w:rsidR="0081496A">
              <w:t>FF/UMEC/VI 200/62.5/25</w:t>
            </w:r>
            <w:r w:rsidRPr="001808B1">
              <w:t xml:space="preserve"> within single inhaler triple therapy market</w:t>
            </w:r>
          </w:p>
          <w:p w14:paraId="744B18F3" w14:textId="77777777" w:rsidR="001F516D" w:rsidRPr="001808B1" w:rsidRDefault="001F516D" w:rsidP="00EA556C">
            <w:pPr>
              <w:pStyle w:val="TableText0"/>
              <w:keepNext w:val="0"/>
              <w:jc w:val="left"/>
            </w:pPr>
          </w:p>
        </w:tc>
        <w:tc>
          <w:tcPr>
            <w:tcW w:w="1787" w:type="dxa"/>
          </w:tcPr>
          <w:p w14:paraId="00092555" w14:textId="77777777" w:rsidR="001F516D" w:rsidRPr="006B608B" w:rsidRDefault="001F516D" w:rsidP="00EA556C">
            <w:pPr>
              <w:pStyle w:val="TableText0"/>
              <w:keepNext w:val="0"/>
              <w:jc w:val="left"/>
              <w:rPr>
                <w:iCs/>
              </w:rPr>
            </w:pPr>
            <w:r w:rsidRPr="006B608B">
              <w:rPr>
                <w:iCs/>
              </w:rPr>
              <w:t xml:space="preserve">Base case model: 50%: 50% split across MF/IND/GLY 136/114/46 and </w:t>
            </w:r>
            <w:r w:rsidR="0081496A">
              <w:rPr>
                <w:iCs/>
              </w:rPr>
              <w:t>FF/UMEC/VI 200/62.5/25</w:t>
            </w:r>
          </w:p>
        </w:tc>
        <w:tc>
          <w:tcPr>
            <w:tcW w:w="0" w:type="auto"/>
          </w:tcPr>
          <w:p w14:paraId="79E9D583" w14:textId="77777777" w:rsidR="001F516D" w:rsidRPr="001808B1" w:rsidRDefault="002A212B" w:rsidP="00EA556C">
            <w:pPr>
              <w:pStyle w:val="TableText0"/>
              <w:keepNext w:val="0"/>
              <w:jc w:val="left"/>
              <w:rPr>
                <w:rFonts w:cs="Segoe UI"/>
              </w:rPr>
            </w:pPr>
            <w:r>
              <w:t xml:space="preserve">Assumed </w:t>
            </w:r>
            <w:r w:rsidR="001F516D" w:rsidRPr="001808B1">
              <w:t>due to the lack of any MF/IND/GLY</w:t>
            </w:r>
            <w:r w:rsidR="00943437" w:rsidRPr="001808B1">
              <w:t xml:space="preserve"> </w:t>
            </w:r>
            <w:r w:rsidR="001F516D" w:rsidRPr="001808B1">
              <w:t>136/114/46 prescribing data currently</w:t>
            </w:r>
            <w:r w:rsidR="00943437" w:rsidRPr="001808B1">
              <w:t>.</w:t>
            </w:r>
            <w:r w:rsidR="001F516D" w:rsidRPr="001808B1">
              <w:t xml:space="preserve"> </w:t>
            </w:r>
            <w:r w:rsidR="001F516D" w:rsidRPr="006B608B">
              <w:rPr>
                <w:iCs/>
              </w:rPr>
              <w:t>This equal market share split was carried forward for the 6 years of the model.</w:t>
            </w:r>
          </w:p>
        </w:tc>
        <w:tc>
          <w:tcPr>
            <w:tcW w:w="0" w:type="auto"/>
          </w:tcPr>
          <w:p w14:paraId="1AB1062B" w14:textId="77777777" w:rsidR="001F516D" w:rsidRPr="001808B1" w:rsidRDefault="001F516D" w:rsidP="00EA556C">
            <w:pPr>
              <w:pStyle w:val="TableText0"/>
              <w:keepNext w:val="0"/>
              <w:jc w:val="left"/>
            </w:pPr>
            <w:r w:rsidRPr="001808B1">
              <w:t>Assumption</w:t>
            </w:r>
          </w:p>
        </w:tc>
        <w:tc>
          <w:tcPr>
            <w:tcW w:w="0" w:type="auto"/>
          </w:tcPr>
          <w:p w14:paraId="14465F63" w14:textId="77777777" w:rsidR="001F516D" w:rsidRPr="001808B1" w:rsidRDefault="002A212B" w:rsidP="00E253FC">
            <w:pPr>
              <w:pStyle w:val="TableText0"/>
              <w:keepNext w:val="0"/>
              <w:jc w:val="left"/>
            </w:pPr>
            <w:r w:rsidRPr="006B608B">
              <w:rPr>
                <w:iCs/>
              </w:rPr>
              <w:t xml:space="preserve">The </w:t>
            </w:r>
            <w:r w:rsidR="009A31D6">
              <w:rPr>
                <w:iCs/>
              </w:rPr>
              <w:t xml:space="preserve">evaluation considered the </w:t>
            </w:r>
            <w:r w:rsidRPr="006B608B">
              <w:rPr>
                <w:iCs/>
              </w:rPr>
              <w:t xml:space="preserve">uptake of </w:t>
            </w:r>
            <w:r w:rsidR="0081496A">
              <w:rPr>
                <w:iCs/>
              </w:rPr>
              <w:t>FF/UMEC/VI 200/62.5/25</w:t>
            </w:r>
            <w:r w:rsidRPr="006B608B">
              <w:rPr>
                <w:iCs/>
              </w:rPr>
              <w:t xml:space="preserve"> is likely to be comparatively higher due to the patients’ and physicians’ familiarity with the Ellipta device (as </w:t>
            </w:r>
            <w:r w:rsidR="0081496A">
              <w:rPr>
                <w:iCs/>
              </w:rPr>
              <w:t>FF/UMEC/VI</w:t>
            </w:r>
            <w:r w:rsidRPr="006B608B">
              <w:rPr>
                <w:iCs/>
              </w:rPr>
              <w:t xml:space="preserve"> </w:t>
            </w:r>
            <w:r w:rsidR="0081496A">
              <w:rPr>
                <w:iCs/>
              </w:rPr>
              <w:t>100/62.5/25</w:t>
            </w:r>
            <w:r w:rsidRPr="006B608B">
              <w:rPr>
                <w:iCs/>
              </w:rPr>
              <w:t xml:space="preserve"> is already PBS-listed to treat COPD). </w:t>
            </w:r>
            <w:r w:rsidR="005D188D" w:rsidRPr="005D188D">
              <w:t xml:space="preserve">However, given the price is the same, it </w:t>
            </w:r>
            <w:r w:rsidR="00086F09">
              <w:t>will</w:t>
            </w:r>
            <w:r w:rsidR="005D188D" w:rsidRPr="005D188D">
              <w:t xml:space="preserve"> not </w:t>
            </w:r>
            <w:r w:rsidR="00086F09">
              <w:t>affect</w:t>
            </w:r>
            <w:r w:rsidR="005D188D" w:rsidRPr="005D188D">
              <w:t xml:space="preserve"> the overall cost of the </w:t>
            </w:r>
            <w:r w:rsidR="005D188D">
              <w:t>single inhaler triple therapy</w:t>
            </w:r>
            <w:r w:rsidR="005D188D" w:rsidRPr="005D188D">
              <w:t xml:space="preserve"> market cos</w:t>
            </w:r>
            <w:r w:rsidR="00086F09">
              <w:t>t</w:t>
            </w:r>
            <w:r w:rsidR="005D188D" w:rsidRPr="005D188D">
              <w:t xml:space="preserve"> (p186 of the submission)</w:t>
            </w:r>
            <w:r w:rsidR="005D188D">
              <w:t>.</w:t>
            </w:r>
            <w:r w:rsidR="005D188D" w:rsidRPr="005D188D">
              <w:rPr>
                <w:i/>
                <w:iCs/>
              </w:rPr>
              <w:t xml:space="preserve"> </w:t>
            </w:r>
          </w:p>
        </w:tc>
      </w:tr>
      <w:tr w:rsidR="009A31D6" w:rsidRPr="001808B1" w14:paraId="61883429" w14:textId="77777777" w:rsidTr="00BA1878">
        <w:tc>
          <w:tcPr>
            <w:tcW w:w="1413" w:type="dxa"/>
          </w:tcPr>
          <w:p w14:paraId="4E281692" w14:textId="77777777" w:rsidR="001F516D" w:rsidRPr="006B608B" w:rsidRDefault="001F516D" w:rsidP="00EA556C">
            <w:pPr>
              <w:pStyle w:val="TableText0"/>
              <w:keepNext w:val="0"/>
              <w:jc w:val="left"/>
              <w:rPr>
                <w:iCs/>
              </w:rPr>
            </w:pPr>
            <w:r w:rsidRPr="006B608B">
              <w:rPr>
                <w:iCs/>
              </w:rPr>
              <w:t>Patients drug compliance</w:t>
            </w:r>
          </w:p>
        </w:tc>
        <w:tc>
          <w:tcPr>
            <w:tcW w:w="1787" w:type="dxa"/>
          </w:tcPr>
          <w:p w14:paraId="72F6C46A" w14:textId="77777777" w:rsidR="001F516D" w:rsidRPr="006B608B" w:rsidRDefault="001F516D" w:rsidP="00EA556C">
            <w:pPr>
              <w:pStyle w:val="TableText0"/>
              <w:keepNext w:val="0"/>
              <w:jc w:val="left"/>
              <w:rPr>
                <w:iCs/>
              </w:rPr>
            </w:pPr>
            <w:r w:rsidRPr="006B608B">
              <w:rPr>
                <w:iCs/>
              </w:rPr>
              <w:t>100%</w:t>
            </w:r>
          </w:p>
        </w:tc>
        <w:tc>
          <w:tcPr>
            <w:tcW w:w="0" w:type="auto"/>
          </w:tcPr>
          <w:p w14:paraId="7FDA0D7E" w14:textId="77777777" w:rsidR="001F516D" w:rsidRPr="006B608B" w:rsidRDefault="001F516D" w:rsidP="00EA556C">
            <w:pPr>
              <w:pStyle w:val="TableText0"/>
              <w:keepNext w:val="0"/>
              <w:jc w:val="left"/>
            </w:pPr>
            <w:r w:rsidRPr="006B608B">
              <w:t>NA</w:t>
            </w:r>
          </w:p>
        </w:tc>
        <w:tc>
          <w:tcPr>
            <w:tcW w:w="0" w:type="auto"/>
          </w:tcPr>
          <w:p w14:paraId="6B4485B2" w14:textId="77777777" w:rsidR="001F516D" w:rsidRPr="006B608B" w:rsidRDefault="001F516D" w:rsidP="00EA556C">
            <w:pPr>
              <w:pStyle w:val="TableText0"/>
              <w:keepNext w:val="0"/>
              <w:jc w:val="left"/>
              <w:rPr>
                <w:iCs/>
              </w:rPr>
            </w:pPr>
            <w:r w:rsidRPr="006B608B">
              <w:rPr>
                <w:iCs/>
              </w:rPr>
              <w:t>Assumption</w:t>
            </w:r>
          </w:p>
        </w:tc>
        <w:tc>
          <w:tcPr>
            <w:tcW w:w="0" w:type="auto"/>
          </w:tcPr>
          <w:p w14:paraId="3EC9DF4C" w14:textId="77777777" w:rsidR="001F516D" w:rsidRPr="006B608B" w:rsidRDefault="000058C3" w:rsidP="00AF07C0">
            <w:pPr>
              <w:pStyle w:val="TableText0"/>
              <w:keepNext w:val="0"/>
              <w:jc w:val="left"/>
              <w:rPr>
                <w:iCs/>
              </w:rPr>
            </w:pPr>
            <w:r w:rsidRPr="006B608B">
              <w:rPr>
                <w:iCs/>
              </w:rPr>
              <w:t>Compliance is unlikely to be 100% but the assumption is conservative</w:t>
            </w:r>
            <w:r w:rsidR="001F516D" w:rsidRPr="006B608B">
              <w:rPr>
                <w:iCs/>
              </w:rPr>
              <w:t xml:space="preserve">. A sensitivity analysis was conducted to </w:t>
            </w:r>
            <w:r w:rsidR="00AF07C0">
              <w:rPr>
                <w:iCs/>
              </w:rPr>
              <w:t>test this assumption.</w:t>
            </w:r>
          </w:p>
        </w:tc>
      </w:tr>
      <w:tr w:rsidR="009A31D6" w:rsidRPr="001808B1" w14:paraId="2CF2AA26" w14:textId="77777777" w:rsidTr="00BA1878">
        <w:tc>
          <w:tcPr>
            <w:tcW w:w="1413" w:type="dxa"/>
          </w:tcPr>
          <w:p w14:paraId="4145E2A9" w14:textId="77777777" w:rsidR="001F516D" w:rsidRPr="006B608B" w:rsidRDefault="001F516D" w:rsidP="00EA556C">
            <w:pPr>
              <w:pStyle w:val="TableText0"/>
              <w:keepNext w:val="0"/>
              <w:jc w:val="left"/>
              <w:rPr>
                <w:iCs/>
              </w:rPr>
            </w:pPr>
            <w:bookmarkStart w:id="47" w:name="_Hlk81786162"/>
            <w:r w:rsidRPr="006B608B">
              <w:rPr>
                <w:iCs/>
              </w:rPr>
              <w:t>Cost of treatment</w:t>
            </w:r>
          </w:p>
        </w:tc>
        <w:tc>
          <w:tcPr>
            <w:tcW w:w="1787" w:type="dxa"/>
          </w:tcPr>
          <w:p w14:paraId="31153819" w14:textId="77777777" w:rsidR="001F516D" w:rsidRPr="006B608B" w:rsidRDefault="001F516D" w:rsidP="00EA556C">
            <w:pPr>
              <w:pStyle w:val="TableText0"/>
              <w:keepNext w:val="0"/>
              <w:jc w:val="left"/>
              <w:rPr>
                <w:iCs/>
              </w:rPr>
            </w:pPr>
            <w:r w:rsidRPr="006B608B">
              <w:t>$1,115* per year</w:t>
            </w:r>
          </w:p>
        </w:tc>
        <w:tc>
          <w:tcPr>
            <w:tcW w:w="0" w:type="auto"/>
          </w:tcPr>
          <w:p w14:paraId="1615F498" w14:textId="77777777" w:rsidR="001F516D" w:rsidRPr="006B608B" w:rsidRDefault="001F516D" w:rsidP="00EA556C">
            <w:pPr>
              <w:pStyle w:val="TableText0"/>
              <w:keepNext w:val="0"/>
              <w:jc w:val="left"/>
            </w:pPr>
            <w:r w:rsidRPr="006B608B">
              <w:t>NA</w:t>
            </w:r>
          </w:p>
        </w:tc>
        <w:tc>
          <w:tcPr>
            <w:tcW w:w="0" w:type="auto"/>
          </w:tcPr>
          <w:p w14:paraId="63553911" w14:textId="77777777" w:rsidR="001F516D" w:rsidRPr="006B608B" w:rsidRDefault="001F516D" w:rsidP="00EA556C">
            <w:pPr>
              <w:pStyle w:val="TableText0"/>
              <w:keepNext w:val="0"/>
              <w:jc w:val="left"/>
              <w:rPr>
                <w:iCs/>
              </w:rPr>
            </w:pPr>
            <w:r w:rsidRPr="006B608B">
              <w:rPr>
                <w:iCs/>
              </w:rPr>
              <w:t>Estimated during the evaluation</w:t>
            </w:r>
          </w:p>
        </w:tc>
        <w:tc>
          <w:tcPr>
            <w:tcW w:w="0" w:type="auto"/>
          </w:tcPr>
          <w:p w14:paraId="577B36D0" w14:textId="77777777" w:rsidR="001F516D" w:rsidRPr="006B608B" w:rsidRDefault="001F516D" w:rsidP="00EA556C">
            <w:pPr>
              <w:pStyle w:val="TableText0"/>
              <w:keepNext w:val="0"/>
              <w:jc w:val="left"/>
              <w:rPr>
                <w:iCs/>
              </w:rPr>
            </w:pPr>
            <w:r w:rsidRPr="006B608B">
              <w:rPr>
                <w:iCs/>
              </w:rPr>
              <w:t>NA</w:t>
            </w:r>
          </w:p>
        </w:tc>
      </w:tr>
      <w:tr w:rsidR="009A31D6" w:rsidRPr="001808B1" w14:paraId="63ACD52B" w14:textId="77777777" w:rsidTr="00BA1878">
        <w:tc>
          <w:tcPr>
            <w:tcW w:w="1413" w:type="dxa"/>
          </w:tcPr>
          <w:p w14:paraId="74762C73" w14:textId="77777777" w:rsidR="001F516D" w:rsidRPr="006B608B" w:rsidRDefault="001F516D" w:rsidP="00EA556C">
            <w:pPr>
              <w:pStyle w:val="TableText0"/>
              <w:keepNext w:val="0"/>
              <w:jc w:val="left"/>
              <w:rPr>
                <w:iCs/>
              </w:rPr>
            </w:pPr>
            <w:r w:rsidRPr="006B608B">
              <w:rPr>
                <w:iCs/>
              </w:rPr>
              <w:t>Patient co-payment per script</w:t>
            </w:r>
          </w:p>
        </w:tc>
        <w:tc>
          <w:tcPr>
            <w:tcW w:w="1787" w:type="dxa"/>
          </w:tcPr>
          <w:p w14:paraId="74941DE7" w14:textId="77777777" w:rsidR="001F516D" w:rsidRPr="006B608B" w:rsidRDefault="001F516D" w:rsidP="00EA556C">
            <w:pPr>
              <w:pStyle w:val="TableText0"/>
              <w:keepNext w:val="0"/>
              <w:jc w:val="left"/>
              <w:rPr>
                <w:iCs/>
              </w:rPr>
            </w:pPr>
            <w:r w:rsidRPr="006B608B">
              <w:rPr>
                <w:iCs/>
              </w:rPr>
              <w:t>$9.97**</w:t>
            </w:r>
          </w:p>
        </w:tc>
        <w:tc>
          <w:tcPr>
            <w:tcW w:w="0" w:type="auto"/>
          </w:tcPr>
          <w:p w14:paraId="714C16EF" w14:textId="77777777" w:rsidR="001F516D" w:rsidRPr="006B608B" w:rsidRDefault="001F516D" w:rsidP="00EA556C">
            <w:pPr>
              <w:pStyle w:val="TableText0"/>
              <w:keepNext w:val="0"/>
              <w:jc w:val="left"/>
            </w:pPr>
            <w:r w:rsidRPr="006B608B">
              <w:t>NA</w:t>
            </w:r>
          </w:p>
        </w:tc>
        <w:tc>
          <w:tcPr>
            <w:tcW w:w="0" w:type="auto"/>
          </w:tcPr>
          <w:p w14:paraId="0F18BDF2" w14:textId="77777777" w:rsidR="001F516D" w:rsidRPr="006B608B" w:rsidRDefault="001F516D" w:rsidP="00EA556C">
            <w:pPr>
              <w:pStyle w:val="TableText0"/>
              <w:keepNext w:val="0"/>
              <w:jc w:val="left"/>
              <w:rPr>
                <w:iCs/>
              </w:rPr>
            </w:pPr>
            <w:r w:rsidRPr="006B608B">
              <w:rPr>
                <w:iCs/>
              </w:rPr>
              <w:t>Estimated during the evaluation</w:t>
            </w:r>
          </w:p>
        </w:tc>
        <w:tc>
          <w:tcPr>
            <w:tcW w:w="0" w:type="auto"/>
          </w:tcPr>
          <w:p w14:paraId="433BAEC7" w14:textId="77777777" w:rsidR="001F516D" w:rsidRPr="006B608B" w:rsidRDefault="001F516D" w:rsidP="00EA556C">
            <w:pPr>
              <w:pStyle w:val="TableText0"/>
              <w:keepNext w:val="0"/>
              <w:jc w:val="left"/>
              <w:rPr>
                <w:iCs/>
              </w:rPr>
            </w:pPr>
            <w:r w:rsidRPr="006B608B">
              <w:rPr>
                <w:iCs/>
              </w:rPr>
              <w:t>NA</w:t>
            </w:r>
          </w:p>
        </w:tc>
      </w:tr>
    </w:tbl>
    <w:bookmarkEnd w:id="47"/>
    <w:p w14:paraId="787ABA65" w14:textId="77777777" w:rsidR="001F516D" w:rsidRPr="00E23C38" w:rsidRDefault="001F516D" w:rsidP="00EA556C">
      <w:pPr>
        <w:pStyle w:val="TableFigureFooter"/>
        <w:rPr>
          <w:rFonts w:eastAsia="MS Gothic"/>
          <w:iCs/>
        </w:rPr>
      </w:pPr>
      <w:r w:rsidRPr="001808B1">
        <w:rPr>
          <w:rFonts w:eastAsia="MS Gothic"/>
        </w:rPr>
        <w:t xml:space="preserve">Source: Table 87, pp171-172, Table 89, p174, 91, p177 </w:t>
      </w:r>
      <w:r w:rsidRPr="00E23C38">
        <w:rPr>
          <w:rFonts w:eastAsia="MS Gothic"/>
          <w:iCs/>
        </w:rPr>
        <w:t>and “2d. Scripts- Market” Sheet of “Attachment 14 Trelegy section 4.xlsx”</w:t>
      </w:r>
    </w:p>
    <w:p w14:paraId="174DA47D" w14:textId="77777777" w:rsidR="001F516D" w:rsidRPr="001808B1" w:rsidRDefault="001F516D" w:rsidP="00EA556C">
      <w:pPr>
        <w:pStyle w:val="TableFigureFooter"/>
      </w:pPr>
      <w:r w:rsidRPr="00E23C38">
        <w:t>COPD: chronic obstructive pulmonary disease; FDC: fixed dose combination; ICS: inhaled corticosteroid; LABA: long acting beta agonist; N/A: Not applicable; PBS: pharmaceutical benefits scheme; PSD:</w:t>
      </w:r>
      <w:r w:rsidRPr="001808B1">
        <w:t xml:space="preserve"> public summary document</w:t>
      </w:r>
    </w:p>
    <w:p w14:paraId="18AC0330" w14:textId="77777777" w:rsidR="004972DB" w:rsidRDefault="001F516D" w:rsidP="00EA556C">
      <w:pPr>
        <w:pStyle w:val="TableFigureFooter"/>
      </w:pPr>
      <w:r w:rsidRPr="001808B1">
        <w:t>* Th</w:t>
      </w:r>
      <w:r w:rsidR="00EA7021">
        <w:t>is</w:t>
      </w:r>
      <w:r w:rsidRPr="001808B1">
        <w:t xml:space="preserve"> calculation assume</w:t>
      </w:r>
      <w:r w:rsidR="00EA7021">
        <w:t>s</w:t>
      </w:r>
      <w:r w:rsidRPr="001808B1">
        <w:t xml:space="preserve"> 12.175 scripts per year at the requested DPMQs ($91.60).</w:t>
      </w:r>
    </w:p>
    <w:p w14:paraId="1A030F9F" w14:textId="77777777" w:rsidR="001F516D" w:rsidRPr="001808B1" w:rsidRDefault="001F516D" w:rsidP="00EA556C">
      <w:pPr>
        <w:pStyle w:val="TableFigureFooter"/>
        <w:rPr>
          <w:rFonts w:eastAsia="MS Gothic"/>
        </w:rPr>
      </w:pPr>
      <w:r w:rsidRPr="001808B1">
        <w:t>** Estimated as Total co-payments*DPMQ/Total costs</w:t>
      </w:r>
    </w:p>
    <w:p w14:paraId="027B0FAC" w14:textId="77777777" w:rsidR="0080574A" w:rsidRPr="001808B1" w:rsidRDefault="001F516D" w:rsidP="00EA556C">
      <w:pPr>
        <w:pStyle w:val="TableFigureFooter"/>
      </w:pPr>
      <w:r w:rsidRPr="001808B1">
        <w:rPr>
          <w:rFonts w:eastAsia="MS Gothic"/>
        </w:rPr>
        <w:t xml:space="preserve">^ </w:t>
      </w:r>
      <w:r w:rsidR="000058C3" w:rsidRPr="000058C3">
        <w:rPr>
          <w:rFonts w:eastAsia="MS Gothic"/>
        </w:rPr>
        <w:t>ICS/LABAs for COPD and asthma were separated during the analysis</w:t>
      </w:r>
      <w:r w:rsidR="000058C3">
        <w:rPr>
          <w:rFonts w:eastAsia="MS Gothic"/>
        </w:rPr>
        <w:t xml:space="preserve">. </w:t>
      </w:r>
      <w:r w:rsidRPr="001808B1">
        <w:t xml:space="preserve">Drugs specifically coded for COPD include: Onbrez (indacaterol), Spiriva (tiotropium (COPD codes only)), Bretaris (aclidinium), Incruse (umeclidinium), Seebri (glycopyrronium), Anoro (umeclidinium/vilanterol), Ultibro (glycopyrronium/indacaterol), Brimica (aclidinium/formoterol), Spiolto (tiotropioum/olodaterol), Trelegy Ellipta </w:t>
      </w:r>
      <w:r w:rsidR="0081496A">
        <w:t>100/62.5/25</w:t>
      </w:r>
      <w:r w:rsidR="001B116F" w:rsidRPr="001808B1">
        <w:t xml:space="preserve"> mcg</w:t>
      </w:r>
      <w:r w:rsidRPr="001808B1">
        <w:t xml:space="preserve"> and Braltus (tiotropium (COPD codes only))</w:t>
      </w:r>
    </w:p>
    <w:p w14:paraId="4614E2D8" w14:textId="77777777" w:rsidR="001F516D" w:rsidRPr="001808B1" w:rsidRDefault="001F516D" w:rsidP="00EA556C">
      <w:pPr>
        <w:pStyle w:val="3-BodyText"/>
      </w:pPr>
      <w:r w:rsidRPr="001808B1">
        <w:t xml:space="preserve">Table </w:t>
      </w:r>
      <w:r w:rsidR="0080574A" w:rsidRPr="001808B1">
        <w:t>1</w:t>
      </w:r>
      <w:r w:rsidR="00646FC1">
        <w:t>1</w:t>
      </w:r>
      <w:r w:rsidRPr="001808B1">
        <w:t xml:space="preserve"> summarises the estimated use and financial impact of the requested listing for </w:t>
      </w:r>
      <w:r w:rsidR="0081496A">
        <w:t>FF/UMEC/VI 200/62.5/25</w:t>
      </w:r>
      <w:r w:rsidRPr="001808B1">
        <w:t>.</w:t>
      </w:r>
    </w:p>
    <w:p w14:paraId="2A4F5C81" w14:textId="77777777" w:rsidR="001F516D" w:rsidRPr="001808B1" w:rsidRDefault="001F516D" w:rsidP="00CB227D">
      <w:pPr>
        <w:pStyle w:val="TableFigureHeading"/>
        <w:keepLines/>
      </w:pPr>
      <w:r w:rsidRPr="001808B1">
        <w:t xml:space="preserve">Table </w:t>
      </w:r>
      <w:r w:rsidR="00942085" w:rsidRPr="001808B1">
        <w:t>1</w:t>
      </w:r>
      <w:r w:rsidR="00646FC1">
        <w:t>1</w:t>
      </w:r>
      <w:r w:rsidRPr="001808B1">
        <w:t xml:space="preserve">: </w:t>
      </w:r>
      <w:r w:rsidRPr="001808B1">
        <w:rPr>
          <w:rStyle w:val="CommentReference"/>
          <w:b/>
          <w:szCs w:val="24"/>
        </w:rPr>
        <w:t>Estimated use and financial implications to the PBS/RPBS</w:t>
      </w:r>
    </w:p>
    <w:tbl>
      <w:tblPr>
        <w:tblW w:w="0" w:type="auto"/>
        <w:tblCellMar>
          <w:left w:w="28" w:type="dxa"/>
          <w:right w:w="28" w:type="dxa"/>
        </w:tblCellMar>
        <w:tblLook w:val="04A0" w:firstRow="1" w:lastRow="0" w:firstColumn="1" w:lastColumn="0" w:noHBand="0" w:noVBand="1"/>
        <w:tblCaption w:val="Table 11: Estimated use and financial implications to the PBS/RPBS"/>
      </w:tblPr>
      <w:tblGrid>
        <w:gridCol w:w="2263"/>
        <w:gridCol w:w="1125"/>
        <w:gridCol w:w="1126"/>
        <w:gridCol w:w="1126"/>
        <w:gridCol w:w="1125"/>
        <w:gridCol w:w="1126"/>
        <w:gridCol w:w="1126"/>
      </w:tblGrid>
      <w:tr w:rsidR="001F516D" w:rsidRPr="001808B1" w14:paraId="1AFDA402" w14:textId="77777777" w:rsidTr="00090A06">
        <w:trPr>
          <w:trHeight w:val="227"/>
          <w:tblHeader/>
        </w:trPr>
        <w:tc>
          <w:tcPr>
            <w:tcW w:w="2263" w:type="dxa"/>
            <w:tcBorders>
              <w:top w:val="single" w:sz="4" w:space="0" w:color="auto"/>
              <w:left w:val="single" w:sz="4" w:space="0" w:color="auto"/>
              <w:bottom w:val="single" w:sz="4" w:space="0" w:color="auto"/>
              <w:right w:val="single" w:sz="4" w:space="0" w:color="auto"/>
            </w:tcBorders>
          </w:tcPr>
          <w:p w14:paraId="419C77C9" w14:textId="77777777" w:rsidR="001F516D" w:rsidRPr="00325886" w:rsidRDefault="001F516D" w:rsidP="00CB227D">
            <w:pPr>
              <w:pStyle w:val="TableFigureHeading"/>
              <w:keepLines/>
              <w:rPr>
                <w:szCs w:val="20"/>
              </w:rPr>
            </w:pPr>
          </w:p>
        </w:tc>
        <w:tc>
          <w:tcPr>
            <w:tcW w:w="1125" w:type="dxa"/>
            <w:tcBorders>
              <w:top w:val="single" w:sz="4" w:space="0" w:color="auto"/>
              <w:left w:val="single" w:sz="4" w:space="0" w:color="auto"/>
              <w:bottom w:val="single" w:sz="4" w:space="0" w:color="auto"/>
              <w:right w:val="single" w:sz="4" w:space="0" w:color="auto"/>
            </w:tcBorders>
          </w:tcPr>
          <w:p w14:paraId="2AAC3954" w14:textId="77777777" w:rsidR="001F516D" w:rsidRPr="00325886" w:rsidRDefault="001F516D" w:rsidP="00CB227D">
            <w:pPr>
              <w:pStyle w:val="TableFigureHeading"/>
              <w:keepLines/>
              <w:rPr>
                <w:szCs w:val="20"/>
              </w:rPr>
            </w:pPr>
            <w:r w:rsidRPr="00325886">
              <w:rPr>
                <w:color w:val="000000"/>
                <w:szCs w:val="20"/>
              </w:rPr>
              <w:t>Year 1</w:t>
            </w:r>
          </w:p>
        </w:tc>
        <w:tc>
          <w:tcPr>
            <w:tcW w:w="1126" w:type="dxa"/>
            <w:tcBorders>
              <w:top w:val="single" w:sz="4" w:space="0" w:color="auto"/>
              <w:left w:val="single" w:sz="4" w:space="0" w:color="auto"/>
              <w:bottom w:val="single" w:sz="4" w:space="0" w:color="auto"/>
              <w:right w:val="single" w:sz="4" w:space="0" w:color="auto"/>
            </w:tcBorders>
          </w:tcPr>
          <w:p w14:paraId="2C202728" w14:textId="77777777" w:rsidR="001F516D" w:rsidRPr="00325886" w:rsidRDefault="001F516D" w:rsidP="00CB227D">
            <w:pPr>
              <w:pStyle w:val="TableFigureHeading"/>
              <w:keepLines/>
              <w:rPr>
                <w:szCs w:val="20"/>
              </w:rPr>
            </w:pPr>
            <w:r w:rsidRPr="00325886">
              <w:rPr>
                <w:color w:val="000000"/>
                <w:szCs w:val="20"/>
              </w:rPr>
              <w:t>Year 2</w:t>
            </w:r>
          </w:p>
        </w:tc>
        <w:tc>
          <w:tcPr>
            <w:tcW w:w="1126" w:type="dxa"/>
            <w:tcBorders>
              <w:top w:val="single" w:sz="4" w:space="0" w:color="auto"/>
              <w:left w:val="single" w:sz="4" w:space="0" w:color="auto"/>
              <w:bottom w:val="single" w:sz="4" w:space="0" w:color="auto"/>
              <w:right w:val="single" w:sz="4" w:space="0" w:color="auto"/>
            </w:tcBorders>
          </w:tcPr>
          <w:p w14:paraId="688AE2A0" w14:textId="77777777" w:rsidR="001F516D" w:rsidRPr="00325886" w:rsidRDefault="001F516D" w:rsidP="00CB227D">
            <w:pPr>
              <w:pStyle w:val="TableFigureHeading"/>
              <w:keepLines/>
              <w:rPr>
                <w:szCs w:val="20"/>
              </w:rPr>
            </w:pPr>
            <w:r w:rsidRPr="00325886">
              <w:rPr>
                <w:color w:val="000000"/>
                <w:szCs w:val="20"/>
              </w:rPr>
              <w:t>Year 3</w:t>
            </w:r>
          </w:p>
        </w:tc>
        <w:tc>
          <w:tcPr>
            <w:tcW w:w="1125" w:type="dxa"/>
            <w:tcBorders>
              <w:top w:val="single" w:sz="4" w:space="0" w:color="auto"/>
              <w:left w:val="single" w:sz="4" w:space="0" w:color="auto"/>
              <w:bottom w:val="single" w:sz="4" w:space="0" w:color="auto"/>
              <w:right w:val="single" w:sz="4" w:space="0" w:color="auto"/>
            </w:tcBorders>
          </w:tcPr>
          <w:p w14:paraId="3324FDB3" w14:textId="77777777" w:rsidR="001F516D" w:rsidRPr="00325886" w:rsidRDefault="001F516D" w:rsidP="00CB227D">
            <w:pPr>
              <w:pStyle w:val="TableFigureHeading"/>
              <w:keepLines/>
              <w:rPr>
                <w:szCs w:val="20"/>
              </w:rPr>
            </w:pPr>
            <w:r w:rsidRPr="00325886">
              <w:rPr>
                <w:color w:val="000000"/>
                <w:szCs w:val="20"/>
              </w:rPr>
              <w:t>Year 4</w:t>
            </w:r>
          </w:p>
        </w:tc>
        <w:tc>
          <w:tcPr>
            <w:tcW w:w="1126" w:type="dxa"/>
            <w:tcBorders>
              <w:top w:val="single" w:sz="4" w:space="0" w:color="auto"/>
              <w:left w:val="single" w:sz="4" w:space="0" w:color="auto"/>
              <w:bottom w:val="single" w:sz="4" w:space="0" w:color="auto"/>
              <w:right w:val="single" w:sz="4" w:space="0" w:color="auto"/>
            </w:tcBorders>
          </w:tcPr>
          <w:p w14:paraId="2D25933F" w14:textId="77777777" w:rsidR="001F516D" w:rsidRPr="00325886" w:rsidRDefault="001F516D" w:rsidP="00CB227D">
            <w:pPr>
              <w:pStyle w:val="TableFigureHeading"/>
              <w:keepLines/>
              <w:rPr>
                <w:szCs w:val="20"/>
              </w:rPr>
            </w:pPr>
            <w:r w:rsidRPr="00325886">
              <w:rPr>
                <w:color w:val="000000"/>
                <w:szCs w:val="20"/>
              </w:rPr>
              <w:t>Year 5</w:t>
            </w:r>
          </w:p>
        </w:tc>
        <w:tc>
          <w:tcPr>
            <w:tcW w:w="1126" w:type="dxa"/>
            <w:tcBorders>
              <w:top w:val="single" w:sz="4" w:space="0" w:color="auto"/>
              <w:left w:val="single" w:sz="4" w:space="0" w:color="auto"/>
              <w:bottom w:val="single" w:sz="4" w:space="0" w:color="auto"/>
              <w:right w:val="single" w:sz="4" w:space="0" w:color="auto"/>
            </w:tcBorders>
          </w:tcPr>
          <w:p w14:paraId="158E9BD9" w14:textId="77777777" w:rsidR="001F516D" w:rsidRPr="00325886" w:rsidRDefault="001F516D" w:rsidP="00CB227D">
            <w:pPr>
              <w:pStyle w:val="TableFigureHeading"/>
              <w:keepLines/>
              <w:rPr>
                <w:szCs w:val="20"/>
              </w:rPr>
            </w:pPr>
            <w:r w:rsidRPr="00325886">
              <w:rPr>
                <w:color w:val="000000"/>
                <w:szCs w:val="20"/>
              </w:rPr>
              <w:t>Year 6</w:t>
            </w:r>
          </w:p>
        </w:tc>
      </w:tr>
      <w:tr w:rsidR="001F516D" w:rsidRPr="001808B1" w14:paraId="2E128907" w14:textId="77777777" w:rsidTr="00090A06">
        <w:trPr>
          <w:trHeight w:val="227"/>
          <w:tblHeader/>
        </w:trPr>
        <w:tc>
          <w:tcPr>
            <w:tcW w:w="9017" w:type="dxa"/>
            <w:gridSpan w:val="7"/>
            <w:tcBorders>
              <w:top w:val="single" w:sz="4" w:space="0" w:color="auto"/>
              <w:left w:val="single" w:sz="4" w:space="0" w:color="auto"/>
              <w:bottom w:val="single" w:sz="4" w:space="0" w:color="auto"/>
              <w:right w:val="single" w:sz="4" w:space="0" w:color="auto"/>
            </w:tcBorders>
          </w:tcPr>
          <w:p w14:paraId="0F89A1D8" w14:textId="77777777" w:rsidR="001F516D" w:rsidRPr="00325886" w:rsidRDefault="001F516D" w:rsidP="00CB227D">
            <w:pPr>
              <w:pStyle w:val="TableText0"/>
              <w:keepLines/>
              <w:rPr>
                <w:b/>
                <w:bCs w:val="0"/>
                <w:szCs w:val="20"/>
              </w:rPr>
            </w:pPr>
            <w:r w:rsidRPr="00325886">
              <w:rPr>
                <w:b/>
                <w:bCs w:val="0"/>
                <w:szCs w:val="20"/>
              </w:rPr>
              <w:t>Estimation of use and financial impact of the proposed medicine PBS/RPBS</w:t>
            </w:r>
          </w:p>
        </w:tc>
      </w:tr>
      <w:tr w:rsidR="00CB227D" w:rsidRPr="001808B1" w14:paraId="0EC2C586" w14:textId="77777777" w:rsidTr="005C169C">
        <w:trPr>
          <w:trHeight w:val="227"/>
        </w:trPr>
        <w:tc>
          <w:tcPr>
            <w:tcW w:w="9017" w:type="dxa"/>
            <w:gridSpan w:val="7"/>
            <w:tcBorders>
              <w:top w:val="single" w:sz="4" w:space="0" w:color="auto"/>
              <w:left w:val="single" w:sz="4" w:space="0" w:color="auto"/>
              <w:bottom w:val="single" w:sz="4" w:space="0" w:color="auto"/>
              <w:right w:val="single" w:sz="4" w:space="0" w:color="auto"/>
            </w:tcBorders>
          </w:tcPr>
          <w:p w14:paraId="181F95CE" w14:textId="77777777" w:rsidR="00CB227D" w:rsidRPr="00325886" w:rsidRDefault="0081496A" w:rsidP="00CB227D">
            <w:pPr>
              <w:pStyle w:val="TableText0"/>
              <w:keepLines/>
              <w:rPr>
                <w:szCs w:val="20"/>
              </w:rPr>
            </w:pPr>
            <w:r>
              <w:rPr>
                <w:szCs w:val="20"/>
              </w:rPr>
              <w:t>FF/UMEC/VI 200/62.5/25</w:t>
            </w:r>
          </w:p>
        </w:tc>
      </w:tr>
      <w:tr w:rsidR="001F516D" w:rsidRPr="001808B1" w14:paraId="24C72A9C" w14:textId="77777777" w:rsidTr="00090A06">
        <w:trPr>
          <w:trHeight w:val="89"/>
        </w:trPr>
        <w:tc>
          <w:tcPr>
            <w:tcW w:w="2263" w:type="dxa"/>
            <w:tcBorders>
              <w:top w:val="single" w:sz="4" w:space="0" w:color="auto"/>
              <w:left w:val="single" w:sz="4" w:space="0" w:color="auto"/>
              <w:bottom w:val="single" w:sz="4" w:space="0" w:color="auto"/>
              <w:right w:val="single" w:sz="4" w:space="0" w:color="auto"/>
            </w:tcBorders>
          </w:tcPr>
          <w:p w14:paraId="6120564E" w14:textId="77777777" w:rsidR="001F516D" w:rsidRPr="00325886" w:rsidRDefault="001F516D" w:rsidP="00CB227D">
            <w:pPr>
              <w:pStyle w:val="TableText0"/>
              <w:keepLines/>
              <w:rPr>
                <w:szCs w:val="20"/>
              </w:rPr>
            </w:pPr>
            <w:r w:rsidRPr="00325886">
              <w:rPr>
                <w:szCs w:val="20"/>
              </w:rPr>
              <w:t>Total scripts</w:t>
            </w:r>
          </w:p>
        </w:tc>
        <w:tc>
          <w:tcPr>
            <w:tcW w:w="1125" w:type="dxa"/>
            <w:tcBorders>
              <w:top w:val="single" w:sz="4" w:space="0" w:color="auto"/>
              <w:left w:val="single" w:sz="4" w:space="0" w:color="auto"/>
              <w:bottom w:val="single" w:sz="4" w:space="0" w:color="auto"/>
              <w:right w:val="single" w:sz="4" w:space="0" w:color="auto"/>
            </w:tcBorders>
          </w:tcPr>
          <w:p w14:paraId="309BEA1E" w14:textId="77777777" w:rsidR="001F516D" w:rsidRPr="00FA44A3" w:rsidRDefault="00FA44A3" w:rsidP="00CB227D">
            <w:pPr>
              <w:pStyle w:val="TableText0"/>
              <w:keepLines/>
              <w:rPr>
                <w:szCs w:val="20"/>
              </w:rPr>
            </w:pPr>
            <w:r>
              <w:rPr>
                <w:noProof/>
                <w:color w:val="000000"/>
                <w:szCs w:val="20"/>
                <w:highlight w:val="black"/>
              </w:rPr>
              <w:t>'''''''''''''''''</w:t>
            </w:r>
            <w:r w:rsidR="009B4A2C" w:rsidRPr="009B4A2C">
              <w:rPr>
                <w:szCs w:val="20"/>
                <w:vertAlign w:val="superscript"/>
              </w:rPr>
              <w:t>1</w:t>
            </w:r>
          </w:p>
        </w:tc>
        <w:tc>
          <w:tcPr>
            <w:tcW w:w="1126" w:type="dxa"/>
            <w:tcBorders>
              <w:top w:val="single" w:sz="4" w:space="0" w:color="auto"/>
              <w:left w:val="single" w:sz="4" w:space="0" w:color="auto"/>
              <w:bottom w:val="single" w:sz="4" w:space="0" w:color="auto"/>
              <w:right w:val="single" w:sz="4" w:space="0" w:color="auto"/>
            </w:tcBorders>
          </w:tcPr>
          <w:p w14:paraId="68715D6F" w14:textId="77777777" w:rsidR="001F516D" w:rsidRPr="00FA44A3" w:rsidRDefault="00FA44A3" w:rsidP="00CB227D">
            <w:pPr>
              <w:pStyle w:val="TableText0"/>
              <w:keepLines/>
              <w:rPr>
                <w:szCs w:val="20"/>
              </w:rPr>
            </w:pPr>
            <w:r>
              <w:rPr>
                <w:noProof/>
                <w:color w:val="000000"/>
                <w:szCs w:val="20"/>
                <w:highlight w:val="black"/>
              </w:rPr>
              <w:t>''''''''''''''''''</w:t>
            </w:r>
            <w:r w:rsidR="009B4A2C">
              <w:rPr>
                <w:szCs w:val="20"/>
                <w:vertAlign w:val="superscript"/>
              </w:rPr>
              <w:t>2</w:t>
            </w:r>
            <w:r>
              <w:rPr>
                <w:noProof/>
                <w:color w:val="000000"/>
                <w:szCs w:val="20"/>
                <w:highlight w:val="black"/>
              </w:rPr>
              <w:t xml:space="preserve"> </w:t>
            </w:r>
          </w:p>
        </w:tc>
        <w:tc>
          <w:tcPr>
            <w:tcW w:w="1126" w:type="dxa"/>
            <w:tcBorders>
              <w:top w:val="single" w:sz="4" w:space="0" w:color="auto"/>
              <w:left w:val="single" w:sz="4" w:space="0" w:color="auto"/>
              <w:bottom w:val="single" w:sz="4" w:space="0" w:color="auto"/>
              <w:right w:val="single" w:sz="4" w:space="0" w:color="auto"/>
            </w:tcBorders>
          </w:tcPr>
          <w:p w14:paraId="601A51AD" w14:textId="77777777" w:rsidR="001F516D" w:rsidRPr="00FA44A3" w:rsidRDefault="00FA44A3" w:rsidP="00CB227D">
            <w:pPr>
              <w:pStyle w:val="TableText0"/>
              <w:keepLines/>
              <w:rPr>
                <w:szCs w:val="20"/>
              </w:rPr>
            </w:pPr>
            <w:r>
              <w:rPr>
                <w:noProof/>
                <w:color w:val="000000"/>
                <w:szCs w:val="20"/>
                <w:highlight w:val="black"/>
              </w:rPr>
              <w:t>''''''''''''''''''</w:t>
            </w:r>
            <w:r w:rsidR="009B4A2C">
              <w:rPr>
                <w:szCs w:val="20"/>
                <w:vertAlign w:val="superscript"/>
              </w:rPr>
              <w:t>3</w:t>
            </w:r>
          </w:p>
        </w:tc>
        <w:tc>
          <w:tcPr>
            <w:tcW w:w="1125" w:type="dxa"/>
            <w:tcBorders>
              <w:top w:val="single" w:sz="4" w:space="0" w:color="auto"/>
              <w:left w:val="single" w:sz="4" w:space="0" w:color="auto"/>
              <w:bottom w:val="single" w:sz="4" w:space="0" w:color="auto"/>
              <w:right w:val="single" w:sz="4" w:space="0" w:color="auto"/>
            </w:tcBorders>
          </w:tcPr>
          <w:p w14:paraId="6CBC3854" w14:textId="77777777" w:rsidR="001F516D" w:rsidRPr="00FA44A3" w:rsidRDefault="00FA44A3" w:rsidP="00CB227D">
            <w:pPr>
              <w:pStyle w:val="TableText0"/>
              <w:keepLines/>
              <w:rPr>
                <w:szCs w:val="20"/>
              </w:rPr>
            </w:pPr>
            <w:r>
              <w:rPr>
                <w:noProof/>
                <w:color w:val="000000"/>
                <w:szCs w:val="20"/>
                <w:highlight w:val="black"/>
              </w:rPr>
              <w:t>''''''''''''''''''</w:t>
            </w:r>
            <w:r w:rsidR="009B4A2C">
              <w:rPr>
                <w:szCs w:val="20"/>
                <w:vertAlign w:val="superscript"/>
              </w:rPr>
              <w:t>4</w:t>
            </w:r>
          </w:p>
        </w:tc>
        <w:tc>
          <w:tcPr>
            <w:tcW w:w="1126" w:type="dxa"/>
            <w:tcBorders>
              <w:top w:val="single" w:sz="4" w:space="0" w:color="auto"/>
              <w:left w:val="single" w:sz="4" w:space="0" w:color="auto"/>
              <w:bottom w:val="single" w:sz="4" w:space="0" w:color="auto"/>
              <w:right w:val="single" w:sz="4" w:space="0" w:color="auto"/>
            </w:tcBorders>
          </w:tcPr>
          <w:p w14:paraId="0BC9F098" w14:textId="77777777" w:rsidR="001F516D" w:rsidRPr="00FA44A3" w:rsidRDefault="00FA44A3" w:rsidP="00CB227D">
            <w:pPr>
              <w:pStyle w:val="TableText0"/>
              <w:keepLines/>
              <w:rPr>
                <w:szCs w:val="20"/>
              </w:rPr>
            </w:pPr>
            <w:r>
              <w:rPr>
                <w:noProof/>
                <w:color w:val="000000"/>
                <w:szCs w:val="20"/>
                <w:highlight w:val="black"/>
              </w:rPr>
              <w:t>'''''''''''''''</w:t>
            </w:r>
            <w:r w:rsidR="009E2A65">
              <w:rPr>
                <w:szCs w:val="20"/>
                <w:vertAlign w:val="superscript"/>
              </w:rPr>
              <w:t>5</w:t>
            </w:r>
          </w:p>
        </w:tc>
        <w:tc>
          <w:tcPr>
            <w:tcW w:w="1126" w:type="dxa"/>
            <w:tcBorders>
              <w:top w:val="single" w:sz="4" w:space="0" w:color="auto"/>
              <w:left w:val="single" w:sz="4" w:space="0" w:color="auto"/>
              <w:bottom w:val="single" w:sz="4" w:space="0" w:color="auto"/>
              <w:right w:val="single" w:sz="4" w:space="0" w:color="auto"/>
            </w:tcBorders>
          </w:tcPr>
          <w:p w14:paraId="5D1FB748" w14:textId="77777777" w:rsidR="001F516D" w:rsidRPr="00FA44A3" w:rsidRDefault="00FA44A3" w:rsidP="00CB227D">
            <w:pPr>
              <w:pStyle w:val="TableText0"/>
              <w:keepLines/>
              <w:rPr>
                <w:szCs w:val="20"/>
              </w:rPr>
            </w:pPr>
            <w:r>
              <w:rPr>
                <w:noProof/>
                <w:color w:val="000000"/>
                <w:szCs w:val="20"/>
                <w:highlight w:val="black"/>
              </w:rPr>
              <w:t>'''''''''''''''</w:t>
            </w:r>
            <w:r w:rsidR="009E2A65" w:rsidRPr="009E2A65">
              <w:rPr>
                <w:szCs w:val="20"/>
                <w:vertAlign w:val="superscript"/>
              </w:rPr>
              <w:t>6</w:t>
            </w:r>
          </w:p>
        </w:tc>
      </w:tr>
      <w:tr w:rsidR="00C710D1" w:rsidRPr="001808B1" w14:paraId="79528D75"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07BA7A44" w14:textId="77777777" w:rsidR="00C710D1" w:rsidRPr="00325886" w:rsidRDefault="00C710D1" w:rsidP="00CB227D">
            <w:pPr>
              <w:pStyle w:val="TableText0"/>
              <w:keepLines/>
              <w:rPr>
                <w:szCs w:val="20"/>
              </w:rPr>
            </w:pPr>
            <w:r w:rsidRPr="00325886">
              <w:rPr>
                <w:szCs w:val="20"/>
              </w:rPr>
              <w:t>PBS/RPBS cost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F14325" w14:textId="77777777" w:rsidR="00C710D1" w:rsidRPr="006762EF" w:rsidRDefault="00FA44A3" w:rsidP="00CB227D">
            <w:pPr>
              <w:pStyle w:val="TableText0"/>
              <w:keepLines/>
              <w:rPr>
                <w:szCs w:val="20"/>
                <w:vertAlign w:val="superscript"/>
              </w:rPr>
            </w:pPr>
            <w:r>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DA99E03" w14:textId="77777777" w:rsidR="00C710D1" w:rsidRPr="00325886" w:rsidRDefault="00FA44A3" w:rsidP="00CB227D">
            <w:pPr>
              <w:pStyle w:val="TableText0"/>
              <w:keepLines/>
              <w:rPr>
                <w:szCs w:val="20"/>
              </w:rPr>
            </w:pPr>
            <w:r>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F1F9C14" w14:textId="77777777" w:rsidR="00C710D1" w:rsidRPr="00325886" w:rsidRDefault="00FA44A3" w:rsidP="00CB227D">
            <w:pPr>
              <w:pStyle w:val="TableText0"/>
              <w:keepLines/>
              <w:rPr>
                <w:szCs w:val="20"/>
              </w:rPr>
            </w:pPr>
            <w:r>
              <w:rPr>
                <w:rFonts w:cs="Arial"/>
                <w:noProof/>
                <w:color w:val="000000"/>
                <w:szCs w:val="2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AB36D94" w14:textId="77777777" w:rsidR="00C710D1" w:rsidRPr="00325886" w:rsidRDefault="00FA44A3" w:rsidP="00CB227D">
            <w:pPr>
              <w:pStyle w:val="TableText0"/>
              <w:keepLines/>
              <w:rPr>
                <w:szCs w:val="20"/>
              </w:rPr>
            </w:pPr>
            <w:r>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07F9716" w14:textId="77777777" w:rsidR="00C710D1" w:rsidRPr="00325886" w:rsidRDefault="00FA44A3" w:rsidP="00CB227D">
            <w:pPr>
              <w:pStyle w:val="TableText0"/>
              <w:keepLines/>
              <w:rPr>
                <w:szCs w:val="20"/>
              </w:rPr>
            </w:pPr>
            <w:r>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9D41C68" w14:textId="77777777" w:rsidR="00C710D1" w:rsidRPr="00325886" w:rsidRDefault="00FA44A3" w:rsidP="00CB227D">
            <w:pPr>
              <w:pStyle w:val="TableText0"/>
              <w:keepLines/>
              <w:rPr>
                <w:szCs w:val="20"/>
              </w:rPr>
            </w:pPr>
            <w:r>
              <w:rPr>
                <w:rFonts w:cs="Arial"/>
                <w:noProof/>
                <w:color w:val="000000"/>
                <w:szCs w:val="20"/>
                <w:highlight w:val="black"/>
              </w:rPr>
              <w:t>'''''''''''''''''''''''''</w:t>
            </w:r>
            <w:r w:rsidR="006762EF">
              <w:rPr>
                <w:rFonts w:cs="Arial"/>
                <w:color w:val="000000"/>
                <w:szCs w:val="20"/>
                <w:vertAlign w:val="superscript"/>
              </w:rPr>
              <w:t>8</w:t>
            </w:r>
          </w:p>
        </w:tc>
      </w:tr>
      <w:tr w:rsidR="00C710D1" w:rsidRPr="001808B1" w14:paraId="107EE670"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6F09ACE0" w14:textId="77777777" w:rsidR="00C710D1" w:rsidRPr="00325886" w:rsidRDefault="00C710D1" w:rsidP="00CB227D">
            <w:pPr>
              <w:pStyle w:val="TableText0"/>
              <w:keepLines/>
              <w:rPr>
                <w:szCs w:val="20"/>
              </w:rPr>
            </w:pPr>
            <w:r w:rsidRPr="00325886">
              <w:rPr>
                <w:szCs w:val="20"/>
              </w:rPr>
              <w:t>PBS/RPBS co-payments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139F274" w14:textId="77777777" w:rsidR="00C710D1" w:rsidRPr="00325886" w:rsidRDefault="00C710D1" w:rsidP="00CB227D">
            <w:pPr>
              <w:pStyle w:val="TableText0"/>
              <w:keepLines/>
              <w:rPr>
                <w:szCs w:val="20"/>
              </w:rPr>
            </w:pPr>
            <w:r w:rsidRPr="00325886">
              <w:rPr>
                <w:rFonts w:cs="Arial"/>
                <w:color w:val="000000"/>
                <w:szCs w:val="20"/>
              </w:rPr>
              <w:t>-</w:t>
            </w:r>
            <w:r w:rsidR="00FA44A3">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7172755" w14:textId="77777777" w:rsidR="00C710D1" w:rsidRPr="00325886" w:rsidRDefault="00C710D1" w:rsidP="00CB227D">
            <w:pPr>
              <w:pStyle w:val="TableText0"/>
              <w:keepLines/>
              <w:rPr>
                <w:szCs w:val="20"/>
              </w:rPr>
            </w:pPr>
            <w:r w:rsidRPr="00325886">
              <w:rPr>
                <w:rFonts w:cs="Arial"/>
                <w:color w:val="000000"/>
                <w:szCs w:val="20"/>
              </w:rPr>
              <w:t>-</w:t>
            </w:r>
            <w:r w:rsidR="00FA44A3">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E4C9D88" w14:textId="77777777" w:rsidR="00C710D1" w:rsidRPr="00325886" w:rsidRDefault="00C710D1" w:rsidP="00CB227D">
            <w:pPr>
              <w:pStyle w:val="TableText0"/>
              <w:keepLines/>
              <w:rPr>
                <w:szCs w:val="20"/>
              </w:rPr>
            </w:pPr>
            <w:r w:rsidRPr="00325886">
              <w:rPr>
                <w:rFonts w:cs="Arial"/>
                <w:color w:val="000000"/>
                <w:szCs w:val="20"/>
              </w:rPr>
              <w:t>-</w:t>
            </w:r>
            <w:r w:rsidR="00FA44A3">
              <w:rPr>
                <w:rFonts w:cs="Arial"/>
                <w:noProof/>
                <w:color w:val="000000"/>
                <w:szCs w:val="2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441FFA" w14:textId="77777777" w:rsidR="00C710D1" w:rsidRPr="00325886" w:rsidRDefault="00C710D1" w:rsidP="00CB227D">
            <w:pPr>
              <w:pStyle w:val="TableText0"/>
              <w:keepLines/>
              <w:rPr>
                <w:szCs w:val="20"/>
              </w:rPr>
            </w:pPr>
            <w:r w:rsidRPr="00325886">
              <w:rPr>
                <w:rFonts w:cs="Arial"/>
                <w:color w:val="000000"/>
                <w:szCs w:val="20"/>
              </w:rPr>
              <w:t>-</w:t>
            </w:r>
            <w:r w:rsidR="00FA44A3">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C8BB527" w14:textId="77777777" w:rsidR="00C710D1" w:rsidRPr="00325886" w:rsidRDefault="00C710D1" w:rsidP="00CB227D">
            <w:pPr>
              <w:pStyle w:val="TableText0"/>
              <w:keepLines/>
              <w:rPr>
                <w:szCs w:val="20"/>
              </w:rPr>
            </w:pPr>
            <w:r w:rsidRPr="00325886">
              <w:rPr>
                <w:rFonts w:cs="Arial"/>
                <w:color w:val="000000"/>
                <w:szCs w:val="20"/>
              </w:rPr>
              <w:t>-</w:t>
            </w:r>
            <w:r w:rsidR="00FA44A3">
              <w:rPr>
                <w:rFonts w:cs="Arial"/>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6B17268" w14:textId="77777777" w:rsidR="00C710D1" w:rsidRPr="00325886" w:rsidRDefault="00C710D1" w:rsidP="00CB227D">
            <w:pPr>
              <w:pStyle w:val="TableText0"/>
              <w:keepLines/>
              <w:rPr>
                <w:szCs w:val="20"/>
              </w:rPr>
            </w:pPr>
            <w:r w:rsidRPr="00325886">
              <w:rPr>
                <w:rFonts w:cs="Arial"/>
                <w:color w:val="000000"/>
                <w:szCs w:val="20"/>
              </w:rPr>
              <w:t>-</w:t>
            </w:r>
            <w:r w:rsidR="00FA44A3">
              <w:rPr>
                <w:rFonts w:cs="Arial"/>
                <w:noProof/>
                <w:color w:val="000000"/>
                <w:szCs w:val="20"/>
                <w:highlight w:val="black"/>
              </w:rPr>
              <w:t>''''''''''''''''''''''</w:t>
            </w:r>
            <w:r w:rsidR="006762EF">
              <w:rPr>
                <w:rFonts w:cs="Arial"/>
                <w:color w:val="000000"/>
                <w:szCs w:val="20"/>
                <w:vertAlign w:val="superscript"/>
              </w:rPr>
              <w:t>8</w:t>
            </w:r>
          </w:p>
        </w:tc>
      </w:tr>
      <w:tr w:rsidR="004712A8" w:rsidRPr="001808B1" w14:paraId="2D67F4B9"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6F5B0477" w14:textId="77777777" w:rsidR="001F516D" w:rsidRPr="00E56976" w:rsidRDefault="001F516D" w:rsidP="00CB227D">
            <w:pPr>
              <w:pStyle w:val="TableText0"/>
              <w:keepLines/>
              <w:rPr>
                <w:bCs w:val="0"/>
                <w:szCs w:val="20"/>
              </w:rPr>
            </w:pPr>
            <w:r w:rsidRPr="00E56976">
              <w:rPr>
                <w:bCs w:val="0"/>
                <w:szCs w:val="20"/>
              </w:rPr>
              <w:t>PBS/RPBS</w:t>
            </w:r>
            <w:r w:rsidR="00F044AB" w:rsidRPr="00E56976">
              <w:rPr>
                <w:bCs w:val="0"/>
                <w:szCs w:val="20"/>
              </w:rPr>
              <w:t xml:space="preserve"> net cost </w:t>
            </w:r>
            <w:r w:rsidR="00CB227D" w:rsidRPr="00E56976">
              <w:rPr>
                <w:bCs w:val="0"/>
                <w:szCs w:val="20"/>
              </w:rPr>
              <w:br/>
            </w:r>
            <w:r w:rsidR="00F044AB" w:rsidRPr="00E56976">
              <w:rPr>
                <w:bCs w:val="0"/>
                <w:szCs w:val="20"/>
              </w:rPr>
              <w:t>(less co</w:t>
            </w:r>
            <w:r w:rsidR="00C710D1" w:rsidRPr="00E56976">
              <w:rPr>
                <w:bCs w:val="0"/>
                <w:szCs w:val="20"/>
              </w:rPr>
              <w:t>-</w:t>
            </w:r>
            <w:r w:rsidR="00F044AB" w:rsidRPr="00E56976">
              <w:rPr>
                <w:bCs w:val="0"/>
                <w:szCs w:val="20"/>
              </w:rPr>
              <w:t>payment)</w:t>
            </w:r>
          </w:p>
        </w:tc>
        <w:tc>
          <w:tcPr>
            <w:tcW w:w="1125" w:type="dxa"/>
            <w:tcBorders>
              <w:top w:val="single" w:sz="4" w:space="0" w:color="auto"/>
              <w:left w:val="single" w:sz="4" w:space="0" w:color="auto"/>
              <w:bottom w:val="single" w:sz="4" w:space="0" w:color="auto"/>
              <w:right w:val="single" w:sz="4" w:space="0" w:color="auto"/>
            </w:tcBorders>
          </w:tcPr>
          <w:p w14:paraId="11C748C3"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253F1A50"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00E12EC1"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tcPr>
          <w:p w14:paraId="59CB64B9"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6AE3F967"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46E3D4CF"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8</w:t>
            </w:r>
          </w:p>
        </w:tc>
      </w:tr>
      <w:tr w:rsidR="001F516D" w:rsidRPr="001808B1" w14:paraId="1A9BA9C9"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082429CA" w14:textId="77777777" w:rsidR="001F516D" w:rsidRPr="00E56976" w:rsidRDefault="001F516D" w:rsidP="00CB227D">
            <w:pPr>
              <w:pStyle w:val="TableText0"/>
              <w:keepLines/>
              <w:rPr>
                <w:bCs w:val="0"/>
                <w:szCs w:val="20"/>
              </w:rPr>
            </w:pPr>
            <w:r w:rsidRPr="00E56976">
              <w:rPr>
                <w:bCs w:val="0"/>
                <w:szCs w:val="20"/>
              </w:rPr>
              <w:t>Net cost over 6 years</w:t>
            </w:r>
          </w:p>
        </w:tc>
        <w:tc>
          <w:tcPr>
            <w:tcW w:w="1125" w:type="dxa"/>
            <w:tcBorders>
              <w:top w:val="single" w:sz="4" w:space="0" w:color="auto"/>
              <w:left w:val="single" w:sz="4" w:space="0" w:color="auto"/>
              <w:bottom w:val="single" w:sz="4" w:space="0" w:color="auto"/>
              <w:right w:val="single" w:sz="4" w:space="0" w:color="auto"/>
            </w:tcBorders>
          </w:tcPr>
          <w:p w14:paraId="6E63CFEB" w14:textId="77777777" w:rsidR="001F516D" w:rsidRPr="00E56976" w:rsidRDefault="001F516D" w:rsidP="00CB227D">
            <w:pPr>
              <w:pStyle w:val="TableText0"/>
              <w:keepLines/>
              <w:rPr>
                <w:bCs w:val="0"/>
                <w:szCs w:val="20"/>
              </w:rPr>
            </w:pPr>
          </w:p>
        </w:tc>
        <w:tc>
          <w:tcPr>
            <w:tcW w:w="1126" w:type="dxa"/>
            <w:tcBorders>
              <w:top w:val="single" w:sz="4" w:space="0" w:color="auto"/>
              <w:left w:val="single" w:sz="4" w:space="0" w:color="auto"/>
              <w:bottom w:val="single" w:sz="4" w:space="0" w:color="auto"/>
              <w:right w:val="single" w:sz="4" w:space="0" w:color="auto"/>
            </w:tcBorders>
          </w:tcPr>
          <w:p w14:paraId="062C6AA7" w14:textId="77777777" w:rsidR="001F516D" w:rsidRPr="00E56976" w:rsidRDefault="001F516D" w:rsidP="00CB227D">
            <w:pPr>
              <w:pStyle w:val="TableText0"/>
              <w:keepLines/>
              <w:rPr>
                <w:bCs w:val="0"/>
                <w:szCs w:val="20"/>
              </w:rPr>
            </w:pPr>
          </w:p>
        </w:tc>
        <w:tc>
          <w:tcPr>
            <w:tcW w:w="1126" w:type="dxa"/>
            <w:tcBorders>
              <w:top w:val="single" w:sz="4" w:space="0" w:color="auto"/>
              <w:left w:val="single" w:sz="4" w:space="0" w:color="auto"/>
              <w:bottom w:val="single" w:sz="4" w:space="0" w:color="auto"/>
              <w:right w:val="single" w:sz="4" w:space="0" w:color="auto"/>
            </w:tcBorders>
          </w:tcPr>
          <w:p w14:paraId="71043AF1" w14:textId="77777777" w:rsidR="001F516D" w:rsidRPr="00E56976" w:rsidRDefault="001F516D" w:rsidP="00CB227D">
            <w:pPr>
              <w:pStyle w:val="TableText0"/>
              <w:keepLines/>
              <w:rPr>
                <w:bCs w:val="0"/>
                <w:szCs w:val="20"/>
              </w:rPr>
            </w:pPr>
          </w:p>
        </w:tc>
        <w:tc>
          <w:tcPr>
            <w:tcW w:w="1125" w:type="dxa"/>
            <w:tcBorders>
              <w:top w:val="single" w:sz="4" w:space="0" w:color="auto"/>
              <w:left w:val="single" w:sz="4" w:space="0" w:color="auto"/>
              <w:bottom w:val="single" w:sz="4" w:space="0" w:color="auto"/>
              <w:right w:val="single" w:sz="4" w:space="0" w:color="auto"/>
            </w:tcBorders>
          </w:tcPr>
          <w:p w14:paraId="4A562B2F" w14:textId="77777777" w:rsidR="001F516D" w:rsidRPr="00E56976" w:rsidRDefault="001F516D" w:rsidP="00CB227D">
            <w:pPr>
              <w:pStyle w:val="TableText0"/>
              <w:keepLines/>
              <w:rPr>
                <w:bCs w:val="0"/>
                <w:szCs w:val="20"/>
              </w:rPr>
            </w:pPr>
          </w:p>
        </w:tc>
        <w:tc>
          <w:tcPr>
            <w:tcW w:w="1126" w:type="dxa"/>
            <w:tcBorders>
              <w:top w:val="single" w:sz="4" w:space="0" w:color="auto"/>
              <w:left w:val="single" w:sz="4" w:space="0" w:color="auto"/>
              <w:bottom w:val="single" w:sz="4" w:space="0" w:color="auto"/>
              <w:right w:val="single" w:sz="4" w:space="0" w:color="auto"/>
            </w:tcBorders>
          </w:tcPr>
          <w:p w14:paraId="66C378D2" w14:textId="77777777" w:rsidR="001F516D" w:rsidRPr="00E56976" w:rsidRDefault="001F516D" w:rsidP="00CB227D">
            <w:pPr>
              <w:pStyle w:val="TableText0"/>
              <w:keepLines/>
              <w:rPr>
                <w:bCs w:val="0"/>
                <w:szCs w:val="20"/>
              </w:rPr>
            </w:pPr>
          </w:p>
        </w:tc>
        <w:tc>
          <w:tcPr>
            <w:tcW w:w="1126" w:type="dxa"/>
            <w:tcBorders>
              <w:top w:val="single" w:sz="4" w:space="0" w:color="auto"/>
              <w:left w:val="single" w:sz="4" w:space="0" w:color="auto"/>
              <w:bottom w:val="single" w:sz="4" w:space="0" w:color="auto"/>
              <w:right w:val="single" w:sz="4" w:space="0" w:color="auto"/>
            </w:tcBorders>
          </w:tcPr>
          <w:p w14:paraId="73FF0CD1" w14:textId="77777777" w:rsidR="001F516D" w:rsidRPr="00E56976" w:rsidRDefault="00FA44A3" w:rsidP="00CB227D">
            <w:pPr>
              <w:pStyle w:val="TableText0"/>
              <w:keepLines/>
              <w:rPr>
                <w:bCs w:val="0"/>
                <w:szCs w:val="20"/>
              </w:rPr>
            </w:pPr>
            <w:r>
              <w:rPr>
                <w:bCs w:val="0"/>
                <w:noProof/>
                <w:color w:val="000000"/>
                <w:szCs w:val="20"/>
                <w:highlight w:val="black"/>
              </w:rPr>
              <w:t>''''''''''''''''''''''''''''</w:t>
            </w:r>
            <w:r w:rsidR="006762EF">
              <w:rPr>
                <w:rFonts w:cs="Arial"/>
                <w:color w:val="000000"/>
                <w:szCs w:val="20"/>
                <w:vertAlign w:val="superscript"/>
              </w:rPr>
              <w:t>9</w:t>
            </w:r>
          </w:p>
        </w:tc>
      </w:tr>
      <w:tr w:rsidR="001F516D" w:rsidRPr="001808B1" w14:paraId="3D4C83FF" w14:textId="77777777" w:rsidTr="00090A06">
        <w:trPr>
          <w:trHeight w:val="227"/>
        </w:trPr>
        <w:tc>
          <w:tcPr>
            <w:tcW w:w="9017" w:type="dxa"/>
            <w:gridSpan w:val="7"/>
            <w:tcBorders>
              <w:top w:val="single" w:sz="4" w:space="0" w:color="auto"/>
              <w:left w:val="single" w:sz="4" w:space="0" w:color="auto"/>
              <w:bottom w:val="single" w:sz="4" w:space="0" w:color="auto"/>
              <w:right w:val="single" w:sz="4" w:space="0" w:color="auto"/>
            </w:tcBorders>
          </w:tcPr>
          <w:p w14:paraId="60CD413C" w14:textId="77777777" w:rsidR="001F516D" w:rsidRPr="00325886" w:rsidRDefault="001F516D" w:rsidP="00E56976">
            <w:pPr>
              <w:pStyle w:val="TableText0"/>
              <w:keepLines/>
              <w:rPr>
                <w:b/>
                <w:bCs w:val="0"/>
                <w:szCs w:val="20"/>
              </w:rPr>
            </w:pPr>
            <w:r w:rsidRPr="00325886">
              <w:rPr>
                <w:b/>
                <w:bCs w:val="0"/>
                <w:szCs w:val="20"/>
              </w:rPr>
              <w:t xml:space="preserve">Estimation of changes in use and financial impact of other </w:t>
            </w:r>
            <w:r w:rsidR="00E56976">
              <w:rPr>
                <w:b/>
                <w:bCs w:val="0"/>
                <w:szCs w:val="20"/>
              </w:rPr>
              <w:t>medicines</w:t>
            </w:r>
          </w:p>
        </w:tc>
      </w:tr>
      <w:tr w:rsidR="00CB227D" w:rsidRPr="001808B1" w14:paraId="6BF84370" w14:textId="77777777" w:rsidTr="005C169C">
        <w:trPr>
          <w:trHeight w:val="227"/>
        </w:trPr>
        <w:tc>
          <w:tcPr>
            <w:tcW w:w="9017" w:type="dxa"/>
            <w:gridSpan w:val="7"/>
            <w:tcBorders>
              <w:top w:val="single" w:sz="4" w:space="0" w:color="auto"/>
              <w:left w:val="single" w:sz="4" w:space="0" w:color="auto"/>
              <w:bottom w:val="single" w:sz="4" w:space="0" w:color="auto"/>
              <w:right w:val="single" w:sz="4" w:space="0" w:color="auto"/>
            </w:tcBorders>
          </w:tcPr>
          <w:p w14:paraId="3B70A860" w14:textId="77777777" w:rsidR="00CB227D" w:rsidRPr="00325886" w:rsidRDefault="00CB227D" w:rsidP="00CB227D">
            <w:pPr>
              <w:pStyle w:val="TableText0"/>
              <w:keepLines/>
              <w:rPr>
                <w:szCs w:val="20"/>
              </w:rPr>
            </w:pPr>
            <w:r w:rsidRPr="00325886">
              <w:rPr>
                <w:rFonts w:cs="Times New Roman"/>
                <w:szCs w:val="20"/>
              </w:rPr>
              <w:t>ICS/LABA FDC + TIO (i.e., multiple inhaler triple therapy)</w:t>
            </w:r>
          </w:p>
        </w:tc>
      </w:tr>
      <w:tr w:rsidR="001F516D" w:rsidRPr="001808B1" w14:paraId="38B0E11B"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2E40145A" w14:textId="77777777" w:rsidR="001F516D" w:rsidRPr="00325886" w:rsidRDefault="001F516D" w:rsidP="00CB227D">
            <w:pPr>
              <w:pStyle w:val="TableText0"/>
              <w:keepLines/>
              <w:rPr>
                <w:rFonts w:cs="Times New Roman"/>
                <w:szCs w:val="20"/>
              </w:rPr>
            </w:pPr>
            <w:r w:rsidRPr="00325886">
              <w:rPr>
                <w:szCs w:val="20"/>
              </w:rPr>
              <w:t>Total</w:t>
            </w:r>
            <w:r w:rsidRPr="00325886">
              <w:rPr>
                <w:rFonts w:cs="Times New Roman"/>
                <w:szCs w:val="20"/>
              </w:rPr>
              <w:t xml:space="preserve"> scripts</w:t>
            </w:r>
          </w:p>
        </w:tc>
        <w:tc>
          <w:tcPr>
            <w:tcW w:w="1125" w:type="dxa"/>
            <w:tcBorders>
              <w:top w:val="single" w:sz="4" w:space="0" w:color="auto"/>
              <w:left w:val="single" w:sz="4" w:space="0" w:color="auto"/>
              <w:bottom w:val="single" w:sz="4" w:space="0" w:color="auto"/>
              <w:right w:val="single" w:sz="4" w:space="0" w:color="auto"/>
            </w:tcBorders>
          </w:tcPr>
          <w:p w14:paraId="6B59937D" w14:textId="77777777" w:rsidR="001F516D" w:rsidRPr="006762EF" w:rsidRDefault="001F516D" w:rsidP="00CB227D">
            <w:pPr>
              <w:pStyle w:val="TableText0"/>
              <w:keepLines/>
              <w:rPr>
                <w:szCs w:val="20"/>
                <w:vertAlign w:val="superscript"/>
              </w:rPr>
            </w:pPr>
            <w:r w:rsidRPr="00325886">
              <w:rPr>
                <w:szCs w:val="20"/>
              </w:rPr>
              <w:t>-</w:t>
            </w:r>
            <w:r w:rsidR="00FA44A3">
              <w:rPr>
                <w:noProof/>
                <w:color w:val="000000"/>
                <w:szCs w:val="20"/>
                <w:highlight w:val="black"/>
              </w:rPr>
              <w:t>''''''''''''''''</w:t>
            </w:r>
            <w:r w:rsidR="006762EF" w:rsidRPr="006762EF">
              <w:rPr>
                <w:szCs w:val="20"/>
                <w:vertAlign w:val="superscript"/>
              </w:rPr>
              <w:t>4</w:t>
            </w:r>
          </w:p>
        </w:tc>
        <w:tc>
          <w:tcPr>
            <w:tcW w:w="1126" w:type="dxa"/>
            <w:tcBorders>
              <w:top w:val="single" w:sz="4" w:space="0" w:color="auto"/>
              <w:left w:val="single" w:sz="4" w:space="0" w:color="auto"/>
              <w:bottom w:val="single" w:sz="4" w:space="0" w:color="auto"/>
              <w:right w:val="single" w:sz="4" w:space="0" w:color="auto"/>
            </w:tcBorders>
          </w:tcPr>
          <w:p w14:paraId="667C1799" w14:textId="77777777" w:rsidR="001F516D" w:rsidRPr="006762EF" w:rsidRDefault="001F516D" w:rsidP="00CB227D">
            <w:pPr>
              <w:pStyle w:val="TableText0"/>
              <w:keepLines/>
              <w:rPr>
                <w:szCs w:val="20"/>
              </w:rPr>
            </w:pPr>
            <w:r w:rsidRPr="00325886">
              <w:rPr>
                <w:szCs w:val="20"/>
              </w:rPr>
              <w:t>-</w:t>
            </w:r>
            <w:r w:rsidR="00FA44A3">
              <w:rPr>
                <w:noProof/>
                <w:color w:val="000000"/>
                <w:szCs w:val="20"/>
                <w:highlight w:val="black"/>
              </w:rPr>
              <w:t>''''''''''''''''</w:t>
            </w:r>
            <w:r w:rsidR="006762EF" w:rsidRPr="006762EF">
              <w:rPr>
                <w:szCs w:val="20"/>
                <w:vertAlign w:val="superscript"/>
              </w:rPr>
              <w:t>6</w:t>
            </w:r>
          </w:p>
        </w:tc>
        <w:tc>
          <w:tcPr>
            <w:tcW w:w="1126" w:type="dxa"/>
            <w:tcBorders>
              <w:top w:val="single" w:sz="4" w:space="0" w:color="auto"/>
              <w:left w:val="single" w:sz="4" w:space="0" w:color="auto"/>
              <w:bottom w:val="single" w:sz="4" w:space="0" w:color="auto"/>
              <w:right w:val="single" w:sz="4" w:space="0" w:color="auto"/>
            </w:tcBorders>
          </w:tcPr>
          <w:p w14:paraId="41A225B8" w14:textId="77777777" w:rsidR="001F516D" w:rsidRPr="006762EF" w:rsidRDefault="001F516D" w:rsidP="00CB227D">
            <w:pPr>
              <w:pStyle w:val="TableText0"/>
              <w:keepLines/>
              <w:rPr>
                <w:szCs w:val="20"/>
                <w:vertAlign w:val="superscript"/>
              </w:rPr>
            </w:pPr>
            <w:r w:rsidRPr="00325886">
              <w:rPr>
                <w:szCs w:val="20"/>
              </w:rPr>
              <w:t>-</w:t>
            </w:r>
            <w:r w:rsidR="00FA44A3">
              <w:rPr>
                <w:noProof/>
                <w:color w:val="000000"/>
                <w:szCs w:val="20"/>
                <w:highlight w:val="black"/>
              </w:rPr>
              <w:t>''''''''''''''''''''</w:t>
            </w:r>
            <w:r w:rsidR="006762EF" w:rsidRPr="006762EF">
              <w:rPr>
                <w:szCs w:val="20"/>
                <w:vertAlign w:val="superscript"/>
              </w:rPr>
              <w:t>7</w:t>
            </w:r>
          </w:p>
        </w:tc>
        <w:tc>
          <w:tcPr>
            <w:tcW w:w="1125" w:type="dxa"/>
            <w:tcBorders>
              <w:top w:val="single" w:sz="4" w:space="0" w:color="auto"/>
              <w:left w:val="single" w:sz="4" w:space="0" w:color="auto"/>
              <w:bottom w:val="single" w:sz="4" w:space="0" w:color="auto"/>
              <w:right w:val="single" w:sz="4" w:space="0" w:color="auto"/>
            </w:tcBorders>
          </w:tcPr>
          <w:p w14:paraId="048DD538" w14:textId="77777777" w:rsidR="001F516D" w:rsidRPr="00325886" w:rsidRDefault="001F516D" w:rsidP="00CB227D">
            <w:pPr>
              <w:pStyle w:val="TableText0"/>
              <w:keepLines/>
              <w:rPr>
                <w:szCs w:val="20"/>
              </w:rPr>
            </w:pPr>
            <w:r w:rsidRPr="00325886">
              <w:rPr>
                <w:szCs w:val="20"/>
              </w:rPr>
              <w:t>-</w:t>
            </w:r>
            <w:r w:rsidR="00FA44A3">
              <w:rPr>
                <w:noProof/>
                <w:color w:val="000000"/>
                <w:szCs w:val="20"/>
                <w:highlight w:val="black"/>
              </w:rPr>
              <w:t>''''''''''''''''''</w:t>
            </w:r>
            <w:r w:rsidR="006762EF" w:rsidRPr="006762EF">
              <w:rPr>
                <w:szCs w:val="20"/>
                <w:vertAlign w:val="superscript"/>
              </w:rPr>
              <w:t>7</w:t>
            </w:r>
          </w:p>
        </w:tc>
        <w:tc>
          <w:tcPr>
            <w:tcW w:w="1126" w:type="dxa"/>
            <w:tcBorders>
              <w:top w:val="single" w:sz="4" w:space="0" w:color="auto"/>
              <w:left w:val="single" w:sz="4" w:space="0" w:color="auto"/>
              <w:bottom w:val="single" w:sz="4" w:space="0" w:color="auto"/>
              <w:right w:val="single" w:sz="4" w:space="0" w:color="auto"/>
            </w:tcBorders>
          </w:tcPr>
          <w:p w14:paraId="503982DC" w14:textId="77777777" w:rsidR="001F516D" w:rsidRPr="00325886" w:rsidRDefault="001F516D" w:rsidP="00CB227D">
            <w:pPr>
              <w:pStyle w:val="TableText0"/>
              <w:keepLines/>
              <w:rPr>
                <w:szCs w:val="20"/>
              </w:rPr>
            </w:pPr>
            <w:r w:rsidRPr="00325886">
              <w:rPr>
                <w:szCs w:val="20"/>
              </w:rPr>
              <w:t>-</w:t>
            </w:r>
            <w:r w:rsidR="00FA44A3">
              <w:rPr>
                <w:noProof/>
                <w:color w:val="000000"/>
                <w:szCs w:val="20"/>
                <w:highlight w:val="black"/>
              </w:rPr>
              <w:t>''''''''''''''''''</w:t>
            </w:r>
            <w:r w:rsidR="006762EF" w:rsidRPr="006762EF">
              <w:rPr>
                <w:szCs w:val="20"/>
                <w:vertAlign w:val="superscript"/>
              </w:rPr>
              <w:t>7</w:t>
            </w:r>
          </w:p>
        </w:tc>
        <w:tc>
          <w:tcPr>
            <w:tcW w:w="1126" w:type="dxa"/>
            <w:tcBorders>
              <w:top w:val="single" w:sz="4" w:space="0" w:color="auto"/>
              <w:left w:val="single" w:sz="4" w:space="0" w:color="auto"/>
              <w:bottom w:val="single" w:sz="4" w:space="0" w:color="auto"/>
              <w:right w:val="single" w:sz="4" w:space="0" w:color="auto"/>
            </w:tcBorders>
          </w:tcPr>
          <w:p w14:paraId="495E10A2" w14:textId="77777777" w:rsidR="001F516D" w:rsidRPr="00325886" w:rsidRDefault="001F516D" w:rsidP="00CB227D">
            <w:pPr>
              <w:pStyle w:val="TableText0"/>
              <w:keepLines/>
              <w:rPr>
                <w:szCs w:val="20"/>
              </w:rPr>
            </w:pPr>
            <w:r w:rsidRPr="00325886">
              <w:rPr>
                <w:szCs w:val="20"/>
              </w:rPr>
              <w:t>-</w:t>
            </w:r>
            <w:r w:rsidR="00FA44A3">
              <w:rPr>
                <w:noProof/>
                <w:color w:val="000000"/>
                <w:szCs w:val="20"/>
                <w:highlight w:val="black"/>
              </w:rPr>
              <w:t>''''''''''''''''''</w:t>
            </w:r>
            <w:r w:rsidR="006762EF" w:rsidRPr="006762EF">
              <w:rPr>
                <w:szCs w:val="20"/>
                <w:vertAlign w:val="superscript"/>
              </w:rPr>
              <w:t>7</w:t>
            </w:r>
          </w:p>
        </w:tc>
      </w:tr>
      <w:tr w:rsidR="00C710D1" w:rsidRPr="001808B1" w14:paraId="79E1C870"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4B8A2DF" w14:textId="77777777" w:rsidR="00C710D1" w:rsidRPr="00325886" w:rsidRDefault="00C710D1" w:rsidP="00CB227D">
            <w:pPr>
              <w:pStyle w:val="TableText0"/>
              <w:keepLines/>
              <w:rPr>
                <w:szCs w:val="20"/>
              </w:rPr>
            </w:pPr>
            <w:r w:rsidRPr="00325886">
              <w:rPr>
                <w:rFonts w:eastAsia="Times New Roman" w:cs="Arial"/>
                <w:szCs w:val="20"/>
              </w:rPr>
              <w:t>PBS/RPBS affected medicines costs</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A4D2B96" w14:textId="77777777" w:rsidR="00C710D1" w:rsidRPr="00325886" w:rsidRDefault="00C710D1" w:rsidP="00CB227D">
            <w:pPr>
              <w:pStyle w:val="TableText0"/>
              <w:keepLines/>
              <w:rPr>
                <w:szCs w:val="20"/>
              </w:rPr>
            </w:pPr>
            <w:r w:rsidRPr="00325886">
              <w:rPr>
                <w:szCs w:val="20"/>
              </w:rPr>
              <w:t>-</w:t>
            </w:r>
            <w:r w:rsidR="00FA44A3">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D8E0CF5" w14:textId="77777777" w:rsidR="00C710D1" w:rsidRPr="00325886" w:rsidRDefault="00C710D1" w:rsidP="00CB227D">
            <w:pPr>
              <w:pStyle w:val="TableText0"/>
              <w:keepLines/>
              <w:rPr>
                <w:szCs w:val="20"/>
              </w:rPr>
            </w:pPr>
            <w:r w:rsidRPr="00325886">
              <w:rPr>
                <w:szCs w:val="20"/>
              </w:rPr>
              <w:t>-</w:t>
            </w:r>
            <w:r w:rsidR="00FA44A3">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D93E952" w14:textId="77777777" w:rsidR="00C710D1" w:rsidRPr="00325886" w:rsidRDefault="00C710D1" w:rsidP="00CB227D">
            <w:pPr>
              <w:pStyle w:val="TableText0"/>
              <w:keepLines/>
              <w:rPr>
                <w:szCs w:val="20"/>
              </w:rPr>
            </w:pPr>
            <w:r w:rsidRPr="00325886">
              <w:rPr>
                <w:szCs w:val="20"/>
              </w:rPr>
              <w:t>-</w:t>
            </w:r>
            <w:r w:rsidR="00FA44A3">
              <w:rPr>
                <w:noProof/>
                <w:color w:val="000000"/>
                <w:szCs w:val="2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E6AD237" w14:textId="77777777" w:rsidR="00C710D1" w:rsidRPr="00325886" w:rsidRDefault="00C710D1" w:rsidP="00CB227D">
            <w:pPr>
              <w:pStyle w:val="TableText0"/>
              <w:keepLines/>
              <w:rPr>
                <w:szCs w:val="20"/>
              </w:rPr>
            </w:pPr>
            <w:r w:rsidRPr="00325886">
              <w:rPr>
                <w:szCs w:val="20"/>
              </w:rPr>
              <w:t>-</w:t>
            </w:r>
            <w:r w:rsidR="00FA44A3">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30F899C" w14:textId="77777777" w:rsidR="00C710D1" w:rsidRPr="00325886" w:rsidRDefault="00C710D1" w:rsidP="00CB227D">
            <w:pPr>
              <w:pStyle w:val="TableText0"/>
              <w:keepLines/>
              <w:rPr>
                <w:szCs w:val="20"/>
              </w:rPr>
            </w:pPr>
            <w:r w:rsidRPr="00325886">
              <w:rPr>
                <w:szCs w:val="20"/>
              </w:rPr>
              <w:t>-</w:t>
            </w:r>
            <w:r w:rsidR="00FA44A3">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8" w:space="0" w:color="000000"/>
            </w:tcBorders>
            <w:shd w:val="clear" w:color="auto" w:fill="auto"/>
          </w:tcPr>
          <w:p w14:paraId="561EE270" w14:textId="77777777" w:rsidR="00C710D1" w:rsidRPr="00325886" w:rsidRDefault="00C710D1" w:rsidP="00CB227D">
            <w:pPr>
              <w:pStyle w:val="TableText0"/>
              <w:keepLines/>
              <w:rPr>
                <w:szCs w:val="20"/>
              </w:rPr>
            </w:pPr>
            <w:r w:rsidRPr="00325886">
              <w:rPr>
                <w:szCs w:val="20"/>
              </w:rPr>
              <w:t>-</w:t>
            </w:r>
            <w:r w:rsidR="00FA44A3">
              <w:rPr>
                <w:noProof/>
                <w:color w:val="000000"/>
                <w:szCs w:val="20"/>
                <w:highlight w:val="black"/>
              </w:rPr>
              <w:t>''''''''''''''''''''''''''</w:t>
            </w:r>
            <w:r w:rsidR="006762EF">
              <w:rPr>
                <w:rFonts w:cs="Arial"/>
                <w:color w:val="000000"/>
                <w:szCs w:val="20"/>
                <w:vertAlign w:val="superscript"/>
              </w:rPr>
              <w:t>8</w:t>
            </w:r>
          </w:p>
        </w:tc>
      </w:tr>
      <w:tr w:rsidR="00C710D1" w:rsidRPr="001808B1" w14:paraId="69578B44"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5D36426" w14:textId="77777777" w:rsidR="00C710D1" w:rsidRPr="00325886" w:rsidRDefault="00C710D1" w:rsidP="00CB227D">
            <w:pPr>
              <w:pStyle w:val="TableText0"/>
              <w:keepLines/>
              <w:rPr>
                <w:szCs w:val="20"/>
              </w:rPr>
            </w:pPr>
            <w:r w:rsidRPr="00325886">
              <w:rPr>
                <w:rFonts w:eastAsia="Times New Roman" w:cs="Arial"/>
                <w:szCs w:val="20"/>
              </w:rPr>
              <w:t>PBS/RPBS multiple inhaler triple therapy (co-payment)</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9B6028F" w14:textId="77777777" w:rsidR="00C710D1" w:rsidRPr="00325886" w:rsidRDefault="00FA44A3" w:rsidP="00CB227D">
            <w:pPr>
              <w:pStyle w:val="TableText0"/>
              <w:keepLines/>
              <w:rPr>
                <w:szCs w:val="20"/>
              </w:rPr>
            </w:pPr>
            <w:r>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68D1259" w14:textId="77777777" w:rsidR="00C710D1" w:rsidRPr="00325886" w:rsidRDefault="00FA44A3" w:rsidP="00CB227D">
            <w:pPr>
              <w:pStyle w:val="TableText0"/>
              <w:keepLines/>
              <w:rPr>
                <w:szCs w:val="20"/>
              </w:rPr>
            </w:pPr>
            <w:r>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D05B778" w14:textId="77777777" w:rsidR="00C710D1" w:rsidRPr="00325886" w:rsidRDefault="00FA44A3" w:rsidP="00CB227D">
            <w:pPr>
              <w:pStyle w:val="TableText0"/>
              <w:keepLines/>
              <w:rPr>
                <w:szCs w:val="20"/>
              </w:rPr>
            </w:pPr>
            <w:r>
              <w:rPr>
                <w:noProof/>
                <w:color w:val="000000"/>
                <w:szCs w:val="2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F5C804F" w14:textId="77777777" w:rsidR="00C710D1" w:rsidRPr="00325886" w:rsidRDefault="00FA44A3" w:rsidP="00CB227D">
            <w:pPr>
              <w:pStyle w:val="TableText0"/>
              <w:keepLines/>
              <w:rPr>
                <w:szCs w:val="20"/>
              </w:rPr>
            </w:pPr>
            <w:r>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B35181" w14:textId="77777777" w:rsidR="00C710D1" w:rsidRPr="00325886" w:rsidRDefault="00FA44A3" w:rsidP="00CB227D">
            <w:pPr>
              <w:pStyle w:val="TableText0"/>
              <w:keepLines/>
              <w:rPr>
                <w:szCs w:val="20"/>
              </w:rPr>
            </w:pPr>
            <w:r>
              <w:rPr>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8" w:space="0" w:color="000000"/>
            </w:tcBorders>
            <w:shd w:val="clear" w:color="auto" w:fill="auto"/>
          </w:tcPr>
          <w:p w14:paraId="4C4AB6E7" w14:textId="77777777" w:rsidR="00C710D1" w:rsidRPr="00325886" w:rsidRDefault="00FA44A3" w:rsidP="00CB227D">
            <w:pPr>
              <w:pStyle w:val="TableText0"/>
              <w:keepLines/>
              <w:rPr>
                <w:szCs w:val="20"/>
              </w:rPr>
            </w:pPr>
            <w:r>
              <w:rPr>
                <w:noProof/>
                <w:color w:val="000000"/>
                <w:szCs w:val="20"/>
                <w:highlight w:val="black"/>
              </w:rPr>
              <w:t>''''''''''''''''''''''''''''</w:t>
            </w:r>
            <w:r w:rsidR="006762EF">
              <w:rPr>
                <w:rFonts w:cs="Arial"/>
                <w:color w:val="000000"/>
                <w:szCs w:val="20"/>
                <w:vertAlign w:val="superscript"/>
              </w:rPr>
              <w:t>8</w:t>
            </w:r>
          </w:p>
        </w:tc>
      </w:tr>
      <w:tr w:rsidR="001F516D" w:rsidRPr="001808B1" w14:paraId="501FF7BC"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E869741" w14:textId="77777777" w:rsidR="001F516D" w:rsidRPr="00E56976" w:rsidRDefault="00C710D1" w:rsidP="00CB227D">
            <w:pPr>
              <w:pStyle w:val="TableText0"/>
              <w:keepLines/>
              <w:rPr>
                <w:bCs w:val="0"/>
                <w:szCs w:val="20"/>
              </w:rPr>
            </w:pPr>
            <w:r w:rsidRPr="00E56976">
              <w:rPr>
                <w:bCs w:val="0"/>
                <w:szCs w:val="20"/>
              </w:rPr>
              <w:t>PBS/RPBS net cost (less co-payment)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C657380" w14:textId="77777777" w:rsidR="001F516D" w:rsidRPr="00E56976" w:rsidRDefault="001F516D" w:rsidP="00CB227D">
            <w:pPr>
              <w:pStyle w:val="TableText0"/>
              <w:keepLines/>
              <w:rPr>
                <w:bCs w:val="0"/>
                <w:szCs w:val="20"/>
              </w:rPr>
            </w:pPr>
            <w:r w:rsidRPr="00E56976">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B0CDC01" w14:textId="77777777" w:rsidR="001F516D" w:rsidRPr="00E56976" w:rsidRDefault="001F516D" w:rsidP="00CB227D">
            <w:pPr>
              <w:pStyle w:val="TableText0"/>
              <w:keepLines/>
              <w:rPr>
                <w:bCs w:val="0"/>
                <w:szCs w:val="20"/>
              </w:rPr>
            </w:pPr>
            <w:r w:rsidRPr="00E56976">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760D86D" w14:textId="77777777" w:rsidR="001F516D" w:rsidRPr="00E56976" w:rsidRDefault="001F516D" w:rsidP="00CB227D">
            <w:pPr>
              <w:pStyle w:val="TableText0"/>
              <w:keepLines/>
              <w:rPr>
                <w:bCs w:val="0"/>
                <w:szCs w:val="20"/>
              </w:rPr>
            </w:pPr>
            <w:r w:rsidRPr="00E56976">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95B7AB5" w14:textId="77777777" w:rsidR="001F516D" w:rsidRPr="00E56976" w:rsidRDefault="001F516D" w:rsidP="00CB227D">
            <w:pPr>
              <w:pStyle w:val="TableText0"/>
              <w:keepLines/>
              <w:rPr>
                <w:bCs w:val="0"/>
                <w:szCs w:val="20"/>
              </w:rPr>
            </w:pPr>
            <w:r w:rsidRPr="00E56976">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57F3291" w14:textId="77777777" w:rsidR="001F516D" w:rsidRPr="00E56976" w:rsidRDefault="001F516D" w:rsidP="00CB227D">
            <w:pPr>
              <w:pStyle w:val="TableText0"/>
              <w:keepLines/>
              <w:rPr>
                <w:bCs w:val="0"/>
                <w:szCs w:val="20"/>
              </w:rPr>
            </w:pPr>
            <w:r w:rsidRPr="00E56976">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8" w:space="0" w:color="000000"/>
            </w:tcBorders>
            <w:shd w:val="clear" w:color="auto" w:fill="auto"/>
            <w:vAlign w:val="center"/>
          </w:tcPr>
          <w:p w14:paraId="6BC3C315" w14:textId="77777777" w:rsidR="001F516D" w:rsidRPr="00E56976" w:rsidRDefault="001F516D" w:rsidP="00CB227D">
            <w:pPr>
              <w:pStyle w:val="TableText0"/>
              <w:keepLines/>
              <w:rPr>
                <w:bCs w:val="0"/>
                <w:szCs w:val="20"/>
              </w:rPr>
            </w:pPr>
            <w:r w:rsidRPr="003C1808">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8</w:t>
            </w:r>
          </w:p>
        </w:tc>
      </w:tr>
      <w:tr w:rsidR="001F516D" w:rsidRPr="001808B1" w14:paraId="63B8A6DD"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56FD1EB" w14:textId="77777777" w:rsidR="001F516D" w:rsidRPr="00E56976" w:rsidRDefault="001F516D" w:rsidP="00CB227D">
            <w:pPr>
              <w:pStyle w:val="TableText0"/>
              <w:keepLines/>
              <w:rPr>
                <w:rFonts w:eastAsia="Times New Roman" w:cs="Arial"/>
                <w:bCs w:val="0"/>
                <w:szCs w:val="20"/>
              </w:rPr>
            </w:pPr>
            <w:r w:rsidRPr="00E56976">
              <w:rPr>
                <w:bCs w:val="0"/>
                <w:szCs w:val="20"/>
              </w:rPr>
              <w:t>Net cost over 6 years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DD5106B" w14:textId="77777777" w:rsidR="001F516D" w:rsidRPr="00E56976" w:rsidRDefault="001F516D" w:rsidP="00CB227D">
            <w:pPr>
              <w:pStyle w:val="TableText0"/>
              <w:keepLines/>
              <w:rPr>
                <w:rFonts w:eastAsia="Times New Roman" w:cs="Arial"/>
                <w:bCs w:val="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1E3B003" w14:textId="77777777" w:rsidR="001F516D" w:rsidRPr="00E56976" w:rsidRDefault="001F516D" w:rsidP="00CB227D">
            <w:pPr>
              <w:pStyle w:val="TableText0"/>
              <w:keepLines/>
              <w:rPr>
                <w:rFonts w:eastAsia="Times New Roman" w:cs="Arial"/>
                <w:bCs w:val="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6E44672" w14:textId="77777777" w:rsidR="001F516D" w:rsidRPr="00E56976" w:rsidRDefault="001F516D" w:rsidP="00CB227D">
            <w:pPr>
              <w:pStyle w:val="TableText0"/>
              <w:keepLines/>
              <w:rPr>
                <w:rFonts w:eastAsia="Times New Roman" w:cs="Arial"/>
                <w:bCs w:val="0"/>
                <w:szCs w:val="20"/>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E6F57B6" w14:textId="77777777" w:rsidR="001F516D" w:rsidRPr="00E56976" w:rsidRDefault="001F516D" w:rsidP="00CB227D">
            <w:pPr>
              <w:pStyle w:val="TableText0"/>
              <w:keepLines/>
              <w:rPr>
                <w:rFonts w:eastAsia="Times New Roman" w:cs="Arial"/>
                <w:bCs w:val="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084A1DB" w14:textId="77777777" w:rsidR="001F516D" w:rsidRPr="00E56976" w:rsidRDefault="001F516D" w:rsidP="00CB227D">
            <w:pPr>
              <w:pStyle w:val="TableText0"/>
              <w:keepLines/>
              <w:rPr>
                <w:rFonts w:eastAsia="Times New Roman" w:cs="Arial"/>
                <w:bCs w:val="0"/>
                <w:szCs w:val="20"/>
              </w:rPr>
            </w:pPr>
          </w:p>
        </w:tc>
        <w:tc>
          <w:tcPr>
            <w:tcW w:w="1126" w:type="dxa"/>
            <w:tcBorders>
              <w:top w:val="single" w:sz="4" w:space="0" w:color="auto"/>
              <w:left w:val="single" w:sz="4" w:space="0" w:color="auto"/>
              <w:bottom w:val="single" w:sz="4" w:space="0" w:color="auto"/>
              <w:right w:val="single" w:sz="8" w:space="0" w:color="000000"/>
            </w:tcBorders>
            <w:shd w:val="clear" w:color="auto" w:fill="auto"/>
            <w:vAlign w:val="center"/>
          </w:tcPr>
          <w:p w14:paraId="6B4225FF" w14:textId="77777777" w:rsidR="001F516D" w:rsidRPr="00E56976" w:rsidRDefault="001F516D" w:rsidP="00CB227D">
            <w:pPr>
              <w:pStyle w:val="TableText0"/>
              <w:keepLines/>
              <w:rPr>
                <w:rFonts w:eastAsia="Times New Roman" w:cs="Arial"/>
                <w:bCs w:val="0"/>
                <w:szCs w:val="20"/>
              </w:rPr>
            </w:pPr>
            <w:r w:rsidRPr="00E56976">
              <w:rPr>
                <w:rFonts w:eastAsia="Times New Roman" w:cs="Arial"/>
                <w:bCs w:val="0"/>
                <w:szCs w:val="20"/>
              </w:rPr>
              <w:t>-</w:t>
            </w:r>
            <w:r w:rsidR="00FA44A3">
              <w:rPr>
                <w:rFonts w:eastAsia="Times New Roman" w:cs="Arial"/>
                <w:bCs w:val="0"/>
                <w:noProof/>
                <w:color w:val="000000"/>
                <w:szCs w:val="20"/>
                <w:highlight w:val="black"/>
              </w:rPr>
              <w:t>'''''''''''''''''''''''''''''</w:t>
            </w:r>
            <w:r w:rsidR="006762EF">
              <w:rPr>
                <w:rFonts w:cs="Arial"/>
                <w:color w:val="000000"/>
                <w:szCs w:val="20"/>
                <w:vertAlign w:val="superscript"/>
              </w:rPr>
              <w:t>9</w:t>
            </w:r>
          </w:p>
        </w:tc>
      </w:tr>
      <w:tr w:rsidR="001F516D" w:rsidRPr="001808B1" w14:paraId="48956ED8" w14:textId="77777777" w:rsidTr="00F044AB">
        <w:trPr>
          <w:trHeight w:val="227"/>
        </w:trPr>
        <w:tc>
          <w:tcPr>
            <w:tcW w:w="9017" w:type="dxa"/>
            <w:gridSpan w:val="7"/>
            <w:tcBorders>
              <w:top w:val="single" w:sz="4" w:space="0" w:color="auto"/>
              <w:left w:val="single" w:sz="4" w:space="0" w:color="auto"/>
              <w:bottom w:val="single" w:sz="4" w:space="0" w:color="auto"/>
              <w:right w:val="single" w:sz="4" w:space="0" w:color="auto"/>
            </w:tcBorders>
          </w:tcPr>
          <w:p w14:paraId="3DE6569C" w14:textId="77777777" w:rsidR="001F516D" w:rsidRPr="001808B1" w:rsidRDefault="00E56976" w:rsidP="00CB227D">
            <w:pPr>
              <w:pStyle w:val="TableText0"/>
              <w:keepLines/>
              <w:rPr>
                <w:b/>
                <w:bCs w:val="0"/>
                <w:szCs w:val="20"/>
              </w:rPr>
            </w:pPr>
            <w:r>
              <w:rPr>
                <w:b/>
                <w:bCs w:val="0"/>
                <w:szCs w:val="20"/>
              </w:rPr>
              <w:t xml:space="preserve">Net financial implications </w:t>
            </w:r>
          </w:p>
        </w:tc>
      </w:tr>
      <w:tr w:rsidR="00C710D1" w:rsidRPr="001808B1" w14:paraId="2D754AE4"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27CA3BF2" w14:textId="77777777" w:rsidR="00C710D1" w:rsidRPr="001808B1" w:rsidRDefault="00C710D1" w:rsidP="00CB227D">
            <w:pPr>
              <w:pStyle w:val="TableText0"/>
              <w:keepLines/>
              <w:rPr>
                <w:rFonts w:eastAsia="Times New Roman" w:cs="Arial"/>
                <w:szCs w:val="20"/>
                <w:vertAlign w:val="superscript"/>
              </w:rPr>
            </w:pPr>
            <w:r w:rsidRPr="001808B1">
              <w:rPr>
                <w:rFonts w:eastAsia="Times New Roman" w:cs="Arial"/>
                <w:szCs w:val="20"/>
              </w:rPr>
              <w:t>Net total cost to PBS</w:t>
            </w:r>
            <w:r>
              <w:rPr>
                <w:rFonts w:eastAsia="Times New Roman" w:cs="Arial"/>
                <w:szCs w:val="20"/>
              </w:rPr>
              <w:t>/RPBS</w:t>
            </w:r>
          </w:p>
        </w:tc>
        <w:tc>
          <w:tcPr>
            <w:tcW w:w="1125" w:type="dxa"/>
            <w:tcBorders>
              <w:top w:val="single" w:sz="4" w:space="0" w:color="auto"/>
              <w:left w:val="single" w:sz="4" w:space="0" w:color="auto"/>
              <w:bottom w:val="single" w:sz="4" w:space="0" w:color="auto"/>
              <w:right w:val="single" w:sz="4" w:space="0" w:color="auto"/>
            </w:tcBorders>
          </w:tcPr>
          <w:p w14:paraId="146A86D6" w14:textId="77777777" w:rsidR="00C710D1" w:rsidRPr="001808B1" w:rsidRDefault="00C710D1" w:rsidP="00CB227D">
            <w:pPr>
              <w:pStyle w:val="TableText0"/>
              <w:keepLines/>
            </w:pPr>
            <w:r w:rsidRPr="00F40792">
              <w:t>-</w:t>
            </w:r>
            <w:r w:rsidR="00FA44A3">
              <w:rPr>
                <w:noProof/>
                <w:color w:val="00000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55C38400" w14:textId="77777777" w:rsidR="00C710D1" w:rsidRPr="001808B1" w:rsidRDefault="00C710D1" w:rsidP="00CB227D">
            <w:pPr>
              <w:pStyle w:val="TableText0"/>
              <w:keepLines/>
            </w:pPr>
            <w:r w:rsidRPr="00F40792">
              <w:t>-</w:t>
            </w:r>
            <w:r w:rsidR="00FA44A3">
              <w:rPr>
                <w:noProof/>
                <w:color w:val="00000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48ABE00C" w14:textId="77777777" w:rsidR="00C710D1" w:rsidRPr="001808B1" w:rsidRDefault="00C710D1" w:rsidP="00CB227D">
            <w:pPr>
              <w:pStyle w:val="TableText0"/>
              <w:keepLines/>
            </w:pPr>
            <w:r w:rsidRPr="00F40792">
              <w:t>-</w:t>
            </w:r>
            <w:r w:rsidR="00FA44A3">
              <w:rPr>
                <w:noProof/>
                <w:color w:val="000000"/>
                <w:highlight w:val="black"/>
              </w:rPr>
              <w:t>''''''''''''''''''''''</w:t>
            </w:r>
            <w:r w:rsidR="006762EF">
              <w:rPr>
                <w:rFonts w:cs="Arial"/>
                <w:color w:val="000000"/>
                <w:szCs w:val="20"/>
                <w:vertAlign w:val="superscript"/>
              </w:rPr>
              <w:t>8</w:t>
            </w:r>
          </w:p>
        </w:tc>
        <w:tc>
          <w:tcPr>
            <w:tcW w:w="1125" w:type="dxa"/>
            <w:tcBorders>
              <w:top w:val="single" w:sz="4" w:space="0" w:color="auto"/>
              <w:left w:val="single" w:sz="4" w:space="0" w:color="auto"/>
              <w:bottom w:val="single" w:sz="4" w:space="0" w:color="auto"/>
              <w:right w:val="single" w:sz="4" w:space="0" w:color="auto"/>
            </w:tcBorders>
          </w:tcPr>
          <w:p w14:paraId="04BF035B" w14:textId="77777777" w:rsidR="00C710D1" w:rsidRPr="001808B1" w:rsidRDefault="00C710D1" w:rsidP="00CB227D">
            <w:pPr>
              <w:pStyle w:val="TableText0"/>
              <w:keepLines/>
            </w:pPr>
            <w:r w:rsidRPr="00F40792">
              <w:t>-</w:t>
            </w:r>
            <w:r w:rsidR="00FA44A3">
              <w:rPr>
                <w:noProof/>
                <w:color w:val="00000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2EF0691D" w14:textId="77777777" w:rsidR="00C710D1" w:rsidRPr="001808B1" w:rsidRDefault="00C710D1" w:rsidP="00CB227D">
            <w:pPr>
              <w:pStyle w:val="TableText0"/>
              <w:keepLines/>
            </w:pPr>
            <w:r w:rsidRPr="00F40792">
              <w:t>-</w:t>
            </w:r>
            <w:r w:rsidR="00FA44A3">
              <w:rPr>
                <w:noProof/>
                <w:color w:val="000000"/>
                <w:highlight w:val="black"/>
              </w:rPr>
              <w:t>''''''''''''''''''''</w:t>
            </w:r>
            <w:r w:rsidR="006762EF">
              <w:rPr>
                <w:rFonts w:cs="Arial"/>
                <w:color w:val="000000"/>
                <w:szCs w:val="20"/>
                <w:vertAlign w:val="superscript"/>
              </w:rPr>
              <w:t>8</w:t>
            </w:r>
          </w:p>
        </w:tc>
        <w:tc>
          <w:tcPr>
            <w:tcW w:w="1126" w:type="dxa"/>
            <w:tcBorders>
              <w:top w:val="single" w:sz="4" w:space="0" w:color="auto"/>
              <w:left w:val="single" w:sz="4" w:space="0" w:color="auto"/>
              <w:bottom w:val="single" w:sz="4" w:space="0" w:color="auto"/>
              <w:right w:val="single" w:sz="4" w:space="0" w:color="auto"/>
            </w:tcBorders>
          </w:tcPr>
          <w:p w14:paraId="57FD5A12" w14:textId="77777777" w:rsidR="00C710D1" w:rsidRPr="001808B1" w:rsidRDefault="00C710D1" w:rsidP="00CB227D">
            <w:pPr>
              <w:pStyle w:val="TableText0"/>
              <w:keepLines/>
            </w:pPr>
            <w:r w:rsidRPr="00F40792">
              <w:t>-</w:t>
            </w:r>
            <w:r w:rsidR="00FA44A3">
              <w:rPr>
                <w:noProof/>
                <w:color w:val="000000"/>
                <w:highlight w:val="black"/>
              </w:rPr>
              <w:t>''''''''''''''''''''''</w:t>
            </w:r>
            <w:r w:rsidR="006762EF">
              <w:rPr>
                <w:rFonts w:cs="Arial"/>
                <w:color w:val="000000"/>
                <w:szCs w:val="20"/>
                <w:vertAlign w:val="superscript"/>
              </w:rPr>
              <w:t>8</w:t>
            </w:r>
          </w:p>
        </w:tc>
      </w:tr>
      <w:tr w:rsidR="001F516D" w:rsidRPr="00E56976" w14:paraId="4EA8E73D" w14:textId="77777777" w:rsidTr="00090A06">
        <w:trPr>
          <w:trHeight w:val="227"/>
        </w:trPr>
        <w:tc>
          <w:tcPr>
            <w:tcW w:w="2263" w:type="dxa"/>
            <w:tcBorders>
              <w:top w:val="single" w:sz="4" w:space="0" w:color="auto"/>
              <w:left w:val="single" w:sz="4" w:space="0" w:color="auto"/>
              <w:bottom w:val="single" w:sz="4" w:space="0" w:color="auto"/>
              <w:right w:val="single" w:sz="4" w:space="0" w:color="auto"/>
            </w:tcBorders>
          </w:tcPr>
          <w:p w14:paraId="07C6EB51" w14:textId="77777777" w:rsidR="001F516D" w:rsidRPr="00E56976" w:rsidRDefault="001F516D" w:rsidP="00CB227D">
            <w:pPr>
              <w:pStyle w:val="TableText0"/>
              <w:keepLines/>
              <w:rPr>
                <w:rFonts w:eastAsia="Times New Roman" w:cs="Arial"/>
                <w:bCs w:val="0"/>
                <w:szCs w:val="20"/>
              </w:rPr>
            </w:pPr>
            <w:r w:rsidRPr="00E56976">
              <w:rPr>
                <w:bCs w:val="0"/>
              </w:rPr>
              <w:t>Net cost over 6 years</w:t>
            </w:r>
          </w:p>
        </w:tc>
        <w:tc>
          <w:tcPr>
            <w:tcW w:w="1125" w:type="dxa"/>
            <w:tcBorders>
              <w:top w:val="single" w:sz="4" w:space="0" w:color="auto"/>
              <w:left w:val="single" w:sz="4" w:space="0" w:color="auto"/>
              <w:bottom w:val="single" w:sz="4" w:space="0" w:color="auto"/>
              <w:right w:val="single" w:sz="4" w:space="0" w:color="auto"/>
            </w:tcBorders>
          </w:tcPr>
          <w:p w14:paraId="753E37C6" w14:textId="77777777" w:rsidR="001F516D" w:rsidRPr="00E56976" w:rsidRDefault="001F516D" w:rsidP="00CB227D">
            <w:pPr>
              <w:pStyle w:val="TableText0"/>
              <w:keepLines/>
              <w:rPr>
                <w:bCs w:val="0"/>
              </w:rPr>
            </w:pPr>
          </w:p>
        </w:tc>
        <w:tc>
          <w:tcPr>
            <w:tcW w:w="1126" w:type="dxa"/>
            <w:tcBorders>
              <w:top w:val="single" w:sz="4" w:space="0" w:color="auto"/>
              <w:left w:val="single" w:sz="4" w:space="0" w:color="auto"/>
              <w:bottom w:val="single" w:sz="4" w:space="0" w:color="auto"/>
              <w:right w:val="single" w:sz="4" w:space="0" w:color="auto"/>
            </w:tcBorders>
          </w:tcPr>
          <w:p w14:paraId="6EEE8D5B" w14:textId="77777777" w:rsidR="001F516D" w:rsidRPr="00E56976" w:rsidRDefault="001F516D" w:rsidP="00CB227D">
            <w:pPr>
              <w:pStyle w:val="TableText0"/>
              <w:keepLines/>
              <w:rPr>
                <w:bCs w:val="0"/>
              </w:rPr>
            </w:pPr>
          </w:p>
        </w:tc>
        <w:tc>
          <w:tcPr>
            <w:tcW w:w="1126" w:type="dxa"/>
            <w:tcBorders>
              <w:top w:val="single" w:sz="4" w:space="0" w:color="auto"/>
              <w:left w:val="single" w:sz="4" w:space="0" w:color="auto"/>
              <w:bottom w:val="single" w:sz="4" w:space="0" w:color="auto"/>
              <w:right w:val="single" w:sz="4" w:space="0" w:color="auto"/>
            </w:tcBorders>
          </w:tcPr>
          <w:p w14:paraId="50B1C196" w14:textId="77777777" w:rsidR="001F516D" w:rsidRPr="00E56976" w:rsidRDefault="001F516D" w:rsidP="00CB227D">
            <w:pPr>
              <w:pStyle w:val="TableText0"/>
              <w:keepLines/>
              <w:rPr>
                <w:bCs w:val="0"/>
              </w:rPr>
            </w:pPr>
          </w:p>
        </w:tc>
        <w:tc>
          <w:tcPr>
            <w:tcW w:w="1125" w:type="dxa"/>
            <w:tcBorders>
              <w:top w:val="single" w:sz="4" w:space="0" w:color="auto"/>
              <w:left w:val="single" w:sz="4" w:space="0" w:color="auto"/>
              <w:bottom w:val="single" w:sz="4" w:space="0" w:color="auto"/>
              <w:right w:val="single" w:sz="4" w:space="0" w:color="auto"/>
            </w:tcBorders>
          </w:tcPr>
          <w:p w14:paraId="4E5C7620" w14:textId="77777777" w:rsidR="001F516D" w:rsidRPr="00E56976" w:rsidRDefault="001F516D" w:rsidP="00CB227D">
            <w:pPr>
              <w:pStyle w:val="TableText0"/>
              <w:keepLines/>
              <w:rPr>
                <w:bCs w:val="0"/>
              </w:rPr>
            </w:pPr>
          </w:p>
        </w:tc>
        <w:tc>
          <w:tcPr>
            <w:tcW w:w="1126" w:type="dxa"/>
            <w:tcBorders>
              <w:top w:val="single" w:sz="4" w:space="0" w:color="auto"/>
              <w:left w:val="single" w:sz="4" w:space="0" w:color="auto"/>
              <w:bottom w:val="single" w:sz="4" w:space="0" w:color="auto"/>
              <w:right w:val="single" w:sz="4" w:space="0" w:color="auto"/>
            </w:tcBorders>
          </w:tcPr>
          <w:p w14:paraId="4C2C9346" w14:textId="77777777" w:rsidR="001F516D" w:rsidRPr="00E56976" w:rsidRDefault="001F516D" w:rsidP="00CB227D">
            <w:pPr>
              <w:pStyle w:val="TableText0"/>
              <w:keepLines/>
              <w:rPr>
                <w:bCs w:val="0"/>
              </w:rPr>
            </w:pPr>
          </w:p>
        </w:tc>
        <w:tc>
          <w:tcPr>
            <w:tcW w:w="1126" w:type="dxa"/>
            <w:tcBorders>
              <w:top w:val="single" w:sz="4" w:space="0" w:color="auto"/>
              <w:left w:val="single" w:sz="4" w:space="0" w:color="auto"/>
              <w:bottom w:val="single" w:sz="4" w:space="0" w:color="auto"/>
              <w:right w:val="single" w:sz="4" w:space="0" w:color="auto"/>
            </w:tcBorders>
          </w:tcPr>
          <w:p w14:paraId="651AC29D" w14:textId="77777777" w:rsidR="001F516D" w:rsidRPr="00E56976" w:rsidRDefault="001F516D" w:rsidP="00CB227D">
            <w:pPr>
              <w:pStyle w:val="TableText0"/>
              <w:keepLines/>
              <w:rPr>
                <w:bCs w:val="0"/>
              </w:rPr>
            </w:pPr>
            <w:r w:rsidRPr="00E56976">
              <w:rPr>
                <w:bCs w:val="0"/>
              </w:rPr>
              <w:t>-</w:t>
            </w:r>
            <w:r w:rsidR="00FA44A3">
              <w:rPr>
                <w:bCs w:val="0"/>
                <w:noProof/>
                <w:color w:val="000000"/>
                <w:highlight w:val="black"/>
              </w:rPr>
              <w:t>'''''''''''''''''''''''''</w:t>
            </w:r>
            <w:r w:rsidR="006762EF">
              <w:rPr>
                <w:rFonts w:cs="Arial"/>
                <w:color w:val="000000"/>
                <w:szCs w:val="20"/>
                <w:vertAlign w:val="superscript"/>
              </w:rPr>
              <w:t>8</w:t>
            </w:r>
          </w:p>
        </w:tc>
      </w:tr>
    </w:tbl>
    <w:p w14:paraId="40BBDFB5" w14:textId="77777777" w:rsidR="001F516D" w:rsidRPr="001808B1" w:rsidRDefault="001F516D" w:rsidP="00CB227D">
      <w:pPr>
        <w:pStyle w:val="TableFigureFooter"/>
        <w:keepNext/>
        <w:keepLines/>
      </w:pPr>
      <w:r w:rsidRPr="001808B1">
        <w:t xml:space="preserve">Source: </w:t>
      </w:r>
      <w:r w:rsidR="00CB227D">
        <w:t xml:space="preserve">Table 92, pp 177-178, </w:t>
      </w:r>
      <w:r w:rsidRPr="001808B1">
        <w:t>Table 93, pp179-180, Table 94, p181 of the submission</w:t>
      </w:r>
    </w:p>
    <w:p w14:paraId="028206B6" w14:textId="77777777" w:rsidR="001F516D" w:rsidRDefault="001F516D" w:rsidP="00CB227D">
      <w:pPr>
        <w:pStyle w:val="TableFigureFooter"/>
        <w:keepNext/>
        <w:keepLines/>
      </w:pPr>
      <w:r w:rsidRPr="001808B1">
        <w:t>FDC: fixed dose combination; FF: fluticasone furoate; ICS: inhaled corticosteroid; LABA: long-acting beta-agonist; PBS=pharmaceutical benefits scheme; RPBS= repatriation pharmaceutical benefits scheme; TIO: Tiotropium; UMEC: umeclidinium; VI: vilanterol</w:t>
      </w:r>
    </w:p>
    <w:p w14:paraId="5148336E" w14:textId="77777777" w:rsidR="009B4A2C" w:rsidRPr="006762EF" w:rsidRDefault="009B4A2C" w:rsidP="00CB227D">
      <w:pPr>
        <w:pStyle w:val="TableFigureFooter"/>
        <w:keepNext/>
        <w:keepLines/>
        <w:rPr>
          <w:i/>
        </w:rPr>
      </w:pPr>
      <w:r w:rsidRPr="006762EF">
        <w:rPr>
          <w:i/>
        </w:rPr>
        <w:t xml:space="preserve">The redacted values correspond to the following ranges: </w:t>
      </w:r>
    </w:p>
    <w:p w14:paraId="59E9EF75" w14:textId="77777777" w:rsidR="009B4A2C" w:rsidRPr="006762EF" w:rsidRDefault="009B4A2C" w:rsidP="00CB227D">
      <w:pPr>
        <w:pStyle w:val="TableFigureFooter"/>
        <w:keepNext/>
        <w:keepLines/>
        <w:rPr>
          <w:i/>
        </w:rPr>
      </w:pPr>
      <w:r w:rsidRPr="006762EF">
        <w:rPr>
          <w:i/>
          <w:vertAlign w:val="superscript"/>
        </w:rPr>
        <w:t>1</w:t>
      </w:r>
      <w:r w:rsidRPr="006762EF">
        <w:rPr>
          <w:i/>
        </w:rPr>
        <w:t xml:space="preserve"> 30,000 to &lt; 40,000</w:t>
      </w:r>
    </w:p>
    <w:p w14:paraId="7E944CF1" w14:textId="77777777" w:rsidR="009B4A2C" w:rsidRPr="006762EF" w:rsidRDefault="009B4A2C" w:rsidP="00CB227D">
      <w:pPr>
        <w:pStyle w:val="TableFigureFooter"/>
        <w:keepNext/>
        <w:keepLines/>
        <w:rPr>
          <w:i/>
        </w:rPr>
      </w:pPr>
      <w:r w:rsidRPr="006762EF">
        <w:rPr>
          <w:i/>
          <w:vertAlign w:val="superscript"/>
        </w:rPr>
        <w:t>2</w:t>
      </w:r>
      <w:r w:rsidRPr="006762EF">
        <w:rPr>
          <w:i/>
        </w:rPr>
        <w:t xml:space="preserve"> 40,000 to &lt; 50,000</w:t>
      </w:r>
    </w:p>
    <w:p w14:paraId="1A58B9E8" w14:textId="77777777" w:rsidR="009B4A2C" w:rsidRPr="006762EF" w:rsidRDefault="009B4A2C" w:rsidP="00CB227D">
      <w:pPr>
        <w:pStyle w:val="TableFigureFooter"/>
        <w:keepNext/>
        <w:keepLines/>
        <w:rPr>
          <w:i/>
        </w:rPr>
      </w:pPr>
      <w:r w:rsidRPr="006762EF">
        <w:rPr>
          <w:i/>
          <w:vertAlign w:val="superscript"/>
        </w:rPr>
        <w:t>3</w:t>
      </w:r>
      <w:r w:rsidRPr="006762EF">
        <w:rPr>
          <w:i/>
        </w:rPr>
        <w:t xml:space="preserve"> 50,000 to &lt; 60,000</w:t>
      </w:r>
    </w:p>
    <w:p w14:paraId="58E0B29A" w14:textId="77777777" w:rsidR="009B4A2C" w:rsidRPr="006762EF" w:rsidRDefault="009B4A2C" w:rsidP="00CB227D">
      <w:pPr>
        <w:pStyle w:val="TableFigureFooter"/>
        <w:keepNext/>
        <w:keepLines/>
        <w:rPr>
          <w:i/>
        </w:rPr>
      </w:pPr>
      <w:r w:rsidRPr="006762EF">
        <w:rPr>
          <w:i/>
          <w:vertAlign w:val="superscript"/>
        </w:rPr>
        <w:t>4</w:t>
      </w:r>
      <w:r w:rsidRPr="006762EF">
        <w:rPr>
          <w:i/>
        </w:rPr>
        <w:t xml:space="preserve"> 60,000 to &lt; 70,000</w:t>
      </w:r>
    </w:p>
    <w:p w14:paraId="3F309610" w14:textId="77777777" w:rsidR="009B4A2C" w:rsidRPr="006762EF" w:rsidRDefault="009B4A2C" w:rsidP="00CB227D">
      <w:pPr>
        <w:pStyle w:val="TableFigureFooter"/>
        <w:keepNext/>
        <w:keepLines/>
        <w:rPr>
          <w:i/>
        </w:rPr>
      </w:pPr>
      <w:r w:rsidRPr="006762EF">
        <w:rPr>
          <w:i/>
          <w:vertAlign w:val="superscript"/>
        </w:rPr>
        <w:t>5</w:t>
      </w:r>
      <w:r w:rsidR="009E2A65" w:rsidRPr="006762EF">
        <w:rPr>
          <w:i/>
        </w:rPr>
        <w:t xml:space="preserve"> 80,000 to &lt; 9</w:t>
      </w:r>
      <w:r w:rsidRPr="006762EF">
        <w:rPr>
          <w:i/>
        </w:rPr>
        <w:t>0,000</w:t>
      </w:r>
    </w:p>
    <w:p w14:paraId="45F9AEAA" w14:textId="77777777" w:rsidR="009E2A65" w:rsidRPr="006762EF" w:rsidRDefault="009E2A65" w:rsidP="00CB227D">
      <w:pPr>
        <w:pStyle w:val="TableFigureFooter"/>
        <w:keepNext/>
        <w:keepLines/>
        <w:rPr>
          <w:i/>
        </w:rPr>
      </w:pPr>
      <w:r w:rsidRPr="006762EF">
        <w:rPr>
          <w:i/>
          <w:vertAlign w:val="superscript"/>
        </w:rPr>
        <w:t>6</w:t>
      </w:r>
      <w:r w:rsidRPr="006762EF">
        <w:rPr>
          <w:i/>
        </w:rPr>
        <w:t xml:space="preserve"> 90,000 to &lt; 100,000</w:t>
      </w:r>
    </w:p>
    <w:p w14:paraId="16AE9B35" w14:textId="77777777" w:rsidR="006762EF" w:rsidRPr="006762EF" w:rsidRDefault="006762EF" w:rsidP="00CB227D">
      <w:pPr>
        <w:pStyle w:val="TableFigureFooter"/>
        <w:keepNext/>
        <w:keepLines/>
        <w:rPr>
          <w:i/>
        </w:rPr>
      </w:pPr>
      <w:r w:rsidRPr="006762EF">
        <w:rPr>
          <w:i/>
          <w:vertAlign w:val="superscript"/>
        </w:rPr>
        <w:t>7</w:t>
      </w:r>
      <w:r w:rsidRPr="006762EF">
        <w:rPr>
          <w:i/>
        </w:rPr>
        <w:t xml:space="preserve"> 100,000 to &lt; 200,000</w:t>
      </w:r>
    </w:p>
    <w:p w14:paraId="438505DD" w14:textId="77777777" w:rsidR="006762EF" w:rsidRPr="006762EF" w:rsidRDefault="006762EF" w:rsidP="00CB227D">
      <w:pPr>
        <w:pStyle w:val="TableFigureFooter"/>
        <w:keepNext/>
        <w:keepLines/>
        <w:rPr>
          <w:i/>
        </w:rPr>
      </w:pPr>
      <w:r w:rsidRPr="006762EF">
        <w:rPr>
          <w:i/>
          <w:vertAlign w:val="superscript"/>
        </w:rPr>
        <w:t>8</w:t>
      </w:r>
      <w:r w:rsidRPr="006762EF">
        <w:rPr>
          <w:i/>
        </w:rPr>
        <w:t xml:space="preserve"> $0 to &lt; $10 million </w:t>
      </w:r>
    </w:p>
    <w:p w14:paraId="613EBF4F" w14:textId="77777777" w:rsidR="006762EF" w:rsidRPr="006762EF" w:rsidRDefault="006762EF" w:rsidP="00CB227D">
      <w:pPr>
        <w:pStyle w:val="TableFigureFooter"/>
        <w:keepNext/>
        <w:keepLines/>
        <w:rPr>
          <w:i/>
        </w:rPr>
      </w:pPr>
      <w:r w:rsidRPr="006762EF">
        <w:rPr>
          <w:i/>
          <w:vertAlign w:val="superscript"/>
        </w:rPr>
        <w:t>9</w:t>
      </w:r>
      <w:r w:rsidRPr="006762EF">
        <w:rPr>
          <w:i/>
        </w:rPr>
        <w:t xml:space="preserve"> $30 million to &lt; $ 40 million</w:t>
      </w:r>
    </w:p>
    <w:p w14:paraId="3F3E133D" w14:textId="77777777" w:rsidR="009B4A2C" w:rsidRPr="009B4A2C" w:rsidRDefault="009B4A2C" w:rsidP="00CB227D">
      <w:pPr>
        <w:pStyle w:val="TableFigureFooter"/>
        <w:keepNext/>
        <w:keepLines/>
      </w:pPr>
    </w:p>
    <w:p w14:paraId="4B74E752" w14:textId="77777777" w:rsidR="00D55511" w:rsidRPr="00001939" w:rsidRDefault="001F516D" w:rsidP="00202425">
      <w:pPr>
        <w:pStyle w:val="3-BodyText"/>
        <w:rPr>
          <w:iCs/>
        </w:rPr>
      </w:pPr>
      <w:r w:rsidRPr="00001939">
        <w:t xml:space="preserve">At the requested price (DPMQ = $91.60), the proposed listing of </w:t>
      </w:r>
      <w:r w:rsidR="0081496A">
        <w:t>FF/UMEC/VI 200/62.5/25</w:t>
      </w:r>
      <w:r w:rsidRPr="00001939">
        <w:t xml:space="preserve"> was estimated to result in cost-savings to the PBS/RPBS of $</w:t>
      </w:r>
      <w:r w:rsidR="008B2168">
        <w:t>0 to &lt; $10 million</w:t>
      </w:r>
      <w:r w:rsidRPr="00001939">
        <w:t xml:space="preserve"> over the first six years of listing. </w:t>
      </w:r>
      <w:r w:rsidRPr="00001939">
        <w:rPr>
          <w:iCs/>
        </w:rPr>
        <w:t xml:space="preserve">Cost savings were predicted because the financial model assumed a basket of multiple inhaler triple therapies would be displaced by the introduction of </w:t>
      </w:r>
      <w:r w:rsidR="0081496A">
        <w:rPr>
          <w:iCs/>
        </w:rPr>
        <w:t>FF/UMEC/VI 200/62.5/25</w:t>
      </w:r>
      <w:r w:rsidRPr="00001939">
        <w:rPr>
          <w:iCs/>
        </w:rPr>
        <w:t xml:space="preserve">, most of which were more expensive than </w:t>
      </w:r>
      <w:r w:rsidR="0081496A">
        <w:rPr>
          <w:iCs/>
        </w:rPr>
        <w:t>FF/UMEC/VI 200/62.5/25</w:t>
      </w:r>
      <w:r w:rsidRPr="00001939">
        <w:rPr>
          <w:iCs/>
        </w:rPr>
        <w:t>.</w:t>
      </w:r>
    </w:p>
    <w:p w14:paraId="5EDB1EA9" w14:textId="57A2970A" w:rsidR="006B608B" w:rsidRPr="00F21704" w:rsidRDefault="001F516D" w:rsidP="00202425">
      <w:pPr>
        <w:pStyle w:val="3-BodyText"/>
        <w:rPr>
          <w:iCs/>
        </w:rPr>
      </w:pPr>
      <w:r w:rsidRPr="00001939">
        <w:rPr>
          <w:iCs/>
        </w:rPr>
        <w:t xml:space="preserve">The submission did not test the possibility of </w:t>
      </w:r>
      <w:r w:rsidR="0081496A">
        <w:rPr>
          <w:iCs/>
        </w:rPr>
        <w:t>FF/UMEC/VI 200/62.5/25</w:t>
      </w:r>
      <w:r w:rsidRPr="00001939">
        <w:rPr>
          <w:iCs/>
        </w:rPr>
        <w:t xml:space="preserve"> being substituted for dual therapy (ICS/LABA FDCs) in patients not indicated for </w:t>
      </w:r>
      <w:r w:rsidR="0081496A">
        <w:rPr>
          <w:iCs/>
        </w:rPr>
        <w:t>FF/UMEC/VI 200/62.5/25</w:t>
      </w:r>
      <w:r w:rsidRPr="00001939">
        <w:rPr>
          <w:iCs/>
        </w:rPr>
        <w:t>.</w:t>
      </w:r>
      <w:r w:rsidR="00382E55" w:rsidRPr="00001939">
        <w:rPr>
          <w:iCs/>
        </w:rPr>
        <w:t xml:space="preserve"> </w:t>
      </w:r>
      <w:r w:rsidR="00382E55" w:rsidRPr="006B608B">
        <w:rPr>
          <w:iCs/>
        </w:rPr>
        <w:t>This possibility was explored in the MF/IND/GLY commentary and was found to have an impact on expenditure</w:t>
      </w:r>
      <w:r w:rsidR="00382E55" w:rsidRPr="00001939">
        <w:rPr>
          <w:iCs/>
        </w:rPr>
        <w:t xml:space="preserve">. </w:t>
      </w:r>
      <w:r w:rsidR="006B608B" w:rsidRPr="00F21704">
        <w:rPr>
          <w:iCs/>
        </w:rPr>
        <w:t xml:space="preserve">The PSCR stated that in the MF/IND/GLY submission, a sensitivity analysis was conducted exploring the proportion of use in patients with controlled asthma on ICS/LABA (same total number of scripts) </w:t>
      </w:r>
      <w:r w:rsidR="00224FC8">
        <w:rPr>
          <w:iCs/>
        </w:rPr>
        <w:t>with</w:t>
      </w:r>
      <w:r w:rsidR="006B608B" w:rsidRPr="00F21704">
        <w:rPr>
          <w:iCs/>
        </w:rPr>
        <w:t xml:space="preserve"> 10% and 20% scenarios of substituting for ICS/LABA (instead of pure switching from multiple-inhaler triple therapy). The PSCR also noted the subsequent MF/IND/GLY commentary reported a threshold analysis where ≥3% use in patients controlled on dual therapy resulted in a net cost to the PBS/RPBS (all else constant), because dual therapy was less costly than triple therapy. The PSCR argued that given the prices of high dose ICS/LABAs remain the same and the proposed price of </w:t>
      </w:r>
      <w:r w:rsidR="0081496A">
        <w:rPr>
          <w:iCs/>
        </w:rPr>
        <w:t>FF/UMEC/VI 200/62.5/25</w:t>
      </w:r>
      <w:r w:rsidR="006B608B" w:rsidRPr="00F21704">
        <w:rPr>
          <w:iCs/>
        </w:rPr>
        <w:t xml:space="preserve"> in this submission is the same as that of MF/IND/GLY (136/114/46), the same threshold of 3% would apply.</w:t>
      </w:r>
    </w:p>
    <w:p w14:paraId="17342C7D" w14:textId="150A50F7" w:rsidR="001F516D" w:rsidRPr="00F21704" w:rsidRDefault="006B608B" w:rsidP="00DE4963">
      <w:pPr>
        <w:pStyle w:val="3-BodyText"/>
        <w:rPr>
          <w:iCs/>
        </w:rPr>
      </w:pPr>
      <w:r w:rsidRPr="00F21704">
        <w:t>The ESC noted that in July 20</w:t>
      </w:r>
      <w:r w:rsidR="00DE4963" w:rsidRPr="00F21704">
        <w:t>20, when considering the financial estimates of MF/IND/GLY</w:t>
      </w:r>
      <w:r w:rsidR="00382E55" w:rsidRPr="00F21704">
        <w:t xml:space="preserve">, the PBAC “remained concerned about the risk of inappropriate use in patients with less severe asthma otherwise managed on ICS or ICS/LABA and considered a </w:t>
      </w:r>
      <w:r w:rsidR="00A757D0">
        <w:t xml:space="preserve">more restrictive </w:t>
      </w:r>
      <w:r w:rsidR="00382E55" w:rsidRPr="00F21704">
        <w:t xml:space="preserve">Authority Required </w:t>
      </w:r>
      <w:r w:rsidR="00A757D0">
        <w:t>type listing than ‘Streamlined’</w:t>
      </w:r>
      <w:r w:rsidR="0093697B">
        <w:t xml:space="preserve"> </w:t>
      </w:r>
      <w:r w:rsidR="00382E55" w:rsidRPr="00F21704">
        <w:t>would be appropriate to minimise this risk” (paragraph 7.8, MF/IND/GLY PSD, July 2020 PBAC Meeting). Th</w:t>
      </w:r>
      <w:r w:rsidR="00DE4963" w:rsidRPr="00F21704">
        <w:t>e ESC considered this</w:t>
      </w:r>
      <w:r w:rsidR="00382E55" w:rsidRPr="00F21704">
        <w:t xml:space="preserve"> </w:t>
      </w:r>
      <w:r w:rsidR="00DE4963" w:rsidRPr="00F21704">
        <w:t>wa</w:t>
      </w:r>
      <w:r w:rsidR="00382E55" w:rsidRPr="00F21704">
        <w:t>s</w:t>
      </w:r>
      <w:r w:rsidR="00051511" w:rsidRPr="00F21704">
        <w:t xml:space="preserve"> also</w:t>
      </w:r>
      <w:r w:rsidR="00382E55" w:rsidRPr="00F21704">
        <w:t xml:space="preserve"> likely </w:t>
      </w:r>
      <w:r w:rsidR="001D1A24" w:rsidRPr="00F21704">
        <w:t>to be applicable</w:t>
      </w:r>
      <w:r w:rsidR="00382E55" w:rsidRPr="00F21704">
        <w:t xml:space="preserve"> in the case of </w:t>
      </w:r>
      <w:r w:rsidR="0081496A">
        <w:t>FF/UMEC/VI 200/62.5/25</w:t>
      </w:r>
      <w:r w:rsidR="00382E55" w:rsidRPr="00F21704">
        <w:t>.</w:t>
      </w:r>
      <w:r w:rsidRPr="00F21704">
        <w:t xml:space="preserve"> </w:t>
      </w:r>
      <w:r w:rsidR="00DE4963" w:rsidRPr="00F21704">
        <w:t xml:space="preserve">In addition, the ESC noted </w:t>
      </w:r>
      <w:r w:rsidR="00DE4963" w:rsidRPr="00F21704">
        <w:rPr>
          <w:iCs/>
        </w:rPr>
        <w:t xml:space="preserve">the </w:t>
      </w:r>
      <w:r w:rsidR="0081496A">
        <w:rPr>
          <w:iCs/>
        </w:rPr>
        <w:t>FF/UMEC/VI 200/62.5/25</w:t>
      </w:r>
      <w:r w:rsidR="00DE4963" w:rsidRPr="00F21704">
        <w:rPr>
          <w:iCs/>
        </w:rPr>
        <w:t xml:space="preserve"> product is not PBS listed for COPD and considered there is a chance of </w:t>
      </w:r>
      <w:r w:rsidR="00F34A2F">
        <w:rPr>
          <w:iCs/>
        </w:rPr>
        <w:t>use in patients with COPD who do not have asthma.</w:t>
      </w:r>
      <w:r w:rsidR="00DE4963" w:rsidRPr="00F21704">
        <w:rPr>
          <w:iCs/>
        </w:rPr>
        <w:t xml:space="preserve"> </w:t>
      </w:r>
      <w:r w:rsidR="004D235A">
        <w:rPr>
          <w:iCs/>
        </w:rPr>
        <w:t>The pre-PBAC response stated the sponsor has educated over 5</w:t>
      </w:r>
      <w:r w:rsidR="009B32DC">
        <w:rPr>
          <w:iCs/>
        </w:rPr>
        <w:t>,</w:t>
      </w:r>
      <w:r w:rsidR="004D235A">
        <w:rPr>
          <w:iCs/>
        </w:rPr>
        <w:t xml:space="preserve">000 GPs on the use of low dose </w:t>
      </w:r>
      <w:r w:rsidR="0081496A">
        <w:rPr>
          <w:iCs/>
        </w:rPr>
        <w:t>FF/UMEC/VI</w:t>
      </w:r>
      <w:r w:rsidR="004D235A">
        <w:rPr>
          <w:iCs/>
        </w:rPr>
        <w:t xml:space="preserve"> (</w:t>
      </w:r>
      <w:r w:rsidR="0081496A">
        <w:rPr>
          <w:iCs/>
        </w:rPr>
        <w:t>100/62.5/25</w:t>
      </w:r>
      <w:r w:rsidR="004D235A">
        <w:rPr>
          <w:iCs/>
        </w:rPr>
        <w:t>) in symptomatic COPD patients with exacerbation history. The pre-PBAC resp</w:t>
      </w:r>
      <w:r w:rsidR="009B32DC">
        <w:rPr>
          <w:iCs/>
        </w:rPr>
        <w:t>onse noted</w:t>
      </w:r>
      <w:r w:rsidR="004D235A">
        <w:rPr>
          <w:iCs/>
        </w:rPr>
        <w:t xml:space="preserve"> that such education highlighted the increased pneumonia events with a higher dose of ICS with no additional benefit in COPD patients. </w:t>
      </w:r>
      <w:r w:rsidR="009B32DC">
        <w:rPr>
          <w:iCs/>
        </w:rPr>
        <w:t xml:space="preserve">In addition, the pre-PBAC response </w:t>
      </w:r>
      <w:r w:rsidR="004D235A">
        <w:rPr>
          <w:iCs/>
        </w:rPr>
        <w:t xml:space="preserve">argued that there has been wide </w:t>
      </w:r>
      <w:r w:rsidR="004D235A" w:rsidRPr="004D235A">
        <w:t>education from peak bodies highlighting increased events of osteoporosis/fractures with high dose of ICS and promoting the judicious use in the appropriate patients</w:t>
      </w:r>
      <w:r w:rsidR="004D235A">
        <w:t>.</w:t>
      </w:r>
      <w:r w:rsidR="009B32DC">
        <w:t xml:space="preserve"> </w:t>
      </w:r>
      <w:r w:rsidR="004D235A" w:rsidRPr="00F21704" w:rsidDel="00795C60">
        <w:rPr>
          <w:iCs/>
        </w:rPr>
        <w:t xml:space="preserve"> </w:t>
      </w:r>
    </w:p>
    <w:p w14:paraId="479B6AE3" w14:textId="77777777" w:rsidR="001F516D" w:rsidRPr="001808B1" w:rsidRDefault="001F516D" w:rsidP="00EA556C">
      <w:pPr>
        <w:pStyle w:val="4-SubsectionHeading"/>
      </w:pPr>
      <w:bookmarkStart w:id="48" w:name="_Toc22897648"/>
      <w:bookmarkStart w:id="49" w:name="_Toc22898860"/>
      <w:bookmarkStart w:id="50" w:name="_Toc82689140"/>
      <w:r w:rsidRPr="001808B1">
        <w:t>Quality Use of Medicines</w:t>
      </w:r>
      <w:bookmarkEnd w:id="48"/>
      <w:bookmarkEnd w:id="49"/>
      <w:bookmarkEnd w:id="50"/>
    </w:p>
    <w:p w14:paraId="30605823" w14:textId="77777777" w:rsidR="00D55511" w:rsidRPr="00001939" w:rsidRDefault="001F516D" w:rsidP="00202425">
      <w:pPr>
        <w:pStyle w:val="3-BodyText"/>
      </w:pPr>
      <w:r w:rsidRPr="00D55511">
        <w:rPr>
          <w:iCs/>
        </w:rPr>
        <w:t>The submission mentioned several factors, including inhalation technique, inhaler device, patient adherence and patient preference f</w:t>
      </w:r>
      <w:r w:rsidR="009E2D10">
        <w:rPr>
          <w:iCs/>
        </w:rPr>
        <w:t>or a particular inhaler device</w:t>
      </w:r>
      <w:r w:rsidR="00EE5AF2">
        <w:rPr>
          <w:iCs/>
        </w:rPr>
        <w:t xml:space="preserve"> </w:t>
      </w:r>
      <w:r w:rsidRPr="00D55511">
        <w:rPr>
          <w:iCs/>
        </w:rPr>
        <w:t xml:space="preserve">that could influence the quality use of medicine for severe asthma patients. Other quality use of medicines concerns included medication errors and </w:t>
      </w:r>
      <w:bookmarkStart w:id="51" w:name="_Hlk82516778"/>
      <w:r w:rsidRPr="00D55511">
        <w:rPr>
          <w:iCs/>
        </w:rPr>
        <w:t xml:space="preserve">the potential for off-label use. </w:t>
      </w:r>
      <w:r w:rsidR="00CA68B8" w:rsidRPr="00001939">
        <w:t xml:space="preserve">The potential for off-label use of </w:t>
      </w:r>
      <w:r w:rsidR="0081496A">
        <w:t>FF/UMEC/VI 200/62.5/25</w:t>
      </w:r>
      <w:r w:rsidR="00CA68B8" w:rsidRPr="00001939">
        <w:t xml:space="preserve"> could be high</w:t>
      </w:r>
      <w:r w:rsidRPr="00001939">
        <w:t>.</w:t>
      </w:r>
      <w:r w:rsidR="00CA68B8" w:rsidRPr="00001939">
        <w:t xml:space="preserve"> This was raised as an issue for MF/IND/GLY </w:t>
      </w:r>
      <w:r w:rsidR="009E2D10" w:rsidRPr="00001939">
        <w:t xml:space="preserve">in July 2020 </w:t>
      </w:r>
      <w:r w:rsidR="00CA68B8" w:rsidRPr="00001939">
        <w:t>and part of the reason the PBAC considered a</w:t>
      </w:r>
      <w:r w:rsidR="009E2D10" w:rsidRPr="00001939">
        <w:t xml:space="preserve">n </w:t>
      </w:r>
      <w:r w:rsidR="009E2D10" w:rsidRPr="00001939">
        <w:rPr>
          <w:iCs/>
        </w:rPr>
        <w:t>Authority Required</w:t>
      </w:r>
      <w:r w:rsidR="0093697B">
        <w:rPr>
          <w:iCs/>
        </w:rPr>
        <w:t xml:space="preserve"> </w:t>
      </w:r>
      <w:r w:rsidR="00A757D0">
        <w:rPr>
          <w:iCs/>
        </w:rPr>
        <w:t>(t</w:t>
      </w:r>
      <w:r w:rsidR="009E2D10" w:rsidRPr="00001939">
        <w:rPr>
          <w:iCs/>
        </w:rPr>
        <w:t>elephone/</w:t>
      </w:r>
      <w:r w:rsidR="00A757D0">
        <w:rPr>
          <w:iCs/>
        </w:rPr>
        <w:t>online)</w:t>
      </w:r>
      <w:r w:rsidR="009E2D10" w:rsidRPr="00001939">
        <w:rPr>
          <w:iCs/>
        </w:rPr>
        <w:t xml:space="preserve"> </w:t>
      </w:r>
      <w:r w:rsidR="00CA68B8" w:rsidRPr="00001939">
        <w:t>listing appropriate</w:t>
      </w:r>
      <w:r w:rsidR="009E2D10" w:rsidRPr="00001939">
        <w:t xml:space="preserve"> (</w:t>
      </w:r>
      <w:r w:rsidR="009E2D10" w:rsidRPr="00001939">
        <w:rPr>
          <w:iCs/>
        </w:rPr>
        <w:t>paragraph 7.8, MF/IND/GLY PSD, July 2020 PBAC Meeting)</w:t>
      </w:r>
      <w:r w:rsidR="00CA68B8" w:rsidRPr="00001939">
        <w:t>.</w:t>
      </w:r>
      <w:bookmarkEnd w:id="51"/>
    </w:p>
    <w:p w14:paraId="7B22101A" w14:textId="77777777" w:rsidR="004D235A" w:rsidRPr="004D235A" w:rsidRDefault="00337D0E" w:rsidP="003C1D07">
      <w:pPr>
        <w:pStyle w:val="3-BodyText"/>
      </w:pPr>
      <w:bookmarkStart w:id="52" w:name="_Hlk82535984"/>
      <w:bookmarkStart w:id="53" w:name="_Hlk82516910"/>
      <w:r w:rsidRPr="00001939">
        <w:t xml:space="preserve">Given </w:t>
      </w:r>
      <w:r w:rsidR="0081496A">
        <w:t>FF/UMEC/VI 200/62.5/25</w:t>
      </w:r>
      <w:r w:rsidRPr="00001939">
        <w:t xml:space="preserve"> is a single inhaler</w:t>
      </w:r>
      <w:r w:rsidR="00051511" w:rsidRPr="00001939">
        <w:t>,</w:t>
      </w:r>
      <w:r w:rsidRPr="00001939">
        <w:t xml:space="preserve"> it is possible for patients who could be stabilised on dual therapy, </w:t>
      </w:r>
      <w:r w:rsidR="00051511" w:rsidRPr="00001939">
        <w:t xml:space="preserve">to </w:t>
      </w:r>
      <w:r w:rsidRPr="00001939">
        <w:t xml:space="preserve">be escalated up the treatment algorithm quicker than required </w:t>
      </w:r>
      <w:r w:rsidR="00051511" w:rsidRPr="00001939">
        <w:t>to</w:t>
      </w:r>
      <w:r w:rsidRPr="00001939">
        <w:t xml:space="preserve"> </w:t>
      </w:r>
      <w:r w:rsidR="0081496A">
        <w:t>FF/UMEC/VI 200/62.5/25</w:t>
      </w:r>
      <w:r w:rsidRPr="00001939">
        <w:t xml:space="preserve">. </w:t>
      </w:r>
      <w:bookmarkEnd w:id="52"/>
      <w:r w:rsidR="001F516D" w:rsidRPr="00001939">
        <w:t>This highlights the need for concerted patient and prescriber education.</w:t>
      </w:r>
      <w:r w:rsidR="004D235A">
        <w:t xml:space="preserve"> </w:t>
      </w:r>
      <w:r w:rsidR="003C1D07">
        <w:t xml:space="preserve">The pre-PBAC response argued the </w:t>
      </w:r>
      <w:r w:rsidR="004D235A" w:rsidRPr="004D235A">
        <w:t>A</w:t>
      </w:r>
      <w:r w:rsidR="003C1D07">
        <w:t xml:space="preserve">AH </w:t>
      </w:r>
      <w:r w:rsidR="004D235A" w:rsidRPr="004D235A">
        <w:t xml:space="preserve">provides clear guidance on when to step up after ensuring that adherence, inhaler technique and other comorbidities are carefully checked before considering any increase in dose or addition of treatment regimen. </w:t>
      </w:r>
      <w:r w:rsidR="003C1D07">
        <w:t>The pre-PBAC response</w:t>
      </w:r>
      <w:r w:rsidR="009B32DC">
        <w:t xml:space="preserve"> stated that the sponsor would</w:t>
      </w:r>
      <w:r w:rsidR="003C1D07">
        <w:t xml:space="preserve"> provide </w:t>
      </w:r>
      <w:r w:rsidR="004D235A" w:rsidRPr="004D235A">
        <w:t>educational material (including case studies which shall be developed in consultation wi</w:t>
      </w:r>
      <w:r w:rsidR="003C1D07">
        <w:t>th respiratory specialists) which emphasize</w:t>
      </w:r>
      <w:r w:rsidR="009B32DC">
        <w:t>d</w:t>
      </w:r>
      <w:r w:rsidR="003C1D07">
        <w:t xml:space="preserve"> </w:t>
      </w:r>
      <w:r w:rsidR="004D235A" w:rsidRPr="004D235A">
        <w:t xml:space="preserve">this important aspect of asthma management so that only the right patients are </w:t>
      </w:r>
      <w:r w:rsidR="003C1D07">
        <w:t xml:space="preserve">stepped up to </w:t>
      </w:r>
      <w:r w:rsidR="0081496A">
        <w:t>FF/UMEC/VI</w:t>
      </w:r>
      <w:r w:rsidR="003C1D07">
        <w:t>.</w:t>
      </w:r>
      <w:r w:rsidR="004D235A" w:rsidRPr="004D235A">
        <w:t xml:space="preserve"> </w:t>
      </w:r>
    </w:p>
    <w:p w14:paraId="64D0AA08" w14:textId="77777777" w:rsidR="001F516D" w:rsidRPr="001808B1" w:rsidRDefault="001F516D" w:rsidP="00EA556C">
      <w:pPr>
        <w:pStyle w:val="4-SubsectionHeading"/>
      </w:pPr>
      <w:bookmarkStart w:id="54" w:name="_Toc22897649"/>
      <w:bookmarkStart w:id="55" w:name="_Toc22898861"/>
      <w:bookmarkStart w:id="56" w:name="_Toc82689141"/>
      <w:bookmarkEnd w:id="53"/>
      <w:r w:rsidRPr="001808B1">
        <w:t>Financial Management – Risk Sharing Arrangements</w:t>
      </w:r>
      <w:bookmarkEnd w:id="54"/>
      <w:bookmarkEnd w:id="55"/>
      <w:bookmarkEnd w:id="56"/>
    </w:p>
    <w:p w14:paraId="3417E706" w14:textId="47D0C230" w:rsidR="001F516D" w:rsidRPr="003C1D07" w:rsidRDefault="003C1D07" w:rsidP="0011196F">
      <w:pPr>
        <w:pStyle w:val="3-BodyText"/>
      </w:pPr>
      <w:r w:rsidRPr="003C1D07">
        <w:t>T</w:t>
      </w:r>
      <w:r w:rsidR="0011196F">
        <w:t>he pre-PBAC response proposed</w:t>
      </w:r>
      <w:r>
        <w:t xml:space="preserve"> a risk sharing arrangement (RSA) </w:t>
      </w:r>
      <w:r w:rsidR="0011196F">
        <w:t>as a</w:t>
      </w:r>
      <w:r>
        <w:t xml:space="preserve"> </w:t>
      </w:r>
      <w:r w:rsidR="0011196F">
        <w:t xml:space="preserve">mechanism to reduce the perceived risk of inappropriate prescribing to the PBS budget instead of an Authority Required </w:t>
      </w:r>
      <w:r w:rsidR="00A757D0">
        <w:t>(t</w:t>
      </w:r>
      <w:r w:rsidRPr="003C1D07">
        <w:t>elephone/</w:t>
      </w:r>
      <w:r w:rsidR="00A757D0">
        <w:t>online)</w:t>
      </w:r>
      <w:r w:rsidR="00170D71">
        <w:t xml:space="preserve"> listing</w:t>
      </w:r>
      <w:r w:rsidRPr="003C1D07">
        <w:t>.</w:t>
      </w:r>
    </w:p>
    <w:p w14:paraId="14069D29" w14:textId="77777777" w:rsidR="007C4ED2" w:rsidRDefault="007C4ED2" w:rsidP="007C4ED2">
      <w:pPr>
        <w:pStyle w:val="3-BodyText"/>
        <w:numPr>
          <w:ilvl w:val="0"/>
          <w:numId w:val="0"/>
        </w:numPr>
        <w:ind w:left="720"/>
        <w:rPr>
          <w:i/>
        </w:rPr>
      </w:pPr>
      <w:r w:rsidRPr="007C4ED2">
        <w:rPr>
          <w:i/>
        </w:rPr>
        <w:t>For more detail on PBAC’s view, see section 7 PBAC outcome.</w:t>
      </w:r>
    </w:p>
    <w:p w14:paraId="5CC7E869" w14:textId="77777777" w:rsidR="009B57BD" w:rsidRPr="0085129C" w:rsidRDefault="009B57BD" w:rsidP="0085129C">
      <w:pPr>
        <w:pStyle w:val="2-SectionHeading"/>
      </w:pPr>
      <w:bookmarkStart w:id="57" w:name="_Hlk76381249"/>
      <w:bookmarkStart w:id="58" w:name="_Hlk76377955"/>
      <w:r w:rsidRPr="009B57BD">
        <w:t>PBAC Outcome</w:t>
      </w:r>
    </w:p>
    <w:p w14:paraId="7C2BFF06" w14:textId="77777777" w:rsidR="0032114B" w:rsidRPr="00963240" w:rsidRDefault="009B57BD" w:rsidP="0032114B">
      <w:pPr>
        <w:pStyle w:val="3-BodyText"/>
        <w:rPr>
          <w:lang w:val="en-GB" w:eastAsia="en-US"/>
        </w:rPr>
      </w:pPr>
      <w:r w:rsidRPr="009B57BD">
        <w:rPr>
          <w:lang w:val="en-GB" w:eastAsia="en-US"/>
        </w:rPr>
        <w:t xml:space="preserve">The PBAC recommended the </w:t>
      </w:r>
      <w:r w:rsidR="0032114B">
        <w:rPr>
          <w:lang w:val="en-GB" w:eastAsia="en-US"/>
        </w:rPr>
        <w:t xml:space="preserve">Authority Required (STREAMLINED) </w:t>
      </w:r>
      <w:r w:rsidRPr="009B57BD">
        <w:rPr>
          <w:lang w:val="en-GB" w:eastAsia="en-US"/>
        </w:rPr>
        <w:t>listing of</w:t>
      </w:r>
      <w:r w:rsidR="0032114B">
        <w:rPr>
          <w:lang w:val="en-GB" w:eastAsia="en-US"/>
        </w:rPr>
        <w:t xml:space="preserve"> </w:t>
      </w:r>
      <w:r w:rsidR="0032114B" w:rsidRPr="001808B1">
        <w:t>fluticasone furoate (FF)</w:t>
      </w:r>
      <w:r w:rsidR="0032114B" w:rsidRPr="00E77ED9">
        <w:t xml:space="preserve"> with vilanterol (VI) and umeclidinium (UMEC)</w:t>
      </w:r>
      <w:r w:rsidR="0032114B">
        <w:t xml:space="preserve"> fixed dose combination (FDC) </w:t>
      </w:r>
      <w:r w:rsidR="0032114B" w:rsidRPr="00E77ED9">
        <w:t>for maintenance therapy of severe asthma.</w:t>
      </w:r>
      <w:r w:rsidR="0032114B">
        <w:t xml:space="preserve"> </w:t>
      </w:r>
      <w:r w:rsidR="00F26198">
        <w:t>The recommended</w:t>
      </w:r>
      <w:r w:rsidR="00224FC8">
        <w:t xml:space="preserve"> listing wa</w:t>
      </w:r>
      <w:r w:rsidR="00963240" w:rsidRPr="00E77ED9">
        <w:t xml:space="preserve">s for one strength: </w:t>
      </w:r>
      <w:r w:rsidR="0081496A">
        <w:t>FF/UMEC/VI 200/62.5/25</w:t>
      </w:r>
      <w:r w:rsidR="00963240" w:rsidRPr="00E77ED9">
        <w:t xml:space="preserve"> mcg.</w:t>
      </w:r>
    </w:p>
    <w:p w14:paraId="3EE38530" w14:textId="77777777" w:rsidR="00F26198" w:rsidRPr="00B2058A" w:rsidRDefault="00963240" w:rsidP="00963240">
      <w:pPr>
        <w:pStyle w:val="3-BodyText"/>
        <w:rPr>
          <w:lang w:val="en-GB" w:eastAsia="en-US"/>
        </w:rPr>
      </w:pPr>
      <w:r>
        <w:rPr>
          <w:lang w:val="en-GB" w:eastAsia="en-US"/>
        </w:rPr>
        <w:t xml:space="preserve">The PBAC considered the claim of non-inferior effectiveness and safety to the FDC of </w:t>
      </w:r>
      <w:r w:rsidRPr="00963240">
        <w:rPr>
          <w:iCs/>
        </w:rPr>
        <w:t>mome</w:t>
      </w:r>
      <w:r w:rsidR="0093697B">
        <w:rPr>
          <w:iCs/>
        </w:rPr>
        <w:t xml:space="preserve">tasone furoate </w:t>
      </w:r>
      <w:r w:rsidRPr="00963240">
        <w:rPr>
          <w:iCs/>
        </w:rPr>
        <w:t>(MF)</w:t>
      </w:r>
      <w:r w:rsidR="00E2594C">
        <w:rPr>
          <w:iCs/>
        </w:rPr>
        <w:t xml:space="preserve"> 136 mcg</w:t>
      </w:r>
      <w:r>
        <w:rPr>
          <w:iCs/>
        </w:rPr>
        <w:t xml:space="preserve">, with indacaterol (IND) </w:t>
      </w:r>
      <w:r w:rsidR="00E2594C">
        <w:rPr>
          <w:iCs/>
        </w:rPr>
        <w:t xml:space="preserve">114 mcg </w:t>
      </w:r>
      <w:r>
        <w:rPr>
          <w:iCs/>
        </w:rPr>
        <w:t xml:space="preserve">and glycopyrronium (GLY) </w:t>
      </w:r>
      <w:r w:rsidR="00E2594C">
        <w:t>46</w:t>
      </w:r>
      <w:r w:rsidR="00E2594C" w:rsidRPr="001808B1">
        <w:t xml:space="preserve"> </w:t>
      </w:r>
      <w:r w:rsidR="00E2594C">
        <w:t xml:space="preserve">mcg </w:t>
      </w:r>
      <w:r>
        <w:rPr>
          <w:iCs/>
        </w:rPr>
        <w:t xml:space="preserve">was reasonable. However, the PBAC considered for </w:t>
      </w:r>
      <w:r w:rsidR="00F26198" w:rsidRPr="00797B35">
        <w:rPr>
          <w:bCs/>
        </w:rPr>
        <w:t xml:space="preserve">purposes of satisfying Section 101(3B) of the </w:t>
      </w:r>
      <w:r w:rsidR="00F26198" w:rsidRPr="00797B35">
        <w:rPr>
          <w:bCs/>
          <w:i/>
        </w:rPr>
        <w:t>National Health Act 1953</w:t>
      </w:r>
      <w:r w:rsidR="00F26198" w:rsidRPr="00797B35">
        <w:rPr>
          <w:bCs/>
        </w:rPr>
        <w:t>,</w:t>
      </w:r>
      <w:r w:rsidR="00F26198">
        <w:rPr>
          <w:bCs/>
        </w:rPr>
        <w:t xml:space="preserve"> any </w:t>
      </w:r>
      <w:r w:rsidR="00F26198" w:rsidRPr="001808B1">
        <w:t xml:space="preserve">high dose </w:t>
      </w:r>
      <w:r w:rsidR="00F26198" w:rsidRPr="00797B35">
        <w:rPr>
          <w:rFonts w:eastAsia="Calibri" w:cstheme="minorHAnsi"/>
          <w:snapToGrid/>
          <w:lang w:eastAsia="en-US"/>
        </w:rPr>
        <w:t xml:space="preserve">inhaled corticosteroid (ICS) with </w:t>
      </w:r>
      <w:r w:rsidR="00F26198" w:rsidRPr="00797B35">
        <w:rPr>
          <w:rFonts w:cstheme="minorHAnsi"/>
          <w:bCs/>
        </w:rPr>
        <w:t>long-acting beta2-agonist (</w:t>
      </w:r>
      <w:r w:rsidR="002129BD">
        <w:rPr>
          <w:rFonts w:eastAsia="Calibri" w:cstheme="minorHAnsi"/>
          <w:snapToGrid/>
          <w:lang w:eastAsia="en-US"/>
        </w:rPr>
        <w:t>LABA)</w:t>
      </w:r>
      <w:r w:rsidR="00F26198" w:rsidRPr="001808B1">
        <w:t xml:space="preserve"> + </w:t>
      </w:r>
      <w:r w:rsidR="00CC3AA9">
        <w:t>t</w:t>
      </w:r>
      <w:r w:rsidR="00F26198" w:rsidRPr="001808B1">
        <w:t>iotropium (TIO)</w:t>
      </w:r>
      <w:r w:rsidR="00F26198">
        <w:t xml:space="preserve"> </w:t>
      </w:r>
      <w:r w:rsidR="00224FC8">
        <w:t xml:space="preserve">combination </w:t>
      </w:r>
      <w:r w:rsidR="00F26198">
        <w:t xml:space="preserve">are relevant alternative therapies. The PBAC’s recommendation was therefore, among other matters, based on its assessment that the cost of </w:t>
      </w:r>
      <w:r w:rsidR="0081496A">
        <w:t>FF/UMEC/VI</w:t>
      </w:r>
      <w:r w:rsidR="00F26198">
        <w:t xml:space="preserve"> should be no greater than the lowest price combination of </w:t>
      </w:r>
      <w:r w:rsidR="00B2058A">
        <w:t>the PBS listed components of triple therapy that are available for asthma</w:t>
      </w:r>
      <w:r w:rsidR="009249F0">
        <w:t xml:space="preserve"> at comparable doses</w:t>
      </w:r>
      <w:r w:rsidR="00B2058A">
        <w:t xml:space="preserve">. </w:t>
      </w:r>
    </w:p>
    <w:p w14:paraId="39794D97" w14:textId="77777777" w:rsidR="00B2058A" w:rsidRPr="00F26198" w:rsidRDefault="00B2058A" w:rsidP="00963240">
      <w:pPr>
        <w:pStyle w:val="3-BodyText"/>
        <w:rPr>
          <w:lang w:val="en-GB" w:eastAsia="en-US"/>
        </w:rPr>
      </w:pPr>
      <w:r>
        <w:rPr>
          <w:lang w:val="en-GB" w:eastAsia="en-US"/>
        </w:rPr>
        <w:t xml:space="preserve">The PBAC noted the input from organisations and health care professionals supporting the listing of </w:t>
      </w:r>
      <w:r w:rsidR="0081496A">
        <w:rPr>
          <w:lang w:val="en-GB" w:eastAsia="en-US"/>
        </w:rPr>
        <w:t>FF/UMEC/VI</w:t>
      </w:r>
      <w:r>
        <w:rPr>
          <w:lang w:val="en-GB" w:eastAsia="en-US"/>
        </w:rPr>
        <w:t xml:space="preserve"> for severe asthma. </w:t>
      </w:r>
    </w:p>
    <w:p w14:paraId="7DA27ACF" w14:textId="77777777" w:rsidR="0032114B" w:rsidRDefault="00B2058A" w:rsidP="00B2058A">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MF/IND/GLY </w:t>
      </w:r>
      <w:r>
        <w:t>136/114/46</w:t>
      </w:r>
      <w:r w:rsidRPr="001808B1">
        <w:t xml:space="preserve"> </w:t>
      </w:r>
      <w:r>
        <w:rPr>
          <w:rFonts w:asciiTheme="minorHAnsi" w:hAnsiTheme="minorHAnsi"/>
          <w:snapToGrid w:val="0"/>
          <w:lang w:val="en-GB" w:eastAsia="en-US"/>
        </w:rPr>
        <w:t>to be an appropriate comparator. In addition, the PBAC also conside</w:t>
      </w:r>
      <w:r w:rsidR="00453B08">
        <w:rPr>
          <w:rFonts w:asciiTheme="minorHAnsi" w:hAnsiTheme="minorHAnsi"/>
          <w:snapToGrid w:val="0"/>
          <w:lang w:val="en-GB" w:eastAsia="en-US"/>
        </w:rPr>
        <w:t>red that high dose ICS/LABA FDC</w:t>
      </w:r>
      <w:r w:rsidR="00CF686A">
        <w:rPr>
          <w:rFonts w:asciiTheme="minorHAnsi" w:hAnsiTheme="minorHAnsi"/>
          <w:snapToGrid w:val="0"/>
          <w:lang w:val="en-GB" w:eastAsia="en-US"/>
        </w:rPr>
        <w:t>s</w:t>
      </w:r>
      <w:r>
        <w:rPr>
          <w:rFonts w:asciiTheme="minorHAnsi" w:hAnsiTheme="minorHAnsi"/>
          <w:snapToGrid w:val="0"/>
          <w:lang w:val="en-GB" w:eastAsia="en-US"/>
        </w:rPr>
        <w:t xml:space="preserve"> + TIO were appropriate alternative therapies. </w:t>
      </w:r>
    </w:p>
    <w:p w14:paraId="5D4E590C" w14:textId="77777777" w:rsidR="00453B08" w:rsidRPr="00362687" w:rsidRDefault="00453B08" w:rsidP="00362687">
      <w:pPr>
        <w:pStyle w:val="3-BodyText"/>
        <w:rPr>
          <w:lang w:val="en-GB" w:eastAsia="en-US"/>
        </w:rPr>
      </w:pPr>
      <w:r>
        <w:rPr>
          <w:lang w:val="en-GB" w:eastAsia="en-US"/>
        </w:rPr>
        <w:t xml:space="preserve">The PBAC noted that the claim of non-inferior effectiveness for </w:t>
      </w:r>
      <w:r w:rsidR="0081496A">
        <w:rPr>
          <w:lang w:val="en-GB" w:eastAsia="en-US"/>
        </w:rPr>
        <w:t>FF/UMEC/VI</w:t>
      </w:r>
      <w:r>
        <w:rPr>
          <w:lang w:val="en-GB" w:eastAsia="en-US"/>
        </w:rPr>
        <w:t xml:space="preserve"> compared to MF/IND/GLY and high dose ICS/LABA FDC</w:t>
      </w:r>
      <w:r w:rsidR="00CF686A">
        <w:rPr>
          <w:lang w:val="en-GB" w:eastAsia="en-US"/>
        </w:rPr>
        <w:t>s</w:t>
      </w:r>
      <w:r>
        <w:rPr>
          <w:lang w:val="en-GB" w:eastAsia="en-US"/>
        </w:rPr>
        <w:t xml:space="preserve"> + TIO </w:t>
      </w:r>
      <w:r w:rsidR="00CF686A">
        <w:rPr>
          <w:lang w:val="en-GB" w:eastAsia="en-US"/>
        </w:rPr>
        <w:t>was based on indirect comparison</w:t>
      </w:r>
      <w:r w:rsidR="009B32DC">
        <w:rPr>
          <w:lang w:val="en-GB" w:eastAsia="en-US"/>
        </w:rPr>
        <w:t>s</w:t>
      </w:r>
      <w:r w:rsidR="00CF686A">
        <w:rPr>
          <w:lang w:val="en-GB" w:eastAsia="en-US"/>
        </w:rPr>
        <w:t xml:space="preserve"> </w:t>
      </w:r>
      <w:r w:rsidR="002E7F21">
        <w:rPr>
          <w:lang w:val="en-GB" w:eastAsia="en-US"/>
        </w:rPr>
        <w:t xml:space="preserve">using the CAPTAIN, PrimoTinA, IRIDIUM, ARGON and TRIGGER trials. The PBAC noted </w:t>
      </w:r>
      <w:r w:rsidR="00700D98">
        <w:rPr>
          <w:lang w:val="en-GB" w:eastAsia="en-US"/>
        </w:rPr>
        <w:t xml:space="preserve">the </w:t>
      </w:r>
      <w:r w:rsidR="002E7F21">
        <w:rPr>
          <w:lang w:val="en-GB" w:eastAsia="en-US"/>
        </w:rPr>
        <w:t>transitivity concerns raised (see paragraph 6.12)</w:t>
      </w:r>
      <w:r w:rsidR="00350D9A">
        <w:rPr>
          <w:lang w:val="en-GB" w:eastAsia="en-US"/>
        </w:rPr>
        <w:t>,</w:t>
      </w:r>
      <w:r w:rsidR="002E7F21">
        <w:rPr>
          <w:lang w:val="en-GB" w:eastAsia="en-US"/>
        </w:rPr>
        <w:t xml:space="preserve"> but considered the populations studied across</w:t>
      </w:r>
      <w:r w:rsidR="00700D98">
        <w:rPr>
          <w:lang w:val="en-GB" w:eastAsia="en-US"/>
        </w:rPr>
        <w:t xml:space="preserve"> the</w:t>
      </w:r>
      <w:r w:rsidR="002E7F21">
        <w:rPr>
          <w:lang w:val="en-GB" w:eastAsia="en-US"/>
        </w:rPr>
        <w:t xml:space="preserve"> identified trials were broadly comparable. The PBAC acknowledged the inclusion of patients with no severe exacerbation in the previous 12 months in the CAPTAIN trial </w:t>
      </w:r>
      <w:r w:rsidR="00350D9A">
        <w:rPr>
          <w:lang w:val="en-GB" w:eastAsia="en-US"/>
        </w:rPr>
        <w:t xml:space="preserve">was an exception, but considered the sub-group data presented accounted for differences in severe exacerbations prior to enrolment. </w:t>
      </w:r>
      <w:r w:rsidR="00362687">
        <w:rPr>
          <w:lang w:val="en-GB" w:eastAsia="en-US"/>
        </w:rPr>
        <w:t xml:space="preserve">The PBAC agreed with the ESC that it was reasonable, based on prior PBAC decisions, to rely </w:t>
      </w:r>
      <w:r w:rsidR="00362687" w:rsidRPr="00F21704">
        <w:t>predominantly on the primary outcome (FEV1) for the purposes of assessing non-inferiority.</w:t>
      </w:r>
      <w:r w:rsidR="00362687">
        <w:t xml:space="preserve"> </w:t>
      </w:r>
      <w:r w:rsidR="00362687">
        <w:rPr>
          <w:iCs/>
        </w:rPr>
        <w:t xml:space="preserve">The PBAC agreed with the ESC that the </w:t>
      </w:r>
      <w:r w:rsidR="00362687" w:rsidRPr="00F21704">
        <w:rPr>
          <w:iCs/>
        </w:rPr>
        <w:t>FEV1 evidence presented in the submission supported the claim of non-inferior efficacy.</w:t>
      </w:r>
    </w:p>
    <w:p w14:paraId="21BB1952" w14:textId="77777777" w:rsidR="00362687" w:rsidRPr="00E23C38" w:rsidRDefault="00362687" w:rsidP="00362687">
      <w:pPr>
        <w:pStyle w:val="3-BodyText"/>
      </w:pPr>
      <w:r w:rsidRPr="00E23C38">
        <w:t>The PBAC considered that the claim of non-inferior comparative safety was reasonable.</w:t>
      </w:r>
    </w:p>
    <w:p w14:paraId="21C73136" w14:textId="77777777" w:rsidR="002F456E" w:rsidRPr="00477591" w:rsidRDefault="0025515B" w:rsidP="00477591">
      <w:pPr>
        <w:pStyle w:val="3-BodyText"/>
        <w:rPr>
          <w:rFonts w:eastAsia="Calibri"/>
          <w:iCs/>
        </w:rPr>
      </w:pPr>
      <w:r>
        <w:rPr>
          <w:lang w:val="en-GB" w:eastAsia="en-US"/>
        </w:rPr>
        <w:t xml:space="preserve">The PBAC noted that the submission presented a cost-minimisation analysis between </w:t>
      </w:r>
      <w:r w:rsidR="0081496A">
        <w:rPr>
          <w:lang w:val="en-GB" w:eastAsia="en-US"/>
        </w:rPr>
        <w:t>FF/UMEC/VI</w:t>
      </w:r>
      <w:r>
        <w:rPr>
          <w:lang w:val="en-GB" w:eastAsia="en-US"/>
        </w:rPr>
        <w:t xml:space="preserve"> and </w:t>
      </w:r>
      <w:r w:rsidR="002F7BD4" w:rsidRPr="001808B1">
        <w:t>the main comparator</w:t>
      </w:r>
      <w:r w:rsidR="002F7BD4">
        <w:rPr>
          <w:lang w:val="en-GB" w:eastAsia="en-US"/>
        </w:rPr>
        <w:t xml:space="preserve"> </w:t>
      </w:r>
      <w:r>
        <w:rPr>
          <w:lang w:val="en-GB" w:eastAsia="en-US"/>
        </w:rPr>
        <w:t xml:space="preserve">MF/IND/GLY </w:t>
      </w:r>
      <w:r w:rsidR="00477591">
        <w:t>136/114/46</w:t>
      </w:r>
      <w:r w:rsidRPr="001808B1">
        <w:t>, and versus high dose ICS/LABA + TIO</w:t>
      </w:r>
      <w:r>
        <w:t xml:space="preserve">. The PBAC </w:t>
      </w:r>
      <w:r w:rsidR="00477591">
        <w:t xml:space="preserve">considered that the cost-minimisation analysis should be against the least costly </w:t>
      </w:r>
      <w:r w:rsidR="00224FC8">
        <w:t xml:space="preserve">triple therapy combination of either </w:t>
      </w:r>
      <w:r w:rsidR="00477591">
        <w:t>MF/IND/GLY 136/114/46</w:t>
      </w:r>
      <w:r w:rsidR="00477591" w:rsidRPr="001808B1">
        <w:t xml:space="preserve"> </w:t>
      </w:r>
      <w:r w:rsidR="00477591">
        <w:t xml:space="preserve">or high </w:t>
      </w:r>
      <w:r w:rsidR="00224FC8">
        <w:t xml:space="preserve">dose ICS/LABA + TIO </w:t>
      </w:r>
      <w:r w:rsidR="00477591">
        <w:t xml:space="preserve">that provided a treatment duration of 30 days at the equi-effective </w:t>
      </w:r>
      <w:r w:rsidR="00224FC8">
        <w:t>doses outlined in paragraph 6.40</w:t>
      </w:r>
      <w:r w:rsidR="00477591">
        <w:t xml:space="preserve"> and Table 9.</w:t>
      </w:r>
    </w:p>
    <w:p w14:paraId="71B7B6F6" w14:textId="77777777" w:rsidR="00A125E0" w:rsidRPr="00A125E0" w:rsidRDefault="002F456E" w:rsidP="002F456E">
      <w:pPr>
        <w:pStyle w:val="3-BodyText"/>
        <w:rPr>
          <w:rFonts w:eastAsia="Calibri"/>
          <w:iCs/>
        </w:rPr>
      </w:pPr>
      <w:r>
        <w:rPr>
          <w:rFonts w:eastAsia="Calibri"/>
          <w:iCs/>
        </w:rPr>
        <w:t>The PBAC noted the concerns</w:t>
      </w:r>
      <w:r w:rsidR="002F7BD4" w:rsidRPr="002F7BD4">
        <w:rPr>
          <w:rFonts w:eastAsia="Calibri"/>
          <w:iCs/>
        </w:rPr>
        <w:t xml:space="preserve"> </w:t>
      </w:r>
      <w:r w:rsidR="002F7BD4">
        <w:rPr>
          <w:rFonts w:eastAsia="Calibri"/>
          <w:iCs/>
        </w:rPr>
        <w:t>raised</w:t>
      </w:r>
      <w:r>
        <w:rPr>
          <w:rFonts w:eastAsia="Calibri"/>
          <w:iCs/>
        </w:rPr>
        <w:t xml:space="preserve"> with the financial estimates regarding the potential for use in less severe asthma (see paragraph 6.</w:t>
      </w:r>
      <w:r w:rsidR="00A26A80">
        <w:rPr>
          <w:rFonts w:eastAsia="Calibri"/>
          <w:iCs/>
        </w:rPr>
        <w:t>48</w:t>
      </w:r>
      <w:r>
        <w:rPr>
          <w:rFonts w:eastAsia="Calibri"/>
          <w:iCs/>
        </w:rPr>
        <w:t>). In addition, the PBAC noted concerns regarding inappropriate use</w:t>
      </w:r>
      <w:r w:rsidR="00BC3EA7">
        <w:rPr>
          <w:rFonts w:eastAsia="Calibri"/>
          <w:iCs/>
        </w:rPr>
        <w:t xml:space="preserve"> of </w:t>
      </w:r>
      <w:r w:rsidR="0081496A">
        <w:rPr>
          <w:rFonts w:eastAsia="Calibri"/>
          <w:iCs/>
        </w:rPr>
        <w:t>FF/UMEC/VI</w:t>
      </w:r>
      <w:r>
        <w:rPr>
          <w:rFonts w:eastAsia="Calibri"/>
          <w:iCs/>
        </w:rPr>
        <w:t xml:space="preserve"> in children and adolescents </w:t>
      </w:r>
      <w:r w:rsidR="00BC3EA7">
        <w:rPr>
          <w:rFonts w:eastAsia="Calibri"/>
          <w:iCs/>
        </w:rPr>
        <w:t>(see paragraph 3.3). While these risks may be reduced by the implementation of an Authority Required (</w:t>
      </w:r>
      <w:r w:rsidR="00CC3AA9">
        <w:rPr>
          <w:iCs/>
          <w:color w:val="000000" w:themeColor="text1"/>
        </w:rPr>
        <w:t>t</w:t>
      </w:r>
      <w:r w:rsidR="00BC3EA7" w:rsidRPr="000F48E0">
        <w:rPr>
          <w:iCs/>
          <w:color w:val="000000" w:themeColor="text1"/>
        </w:rPr>
        <w:t>elephone/</w:t>
      </w:r>
      <w:r w:rsidR="00CC3AA9">
        <w:rPr>
          <w:iCs/>
          <w:color w:val="000000" w:themeColor="text1"/>
        </w:rPr>
        <w:t>online</w:t>
      </w:r>
      <w:r w:rsidR="00BC3EA7">
        <w:rPr>
          <w:iCs/>
          <w:color w:val="000000" w:themeColor="text1"/>
        </w:rPr>
        <w:t xml:space="preserve">) listing, the PBAC considered the inconsistencies created in the restriction authority </w:t>
      </w:r>
      <w:r w:rsidR="00CC3AA9">
        <w:rPr>
          <w:iCs/>
          <w:color w:val="000000" w:themeColor="text1"/>
        </w:rPr>
        <w:t xml:space="preserve">type </w:t>
      </w:r>
      <w:r w:rsidR="00BC3EA7">
        <w:rPr>
          <w:iCs/>
          <w:color w:val="000000" w:themeColor="text1"/>
        </w:rPr>
        <w:t xml:space="preserve">between single inhaler triple therapies across COPD and severe asthma may not be appropriate (see paragraph 3.3). As such, </w:t>
      </w:r>
      <w:r w:rsidR="00A125E0">
        <w:rPr>
          <w:iCs/>
          <w:color w:val="000000" w:themeColor="text1"/>
        </w:rPr>
        <w:t>the PBAC recommended</w:t>
      </w:r>
      <w:r w:rsidR="00BC3EA7">
        <w:rPr>
          <w:iCs/>
          <w:color w:val="000000" w:themeColor="text1"/>
        </w:rPr>
        <w:t xml:space="preserve"> an Authority Re</w:t>
      </w:r>
      <w:r w:rsidR="00A125E0">
        <w:rPr>
          <w:iCs/>
          <w:color w:val="000000" w:themeColor="text1"/>
        </w:rPr>
        <w:t xml:space="preserve">quired (STREAMLINED) listing </w:t>
      </w:r>
      <w:r w:rsidR="00BC3EA7">
        <w:rPr>
          <w:iCs/>
          <w:color w:val="000000" w:themeColor="text1"/>
        </w:rPr>
        <w:t xml:space="preserve">for </w:t>
      </w:r>
      <w:r w:rsidR="0081496A">
        <w:rPr>
          <w:iCs/>
          <w:color w:val="000000" w:themeColor="text1"/>
        </w:rPr>
        <w:t>FF/UMEC/VI</w:t>
      </w:r>
      <w:r w:rsidR="00BC3EA7">
        <w:rPr>
          <w:iCs/>
          <w:color w:val="000000" w:themeColor="text1"/>
        </w:rPr>
        <w:t xml:space="preserve"> for severe asthma. </w:t>
      </w:r>
      <w:r w:rsidR="00617A92" w:rsidRPr="00C81D26">
        <w:t xml:space="preserve">The </w:t>
      </w:r>
      <w:r w:rsidR="00617A92">
        <w:t>PBAC</w:t>
      </w:r>
      <w:r w:rsidR="00617A92" w:rsidRPr="00C81D26">
        <w:t xml:space="preserve"> </w:t>
      </w:r>
      <w:r w:rsidR="00617A92">
        <w:t xml:space="preserve">considered the circumstances of PBS eligibility applicable to single inhaler triple therapy FDCs for severe asthma should be </w:t>
      </w:r>
      <w:r w:rsidR="00CC3AA9">
        <w:t xml:space="preserve">consistent </w:t>
      </w:r>
      <w:r w:rsidR="00617A92">
        <w:t>and as such flow-on restriction changes would also be required for MF/IND/GLY as outlined in paragraph 8.2.</w:t>
      </w:r>
    </w:p>
    <w:p w14:paraId="2FF2ED1C" w14:textId="2EB67698" w:rsidR="0025515B" w:rsidRPr="002F456E" w:rsidRDefault="00BC3EA7" w:rsidP="002F456E">
      <w:pPr>
        <w:pStyle w:val="3-BodyText"/>
        <w:rPr>
          <w:lang w:val="en-GB" w:eastAsia="en-US"/>
        </w:rPr>
      </w:pPr>
      <w:r>
        <w:t xml:space="preserve">The PBAC recommended that DUSC undertake a review of utilisation of single inhaler triple therapies for severe asthma after an appropriate period post listing </w:t>
      </w:r>
      <w:r w:rsidR="00A125E0">
        <w:t xml:space="preserve">with a view to </w:t>
      </w:r>
      <w:r w:rsidR="008B3468">
        <w:t xml:space="preserve">reversion </w:t>
      </w:r>
      <w:r w:rsidR="00A125E0">
        <w:t>to Authority Required (</w:t>
      </w:r>
      <w:r w:rsidR="00CC3AA9">
        <w:t>t</w:t>
      </w:r>
      <w:r w:rsidR="00A125E0">
        <w:t>elephone</w:t>
      </w:r>
      <w:r w:rsidR="0061521C">
        <w:t xml:space="preserve"> </w:t>
      </w:r>
      <w:r w:rsidR="00A125E0">
        <w:t>/</w:t>
      </w:r>
      <w:r w:rsidR="0093697B">
        <w:t>online</w:t>
      </w:r>
      <w:r w:rsidR="00A125E0">
        <w:t xml:space="preserve">) if use beyond the intent of the restriction </w:t>
      </w:r>
      <w:r w:rsidR="008B3468">
        <w:t>i</w:t>
      </w:r>
      <w:r w:rsidR="00A125E0">
        <w:t>s evident</w:t>
      </w:r>
      <w:r>
        <w:t xml:space="preserve">.  </w:t>
      </w:r>
    </w:p>
    <w:p w14:paraId="157F1AD3" w14:textId="77777777" w:rsidR="009B57BD" w:rsidRPr="00A62D1A" w:rsidRDefault="009B57BD" w:rsidP="00A62D1A">
      <w:pPr>
        <w:widowControl w:val="0"/>
        <w:numPr>
          <w:ilvl w:val="1"/>
          <w:numId w:val="1"/>
        </w:numPr>
        <w:spacing w:after="120"/>
        <w:rPr>
          <w:rFonts w:asciiTheme="minorHAnsi" w:hAnsiTheme="minorHAnsi"/>
          <w:snapToGrid w:val="0"/>
          <w:lang w:val="en-GB" w:eastAsia="en-US"/>
        </w:rPr>
      </w:pPr>
      <w:r w:rsidRPr="00A62D1A">
        <w:rPr>
          <w:rFonts w:asciiTheme="minorHAnsi" w:hAnsiTheme="minorHAnsi"/>
          <w:bCs/>
          <w:snapToGrid w:val="0"/>
          <w:lang w:val="en-GB" w:eastAsia="en-US"/>
        </w:rPr>
        <w:t xml:space="preserve">The PBAC </w:t>
      </w:r>
      <w:r w:rsidR="00A62D1A" w:rsidRPr="00797B35">
        <w:rPr>
          <w:rFonts w:asciiTheme="minorHAnsi" w:hAnsiTheme="minorHAnsi"/>
          <w:bCs/>
        </w:rPr>
        <w:t xml:space="preserve">advised that under Section 101(3BA) of the </w:t>
      </w:r>
      <w:r w:rsidR="00A62D1A" w:rsidRPr="00797B35">
        <w:rPr>
          <w:rFonts w:asciiTheme="minorHAnsi" w:hAnsiTheme="minorHAnsi"/>
          <w:bCs/>
          <w:i/>
        </w:rPr>
        <w:t>National Health Act 1953</w:t>
      </w:r>
      <w:r w:rsidR="00A62D1A">
        <w:rPr>
          <w:rFonts w:asciiTheme="minorHAnsi" w:hAnsiTheme="minorHAnsi"/>
          <w:bCs/>
        </w:rPr>
        <w:t xml:space="preserve"> </w:t>
      </w:r>
      <w:r w:rsidR="0081496A">
        <w:t>FF/UMEC/VI</w:t>
      </w:r>
      <w:r w:rsidR="00A62D1A" w:rsidRPr="00E77ED9">
        <w:t xml:space="preserve"> </w:t>
      </w:r>
      <w:r w:rsidRPr="00A62D1A">
        <w:rPr>
          <w:rFonts w:asciiTheme="minorHAnsi" w:hAnsiTheme="minorHAnsi"/>
          <w:bCs/>
          <w:snapToGrid w:val="0"/>
          <w:lang w:val="en-GB" w:eastAsia="en-US"/>
        </w:rPr>
        <w:t xml:space="preserve">should be treated as interchangeable on an individual patient basis with </w:t>
      </w:r>
      <w:r w:rsidR="00A62D1A">
        <w:rPr>
          <w:rFonts w:asciiTheme="minorHAnsi" w:hAnsiTheme="minorHAnsi"/>
          <w:snapToGrid w:val="0"/>
          <w:lang w:val="en-GB" w:eastAsia="en-US"/>
        </w:rPr>
        <w:t>MF/IND/GLY</w:t>
      </w:r>
      <w:r w:rsidRPr="00A62D1A">
        <w:rPr>
          <w:rFonts w:asciiTheme="minorHAnsi" w:hAnsiTheme="minorHAnsi"/>
          <w:bCs/>
          <w:snapToGrid w:val="0"/>
          <w:lang w:val="en-GB" w:eastAsia="en-US"/>
        </w:rPr>
        <w:t xml:space="preserve">. </w:t>
      </w:r>
    </w:p>
    <w:p w14:paraId="4834C75A" w14:textId="77777777" w:rsidR="009B57BD" w:rsidRPr="009B57BD" w:rsidRDefault="009B57BD" w:rsidP="00A62D1A">
      <w:pPr>
        <w:widowControl w:val="0"/>
        <w:numPr>
          <w:ilvl w:val="1"/>
          <w:numId w:val="1"/>
        </w:numPr>
        <w:spacing w:after="120"/>
        <w:rPr>
          <w:rFonts w:asciiTheme="minorHAnsi" w:hAnsiTheme="minorHAnsi"/>
          <w:bCs/>
          <w:snapToGrid w:val="0"/>
          <w:lang w:val="en-GB" w:eastAsia="en-US"/>
        </w:rPr>
      </w:pPr>
      <w:r w:rsidRPr="009B57BD">
        <w:rPr>
          <w:rFonts w:asciiTheme="minorHAnsi" w:hAnsiTheme="minorHAnsi"/>
          <w:bCs/>
          <w:snapToGrid w:val="0"/>
          <w:lang w:val="en-GB" w:eastAsia="en-US"/>
        </w:rPr>
        <w:t xml:space="preserve">The PBAC advised that </w:t>
      </w:r>
      <w:r w:rsidR="0081496A">
        <w:t>FF/UMEC/VI</w:t>
      </w:r>
      <w:r w:rsidR="00A62D1A" w:rsidRPr="00E77ED9">
        <w:t xml:space="preserve"> </w:t>
      </w:r>
      <w:r w:rsidR="00A62D1A">
        <w:rPr>
          <w:rFonts w:asciiTheme="minorHAnsi" w:hAnsiTheme="minorHAnsi"/>
          <w:bCs/>
          <w:snapToGrid w:val="0"/>
          <w:lang w:val="en-GB" w:eastAsia="en-US"/>
        </w:rPr>
        <w:t xml:space="preserve">is suitable </w:t>
      </w:r>
      <w:r w:rsidRPr="009B57BD">
        <w:rPr>
          <w:rFonts w:asciiTheme="minorHAnsi" w:hAnsiTheme="minorHAnsi"/>
          <w:bCs/>
          <w:snapToGrid w:val="0"/>
          <w:lang w:val="en-GB" w:eastAsia="en-US"/>
        </w:rPr>
        <w:t xml:space="preserve">for prescribing by nurse practitioners. </w:t>
      </w:r>
    </w:p>
    <w:p w14:paraId="2BD0921A" w14:textId="77777777" w:rsidR="009B57BD" w:rsidRPr="009B57BD" w:rsidRDefault="009B57BD" w:rsidP="009B57BD">
      <w:pPr>
        <w:widowControl w:val="0"/>
        <w:numPr>
          <w:ilvl w:val="1"/>
          <w:numId w:val="1"/>
        </w:numPr>
        <w:spacing w:after="120"/>
        <w:jc w:val="left"/>
        <w:rPr>
          <w:rFonts w:asciiTheme="minorHAnsi" w:hAnsiTheme="minorHAnsi"/>
          <w:bCs/>
          <w:snapToGrid w:val="0"/>
          <w:lang w:val="en-GB" w:eastAsia="en-US"/>
        </w:rPr>
      </w:pPr>
      <w:r w:rsidRPr="009B57BD">
        <w:rPr>
          <w:rFonts w:asciiTheme="minorHAnsi" w:hAnsiTheme="minorHAnsi"/>
          <w:bCs/>
          <w:snapToGrid w:val="0"/>
          <w:lang w:val="en-GB" w:eastAsia="en-US"/>
        </w:rPr>
        <w:t>The PBAC recommended that the Early Supply Rule should apply</w:t>
      </w:r>
      <w:r w:rsidR="00617A92">
        <w:rPr>
          <w:rFonts w:asciiTheme="minorHAnsi" w:hAnsiTheme="minorHAnsi"/>
          <w:bCs/>
          <w:snapToGrid w:val="0"/>
          <w:lang w:val="en-GB" w:eastAsia="en-US"/>
        </w:rPr>
        <w:t xml:space="preserve"> to </w:t>
      </w:r>
      <w:r w:rsidR="0081496A">
        <w:rPr>
          <w:rFonts w:asciiTheme="minorHAnsi" w:hAnsiTheme="minorHAnsi"/>
          <w:bCs/>
          <w:snapToGrid w:val="0"/>
          <w:lang w:val="en-GB" w:eastAsia="en-US"/>
        </w:rPr>
        <w:t>FF/UMEC/VI</w:t>
      </w:r>
      <w:r w:rsidRPr="009B57BD">
        <w:rPr>
          <w:rFonts w:asciiTheme="minorHAnsi" w:hAnsiTheme="minorHAnsi"/>
          <w:bCs/>
          <w:snapToGrid w:val="0"/>
          <w:lang w:val="en-GB" w:eastAsia="en-US"/>
        </w:rPr>
        <w:t xml:space="preserve">. </w:t>
      </w:r>
    </w:p>
    <w:p w14:paraId="7B81B114" w14:textId="77777777" w:rsidR="00CE3046" w:rsidRPr="00797B35" w:rsidRDefault="00CE3046" w:rsidP="00CE3046">
      <w:pPr>
        <w:pStyle w:val="3-BodyText"/>
        <w:rPr>
          <w:rFonts w:cstheme="minorHAnsi"/>
          <w:bCs/>
        </w:rPr>
      </w:pPr>
      <w:r w:rsidRPr="00797B35">
        <w:rPr>
          <w:rFonts w:cstheme="minorHAnsi"/>
          <w:bCs/>
        </w:rPr>
        <w:t>The PBAC noted that its recommendation was on a cost-minimisation basis and advised that, because</w:t>
      </w:r>
      <w:r w:rsidRPr="00797B35">
        <w:rPr>
          <w:rFonts w:cstheme="minorHAnsi"/>
          <w:bCs/>
          <w:snapToGrid/>
        </w:rPr>
        <w:t xml:space="preserve"> </w:t>
      </w:r>
      <w:r w:rsidR="0081496A">
        <w:rPr>
          <w:bCs/>
        </w:rPr>
        <w:t>FF/UMEC/VI</w:t>
      </w:r>
      <w:r w:rsidRPr="00797B35">
        <w:rPr>
          <w:rFonts w:cstheme="minorHAnsi"/>
          <w:bCs/>
        </w:rPr>
        <w:t xml:space="preserve"> is not expected to provide a substantial and clinically relevant improvement in efficacy, or reduction of toxicity, over </w:t>
      </w:r>
      <w:r>
        <w:rPr>
          <w:lang w:val="en-US"/>
        </w:rPr>
        <w:t>MF/IND/GLY</w:t>
      </w:r>
      <w:r w:rsidRPr="00797B35">
        <w:rPr>
          <w:rFonts w:cstheme="minorHAnsi"/>
          <w:bCs/>
        </w:rPr>
        <w:t xml:space="preserve">, or not expected to address a high and urgent unmet clinical need given the presence of an alternative therapy, the criteria prescribed by the </w:t>
      </w:r>
      <w:r w:rsidRPr="00797B35">
        <w:rPr>
          <w:rFonts w:cstheme="minorHAnsi"/>
          <w:bCs/>
          <w:i/>
        </w:rPr>
        <w:t>National Health (Pharmaceuticals and Vaccines – Cost Recovery) Regulations 2009</w:t>
      </w:r>
      <w:r w:rsidRPr="00797B35">
        <w:rPr>
          <w:rFonts w:cstheme="minorHAnsi"/>
          <w:bCs/>
        </w:rPr>
        <w:t xml:space="preserve"> for Pricing Pathway A were not met.</w:t>
      </w:r>
    </w:p>
    <w:p w14:paraId="397350F7" w14:textId="77777777" w:rsidR="00CE3046" w:rsidRPr="00797B35" w:rsidRDefault="00CE3046" w:rsidP="00CE3046">
      <w:pPr>
        <w:pStyle w:val="3-BodyText"/>
        <w:rPr>
          <w:rFonts w:cstheme="minorHAnsi"/>
          <w:bCs/>
        </w:rPr>
      </w:pPr>
      <w:r w:rsidRPr="00797B35">
        <w:rPr>
          <w:rFonts w:cstheme="minorHAnsi"/>
          <w:bCs/>
        </w:rPr>
        <w:t>The PBAC noted that this submission is not eligible for an Independent Review, as it received a positive recommendation.</w:t>
      </w:r>
    </w:p>
    <w:p w14:paraId="17F5E195" w14:textId="77777777" w:rsidR="009B57BD" w:rsidRPr="009B57BD" w:rsidRDefault="009B57BD" w:rsidP="009B57BD">
      <w:pPr>
        <w:spacing w:before="240"/>
        <w:rPr>
          <w:rFonts w:asciiTheme="minorHAnsi" w:hAnsiTheme="minorHAnsi"/>
          <w:b/>
          <w:bCs/>
          <w:snapToGrid w:val="0"/>
          <w:lang w:val="en-GB" w:eastAsia="en-US"/>
        </w:rPr>
      </w:pPr>
      <w:r w:rsidRPr="009B57BD">
        <w:rPr>
          <w:rFonts w:asciiTheme="minorHAnsi" w:hAnsiTheme="minorHAnsi"/>
          <w:b/>
          <w:bCs/>
          <w:snapToGrid w:val="0"/>
          <w:lang w:val="en-GB" w:eastAsia="en-US"/>
        </w:rPr>
        <w:t>Outcome:</w:t>
      </w:r>
    </w:p>
    <w:p w14:paraId="4EDBE067" w14:textId="77777777" w:rsidR="009B57BD" w:rsidRPr="009B57BD" w:rsidRDefault="009B57BD" w:rsidP="007A24CA">
      <w:pPr>
        <w:spacing w:after="120"/>
        <w:rPr>
          <w:rFonts w:asciiTheme="minorHAnsi" w:hAnsiTheme="minorHAnsi"/>
          <w:b/>
          <w:bCs/>
          <w:snapToGrid w:val="0"/>
          <w:lang w:eastAsia="en-US"/>
        </w:rPr>
      </w:pPr>
      <w:r w:rsidRPr="009B57BD">
        <w:rPr>
          <w:rFonts w:asciiTheme="minorHAnsi" w:hAnsiTheme="minorHAnsi"/>
          <w:bCs/>
          <w:snapToGrid w:val="0"/>
          <w:lang w:val="en-GB" w:eastAsia="en-US"/>
        </w:rPr>
        <w:t xml:space="preserve">Recommended </w:t>
      </w:r>
    </w:p>
    <w:bookmarkEnd w:id="57"/>
    <w:p w14:paraId="643CB000" w14:textId="77777777" w:rsidR="009B57BD" w:rsidRPr="0085129C" w:rsidRDefault="009B57BD" w:rsidP="0085129C">
      <w:pPr>
        <w:pStyle w:val="2-SectionHeading"/>
      </w:pPr>
      <w:r w:rsidRPr="0085129C">
        <w:t>Recommended listing</w:t>
      </w:r>
    </w:p>
    <w:bookmarkEnd w:id="58"/>
    <w:p w14:paraId="0738CF03" w14:textId="77777777" w:rsidR="00F34A2F" w:rsidRPr="00F34A2F" w:rsidRDefault="00F34A2F" w:rsidP="00F34A2F">
      <w:pPr>
        <w:widowControl w:val="0"/>
        <w:numPr>
          <w:ilvl w:val="1"/>
          <w:numId w:val="1"/>
        </w:numPr>
        <w:spacing w:after="120"/>
        <w:rPr>
          <w:rFonts w:asciiTheme="minorHAnsi" w:hAnsiTheme="minorHAnsi"/>
          <w:bCs/>
          <w:snapToGrid w:val="0"/>
          <w:lang w:val="en-GB" w:eastAsia="en-US"/>
        </w:rPr>
      </w:pPr>
      <w:r w:rsidRPr="00F34A2F">
        <w:rPr>
          <w:rFonts w:asciiTheme="minorHAnsi" w:hAnsiTheme="minorHAnsi"/>
          <w:bCs/>
          <w:snapToGrid w:val="0"/>
          <w:lang w:val="en-GB" w:eastAsia="en-US"/>
        </w:rPr>
        <w:t>Add new medicinal product pack (new strength; 200 mcg-62.5mcg-25 mcg) for the indication of: severe asthma (18274)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992"/>
        <w:gridCol w:w="851"/>
        <w:gridCol w:w="709"/>
        <w:gridCol w:w="567"/>
        <w:gridCol w:w="1275"/>
      </w:tblGrid>
      <w:tr w:rsidR="00F34A2F" w:rsidRPr="00CB5CED" w14:paraId="4BD1EA5E" w14:textId="77777777" w:rsidTr="007E7E3D">
        <w:trPr>
          <w:cantSplit/>
          <w:trHeight w:val="471"/>
        </w:trPr>
        <w:tc>
          <w:tcPr>
            <w:tcW w:w="4673" w:type="dxa"/>
            <w:gridSpan w:val="2"/>
          </w:tcPr>
          <w:p w14:paraId="296A65DB" w14:textId="77777777" w:rsidR="00F34A2F" w:rsidRPr="00CB5CED" w:rsidRDefault="00F34A2F" w:rsidP="007E7E3D">
            <w:pPr>
              <w:keepNext/>
              <w:ind w:left="-57"/>
              <w:rPr>
                <w:rFonts w:ascii="Arial Narrow" w:hAnsi="Arial Narrow"/>
                <w:b/>
                <w:bCs/>
                <w:sz w:val="18"/>
                <w:szCs w:val="18"/>
              </w:rPr>
            </w:pPr>
            <w:r w:rsidRPr="00CB5CED">
              <w:rPr>
                <w:rFonts w:ascii="Arial Narrow" w:hAnsi="Arial Narrow"/>
                <w:b/>
                <w:bCs/>
                <w:sz w:val="18"/>
                <w:szCs w:val="18"/>
              </w:rPr>
              <w:t>MEDICINAL PRODUCT</w:t>
            </w:r>
          </w:p>
          <w:p w14:paraId="71D24C23" w14:textId="77777777" w:rsidR="00F34A2F" w:rsidRPr="00CB5CED" w:rsidRDefault="00F34A2F" w:rsidP="007E7E3D">
            <w:pPr>
              <w:keepNext/>
              <w:ind w:left="-57"/>
              <w:rPr>
                <w:rFonts w:ascii="Arial Narrow" w:hAnsi="Arial Narrow"/>
                <w:b/>
                <w:sz w:val="18"/>
                <w:szCs w:val="18"/>
              </w:rPr>
            </w:pPr>
            <w:r w:rsidRPr="00CB5CED">
              <w:rPr>
                <w:rFonts w:ascii="Arial Narrow" w:hAnsi="Arial Narrow"/>
                <w:b/>
                <w:bCs/>
                <w:sz w:val="18"/>
                <w:szCs w:val="18"/>
              </w:rPr>
              <w:t>medicinal product pack</w:t>
            </w:r>
          </w:p>
        </w:tc>
        <w:tc>
          <w:tcPr>
            <w:tcW w:w="992" w:type="dxa"/>
          </w:tcPr>
          <w:p w14:paraId="2BBFC2CB" w14:textId="77777777" w:rsidR="00F34A2F" w:rsidRPr="00CB5CED" w:rsidRDefault="00F34A2F" w:rsidP="007E7E3D">
            <w:pPr>
              <w:keepNext/>
              <w:ind w:left="-108"/>
              <w:jc w:val="center"/>
              <w:rPr>
                <w:rFonts w:ascii="Arial Narrow" w:hAnsi="Arial Narrow"/>
                <w:b/>
                <w:sz w:val="18"/>
                <w:szCs w:val="18"/>
              </w:rPr>
            </w:pPr>
            <w:r w:rsidRPr="00CB5CED">
              <w:rPr>
                <w:rFonts w:ascii="Arial Narrow" w:hAnsi="Arial Narrow"/>
                <w:b/>
                <w:sz w:val="18"/>
                <w:szCs w:val="18"/>
              </w:rPr>
              <w:t>PBS item code</w:t>
            </w:r>
          </w:p>
        </w:tc>
        <w:tc>
          <w:tcPr>
            <w:tcW w:w="851" w:type="dxa"/>
          </w:tcPr>
          <w:p w14:paraId="76A0A4C2" w14:textId="77777777" w:rsidR="00F34A2F" w:rsidRPr="00CB5CED" w:rsidRDefault="00F34A2F" w:rsidP="007E7E3D">
            <w:pPr>
              <w:keepNext/>
              <w:ind w:left="-108"/>
              <w:jc w:val="center"/>
              <w:rPr>
                <w:rFonts w:ascii="Arial Narrow" w:hAnsi="Arial Narrow"/>
                <w:b/>
                <w:sz w:val="18"/>
                <w:szCs w:val="18"/>
              </w:rPr>
            </w:pPr>
            <w:r w:rsidRPr="00CB5CED">
              <w:rPr>
                <w:rFonts w:ascii="Arial Narrow" w:hAnsi="Arial Narrow"/>
                <w:b/>
                <w:sz w:val="18"/>
                <w:szCs w:val="18"/>
              </w:rPr>
              <w:t>Max. qty packs</w:t>
            </w:r>
          </w:p>
        </w:tc>
        <w:tc>
          <w:tcPr>
            <w:tcW w:w="709" w:type="dxa"/>
          </w:tcPr>
          <w:p w14:paraId="0BDD9D77" w14:textId="77777777" w:rsidR="00F34A2F" w:rsidRPr="00CB5CED" w:rsidRDefault="00F34A2F" w:rsidP="007E7E3D">
            <w:pPr>
              <w:keepNext/>
              <w:ind w:left="-108"/>
              <w:jc w:val="center"/>
              <w:rPr>
                <w:rFonts w:ascii="Arial Narrow" w:hAnsi="Arial Narrow"/>
                <w:b/>
                <w:sz w:val="18"/>
                <w:szCs w:val="18"/>
              </w:rPr>
            </w:pPr>
            <w:r w:rsidRPr="00CB5CED">
              <w:rPr>
                <w:rFonts w:ascii="Arial Narrow" w:hAnsi="Arial Narrow"/>
                <w:b/>
                <w:sz w:val="18"/>
                <w:szCs w:val="18"/>
              </w:rPr>
              <w:t>Max. qty units</w:t>
            </w:r>
          </w:p>
        </w:tc>
        <w:tc>
          <w:tcPr>
            <w:tcW w:w="567" w:type="dxa"/>
          </w:tcPr>
          <w:p w14:paraId="4FEEA2CA" w14:textId="77777777" w:rsidR="00F34A2F" w:rsidRPr="00CB5CED" w:rsidRDefault="00F34A2F" w:rsidP="007E7E3D">
            <w:pPr>
              <w:keepNext/>
              <w:ind w:left="-108"/>
              <w:jc w:val="center"/>
              <w:rPr>
                <w:rFonts w:ascii="Arial Narrow" w:hAnsi="Arial Narrow"/>
                <w:b/>
                <w:sz w:val="18"/>
                <w:szCs w:val="18"/>
              </w:rPr>
            </w:pPr>
            <w:r w:rsidRPr="00CB5CED">
              <w:rPr>
                <w:rFonts w:ascii="Arial Narrow" w:hAnsi="Arial Narrow"/>
                <w:b/>
                <w:sz w:val="18"/>
                <w:szCs w:val="18"/>
              </w:rPr>
              <w:t>№.of</w:t>
            </w:r>
          </w:p>
          <w:p w14:paraId="10E800F1" w14:textId="77777777" w:rsidR="00F34A2F" w:rsidRPr="00CB5CED" w:rsidRDefault="00F34A2F" w:rsidP="007E7E3D">
            <w:pPr>
              <w:keepNext/>
              <w:ind w:left="-108"/>
              <w:jc w:val="center"/>
              <w:rPr>
                <w:rFonts w:ascii="Arial Narrow" w:hAnsi="Arial Narrow"/>
                <w:b/>
                <w:sz w:val="18"/>
                <w:szCs w:val="18"/>
              </w:rPr>
            </w:pPr>
            <w:r w:rsidRPr="00CB5CED">
              <w:rPr>
                <w:rFonts w:ascii="Arial Narrow" w:hAnsi="Arial Narrow"/>
                <w:b/>
                <w:sz w:val="18"/>
                <w:szCs w:val="18"/>
              </w:rPr>
              <w:t>Rpts</w:t>
            </w:r>
          </w:p>
        </w:tc>
        <w:tc>
          <w:tcPr>
            <w:tcW w:w="1275" w:type="dxa"/>
          </w:tcPr>
          <w:p w14:paraId="2F78E40F" w14:textId="77777777" w:rsidR="00F34A2F" w:rsidRPr="00CB5CED" w:rsidRDefault="00F34A2F" w:rsidP="007E7E3D">
            <w:pPr>
              <w:keepNext/>
              <w:rPr>
                <w:rFonts w:ascii="Arial Narrow" w:hAnsi="Arial Narrow"/>
                <w:b/>
                <w:sz w:val="18"/>
                <w:szCs w:val="18"/>
                <w:lang w:val="fr-FR"/>
              </w:rPr>
            </w:pPr>
            <w:r w:rsidRPr="00CB5CED">
              <w:rPr>
                <w:rFonts w:ascii="Arial Narrow" w:hAnsi="Arial Narrow"/>
                <w:b/>
                <w:sz w:val="18"/>
                <w:szCs w:val="18"/>
              </w:rPr>
              <w:t>Available brands</w:t>
            </w:r>
          </w:p>
        </w:tc>
      </w:tr>
      <w:tr w:rsidR="00F34A2F" w:rsidRPr="00CB5CED" w14:paraId="09535C3E" w14:textId="77777777" w:rsidTr="007E7E3D">
        <w:trPr>
          <w:cantSplit/>
          <w:trHeight w:val="224"/>
        </w:trPr>
        <w:tc>
          <w:tcPr>
            <w:tcW w:w="9067" w:type="dxa"/>
            <w:gridSpan w:val="7"/>
          </w:tcPr>
          <w:p w14:paraId="4F18E699" w14:textId="28F05FD0" w:rsidR="00F34A2F" w:rsidRPr="00CB5CED" w:rsidRDefault="00F34A2F" w:rsidP="007E7E3D">
            <w:pPr>
              <w:keepNext/>
              <w:ind w:left="-57"/>
              <w:rPr>
                <w:rFonts w:ascii="Arial Narrow" w:hAnsi="Arial Narrow"/>
                <w:sz w:val="18"/>
                <w:szCs w:val="18"/>
              </w:rPr>
            </w:pPr>
            <w:r w:rsidRPr="00CB5CED">
              <w:rPr>
                <w:rFonts w:ascii="Arial Narrow" w:hAnsi="Arial Narrow"/>
                <w:sz w:val="18"/>
                <w:szCs w:val="18"/>
              </w:rPr>
              <w:t>FLUTICASONE FUROATE + UMECLIDINIUM + VILANTEROL</w:t>
            </w:r>
          </w:p>
        </w:tc>
      </w:tr>
      <w:tr w:rsidR="00F34A2F" w:rsidRPr="00CB5CED" w14:paraId="05B4FB46" w14:textId="77777777" w:rsidTr="007E7E3D">
        <w:trPr>
          <w:cantSplit/>
          <w:trHeight w:val="553"/>
        </w:trPr>
        <w:tc>
          <w:tcPr>
            <w:tcW w:w="4673" w:type="dxa"/>
            <w:gridSpan w:val="2"/>
          </w:tcPr>
          <w:p w14:paraId="5E067623" w14:textId="77777777" w:rsidR="00F34A2F" w:rsidRPr="00CB5CED" w:rsidRDefault="00F34A2F" w:rsidP="007E7E3D">
            <w:pPr>
              <w:keepNext/>
              <w:ind w:left="-57"/>
              <w:rPr>
                <w:rFonts w:ascii="Arial Narrow" w:hAnsi="Arial Narrow"/>
                <w:sz w:val="18"/>
                <w:szCs w:val="18"/>
              </w:rPr>
            </w:pPr>
            <w:r w:rsidRPr="00CB5CED">
              <w:rPr>
                <w:rFonts w:ascii="Arial Narrow" w:hAnsi="Arial Narrow"/>
                <w:sz w:val="18"/>
                <w:szCs w:val="18"/>
              </w:rPr>
              <w:t>fluticasone furoate 200 microgram/actuation + umeclidinium 62.5 microgram/actuation + vilanterol 25 microgram/actuation powder for inhalation, 30 actuations</w:t>
            </w:r>
          </w:p>
        </w:tc>
        <w:tc>
          <w:tcPr>
            <w:tcW w:w="992" w:type="dxa"/>
          </w:tcPr>
          <w:p w14:paraId="38EEFEB9" w14:textId="77777777" w:rsidR="00F34A2F" w:rsidRPr="00CB5CED" w:rsidRDefault="00F34A2F" w:rsidP="007E7E3D">
            <w:pPr>
              <w:keepNext/>
              <w:jc w:val="center"/>
              <w:rPr>
                <w:rFonts w:ascii="Arial Narrow" w:hAnsi="Arial Narrow"/>
                <w:sz w:val="18"/>
                <w:szCs w:val="18"/>
              </w:rPr>
            </w:pPr>
            <w:r w:rsidRPr="00CB5CED">
              <w:rPr>
                <w:rFonts w:ascii="Arial Narrow" w:hAnsi="Arial Narrow"/>
                <w:sz w:val="18"/>
                <w:szCs w:val="18"/>
              </w:rPr>
              <w:t>NEW</w:t>
            </w:r>
          </w:p>
        </w:tc>
        <w:tc>
          <w:tcPr>
            <w:tcW w:w="851" w:type="dxa"/>
          </w:tcPr>
          <w:p w14:paraId="43AEC929" w14:textId="77777777" w:rsidR="00F34A2F" w:rsidRPr="00CB5CED" w:rsidRDefault="00F34A2F" w:rsidP="007E7E3D">
            <w:pPr>
              <w:keepNext/>
              <w:jc w:val="center"/>
              <w:rPr>
                <w:rFonts w:ascii="Arial Narrow" w:hAnsi="Arial Narrow"/>
                <w:sz w:val="18"/>
                <w:szCs w:val="18"/>
              </w:rPr>
            </w:pPr>
            <w:r w:rsidRPr="00CB5CED">
              <w:rPr>
                <w:rFonts w:ascii="Arial Narrow" w:hAnsi="Arial Narrow"/>
                <w:sz w:val="18"/>
                <w:szCs w:val="18"/>
              </w:rPr>
              <w:t>1</w:t>
            </w:r>
          </w:p>
        </w:tc>
        <w:tc>
          <w:tcPr>
            <w:tcW w:w="709" w:type="dxa"/>
          </w:tcPr>
          <w:p w14:paraId="23680E73" w14:textId="77777777" w:rsidR="00F34A2F" w:rsidRPr="00CB5CED" w:rsidRDefault="00F34A2F" w:rsidP="007E7E3D">
            <w:pPr>
              <w:keepNext/>
              <w:jc w:val="center"/>
              <w:rPr>
                <w:rFonts w:ascii="Arial Narrow" w:hAnsi="Arial Narrow"/>
                <w:sz w:val="18"/>
                <w:szCs w:val="18"/>
              </w:rPr>
            </w:pPr>
            <w:r w:rsidRPr="00CB5CED">
              <w:rPr>
                <w:rFonts w:ascii="Arial Narrow" w:hAnsi="Arial Narrow"/>
                <w:sz w:val="18"/>
                <w:szCs w:val="18"/>
              </w:rPr>
              <w:t>30</w:t>
            </w:r>
          </w:p>
        </w:tc>
        <w:tc>
          <w:tcPr>
            <w:tcW w:w="567" w:type="dxa"/>
          </w:tcPr>
          <w:p w14:paraId="69FF2279" w14:textId="77777777" w:rsidR="00F34A2F" w:rsidRPr="00CB5CED" w:rsidRDefault="00F34A2F" w:rsidP="007E7E3D">
            <w:pPr>
              <w:keepNext/>
              <w:jc w:val="center"/>
              <w:rPr>
                <w:rFonts w:ascii="Arial Narrow" w:hAnsi="Arial Narrow"/>
                <w:sz w:val="18"/>
                <w:szCs w:val="18"/>
              </w:rPr>
            </w:pPr>
            <w:r w:rsidRPr="00CB5CED">
              <w:rPr>
                <w:rFonts w:ascii="Arial Narrow" w:hAnsi="Arial Narrow"/>
                <w:sz w:val="18"/>
                <w:szCs w:val="18"/>
              </w:rPr>
              <w:t>5</w:t>
            </w:r>
          </w:p>
        </w:tc>
        <w:tc>
          <w:tcPr>
            <w:tcW w:w="1275" w:type="dxa"/>
          </w:tcPr>
          <w:p w14:paraId="7BDA6DD8" w14:textId="77777777" w:rsidR="00F34A2F" w:rsidRPr="00CB5CED" w:rsidRDefault="00F34A2F" w:rsidP="007E7E3D">
            <w:pPr>
              <w:keepNext/>
              <w:rPr>
                <w:rFonts w:ascii="Arial Narrow" w:hAnsi="Arial Narrow"/>
                <w:sz w:val="18"/>
                <w:szCs w:val="18"/>
              </w:rPr>
            </w:pPr>
            <w:r w:rsidRPr="00CB5CED">
              <w:rPr>
                <w:rFonts w:ascii="Arial Narrow" w:hAnsi="Arial Narrow"/>
                <w:sz w:val="18"/>
                <w:szCs w:val="18"/>
              </w:rPr>
              <w:t>Trelegy Ellipta</w:t>
            </w:r>
            <w:r>
              <w:rPr>
                <w:rFonts w:ascii="Arial Narrow" w:hAnsi="Arial Narrow"/>
                <w:sz w:val="18"/>
                <w:szCs w:val="18"/>
              </w:rPr>
              <w:t xml:space="preserve"> 200/62/5/25</w:t>
            </w:r>
          </w:p>
        </w:tc>
      </w:tr>
      <w:tr w:rsidR="00F34A2F" w:rsidRPr="00CB5CED" w14:paraId="3E4FB98B" w14:textId="77777777" w:rsidTr="007E7E3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B184D07" w14:textId="77777777" w:rsidR="00F34A2F" w:rsidRPr="00CB5CED" w:rsidRDefault="00F34A2F" w:rsidP="007E7E3D">
            <w:pPr>
              <w:rPr>
                <w:rFonts w:ascii="Arial Narrow" w:hAnsi="Arial Narrow"/>
                <w:sz w:val="18"/>
                <w:szCs w:val="18"/>
              </w:rPr>
            </w:pPr>
          </w:p>
        </w:tc>
      </w:tr>
      <w:tr w:rsidR="00F34A2F" w:rsidRPr="00CB5CED" w14:paraId="45AD6809" w14:textId="77777777" w:rsidTr="007E7E3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38DE596" w14:textId="77777777" w:rsidR="00F34A2F" w:rsidRPr="00CB5CED" w:rsidRDefault="00F34A2F" w:rsidP="007E7E3D">
            <w:pPr>
              <w:rPr>
                <w:rFonts w:ascii="Arial Narrow" w:hAnsi="Arial Narrow"/>
                <w:b/>
                <w:i/>
                <w:iCs/>
                <w:sz w:val="18"/>
                <w:szCs w:val="18"/>
              </w:rPr>
            </w:pPr>
            <w:r w:rsidRPr="00CB5CED">
              <w:rPr>
                <w:rFonts w:ascii="Arial Narrow" w:hAnsi="Arial Narrow"/>
                <w:b/>
                <w:sz w:val="18"/>
                <w:szCs w:val="18"/>
              </w:rPr>
              <w:t xml:space="preserve">Restriction Summary </w:t>
            </w:r>
            <w:r>
              <w:rPr>
                <w:rFonts w:ascii="Arial Narrow" w:hAnsi="Arial Narrow"/>
                <w:b/>
                <w:sz w:val="18"/>
                <w:szCs w:val="18"/>
              </w:rPr>
              <w:t>New 1</w:t>
            </w:r>
            <w:r w:rsidRPr="00CB5CED">
              <w:rPr>
                <w:rFonts w:ascii="Arial Narrow" w:hAnsi="Arial Narrow"/>
                <w:b/>
                <w:sz w:val="18"/>
                <w:szCs w:val="18"/>
              </w:rPr>
              <w:t xml:space="preserve"> / Treatment of Concept: </w:t>
            </w:r>
            <w:r>
              <w:rPr>
                <w:rFonts w:ascii="Arial Narrow" w:hAnsi="Arial Narrow"/>
                <w:b/>
                <w:sz w:val="18"/>
                <w:szCs w:val="18"/>
              </w:rPr>
              <w:t>New 2</w:t>
            </w:r>
          </w:p>
        </w:tc>
      </w:tr>
      <w:tr w:rsidR="00F34A2F" w:rsidRPr="00CB5CED" w14:paraId="1A3BBEFB" w14:textId="77777777" w:rsidTr="007E7E3D">
        <w:tblPrEx>
          <w:tblCellMar>
            <w:top w:w="15" w:type="dxa"/>
            <w:left w:w="15" w:type="dxa"/>
            <w:bottom w:w="15" w:type="dxa"/>
            <w:right w:w="15" w:type="dxa"/>
          </w:tblCellMar>
          <w:tblLook w:val="04A0" w:firstRow="1" w:lastRow="0" w:firstColumn="1" w:lastColumn="0" w:noHBand="0" w:noVBand="1"/>
        </w:tblPrEx>
        <w:tc>
          <w:tcPr>
            <w:tcW w:w="988" w:type="dxa"/>
            <w:vMerge w:val="restart"/>
            <w:tcBorders>
              <w:top w:val="single" w:sz="4" w:space="0" w:color="auto"/>
              <w:left w:val="single" w:sz="4" w:space="0" w:color="auto"/>
              <w:right w:val="single" w:sz="4" w:space="0" w:color="auto"/>
            </w:tcBorders>
          </w:tcPr>
          <w:p w14:paraId="287CF21E" w14:textId="77777777" w:rsidR="00F34A2F" w:rsidRPr="00CB5CED" w:rsidRDefault="00F34A2F" w:rsidP="007E7E3D">
            <w:pPr>
              <w:jc w:val="center"/>
              <w:rPr>
                <w:rFonts w:ascii="Arial Narrow" w:hAnsi="Arial Narrow"/>
                <w:sz w:val="18"/>
                <w:szCs w:val="18"/>
              </w:rPr>
            </w:pPr>
          </w:p>
        </w:tc>
        <w:tc>
          <w:tcPr>
            <w:tcW w:w="8079" w:type="dxa"/>
            <w:gridSpan w:val="6"/>
            <w:tcBorders>
              <w:top w:val="single" w:sz="4" w:space="0" w:color="auto"/>
              <w:left w:val="single" w:sz="4" w:space="0" w:color="auto"/>
              <w:bottom w:val="single" w:sz="4" w:space="0" w:color="auto"/>
              <w:right w:val="single" w:sz="4" w:space="0" w:color="auto"/>
            </w:tcBorders>
          </w:tcPr>
          <w:p w14:paraId="5C61425D" w14:textId="77777777" w:rsidR="00F34A2F" w:rsidRPr="00CB5CED" w:rsidRDefault="00F34A2F" w:rsidP="007E7E3D">
            <w:pPr>
              <w:rPr>
                <w:rFonts w:ascii="Arial Narrow" w:hAnsi="Arial Narrow"/>
                <w:sz w:val="18"/>
                <w:szCs w:val="18"/>
              </w:rPr>
            </w:pPr>
            <w:r w:rsidRPr="00CB5CED">
              <w:rPr>
                <w:rFonts w:ascii="Arial Narrow" w:hAnsi="Arial Narrow"/>
                <w:b/>
                <w:sz w:val="18"/>
                <w:szCs w:val="18"/>
              </w:rPr>
              <w:t xml:space="preserve">Category / Program:   </w:t>
            </w:r>
            <w:r w:rsidRPr="00CB5CED">
              <w:rPr>
                <w:rFonts w:ascii="Arial Narrow" w:hAnsi="Arial Narrow"/>
                <w:sz w:val="18"/>
                <w:szCs w:val="18"/>
              </w:rPr>
              <w:t>GENERAL – General Schedule (Code GE)</w:t>
            </w:r>
            <w:r w:rsidRPr="00CB5CED">
              <w:rPr>
                <w:rFonts w:ascii="Arial Narrow" w:hAnsi="Arial Narrow"/>
                <w:color w:val="FF0000"/>
                <w:sz w:val="18"/>
                <w:szCs w:val="18"/>
              </w:rPr>
              <w:t xml:space="preserve"> </w:t>
            </w:r>
          </w:p>
        </w:tc>
      </w:tr>
      <w:tr w:rsidR="00F34A2F" w:rsidRPr="00CB5CED" w14:paraId="7A91A127" w14:textId="77777777" w:rsidTr="007E7E3D">
        <w:tblPrEx>
          <w:tblCellMar>
            <w:top w:w="15" w:type="dxa"/>
            <w:left w:w="15" w:type="dxa"/>
            <w:bottom w:w="15" w:type="dxa"/>
            <w:right w:w="15" w:type="dxa"/>
          </w:tblCellMar>
          <w:tblLook w:val="04A0" w:firstRow="1" w:lastRow="0" w:firstColumn="1" w:lastColumn="0" w:noHBand="0" w:noVBand="1"/>
        </w:tblPrEx>
        <w:trPr>
          <w:trHeight w:val="240"/>
        </w:trPr>
        <w:tc>
          <w:tcPr>
            <w:tcW w:w="988" w:type="dxa"/>
            <w:vMerge/>
            <w:tcBorders>
              <w:left w:val="single" w:sz="4" w:space="0" w:color="auto"/>
              <w:right w:val="single" w:sz="4" w:space="0" w:color="auto"/>
            </w:tcBorders>
          </w:tcPr>
          <w:p w14:paraId="011A6AD2" w14:textId="77777777" w:rsidR="00F34A2F" w:rsidRPr="00CB5CED" w:rsidRDefault="00F34A2F" w:rsidP="007E7E3D">
            <w:pPr>
              <w:rPr>
                <w:rFonts w:ascii="Arial Narrow" w:hAnsi="Arial Narrow"/>
                <w:sz w:val="18"/>
                <w:szCs w:val="18"/>
              </w:rPr>
            </w:pPr>
          </w:p>
        </w:tc>
        <w:tc>
          <w:tcPr>
            <w:tcW w:w="8079" w:type="dxa"/>
            <w:gridSpan w:val="6"/>
            <w:tcBorders>
              <w:top w:val="single" w:sz="4" w:space="0" w:color="auto"/>
              <w:left w:val="single" w:sz="4" w:space="0" w:color="auto"/>
              <w:bottom w:val="single" w:sz="4" w:space="0" w:color="auto"/>
              <w:right w:val="single" w:sz="4" w:space="0" w:color="auto"/>
            </w:tcBorders>
          </w:tcPr>
          <w:p w14:paraId="6D80A046" w14:textId="77777777" w:rsidR="00F34A2F" w:rsidRPr="00CB5CED" w:rsidRDefault="00F34A2F" w:rsidP="007E7E3D">
            <w:pPr>
              <w:rPr>
                <w:rFonts w:ascii="Arial Narrow" w:hAnsi="Arial Narrow"/>
                <w:b/>
                <w:sz w:val="18"/>
                <w:szCs w:val="18"/>
              </w:rPr>
            </w:pPr>
            <w:r w:rsidRPr="00CB5CED">
              <w:rPr>
                <w:rFonts w:ascii="Arial Narrow" w:hAnsi="Arial Narrow"/>
                <w:b/>
                <w:sz w:val="18"/>
                <w:szCs w:val="18"/>
              </w:rPr>
              <w:t xml:space="preserve">Prescriber type:   </w:t>
            </w:r>
            <w:r w:rsidRPr="00CB5CED">
              <w:rPr>
                <w:rFonts w:ascii="Arial Narrow" w:hAnsi="Arial Narrow"/>
                <w:sz w:val="18"/>
                <w:szCs w:val="18"/>
              </w:rPr>
              <w:fldChar w:fldCharType="begin">
                <w:ffData>
                  <w:name w:val=""/>
                  <w:enabled/>
                  <w:calcOnExit w:val="0"/>
                  <w:checkBox>
                    <w:sizeAuto/>
                    <w:default w:val="1"/>
                  </w:checkBox>
                </w:ffData>
              </w:fldChar>
            </w:r>
            <w:r w:rsidRPr="00CB5CED">
              <w:rPr>
                <w:rFonts w:ascii="Arial Narrow" w:hAnsi="Arial Narrow"/>
                <w:sz w:val="18"/>
                <w:szCs w:val="18"/>
              </w:rPr>
              <w:instrText xml:space="preserve"> FORMCHECKBOX </w:instrText>
            </w:r>
            <w:r w:rsidR="00BA1878">
              <w:rPr>
                <w:rFonts w:ascii="Arial Narrow" w:hAnsi="Arial Narrow"/>
                <w:sz w:val="18"/>
                <w:szCs w:val="18"/>
              </w:rPr>
            </w:r>
            <w:r w:rsidR="00BA1878">
              <w:rPr>
                <w:rFonts w:ascii="Arial Narrow" w:hAnsi="Arial Narrow"/>
                <w:sz w:val="18"/>
                <w:szCs w:val="18"/>
              </w:rPr>
              <w:fldChar w:fldCharType="separate"/>
            </w:r>
            <w:r w:rsidRPr="00CB5CED">
              <w:rPr>
                <w:rFonts w:ascii="Arial Narrow" w:hAnsi="Arial Narrow"/>
                <w:sz w:val="18"/>
                <w:szCs w:val="18"/>
              </w:rPr>
              <w:fldChar w:fldCharType="end"/>
            </w:r>
            <w:r w:rsidRPr="00CB5CED">
              <w:rPr>
                <w:rFonts w:ascii="Arial Narrow" w:hAnsi="Arial Narrow"/>
                <w:sz w:val="18"/>
                <w:szCs w:val="18"/>
              </w:rPr>
              <w:t xml:space="preserve">Medical Practitioners    </w:t>
            </w:r>
            <w:r w:rsidRPr="00CB5CED">
              <w:rPr>
                <w:rFonts w:ascii="Arial Narrow" w:hAnsi="Arial Narrow"/>
                <w:sz w:val="18"/>
                <w:szCs w:val="18"/>
              </w:rPr>
              <w:fldChar w:fldCharType="begin">
                <w:ffData>
                  <w:name w:val=""/>
                  <w:enabled/>
                  <w:calcOnExit w:val="0"/>
                  <w:checkBox>
                    <w:sizeAuto/>
                    <w:default w:val="1"/>
                  </w:checkBox>
                </w:ffData>
              </w:fldChar>
            </w:r>
            <w:r w:rsidRPr="00CB5CED">
              <w:rPr>
                <w:rFonts w:ascii="Arial Narrow" w:hAnsi="Arial Narrow"/>
                <w:sz w:val="18"/>
                <w:szCs w:val="18"/>
              </w:rPr>
              <w:instrText xml:space="preserve"> FORMCHECKBOX </w:instrText>
            </w:r>
            <w:r w:rsidR="00BA1878">
              <w:rPr>
                <w:rFonts w:ascii="Arial Narrow" w:hAnsi="Arial Narrow"/>
                <w:sz w:val="18"/>
                <w:szCs w:val="18"/>
              </w:rPr>
            </w:r>
            <w:r w:rsidR="00BA1878">
              <w:rPr>
                <w:rFonts w:ascii="Arial Narrow" w:hAnsi="Arial Narrow"/>
                <w:sz w:val="18"/>
                <w:szCs w:val="18"/>
              </w:rPr>
              <w:fldChar w:fldCharType="separate"/>
            </w:r>
            <w:r w:rsidRPr="00CB5CED">
              <w:rPr>
                <w:rFonts w:ascii="Arial Narrow" w:hAnsi="Arial Narrow"/>
                <w:sz w:val="18"/>
                <w:szCs w:val="18"/>
              </w:rPr>
              <w:fldChar w:fldCharType="end"/>
            </w:r>
            <w:r w:rsidRPr="00CB5CED">
              <w:rPr>
                <w:rFonts w:ascii="Arial Narrow" w:hAnsi="Arial Narrow"/>
                <w:sz w:val="18"/>
                <w:szCs w:val="18"/>
              </w:rPr>
              <w:t xml:space="preserve">Nurse practitioners     </w:t>
            </w:r>
          </w:p>
        </w:tc>
      </w:tr>
      <w:tr w:rsidR="00F34A2F" w:rsidRPr="00CB5CED" w14:paraId="74132C53" w14:textId="77777777" w:rsidTr="007E7E3D">
        <w:tblPrEx>
          <w:tblCellMar>
            <w:top w:w="15" w:type="dxa"/>
            <w:left w:w="15" w:type="dxa"/>
            <w:bottom w:w="15" w:type="dxa"/>
            <w:right w:w="15" w:type="dxa"/>
          </w:tblCellMar>
          <w:tblLook w:val="04A0" w:firstRow="1" w:lastRow="0" w:firstColumn="1" w:lastColumn="0" w:noHBand="0" w:noVBand="1"/>
        </w:tblPrEx>
        <w:tc>
          <w:tcPr>
            <w:tcW w:w="988" w:type="dxa"/>
            <w:vMerge/>
            <w:tcBorders>
              <w:left w:val="single" w:sz="4" w:space="0" w:color="auto"/>
              <w:bottom w:val="single" w:sz="4" w:space="0" w:color="auto"/>
              <w:right w:val="single" w:sz="4" w:space="0" w:color="auto"/>
            </w:tcBorders>
          </w:tcPr>
          <w:p w14:paraId="3FE046FC" w14:textId="77777777" w:rsidR="00F34A2F" w:rsidRPr="00CB5CED" w:rsidRDefault="00F34A2F" w:rsidP="007E7E3D">
            <w:pPr>
              <w:rPr>
                <w:rFonts w:ascii="Arial Narrow" w:hAnsi="Arial Narrow"/>
                <w:sz w:val="18"/>
                <w:szCs w:val="18"/>
              </w:rPr>
            </w:pPr>
          </w:p>
        </w:tc>
        <w:tc>
          <w:tcPr>
            <w:tcW w:w="8079" w:type="dxa"/>
            <w:gridSpan w:val="6"/>
            <w:tcBorders>
              <w:top w:val="single" w:sz="4" w:space="0" w:color="auto"/>
              <w:left w:val="single" w:sz="4" w:space="0" w:color="auto"/>
              <w:bottom w:val="single" w:sz="4" w:space="0" w:color="auto"/>
              <w:right w:val="single" w:sz="4" w:space="0" w:color="auto"/>
            </w:tcBorders>
          </w:tcPr>
          <w:p w14:paraId="1A100817" w14:textId="77777777" w:rsidR="00F34A2F" w:rsidRPr="00CB5CED" w:rsidRDefault="00F34A2F" w:rsidP="007E7E3D">
            <w:pPr>
              <w:rPr>
                <w:rFonts w:ascii="Arial Narrow" w:eastAsia="Calibri" w:hAnsi="Arial Narrow"/>
                <w:sz w:val="18"/>
                <w:szCs w:val="18"/>
              </w:rPr>
            </w:pPr>
            <w:r w:rsidRPr="00CB5CED">
              <w:rPr>
                <w:rFonts w:ascii="Arial Narrow" w:hAnsi="Arial Narrow"/>
                <w:b/>
                <w:sz w:val="18"/>
                <w:szCs w:val="18"/>
              </w:rPr>
              <w:t xml:space="preserve">Restriction type: </w:t>
            </w:r>
            <w:r w:rsidRPr="00CB5CED">
              <w:rPr>
                <w:rFonts w:ascii="Arial Narrow" w:eastAsia="Calibri" w:hAnsi="Arial Narrow"/>
                <w:sz w:val="18"/>
                <w:szCs w:val="18"/>
              </w:rPr>
              <w:fldChar w:fldCharType="begin">
                <w:ffData>
                  <w:name w:val=""/>
                  <w:enabled/>
                  <w:calcOnExit w:val="0"/>
                  <w:checkBox>
                    <w:sizeAuto/>
                    <w:default w:val="1"/>
                  </w:checkBox>
                </w:ffData>
              </w:fldChar>
            </w:r>
            <w:r w:rsidRPr="00CB5CED">
              <w:rPr>
                <w:rFonts w:ascii="Arial Narrow" w:eastAsia="Calibri" w:hAnsi="Arial Narrow"/>
                <w:sz w:val="18"/>
                <w:szCs w:val="18"/>
              </w:rPr>
              <w:instrText xml:space="preserve"> FORMCHECKBOX </w:instrText>
            </w:r>
            <w:r w:rsidR="00BA1878">
              <w:rPr>
                <w:rFonts w:ascii="Arial Narrow" w:eastAsia="Calibri" w:hAnsi="Arial Narrow"/>
                <w:sz w:val="18"/>
                <w:szCs w:val="18"/>
              </w:rPr>
            </w:r>
            <w:r w:rsidR="00BA1878">
              <w:rPr>
                <w:rFonts w:ascii="Arial Narrow" w:eastAsia="Calibri" w:hAnsi="Arial Narrow"/>
                <w:sz w:val="18"/>
                <w:szCs w:val="18"/>
              </w:rPr>
              <w:fldChar w:fldCharType="separate"/>
            </w:r>
            <w:r w:rsidRPr="00CB5CED">
              <w:rPr>
                <w:rFonts w:ascii="Arial Narrow" w:eastAsia="Calibri" w:hAnsi="Arial Narrow"/>
                <w:sz w:val="18"/>
                <w:szCs w:val="18"/>
              </w:rPr>
              <w:fldChar w:fldCharType="end"/>
            </w:r>
            <w:r w:rsidRPr="00CB5CED">
              <w:rPr>
                <w:rFonts w:ascii="Arial Narrow" w:eastAsia="Calibri" w:hAnsi="Arial Narrow"/>
                <w:sz w:val="18"/>
                <w:szCs w:val="18"/>
              </w:rPr>
              <w:t>Authority Required (S</w:t>
            </w:r>
            <w:r>
              <w:rPr>
                <w:rFonts w:ascii="Arial Narrow" w:eastAsia="Calibri" w:hAnsi="Arial Narrow"/>
                <w:sz w:val="18"/>
                <w:szCs w:val="18"/>
              </w:rPr>
              <w:t>TREAMLINED</w:t>
            </w:r>
            <w:r w:rsidRPr="00CB5CED">
              <w:rPr>
                <w:rFonts w:ascii="Arial Narrow" w:eastAsia="Calibri" w:hAnsi="Arial Narrow"/>
                <w:sz w:val="18"/>
                <w:szCs w:val="18"/>
              </w:rPr>
              <w:t>) [</w:t>
            </w:r>
            <w:r>
              <w:rPr>
                <w:rFonts w:ascii="Arial Narrow" w:eastAsia="Calibri" w:hAnsi="Arial Narrow"/>
                <w:sz w:val="18"/>
                <w:szCs w:val="18"/>
              </w:rPr>
              <w:t>New 2 code</w:t>
            </w:r>
            <w:r w:rsidRPr="00CB5CED">
              <w:rPr>
                <w:rFonts w:ascii="Arial Narrow" w:eastAsia="Calibri" w:hAnsi="Arial Narrow"/>
                <w:sz w:val="18"/>
                <w:szCs w:val="18"/>
              </w:rPr>
              <w:t xml:space="preserve">] </w:t>
            </w:r>
          </w:p>
        </w:tc>
      </w:tr>
      <w:tr w:rsidR="00F34A2F" w:rsidRPr="00CB5CED" w14:paraId="1E404B29" w14:textId="77777777" w:rsidTr="007E7E3D">
        <w:tblPrEx>
          <w:tblCellMar>
            <w:top w:w="15" w:type="dxa"/>
            <w:left w:w="15" w:type="dxa"/>
            <w:bottom w:w="15" w:type="dxa"/>
            <w:right w:w="15" w:type="dxa"/>
          </w:tblCellMar>
          <w:tblLook w:val="04A0" w:firstRow="1" w:lastRow="0" w:firstColumn="1" w:lastColumn="0" w:noHBand="0" w:noVBand="1"/>
        </w:tblPrEx>
        <w:tc>
          <w:tcPr>
            <w:tcW w:w="988" w:type="dxa"/>
            <w:tcBorders>
              <w:left w:val="single" w:sz="4" w:space="0" w:color="auto"/>
              <w:bottom w:val="single" w:sz="4" w:space="0" w:color="auto"/>
              <w:right w:val="single" w:sz="4" w:space="0" w:color="auto"/>
            </w:tcBorders>
          </w:tcPr>
          <w:p w14:paraId="1E98616B" w14:textId="77777777" w:rsidR="00F34A2F" w:rsidRPr="00CB5CED" w:rsidRDefault="00F34A2F" w:rsidP="007E7E3D">
            <w:pPr>
              <w:rPr>
                <w:rFonts w:ascii="Arial Narrow" w:hAnsi="Arial Narrow"/>
                <w:sz w:val="18"/>
                <w:szCs w:val="18"/>
              </w:rPr>
            </w:pPr>
          </w:p>
        </w:tc>
        <w:tc>
          <w:tcPr>
            <w:tcW w:w="8079" w:type="dxa"/>
            <w:gridSpan w:val="6"/>
            <w:tcBorders>
              <w:top w:val="single" w:sz="4" w:space="0" w:color="auto"/>
              <w:left w:val="single" w:sz="4" w:space="0" w:color="auto"/>
              <w:bottom w:val="single" w:sz="4" w:space="0" w:color="auto"/>
              <w:right w:val="single" w:sz="4" w:space="0" w:color="auto"/>
            </w:tcBorders>
          </w:tcPr>
          <w:p w14:paraId="56DE03B0" w14:textId="77777777" w:rsidR="00F34A2F" w:rsidRPr="00CB5CED" w:rsidRDefault="00F34A2F" w:rsidP="007E7E3D">
            <w:pPr>
              <w:rPr>
                <w:rFonts w:ascii="Arial Narrow" w:hAnsi="Arial Narrow"/>
                <w:b/>
                <w:sz w:val="18"/>
                <w:szCs w:val="18"/>
              </w:rPr>
            </w:pPr>
          </w:p>
        </w:tc>
      </w:tr>
      <w:tr w:rsidR="00F34A2F" w:rsidRPr="00CB5CED" w14:paraId="1D33C848" w14:textId="77777777" w:rsidTr="00FE6FAC">
        <w:tblPrEx>
          <w:tblCellMar>
            <w:top w:w="15" w:type="dxa"/>
            <w:left w:w="15" w:type="dxa"/>
            <w:bottom w:w="15" w:type="dxa"/>
            <w:right w:w="15" w:type="dxa"/>
          </w:tblCellMar>
          <w:tblLook w:val="04A0" w:firstRow="1" w:lastRow="0" w:firstColumn="1" w:lastColumn="0" w:noHBand="0" w:noVBand="1"/>
        </w:tblPrEx>
        <w:tc>
          <w:tcPr>
            <w:tcW w:w="988" w:type="dxa"/>
            <w:vAlign w:val="center"/>
          </w:tcPr>
          <w:p w14:paraId="23901DAB"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hideMark/>
          </w:tcPr>
          <w:p w14:paraId="6ACEDE51" w14:textId="77777777" w:rsidR="00F34A2F" w:rsidRPr="00CB5CED" w:rsidRDefault="00F34A2F" w:rsidP="007E7E3D">
            <w:pPr>
              <w:rPr>
                <w:rFonts w:ascii="Arial Narrow" w:hAnsi="Arial Narrow" w:cs="Times New Roman"/>
                <w:color w:val="000000"/>
                <w:sz w:val="18"/>
                <w:szCs w:val="18"/>
              </w:rPr>
            </w:pPr>
            <w:r w:rsidRPr="00CB5CED">
              <w:rPr>
                <w:rFonts w:ascii="Arial Narrow" w:hAnsi="Arial Narrow" w:cs="Times New Roman"/>
                <w:b/>
                <w:bCs/>
                <w:color w:val="000000"/>
                <w:sz w:val="18"/>
                <w:szCs w:val="18"/>
              </w:rPr>
              <w:t>Indication:</w:t>
            </w:r>
            <w:r w:rsidRPr="00CB5CED">
              <w:rPr>
                <w:rFonts w:ascii="Arial Narrow" w:hAnsi="Arial Narrow" w:cs="Times New Roman"/>
                <w:color w:val="000000"/>
                <w:sz w:val="18"/>
                <w:szCs w:val="18"/>
              </w:rPr>
              <w:t xml:space="preserve"> Severe asthma</w:t>
            </w:r>
          </w:p>
        </w:tc>
      </w:tr>
      <w:tr w:rsidR="00F34A2F" w:rsidRPr="00CB5CED" w14:paraId="4C51B9FC"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66973990"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5288271F" w14:textId="77777777" w:rsidR="00F34A2F" w:rsidRPr="00CB5CED" w:rsidRDefault="00F34A2F" w:rsidP="007E7E3D">
            <w:pPr>
              <w:rPr>
                <w:rFonts w:ascii="Arial Narrow" w:hAnsi="Arial Narrow" w:cs="Times New Roman"/>
                <w:b/>
                <w:bCs/>
                <w:color w:val="000000"/>
                <w:sz w:val="18"/>
                <w:szCs w:val="18"/>
              </w:rPr>
            </w:pPr>
          </w:p>
        </w:tc>
      </w:tr>
      <w:tr w:rsidR="00F34A2F" w:rsidRPr="00CB5CED" w14:paraId="474A492B" w14:textId="77777777" w:rsidTr="00FE6FAC">
        <w:tblPrEx>
          <w:tblCellMar>
            <w:top w:w="15" w:type="dxa"/>
            <w:left w:w="15" w:type="dxa"/>
            <w:bottom w:w="15" w:type="dxa"/>
            <w:right w:w="15" w:type="dxa"/>
          </w:tblCellMar>
          <w:tblLook w:val="04A0" w:firstRow="1" w:lastRow="0" w:firstColumn="1" w:lastColumn="0" w:noHBand="0" w:noVBand="1"/>
        </w:tblPrEx>
        <w:tc>
          <w:tcPr>
            <w:tcW w:w="988" w:type="dxa"/>
            <w:vAlign w:val="center"/>
          </w:tcPr>
          <w:p w14:paraId="7658DDB2"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hideMark/>
          </w:tcPr>
          <w:p w14:paraId="4A3DFE1C" w14:textId="77777777" w:rsidR="00F34A2F" w:rsidRPr="00CB5CED" w:rsidRDefault="00F34A2F" w:rsidP="007E7E3D">
            <w:pPr>
              <w:rPr>
                <w:rFonts w:ascii="Arial Narrow" w:hAnsi="Arial Narrow" w:cs="Times New Roman"/>
                <w:b/>
                <w:bCs/>
                <w:color w:val="000000"/>
                <w:sz w:val="18"/>
                <w:szCs w:val="18"/>
              </w:rPr>
            </w:pPr>
            <w:r w:rsidRPr="00CB5CED">
              <w:rPr>
                <w:rFonts w:ascii="Arial Narrow" w:hAnsi="Arial Narrow" w:cs="Times New Roman"/>
                <w:b/>
                <w:bCs/>
                <w:color w:val="000000"/>
                <w:sz w:val="18"/>
                <w:szCs w:val="18"/>
              </w:rPr>
              <w:t xml:space="preserve">Clinical criteria: </w:t>
            </w:r>
          </w:p>
        </w:tc>
      </w:tr>
      <w:tr w:rsidR="00F34A2F" w:rsidRPr="00CB5CED" w14:paraId="01FF35BD"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07E5DE07"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18835922" w14:textId="77777777" w:rsidR="00F34A2F" w:rsidRPr="00CB5CED" w:rsidRDefault="00F34A2F" w:rsidP="007E7E3D">
            <w:pPr>
              <w:rPr>
                <w:rFonts w:ascii="Arial Narrow" w:hAnsi="Arial Narrow" w:cs="Times New Roman"/>
                <w:bCs/>
                <w:color w:val="000000"/>
                <w:sz w:val="18"/>
                <w:szCs w:val="18"/>
              </w:rPr>
            </w:pPr>
            <w:r w:rsidRPr="00CB5CED">
              <w:rPr>
                <w:rFonts w:ascii="Arial Narrow" w:hAnsi="Arial Narrow" w:cs="Times New Roman"/>
                <w:color w:val="333333"/>
                <w:sz w:val="18"/>
                <w:szCs w:val="18"/>
              </w:rPr>
              <w:t xml:space="preserve">Patient must have experienced at least one severe asthma exacerbation in the 12 months prior to </w:t>
            </w:r>
            <w:r>
              <w:rPr>
                <w:rFonts w:ascii="Arial Narrow" w:hAnsi="Arial Narrow" w:cs="Times New Roman"/>
                <w:color w:val="333333"/>
                <w:sz w:val="18"/>
                <w:szCs w:val="18"/>
              </w:rPr>
              <w:t xml:space="preserve">having </w:t>
            </w:r>
            <w:r w:rsidRPr="00CB5CED">
              <w:rPr>
                <w:rFonts w:ascii="Arial Narrow" w:hAnsi="Arial Narrow" w:cs="Times New Roman"/>
                <w:color w:val="333333"/>
                <w:sz w:val="18"/>
                <w:szCs w:val="18"/>
              </w:rPr>
              <w:t>first commenc</w:t>
            </w:r>
            <w:r>
              <w:rPr>
                <w:rFonts w:ascii="Arial Narrow" w:hAnsi="Arial Narrow" w:cs="Times New Roman"/>
                <w:color w:val="333333"/>
                <w:sz w:val="18"/>
                <w:szCs w:val="18"/>
              </w:rPr>
              <w:t>ed</w:t>
            </w:r>
            <w:r w:rsidRPr="00CB5CED">
              <w:rPr>
                <w:rFonts w:ascii="Arial Narrow" w:hAnsi="Arial Narrow" w:cs="Times New Roman"/>
                <w:color w:val="333333"/>
                <w:sz w:val="18"/>
                <w:szCs w:val="18"/>
              </w:rPr>
              <w:t xml:space="preserve"> treatment for severe asthma, which required systemic corticosteroid treatment despite each of: (i) receiving optimised asthma therapy, (ii) being assessed for adherence to therapy, (iii) being assessed for correct inhaler technique</w:t>
            </w:r>
            <w:r w:rsidR="00B871A6">
              <w:rPr>
                <w:rFonts w:ascii="Arial Narrow" w:hAnsi="Arial Narrow" w:cs="Times New Roman"/>
                <w:color w:val="333333"/>
                <w:sz w:val="18"/>
                <w:szCs w:val="18"/>
              </w:rPr>
              <w:t>.</w:t>
            </w:r>
          </w:p>
        </w:tc>
      </w:tr>
      <w:tr w:rsidR="00F34A2F" w:rsidRPr="00CB5CED" w14:paraId="48B5FF51"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36BD329B" w14:textId="77777777" w:rsidR="00F34A2F" w:rsidRPr="00CB5CED" w:rsidRDefault="00F34A2F" w:rsidP="007E7E3D">
            <w:pPr>
              <w:jc w:val="center"/>
              <w:rPr>
                <w:rFonts w:ascii="Arial Narrow" w:hAnsi="Arial Narrow" w:cs="Times New Roman"/>
                <w:color w:val="333333"/>
                <w:sz w:val="18"/>
                <w:szCs w:val="18"/>
              </w:rPr>
            </w:pPr>
          </w:p>
        </w:tc>
        <w:tc>
          <w:tcPr>
            <w:tcW w:w="8079" w:type="dxa"/>
            <w:gridSpan w:val="6"/>
            <w:vAlign w:val="center"/>
          </w:tcPr>
          <w:p w14:paraId="134B3ED4" w14:textId="77777777" w:rsidR="00F34A2F" w:rsidRPr="00CB5CED" w:rsidRDefault="00F34A2F" w:rsidP="007E7E3D">
            <w:pPr>
              <w:rPr>
                <w:rFonts w:ascii="Arial Narrow" w:hAnsi="Arial Narrow" w:cs="Times New Roman"/>
                <w:color w:val="333333"/>
                <w:sz w:val="18"/>
                <w:szCs w:val="18"/>
              </w:rPr>
            </w:pPr>
          </w:p>
        </w:tc>
      </w:tr>
      <w:tr w:rsidR="00F34A2F" w:rsidRPr="00CB5CED" w14:paraId="3EAF164B"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09109807"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hideMark/>
          </w:tcPr>
          <w:p w14:paraId="5CA4F099" w14:textId="77777777" w:rsidR="00F34A2F" w:rsidRPr="00CB5CED" w:rsidRDefault="00F34A2F" w:rsidP="007E7E3D">
            <w:pPr>
              <w:rPr>
                <w:rFonts w:ascii="Arial Narrow" w:hAnsi="Arial Narrow" w:cs="Times New Roman"/>
                <w:color w:val="000000"/>
                <w:sz w:val="18"/>
                <w:szCs w:val="18"/>
              </w:rPr>
            </w:pPr>
            <w:r w:rsidRPr="00CB5CED">
              <w:rPr>
                <w:rFonts w:ascii="Arial Narrow" w:hAnsi="Arial Narrow" w:cs="Times New Roman"/>
                <w:b/>
                <w:bCs/>
                <w:color w:val="000000"/>
                <w:sz w:val="18"/>
                <w:szCs w:val="18"/>
              </w:rPr>
              <w:t>Population criteria:</w:t>
            </w:r>
          </w:p>
        </w:tc>
      </w:tr>
      <w:tr w:rsidR="00F34A2F" w:rsidRPr="00CB5CED" w14:paraId="0DB98441" w14:textId="77777777" w:rsidTr="00FE6FAC">
        <w:tblPrEx>
          <w:tblCellMar>
            <w:top w:w="15" w:type="dxa"/>
            <w:left w:w="15" w:type="dxa"/>
            <w:bottom w:w="15" w:type="dxa"/>
            <w:right w:w="15" w:type="dxa"/>
          </w:tblCellMar>
          <w:tblLook w:val="04A0" w:firstRow="1" w:lastRow="0" w:firstColumn="1" w:lastColumn="0" w:noHBand="0" w:noVBand="1"/>
        </w:tblPrEx>
        <w:tc>
          <w:tcPr>
            <w:tcW w:w="988" w:type="dxa"/>
            <w:vAlign w:val="center"/>
          </w:tcPr>
          <w:p w14:paraId="5DF7069F"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hideMark/>
          </w:tcPr>
          <w:p w14:paraId="68C5F79F" w14:textId="77777777" w:rsidR="00F34A2F" w:rsidRPr="00CB5CED" w:rsidRDefault="00F34A2F" w:rsidP="007E7E3D">
            <w:pPr>
              <w:rPr>
                <w:rFonts w:ascii="Arial Narrow" w:hAnsi="Arial Narrow" w:cs="Times New Roman"/>
                <w:color w:val="000000"/>
                <w:sz w:val="18"/>
                <w:szCs w:val="18"/>
              </w:rPr>
            </w:pPr>
            <w:r w:rsidRPr="00CB5CED">
              <w:rPr>
                <w:rFonts w:ascii="Arial Narrow" w:hAnsi="Arial Narrow" w:cs="Times New Roman"/>
                <w:color w:val="000000"/>
                <w:sz w:val="18"/>
                <w:szCs w:val="18"/>
              </w:rPr>
              <w:t>Patient must be aged 18 years or over</w:t>
            </w:r>
          </w:p>
        </w:tc>
      </w:tr>
      <w:tr w:rsidR="00F34A2F" w:rsidRPr="00CB5CED" w14:paraId="2472316E"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21135DE6"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7F060170" w14:textId="77777777" w:rsidR="00F34A2F" w:rsidRPr="00CB5CED" w:rsidRDefault="00F34A2F" w:rsidP="007E7E3D">
            <w:pPr>
              <w:rPr>
                <w:rFonts w:ascii="Arial Narrow" w:hAnsi="Arial Narrow" w:cs="Times New Roman"/>
                <w:color w:val="000000"/>
                <w:sz w:val="18"/>
                <w:szCs w:val="18"/>
              </w:rPr>
            </w:pPr>
          </w:p>
        </w:tc>
      </w:tr>
      <w:tr w:rsidR="00F34A2F" w:rsidRPr="00CB5CED" w14:paraId="5D51D8DD" w14:textId="77777777" w:rsidTr="00FE6FAC">
        <w:tblPrEx>
          <w:tblCellMar>
            <w:top w:w="15" w:type="dxa"/>
            <w:left w:w="15" w:type="dxa"/>
            <w:bottom w:w="15" w:type="dxa"/>
            <w:right w:w="15" w:type="dxa"/>
          </w:tblCellMar>
          <w:tblLook w:val="04A0" w:firstRow="1" w:lastRow="0" w:firstColumn="1" w:lastColumn="0" w:noHBand="0" w:noVBand="1"/>
        </w:tblPrEx>
        <w:tc>
          <w:tcPr>
            <w:tcW w:w="988" w:type="dxa"/>
            <w:vAlign w:val="center"/>
          </w:tcPr>
          <w:p w14:paraId="4BDF19A9"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hideMark/>
          </w:tcPr>
          <w:p w14:paraId="48E833EC" w14:textId="77777777" w:rsidR="00F34A2F" w:rsidRPr="00CB5CED" w:rsidRDefault="00F34A2F" w:rsidP="007E7E3D">
            <w:pPr>
              <w:rPr>
                <w:rFonts w:ascii="Arial Narrow" w:hAnsi="Arial Narrow" w:cs="Times New Roman"/>
                <w:b/>
                <w:bCs/>
                <w:color w:val="000000"/>
                <w:sz w:val="18"/>
                <w:szCs w:val="18"/>
              </w:rPr>
            </w:pPr>
            <w:r w:rsidRPr="00CB5CED">
              <w:rPr>
                <w:rFonts w:ascii="Arial Narrow" w:hAnsi="Arial Narrow" w:cs="Times New Roman"/>
                <w:b/>
                <w:bCs/>
                <w:color w:val="000000"/>
                <w:sz w:val="18"/>
                <w:szCs w:val="18"/>
              </w:rPr>
              <w:t xml:space="preserve">Prescribing Instructions: </w:t>
            </w:r>
          </w:p>
          <w:p w14:paraId="0F1CC22C" w14:textId="77777777" w:rsidR="00F34A2F" w:rsidRPr="00CB5CED" w:rsidRDefault="00F34A2F" w:rsidP="007E7E3D">
            <w:pPr>
              <w:rPr>
                <w:rFonts w:ascii="Arial Narrow" w:hAnsi="Arial Narrow" w:cs="Times New Roman"/>
                <w:color w:val="000000"/>
                <w:sz w:val="18"/>
                <w:szCs w:val="18"/>
              </w:rPr>
            </w:pPr>
            <w:r w:rsidRPr="00CB5CED">
              <w:rPr>
                <w:rFonts w:ascii="Arial Narrow" w:hAnsi="Arial Narrow" w:cs="Times New Roman"/>
                <w:bCs/>
                <w:color w:val="000000"/>
                <w:sz w:val="18"/>
                <w:szCs w:val="18"/>
              </w:rPr>
              <w:t>Optimised asthma therapy includes adherence to the maintenance combination of an inhaled corticosteroid (at least 800 micrograms budesonide per day or equivalent) and a long acting beta-2 agonist.</w:t>
            </w:r>
          </w:p>
        </w:tc>
      </w:tr>
      <w:tr w:rsidR="00F34A2F" w:rsidRPr="00CB5CED" w14:paraId="29816B6C"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27F9900C"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2C17D635" w14:textId="77777777" w:rsidR="00F34A2F" w:rsidRPr="00CB5CED" w:rsidRDefault="00F34A2F" w:rsidP="007E7E3D">
            <w:pPr>
              <w:rPr>
                <w:rFonts w:ascii="Arial Narrow" w:hAnsi="Arial Narrow" w:cs="Times New Roman"/>
                <w:b/>
                <w:bCs/>
                <w:color w:val="000000"/>
                <w:sz w:val="18"/>
                <w:szCs w:val="18"/>
              </w:rPr>
            </w:pPr>
          </w:p>
        </w:tc>
      </w:tr>
      <w:tr w:rsidR="00F34A2F" w:rsidRPr="00CB5CED" w14:paraId="5D8B98C6" w14:textId="77777777" w:rsidTr="007E7E3D">
        <w:tblPrEx>
          <w:tblCellMar>
            <w:top w:w="15" w:type="dxa"/>
            <w:left w:w="15" w:type="dxa"/>
            <w:bottom w:w="15" w:type="dxa"/>
            <w:right w:w="15" w:type="dxa"/>
          </w:tblCellMar>
          <w:tblLook w:val="04A0" w:firstRow="1" w:lastRow="0" w:firstColumn="1" w:lastColumn="0" w:noHBand="0" w:noVBand="1"/>
        </w:tblPrEx>
        <w:tc>
          <w:tcPr>
            <w:tcW w:w="988" w:type="dxa"/>
            <w:tcBorders>
              <w:top w:val="single" w:sz="4" w:space="0" w:color="auto"/>
              <w:left w:val="single" w:sz="4" w:space="0" w:color="auto"/>
              <w:bottom w:val="single" w:sz="4" w:space="0" w:color="auto"/>
              <w:right w:val="single" w:sz="4" w:space="0" w:color="auto"/>
            </w:tcBorders>
            <w:vAlign w:val="center"/>
          </w:tcPr>
          <w:p w14:paraId="6502E29A"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3ABC1C04" w14:textId="77777777" w:rsidR="00F34A2F" w:rsidRPr="00CB5CED" w:rsidRDefault="00F34A2F" w:rsidP="007E7E3D">
            <w:pPr>
              <w:rPr>
                <w:rFonts w:ascii="Arial Narrow" w:hAnsi="Arial Narrow" w:cs="Times New Roman"/>
                <w:b/>
                <w:bCs/>
                <w:color w:val="000000"/>
                <w:sz w:val="18"/>
                <w:szCs w:val="18"/>
              </w:rPr>
            </w:pPr>
            <w:r w:rsidRPr="00CB5CED">
              <w:rPr>
                <w:rFonts w:ascii="Arial Narrow" w:hAnsi="Arial Narrow" w:cs="Times New Roman"/>
                <w:b/>
                <w:bCs/>
                <w:color w:val="000000"/>
                <w:sz w:val="18"/>
                <w:szCs w:val="18"/>
              </w:rPr>
              <w:t xml:space="preserve">Administrative Advice: </w:t>
            </w:r>
            <w:r>
              <w:rPr>
                <w:rFonts w:ascii="Arial Narrow" w:hAnsi="Arial Narrow" w:cs="Times New Roman"/>
                <w:b/>
                <w:bCs/>
                <w:color w:val="000000"/>
                <w:sz w:val="18"/>
                <w:szCs w:val="18"/>
              </w:rPr>
              <w:t xml:space="preserve"> </w:t>
            </w:r>
            <w:r w:rsidRPr="00CB5CED">
              <w:rPr>
                <w:rFonts w:ascii="Arial Narrow" w:hAnsi="Arial Narrow" w:cs="Times New Roman"/>
                <w:bCs/>
                <w:color w:val="000000"/>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F34A2F" w:rsidRPr="00CB5CED" w14:paraId="6E3BAE6C"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4F70BD2B" w14:textId="77777777" w:rsidR="00F34A2F" w:rsidRPr="00CB5CED" w:rsidRDefault="00F34A2F" w:rsidP="007E7E3D">
            <w:pPr>
              <w:jc w:val="center"/>
              <w:rPr>
                <w:rFonts w:ascii="Arial Narrow" w:hAnsi="Arial Narrow" w:cs="Times New Roman"/>
                <w:iCs/>
                <w:color w:val="000000"/>
                <w:sz w:val="18"/>
                <w:szCs w:val="18"/>
              </w:rPr>
            </w:pPr>
            <w:bookmarkStart w:id="59" w:name="_Hlk82596871"/>
          </w:p>
        </w:tc>
        <w:tc>
          <w:tcPr>
            <w:tcW w:w="8079" w:type="dxa"/>
            <w:gridSpan w:val="6"/>
            <w:vAlign w:val="center"/>
          </w:tcPr>
          <w:p w14:paraId="33160146" w14:textId="77777777" w:rsidR="00F34A2F" w:rsidRPr="00CB5CED" w:rsidRDefault="00F34A2F" w:rsidP="007E7E3D">
            <w:pPr>
              <w:rPr>
                <w:rFonts w:ascii="Arial Narrow" w:hAnsi="Arial Narrow" w:cs="Times New Roman"/>
                <w:b/>
                <w:bCs/>
                <w:color w:val="000000"/>
                <w:sz w:val="18"/>
                <w:szCs w:val="18"/>
              </w:rPr>
            </w:pPr>
            <w:r w:rsidRPr="00CB5CED">
              <w:rPr>
                <w:rFonts w:ascii="Arial Narrow" w:hAnsi="Arial Narrow" w:cs="Times New Roman"/>
                <w:b/>
                <w:bCs/>
                <w:color w:val="000000"/>
                <w:sz w:val="18"/>
                <w:szCs w:val="18"/>
              </w:rPr>
              <w:t>Administrative Advice:</w:t>
            </w:r>
            <w:r>
              <w:rPr>
                <w:rFonts w:ascii="Arial Narrow" w:hAnsi="Arial Narrow" w:cs="Times New Roman"/>
                <w:b/>
                <w:bCs/>
                <w:color w:val="000000"/>
                <w:sz w:val="18"/>
                <w:szCs w:val="18"/>
              </w:rPr>
              <w:t xml:space="preserve"> </w:t>
            </w:r>
            <w:r w:rsidRPr="00CB5CED">
              <w:rPr>
                <w:rFonts w:ascii="Arial Narrow" w:hAnsi="Arial Narrow" w:cs="Times New Roman"/>
                <w:color w:val="000000"/>
                <w:sz w:val="18"/>
                <w:szCs w:val="18"/>
              </w:rPr>
              <w:t>This pharmaceutical benefit is not for the treatment of chronic obstructive pulmonary disease (COPD)</w:t>
            </w:r>
          </w:p>
        </w:tc>
      </w:tr>
      <w:tr w:rsidR="00F34A2F" w:rsidRPr="00CB5CED" w14:paraId="71CC3922"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029F56D4"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35D2C494" w14:textId="77777777" w:rsidR="00F34A2F" w:rsidRPr="00CB5CED" w:rsidRDefault="00F34A2F" w:rsidP="007E7E3D">
            <w:pPr>
              <w:rPr>
                <w:rFonts w:ascii="Arial Narrow" w:hAnsi="Arial Narrow" w:cs="Times New Roman"/>
                <w:bCs/>
                <w:color w:val="000000"/>
                <w:sz w:val="18"/>
                <w:szCs w:val="18"/>
              </w:rPr>
            </w:pPr>
            <w:r w:rsidRPr="00CB5CED">
              <w:rPr>
                <w:rFonts w:ascii="Arial Narrow" w:hAnsi="Arial Narrow" w:cs="Times New Roman"/>
                <w:b/>
                <w:bCs/>
                <w:color w:val="000000"/>
                <w:sz w:val="18"/>
                <w:szCs w:val="18"/>
              </w:rPr>
              <w:t>Administrative Advice:</w:t>
            </w:r>
            <w:r w:rsidRPr="00CB5CED">
              <w:rPr>
                <w:rFonts w:ascii="Arial Narrow" w:hAnsi="Arial Narrow" w:cs="Times New Roman"/>
                <w:bCs/>
                <w:color w:val="000000"/>
                <w:sz w:val="18"/>
                <w:szCs w:val="18"/>
              </w:rPr>
              <w:t xml:space="preserve"> This product is not indicated for the initiation of treatment in asthma</w:t>
            </w:r>
          </w:p>
        </w:tc>
      </w:tr>
      <w:tr w:rsidR="00F34A2F" w:rsidRPr="00CB5CED" w14:paraId="5417235E"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42B8B640"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43349A7A" w14:textId="77777777" w:rsidR="00F34A2F" w:rsidRPr="00CB5CED" w:rsidRDefault="00F34A2F" w:rsidP="007E7E3D">
            <w:pPr>
              <w:rPr>
                <w:rFonts w:ascii="Arial Narrow" w:hAnsi="Arial Narrow" w:cs="Times New Roman"/>
                <w:bCs/>
                <w:color w:val="000000"/>
                <w:sz w:val="18"/>
                <w:szCs w:val="18"/>
              </w:rPr>
            </w:pPr>
            <w:r w:rsidRPr="00CB5CED">
              <w:rPr>
                <w:rFonts w:ascii="Arial Narrow" w:hAnsi="Arial Narrow" w:cs="Times New Roman"/>
                <w:b/>
                <w:bCs/>
                <w:color w:val="000000"/>
                <w:sz w:val="18"/>
                <w:szCs w:val="18"/>
              </w:rPr>
              <w:t>Administrative Advice:</w:t>
            </w:r>
            <w:r w:rsidRPr="00CB5CED">
              <w:rPr>
                <w:rFonts w:ascii="Arial Narrow" w:hAnsi="Arial Narrow" w:cs="Times New Roman"/>
                <w:bCs/>
                <w:color w:val="000000"/>
                <w:sz w:val="18"/>
                <w:szCs w:val="18"/>
              </w:rPr>
              <w:t xml:space="preserve"> The treatment must not be used in combination with an ICS/LABA, LABA/LAMA or LAMA, LABA or ICS monotherapy</w:t>
            </w:r>
          </w:p>
        </w:tc>
      </w:tr>
      <w:bookmarkEnd w:id="59"/>
      <w:tr w:rsidR="00F34A2F" w:rsidRPr="00CB5CED" w14:paraId="29AF4190"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16B4C051"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2F429DDF" w14:textId="77777777" w:rsidR="00F34A2F" w:rsidRPr="00CB5CED" w:rsidRDefault="00F34A2F" w:rsidP="007E7E3D">
            <w:pPr>
              <w:rPr>
                <w:rFonts w:ascii="Arial Narrow" w:hAnsi="Arial Narrow" w:cs="Times New Roman"/>
                <w:bCs/>
                <w:color w:val="000000"/>
                <w:sz w:val="18"/>
                <w:szCs w:val="18"/>
              </w:rPr>
            </w:pPr>
            <w:r w:rsidRPr="00CB5CED">
              <w:rPr>
                <w:rFonts w:ascii="Arial Narrow" w:hAnsi="Arial Narrow" w:cs="Times New Roman"/>
                <w:b/>
                <w:bCs/>
                <w:color w:val="000000"/>
                <w:sz w:val="18"/>
                <w:szCs w:val="18"/>
              </w:rPr>
              <w:t>Administrative Advice:</w:t>
            </w:r>
            <w:r w:rsidRPr="00CB5CED">
              <w:rPr>
                <w:rFonts w:ascii="Arial Narrow" w:hAnsi="Arial Narrow" w:cs="Times New Roman"/>
                <w:bCs/>
                <w:color w:val="000000"/>
                <w:sz w:val="18"/>
                <w:szCs w:val="18"/>
              </w:rPr>
              <w:t xml:space="preserve"> A LAMA includes tiotropium, glycopyrronium, aclidinium or umeclidinium.</w:t>
            </w:r>
          </w:p>
        </w:tc>
      </w:tr>
      <w:tr w:rsidR="00F34A2F" w:rsidRPr="00CB5CED" w14:paraId="6136AF9A"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43730B14"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2F7CC8F8" w14:textId="77777777" w:rsidR="00F34A2F" w:rsidRPr="00CB5CED" w:rsidRDefault="00F34A2F" w:rsidP="007E7E3D">
            <w:pPr>
              <w:rPr>
                <w:rFonts w:ascii="Arial Narrow" w:hAnsi="Arial Narrow" w:cs="Times New Roman"/>
                <w:bCs/>
                <w:color w:val="000000"/>
                <w:sz w:val="18"/>
                <w:szCs w:val="18"/>
              </w:rPr>
            </w:pPr>
            <w:r w:rsidRPr="00CB5CED">
              <w:rPr>
                <w:rFonts w:ascii="Arial Narrow" w:hAnsi="Arial Narrow" w:cs="Times New Roman"/>
                <w:b/>
                <w:bCs/>
                <w:color w:val="000000"/>
                <w:sz w:val="18"/>
                <w:szCs w:val="18"/>
              </w:rPr>
              <w:t>Administrative Advice:</w:t>
            </w:r>
            <w:r w:rsidRPr="00CB5CED">
              <w:rPr>
                <w:rFonts w:ascii="Arial Narrow" w:hAnsi="Arial Narrow" w:cs="Times New Roman"/>
                <w:bCs/>
                <w:color w:val="000000"/>
                <w:sz w:val="18"/>
                <w:szCs w:val="18"/>
              </w:rPr>
              <w:t xml:space="preserve"> A LABA includes olodaterol, indacaterol, salmeterol, formoterol or vilanterol.</w:t>
            </w:r>
          </w:p>
        </w:tc>
      </w:tr>
      <w:tr w:rsidR="00F34A2F" w:rsidRPr="00CB5CED" w14:paraId="7E29A933" w14:textId="77777777" w:rsidTr="007E7E3D">
        <w:tblPrEx>
          <w:tblCellMar>
            <w:top w:w="15" w:type="dxa"/>
            <w:left w:w="15" w:type="dxa"/>
            <w:bottom w:w="15" w:type="dxa"/>
            <w:right w:w="15" w:type="dxa"/>
          </w:tblCellMar>
          <w:tblLook w:val="04A0" w:firstRow="1" w:lastRow="0" w:firstColumn="1" w:lastColumn="0" w:noHBand="0" w:noVBand="1"/>
        </w:tblPrEx>
        <w:tc>
          <w:tcPr>
            <w:tcW w:w="988" w:type="dxa"/>
            <w:vAlign w:val="center"/>
          </w:tcPr>
          <w:p w14:paraId="09FB9B2A" w14:textId="77777777" w:rsidR="00F34A2F" w:rsidRPr="00CB5CED" w:rsidRDefault="00F34A2F" w:rsidP="007E7E3D">
            <w:pPr>
              <w:jc w:val="center"/>
              <w:rPr>
                <w:rFonts w:ascii="Arial Narrow" w:hAnsi="Arial Narrow" w:cs="Times New Roman"/>
                <w:color w:val="000000"/>
                <w:sz w:val="18"/>
                <w:szCs w:val="18"/>
              </w:rPr>
            </w:pPr>
          </w:p>
        </w:tc>
        <w:tc>
          <w:tcPr>
            <w:tcW w:w="8079" w:type="dxa"/>
            <w:gridSpan w:val="6"/>
            <w:vAlign w:val="center"/>
          </w:tcPr>
          <w:p w14:paraId="147C432C" w14:textId="77777777" w:rsidR="00F34A2F" w:rsidRPr="00CB5CED" w:rsidRDefault="00F34A2F" w:rsidP="007E7E3D">
            <w:pPr>
              <w:rPr>
                <w:rFonts w:ascii="Arial Narrow" w:hAnsi="Arial Narrow" w:cs="Times New Roman"/>
                <w:b/>
                <w:bCs/>
                <w:color w:val="000000"/>
                <w:sz w:val="18"/>
                <w:szCs w:val="18"/>
              </w:rPr>
            </w:pPr>
            <w:r w:rsidRPr="00CB5CED">
              <w:rPr>
                <w:rFonts w:ascii="Arial Narrow" w:hAnsi="Arial Narrow" w:cs="Times New Roman"/>
                <w:b/>
                <w:bCs/>
                <w:color w:val="000000"/>
                <w:sz w:val="18"/>
                <w:szCs w:val="18"/>
              </w:rPr>
              <w:t>Administrative Advice:</w:t>
            </w:r>
            <w:r>
              <w:rPr>
                <w:rFonts w:ascii="Arial Narrow" w:hAnsi="Arial Narrow" w:cs="Times New Roman"/>
                <w:b/>
                <w:bCs/>
                <w:color w:val="000000"/>
                <w:sz w:val="18"/>
                <w:szCs w:val="18"/>
              </w:rPr>
              <w:t xml:space="preserve"> </w:t>
            </w:r>
            <w:r w:rsidRPr="00CB5CED">
              <w:rPr>
                <w:rFonts w:ascii="Arial Narrow" w:hAnsi="Arial Narrow" w:cs="Times New Roman"/>
                <w:bCs/>
                <w:color w:val="000000"/>
                <w:sz w:val="18"/>
                <w:szCs w:val="18"/>
              </w:rPr>
              <w:t>An ICS includes fluticasone propionate, fluticasone furoate, budesonide, beclometasone or ciclesonide.</w:t>
            </w:r>
          </w:p>
        </w:tc>
      </w:tr>
    </w:tbl>
    <w:p w14:paraId="1F4D0EE7" w14:textId="77777777" w:rsidR="00F34A2F" w:rsidRDefault="00F34A2F" w:rsidP="00F34A2F">
      <w:pPr>
        <w:pStyle w:val="3-BodyText"/>
        <w:numPr>
          <w:ilvl w:val="0"/>
          <w:numId w:val="0"/>
        </w:numPr>
        <w:ind w:left="720" w:hanging="720"/>
      </w:pPr>
    </w:p>
    <w:p w14:paraId="6A4173AE" w14:textId="77777777" w:rsidR="00F34A2F" w:rsidRDefault="00F34A2F" w:rsidP="00F34A2F">
      <w:pPr>
        <w:pStyle w:val="3-BodyText"/>
      </w:pPr>
      <w:r>
        <w:t>Flow on changes:</w:t>
      </w:r>
    </w:p>
    <w:p w14:paraId="6BFFCA27" w14:textId="77777777" w:rsidR="00F34A2F" w:rsidRDefault="00F34A2F" w:rsidP="00F34A2F">
      <w:pPr>
        <w:pStyle w:val="3-BodyText"/>
        <w:numPr>
          <w:ilvl w:val="0"/>
          <w:numId w:val="0"/>
        </w:numPr>
        <w:ind w:left="720"/>
      </w:pPr>
      <w:r>
        <w:t>Update the indacaterol + gylcopyrronium + mometasone (Enerzair Breezhaler) restriction (excluding the administrative advice where New AA1/10615 are different) to be the same as that appearing above, by:</w:t>
      </w:r>
    </w:p>
    <w:p w14:paraId="4EFB223E" w14:textId="77777777" w:rsidR="00F34A2F" w:rsidRDefault="00F34A2F" w:rsidP="00F34A2F">
      <w:pPr>
        <w:pStyle w:val="3-BodyText"/>
        <w:numPr>
          <w:ilvl w:val="0"/>
          <w:numId w:val="0"/>
        </w:numPr>
        <w:ind w:left="720"/>
      </w:pPr>
      <w:r>
        <w:t>(1) Amending the restriction type from ‘Authority Required (telephone/online PBS authorities system) to ‘Authority Required (STREAMLINED); and</w:t>
      </w:r>
    </w:p>
    <w:p w14:paraId="135D89E8" w14:textId="77777777" w:rsidR="00F34A2F" w:rsidRDefault="00F34A2F" w:rsidP="00F34A2F">
      <w:pPr>
        <w:pStyle w:val="3-BodyText"/>
        <w:numPr>
          <w:ilvl w:val="0"/>
          <w:numId w:val="0"/>
        </w:numPr>
        <w:ind w:left="720"/>
      </w:pPr>
      <w:r>
        <w:t xml:space="preserve">(2) Inserting and removing the relevant restriction concepts (25796 &amp; 18275/New CC1). </w:t>
      </w:r>
    </w:p>
    <w:p w14:paraId="0680338B" w14:textId="77777777" w:rsidR="00F34A2F" w:rsidRDefault="00F34A2F" w:rsidP="00F34A2F">
      <w:pPr>
        <w:pStyle w:val="3-BodyText"/>
        <w:numPr>
          <w:ilvl w:val="0"/>
          <w:numId w:val="0"/>
        </w:numPr>
        <w:ind w:left="72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gridCol w:w="850"/>
        <w:gridCol w:w="851"/>
        <w:gridCol w:w="850"/>
        <w:gridCol w:w="709"/>
        <w:gridCol w:w="992"/>
      </w:tblGrid>
      <w:tr w:rsidR="00F34A2F" w:rsidRPr="00CB5CED" w14:paraId="396BEF6A" w14:textId="77777777" w:rsidTr="007E7E3D">
        <w:trPr>
          <w:cantSplit/>
          <w:trHeight w:val="471"/>
        </w:trPr>
        <w:tc>
          <w:tcPr>
            <w:tcW w:w="4962" w:type="dxa"/>
            <w:gridSpan w:val="2"/>
          </w:tcPr>
          <w:p w14:paraId="7F46200D" w14:textId="77777777" w:rsidR="00F34A2F" w:rsidRPr="00CB5CED" w:rsidRDefault="00F34A2F" w:rsidP="007E7E3D">
            <w:pPr>
              <w:keepNext/>
              <w:ind w:left="-57"/>
              <w:rPr>
                <w:rFonts w:ascii="Arial Narrow" w:eastAsia="Calibri" w:hAnsi="Arial Narrow"/>
                <w:b/>
                <w:bCs/>
                <w:sz w:val="18"/>
                <w:szCs w:val="18"/>
              </w:rPr>
            </w:pPr>
            <w:bookmarkStart w:id="60" w:name="_Hlk88641221"/>
            <w:r w:rsidRPr="00CB5CED">
              <w:rPr>
                <w:rFonts w:ascii="Arial Narrow" w:eastAsia="Calibri" w:hAnsi="Arial Narrow"/>
                <w:b/>
                <w:bCs/>
                <w:sz w:val="18"/>
                <w:szCs w:val="18"/>
              </w:rPr>
              <w:t>MEDICINAL PRODUCT</w:t>
            </w:r>
          </w:p>
          <w:p w14:paraId="40489AA5" w14:textId="77777777" w:rsidR="00F34A2F" w:rsidRPr="00CB5CED" w:rsidRDefault="00F34A2F" w:rsidP="007E7E3D">
            <w:pPr>
              <w:keepNext/>
              <w:ind w:left="-57"/>
              <w:rPr>
                <w:rFonts w:ascii="Arial Narrow" w:eastAsia="Calibri" w:hAnsi="Arial Narrow"/>
                <w:b/>
                <w:sz w:val="18"/>
                <w:szCs w:val="18"/>
              </w:rPr>
            </w:pPr>
            <w:r w:rsidRPr="00CB5CED">
              <w:rPr>
                <w:rFonts w:ascii="Arial Narrow" w:eastAsia="Calibri" w:hAnsi="Arial Narrow"/>
                <w:b/>
                <w:bCs/>
                <w:sz w:val="18"/>
                <w:szCs w:val="18"/>
              </w:rPr>
              <w:t>medicinal product pack</w:t>
            </w:r>
          </w:p>
        </w:tc>
        <w:tc>
          <w:tcPr>
            <w:tcW w:w="850" w:type="dxa"/>
          </w:tcPr>
          <w:p w14:paraId="3C617299" w14:textId="77777777" w:rsidR="00F34A2F" w:rsidRPr="00CB5CED" w:rsidRDefault="00F34A2F" w:rsidP="007E7E3D">
            <w:pPr>
              <w:keepNext/>
              <w:ind w:left="-108"/>
              <w:jc w:val="center"/>
              <w:rPr>
                <w:rFonts w:ascii="Arial Narrow" w:eastAsia="Calibri" w:hAnsi="Arial Narrow"/>
                <w:b/>
                <w:sz w:val="18"/>
                <w:szCs w:val="18"/>
              </w:rPr>
            </w:pPr>
            <w:r w:rsidRPr="00CB5CED">
              <w:rPr>
                <w:rFonts w:ascii="Arial Narrow" w:eastAsia="Calibri" w:hAnsi="Arial Narrow"/>
                <w:b/>
                <w:sz w:val="18"/>
                <w:szCs w:val="18"/>
              </w:rPr>
              <w:t>PBS item code</w:t>
            </w:r>
          </w:p>
        </w:tc>
        <w:tc>
          <w:tcPr>
            <w:tcW w:w="851" w:type="dxa"/>
          </w:tcPr>
          <w:p w14:paraId="01763C71" w14:textId="77777777" w:rsidR="00F34A2F" w:rsidRPr="00CB5CED" w:rsidRDefault="00F34A2F" w:rsidP="007E7E3D">
            <w:pPr>
              <w:keepNext/>
              <w:ind w:left="-108"/>
              <w:jc w:val="center"/>
              <w:rPr>
                <w:rFonts w:ascii="Arial Narrow" w:eastAsia="Calibri" w:hAnsi="Arial Narrow"/>
                <w:b/>
                <w:sz w:val="18"/>
                <w:szCs w:val="18"/>
              </w:rPr>
            </w:pPr>
            <w:r w:rsidRPr="00CB5CED">
              <w:rPr>
                <w:rFonts w:ascii="Arial Narrow" w:eastAsia="Calibri" w:hAnsi="Arial Narrow"/>
                <w:b/>
                <w:sz w:val="18"/>
                <w:szCs w:val="18"/>
              </w:rPr>
              <w:t>Max. qty packs</w:t>
            </w:r>
          </w:p>
        </w:tc>
        <w:tc>
          <w:tcPr>
            <w:tcW w:w="850" w:type="dxa"/>
          </w:tcPr>
          <w:p w14:paraId="2FF95AE6" w14:textId="77777777" w:rsidR="00F34A2F" w:rsidRPr="00CB5CED" w:rsidRDefault="00F34A2F" w:rsidP="007E7E3D">
            <w:pPr>
              <w:keepNext/>
              <w:ind w:left="-108"/>
              <w:jc w:val="center"/>
              <w:rPr>
                <w:rFonts w:ascii="Arial Narrow" w:eastAsia="Calibri" w:hAnsi="Arial Narrow"/>
                <w:b/>
                <w:sz w:val="18"/>
                <w:szCs w:val="18"/>
              </w:rPr>
            </w:pPr>
            <w:r w:rsidRPr="00CB5CED">
              <w:rPr>
                <w:rFonts w:ascii="Arial Narrow" w:eastAsia="Calibri" w:hAnsi="Arial Narrow"/>
                <w:b/>
                <w:sz w:val="18"/>
                <w:szCs w:val="18"/>
              </w:rPr>
              <w:t>Max. qty units</w:t>
            </w:r>
          </w:p>
        </w:tc>
        <w:tc>
          <w:tcPr>
            <w:tcW w:w="709" w:type="dxa"/>
          </w:tcPr>
          <w:p w14:paraId="0C20E49A" w14:textId="77777777" w:rsidR="00F34A2F" w:rsidRPr="00CB5CED" w:rsidRDefault="00F34A2F" w:rsidP="007E7E3D">
            <w:pPr>
              <w:keepNext/>
              <w:ind w:left="-108"/>
              <w:jc w:val="center"/>
              <w:rPr>
                <w:rFonts w:ascii="Arial Narrow" w:eastAsia="Calibri" w:hAnsi="Arial Narrow"/>
                <w:b/>
                <w:sz w:val="18"/>
                <w:szCs w:val="18"/>
              </w:rPr>
            </w:pPr>
            <w:r w:rsidRPr="00CB5CED">
              <w:rPr>
                <w:rFonts w:ascii="Arial Narrow" w:eastAsia="Calibri" w:hAnsi="Arial Narrow"/>
                <w:b/>
                <w:sz w:val="18"/>
                <w:szCs w:val="18"/>
              </w:rPr>
              <w:t>№.of</w:t>
            </w:r>
          </w:p>
          <w:p w14:paraId="64EEAC04" w14:textId="77777777" w:rsidR="00F34A2F" w:rsidRPr="00CB5CED" w:rsidRDefault="00F34A2F" w:rsidP="007E7E3D">
            <w:pPr>
              <w:keepNext/>
              <w:ind w:left="-108"/>
              <w:jc w:val="center"/>
              <w:rPr>
                <w:rFonts w:ascii="Arial Narrow" w:eastAsia="Calibri" w:hAnsi="Arial Narrow"/>
                <w:b/>
                <w:sz w:val="18"/>
                <w:szCs w:val="18"/>
              </w:rPr>
            </w:pPr>
            <w:r w:rsidRPr="00CB5CED">
              <w:rPr>
                <w:rFonts w:ascii="Arial Narrow" w:eastAsia="Calibri" w:hAnsi="Arial Narrow"/>
                <w:b/>
                <w:sz w:val="18"/>
                <w:szCs w:val="18"/>
              </w:rPr>
              <w:t>Rpts</w:t>
            </w:r>
          </w:p>
        </w:tc>
        <w:tc>
          <w:tcPr>
            <w:tcW w:w="992" w:type="dxa"/>
          </w:tcPr>
          <w:p w14:paraId="334A0343" w14:textId="77777777" w:rsidR="00F34A2F" w:rsidRPr="00CB5CED" w:rsidRDefault="00F34A2F" w:rsidP="007E7E3D">
            <w:pPr>
              <w:keepNext/>
              <w:rPr>
                <w:rFonts w:ascii="Arial Narrow" w:eastAsia="Calibri" w:hAnsi="Arial Narrow"/>
                <w:b/>
                <w:sz w:val="18"/>
                <w:szCs w:val="18"/>
                <w:lang w:val="fr-FR"/>
              </w:rPr>
            </w:pPr>
            <w:r w:rsidRPr="00CB5CED">
              <w:rPr>
                <w:rFonts w:ascii="Arial Narrow" w:eastAsia="Calibri" w:hAnsi="Arial Narrow"/>
                <w:b/>
                <w:sz w:val="18"/>
                <w:szCs w:val="18"/>
              </w:rPr>
              <w:t>Available brands</w:t>
            </w:r>
          </w:p>
        </w:tc>
      </w:tr>
      <w:tr w:rsidR="00F34A2F" w:rsidRPr="00CB5CED" w14:paraId="5030C928" w14:textId="77777777" w:rsidTr="007E7E3D">
        <w:trPr>
          <w:cantSplit/>
          <w:trHeight w:val="351"/>
        </w:trPr>
        <w:tc>
          <w:tcPr>
            <w:tcW w:w="9214" w:type="dxa"/>
            <w:gridSpan w:val="7"/>
          </w:tcPr>
          <w:p w14:paraId="7CCC99AF" w14:textId="7EF4E63E" w:rsidR="00F34A2F" w:rsidRPr="00CB5CED" w:rsidRDefault="00F34A2F" w:rsidP="007E7E3D">
            <w:pPr>
              <w:keepNext/>
              <w:ind w:left="-57"/>
              <w:rPr>
                <w:rFonts w:ascii="Arial Narrow" w:eastAsia="Calibri" w:hAnsi="Arial Narrow"/>
                <w:sz w:val="18"/>
                <w:szCs w:val="18"/>
              </w:rPr>
            </w:pPr>
            <w:r w:rsidRPr="00CB5CED">
              <w:rPr>
                <w:rFonts w:ascii="Arial Narrow" w:eastAsia="Calibri" w:hAnsi="Arial Narrow"/>
                <w:sz w:val="18"/>
                <w:szCs w:val="18"/>
              </w:rPr>
              <w:t>INDACATEROL + GLYCOPYRRONIUM + MOMETASONE</w:t>
            </w:r>
          </w:p>
        </w:tc>
      </w:tr>
      <w:tr w:rsidR="00F34A2F" w:rsidRPr="00CB5CED" w14:paraId="4FEA923C" w14:textId="77777777" w:rsidTr="007E7E3D">
        <w:trPr>
          <w:cantSplit/>
          <w:trHeight w:val="710"/>
        </w:trPr>
        <w:tc>
          <w:tcPr>
            <w:tcW w:w="4962" w:type="dxa"/>
            <w:gridSpan w:val="2"/>
          </w:tcPr>
          <w:p w14:paraId="7AA1E3A9" w14:textId="77777777" w:rsidR="00F34A2F" w:rsidRPr="00CB5CED" w:rsidRDefault="00F34A2F" w:rsidP="007E7E3D">
            <w:pPr>
              <w:keepNext/>
              <w:rPr>
                <w:rFonts w:ascii="Arial Narrow" w:eastAsia="Calibri" w:hAnsi="Arial Narrow"/>
                <w:sz w:val="18"/>
                <w:szCs w:val="18"/>
              </w:rPr>
            </w:pPr>
            <w:r w:rsidRPr="00CB5CED">
              <w:rPr>
                <w:rFonts w:ascii="Arial Narrow" w:eastAsia="Calibri" w:hAnsi="Arial Narrow"/>
                <w:sz w:val="18"/>
                <w:szCs w:val="18"/>
              </w:rPr>
              <w:t>indacaterol 114 microgram + glycopyrronium 46 microgram + mometasone furoate 68 microgram, powder for inhalation, 30 capsules</w:t>
            </w:r>
          </w:p>
        </w:tc>
        <w:tc>
          <w:tcPr>
            <w:tcW w:w="850" w:type="dxa"/>
          </w:tcPr>
          <w:p w14:paraId="2FA7CC52"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12298G</w:t>
            </w:r>
          </w:p>
        </w:tc>
        <w:tc>
          <w:tcPr>
            <w:tcW w:w="851" w:type="dxa"/>
          </w:tcPr>
          <w:p w14:paraId="53563E6E"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1</w:t>
            </w:r>
          </w:p>
        </w:tc>
        <w:tc>
          <w:tcPr>
            <w:tcW w:w="850" w:type="dxa"/>
          </w:tcPr>
          <w:p w14:paraId="2EA5D73B"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30</w:t>
            </w:r>
          </w:p>
        </w:tc>
        <w:tc>
          <w:tcPr>
            <w:tcW w:w="709" w:type="dxa"/>
          </w:tcPr>
          <w:p w14:paraId="2B3EC109"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5</w:t>
            </w:r>
          </w:p>
        </w:tc>
        <w:tc>
          <w:tcPr>
            <w:tcW w:w="992" w:type="dxa"/>
          </w:tcPr>
          <w:p w14:paraId="21803E81" w14:textId="77777777" w:rsidR="00F34A2F" w:rsidRPr="00CB5CED" w:rsidRDefault="00F34A2F" w:rsidP="007E7E3D">
            <w:pPr>
              <w:keepNext/>
              <w:rPr>
                <w:rFonts w:ascii="Arial Narrow" w:eastAsia="Calibri" w:hAnsi="Arial Narrow"/>
                <w:sz w:val="18"/>
                <w:szCs w:val="18"/>
              </w:rPr>
            </w:pPr>
            <w:r w:rsidRPr="00CB5CED">
              <w:rPr>
                <w:rFonts w:ascii="Arial Narrow" w:eastAsia="Calibri" w:hAnsi="Arial Narrow"/>
                <w:sz w:val="18"/>
                <w:szCs w:val="18"/>
              </w:rPr>
              <w:t xml:space="preserve">Enerzair Breezhaler </w:t>
            </w:r>
          </w:p>
        </w:tc>
      </w:tr>
      <w:tr w:rsidR="00F34A2F" w:rsidRPr="00CB5CED" w14:paraId="2A6AAAEA" w14:textId="77777777" w:rsidTr="007E7E3D">
        <w:trPr>
          <w:cantSplit/>
          <w:trHeight w:val="273"/>
        </w:trPr>
        <w:tc>
          <w:tcPr>
            <w:tcW w:w="4962" w:type="dxa"/>
            <w:gridSpan w:val="2"/>
          </w:tcPr>
          <w:p w14:paraId="74F8EA8D" w14:textId="1431CA58" w:rsidR="00F34A2F" w:rsidRPr="00CB5CED" w:rsidRDefault="00F34A2F" w:rsidP="007E7E3D">
            <w:pPr>
              <w:keepNext/>
              <w:rPr>
                <w:rFonts w:ascii="Arial Narrow" w:eastAsia="Calibri" w:hAnsi="Arial Narrow"/>
                <w:sz w:val="18"/>
                <w:szCs w:val="18"/>
              </w:rPr>
            </w:pPr>
            <w:r w:rsidRPr="00CB5CED">
              <w:rPr>
                <w:rFonts w:ascii="Arial Narrow" w:eastAsia="Calibri" w:hAnsi="Arial Narrow"/>
                <w:sz w:val="18"/>
                <w:szCs w:val="18"/>
              </w:rPr>
              <w:t>indacaterol 114 microgram + glycopyrronium 46 microgram + mometasone furoate 136 microgram, powder for inhalation, 30 capsules</w:t>
            </w:r>
          </w:p>
        </w:tc>
        <w:tc>
          <w:tcPr>
            <w:tcW w:w="850" w:type="dxa"/>
          </w:tcPr>
          <w:p w14:paraId="0C4B0C80"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12295D</w:t>
            </w:r>
          </w:p>
        </w:tc>
        <w:tc>
          <w:tcPr>
            <w:tcW w:w="851" w:type="dxa"/>
          </w:tcPr>
          <w:p w14:paraId="362B45EB"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1</w:t>
            </w:r>
          </w:p>
        </w:tc>
        <w:tc>
          <w:tcPr>
            <w:tcW w:w="850" w:type="dxa"/>
          </w:tcPr>
          <w:p w14:paraId="352623C9"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30</w:t>
            </w:r>
          </w:p>
        </w:tc>
        <w:tc>
          <w:tcPr>
            <w:tcW w:w="709" w:type="dxa"/>
          </w:tcPr>
          <w:p w14:paraId="1337A094" w14:textId="77777777" w:rsidR="00F34A2F" w:rsidRPr="00CB5CED" w:rsidRDefault="00F34A2F" w:rsidP="007E7E3D">
            <w:pPr>
              <w:keepNext/>
              <w:jc w:val="center"/>
              <w:rPr>
                <w:rFonts w:ascii="Arial Narrow" w:eastAsia="Calibri" w:hAnsi="Arial Narrow"/>
                <w:sz w:val="18"/>
                <w:szCs w:val="18"/>
              </w:rPr>
            </w:pPr>
            <w:r w:rsidRPr="00CB5CED">
              <w:rPr>
                <w:rFonts w:ascii="Arial Narrow" w:eastAsia="Calibri" w:hAnsi="Arial Narrow"/>
                <w:sz w:val="18"/>
                <w:szCs w:val="18"/>
              </w:rPr>
              <w:t>5</w:t>
            </w:r>
          </w:p>
        </w:tc>
        <w:tc>
          <w:tcPr>
            <w:tcW w:w="992" w:type="dxa"/>
          </w:tcPr>
          <w:p w14:paraId="5817F6FA" w14:textId="77777777" w:rsidR="00F34A2F" w:rsidRPr="00CB5CED" w:rsidRDefault="00F34A2F" w:rsidP="007E7E3D">
            <w:pPr>
              <w:keepNext/>
              <w:rPr>
                <w:rFonts w:ascii="Arial Narrow" w:eastAsia="Calibri" w:hAnsi="Arial Narrow"/>
                <w:sz w:val="18"/>
                <w:szCs w:val="18"/>
              </w:rPr>
            </w:pPr>
            <w:r w:rsidRPr="00CB5CED">
              <w:rPr>
                <w:rFonts w:ascii="Arial Narrow" w:eastAsia="Calibri" w:hAnsi="Arial Narrow"/>
                <w:sz w:val="18"/>
                <w:szCs w:val="18"/>
              </w:rPr>
              <w:t>Enerzair Breezhaler</w:t>
            </w:r>
          </w:p>
        </w:tc>
      </w:tr>
      <w:tr w:rsidR="00F34A2F" w:rsidRPr="00CB5CED" w14:paraId="79E0C607" w14:textId="77777777" w:rsidTr="007E7E3D">
        <w:tblPrEx>
          <w:tblCellMar>
            <w:top w:w="15" w:type="dxa"/>
            <w:left w:w="15" w:type="dxa"/>
            <w:bottom w:w="15" w:type="dxa"/>
            <w:right w:w="15" w:type="dxa"/>
          </w:tblCellMar>
          <w:tblLook w:val="04A0" w:firstRow="1" w:lastRow="0" w:firstColumn="1" w:lastColumn="0" w:noHBand="0" w:noVBand="1"/>
        </w:tblPrEx>
        <w:tc>
          <w:tcPr>
            <w:tcW w:w="9214" w:type="dxa"/>
            <w:gridSpan w:val="7"/>
            <w:vAlign w:val="center"/>
          </w:tcPr>
          <w:p w14:paraId="592BA188" w14:textId="77777777" w:rsidR="00F34A2F" w:rsidRPr="00CB5CED" w:rsidRDefault="00F34A2F" w:rsidP="007E7E3D">
            <w:pPr>
              <w:rPr>
                <w:rFonts w:ascii="Arial Narrow" w:hAnsi="Arial Narrow" w:cs="Times New Roman"/>
                <w:b/>
                <w:bCs/>
                <w:color w:val="333333"/>
                <w:sz w:val="18"/>
                <w:szCs w:val="18"/>
                <w:lang w:val="en-GB"/>
              </w:rPr>
            </w:pPr>
          </w:p>
        </w:tc>
      </w:tr>
      <w:tr w:rsidR="00F34A2F" w:rsidRPr="00CB5CED" w14:paraId="764E71E1" w14:textId="77777777" w:rsidTr="007E7E3D">
        <w:tblPrEx>
          <w:tblCellMar>
            <w:top w:w="15" w:type="dxa"/>
            <w:left w:w="15" w:type="dxa"/>
            <w:bottom w:w="15" w:type="dxa"/>
            <w:right w:w="15" w:type="dxa"/>
          </w:tblCellMar>
          <w:tblLook w:val="04A0" w:firstRow="1" w:lastRow="0" w:firstColumn="1" w:lastColumn="0" w:noHBand="0" w:noVBand="1"/>
        </w:tblPrEx>
        <w:tc>
          <w:tcPr>
            <w:tcW w:w="9214" w:type="dxa"/>
            <w:gridSpan w:val="7"/>
            <w:vAlign w:val="center"/>
          </w:tcPr>
          <w:p w14:paraId="3F1A02C3" w14:textId="77777777" w:rsidR="00F34A2F" w:rsidRPr="00C8006E" w:rsidRDefault="00F34A2F" w:rsidP="007E7E3D">
            <w:pPr>
              <w:rPr>
                <w:rFonts w:ascii="Arial Narrow" w:hAnsi="Arial Narrow" w:cs="Times New Roman"/>
                <w:b/>
                <w:bCs/>
                <w:i/>
                <w:iCs/>
                <w:color w:val="333333"/>
                <w:sz w:val="18"/>
                <w:szCs w:val="18"/>
                <w:lang w:val="en-GB"/>
              </w:rPr>
            </w:pPr>
            <w:r w:rsidRPr="00CB5CED">
              <w:rPr>
                <w:rFonts w:ascii="Arial Narrow" w:hAnsi="Arial Narrow" w:cs="Times New Roman"/>
                <w:b/>
                <w:bCs/>
                <w:i/>
                <w:iCs/>
                <w:color w:val="333333"/>
                <w:sz w:val="18"/>
                <w:szCs w:val="18"/>
                <w:lang w:val="en-GB"/>
              </w:rPr>
              <w:t>Edit Restriction Summary 11470 / Treatment of Concept: 11470</w:t>
            </w:r>
            <w:r w:rsidRPr="00C8006E">
              <w:rPr>
                <w:rFonts w:ascii="Arial Narrow" w:hAnsi="Arial Narrow" w:cs="Times New Roman"/>
                <w:b/>
                <w:bCs/>
                <w:i/>
                <w:iCs/>
                <w:color w:val="333333"/>
                <w:sz w:val="18"/>
                <w:szCs w:val="18"/>
                <w:lang w:val="en-GB"/>
              </w:rPr>
              <w:t xml:space="preserve"> (current as at 1 November 2021) to become:</w:t>
            </w:r>
          </w:p>
          <w:p w14:paraId="63E8D55E" w14:textId="77777777" w:rsidR="00F34A2F" w:rsidRPr="00CB5CED" w:rsidRDefault="00F34A2F" w:rsidP="007E7E3D">
            <w:pPr>
              <w:rPr>
                <w:rFonts w:ascii="Arial Narrow" w:hAnsi="Arial Narrow" w:cs="Times New Roman"/>
                <w:b/>
                <w:bCs/>
                <w:i/>
                <w:iCs/>
                <w:color w:val="333333"/>
                <w:sz w:val="18"/>
                <w:szCs w:val="18"/>
              </w:rPr>
            </w:pPr>
            <w:r w:rsidRPr="00C8006E">
              <w:rPr>
                <w:rFonts w:ascii="Arial Narrow" w:hAnsi="Arial Narrow" w:cs="Times New Roman"/>
                <w:b/>
                <w:bCs/>
                <w:i/>
                <w:iCs/>
                <w:color w:val="333333"/>
                <w:sz w:val="18"/>
                <w:szCs w:val="18"/>
              </w:rPr>
              <w:t>Restriction Summary New 1 / Treatment of Concept: New 2</w:t>
            </w:r>
          </w:p>
        </w:tc>
      </w:tr>
      <w:tr w:rsidR="00F34A2F" w:rsidRPr="00CB5CED" w14:paraId="1961E16E" w14:textId="77777777" w:rsidTr="007E7E3D">
        <w:tblPrEx>
          <w:tblCellMar>
            <w:top w:w="15" w:type="dxa"/>
            <w:left w:w="15" w:type="dxa"/>
            <w:bottom w:w="15" w:type="dxa"/>
            <w:right w:w="15" w:type="dxa"/>
          </w:tblCellMar>
          <w:tblLook w:val="04A0" w:firstRow="1" w:lastRow="0" w:firstColumn="1" w:lastColumn="0" w:noHBand="0" w:noVBand="1"/>
        </w:tblPrEx>
        <w:tc>
          <w:tcPr>
            <w:tcW w:w="1276" w:type="dxa"/>
            <w:vMerge w:val="restart"/>
            <w:vAlign w:val="center"/>
          </w:tcPr>
          <w:p w14:paraId="3A73B2CF"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039F8299" w14:textId="77777777" w:rsidR="00F34A2F" w:rsidRPr="00CB5CED" w:rsidRDefault="00F34A2F" w:rsidP="007E7E3D">
            <w:pPr>
              <w:rPr>
                <w:rFonts w:ascii="Arial Narrow" w:hAnsi="Arial Narrow" w:cs="Times New Roman"/>
                <w:b/>
                <w:bCs/>
                <w:color w:val="333333"/>
                <w:sz w:val="18"/>
                <w:szCs w:val="18"/>
              </w:rPr>
            </w:pPr>
            <w:r w:rsidRPr="00CB5CED">
              <w:rPr>
                <w:rFonts w:ascii="Arial Narrow" w:eastAsia="Calibri" w:hAnsi="Arial Narrow" w:cs="Calibri"/>
                <w:b/>
                <w:color w:val="000000"/>
                <w:sz w:val="18"/>
                <w:szCs w:val="18"/>
              </w:rPr>
              <w:t xml:space="preserve">Category / Program:   </w:t>
            </w:r>
            <w:r w:rsidRPr="00CB5CED">
              <w:rPr>
                <w:rFonts w:ascii="Arial Narrow" w:eastAsia="Calibri" w:hAnsi="Arial Narrow" w:cs="Calibri"/>
                <w:color w:val="000000"/>
                <w:sz w:val="18"/>
                <w:szCs w:val="18"/>
              </w:rPr>
              <w:t>GENERAL – General Schedule (Code GE)</w:t>
            </w:r>
          </w:p>
        </w:tc>
      </w:tr>
      <w:tr w:rsidR="00F34A2F" w:rsidRPr="00CB5CED" w14:paraId="21EDDC21" w14:textId="77777777" w:rsidTr="007E7E3D">
        <w:tblPrEx>
          <w:tblCellMar>
            <w:top w:w="15" w:type="dxa"/>
            <w:left w:w="15" w:type="dxa"/>
            <w:bottom w:w="15" w:type="dxa"/>
            <w:right w:w="15" w:type="dxa"/>
          </w:tblCellMar>
          <w:tblLook w:val="04A0" w:firstRow="1" w:lastRow="0" w:firstColumn="1" w:lastColumn="0" w:noHBand="0" w:noVBand="1"/>
        </w:tblPrEx>
        <w:tc>
          <w:tcPr>
            <w:tcW w:w="1276" w:type="dxa"/>
            <w:vMerge/>
            <w:vAlign w:val="center"/>
          </w:tcPr>
          <w:p w14:paraId="5B11F521"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5AF5C75B" w14:textId="77777777" w:rsidR="00F34A2F" w:rsidRPr="00CB5CED" w:rsidRDefault="00F34A2F" w:rsidP="007E7E3D">
            <w:pPr>
              <w:rPr>
                <w:rFonts w:ascii="Arial Narrow" w:hAnsi="Arial Narrow" w:cs="Times New Roman"/>
                <w:b/>
                <w:bCs/>
                <w:color w:val="333333"/>
                <w:sz w:val="18"/>
                <w:szCs w:val="18"/>
              </w:rPr>
            </w:pPr>
            <w:r w:rsidRPr="00CB5CED">
              <w:rPr>
                <w:rFonts w:ascii="Arial Narrow" w:eastAsia="Calibri" w:hAnsi="Arial Narrow" w:cs="Calibri"/>
                <w:b/>
                <w:color w:val="000000"/>
                <w:sz w:val="18"/>
                <w:szCs w:val="18"/>
              </w:rPr>
              <w:t xml:space="preserve">Prescriber type:  </w:t>
            </w:r>
            <w:r w:rsidRPr="00CB5CED">
              <w:rPr>
                <w:rFonts w:ascii="Arial Narrow" w:eastAsia="Calibri" w:hAnsi="Arial Narrow" w:cs="Calibri"/>
                <w:color w:val="000000"/>
                <w:sz w:val="18"/>
                <w:szCs w:val="18"/>
              </w:rPr>
              <w:fldChar w:fldCharType="begin">
                <w:ffData>
                  <w:name w:val=""/>
                  <w:enabled/>
                  <w:calcOnExit w:val="0"/>
                  <w:checkBox>
                    <w:sizeAuto/>
                    <w:default w:val="1"/>
                  </w:checkBox>
                </w:ffData>
              </w:fldChar>
            </w:r>
            <w:r w:rsidRPr="00CB5CED">
              <w:rPr>
                <w:rFonts w:ascii="Arial Narrow" w:eastAsia="Calibri" w:hAnsi="Arial Narrow" w:cs="Calibri"/>
                <w:color w:val="000000"/>
                <w:sz w:val="18"/>
                <w:szCs w:val="18"/>
              </w:rPr>
              <w:instrText xml:space="preserve"> FORMCHECKBOX </w:instrText>
            </w:r>
            <w:r w:rsidR="00BA1878">
              <w:rPr>
                <w:rFonts w:ascii="Arial Narrow" w:eastAsia="Calibri" w:hAnsi="Arial Narrow" w:cs="Calibri"/>
                <w:color w:val="000000"/>
                <w:sz w:val="18"/>
                <w:szCs w:val="18"/>
              </w:rPr>
            </w:r>
            <w:r w:rsidR="00BA1878">
              <w:rPr>
                <w:rFonts w:ascii="Arial Narrow" w:eastAsia="Calibri" w:hAnsi="Arial Narrow" w:cs="Calibri"/>
                <w:color w:val="000000"/>
                <w:sz w:val="18"/>
                <w:szCs w:val="18"/>
              </w:rPr>
              <w:fldChar w:fldCharType="separate"/>
            </w:r>
            <w:r w:rsidRPr="00CB5CED">
              <w:rPr>
                <w:rFonts w:ascii="Arial Narrow" w:eastAsia="Calibri" w:hAnsi="Arial Narrow" w:cs="Calibri"/>
                <w:color w:val="000000"/>
                <w:sz w:val="18"/>
                <w:szCs w:val="18"/>
              </w:rPr>
              <w:fldChar w:fldCharType="end"/>
            </w:r>
            <w:r w:rsidRPr="00CB5CED">
              <w:rPr>
                <w:rFonts w:ascii="Arial Narrow" w:eastAsia="Calibri" w:hAnsi="Arial Narrow" w:cs="Calibri"/>
                <w:color w:val="000000"/>
                <w:sz w:val="18"/>
                <w:szCs w:val="18"/>
              </w:rPr>
              <w:t xml:space="preserve">Medical Practitioners  </w:t>
            </w:r>
            <w:r w:rsidRPr="00CB5CED">
              <w:rPr>
                <w:rFonts w:ascii="Arial Narrow" w:eastAsia="Calibri" w:hAnsi="Arial Narrow" w:cs="Calibri"/>
                <w:color w:val="000000"/>
                <w:sz w:val="18"/>
                <w:szCs w:val="18"/>
              </w:rPr>
              <w:fldChar w:fldCharType="begin">
                <w:ffData>
                  <w:name w:val="Check3"/>
                  <w:enabled/>
                  <w:calcOnExit w:val="0"/>
                  <w:checkBox>
                    <w:sizeAuto/>
                    <w:default w:val="1"/>
                  </w:checkBox>
                </w:ffData>
              </w:fldChar>
            </w:r>
            <w:r w:rsidRPr="00CB5CED">
              <w:rPr>
                <w:rFonts w:ascii="Arial Narrow" w:eastAsia="Calibri" w:hAnsi="Arial Narrow" w:cs="Calibri"/>
                <w:color w:val="000000"/>
                <w:sz w:val="18"/>
                <w:szCs w:val="18"/>
              </w:rPr>
              <w:instrText xml:space="preserve"> FORMCHECKBOX </w:instrText>
            </w:r>
            <w:r w:rsidR="00BA1878">
              <w:rPr>
                <w:rFonts w:ascii="Arial Narrow" w:eastAsia="Calibri" w:hAnsi="Arial Narrow" w:cs="Calibri"/>
                <w:color w:val="000000"/>
                <w:sz w:val="18"/>
                <w:szCs w:val="18"/>
              </w:rPr>
            </w:r>
            <w:r w:rsidR="00BA1878">
              <w:rPr>
                <w:rFonts w:ascii="Arial Narrow" w:eastAsia="Calibri" w:hAnsi="Arial Narrow" w:cs="Calibri"/>
                <w:color w:val="000000"/>
                <w:sz w:val="18"/>
                <w:szCs w:val="18"/>
              </w:rPr>
              <w:fldChar w:fldCharType="separate"/>
            </w:r>
            <w:r w:rsidRPr="00CB5CED">
              <w:rPr>
                <w:rFonts w:ascii="Arial Narrow" w:eastAsia="Calibri" w:hAnsi="Arial Narrow" w:cs="Calibri"/>
                <w:color w:val="000000"/>
                <w:sz w:val="18"/>
                <w:szCs w:val="18"/>
              </w:rPr>
              <w:fldChar w:fldCharType="end"/>
            </w:r>
            <w:r w:rsidRPr="00CB5CED">
              <w:rPr>
                <w:rFonts w:ascii="Arial Narrow" w:eastAsia="Calibri" w:hAnsi="Arial Narrow" w:cs="Calibri"/>
                <w:color w:val="000000"/>
                <w:sz w:val="18"/>
                <w:szCs w:val="18"/>
              </w:rPr>
              <w:t xml:space="preserve">Nurse practitioners  </w:t>
            </w:r>
          </w:p>
        </w:tc>
      </w:tr>
      <w:tr w:rsidR="00F34A2F" w:rsidRPr="00CB5CED" w14:paraId="490C69D7" w14:textId="77777777" w:rsidTr="007E7E3D">
        <w:tblPrEx>
          <w:tblCellMar>
            <w:top w:w="15" w:type="dxa"/>
            <w:left w:w="15" w:type="dxa"/>
            <w:bottom w:w="15" w:type="dxa"/>
            <w:right w:w="15" w:type="dxa"/>
          </w:tblCellMar>
          <w:tblLook w:val="04A0" w:firstRow="1" w:lastRow="0" w:firstColumn="1" w:lastColumn="0" w:noHBand="0" w:noVBand="1"/>
        </w:tblPrEx>
        <w:tc>
          <w:tcPr>
            <w:tcW w:w="1276" w:type="dxa"/>
            <w:vMerge/>
            <w:vAlign w:val="center"/>
          </w:tcPr>
          <w:p w14:paraId="3D22B14F"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76F8FCF0" w14:textId="77777777" w:rsidR="00F34A2F" w:rsidRPr="00CB5CED" w:rsidRDefault="00F34A2F" w:rsidP="007E7E3D">
            <w:pPr>
              <w:rPr>
                <w:rFonts w:ascii="Arial Narrow" w:hAnsi="Arial Narrow" w:cs="Times New Roman"/>
                <w:b/>
                <w:bCs/>
                <w:color w:val="333333"/>
                <w:sz w:val="18"/>
                <w:szCs w:val="18"/>
              </w:rPr>
            </w:pPr>
          </w:p>
        </w:tc>
      </w:tr>
      <w:tr w:rsidR="00F34A2F" w:rsidRPr="00CB5CED" w14:paraId="7D63EB56"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7C45313F"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057F3D6B" w14:textId="77777777" w:rsidR="00F34A2F" w:rsidRPr="00997C81" w:rsidRDefault="00F34A2F" w:rsidP="007E7E3D">
            <w:pPr>
              <w:rPr>
                <w:rFonts w:ascii="Arial Narrow" w:hAnsi="Arial Narrow" w:cs="Times New Roman"/>
                <w:b/>
                <w:bCs/>
                <w:i/>
                <w:iCs/>
                <w:color w:val="333333"/>
                <w:sz w:val="18"/>
                <w:szCs w:val="18"/>
              </w:rPr>
            </w:pPr>
            <w:r w:rsidRPr="00CB5CED">
              <w:rPr>
                <w:rFonts w:ascii="Arial Narrow" w:eastAsia="Calibri" w:hAnsi="Arial Narrow" w:cs="Calibri"/>
                <w:b/>
                <w:color w:val="000000"/>
                <w:sz w:val="18"/>
                <w:szCs w:val="18"/>
              </w:rPr>
              <w:t xml:space="preserve">Restriction type: </w:t>
            </w:r>
            <w:r w:rsidRPr="00CB5CED">
              <w:rPr>
                <w:rFonts w:ascii="Arial Narrow" w:eastAsia="Calibri" w:hAnsi="Arial Narrow" w:cs="Calibri"/>
                <w:color w:val="000000"/>
                <w:sz w:val="18"/>
                <w:szCs w:val="18"/>
              </w:rPr>
              <w:fldChar w:fldCharType="begin">
                <w:ffData>
                  <w:name w:val=""/>
                  <w:enabled/>
                  <w:calcOnExit w:val="0"/>
                  <w:checkBox>
                    <w:sizeAuto/>
                    <w:default w:val="1"/>
                  </w:checkBox>
                </w:ffData>
              </w:fldChar>
            </w:r>
            <w:r w:rsidRPr="00CB5CED">
              <w:rPr>
                <w:rFonts w:ascii="Arial Narrow" w:eastAsia="Calibri" w:hAnsi="Arial Narrow" w:cs="Calibri"/>
                <w:color w:val="000000"/>
                <w:sz w:val="18"/>
                <w:szCs w:val="18"/>
              </w:rPr>
              <w:instrText xml:space="preserve"> FORMCHECKBOX </w:instrText>
            </w:r>
            <w:r w:rsidR="00BA1878">
              <w:rPr>
                <w:rFonts w:ascii="Arial Narrow" w:eastAsia="Calibri" w:hAnsi="Arial Narrow" w:cs="Calibri"/>
                <w:color w:val="000000"/>
                <w:sz w:val="18"/>
                <w:szCs w:val="18"/>
              </w:rPr>
            </w:r>
            <w:r w:rsidR="00BA1878">
              <w:rPr>
                <w:rFonts w:ascii="Arial Narrow" w:eastAsia="Calibri" w:hAnsi="Arial Narrow" w:cs="Calibri"/>
                <w:color w:val="000000"/>
                <w:sz w:val="18"/>
                <w:szCs w:val="18"/>
              </w:rPr>
              <w:fldChar w:fldCharType="separate"/>
            </w:r>
            <w:r w:rsidRPr="00CB5CED">
              <w:rPr>
                <w:rFonts w:ascii="Arial Narrow" w:eastAsia="Calibri" w:hAnsi="Arial Narrow" w:cs="Calibri"/>
                <w:color w:val="000000"/>
                <w:sz w:val="18"/>
                <w:szCs w:val="18"/>
              </w:rPr>
              <w:fldChar w:fldCharType="end"/>
            </w:r>
            <w:r w:rsidRPr="00CB5CED">
              <w:rPr>
                <w:rFonts w:ascii="Arial Narrow" w:eastAsia="Calibri" w:hAnsi="Arial Narrow" w:cs="Calibri"/>
                <w:color w:val="000000"/>
                <w:sz w:val="18"/>
                <w:szCs w:val="18"/>
              </w:rPr>
              <w:t xml:space="preserve"> Authority Required </w:t>
            </w:r>
            <w:r w:rsidRPr="00CB5CED">
              <w:rPr>
                <w:rFonts w:ascii="Arial Narrow" w:eastAsia="Calibri" w:hAnsi="Arial Narrow" w:cs="Calibri"/>
                <w:strike/>
                <w:color w:val="000000"/>
                <w:sz w:val="18"/>
                <w:szCs w:val="18"/>
              </w:rPr>
              <w:t>(telephone/online PBS Authorities system)</w:t>
            </w:r>
            <w:r w:rsidRPr="00997C81">
              <w:rPr>
                <w:rFonts w:ascii="Arial Narrow" w:eastAsia="Calibri" w:hAnsi="Arial Narrow" w:cs="Calibri"/>
                <w:i/>
                <w:iCs/>
                <w:color w:val="000000"/>
                <w:sz w:val="18"/>
                <w:szCs w:val="18"/>
              </w:rPr>
              <w:t xml:space="preserve"> (STREAMLINED) [New 2 code]</w:t>
            </w:r>
          </w:p>
        </w:tc>
      </w:tr>
      <w:tr w:rsidR="00F34A2F" w:rsidRPr="00CB5CED" w14:paraId="4E9C5C87"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7D484EA8" w14:textId="77777777" w:rsidR="00F34A2F"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59FE6C28" w14:textId="77777777" w:rsidR="00F34A2F" w:rsidRPr="00C8006E" w:rsidRDefault="00F34A2F" w:rsidP="007E7E3D">
            <w:pPr>
              <w:rPr>
                <w:rFonts w:ascii="Arial Narrow" w:eastAsia="Calibri" w:hAnsi="Arial Narrow" w:cs="Calibri"/>
                <w:b/>
                <w:strike/>
                <w:color w:val="000000"/>
                <w:sz w:val="18"/>
                <w:szCs w:val="18"/>
              </w:rPr>
            </w:pPr>
            <w:r w:rsidRPr="00C8006E">
              <w:rPr>
                <w:rFonts w:ascii="Arial Narrow" w:eastAsia="Calibri" w:hAnsi="Arial Narrow" w:cs="Calibri"/>
                <w:b/>
                <w:strike/>
                <w:color w:val="000000"/>
                <w:sz w:val="18"/>
                <w:szCs w:val="18"/>
              </w:rPr>
              <w:t>Administrative Advice:</w:t>
            </w:r>
          </w:p>
          <w:p w14:paraId="10880E61" w14:textId="77777777" w:rsidR="00F34A2F" w:rsidRPr="00C8006E" w:rsidRDefault="00F34A2F" w:rsidP="007E7E3D">
            <w:pPr>
              <w:rPr>
                <w:rFonts w:ascii="Arial Narrow" w:eastAsia="Calibri" w:hAnsi="Arial Narrow" w:cs="Calibri"/>
                <w:bCs/>
                <w:strike/>
                <w:color w:val="000000"/>
                <w:sz w:val="18"/>
                <w:szCs w:val="18"/>
              </w:rPr>
            </w:pPr>
            <w:r w:rsidRPr="00C8006E">
              <w:rPr>
                <w:rFonts w:ascii="Arial Narrow" w:eastAsia="Calibri" w:hAnsi="Arial Narrow" w:cs="Calibri"/>
                <w:bCs/>
                <w:strike/>
                <w:color w:val="000000"/>
                <w:sz w:val="18"/>
                <w:szCs w:val="18"/>
              </w:rPr>
              <w:t>Applications for authorisation under this restriction may be made in real time using the Online PBS Authorities system (see www.servicesaustralia.gov.au/HPOS) or by telephone by contacting Services Australia on 1800 888 333.</w:t>
            </w:r>
          </w:p>
        </w:tc>
      </w:tr>
      <w:tr w:rsidR="00F34A2F" w:rsidRPr="00CB5CED" w14:paraId="70BBDBBC"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5F969736" w14:textId="77777777" w:rsidR="00F34A2F"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2F33C93C" w14:textId="77777777" w:rsidR="00F34A2F" w:rsidRPr="00C8006E" w:rsidRDefault="00F34A2F" w:rsidP="007E7E3D">
            <w:pPr>
              <w:rPr>
                <w:rFonts w:ascii="Arial Narrow" w:eastAsia="Calibri" w:hAnsi="Arial Narrow" w:cs="Calibri"/>
                <w:b/>
                <w:strike/>
                <w:color w:val="000000"/>
                <w:sz w:val="18"/>
                <w:szCs w:val="18"/>
              </w:rPr>
            </w:pPr>
          </w:p>
        </w:tc>
      </w:tr>
      <w:tr w:rsidR="00F34A2F" w:rsidRPr="00CB5CED" w14:paraId="2502E02B"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71E9AC70"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hideMark/>
          </w:tcPr>
          <w:p w14:paraId="2C892951" w14:textId="77777777" w:rsidR="00F34A2F" w:rsidRPr="00CB5CED" w:rsidRDefault="00F34A2F" w:rsidP="007E7E3D">
            <w:pPr>
              <w:rPr>
                <w:rFonts w:ascii="Arial Narrow" w:hAnsi="Arial Narrow" w:cs="Times New Roman"/>
                <w:color w:val="333333"/>
                <w:sz w:val="18"/>
                <w:szCs w:val="18"/>
              </w:rPr>
            </w:pPr>
            <w:r w:rsidRPr="00CB5CED">
              <w:rPr>
                <w:rFonts w:ascii="Arial Narrow" w:hAnsi="Arial Narrow" w:cs="Times New Roman"/>
                <w:b/>
                <w:bCs/>
                <w:color w:val="333333"/>
                <w:sz w:val="18"/>
                <w:szCs w:val="18"/>
              </w:rPr>
              <w:t>Indication:</w:t>
            </w:r>
            <w:r w:rsidRPr="00CB5CED">
              <w:rPr>
                <w:rFonts w:ascii="Arial Narrow" w:hAnsi="Arial Narrow" w:cs="Times New Roman"/>
                <w:color w:val="333333"/>
                <w:sz w:val="18"/>
                <w:szCs w:val="18"/>
              </w:rPr>
              <w:t xml:space="preserve"> Severe asthma</w:t>
            </w:r>
          </w:p>
        </w:tc>
      </w:tr>
      <w:tr w:rsidR="00F34A2F" w:rsidRPr="00CB5CED" w14:paraId="21B40154"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7A5E9FFE"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tcPr>
          <w:p w14:paraId="1B2CD354" w14:textId="77777777" w:rsidR="00F34A2F" w:rsidRPr="00CB5CED" w:rsidRDefault="00F34A2F" w:rsidP="007E7E3D">
            <w:pPr>
              <w:rPr>
                <w:rFonts w:ascii="Arial Narrow" w:hAnsi="Arial Narrow" w:cs="Times New Roman"/>
                <w:b/>
                <w:bCs/>
                <w:color w:val="333333"/>
                <w:sz w:val="18"/>
                <w:szCs w:val="18"/>
              </w:rPr>
            </w:pPr>
          </w:p>
        </w:tc>
      </w:tr>
      <w:tr w:rsidR="00F34A2F" w:rsidRPr="00CB5CED" w14:paraId="6B4DACC3"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11A3B5C1"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hideMark/>
          </w:tcPr>
          <w:p w14:paraId="50807678" w14:textId="77777777" w:rsidR="00F34A2F" w:rsidRPr="00CB5CED" w:rsidRDefault="00F34A2F" w:rsidP="007E7E3D">
            <w:pPr>
              <w:rPr>
                <w:rFonts w:ascii="Arial Narrow" w:hAnsi="Arial Narrow" w:cs="Times New Roman"/>
                <w:color w:val="333333"/>
                <w:sz w:val="18"/>
                <w:szCs w:val="18"/>
              </w:rPr>
            </w:pPr>
            <w:r w:rsidRPr="00CB5CED">
              <w:rPr>
                <w:rFonts w:ascii="Arial Narrow" w:hAnsi="Arial Narrow" w:cs="Times New Roman"/>
                <w:b/>
                <w:bCs/>
                <w:color w:val="333333"/>
                <w:sz w:val="18"/>
                <w:szCs w:val="18"/>
              </w:rPr>
              <w:t>Clinical criteria:</w:t>
            </w:r>
          </w:p>
        </w:tc>
      </w:tr>
      <w:tr w:rsidR="00F34A2F" w:rsidRPr="00CB5CED" w14:paraId="15D87298"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1DE9A682" w14:textId="77777777" w:rsidR="00F34A2F" w:rsidRPr="00CB5CED" w:rsidRDefault="00F34A2F" w:rsidP="007E7E3D">
            <w:pPr>
              <w:rPr>
                <w:rFonts w:ascii="Arial Narrow" w:hAnsi="Arial Narrow" w:cs="Times New Roman"/>
                <w:color w:val="333333"/>
                <w:sz w:val="18"/>
                <w:szCs w:val="18"/>
              </w:rPr>
            </w:pPr>
          </w:p>
        </w:tc>
        <w:tc>
          <w:tcPr>
            <w:tcW w:w="7938" w:type="dxa"/>
            <w:gridSpan w:val="6"/>
            <w:vAlign w:val="center"/>
            <w:hideMark/>
          </w:tcPr>
          <w:p w14:paraId="27A591D5" w14:textId="77777777" w:rsidR="00F34A2F" w:rsidRPr="00CB5CED" w:rsidRDefault="00F34A2F" w:rsidP="007E7E3D">
            <w:pPr>
              <w:rPr>
                <w:rFonts w:ascii="Arial Narrow" w:hAnsi="Arial Narrow" w:cs="Times New Roman"/>
                <w:i/>
                <w:color w:val="333333"/>
                <w:sz w:val="18"/>
                <w:szCs w:val="18"/>
              </w:rPr>
            </w:pPr>
            <w:r w:rsidRPr="00CB5CED">
              <w:rPr>
                <w:rFonts w:ascii="Arial Narrow" w:hAnsi="Arial Narrow" w:cs="Times New Roman"/>
                <w:strike/>
                <w:color w:val="333333"/>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F34A2F" w:rsidRPr="00CB5CED" w14:paraId="3148C7B5"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2BB0FF5F"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tcPr>
          <w:p w14:paraId="4041A44C" w14:textId="77777777" w:rsidR="00F34A2F" w:rsidRPr="00CB5CED" w:rsidRDefault="00F34A2F" w:rsidP="007E7E3D">
            <w:pPr>
              <w:rPr>
                <w:rFonts w:ascii="Arial Narrow" w:hAnsi="Arial Narrow" w:cs="Times New Roman"/>
                <w:i/>
                <w:color w:val="333333"/>
                <w:sz w:val="18"/>
                <w:szCs w:val="18"/>
              </w:rPr>
            </w:pPr>
            <w:r w:rsidRPr="00CB5CED">
              <w:rPr>
                <w:rFonts w:ascii="Arial Narrow" w:hAnsi="Arial Narrow" w:cs="Times New Roman"/>
                <w:i/>
                <w:color w:val="333333"/>
                <w:sz w:val="18"/>
                <w:szCs w:val="18"/>
              </w:rPr>
              <w:t>Patient must have experienced at least one severe asthma exacerbation in the 12 months prior to</w:t>
            </w:r>
            <w:r>
              <w:rPr>
                <w:rFonts w:ascii="Arial Narrow" w:hAnsi="Arial Narrow" w:cs="Times New Roman"/>
                <w:i/>
                <w:color w:val="333333"/>
                <w:sz w:val="18"/>
                <w:szCs w:val="18"/>
              </w:rPr>
              <w:t xml:space="preserve"> having</w:t>
            </w:r>
            <w:r w:rsidRPr="00CB5CED">
              <w:rPr>
                <w:rFonts w:ascii="Arial Narrow" w:hAnsi="Arial Narrow" w:cs="Times New Roman"/>
                <w:i/>
                <w:color w:val="333333"/>
                <w:sz w:val="18"/>
                <w:szCs w:val="18"/>
              </w:rPr>
              <w:t xml:space="preserve"> first commenc</w:t>
            </w:r>
            <w:r>
              <w:rPr>
                <w:rFonts w:ascii="Arial Narrow" w:hAnsi="Arial Narrow" w:cs="Times New Roman"/>
                <w:i/>
                <w:color w:val="333333"/>
                <w:sz w:val="18"/>
                <w:szCs w:val="18"/>
              </w:rPr>
              <w:t xml:space="preserve">ed </w:t>
            </w:r>
            <w:r w:rsidRPr="00CB5CED">
              <w:rPr>
                <w:rFonts w:ascii="Arial Narrow" w:hAnsi="Arial Narrow" w:cs="Times New Roman"/>
                <w:i/>
                <w:color w:val="333333"/>
                <w:sz w:val="18"/>
                <w:szCs w:val="18"/>
              </w:rPr>
              <w:t>treatment for severe asthma, which required systemic corticosteroid treatment despite each of: (i) receiving optimised asthma therapy, (ii) being assessed for adherence to therapy, (iii) being assessed for correct inhaler technique</w:t>
            </w:r>
          </w:p>
        </w:tc>
      </w:tr>
      <w:bookmarkEnd w:id="60"/>
      <w:tr w:rsidR="00F34A2F" w:rsidRPr="00CB5CED" w14:paraId="0943707E"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50224B43"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hideMark/>
          </w:tcPr>
          <w:p w14:paraId="4EAE2161" w14:textId="77777777" w:rsidR="00F34A2F" w:rsidRPr="00CB5CED" w:rsidRDefault="00F34A2F" w:rsidP="007E7E3D">
            <w:pPr>
              <w:rPr>
                <w:rFonts w:ascii="Arial Narrow" w:hAnsi="Arial Narrow" w:cs="Times New Roman"/>
                <w:strike/>
                <w:color w:val="333333"/>
                <w:sz w:val="18"/>
                <w:szCs w:val="18"/>
              </w:rPr>
            </w:pPr>
            <w:r w:rsidRPr="00CB5CED">
              <w:rPr>
                <w:rFonts w:ascii="Arial Narrow" w:hAnsi="Arial Narrow" w:cs="Times New Roman"/>
                <w:b/>
                <w:bCs/>
                <w:strike/>
                <w:color w:val="333333"/>
                <w:sz w:val="18"/>
                <w:szCs w:val="18"/>
              </w:rPr>
              <w:t>AND</w:t>
            </w:r>
          </w:p>
        </w:tc>
      </w:tr>
      <w:tr w:rsidR="00F34A2F" w:rsidRPr="00CB5CED" w14:paraId="1A525866"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7B3F349D"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hideMark/>
          </w:tcPr>
          <w:p w14:paraId="42D256A2" w14:textId="77777777" w:rsidR="00F34A2F" w:rsidRPr="00CB5CED" w:rsidRDefault="00F34A2F" w:rsidP="007E7E3D">
            <w:pPr>
              <w:rPr>
                <w:rFonts w:ascii="Arial Narrow" w:hAnsi="Arial Narrow" w:cs="Times New Roman"/>
                <w:color w:val="333333"/>
                <w:sz w:val="18"/>
                <w:szCs w:val="18"/>
              </w:rPr>
            </w:pPr>
            <w:r w:rsidRPr="00CB5CED">
              <w:rPr>
                <w:rFonts w:ascii="Arial Narrow" w:hAnsi="Arial Narrow" w:cs="Times New Roman"/>
                <w:b/>
                <w:bCs/>
                <w:color w:val="333333"/>
                <w:sz w:val="18"/>
                <w:szCs w:val="18"/>
              </w:rPr>
              <w:t>Population criteria:</w:t>
            </w:r>
          </w:p>
        </w:tc>
      </w:tr>
      <w:tr w:rsidR="00F34A2F" w:rsidRPr="00CB5CED" w14:paraId="769C0C06"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641608D6"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hideMark/>
          </w:tcPr>
          <w:p w14:paraId="3C5DD408" w14:textId="77777777" w:rsidR="00F34A2F" w:rsidRPr="00CB5CED" w:rsidRDefault="00F34A2F" w:rsidP="007E7E3D">
            <w:pPr>
              <w:rPr>
                <w:rFonts w:ascii="Arial Narrow" w:hAnsi="Arial Narrow" w:cs="Times New Roman"/>
                <w:color w:val="333333"/>
                <w:sz w:val="18"/>
                <w:szCs w:val="18"/>
              </w:rPr>
            </w:pPr>
            <w:r w:rsidRPr="00CB5CED">
              <w:rPr>
                <w:rFonts w:ascii="Arial Narrow" w:hAnsi="Arial Narrow" w:cs="Times New Roman"/>
                <w:color w:val="333333"/>
                <w:sz w:val="18"/>
                <w:szCs w:val="18"/>
              </w:rPr>
              <w:t>Patient must be aged 18 years or older</w:t>
            </w:r>
          </w:p>
        </w:tc>
      </w:tr>
      <w:tr w:rsidR="00F34A2F" w:rsidRPr="00CB5CED" w14:paraId="05F6EA6E"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5B862934"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tcPr>
          <w:p w14:paraId="44E7A6CD" w14:textId="77777777" w:rsidR="00F34A2F" w:rsidRPr="00CB5CED" w:rsidRDefault="00F34A2F" w:rsidP="007E7E3D">
            <w:pPr>
              <w:rPr>
                <w:rFonts w:ascii="Arial Narrow" w:hAnsi="Arial Narrow" w:cs="Times New Roman"/>
                <w:color w:val="333333"/>
                <w:sz w:val="18"/>
                <w:szCs w:val="18"/>
              </w:rPr>
            </w:pPr>
          </w:p>
        </w:tc>
      </w:tr>
      <w:tr w:rsidR="00F34A2F" w:rsidRPr="00CB5CED" w14:paraId="03F332D4"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6C8C3D46"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hideMark/>
          </w:tcPr>
          <w:p w14:paraId="5B1792ED" w14:textId="77777777" w:rsidR="00F34A2F" w:rsidRPr="00CB5CED" w:rsidRDefault="00F34A2F" w:rsidP="007E7E3D">
            <w:pPr>
              <w:rPr>
                <w:rFonts w:ascii="Arial Narrow" w:hAnsi="Arial Narrow" w:cs="Times New Roman"/>
                <w:color w:val="333333"/>
                <w:sz w:val="18"/>
                <w:szCs w:val="18"/>
              </w:rPr>
            </w:pPr>
            <w:r w:rsidRPr="00CB5CED">
              <w:rPr>
                <w:rFonts w:ascii="Arial Narrow" w:hAnsi="Arial Narrow" w:cs="Times New Roman"/>
                <w:b/>
                <w:bCs/>
                <w:color w:val="333333"/>
                <w:sz w:val="18"/>
                <w:szCs w:val="18"/>
              </w:rPr>
              <w:t>Prescribing Instructions:</w:t>
            </w:r>
          </w:p>
          <w:p w14:paraId="326C688A" w14:textId="77777777" w:rsidR="00F34A2F" w:rsidRPr="00CB5CED" w:rsidRDefault="00F34A2F" w:rsidP="007E7E3D">
            <w:pPr>
              <w:rPr>
                <w:rFonts w:ascii="Arial Narrow" w:hAnsi="Arial Narrow" w:cs="Times New Roman"/>
                <w:color w:val="333333"/>
                <w:sz w:val="18"/>
                <w:szCs w:val="18"/>
              </w:rPr>
            </w:pPr>
            <w:r w:rsidRPr="00CB5CED">
              <w:rPr>
                <w:rFonts w:ascii="Arial Narrow" w:hAnsi="Arial Narrow" w:cs="Times New Roman"/>
                <w:color w:val="333333"/>
                <w:sz w:val="18"/>
                <w:szCs w:val="18"/>
              </w:rPr>
              <w:t>Optimised asthma therapy includes adherence to the maintenance combination of an inhaled corticosteroid (at least 800 micrograms budesonide per day or equivalent) and a long acting beta-2 agonist.</w:t>
            </w:r>
          </w:p>
        </w:tc>
      </w:tr>
      <w:tr w:rsidR="00F34A2F" w:rsidRPr="00CB5CED" w14:paraId="13AD7497" w14:textId="77777777" w:rsidTr="007E7E3D">
        <w:tblPrEx>
          <w:tblCellMar>
            <w:top w:w="15" w:type="dxa"/>
            <w:left w:w="15" w:type="dxa"/>
            <w:bottom w:w="15" w:type="dxa"/>
            <w:right w:w="15" w:type="dxa"/>
          </w:tblCellMar>
          <w:tblLook w:val="04A0" w:firstRow="1" w:lastRow="0" w:firstColumn="1" w:lastColumn="0" w:noHBand="0" w:noVBand="1"/>
        </w:tblPrEx>
        <w:tc>
          <w:tcPr>
            <w:tcW w:w="1276" w:type="dxa"/>
            <w:vAlign w:val="center"/>
          </w:tcPr>
          <w:p w14:paraId="23F1A770" w14:textId="77777777" w:rsidR="00F34A2F" w:rsidRPr="00CB5CED" w:rsidRDefault="00F34A2F" w:rsidP="007E7E3D">
            <w:pPr>
              <w:jc w:val="center"/>
              <w:rPr>
                <w:rFonts w:ascii="Arial Narrow" w:hAnsi="Arial Narrow" w:cs="Times New Roman"/>
                <w:color w:val="333333"/>
                <w:sz w:val="18"/>
                <w:szCs w:val="18"/>
              </w:rPr>
            </w:pPr>
          </w:p>
        </w:tc>
        <w:tc>
          <w:tcPr>
            <w:tcW w:w="7938" w:type="dxa"/>
            <w:gridSpan w:val="6"/>
            <w:vAlign w:val="center"/>
          </w:tcPr>
          <w:p w14:paraId="08B144EA" w14:textId="77777777" w:rsidR="00F34A2F" w:rsidRPr="00CB5CED" w:rsidRDefault="00F34A2F" w:rsidP="007E7E3D">
            <w:pPr>
              <w:rPr>
                <w:rFonts w:ascii="Arial Narrow" w:hAnsi="Arial Narrow" w:cs="Times New Roman"/>
                <w:i/>
                <w:color w:val="333333"/>
                <w:sz w:val="18"/>
                <w:szCs w:val="18"/>
              </w:rPr>
            </w:pPr>
          </w:p>
        </w:tc>
      </w:tr>
      <w:tr w:rsidR="00F34A2F" w:rsidRPr="00C8006E" w14:paraId="31652B7B"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E8573"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22FEB"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Formal assessment and correction of inhaler technique should be performed in accordance with the National Asthma Council (NAC) Information Paper for Health Professionals on Inhaler Technique (available at www.nationalasthma.org.au); the assessment and adherence to correct technique should be documented in the patient's medical records. Patients can obtain support with inhaler technique through their local Asthma Foundation (1800 645 130).</w:t>
            </w:r>
          </w:p>
        </w:tc>
      </w:tr>
      <w:tr w:rsidR="00F34A2F" w:rsidRPr="00C8006E" w14:paraId="26ACEF55"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41DF22"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19DFD6"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This drug is not PBS-subsidised for the treatment of chronic obstructive pulmonary disease (COPD).</w:t>
            </w:r>
          </w:p>
        </w:tc>
      </w:tr>
      <w:tr w:rsidR="00F34A2F" w:rsidRPr="00C8006E" w14:paraId="73BC6E89"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665A82"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AB03C5"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This product is not indicated for the initiation of treatment in asthma</w:t>
            </w:r>
          </w:p>
        </w:tc>
      </w:tr>
      <w:tr w:rsidR="00F34A2F" w:rsidRPr="00C8006E" w14:paraId="72CAC635"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E97309"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EEDE15"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The treatment must not be used in combination with an ICS/LABA, LABA/LAMA or LAMA, LABA or ICS monotherapy.</w:t>
            </w:r>
          </w:p>
        </w:tc>
      </w:tr>
      <w:tr w:rsidR="00F34A2F" w:rsidRPr="00C8006E" w14:paraId="0897FF6D"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22E5C0"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D4D264"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A LAMA includes tiotropium, glycopyrronium, aclidinium or umeclidinium.</w:t>
            </w:r>
          </w:p>
        </w:tc>
      </w:tr>
      <w:tr w:rsidR="00F34A2F" w:rsidRPr="00C8006E" w14:paraId="40738BD5"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2EBBCF"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E7CB6A"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A LABA includes olodaterol, indacaterol, salmeterol, formoterol or vilanterol.</w:t>
            </w:r>
          </w:p>
        </w:tc>
      </w:tr>
      <w:tr w:rsidR="00F34A2F" w:rsidRPr="00C8006E" w14:paraId="6B0282D6" w14:textId="77777777" w:rsidTr="007E7E3D">
        <w:tblPrEx>
          <w:tblCellMar>
            <w:top w:w="15" w:type="dxa"/>
            <w:left w:w="15" w:type="dxa"/>
            <w:bottom w:w="15" w:type="dxa"/>
            <w:right w:w="15" w:type="dxa"/>
          </w:tblCellMar>
          <w:tblLook w:val="04A0" w:firstRow="1" w:lastRow="0" w:firstColumn="1" w:lastColumn="0" w:noHBand="0" w:noVBand="1"/>
        </w:tblPrEx>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83AA1" w14:textId="77777777" w:rsidR="00F34A2F" w:rsidRPr="00C8006E" w:rsidRDefault="00F34A2F" w:rsidP="007E7E3D">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7DFA92" w14:textId="77777777" w:rsidR="00F34A2F" w:rsidRPr="00C8006E" w:rsidRDefault="00F34A2F" w:rsidP="007E7E3D">
            <w:pPr>
              <w:rPr>
                <w:rFonts w:ascii="Arial Narrow" w:hAnsi="Arial Narrow" w:cs="Times New Roman"/>
                <w:b/>
                <w:bCs/>
                <w:color w:val="333333"/>
                <w:sz w:val="18"/>
                <w:szCs w:val="18"/>
              </w:rPr>
            </w:pPr>
            <w:r w:rsidRPr="00C8006E">
              <w:rPr>
                <w:rFonts w:ascii="Arial Narrow" w:hAnsi="Arial Narrow" w:cs="Times New Roman"/>
                <w:b/>
                <w:bCs/>
                <w:color w:val="333333"/>
                <w:sz w:val="18"/>
                <w:szCs w:val="18"/>
              </w:rPr>
              <w:t>Administrative Advice:</w:t>
            </w:r>
            <w:r>
              <w:rPr>
                <w:rFonts w:ascii="Arial Narrow" w:hAnsi="Arial Narrow" w:cs="Times New Roman"/>
                <w:b/>
                <w:bCs/>
                <w:color w:val="333333"/>
                <w:sz w:val="18"/>
                <w:szCs w:val="18"/>
              </w:rPr>
              <w:t xml:space="preserve">  </w:t>
            </w:r>
            <w:r w:rsidRPr="00C8006E">
              <w:rPr>
                <w:rFonts w:ascii="Arial Narrow" w:hAnsi="Arial Narrow" w:cs="Times New Roman"/>
                <w:color w:val="333333"/>
                <w:sz w:val="18"/>
                <w:szCs w:val="18"/>
              </w:rPr>
              <w:t>An ICS includes fluticasone propionate, fluticasone furoate, budesonide, beclometasone or ciclesonide.</w:t>
            </w:r>
          </w:p>
        </w:tc>
      </w:tr>
    </w:tbl>
    <w:p w14:paraId="5A6236BD" w14:textId="77777777" w:rsidR="000538F4" w:rsidRDefault="000538F4" w:rsidP="000538F4">
      <w:pPr>
        <w:pStyle w:val="3-BodyText"/>
        <w:numPr>
          <w:ilvl w:val="0"/>
          <w:numId w:val="0"/>
        </w:numPr>
        <w:ind w:left="720" w:hanging="720"/>
      </w:pPr>
    </w:p>
    <w:p w14:paraId="04DAD930" w14:textId="77777777" w:rsidR="000538F4" w:rsidRDefault="000538F4" w:rsidP="00870ECF">
      <w:pPr>
        <w:pStyle w:val="3-BodyText"/>
        <w:numPr>
          <w:ilvl w:val="0"/>
          <w:numId w:val="0"/>
        </w:numPr>
        <w:ind w:left="720"/>
      </w:pPr>
      <w:r>
        <w:t>Update the first clinical criterion in tiotropium’s severe asthma listing to match the above updates</w:t>
      </w:r>
      <w:r w:rsidR="009554F5">
        <w:t xml:space="preserve">, for the reason outlined at paragraph 3.4, </w:t>
      </w:r>
      <w:r>
        <w:t>as follows (</w:t>
      </w:r>
      <w:r w:rsidR="009554F5">
        <w:t xml:space="preserve">only </w:t>
      </w:r>
      <w:r>
        <w:t>relevant section shown</w:t>
      </w:r>
      <w:r w:rsidR="009554F5">
        <w:t>)</w:t>
      </w:r>
      <w: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2"/>
        <w:gridCol w:w="1134"/>
        <w:gridCol w:w="992"/>
        <w:gridCol w:w="850"/>
        <w:gridCol w:w="851"/>
        <w:gridCol w:w="1559"/>
      </w:tblGrid>
      <w:tr w:rsidR="000538F4" w:rsidRPr="00CB5CED" w14:paraId="7CF7C26E" w14:textId="77777777" w:rsidTr="009554F5">
        <w:trPr>
          <w:cantSplit/>
          <w:trHeight w:val="471"/>
        </w:trPr>
        <w:tc>
          <w:tcPr>
            <w:tcW w:w="3828" w:type="dxa"/>
            <w:gridSpan w:val="2"/>
          </w:tcPr>
          <w:p w14:paraId="5ACAC8D3" w14:textId="77777777" w:rsidR="000538F4" w:rsidRPr="00CB5CED" w:rsidRDefault="000538F4" w:rsidP="000538F4">
            <w:pPr>
              <w:keepNext/>
              <w:ind w:left="-57"/>
              <w:rPr>
                <w:rFonts w:ascii="Arial Narrow" w:eastAsia="Calibri" w:hAnsi="Arial Narrow"/>
                <w:b/>
                <w:bCs/>
                <w:sz w:val="18"/>
                <w:szCs w:val="18"/>
              </w:rPr>
            </w:pPr>
            <w:r w:rsidRPr="00CB5CED">
              <w:rPr>
                <w:rFonts w:ascii="Arial Narrow" w:eastAsia="Calibri" w:hAnsi="Arial Narrow"/>
                <w:b/>
                <w:bCs/>
                <w:sz w:val="18"/>
                <w:szCs w:val="18"/>
              </w:rPr>
              <w:t>MEDICINAL PRODUCT</w:t>
            </w:r>
          </w:p>
          <w:p w14:paraId="30871DF2" w14:textId="77777777" w:rsidR="000538F4" w:rsidRPr="00CB5CED" w:rsidRDefault="000538F4" w:rsidP="000538F4">
            <w:pPr>
              <w:keepNext/>
              <w:ind w:left="-57"/>
              <w:rPr>
                <w:rFonts w:ascii="Arial Narrow" w:eastAsia="Calibri" w:hAnsi="Arial Narrow"/>
                <w:b/>
                <w:sz w:val="18"/>
                <w:szCs w:val="18"/>
              </w:rPr>
            </w:pPr>
            <w:r w:rsidRPr="00CB5CED">
              <w:rPr>
                <w:rFonts w:ascii="Arial Narrow" w:eastAsia="Calibri" w:hAnsi="Arial Narrow"/>
                <w:b/>
                <w:bCs/>
                <w:sz w:val="18"/>
                <w:szCs w:val="18"/>
              </w:rPr>
              <w:t>medicinal product pack</w:t>
            </w:r>
          </w:p>
        </w:tc>
        <w:tc>
          <w:tcPr>
            <w:tcW w:w="1134" w:type="dxa"/>
          </w:tcPr>
          <w:p w14:paraId="4A9497D8" w14:textId="77777777" w:rsidR="000538F4" w:rsidRPr="00CB5CED" w:rsidRDefault="000538F4" w:rsidP="000538F4">
            <w:pPr>
              <w:keepNext/>
              <w:ind w:left="-108"/>
              <w:jc w:val="center"/>
              <w:rPr>
                <w:rFonts w:ascii="Arial Narrow" w:eastAsia="Calibri" w:hAnsi="Arial Narrow"/>
                <w:b/>
                <w:sz w:val="18"/>
                <w:szCs w:val="18"/>
              </w:rPr>
            </w:pPr>
            <w:r w:rsidRPr="00CB5CED">
              <w:rPr>
                <w:rFonts w:ascii="Arial Narrow" w:eastAsia="Calibri" w:hAnsi="Arial Narrow"/>
                <w:b/>
                <w:sz w:val="18"/>
                <w:szCs w:val="18"/>
              </w:rPr>
              <w:t>PBS item code</w:t>
            </w:r>
          </w:p>
        </w:tc>
        <w:tc>
          <w:tcPr>
            <w:tcW w:w="992" w:type="dxa"/>
          </w:tcPr>
          <w:p w14:paraId="41920585" w14:textId="77777777" w:rsidR="000538F4" w:rsidRPr="00CB5CED" w:rsidRDefault="000538F4" w:rsidP="000538F4">
            <w:pPr>
              <w:keepNext/>
              <w:ind w:left="-108"/>
              <w:jc w:val="center"/>
              <w:rPr>
                <w:rFonts w:ascii="Arial Narrow" w:eastAsia="Calibri" w:hAnsi="Arial Narrow"/>
                <w:b/>
                <w:sz w:val="18"/>
                <w:szCs w:val="18"/>
              </w:rPr>
            </w:pPr>
            <w:r w:rsidRPr="00CB5CED">
              <w:rPr>
                <w:rFonts w:ascii="Arial Narrow" w:eastAsia="Calibri" w:hAnsi="Arial Narrow"/>
                <w:b/>
                <w:sz w:val="18"/>
                <w:szCs w:val="18"/>
              </w:rPr>
              <w:t>Max. qty packs</w:t>
            </w:r>
          </w:p>
        </w:tc>
        <w:tc>
          <w:tcPr>
            <w:tcW w:w="850" w:type="dxa"/>
          </w:tcPr>
          <w:p w14:paraId="19EAA72B" w14:textId="77777777" w:rsidR="000538F4" w:rsidRPr="00CB5CED" w:rsidRDefault="000538F4" w:rsidP="000538F4">
            <w:pPr>
              <w:keepNext/>
              <w:ind w:left="-108"/>
              <w:jc w:val="center"/>
              <w:rPr>
                <w:rFonts w:ascii="Arial Narrow" w:eastAsia="Calibri" w:hAnsi="Arial Narrow"/>
                <w:b/>
                <w:sz w:val="18"/>
                <w:szCs w:val="18"/>
              </w:rPr>
            </w:pPr>
            <w:r w:rsidRPr="00CB5CED">
              <w:rPr>
                <w:rFonts w:ascii="Arial Narrow" w:eastAsia="Calibri" w:hAnsi="Arial Narrow"/>
                <w:b/>
                <w:sz w:val="18"/>
                <w:szCs w:val="18"/>
              </w:rPr>
              <w:t>Max. qty units</w:t>
            </w:r>
          </w:p>
        </w:tc>
        <w:tc>
          <w:tcPr>
            <w:tcW w:w="851" w:type="dxa"/>
          </w:tcPr>
          <w:p w14:paraId="5A1BED05" w14:textId="77777777" w:rsidR="000538F4" w:rsidRPr="00CB5CED" w:rsidRDefault="000538F4" w:rsidP="000538F4">
            <w:pPr>
              <w:keepNext/>
              <w:ind w:left="-108"/>
              <w:jc w:val="center"/>
              <w:rPr>
                <w:rFonts w:ascii="Arial Narrow" w:eastAsia="Calibri" w:hAnsi="Arial Narrow"/>
                <w:b/>
                <w:sz w:val="18"/>
                <w:szCs w:val="18"/>
              </w:rPr>
            </w:pPr>
            <w:r w:rsidRPr="00CB5CED">
              <w:rPr>
                <w:rFonts w:ascii="Arial Narrow" w:eastAsia="Calibri" w:hAnsi="Arial Narrow"/>
                <w:b/>
                <w:sz w:val="18"/>
                <w:szCs w:val="18"/>
              </w:rPr>
              <w:t>№.of</w:t>
            </w:r>
          </w:p>
          <w:p w14:paraId="7C60AED5" w14:textId="77777777" w:rsidR="000538F4" w:rsidRPr="00CB5CED" w:rsidRDefault="000538F4" w:rsidP="000538F4">
            <w:pPr>
              <w:keepNext/>
              <w:ind w:left="-108"/>
              <w:jc w:val="center"/>
              <w:rPr>
                <w:rFonts w:ascii="Arial Narrow" w:eastAsia="Calibri" w:hAnsi="Arial Narrow"/>
                <w:b/>
                <w:sz w:val="18"/>
                <w:szCs w:val="18"/>
              </w:rPr>
            </w:pPr>
            <w:r w:rsidRPr="00CB5CED">
              <w:rPr>
                <w:rFonts w:ascii="Arial Narrow" w:eastAsia="Calibri" w:hAnsi="Arial Narrow"/>
                <w:b/>
                <w:sz w:val="18"/>
                <w:szCs w:val="18"/>
              </w:rPr>
              <w:t>Rpts</w:t>
            </w:r>
          </w:p>
        </w:tc>
        <w:tc>
          <w:tcPr>
            <w:tcW w:w="1559" w:type="dxa"/>
          </w:tcPr>
          <w:p w14:paraId="24200F4D" w14:textId="77777777" w:rsidR="000538F4" w:rsidRPr="00CB5CED" w:rsidRDefault="000538F4" w:rsidP="000538F4">
            <w:pPr>
              <w:keepNext/>
              <w:rPr>
                <w:rFonts w:ascii="Arial Narrow" w:eastAsia="Calibri" w:hAnsi="Arial Narrow"/>
                <w:b/>
                <w:sz w:val="18"/>
                <w:szCs w:val="18"/>
                <w:lang w:val="fr-FR"/>
              </w:rPr>
            </w:pPr>
            <w:r w:rsidRPr="00CB5CED">
              <w:rPr>
                <w:rFonts w:ascii="Arial Narrow" w:eastAsia="Calibri" w:hAnsi="Arial Narrow"/>
                <w:b/>
                <w:sz w:val="18"/>
                <w:szCs w:val="18"/>
              </w:rPr>
              <w:t>Available brands</w:t>
            </w:r>
          </w:p>
        </w:tc>
      </w:tr>
      <w:tr w:rsidR="000538F4" w:rsidRPr="00CB5CED" w14:paraId="18634414" w14:textId="77777777" w:rsidTr="000538F4">
        <w:trPr>
          <w:cantSplit/>
          <w:trHeight w:val="351"/>
        </w:trPr>
        <w:tc>
          <w:tcPr>
            <w:tcW w:w="9214" w:type="dxa"/>
            <w:gridSpan w:val="7"/>
          </w:tcPr>
          <w:p w14:paraId="47EADE69" w14:textId="77777777" w:rsidR="000538F4" w:rsidRPr="00CB5CED" w:rsidRDefault="000538F4" w:rsidP="000538F4">
            <w:pPr>
              <w:keepNext/>
              <w:ind w:left="-57"/>
              <w:rPr>
                <w:rFonts w:ascii="Arial Narrow" w:eastAsia="Calibri" w:hAnsi="Arial Narrow"/>
                <w:sz w:val="18"/>
                <w:szCs w:val="18"/>
              </w:rPr>
            </w:pPr>
            <w:r>
              <w:rPr>
                <w:rFonts w:ascii="Arial Narrow" w:eastAsia="Calibri" w:hAnsi="Arial Narrow"/>
                <w:sz w:val="18"/>
                <w:szCs w:val="18"/>
              </w:rPr>
              <w:t>TIOTROPIUM</w:t>
            </w:r>
          </w:p>
        </w:tc>
      </w:tr>
      <w:tr w:rsidR="000538F4" w:rsidRPr="00CB5CED" w14:paraId="6C7A3AA9" w14:textId="77777777" w:rsidTr="009554F5">
        <w:trPr>
          <w:cantSplit/>
          <w:trHeight w:val="456"/>
        </w:trPr>
        <w:tc>
          <w:tcPr>
            <w:tcW w:w="3828" w:type="dxa"/>
            <w:gridSpan w:val="2"/>
          </w:tcPr>
          <w:p w14:paraId="33377641" w14:textId="77777777" w:rsidR="000538F4" w:rsidRPr="00CB5CED" w:rsidRDefault="000538F4" w:rsidP="000538F4">
            <w:pPr>
              <w:keepNext/>
              <w:rPr>
                <w:rFonts w:ascii="Arial Narrow" w:eastAsia="Calibri" w:hAnsi="Arial Narrow"/>
                <w:sz w:val="18"/>
                <w:szCs w:val="18"/>
              </w:rPr>
            </w:pPr>
            <w:r w:rsidRPr="000538F4">
              <w:rPr>
                <w:rFonts w:ascii="Arial Narrow" w:eastAsia="Calibri" w:hAnsi="Arial Narrow"/>
                <w:sz w:val="18"/>
                <w:szCs w:val="18"/>
              </w:rPr>
              <w:t>tiotropium 2.5 microgram/actuation inhalation solution, 60 actuations</w:t>
            </w:r>
          </w:p>
        </w:tc>
        <w:tc>
          <w:tcPr>
            <w:tcW w:w="1134" w:type="dxa"/>
          </w:tcPr>
          <w:p w14:paraId="71C05DEC" w14:textId="77777777" w:rsidR="000538F4" w:rsidRPr="00CB5CED" w:rsidRDefault="000538F4" w:rsidP="000538F4">
            <w:pPr>
              <w:keepNext/>
              <w:jc w:val="center"/>
              <w:rPr>
                <w:rFonts w:ascii="Arial Narrow" w:eastAsia="Calibri" w:hAnsi="Arial Narrow"/>
                <w:sz w:val="18"/>
                <w:szCs w:val="18"/>
              </w:rPr>
            </w:pPr>
            <w:r w:rsidRPr="000538F4">
              <w:rPr>
                <w:rFonts w:ascii="Arial Narrow" w:eastAsia="Calibri" w:hAnsi="Arial Narrow"/>
                <w:sz w:val="18"/>
                <w:szCs w:val="18"/>
              </w:rPr>
              <w:t>11043F</w:t>
            </w:r>
          </w:p>
        </w:tc>
        <w:tc>
          <w:tcPr>
            <w:tcW w:w="992" w:type="dxa"/>
          </w:tcPr>
          <w:p w14:paraId="7BE01D6B" w14:textId="77777777" w:rsidR="000538F4" w:rsidRPr="00CB5CED" w:rsidRDefault="000538F4" w:rsidP="000538F4">
            <w:pPr>
              <w:keepNext/>
              <w:jc w:val="center"/>
              <w:rPr>
                <w:rFonts w:ascii="Arial Narrow" w:eastAsia="Calibri" w:hAnsi="Arial Narrow"/>
                <w:sz w:val="18"/>
                <w:szCs w:val="18"/>
              </w:rPr>
            </w:pPr>
            <w:r w:rsidRPr="00CB5CED">
              <w:rPr>
                <w:rFonts w:ascii="Arial Narrow" w:eastAsia="Calibri" w:hAnsi="Arial Narrow"/>
                <w:sz w:val="18"/>
                <w:szCs w:val="18"/>
              </w:rPr>
              <w:t>1</w:t>
            </w:r>
          </w:p>
        </w:tc>
        <w:tc>
          <w:tcPr>
            <w:tcW w:w="850" w:type="dxa"/>
          </w:tcPr>
          <w:p w14:paraId="5FD58748" w14:textId="77777777" w:rsidR="000538F4" w:rsidRPr="00CB5CED" w:rsidRDefault="000538F4" w:rsidP="000538F4">
            <w:pPr>
              <w:keepNext/>
              <w:jc w:val="center"/>
              <w:rPr>
                <w:rFonts w:ascii="Arial Narrow" w:eastAsia="Calibri" w:hAnsi="Arial Narrow"/>
                <w:sz w:val="18"/>
                <w:szCs w:val="18"/>
              </w:rPr>
            </w:pPr>
            <w:r>
              <w:rPr>
                <w:rFonts w:ascii="Arial Narrow" w:eastAsia="Calibri" w:hAnsi="Arial Narrow"/>
                <w:sz w:val="18"/>
                <w:szCs w:val="18"/>
              </w:rPr>
              <w:t>1</w:t>
            </w:r>
          </w:p>
        </w:tc>
        <w:tc>
          <w:tcPr>
            <w:tcW w:w="851" w:type="dxa"/>
          </w:tcPr>
          <w:p w14:paraId="1DB3C746" w14:textId="77777777" w:rsidR="000538F4" w:rsidRPr="00CB5CED" w:rsidRDefault="000538F4" w:rsidP="000538F4">
            <w:pPr>
              <w:keepNext/>
              <w:jc w:val="center"/>
              <w:rPr>
                <w:rFonts w:ascii="Arial Narrow" w:eastAsia="Calibri" w:hAnsi="Arial Narrow"/>
                <w:sz w:val="18"/>
                <w:szCs w:val="18"/>
              </w:rPr>
            </w:pPr>
            <w:r w:rsidRPr="00CB5CED">
              <w:rPr>
                <w:rFonts w:ascii="Arial Narrow" w:eastAsia="Calibri" w:hAnsi="Arial Narrow"/>
                <w:sz w:val="18"/>
                <w:szCs w:val="18"/>
              </w:rPr>
              <w:t>5</w:t>
            </w:r>
          </w:p>
        </w:tc>
        <w:tc>
          <w:tcPr>
            <w:tcW w:w="1559" w:type="dxa"/>
          </w:tcPr>
          <w:p w14:paraId="14F09469" w14:textId="77777777" w:rsidR="000538F4" w:rsidRPr="00CB5CED" w:rsidRDefault="000538F4" w:rsidP="000538F4">
            <w:pPr>
              <w:keepNext/>
              <w:rPr>
                <w:rFonts w:ascii="Arial Narrow" w:eastAsia="Calibri" w:hAnsi="Arial Narrow"/>
                <w:sz w:val="18"/>
                <w:szCs w:val="18"/>
              </w:rPr>
            </w:pPr>
            <w:r>
              <w:rPr>
                <w:rFonts w:ascii="Arial Narrow" w:eastAsia="Calibri" w:hAnsi="Arial Narrow"/>
                <w:sz w:val="18"/>
                <w:szCs w:val="18"/>
              </w:rPr>
              <w:t>Spiriva Respimat</w:t>
            </w:r>
            <w:r w:rsidRPr="00CB5CED">
              <w:rPr>
                <w:rFonts w:ascii="Arial Narrow" w:eastAsia="Calibri" w:hAnsi="Arial Narrow"/>
                <w:sz w:val="18"/>
                <w:szCs w:val="18"/>
              </w:rPr>
              <w:t xml:space="preserve"> </w:t>
            </w:r>
          </w:p>
        </w:tc>
      </w:tr>
      <w:tr w:rsidR="000538F4" w:rsidRPr="00CB5CED" w14:paraId="565F596F" w14:textId="77777777" w:rsidTr="000538F4">
        <w:tblPrEx>
          <w:tblCellMar>
            <w:top w:w="15" w:type="dxa"/>
            <w:left w:w="15" w:type="dxa"/>
            <w:bottom w:w="15" w:type="dxa"/>
            <w:right w:w="15" w:type="dxa"/>
          </w:tblCellMar>
          <w:tblLook w:val="04A0" w:firstRow="1" w:lastRow="0" w:firstColumn="1" w:lastColumn="0" w:noHBand="0" w:noVBand="1"/>
        </w:tblPrEx>
        <w:tc>
          <w:tcPr>
            <w:tcW w:w="9214" w:type="dxa"/>
            <w:gridSpan w:val="7"/>
            <w:vAlign w:val="center"/>
          </w:tcPr>
          <w:p w14:paraId="28296047" w14:textId="77777777" w:rsidR="000538F4" w:rsidRPr="00CB5CED" w:rsidRDefault="000538F4" w:rsidP="000538F4">
            <w:pPr>
              <w:rPr>
                <w:rFonts w:ascii="Arial Narrow" w:hAnsi="Arial Narrow" w:cs="Times New Roman"/>
                <w:b/>
                <w:bCs/>
                <w:color w:val="333333"/>
                <w:sz w:val="18"/>
                <w:szCs w:val="18"/>
                <w:lang w:val="en-GB"/>
              </w:rPr>
            </w:pPr>
          </w:p>
        </w:tc>
      </w:tr>
      <w:tr w:rsidR="000538F4" w:rsidRPr="00CB5CED" w14:paraId="754C8130" w14:textId="77777777" w:rsidTr="000538F4">
        <w:tblPrEx>
          <w:tblCellMar>
            <w:top w:w="15" w:type="dxa"/>
            <w:left w:w="15" w:type="dxa"/>
            <w:bottom w:w="15" w:type="dxa"/>
            <w:right w:w="15" w:type="dxa"/>
          </w:tblCellMar>
          <w:tblLook w:val="04A0" w:firstRow="1" w:lastRow="0" w:firstColumn="1" w:lastColumn="0" w:noHBand="0" w:noVBand="1"/>
        </w:tblPrEx>
        <w:tc>
          <w:tcPr>
            <w:tcW w:w="9214" w:type="dxa"/>
            <w:gridSpan w:val="7"/>
            <w:vAlign w:val="center"/>
          </w:tcPr>
          <w:p w14:paraId="22F6E8C5" w14:textId="77777777" w:rsidR="000538F4" w:rsidRPr="000538F4" w:rsidRDefault="000538F4" w:rsidP="000538F4">
            <w:pPr>
              <w:rPr>
                <w:rFonts w:ascii="Arial Narrow" w:hAnsi="Arial Narrow" w:cs="Times New Roman"/>
                <w:b/>
                <w:bCs/>
                <w:i/>
                <w:iCs/>
                <w:color w:val="333333"/>
                <w:sz w:val="18"/>
                <w:szCs w:val="18"/>
                <w:lang w:val="en-GB"/>
              </w:rPr>
            </w:pPr>
            <w:r w:rsidRPr="00CB5CED">
              <w:rPr>
                <w:rFonts w:ascii="Arial Narrow" w:hAnsi="Arial Narrow" w:cs="Times New Roman"/>
                <w:b/>
                <w:bCs/>
                <w:i/>
                <w:iCs/>
                <w:color w:val="333333"/>
                <w:sz w:val="18"/>
                <w:szCs w:val="18"/>
                <w:lang w:val="en-GB"/>
              </w:rPr>
              <w:t xml:space="preserve">Edit Restriction Summary </w:t>
            </w:r>
            <w:r>
              <w:rPr>
                <w:rFonts w:ascii="Arial Narrow" w:hAnsi="Arial Narrow" w:cs="Times New Roman"/>
                <w:b/>
                <w:bCs/>
                <w:i/>
                <w:iCs/>
                <w:color w:val="333333"/>
                <w:sz w:val="18"/>
                <w:szCs w:val="18"/>
                <w:lang w:val="en-GB"/>
              </w:rPr>
              <w:t>8545</w:t>
            </w:r>
            <w:r w:rsidRPr="00CB5CED">
              <w:rPr>
                <w:rFonts w:ascii="Arial Narrow" w:hAnsi="Arial Narrow" w:cs="Times New Roman"/>
                <w:b/>
                <w:bCs/>
                <w:i/>
                <w:iCs/>
                <w:color w:val="333333"/>
                <w:sz w:val="18"/>
                <w:szCs w:val="18"/>
                <w:lang w:val="en-GB"/>
              </w:rPr>
              <w:t xml:space="preserve"> / Treatment of Concept: </w:t>
            </w:r>
            <w:r>
              <w:rPr>
                <w:rFonts w:ascii="Arial Narrow" w:hAnsi="Arial Narrow" w:cs="Times New Roman"/>
                <w:b/>
                <w:bCs/>
                <w:i/>
                <w:iCs/>
                <w:color w:val="333333"/>
                <w:sz w:val="18"/>
                <w:szCs w:val="18"/>
                <w:lang w:val="en-GB"/>
              </w:rPr>
              <w:t>8605</w:t>
            </w:r>
            <w:r w:rsidRPr="00C8006E">
              <w:rPr>
                <w:rFonts w:ascii="Arial Narrow" w:hAnsi="Arial Narrow" w:cs="Times New Roman"/>
                <w:b/>
                <w:bCs/>
                <w:i/>
                <w:iCs/>
                <w:color w:val="333333"/>
                <w:sz w:val="18"/>
                <w:szCs w:val="18"/>
                <w:lang w:val="en-GB"/>
              </w:rPr>
              <w:t xml:space="preserve"> </w:t>
            </w:r>
            <w:r w:rsidRPr="000538F4">
              <w:rPr>
                <w:rFonts w:ascii="Arial Narrow" w:hAnsi="Arial Narrow" w:cs="Times New Roman"/>
                <w:i/>
                <w:iCs/>
                <w:color w:val="333333"/>
                <w:sz w:val="18"/>
                <w:szCs w:val="18"/>
                <w:lang w:val="en-GB"/>
              </w:rPr>
              <w:t>(current as at 1 November 2021) to become</w:t>
            </w:r>
            <w:r w:rsidRPr="00C8006E">
              <w:rPr>
                <w:rFonts w:ascii="Arial Narrow" w:hAnsi="Arial Narrow" w:cs="Times New Roman"/>
                <w:b/>
                <w:bCs/>
                <w:i/>
                <w:iCs/>
                <w:color w:val="333333"/>
                <w:sz w:val="18"/>
                <w:szCs w:val="18"/>
                <w:lang w:val="en-GB"/>
              </w:rPr>
              <w:t>:</w:t>
            </w:r>
          </w:p>
        </w:tc>
      </w:tr>
      <w:tr w:rsidR="009554F5" w:rsidRPr="00CB5CED" w14:paraId="4C25F938" w14:textId="77777777" w:rsidTr="000538F4">
        <w:tblPrEx>
          <w:tblCellMar>
            <w:top w:w="15" w:type="dxa"/>
            <w:left w:w="15" w:type="dxa"/>
            <w:bottom w:w="15" w:type="dxa"/>
            <w:right w:w="15" w:type="dxa"/>
          </w:tblCellMar>
          <w:tblLook w:val="04A0" w:firstRow="1" w:lastRow="0" w:firstColumn="1" w:lastColumn="0" w:noHBand="0" w:noVBand="1"/>
        </w:tblPrEx>
        <w:tc>
          <w:tcPr>
            <w:tcW w:w="1276" w:type="dxa"/>
            <w:vMerge w:val="restart"/>
            <w:vAlign w:val="center"/>
          </w:tcPr>
          <w:p w14:paraId="1305146A" w14:textId="77777777" w:rsidR="009554F5" w:rsidRPr="00CB5CED" w:rsidRDefault="009554F5" w:rsidP="000538F4">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44ECD14B" w14:textId="77777777" w:rsidR="009554F5" w:rsidRPr="00CB5CED" w:rsidRDefault="009554F5" w:rsidP="000538F4">
            <w:pPr>
              <w:rPr>
                <w:rFonts w:ascii="Arial Narrow" w:hAnsi="Arial Narrow" w:cs="Times New Roman"/>
                <w:b/>
                <w:bCs/>
                <w:color w:val="333333"/>
                <w:sz w:val="18"/>
                <w:szCs w:val="18"/>
              </w:rPr>
            </w:pPr>
            <w:r w:rsidRPr="00CB5CED">
              <w:rPr>
                <w:rFonts w:ascii="Arial Narrow" w:eastAsia="Calibri" w:hAnsi="Arial Narrow" w:cs="Calibri"/>
                <w:b/>
                <w:color w:val="000000"/>
                <w:sz w:val="18"/>
                <w:szCs w:val="18"/>
              </w:rPr>
              <w:t xml:space="preserve">Category / Program:   </w:t>
            </w:r>
            <w:r w:rsidRPr="00CB5CED">
              <w:rPr>
                <w:rFonts w:ascii="Arial Narrow" w:eastAsia="Calibri" w:hAnsi="Arial Narrow" w:cs="Calibri"/>
                <w:color w:val="000000"/>
                <w:sz w:val="18"/>
                <w:szCs w:val="18"/>
              </w:rPr>
              <w:t>GENERAL – General Schedule (Code GE)</w:t>
            </w:r>
          </w:p>
        </w:tc>
      </w:tr>
      <w:tr w:rsidR="009554F5" w:rsidRPr="00CB5CED" w14:paraId="0E0512A2" w14:textId="77777777" w:rsidTr="009554F5">
        <w:tblPrEx>
          <w:tblCellMar>
            <w:top w:w="15" w:type="dxa"/>
            <w:left w:w="15" w:type="dxa"/>
            <w:bottom w:w="15" w:type="dxa"/>
            <w:right w:w="15" w:type="dxa"/>
          </w:tblCellMar>
          <w:tblLook w:val="04A0" w:firstRow="1" w:lastRow="0" w:firstColumn="1" w:lastColumn="0" w:noHBand="0" w:noVBand="1"/>
        </w:tblPrEx>
        <w:trPr>
          <w:trHeight w:val="354"/>
        </w:trPr>
        <w:tc>
          <w:tcPr>
            <w:tcW w:w="1276" w:type="dxa"/>
            <w:vMerge/>
            <w:vAlign w:val="center"/>
          </w:tcPr>
          <w:p w14:paraId="67D6C46A" w14:textId="77777777" w:rsidR="009554F5" w:rsidRPr="00CB5CED" w:rsidRDefault="009554F5" w:rsidP="000538F4">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353A0601" w14:textId="77777777" w:rsidR="009554F5" w:rsidRPr="00CB5CED" w:rsidRDefault="009554F5" w:rsidP="000538F4">
            <w:pPr>
              <w:rPr>
                <w:rFonts w:ascii="Arial Narrow" w:hAnsi="Arial Narrow" w:cs="Times New Roman"/>
                <w:b/>
                <w:bCs/>
                <w:color w:val="333333"/>
                <w:sz w:val="18"/>
                <w:szCs w:val="18"/>
              </w:rPr>
            </w:pPr>
            <w:r w:rsidRPr="00CB5CED">
              <w:rPr>
                <w:rFonts w:ascii="Arial Narrow" w:eastAsia="Calibri" w:hAnsi="Arial Narrow" w:cs="Calibri"/>
                <w:b/>
                <w:color w:val="000000"/>
                <w:sz w:val="18"/>
                <w:szCs w:val="18"/>
              </w:rPr>
              <w:t xml:space="preserve">Restriction type: </w:t>
            </w:r>
            <w:r w:rsidRPr="00CB5CED">
              <w:rPr>
                <w:rFonts w:ascii="Arial Narrow" w:eastAsia="Calibri" w:hAnsi="Arial Narrow" w:cs="Calibri"/>
                <w:color w:val="000000"/>
                <w:sz w:val="18"/>
                <w:szCs w:val="18"/>
              </w:rPr>
              <w:fldChar w:fldCharType="begin">
                <w:ffData>
                  <w:name w:val=""/>
                  <w:enabled/>
                  <w:calcOnExit w:val="0"/>
                  <w:checkBox>
                    <w:sizeAuto/>
                    <w:default w:val="1"/>
                  </w:checkBox>
                </w:ffData>
              </w:fldChar>
            </w:r>
            <w:r w:rsidRPr="00CB5CED">
              <w:rPr>
                <w:rFonts w:ascii="Arial Narrow" w:eastAsia="Calibri" w:hAnsi="Arial Narrow" w:cs="Calibri"/>
                <w:color w:val="000000"/>
                <w:sz w:val="18"/>
                <w:szCs w:val="18"/>
              </w:rPr>
              <w:instrText xml:space="preserve"> FORMCHECKBOX </w:instrText>
            </w:r>
            <w:r w:rsidR="00BA1878">
              <w:rPr>
                <w:rFonts w:ascii="Arial Narrow" w:eastAsia="Calibri" w:hAnsi="Arial Narrow" w:cs="Calibri"/>
                <w:color w:val="000000"/>
                <w:sz w:val="18"/>
                <w:szCs w:val="18"/>
              </w:rPr>
            </w:r>
            <w:r w:rsidR="00BA1878">
              <w:rPr>
                <w:rFonts w:ascii="Arial Narrow" w:eastAsia="Calibri" w:hAnsi="Arial Narrow" w:cs="Calibri"/>
                <w:color w:val="000000"/>
                <w:sz w:val="18"/>
                <w:szCs w:val="18"/>
              </w:rPr>
              <w:fldChar w:fldCharType="separate"/>
            </w:r>
            <w:r w:rsidRPr="00CB5CED">
              <w:rPr>
                <w:rFonts w:ascii="Arial Narrow" w:eastAsia="Calibri" w:hAnsi="Arial Narrow" w:cs="Calibri"/>
                <w:color w:val="000000"/>
                <w:sz w:val="18"/>
                <w:szCs w:val="18"/>
              </w:rPr>
              <w:fldChar w:fldCharType="end"/>
            </w:r>
            <w:r w:rsidRPr="00CB5CED">
              <w:rPr>
                <w:rFonts w:ascii="Arial Narrow" w:eastAsia="Calibri" w:hAnsi="Arial Narrow" w:cs="Calibri"/>
                <w:color w:val="000000"/>
                <w:sz w:val="18"/>
                <w:szCs w:val="18"/>
              </w:rPr>
              <w:t xml:space="preserve"> </w:t>
            </w:r>
            <w:r>
              <w:rPr>
                <w:rFonts w:ascii="Arial Narrow" w:eastAsia="Calibri" w:hAnsi="Arial Narrow" w:cs="Calibri"/>
                <w:color w:val="000000"/>
                <w:sz w:val="18"/>
                <w:szCs w:val="18"/>
              </w:rPr>
              <w:t>Restricted Benefit</w:t>
            </w:r>
          </w:p>
        </w:tc>
      </w:tr>
      <w:tr w:rsidR="009554F5" w:rsidRPr="00C8006E" w14:paraId="6F887812" w14:textId="77777777" w:rsidTr="000538F4">
        <w:tblPrEx>
          <w:tblCellMar>
            <w:top w:w="15" w:type="dxa"/>
            <w:left w:w="15" w:type="dxa"/>
            <w:bottom w:w="15" w:type="dxa"/>
            <w:right w:w="15" w:type="dxa"/>
          </w:tblCellMar>
          <w:tblLook w:val="04A0" w:firstRow="1" w:lastRow="0" w:firstColumn="1" w:lastColumn="0" w:noHBand="0" w:noVBand="1"/>
        </w:tblPrEx>
        <w:tc>
          <w:tcPr>
            <w:tcW w:w="1276" w:type="dxa"/>
            <w:vMerge/>
            <w:vAlign w:val="center"/>
          </w:tcPr>
          <w:p w14:paraId="73A88227" w14:textId="77777777" w:rsidR="009554F5" w:rsidRDefault="009554F5" w:rsidP="000538F4">
            <w:pPr>
              <w:jc w:val="center"/>
              <w:rPr>
                <w:rFonts w:ascii="Arial Narrow" w:hAnsi="Arial Narrow" w:cs="Times New Roman"/>
                <w:color w:val="333333"/>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14:paraId="2295FFF1" w14:textId="77777777" w:rsidR="009554F5" w:rsidRPr="00C8006E" w:rsidRDefault="009554F5" w:rsidP="000538F4">
            <w:pPr>
              <w:rPr>
                <w:rFonts w:ascii="Arial Narrow" w:eastAsia="Calibri" w:hAnsi="Arial Narrow" w:cs="Calibri"/>
                <w:b/>
                <w:strike/>
                <w:color w:val="000000"/>
                <w:sz w:val="18"/>
                <w:szCs w:val="18"/>
              </w:rPr>
            </w:pPr>
          </w:p>
        </w:tc>
      </w:tr>
      <w:tr w:rsidR="000538F4" w:rsidRPr="00CB5CED" w14:paraId="465AE2B0"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61733B3B" w14:textId="77777777" w:rsidR="000538F4" w:rsidRPr="00CB5CED" w:rsidRDefault="000538F4" w:rsidP="000538F4">
            <w:pPr>
              <w:jc w:val="center"/>
              <w:rPr>
                <w:rFonts w:ascii="Arial Narrow" w:hAnsi="Arial Narrow" w:cs="Times New Roman"/>
                <w:color w:val="333333"/>
                <w:sz w:val="18"/>
                <w:szCs w:val="18"/>
              </w:rPr>
            </w:pPr>
          </w:p>
        </w:tc>
        <w:tc>
          <w:tcPr>
            <w:tcW w:w="7938" w:type="dxa"/>
            <w:gridSpan w:val="6"/>
            <w:vAlign w:val="center"/>
            <w:hideMark/>
          </w:tcPr>
          <w:p w14:paraId="1CB42778" w14:textId="77777777" w:rsidR="000538F4" w:rsidRPr="00CB5CED" w:rsidRDefault="000538F4" w:rsidP="000538F4">
            <w:pPr>
              <w:rPr>
                <w:rFonts w:ascii="Arial Narrow" w:hAnsi="Arial Narrow" w:cs="Times New Roman"/>
                <w:color w:val="333333"/>
                <w:sz w:val="18"/>
                <w:szCs w:val="18"/>
              </w:rPr>
            </w:pPr>
            <w:r w:rsidRPr="00CB5CED">
              <w:rPr>
                <w:rFonts w:ascii="Arial Narrow" w:hAnsi="Arial Narrow" w:cs="Times New Roman"/>
                <w:b/>
                <w:bCs/>
                <w:color w:val="333333"/>
                <w:sz w:val="18"/>
                <w:szCs w:val="18"/>
              </w:rPr>
              <w:t>Indication:</w:t>
            </w:r>
            <w:r w:rsidRPr="00CB5CED">
              <w:rPr>
                <w:rFonts w:ascii="Arial Narrow" w:hAnsi="Arial Narrow" w:cs="Times New Roman"/>
                <w:color w:val="333333"/>
                <w:sz w:val="18"/>
                <w:szCs w:val="18"/>
              </w:rPr>
              <w:t xml:space="preserve"> Severe asthma</w:t>
            </w:r>
          </w:p>
        </w:tc>
      </w:tr>
      <w:tr w:rsidR="000538F4" w:rsidRPr="00CB5CED" w14:paraId="406F9545" w14:textId="77777777" w:rsidTr="000538F4">
        <w:tblPrEx>
          <w:tblCellMar>
            <w:top w:w="15" w:type="dxa"/>
            <w:left w:w="15" w:type="dxa"/>
            <w:bottom w:w="15" w:type="dxa"/>
            <w:right w:w="15" w:type="dxa"/>
          </w:tblCellMar>
          <w:tblLook w:val="04A0" w:firstRow="1" w:lastRow="0" w:firstColumn="1" w:lastColumn="0" w:noHBand="0" w:noVBand="1"/>
        </w:tblPrEx>
        <w:tc>
          <w:tcPr>
            <w:tcW w:w="1276" w:type="dxa"/>
            <w:vAlign w:val="center"/>
          </w:tcPr>
          <w:p w14:paraId="27B74757" w14:textId="77777777" w:rsidR="000538F4" w:rsidRPr="00CB5CED" w:rsidRDefault="000538F4" w:rsidP="000538F4">
            <w:pPr>
              <w:jc w:val="center"/>
              <w:rPr>
                <w:rFonts w:ascii="Arial Narrow" w:hAnsi="Arial Narrow" w:cs="Times New Roman"/>
                <w:color w:val="333333"/>
                <w:sz w:val="18"/>
                <w:szCs w:val="18"/>
              </w:rPr>
            </w:pPr>
          </w:p>
        </w:tc>
        <w:tc>
          <w:tcPr>
            <w:tcW w:w="7938" w:type="dxa"/>
            <w:gridSpan w:val="6"/>
            <w:vAlign w:val="center"/>
          </w:tcPr>
          <w:p w14:paraId="3D38A06F" w14:textId="77777777" w:rsidR="000538F4" w:rsidRPr="00CB5CED" w:rsidRDefault="000538F4" w:rsidP="000538F4">
            <w:pPr>
              <w:rPr>
                <w:rFonts w:ascii="Arial Narrow" w:hAnsi="Arial Narrow" w:cs="Times New Roman"/>
                <w:b/>
                <w:bCs/>
                <w:color w:val="333333"/>
                <w:sz w:val="18"/>
                <w:szCs w:val="18"/>
              </w:rPr>
            </w:pPr>
          </w:p>
        </w:tc>
      </w:tr>
      <w:tr w:rsidR="000538F4" w:rsidRPr="00CB5CED" w14:paraId="498D45C4"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13BE54D5" w14:textId="77777777" w:rsidR="000538F4" w:rsidRPr="00CB5CED" w:rsidRDefault="000538F4" w:rsidP="000538F4">
            <w:pPr>
              <w:jc w:val="center"/>
              <w:rPr>
                <w:rFonts w:ascii="Arial Narrow" w:hAnsi="Arial Narrow" w:cs="Times New Roman"/>
                <w:color w:val="333333"/>
                <w:sz w:val="18"/>
                <w:szCs w:val="18"/>
              </w:rPr>
            </w:pPr>
          </w:p>
        </w:tc>
        <w:tc>
          <w:tcPr>
            <w:tcW w:w="7938" w:type="dxa"/>
            <w:gridSpan w:val="6"/>
            <w:vAlign w:val="center"/>
            <w:hideMark/>
          </w:tcPr>
          <w:p w14:paraId="07C91DEA" w14:textId="77777777" w:rsidR="000538F4" w:rsidRPr="00CB5CED" w:rsidRDefault="000538F4" w:rsidP="000538F4">
            <w:pPr>
              <w:rPr>
                <w:rFonts w:ascii="Arial Narrow" w:hAnsi="Arial Narrow" w:cs="Times New Roman"/>
                <w:color w:val="333333"/>
                <w:sz w:val="18"/>
                <w:szCs w:val="18"/>
              </w:rPr>
            </w:pPr>
            <w:r w:rsidRPr="00CB5CED">
              <w:rPr>
                <w:rFonts w:ascii="Arial Narrow" w:hAnsi="Arial Narrow" w:cs="Times New Roman"/>
                <w:b/>
                <w:bCs/>
                <w:color w:val="333333"/>
                <w:sz w:val="18"/>
                <w:szCs w:val="18"/>
              </w:rPr>
              <w:t>Clinical criteria:</w:t>
            </w:r>
          </w:p>
        </w:tc>
      </w:tr>
      <w:tr w:rsidR="000538F4" w:rsidRPr="00CB5CED" w14:paraId="03F85A24" w14:textId="77777777" w:rsidTr="00FE6FAC">
        <w:tblPrEx>
          <w:tblCellMar>
            <w:top w:w="15" w:type="dxa"/>
            <w:left w:w="15" w:type="dxa"/>
            <w:bottom w:w="15" w:type="dxa"/>
            <w:right w:w="15" w:type="dxa"/>
          </w:tblCellMar>
          <w:tblLook w:val="04A0" w:firstRow="1" w:lastRow="0" w:firstColumn="1" w:lastColumn="0" w:noHBand="0" w:noVBand="1"/>
        </w:tblPrEx>
        <w:tc>
          <w:tcPr>
            <w:tcW w:w="1276" w:type="dxa"/>
            <w:vAlign w:val="center"/>
          </w:tcPr>
          <w:p w14:paraId="4BBA4D0A" w14:textId="77777777" w:rsidR="000538F4" w:rsidRPr="00CB5CED" w:rsidRDefault="000538F4" w:rsidP="000538F4">
            <w:pPr>
              <w:rPr>
                <w:rFonts w:ascii="Arial Narrow" w:hAnsi="Arial Narrow" w:cs="Times New Roman"/>
                <w:color w:val="333333"/>
                <w:sz w:val="18"/>
                <w:szCs w:val="18"/>
              </w:rPr>
            </w:pPr>
          </w:p>
        </w:tc>
        <w:tc>
          <w:tcPr>
            <w:tcW w:w="7938" w:type="dxa"/>
            <w:gridSpan w:val="6"/>
            <w:vAlign w:val="center"/>
            <w:hideMark/>
          </w:tcPr>
          <w:p w14:paraId="452A547F" w14:textId="77777777" w:rsidR="000538F4" w:rsidRPr="00CB5CED" w:rsidRDefault="000538F4" w:rsidP="000538F4">
            <w:pPr>
              <w:rPr>
                <w:rFonts w:ascii="Arial Narrow" w:hAnsi="Arial Narrow" w:cs="Times New Roman"/>
                <w:i/>
                <w:color w:val="333333"/>
                <w:sz w:val="18"/>
                <w:szCs w:val="18"/>
              </w:rPr>
            </w:pPr>
            <w:r w:rsidRPr="00CB5CED">
              <w:rPr>
                <w:rFonts w:ascii="Arial Narrow" w:hAnsi="Arial Narrow" w:cs="Times New Roman"/>
                <w:strike/>
                <w:color w:val="333333"/>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0538F4" w:rsidRPr="00CB5CED" w14:paraId="35A70972" w14:textId="77777777" w:rsidTr="000538F4">
        <w:tblPrEx>
          <w:tblCellMar>
            <w:top w:w="15" w:type="dxa"/>
            <w:left w:w="15" w:type="dxa"/>
            <w:bottom w:w="15" w:type="dxa"/>
            <w:right w:w="15" w:type="dxa"/>
          </w:tblCellMar>
          <w:tblLook w:val="04A0" w:firstRow="1" w:lastRow="0" w:firstColumn="1" w:lastColumn="0" w:noHBand="0" w:noVBand="1"/>
        </w:tblPrEx>
        <w:tc>
          <w:tcPr>
            <w:tcW w:w="1276" w:type="dxa"/>
            <w:vAlign w:val="center"/>
          </w:tcPr>
          <w:p w14:paraId="69A6CDEC" w14:textId="77777777" w:rsidR="000538F4" w:rsidRPr="00CB5CED" w:rsidRDefault="000538F4" w:rsidP="000538F4">
            <w:pPr>
              <w:jc w:val="center"/>
              <w:rPr>
                <w:rFonts w:ascii="Arial Narrow" w:hAnsi="Arial Narrow" w:cs="Times New Roman"/>
                <w:color w:val="333333"/>
                <w:sz w:val="18"/>
                <w:szCs w:val="18"/>
              </w:rPr>
            </w:pPr>
          </w:p>
        </w:tc>
        <w:tc>
          <w:tcPr>
            <w:tcW w:w="7938" w:type="dxa"/>
            <w:gridSpan w:val="6"/>
            <w:vAlign w:val="center"/>
          </w:tcPr>
          <w:p w14:paraId="3F36D570" w14:textId="77777777" w:rsidR="000538F4" w:rsidRPr="00CB5CED" w:rsidRDefault="000538F4" w:rsidP="000538F4">
            <w:pPr>
              <w:rPr>
                <w:rFonts w:ascii="Arial Narrow" w:hAnsi="Arial Narrow" w:cs="Times New Roman"/>
                <w:i/>
                <w:color w:val="333333"/>
                <w:sz w:val="18"/>
                <w:szCs w:val="18"/>
              </w:rPr>
            </w:pPr>
            <w:r w:rsidRPr="00CB5CED">
              <w:rPr>
                <w:rFonts w:ascii="Arial Narrow" w:hAnsi="Arial Narrow" w:cs="Times New Roman"/>
                <w:i/>
                <w:color w:val="333333"/>
                <w:sz w:val="18"/>
                <w:szCs w:val="18"/>
              </w:rPr>
              <w:t>Patient must have experienced at least one severe asthma exacerbation in the 12 months prior to</w:t>
            </w:r>
            <w:r>
              <w:rPr>
                <w:rFonts w:ascii="Arial Narrow" w:hAnsi="Arial Narrow" w:cs="Times New Roman"/>
                <w:i/>
                <w:color w:val="333333"/>
                <w:sz w:val="18"/>
                <w:szCs w:val="18"/>
              </w:rPr>
              <w:t xml:space="preserve"> having</w:t>
            </w:r>
            <w:r w:rsidRPr="00CB5CED">
              <w:rPr>
                <w:rFonts w:ascii="Arial Narrow" w:hAnsi="Arial Narrow" w:cs="Times New Roman"/>
                <w:i/>
                <w:color w:val="333333"/>
                <w:sz w:val="18"/>
                <w:szCs w:val="18"/>
              </w:rPr>
              <w:t xml:space="preserve"> first commenc</w:t>
            </w:r>
            <w:r>
              <w:rPr>
                <w:rFonts w:ascii="Arial Narrow" w:hAnsi="Arial Narrow" w:cs="Times New Roman"/>
                <w:i/>
                <w:color w:val="333333"/>
                <w:sz w:val="18"/>
                <w:szCs w:val="18"/>
              </w:rPr>
              <w:t xml:space="preserve">ed </w:t>
            </w:r>
            <w:r w:rsidRPr="00CB5CED">
              <w:rPr>
                <w:rFonts w:ascii="Arial Narrow" w:hAnsi="Arial Narrow" w:cs="Times New Roman"/>
                <w:i/>
                <w:color w:val="333333"/>
                <w:sz w:val="18"/>
                <w:szCs w:val="18"/>
              </w:rPr>
              <w:t>treatment for severe asthma, which required systemic corticosteroid treatment despite each of: (i) receiving optimised asthma therapy, (ii) being assessed for adherence to therapy, (iii) being assessed for correct inhaler technique</w:t>
            </w:r>
          </w:p>
        </w:tc>
      </w:tr>
    </w:tbl>
    <w:p w14:paraId="6422397F" w14:textId="77777777" w:rsidR="000538F4" w:rsidRDefault="000538F4" w:rsidP="00F34A2F">
      <w:pPr>
        <w:pStyle w:val="3-BodyText"/>
        <w:numPr>
          <w:ilvl w:val="0"/>
          <w:numId w:val="0"/>
        </w:numPr>
        <w:ind w:left="720"/>
      </w:pPr>
    </w:p>
    <w:p w14:paraId="1004AA3C" w14:textId="77777777" w:rsidR="000538F4" w:rsidRPr="009554F5" w:rsidRDefault="009554F5" w:rsidP="009554F5">
      <w:pPr>
        <w:pStyle w:val="3-BodyText"/>
        <w:numPr>
          <w:ilvl w:val="0"/>
          <w:numId w:val="0"/>
        </w:numPr>
        <w:rPr>
          <w:i/>
          <w:iCs/>
        </w:rPr>
      </w:pPr>
      <w:r w:rsidRPr="009554F5">
        <w:rPr>
          <w:i/>
          <w:iCs/>
        </w:rPr>
        <w:t>The flow on changes would be applied at the same time as listing the new product or prior (should the listing not proceed).</w:t>
      </w:r>
    </w:p>
    <w:p w14:paraId="1E038542" w14:textId="77777777" w:rsidR="00F32064" w:rsidRDefault="00617A92" w:rsidP="00617A92">
      <w:pPr>
        <w:jc w:val="left"/>
        <w:rPr>
          <w:b/>
        </w:rPr>
      </w:pPr>
      <w:r w:rsidRPr="00C55D49">
        <w:rPr>
          <w:b/>
          <w:i/>
        </w:rPr>
        <w:t>Th</w:t>
      </w:r>
      <w:r w:rsidR="009554F5">
        <w:rPr>
          <w:b/>
          <w:i/>
        </w:rPr>
        <w:t>ese</w:t>
      </w:r>
      <w:r w:rsidRPr="00C55D49">
        <w:rPr>
          <w:b/>
          <w:i/>
        </w:rPr>
        <w:t xml:space="preserve"> restriction</w:t>
      </w:r>
      <w:r w:rsidR="009554F5">
        <w:rPr>
          <w:b/>
          <w:i/>
        </w:rPr>
        <w:t>s</w:t>
      </w:r>
      <w:r w:rsidRPr="00C55D49">
        <w:rPr>
          <w:b/>
          <w:i/>
        </w:rPr>
        <w:t xml:space="preserve"> may be subject to further review. Should there be any changes made to the restriction</w:t>
      </w:r>
      <w:r w:rsidR="009554F5">
        <w:rPr>
          <w:b/>
          <w:i/>
        </w:rPr>
        <w:t>s</w:t>
      </w:r>
      <w:r w:rsidRPr="00C55D49">
        <w:rPr>
          <w:b/>
          <w:i/>
        </w:rPr>
        <w:t xml:space="preserve"> the sponsor</w:t>
      </w:r>
      <w:r w:rsidR="009554F5">
        <w:rPr>
          <w:b/>
          <w:i/>
        </w:rPr>
        <w:t>s</w:t>
      </w:r>
      <w:r w:rsidRPr="00C55D49">
        <w:rPr>
          <w:b/>
          <w:i/>
        </w:rPr>
        <w:t xml:space="preserve"> will be informed</w:t>
      </w:r>
      <w:r>
        <w:rPr>
          <w:b/>
          <w:i/>
        </w:rPr>
        <w:t>.</w:t>
      </w:r>
      <w:bookmarkEnd w:id="1"/>
    </w:p>
    <w:p w14:paraId="081BF711" w14:textId="77777777" w:rsidR="00F32064" w:rsidRDefault="00F32064" w:rsidP="00F32064"/>
    <w:p w14:paraId="33E20298" w14:textId="77777777" w:rsidR="00F32064" w:rsidRPr="00F32064" w:rsidRDefault="00F32064" w:rsidP="00F32064">
      <w:pPr>
        <w:pStyle w:val="2-SectionHeading"/>
      </w:pPr>
      <w:r w:rsidRPr="00C07617">
        <w:t>Context for Decision</w:t>
      </w:r>
    </w:p>
    <w:p w14:paraId="008A5CA3" w14:textId="77777777" w:rsidR="00F32064" w:rsidRPr="007129F2" w:rsidRDefault="00F32064" w:rsidP="00F32064">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7107D67" w14:textId="77777777" w:rsidR="00F32064" w:rsidRPr="00F32064" w:rsidRDefault="00F32064" w:rsidP="00F32064">
      <w:pPr>
        <w:pStyle w:val="2-SectionHeading"/>
      </w:pPr>
      <w:r>
        <w:t>Sponsor’s Comment</w:t>
      </w:r>
    </w:p>
    <w:p w14:paraId="2EA7CE5C" w14:textId="77777777" w:rsidR="00F32064" w:rsidRPr="001179AC" w:rsidRDefault="00EC237A" w:rsidP="003241E9">
      <w:pPr>
        <w:spacing w:after="120"/>
        <w:ind w:left="720"/>
        <w:rPr>
          <w:rFonts w:asciiTheme="minorHAnsi" w:hAnsiTheme="minorHAnsi"/>
          <w:bCs/>
        </w:rPr>
      </w:pPr>
      <w:r>
        <w:t>GSK welcomes the PBAC recommendation to list Trelegy Ellipta 200 (fluticasone furoate/umeclidinium/vilanterol) on the PBS for the treatment of severe asthma.</w:t>
      </w:r>
    </w:p>
    <w:p w14:paraId="76A45A9D" w14:textId="77777777" w:rsidR="00617A92" w:rsidRPr="00F32064" w:rsidRDefault="00617A92" w:rsidP="00F32064"/>
    <w:sectPr w:rsidR="00617A92" w:rsidRPr="00F32064" w:rsidSect="002E1550">
      <w:headerReference w:type="default" r:id="rId1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84E6" w14:textId="77777777" w:rsidR="00195CA0" w:rsidRDefault="00195CA0" w:rsidP="00124A51">
      <w:r>
        <w:separator/>
      </w:r>
    </w:p>
    <w:p w14:paraId="5E38623D" w14:textId="77777777" w:rsidR="00195CA0" w:rsidRDefault="00195CA0"/>
  </w:endnote>
  <w:endnote w:type="continuationSeparator" w:id="0">
    <w:p w14:paraId="727EDA14" w14:textId="77777777" w:rsidR="00195CA0" w:rsidRDefault="00195CA0" w:rsidP="00124A51">
      <w:r>
        <w:continuationSeparator/>
      </w:r>
    </w:p>
    <w:p w14:paraId="07811CA4" w14:textId="77777777" w:rsidR="00195CA0" w:rsidRDefault="00195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Narrow">
    <w:altName w:val="Arial"/>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95E8" w14:textId="77777777" w:rsidR="00195CA0" w:rsidRDefault="00195CA0">
    <w:pPr>
      <w:pStyle w:val="Footer"/>
      <w:jc w:val="center"/>
    </w:pPr>
  </w:p>
  <w:p w14:paraId="4BEEA1D3" w14:textId="75F0DC18" w:rsidR="00195CA0" w:rsidRPr="00F21704" w:rsidRDefault="00BA1878" w:rsidP="00F21704">
    <w:pPr>
      <w:pStyle w:val="Footer"/>
      <w:jc w:val="center"/>
      <w:rPr>
        <w:b/>
      </w:rPr>
    </w:pPr>
    <w:sdt>
      <w:sdtPr>
        <w:id w:val="-483771263"/>
        <w:docPartObj>
          <w:docPartGallery w:val="Page Numbers (Bottom of Page)"/>
          <w:docPartUnique/>
        </w:docPartObj>
      </w:sdtPr>
      <w:sdtEndPr>
        <w:rPr>
          <w:b/>
          <w:noProof/>
        </w:rPr>
      </w:sdtEndPr>
      <w:sdtContent>
        <w:r w:rsidR="00195CA0" w:rsidRPr="00F21704">
          <w:rPr>
            <w:b/>
          </w:rPr>
          <w:fldChar w:fldCharType="begin"/>
        </w:r>
        <w:r w:rsidR="00195CA0" w:rsidRPr="00F21704">
          <w:rPr>
            <w:b/>
          </w:rPr>
          <w:instrText xml:space="preserve"> PAGE   \* MERGEFORMAT </w:instrText>
        </w:r>
        <w:r w:rsidR="00195CA0" w:rsidRPr="00F21704">
          <w:rPr>
            <w:b/>
          </w:rPr>
          <w:fldChar w:fldCharType="separate"/>
        </w:r>
        <w:r>
          <w:rPr>
            <w:b/>
            <w:noProof/>
          </w:rPr>
          <w:t>29</w:t>
        </w:r>
        <w:r w:rsidR="00195CA0" w:rsidRPr="00F21704">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2D793" w14:textId="77777777" w:rsidR="00195CA0" w:rsidRDefault="00195CA0" w:rsidP="00124A51">
      <w:r>
        <w:separator/>
      </w:r>
    </w:p>
    <w:p w14:paraId="2AB507DB" w14:textId="77777777" w:rsidR="00195CA0" w:rsidRDefault="00195CA0"/>
  </w:footnote>
  <w:footnote w:type="continuationSeparator" w:id="0">
    <w:p w14:paraId="290C7C9C" w14:textId="77777777" w:rsidR="00195CA0" w:rsidRDefault="00195CA0" w:rsidP="00124A51">
      <w:r>
        <w:continuationSeparator/>
      </w:r>
    </w:p>
    <w:p w14:paraId="5F15283D" w14:textId="77777777" w:rsidR="00195CA0" w:rsidRDefault="00195CA0"/>
  </w:footnote>
  <w:footnote w:id="1">
    <w:p w14:paraId="637C6299" w14:textId="77777777" w:rsidR="00195CA0" w:rsidRDefault="00195CA0" w:rsidP="0093561C">
      <w:pPr>
        <w:pStyle w:val="FootnoteText"/>
      </w:pPr>
      <w:r>
        <w:rPr>
          <w:rStyle w:val="FootnoteReference"/>
        </w:rPr>
        <w:footnoteRef/>
      </w:r>
      <w:r>
        <w:t xml:space="preserve"> Source: </w:t>
      </w:r>
      <w:r w:rsidRPr="007C653E">
        <w:t>https://www.ema.europa.eu/en/documents/smop/questions-answers-refusal-change-marketing-authorisation-trelegy-ellipta-fluticasone-furoate/umeclidinium/vilanterol_en.pdf</w:t>
      </w:r>
    </w:p>
  </w:footnote>
  <w:footnote w:id="2">
    <w:p w14:paraId="35DF8649" w14:textId="77777777" w:rsidR="00195CA0" w:rsidRDefault="00195CA0" w:rsidP="00E4240A">
      <w:pPr>
        <w:pStyle w:val="FootnoteText"/>
      </w:pPr>
      <w:r>
        <w:rPr>
          <w:rStyle w:val="FootnoteReference"/>
        </w:rPr>
        <w:footnoteRef/>
      </w:r>
      <w:r>
        <w:t xml:space="preserve"> </w:t>
      </w:r>
      <w:r w:rsidRPr="00DB6F5B">
        <w:t>https://www.asthmahandbook.org.au/static/files/Australian-Asthma-Handbook-v2.0-Management-%E2%80%93-Adults.pdf</w:t>
      </w:r>
    </w:p>
  </w:footnote>
  <w:footnote w:id="3">
    <w:p w14:paraId="5B2F7E47" w14:textId="77777777" w:rsidR="00195CA0" w:rsidRDefault="00195CA0" w:rsidP="00847A30">
      <w:pPr>
        <w:pStyle w:val="FootnoteText"/>
      </w:pPr>
      <w:r>
        <w:rPr>
          <w:rStyle w:val="FootnoteReference"/>
        </w:rPr>
        <w:footnoteRef/>
      </w:r>
      <w:r>
        <w:t xml:space="preserve"> </w:t>
      </w:r>
      <w:r w:rsidRPr="00847A30">
        <w:t>Virchow JC et al. Single inhaler extra fine triple therapy in uncontrolled asthma (TRIMARAN and TRIGGER): two double-blind, parallel group, randomised, controlled phase 3 trials. Lancet 2019;394:1737-49.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694A" w14:textId="77777777" w:rsidR="00195CA0" w:rsidRPr="00F21704" w:rsidRDefault="00195CA0" w:rsidP="00F21704">
    <w:pPr>
      <w:jc w:val="center"/>
      <w:rPr>
        <w:rFonts w:asciiTheme="minorHAnsi" w:hAnsiTheme="minorHAnsi" w:cstheme="minorHAnsi"/>
        <w:i/>
      </w:rPr>
    </w:pPr>
    <w:r>
      <w:rPr>
        <w:rFonts w:asciiTheme="minorHAnsi" w:hAnsiTheme="minorHAnsi" w:cstheme="minorHAnsi"/>
        <w:i/>
      </w:rPr>
      <w:t>Public Summary Document</w:t>
    </w:r>
    <w:r w:rsidRPr="00F21704">
      <w:rPr>
        <w:rFonts w:asciiTheme="minorHAnsi" w:hAnsiTheme="minorHAnsi" w:cstheme="minorHAnsi"/>
        <w:i/>
      </w:rPr>
      <w:t xml:space="preserve"> – November 2021 PBAC Meeting</w:t>
    </w:r>
  </w:p>
  <w:p w14:paraId="2F6F107A" w14:textId="77777777" w:rsidR="00195CA0" w:rsidRPr="002E1550" w:rsidRDefault="00195CA0" w:rsidP="002E1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CFC6" w14:textId="77777777" w:rsidR="00195CA0" w:rsidRPr="00F21704" w:rsidRDefault="00195CA0" w:rsidP="0085129C">
    <w:pPr>
      <w:jc w:val="center"/>
      <w:rPr>
        <w:rFonts w:asciiTheme="minorHAnsi" w:hAnsiTheme="minorHAnsi" w:cstheme="minorHAnsi"/>
        <w:i/>
      </w:rPr>
    </w:pPr>
    <w:r>
      <w:rPr>
        <w:rFonts w:asciiTheme="minorHAnsi" w:hAnsiTheme="minorHAnsi" w:cstheme="minorHAnsi"/>
        <w:i/>
      </w:rPr>
      <w:t>Public Summary Document</w:t>
    </w:r>
    <w:r w:rsidRPr="00F21704">
      <w:rPr>
        <w:rFonts w:asciiTheme="minorHAnsi" w:hAnsiTheme="minorHAnsi" w:cstheme="minorHAnsi"/>
        <w:i/>
      </w:rPr>
      <w:t xml:space="preserve"> – November 2021 PBAC Meeting</w:t>
    </w:r>
  </w:p>
  <w:p w14:paraId="265B9F38" w14:textId="77777777" w:rsidR="00195CA0" w:rsidRDefault="00195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D06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F078C"/>
    <w:multiLevelType w:val="hybridMultilevel"/>
    <w:tmpl w:val="8C10CFBA"/>
    <w:lvl w:ilvl="0" w:tplc="0C4E4756">
      <w:start w:val="1"/>
      <w:numFmt w:val="lowerLetter"/>
      <w:pStyle w:val="Lett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E66C7"/>
    <w:multiLevelType w:val="hybridMultilevel"/>
    <w:tmpl w:val="DEAE62B0"/>
    <w:lvl w:ilvl="0" w:tplc="0C09000F">
      <w:start w:val="1"/>
      <w:numFmt w:val="bullet"/>
      <w:pStyle w:val="ListBulletlvl2"/>
      <w:lvlText w:val="–"/>
      <w:lvlJc w:val="left"/>
      <w:pPr>
        <w:ind w:left="717" w:hanging="360"/>
      </w:pPr>
      <w:rPr>
        <w:rFonts w:ascii="Calibri" w:hAnsi="Calibri" w:hint="default"/>
      </w:rPr>
    </w:lvl>
    <w:lvl w:ilvl="1" w:tplc="0C090019">
      <w:start w:val="1"/>
      <w:numFmt w:val="bullet"/>
      <w:pStyle w:val="ListBulletlvl2"/>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start w:val="1"/>
      <w:numFmt w:val="bullet"/>
      <w:lvlText w:val=""/>
      <w:lvlJc w:val="left"/>
      <w:pPr>
        <w:ind w:left="2880" w:hanging="360"/>
      </w:pPr>
      <w:rPr>
        <w:rFonts w:ascii="Symbol" w:hAnsi="Symbol"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Wingdings" w:hAnsi="Wingdings" w:hint="default"/>
      </w:rPr>
    </w:lvl>
    <w:lvl w:ilvl="6" w:tplc="0C09000F">
      <w:start w:val="1"/>
      <w:numFmt w:val="bullet"/>
      <w:lvlText w:val=""/>
      <w:lvlJc w:val="left"/>
      <w:pPr>
        <w:ind w:left="5040" w:hanging="360"/>
      </w:pPr>
      <w:rPr>
        <w:rFonts w:ascii="Symbol" w:hAnsi="Symbol" w:hint="default"/>
      </w:rPr>
    </w:lvl>
    <w:lvl w:ilvl="7" w:tplc="0C090019">
      <w:start w:val="1"/>
      <w:numFmt w:val="bullet"/>
      <w:lvlText w:val="o"/>
      <w:lvlJc w:val="left"/>
      <w:pPr>
        <w:ind w:left="5760" w:hanging="360"/>
      </w:pPr>
      <w:rPr>
        <w:rFonts w:ascii="Courier New" w:hAnsi="Courier New" w:cs="Courier New" w:hint="default"/>
      </w:rPr>
    </w:lvl>
    <w:lvl w:ilvl="8" w:tplc="0C09001B">
      <w:start w:val="1"/>
      <w:numFmt w:val="bullet"/>
      <w:lvlText w:val=""/>
      <w:lvlJc w:val="left"/>
      <w:pPr>
        <w:ind w:left="6480" w:hanging="360"/>
      </w:pPr>
      <w:rPr>
        <w:rFonts w:ascii="Wingdings" w:hAnsi="Wingdings" w:hint="default"/>
      </w:rPr>
    </w:lvl>
  </w:abstractNum>
  <w:abstractNum w:abstractNumId="4" w15:restartNumberingAfterBreak="0">
    <w:nsid w:val="3035190D"/>
    <w:multiLevelType w:val="hybridMultilevel"/>
    <w:tmpl w:val="6EA66680"/>
    <w:lvl w:ilvl="0" w:tplc="54A0EED8">
      <w:start w:val="1"/>
      <w:numFmt w:val="bullet"/>
      <w:pStyle w:val="listbull"/>
      <w:lvlText w:val=""/>
      <w:lvlJc w:val="left"/>
      <w:pPr>
        <w:tabs>
          <w:tab w:val="num" w:pos="432"/>
        </w:tabs>
        <w:ind w:left="432" w:hanging="432"/>
      </w:pPr>
      <w:rPr>
        <w:rFonts w:ascii="Symbol" w:hAnsi="Symbol" w:cs="Symbol" w:hint="default"/>
      </w:rPr>
    </w:lvl>
    <w:lvl w:ilvl="1" w:tplc="80E07254">
      <w:numFmt w:val="decimal"/>
      <w:lvlText w:val=""/>
      <w:lvlJc w:val="left"/>
    </w:lvl>
    <w:lvl w:ilvl="2" w:tplc="989041B8">
      <w:numFmt w:val="decimal"/>
      <w:lvlText w:val=""/>
      <w:lvlJc w:val="left"/>
    </w:lvl>
    <w:lvl w:ilvl="3" w:tplc="8D1AB3D0">
      <w:numFmt w:val="decimal"/>
      <w:lvlText w:val=""/>
      <w:lvlJc w:val="left"/>
    </w:lvl>
    <w:lvl w:ilvl="4" w:tplc="E7B8FE2E">
      <w:numFmt w:val="decimal"/>
      <w:lvlText w:val=""/>
      <w:lvlJc w:val="left"/>
    </w:lvl>
    <w:lvl w:ilvl="5" w:tplc="E3B05AA2">
      <w:numFmt w:val="decimal"/>
      <w:lvlText w:val=""/>
      <w:lvlJc w:val="left"/>
    </w:lvl>
    <w:lvl w:ilvl="6" w:tplc="8E64F8D0">
      <w:numFmt w:val="decimal"/>
      <w:lvlText w:val=""/>
      <w:lvlJc w:val="left"/>
    </w:lvl>
    <w:lvl w:ilvl="7" w:tplc="C792E06E">
      <w:numFmt w:val="decimal"/>
      <w:lvlText w:val=""/>
      <w:lvlJc w:val="left"/>
    </w:lvl>
    <w:lvl w:ilvl="8" w:tplc="6A0CA4A0">
      <w:numFmt w:val="decimal"/>
      <w:lvlText w:val=""/>
      <w:lvlJc w:val="left"/>
    </w:lvl>
  </w:abstractNum>
  <w:abstractNum w:abstractNumId="5"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7" w15:restartNumberingAfterBreak="0">
    <w:nsid w:val="420B6ECC"/>
    <w:multiLevelType w:val="hybridMultilevel"/>
    <w:tmpl w:val="C23E7B90"/>
    <w:lvl w:ilvl="0" w:tplc="ED1E5F1E">
      <w:start w:val="1"/>
      <w:numFmt w:val="bullet"/>
      <w:pStyle w:val="ListNumber"/>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E96A2A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37007B"/>
    <w:multiLevelType w:val="hybridMultilevel"/>
    <w:tmpl w:val="B7E69F4C"/>
    <w:styleLink w:val="LFO26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E53A93"/>
    <w:multiLevelType w:val="hybridMultilevel"/>
    <w:tmpl w:val="488EEE44"/>
    <w:styleLink w:val="LFO26"/>
    <w:lvl w:ilvl="0" w:tplc="A10E0B64">
      <w:start w:val="1"/>
      <w:numFmt w:val="bullet"/>
      <w:lvlText w:val=""/>
      <w:lvlJc w:val="left"/>
      <w:pPr>
        <w:ind w:left="720" w:hanging="360"/>
      </w:pPr>
      <w:rPr>
        <w:rFonts w:ascii="Symbol" w:hAnsi="Symbol" w:hint="default"/>
      </w:rPr>
    </w:lvl>
    <w:lvl w:ilvl="1" w:tplc="5074FD9A">
      <w:numFmt w:val="bullet"/>
      <w:lvlText w:val="o"/>
      <w:lvlJc w:val="left"/>
      <w:pPr>
        <w:ind w:left="1440" w:hanging="360"/>
      </w:pPr>
      <w:rPr>
        <w:rFonts w:ascii="Courier New" w:hAnsi="Courier New"/>
      </w:rPr>
    </w:lvl>
    <w:lvl w:ilvl="2" w:tplc="C40CA008">
      <w:numFmt w:val="bullet"/>
      <w:lvlText w:val=""/>
      <w:lvlJc w:val="left"/>
      <w:pPr>
        <w:ind w:left="2160" w:hanging="360"/>
      </w:pPr>
      <w:rPr>
        <w:rFonts w:ascii="Wingdings" w:hAnsi="Wingdings"/>
      </w:rPr>
    </w:lvl>
    <w:lvl w:ilvl="3" w:tplc="BA18B7CE">
      <w:numFmt w:val="bullet"/>
      <w:lvlText w:val=""/>
      <w:lvlJc w:val="left"/>
      <w:pPr>
        <w:ind w:left="2880" w:hanging="360"/>
      </w:pPr>
      <w:rPr>
        <w:rFonts w:ascii="Symbol" w:hAnsi="Symbol"/>
      </w:rPr>
    </w:lvl>
    <w:lvl w:ilvl="4" w:tplc="D15438F6">
      <w:numFmt w:val="bullet"/>
      <w:lvlText w:val="o"/>
      <w:lvlJc w:val="left"/>
      <w:pPr>
        <w:ind w:left="3600" w:hanging="360"/>
      </w:pPr>
      <w:rPr>
        <w:rFonts w:ascii="Courier New" w:hAnsi="Courier New"/>
      </w:rPr>
    </w:lvl>
    <w:lvl w:ilvl="5" w:tplc="95127920">
      <w:numFmt w:val="bullet"/>
      <w:lvlText w:val=""/>
      <w:lvlJc w:val="left"/>
      <w:pPr>
        <w:ind w:left="4320" w:hanging="360"/>
      </w:pPr>
      <w:rPr>
        <w:rFonts w:ascii="Wingdings" w:hAnsi="Wingdings"/>
      </w:rPr>
    </w:lvl>
    <w:lvl w:ilvl="6" w:tplc="5AD4DF94">
      <w:numFmt w:val="bullet"/>
      <w:lvlText w:val=""/>
      <w:lvlJc w:val="left"/>
      <w:pPr>
        <w:ind w:left="5040" w:hanging="360"/>
      </w:pPr>
      <w:rPr>
        <w:rFonts w:ascii="Symbol" w:hAnsi="Symbol"/>
      </w:rPr>
    </w:lvl>
    <w:lvl w:ilvl="7" w:tplc="C0FAD6F0">
      <w:numFmt w:val="bullet"/>
      <w:lvlText w:val="o"/>
      <w:lvlJc w:val="left"/>
      <w:pPr>
        <w:ind w:left="5760" w:hanging="360"/>
      </w:pPr>
      <w:rPr>
        <w:rFonts w:ascii="Courier New" w:hAnsi="Courier New"/>
      </w:rPr>
    </w:lvl>
    <w:lvl w:ilvl="8" w:tplc="4926CC68">
      <w:numFmt w:val="bullet"/>
      <w:lvlText w:val=""/>
      <w:lvlJc w:val="left"/>
      <w:pPr>
        <w:ind w:left="6480" w:hanging="360"/>
      </w:pPr>
      <w:rPr>
        <w:rFonts w:ascii="Wingdings" w:hAnsi="Wingdings"/>
      </w:rPr>
    </w:lvl>
  </w:abstractNum>
  <w:abstractNum w:abstractNumId="12" w15:restartNumberingAfterBreak="0">
    <w:nsid w:val="52C7554F"/>
    <w:multiLevelType w:val="multilevel"/>
    <w:tmpl w:val="CE28647C"/>
    <w:lvl w:ilvl="0">
      <w:start w:val="1"/>
      <w:numFmt w:val="decimal"/>
      <w:lvlText w:val="%1"/>
      <w:lvlJc w:val="left"/>
      <w:pPr>
        <w:tabs>
          <w:tab w:val="num" w:pos="432"/>
        </w:tabs>
        <w:ind w:left="432" w:hanging="432"/>
      </w:pPr>
      <w:rPr>
        <w:rFonts w:hint="default"/>
      </w:rPr>
    </w:lvl>
    <w:lvl w:ilvl="1">
      <w:start w:val="1"/>
      <w:numFmt w:val="decimal"/>
      <w:pStyle w:val="SynopsisH2"/>
      <w:lvlText w:val="S.%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DA425F1"/>
    <w:multiLevelType w:val="hybridMultilevel"/>
    <w:tmpl w:val="DC9E3344"/>
    <w:lvl w:ilvl="0" w:tplc="A4C0F19E">
      <w:start w:val="1"/>
      <w:numFmt w:val="bullet"/>
      <w:pStyle w:val="TableNotesLast"/>
      <w:lvlText w:val=""/>
      <w:lvlJc w:val="left"/>
      <w:pPr>
        <w:ind w:left="360" w:hanging="360"/>
      </w:pPr>
      <w:rPr>
        <w:rFonts w:ascii="Symbol" w:hAnsi="Symbol" w:hint="default"/>
      </w:rPr>
    </w:lvl>
    <w:lvl w:ilvl="1" w:tplc="F228724E" w:tentative="1">
      <w:start w:val="1"/>
      <w:numFmt w:val="bullet"/>
      <w:lvlText w:val="o"/>
      <w:lvlJc w:val="left"/>
      <w:pPr>
        <w:ind w:left="1080" w:hanging="360"/>
      </w:pPr>
      <w:rPr>
        <w:rFonts w:ascii="Courier New" w:hAnsi="Courier New" w:cs="Courier New" w:hint="default"/>
      </w:rPr>
    </w:lvl>
    <w:lvl w:ilvl="2" w:tplc="AF666404" w:tentative="1">
      <w:start w:val="1"/>
      <w:numFmt w:val="bullet"/>
      <w:lvlText w:val=""/>
      <w:lvlJc w:val="left"/>
      <w:pPr>
        <w:ind w:left="1800" w:hanging="360"/>
      </w:pPr>
      <w:rPr>
        <w:rFonts w:ascii="Wingdings" w:hAnsi="Wingdings" w:hint="default"/>
      </w:rPr>
    </w:lvl>
    <w:lvl w:ilvl="3" w:tplc="60CCC574" w:tentative="1">
      <w:start w:val="1"/>
      <w:numFmt w:val="bullet"/>
      <w:lvlText w:val=""/>
      <w:lvlJc w:val="left"/>
      <w:pPr>
        <w:ind w:left="2520" w:hanging="360"/>
      </w:pPr>
      <w:rPr>
        <w:rFonts w:ascii="Symbol" w:hAnsi="Symbol" w:hint="default"/>
      </w:rPr>
    </w:lvl>
    <w:lvl w:ilvl="4" w:tplc="7FC07668" w:tentative="1">
      <w:start w:val="1"/>
      <w:numFmt w:val="bullet"/>
      <w:lvlText w:val="o"/>
      <w:lvlJc w:val="left"/>
      <w:pPr>
        <w:ind w:left="3240" w:hanging="360"/>
      </w:pPr>
      <w:rPr>
        <w:rFonts w:ascii="Courier New" w:hAnsi="Courier New" w:cs="Courier New" w:hint="default"/>
      </w:rPr>
    </w:lvl>
    <w:lvl w:ilvl="5" w:tplc="DF5A404E" w:tentative="1">
      <w:start w:val="1"/>
      <w:numFmt w:val="bullet"/>
      <w:lvlText w:val=""/>
      <w:lvlJc w:val="left"/>
      <w:pPr>
        <w:ind w:left="3960" w:hanging="360"/>
      </w:pPr>
      <w:rPr>
        <w:rFonts w:ascii="Wingdings" w:hAnsi="Wingdings" w:hint="default"/>
      </w:rPr>
    </w:lvl>
    <w:lvl w:ilvl="6" w:tplc="4F7CC2B0" w:tentative="1">
      <w:start w:val="1"/>
      <w:numFmt w:val="bullet"/>
      <w:lvlText w:val=""/>
      <w:lvlJc w:val="left"/>
      <w:pPr>
        <w:ind w:left="4680" w:hanging="360"/>
      </w:pPr>
      <w:rPr>
        <w:rFonts w:ascii="Symbol" w:hAnsi="Symbol" w:hint="default"/>
      </w:rPr>
    </w:lvl>
    <w:lvl w:ilvl="7" w:tplc="6B749F7A" w:tentative="1">
      <w:start w:val="1"/>
      <w:numFmt w:val="bullet"/>
      <w:lvlText w:val="o"/>
      <w:lvlJc w:val="left"/>
      <w:pPr>
        <w:ind w:left="5400" w:hanging="360"/>
      </w:pPr>
      <w:rPr>
        <w:rFonts w:ascii="Courier New" w:hAnsi="Courier New" w:cs="Courier New" w:hint="default"/>
      </w:rPr>
    </w:lvl>
    <w:lvl w:ilvl="8" w:tplc="94C6DE8E" w:tentative="1">
      <w:start w:val="1"/>
      <w:numFmt w:val="bullet"/>
      <w:lvlText w:val=""/>
      <w:lvlJc w:val="left"/>
      <w:pPr>
        <w:ind w:left="6120" w:hanging="360"/>
      </w:pPr>
      <w:rPr>
        <w:rFonts w:ascii="Wingdings" w:hAnsi="Wingdings" w:hint="default"/>
      </w:rPr>
    </w:lvl>
  </w:abstractNum>
  <w:abstractNum w:abstractNumId="14" w15:restartNumberingAfterBreak="0">
    <w:nsid w:val="642E74AF"/>
    <w:multiLevelType w:val="hybridMultilevel"/>
    <w:tmpl w:val="48CE5FD2"/>
    <w:lvl w:ilvl="0" w:tplc="DC0AEA28">
      <w:start w:val="1"/>
      <w:numFmt w:val="lowerLetter"/>
      <w:pStyle w:val="Tablelett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950C76"/>
    <w:multiLevelType w:val="hybridMultilevel"/>
    <w:tmpl w:val="84482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8"/>
  </w:num>
  <w:num w:numId="3">
    <w:abstractNumId w:val="9"/>
  </w:num>
  <w:num w:numId="4">
    <w:abstractNumId w:val="0"/>
  </w:num>
  <w:num w:numId="5">
    <w:abstractNumId w:val="7"/>
  </w:num>
  <w:num w:numId="6">
    <w:abstractNumId w:val="6"/>
  </w:num>
  <w:num w:numId="7">
    <w:abstractNumId w:val="1"/>
  </w:num>
  <w:num w:numId="8">
    <w:abstractNumId w:val="14"/>
  </w:num>
  <w:num w:numId="9">
    <w:abstractNumId w:val="2"/>
  </w:num>
  <w:num w:numId="10">
    <w:abstractNumId w:val="5"/>
  </w:num>
  <w:num w:numId="11">
    <w:abstractNumId w:val="10"/>
  </w:num>
  <w:num w:numId="12">
    <w:abstractNumId w:val="11"/>
  </w:num>
  <w:num w:numId="13">
    <w:abstractNumId w:val="12"/>
  </w:num>
  <w:num w:numId="14">
    <w:abstractNumId w:val="3"/>
  </w:num>
  <w:num w:numId="15">
    <w:abstractNumId w:val="4"/>
  </w:num>
  <w:num w:numId="16">
    <w:abstractNumId w:val="15"/>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DCqBQBx9+58LgAAAA=="/>
  </w:docVars>
  <w:rsids>
    <w:rsidRoot w:val="00E65E79"/>
    <w:rsid w:val="00000790"/>
    <w:rsid w:val="00000D5C"/>
    <w:rsid w:val="0000110B"/>
    <w:rsid w:val="00001939"/>
    <w:rsid w:val="00002253"/>
    <w:rsid w:val="00002521"/>
    <w:rsid w:val="00002AB9"/>
    <w:rsid w:val="0000303D"/>
    <w:rsid w:val="00003499"/>
    <w:rsid w:val="000039B7"/>
    <w:rsid w:val="00004DE0"/>
    <w:rsid w:val="0000502F"/>
    <w:rsid w:val="000058C3"/>
    <w:rsid w:val="0000639A"/>
    <w:rsid w:val="00006890"/>
    <w:rsid w:val="000072B0"/>
    <w:rsid w:val="000106D2"/>
    <w:rsid w:val="00010BC6"/>
    <w:rsid w:val="00010F85"/>
    <w:rsid w:val="000111F5"/>
    <w:rsid w:val="00012375"/>
    <w:rsid w:val="00013247"/>
    <w:rsid w:val="00013F98"/>
    <w:rsid w:val="00015886"/>
    <w:rsid w:val="00015BB0"/>
    <w:rsid w:val="000162EF"/>
    <w:rsid w:val="0001797E"/>
    <w:rsid w:val="000207C9"/>
    <w:rsid w:val="000211F4"/>
    <w:rsid w:val="00021BE7"/>
    <w:rsid w:val="0002225F"/>
    <w:rsid w:val="00022974"/>
    <w:rsid w:val="00022BA5"/>
    <w:rsid w:val="0002325A"/>
    <w:rsid w:val="00023763"/>
    <w:rsid w:val="00024ECD"/>
    <w:rsid w:val="0002594F"/>
    <w:rsid w:val="00025D08"/>
    <w:rsid w:val="000274B8"/>
    <w:rsid w:val="00027FEA"/>
    <w:rsid w:val="00030575"/>
    <w:rsid w:val="0003058A"/>
    <w:rsid w:val="00030EFD"/>
    <w:rsid w:val="000329F1"/>
    <w:rsid w:val="00033863"/>
    <w:rsid w:val="000348BC"/>
    <w:rsid w:val="00035DC0"/>
    <w:rsid w:val="00036529"/>
    <w:rsid w:val="00036829"/>
    <w:rsid w:val="00036F14"/>
    <w:rsid w:val="000376EA"/>
    <w:rsid w:val="00037E5C"/>
    <w:rsid w:val="00040338"/>
    <w:rsid w:val="00040895"/>
    <w:rsid w:val="000435EE"/>
    <w:rsid w:val="00043C37"/>
    <w:rsid w:val="00045017"/>
    <w:rsid w:val="00045A2B"/>
    <w:rsid w:val="0004698F"/>
    <w:rsid w:val="00046A88"/>
    <w:rsid w:val="00051511"/>
    <w:rsid w:val="00051AC9"/>
    <w:rsid w:val="00051F55"/>
    <w:rsid w:val="00052AE8"/>
    <w:rsid w:val="00053058"/>
    <w:rsid w:val="000538F4"/>
    <w:rsid w:val="000539D0"/>
    <w:rsid w:val="00053FD3"/>
    <w:rsid w:val="00054621"/>
    <w:rsid w:val="000546D7"/>
    <w:rsid w:val="0005680E"/>
    <w:rsid w:val="00056930"/>
    <w:rsid w:val="00056ECF"/>
    <w:rsid w:val="000575BC"/>
    <w:rsid w:val="00060266"/>
    <w:rsid w:val="000604DF"/>
    <w:rsid w:val="0006152E"/>
    <w:rsid w:val="00065108"/>
    <w:rsid w:val="000653B5"/>
    <w:rsid w:val="000655B8"/>
    <w:rsid w:val="00066360"/>
    <w:rsid w:val="000663DB"/>
    <w:rsid w:val="000669A8"/>
    <w:rsid w:val="00066AF8"/>
    <w:rsid w:val="00071248"/>
    <w:rsid w:val="00071B70"/>
    <w:rsid w:val="000720B9"/>
    <w:rsid w:val="00073089"/>
    <w:rsid w:val="00073735"/>
    <w:rsid w:val="000737F7"/>
    <w:rsid w:val="00074609"/>
    <w:rsid w:val="00075CAE"/>
    <w:rsid w:val="00075E64"/>
    <w:rsid w:val="0007672F"/>
    <w:rsid w:val="00076B54"/>
    <w:rsid w:val="000774F0"/>
    <w:rsid w:val="0007754B"/>
    <w:rsid w:val="0008045D"/>
    <w:rsid w:val="00080909"/>
    <w:rsid w:val="000812CA"/>
    <w:rsid w:val="00081E63"/>
    <w:rsid w:val="00081EFF"/>
    <w:rsid w:val="0008258D"/>
    <w:rsid w:val="00083489"/>
    <w:rsid w:val="00083E99"/>
    <w:rsid w:val="00084FA8"/>
    <w:rsid w:val="00085382"/>
    <w:rsid w:val="000856C5"/>
    <w:rsid w:val="00085C31"/>
    <w:rsid w:val="00086F09"/>
    <w:rsid w:val="000902D9"/>
    <w:rsid w:val="00090A06"/>
    <w:rsid w:val="00090C7E"/>
    <w:rsid w:val="00092600"/>
    <w:rsid w:val="0009262B"/>
    <w:rsid w:val="00093310"/>
    <w:rsid w:val="00094440"/>
    <w:rsid w:val="0009445C"/>
    <w:rsid w:val="00095200"/>
    <w:rsid w:val="00095F0E"/>
    <w:rsid w:val="00095FE5"/>
    <w:rsid w:val="00096284"/>
    <w:rsid w:val="00096454"/>
    <w:rsid w:val="00096A1B"/>
    <w:rsid w:val="00096BD6"/>
    <w:rsid w:val="00096DE4"/>
    <w:rsid w:val="000A107F"/>
    <w:rsid w:val="000A150B"/>
    <w:rsid w:val="000A1BC0"/>
    <w:rsid w:val="000A36DD"/>
    <w:rsid w:val="000A4B85"/>
    <w:rsid w:val="000A5890"/>
    <w:rsid w:val="000A6039"/>
    <w:rsid w:val="000A62F5"/>
    <w:rsid w:val="000A7453"/>
    <w:rsid w:val="000A7D08"/>
    <w:rsid w:val="000B0121"/>
    <w:rsid w:val="000B0670"/>
    <w:rsid w:val="000B0E75"/>
    <w:rsid w:val="000B2DCB"/>
    <w:rsid w:val="000B3B1B"/>
    <w:rsid w:val="000B573C"/>
    <w:rsid w:val="000B5CE0"/>
    <w:rsid w:val="000B6CAC"/>
    <w:rsid w:val="000B7612"/>
    <w:rsid w:val="000B78AE"/>
    <w:rsid w:val="000C0C03"/>
    <w:rsid w:val="000C1AC4"/>
    <w:rsid w:val="000C24B5"/>
    <w:rsid w:val="000C26B1"/>
    <w:rsid w:val="000C3A52"/>
    <w:rsid w:val="000C3DD4"/>
    <w:rsid w:val="000C3DF9"/>
    <w:rsid w:val="000C5669"/>
    <w:rsid w:val="000C5FBF"/>
    <w:rsid w:val="000C6713"/>
    <w:rsid w:val="000C789F"/>
    <w:rsid w:val="000D1BFC"/>
    <w:rsid w:val="000D1D5D"/>
    <w:rsid w:val="000D281A"/>
    <w:rsid w:val="000D2848"/>
    <w:rsid w:val="000D2955"/>
    <w:rsid w:val="000D3111"/>
    <w:rsid w:val="000D3141"/>
    <w:rsid w:val="000D326A"/>
    <w:rsid w:val="000D35B1"/>
    <w:rsid w:val="000D48D6"/>
    <w:rsid w:val="000D51FB"/>
    <w:rsid w:val="000D6070"/>
    <w:rsid w:val="000D703F"/>
    <w:rsid w:val="000D75D1"/>
    <w:rsid w:val="000D7915"/>
    <w:rsid w:val="000E00A9"/>
    <w:rsid w:val="000E03AE"/>
    <w:rsid w:val="000E0640"/>
    <w:rsid w:val="000E128F"/>
    <w:rsid w:val="000E135D"/>
    <w:rsid w:val="000E2110"/>
    <w:rsid w:val="000E42F4"/>
    <w:rsid w:val="000E54F8"/>
    <w:rsid w:val="000F00BA"/>
    <w:rsid w:val="000F0D99"/>
    <w:rsid w:val="000F2E47"/>
    <w:rsid w:val="000F316A"/>
    <w:rsid w:val="000F39E5"/>
    <w:rsid w:val="000F3C74"/>
    <w:rsid w:val="000F3E34"/>
    <w:rsid w:val="000F48E0"/>
    <w:rsid w:val="000F4BB8"/>
    <w:rsid w:val="000F4F65"/>
    <w:rsid w:val="000F4FA9"/>
    <w:rsid w:val="000F53FB"/>
    <w:rsid w:val="000F5782"/>
    <w:rsid w:val="000F5B10"/>
    <w:rsid w:val="000F6F41"/>
    <w:rsid w:val="000F7127"/>
    <w:rsid w:val="000F7B54"/>
    <w:rsid w:val="000F7E74"/>
    <w:rsid w:val="0010034B"/>
    <w:rsid w:val="00100F8A"/>
    <w:rsid w:val="00103001"/>
    <w:rsid w:val="00103654"/>
    <w:rsid w:val="001044E5"/>
    <w:rsid w:val="0010452E"/>
    <w:rsid w:val="0010467F"/>
    <w:rsid w:val="00105AE2"/>
    <w:rsid w:val="001060C6"/>
    <w:rsid w:val="00106B80"/>
    <w:rsid w:val="0011032E"/>
    <w:rsid w:val="0011196F"/>
    <w:rsid w:val="0011348B"/>
    <w:rsid w:val="00115982"/>
    <w:rsid w:val="001159B1"/>
    <w:rsid w:val="00116C53"/>
    <w:rsid w:val="0011724F"/>
    <w:rsid w:val="001213E7"/>
    <w:rsid w:val="0012156A"/>
    <w:rsid w:val="00121799"/>
    <w:rsid w:val="001222FC"/>
    <w:rsid w:val="00122812"/>
    <w:rsid w:val="00122DAB"/>
    <w:rsid w:val="001230D4"/>
    <w:rsid w:val="001235B5"/>
    <w:rsid w:val="00123902"/>
    <w:rsid w:val="00123D2E"/>
    <w:rsid w:val="00123FBB"/>
    <w:rsid w:val="00124A51"/>
    <w:rsid w:val="0012516C"/>
    <w:rsid w:val="001257B6"/>
    <w:rsid w:val="00126621"/>
    <w:rsid w:val="00126B1D"/>
    <w:rsid w:val="00126BD7"/>
    <w:rsid w:val="00126E93"/>
    <w:rsid w:val="001301E9"/>
    <w:rsid w:val="00131D82"/>
    <w:rsid w:val="00131E39"/>
    <w:rsid w:val="00132928"/>
    <w:rsid w:val="00132B22"/>
    <w:rsid w:val="001330F0"/>
    <w:rsid w:val="00133C4F"/>
    <w:rsid w:val="00133D36"/>
    <w:rsid w:val="001341A8"/>
    <w:rsid w:val="0013436A"/>
    <w:rsid w:val="00137645"/>
    <w:rsid w:val="00137BAA"/>
    <w:rsid w:val="001400B4"/>
    <w:rsid w:val="0014015A"/>
    <w:rsid w:val="00140E99"/>
    <w:rsid w:val="00141952"/>
    <w:rsid w:val="00141A6B"/>
    <w:rsid w:val="001424B5"/>
    <w:rsid w:val="00143B45"/>
    <w:rsid w:val="00143ECF"/>
    <w:rsid w:val="00143F67"/>
    <w:rsid w:val="0014490E"/>
    <w:rsid w:val="00144BC6"/>
    <w:rsid w:val="00145238"/>
    <w:rsid w:val="00145540"/>
    <w:rsid w:val="001456B0"/>
    <w:rsid w:val="001458A4"/>
    <w:rsid w:val="00146E66"/>
    <w:rsid w:val="00151851"/>
    <w:rsid w:val="00152F01"/>
    <w:rsid w:val="00153A5C"/>
    <w:rsid w:val="00154E9D"/>
    <w:rsid w:val="0015568F"/>
    <w:rsid w:val="00156124"/>
    <w:rsid w:val="00156F8F"/>
    <w:rsid w:val="00156FBD"/>
    <w:rsid w:val="00157130"/>
    <w:rsid w:val="001576B1"/>
    <w:rsid w:val="00157C96"/>
    <w:rsid w:val="00157C98"/>
    <w:rsid w:val="0016047B"/>
    <w:rsid w:val="001606F0"/>
    <w:rsid w:val="00160A4C"/>
    <w:rsid w:val="00160CCB"/>
    <w:rsid w:val="001613E1"/>
    <w:rsid w:val="00161E2D"/>
    <w:rsid w:val="00162913"/>
    <w:rsid w:val="00163EFF"/>
    <w:rsid w:val="00163F66"/>
    <w:rsid w:val="0016519A"/>
    <w:rsid w:val="00165EA9"/>
    <w:rsid w:val="001661FB"/>
    <w:rsid w:val="001671A0"/>
    <w:rsid w:val="0016767F"/>
    <w:rsid w:val="0016778A"/>
    <w:rsid w:val="00170051"/>
    <w:rsid w:val="00170CB3"/>
    <w:rsid w:val="00170D71"/>
    <w:rsid w:val="001719FF"/>
    <w:rsid w:val="001720E3"/>
    <w:rsid w:val="001728CC"/>
    <w:rsid w:val="00173565"/>
    <w:rsid w:val="00173B07"/>
    <w:rsid w:val="00173D38"/>
    <w:rsid w:val="00174D57"/>
    <w:rsid w:val="001751FA"/>
    <w:rsid w:val="0017649A"/>
    <w:rsid w:val="001775F4"/>
    <w:rsid w:val="00177F9E"/>
    <w:rsid w:val="001803AA"/>
    <w:rsid w:val="001808B1"/>
    <w:rsid w:val="00180993"/>
    <w:rsid w:val="0018113F"/>
    <w:rsid w:val="00181D9C"/>
    <w:rsid w:val="00182AC1"/>
    <w:rsid w:val="00184B0E"/>
    <w:rsid w:val="00185219"/>
    <w:rsid w:val="0018752F"/>
    <w:rsid w:val="0019180D"/>
    <w:rsid w:val="00191AC2"/>
    <w:rsid w:val="001936E2"/>
    <w:rsid w:val="00193838"/>
    <w:rsid w:val="00193FD4"/>
    <w:rsid w:val="00194426"/>
    <w:rsid w:val="00194AD8"/>
    <w:rsid w:val="00195126"/>
    <w:rsid w:val="00195222"/>
    <w:rsid w:val="00195CA0"/>
    <w:rsid w:val="00196152"/>
    <w:rsid w:val="00196D9D"/>
    <w:rsid w:val="001975D8"/>
    <w:rsid w:val="001A178E"/>
    <w:rsid w:val="001A1A70"/>
    <w:rsid w:val="001A1DAB"/>
    <w:rsid w:val="001A279A"/>
    <w:rsid w:val="001A3C94"/>
    <w:rsid w:val="001A41A9"/>
    <w:rsid w:val="001A43FA"/>
    <w:rsid w:val="001A47C5"/>
    <w:rsid w:val="001A59FB"/>
    <w:rsid w:val="001A5E9E"/>
    <w:rsid w:val="001A6354"/>
    <w:rsid w:val="001A6366"/>
    <w:rsid w:val="001A6715"/>
    <w:rsid w:val="001A690A"/>
    <w:rsid w:val="001A7AE8"/>
    <w:rsid w:val="001B1058"/>
    <w:rsid w:val="001B116F"/>
    <w:rsid w:val="001B1BE6"/>
    <w:rsid w:val="001B204E"/>
    <w:rsid w:val="001B2372"/>
    <w:rsid w:val="001B3443"/>
    <w:rsid w:val="001B4C2B"/>
    <w:rsid w:val="001B4C30"/>
    <w:rsid w:val="001B4D20"/>
    <w:rsid w:val="001B64B0"/>
    <w:rsid w:val="001C0BA8"/>
    <w:rsid w:val="001C2A9B"/>
    <w:rsid w:val="001C2E01"/>
    <w:rsid w:val="001C300D"/>
    <w:rsid w:val="001C4299"/>
    <w:rsid w:val="001C4449"/>
    <w:rsid w:val="001C4874"/>
    <w:rsid w:val="001C5F94"/>
    <w:rsid w:val="001C6E66"/>
    <w:rsid w:val="001C6F9B"/>
    <w:rsid w:val="001D051B"/>
    <w:rsid w:val="001D1100"/>
    <w:rsid w:val="001D1391"/>
    <w:rsid w:val="001D1A24"/>
    <w:rsid w:val="001D25D7"/>
    <w:rsid w:val="001D318D"/>
    <w:rsid w:val="001D50B2"/>
    <w:rsid w:val="001D6CDE"/>
    <w:rsid w:val="001D6D25"/>
    <w:rsid w:val="001D7645"/>
    <w:rsid w:val="001D7C1A"/>
    <w:rsid w:val="001D7FB7"/>
    <w:rsid w:val="001E02B9"/>
    <w:rsid w:val="001E036B"/>
    <w:rsid w:val="001E1C49"/>
    <w:rsid w:val="001E1E86"/>
    <w:rsid w:val="001E238E"/>
    <w:rsid w:val="001E2483"/>
    <w:rsid w:val="001E2B1E"/>
    <w:rsid w:val="001E2CFF"/>
    <w:rsid w:val="001E2F24"/>
    <w:rsid w:val="001E30D4"/>
    <w:rsid w:val="001E34DF"/>
    <w:rsid w:val="001E428D"/>
    <w:rsid w:val="001E47BD"/>
    <w:rsid w:val="001E4FD8"/>
    <w:rsid w:val="001E52EB"/>
    <w:rsid w:val="001E61D2"/>
    <w:rsid w:val="001E740C"/>
    <w:rsid w:val="001F1235"/>
    <w:rsid w:val="001F1CB3"/>
    <w:rsid w:val="001F1D47"/>
    <w:rsid w:val="001F38B5"/>
    <w:rsid w:val="001F4081"/>
    <w:rsid w:val="001F4327"/>
    <w:rsid w:val="001F46FB"/>
    <w:rsid w:val="001F4CBC"/>
    <w:rsid w:val="001F516D"/>
    <w:rsid w:val="001F528D"/>
    <w:rsid w:val="001F7361"/>
    <w:rsid w:val="001F7D3B"/>
    <w:rsid w:val="00200C01"/>
    <w:rsid w:val="002011B0"/>
    <w:rsid w:val="00202425"/>
    <w:rsid w:val="00202C16"/>
    <w:rsid w:val="00203181"/>
    <w:rsid w:val="002035DE"/>
    <w:rsid w:val="00203783"/>
    <w:rsid w:val="0020385F"/>
    <w:rsid w:val="002068A0"/>
    <w:rsid w:val="002068E8"/>
    <w:rsid w:val="00207021"/>
    <w:rsid w:val="00207262"/>
    <w:rsid w:val="0020732F"/>
    <w:rsid w:val="002076F6"/>
    <w:rsid w:val="00207D00"/>
    <w:rsid w:val="002101B5"/>
    <w:rsid w:val="002105C1"/>
    <w:rsid w:val="002129BD"/>
    <w:rsid w:val="00212F9C"/>
    <w:rsid w:val="00213EF5"/>
    <w:rsid w:val="00214345"/>
    <w:rsid w:val="00215057"/>
    <w:rsid w:val="002166C2"/>
    <w:rsid w:val="00216BF5"/>
    <w:rsid w:val="00221245"/>
    <w:rsid w:val="00222F23"/>
    <w:rsid w:val="002238A0"/>
    <w:rsid w:val="00223B49"/>
    <w:rsid w:val="00223D5A"/>
    <w:rsid w:val="00223F9B"/>
    <w:rsid w:val="0022449B"/>
    <w:rsid w:val="00224DD4"/>
    <w:rsid w:val="00224FC8"/>
    <w:rsid w:val="00225BBC"/>
    <w:rsid w:val="00225D94"/>
    <w:rsid w:val="00226271"/>
    <w:rsid w:val="0022658B"/>
    <w:rsid w:val="00226E2E"/>
    <w:rsid w:val="002278A0"/>
    <w:rsid w:val="002302C9"/>
    <w:rsid w:val="002306F8"/>
    <w:rsid w:val="002309CC"/>
    <w:rsid w:val="00230BCF"/>
    <w:rsid w:val="00230F0D"/>
    <w:rsid w:val="00230FC1"/>
    <w:rsid w:val="0023209F"/>
    <w:rsid w:val="00232292"/>
    <w:rsid w:val="002325D6"/>
    <w:rsid w:val="00232690"/>
    <w:rsid w:val="002330F6"/>
    <w:rsid w:val="00233281"/>
    <w:rsid w:val="00233C01"/>
    <w:rsid w:val="0023413C"/>
    <w:rsid w:val="002346F0"/>
    <w:rsid w:val="002348B1"/>
    <w:rsid w:val="00235A10"/>
    <w:rsid w:val="00235EAF"/>
    <w:rsid w:val="0023629D"/>
    <w:rsid w:val="00236417"/>
    <w:rsid w:val="00237255"/>
    <w:rsid w:val="002374D6"/>
    <w:rsid w:val="00240F8F"/>
    <w:rsid w:val="002410B0"/>
    <w:rsid w:val="0024172C"/>
    <w:rsid w:val="00241BEE"/>
    <w:rsid w:val="002424AF"/>
    <w:rsid w:val="002439DC"/>
    <w:rsid w:val="002441D2"/>
    <w:rsid w:val="00244CB6"/>
    <w:rsid w:val="00244DC8"/>
    <w:rsid w:val="002456DF"/>
    <w:rsid w:val="002458BA"/>
    <w:rsid w:val="002459BE"/>
    <w:rsid w:val="00245CE9"/>
    <w:rsid w:val="0024627D"/>
    <w:rsid w:val="0024636C"/>
    <w:rsid w:val="00246BCE"/>
    <w:rsid w:val="00247925"/>
    <w:rsid w:val="00247A25"/>
    <w:rsid w:val="00247C59"/>
    <w:rsid w:val="00251006"/>
    <w:rsid w:val="002524D5"/>
    <w:rsid w:val="002527C2"/>
    <w:rsid w:val="002531FF"/>
    <w:rsid w:val="00253A1C"/>
    <w:rsid w:val="00253B1D"/>
    <w:rsid w:val="00253F47"/>
    <w:rsid w:val="002545C3"/>
    <w:rsid w:val="00254B94"/>
    <w:rsid w:val="00254D52"/>
    <w:rsid w:val="00254DCF"/>
    <w:rsid w:val="0025515B"/>
    <w:rsid w:val="0025534B"/>
    <w:rsid w:val="00255AAD"/>
    <w:rsid w:val="00255BB7"/>
    <w:rsid w:val="0025611E"/>
    <w:rsid w:val="00256298"/>
    <w:rsid w:val="00257541"/>
    <w:rsid w:val="00257A39"/>
    <w:rsid w:val="00257AC4"/>
    <w:rsid w:val="00260B06"/>
    <w:rsid w:val="0026137F"/>
    <w:rsid w:val="00261EEF"/>
    <w:rsid w:val="00262A1A"/>
    <w:rsid w:val="00262A87"/>
    <w:rsid w:val="00263AA7"/>
    <w:rsid w:val="00264D26"/>
    <w:rsid w:val="002663BF"/>
    <w:rsid w:val="002666BD"/>
    <w:rsid w:val="00266EB9"/>
    <w:rsid w:val="00267642"/>
    <w:rsid w:val="00267AEA"/>
    <w:rsid w:val="00267C12"/>
    <w:rsid w:val="002700E6"/>
    <w:rsid w:val="002713E7"/>
    <w:rsid w:val="0027294B"/>
    <w:rsid w:val="00273EB4"/>
    <w:rsid w:val="00274682"/>
    <w:rsid w:val="00274A07"/>
    <w:rsid w:val="00274EE6"/>
    <w:rsid w:val="00274FA4"/>
    <w:rsid w:val="00275C5A"/>
    <w:rsid w:val="00275EB6"/>
    <w:rsid w:val="002763E8"/>
    <w:rsid w:val="00281014"/>
    <w:rsid w:val="0028107D"/>
    <w:rsid w:val="00281B60"/>
    <w:rsid w:val="00282F51"/>
    <w:rsid w:val="002838FE"/>
    <w:rsid w:val="00283BA4"/>
    <w:rsid w:val="00283D6D"/>
    <w:rsid w:val="002851C1"/>
    <w:rsid w:val="00285A3D"/>
    <w:rsid w:val="0028609E"/>
    <w:rsid w:val="0028665D"/>
    <w:rsid w:val="00286666"/>
    <w:rsid w:val="00287400"/>
    <w:rsid w:val="002877BD"/>
    <w:rsid w:val="002906E5"/>
    <w:rsid w:val="0029077E"/>
    <w:rsid w:val="00291E90"/>
    <w:rsid w:val="00292415"/>
    <w:rsid w:val="00292AE7"/>
    <w:rsid w:val="00293A1B"/>
    <w:rsid w:val="002946DC"/>
    <w:rsid w:val="00296522"/>
    <w:rsid w:val="00296CC9"/>
    <w:rsid w:val="0029778A"/>
    <w:rsid w:val="00297F09"/>
    <w:rsid w:val="002A14AB"/>
    <w:rsid w:val="002A212B"/>
    <w:rsid w:val="002A2297"/>
    <w:rsid w:val="002A2ADE"/>
    <w:rsid w:val="002A2F50"/>
    <w:rsid w:val="002A3C22"/>
    <w:rsid w:val="002A4318"/>
    <w:rsid w:val="002A4F6E"/>
    <w:rsid w:val="002A5E6E"/>
    <w:rsid w:val="002A6136"/>
    <w:rsid w:val="002A635E"/>
    <w:rsid w:val="002A74EB"/>
    <w:rsid w:val="002B05A1"/>
    <w:rsid w:val="002B09A4"/>
    <w:rsid w:val="002B1C1F"/>
    <w:rsid w:val="002B2DB7"/>
    <w:rsid w:val="002B33CB"/>
    <w:rsid w:val="002B3608"/>
    <w:rsid w:val="002B3A23"/>
    <w:rsid w:val="002B432F"/>
    <w:rsid w:val="002B45E6"/>
    <w:rsid w:val="002B46CE"/>
    <w:rsid w:val="002B48BB"/>
    <w:rsid w:val="002B5681"/>
    <w:rsid w:val="002B62B3"/>
    <w:rsid w:val="002B6754"/>
    <w:rsid w:val="002B6C70"/>
    <w:rsid w:val="002B6CCE"/>
    <w:rsid w:val="002B7C25"/>
    <w:rsid w:val="002C02E4"/>
    <w:rsid w:val="002C03CB"/>
    <w:rsid w:val="002C0742"/>
    <w:rsid w:val="002C0C4D"/>
    <w:rsid w:val="002C0E92"/>
    <w:rsid w:val="002C138C"/>
    <w:rsid w:val="002C2290"/>
    <w:rsid w:val="002C2510"/>
    <w:rsid w:val="002C2775"/>
    <w:rsid w:val="002C27C1"/>
    <w:rsid w:val="002C304E"/>
    <w:rsid w:val="002C34EA"/>
    <w:rsid w:val="002C5099"/>
    <w:rsid w:val="002C5889"/>
    <w:rsid w:val="002C62BB"/>
    <w:rsid w:val="002C71CE"/>
    <w:rsid w:val="002C77BC"/>
    <w:rsid w:val="002D08F8"/>
    <w:rsid w:val="002D16F7"/>
    <w:rsid w:val="002D3787"/>
    <w:rsid w:val="002D3A1B"/>
    <w:rsid w:val="002D53FB"/>
    <w:rsid w:val="002D577C"/>
    <w:rsid w:val="002D735A"/>
    <w:rsid w:val="002D7744"/>
    <w:rsid w:val="002D7803"/>
    <w:rsid w:val="002E0324"/>
    <w:rsid w:val="002E0F0C"/>
    <w:rsid w:val="002E1071"/>
    <w:rsid w:val="002E1550"/>
    <w:rsid w:val="002E15B9"/>
    <w:rsid w:val="002E2158"/>
    <w:rsid w:val="002E4F02"/>
    <w:rsid w:val="002E7722"/>
    <w:rsid w:val="002E7A7B"/>
    <w:rsid w:val="002E7F21"/>
    <w:rsid w:val="002F0454"/>
    <w:rsid w:val="002F05A0"/>
    <w:rsid w:val="002F07BA"/>
    <w:rsid w:val="002F0DA9"/>
    <w:rsid w:val="002F1014"/>
    <w:rsid w:val="002F16B6"/>
    <w:rsid w:val="002F2035"/>
    <w:rsid w:val="002F233D"/>
    <w:rsid w:val="002F27DD"/>
    <w:rsid w:val="002F2F60"/>
    <w:rsid w:val="002F456E"/>
    <w:rsid w:val="002F4DEE"/>
    <w:rsid w:val="002F6382"/>
    <w:rsid w:val="002F643C"/>
    <w:rsid w:val="002F6F74"/>
    <w:rsid w:val="002F71C0"/>
    <w:rsid w:val="002F74F1"/>
    <w:rsid w:val="002F7BD4"/>
    <w:rsid w:val="00301017"/>
    <w:rsid w:val="0030155F"/>
    <w:rsid w:val="003027A4"/>
    <w:rsid w:val="0030312B"/>
    <w:rsid w:val="0030587B"/>
    <w:rsid w:val="003060EF"/>
    <w:rsid w:val="00306745"/>
    <w:rsid w:val="00306D98"/>
    <w:rsid w:val="0030786C"/>
    <w:rsid w:val="0031031A"/>
    <w:rsid w:val="003103CD"/>
    <w:rsid w:val="00310981"/>
    <w:rsid w:val="003124D9"/>
    <w:rsid w:val="00312594"/>
    <w:rsid w:val="0031265D"/>
    <w:rsid w:val="00312A58"/>
    <w:rsid w:val="00312E2D"/>
    <w:rsid w:val="0031310C"/>
    <w:rsid w:val="00313506"/>
    <w:rsid w:val="00315498"/>
    <w:rsid w:val="00315BA8"/>
    <w:rsid w:val="00316474"/>
    <w:rsid w:val="003179AB"/>
    <w:rsid w:val="00320013"/>
    <w:rsid w:val="003203E5"/>
    <w:rsid w:val="00320E07"/>
    <w:rsid w:val="00321059"/>
    <w:rsid w:val="0032114B"/>
    <w:rsid w:val="00321FD1"/>
    <w:rsid w:val="00322107"/>
    <w:rsid w:val="00322355"/>
    <w:rsid w:val="00322846"/>
    <w:rsid w:val="0032324C"/>
    <w:rsid w:val="003241E9"/>
    <w:rsid w:val="00324AFA"/>
    <w:rsid w:val="00324FD1"/>
    <w:rsid w:val="00325886"/>
    <w:rsid w:val="00326DA7"/>
    <w:rsid w:val="003270E4"/>
    <w:rsid w:val="0032790A"/>
    <w:rsid w:val="00330545"/>
    <w:rsid w:val="00330DAA"/>
    <w:rsid w:val="00330F5C"/>
    <w:rsid w:val="00331756"/>
    <w:rsid w:val="00331982"/>
    <w:rsid w:val="00331991"/>
    <w:rsid w:val="00332CF8"/>
    <w:rsid w:val="003335FD"/>
    <w:rsid w:val="0033388C"/>
    <w:rsid w:val="00333890"/>
    <w:rsid w:val="00335497"/>
    <w:rsid w:val="0033591B"/>
    <w:rsid w:val="003361D1"/>
    <w:rsid w:val="003366C9"/>
    <w:rsid w:val="003371B0"/>
    <w:rsid w:val="003376EE"/>
    <w:rsid w:val="00337D0E"/>
    <w:rsid w:val="00340DF1"/>
    <w:rsid w:val="00342670"/>
    <w:rsid w:val="00342938"/>
    <w:rsid w:val="00342B16"/>
    <w:rsid w:val="0034333A"/>
    <w:rsid w:val="0034519B"/>
    <w:rsid w:val="00345550"/>
    <w:rsid w:val="00346168"/>
    <w:rsid w:val="00346B68"/>
    <w:rsid w:val="00350D9A"/>
    <w:rsid w:val="003510B6"/>
    <w:rsid w:val="003515B4"/>
    <w:rsid w:val="003517F9"/>
    <w:rsid w:val="003518B6"/>
    <w:rsid w:val="00351BA9"/>
    <w:rsid w:val="00351ECC"/>
    <w:rsid w:val="003533A2"/>
    <w:rsid w:val="003541F4"/>
    <w:rsid w:val="00354F64"/>
    <w:rsid w:val="00355727"/>
    <w:rsid w:val="00355B6C"/>
    <w:rsid w:val="0035620E"/>
    <w:rsid w:val="00356406"/>
    <w:rsid w:val="00356C55"/>
    <w:rsid w:val="00357620"/>
    <w:rsid w:val="00357BAB"/>
    <w:rsid w:val="003600AD"/>
    <w:rsid w:val="00360345"/>
    <w:rsid w:val="00361958"/>
    <w:rsid w:val="00361A05"/>
    <w:rsid w:val="003623C9"/>
    <w:rsid w:val="003624C4"/>
    <w:rsid w:val="00362687"/>
    <w:rsid w:val="00362869"/>
    <w:rsid w:val="00362A5B"/>
    <w:rsid w:val="00363B00"/>
    <w:rsid w:val="00364EF4"/>
    <w:rsid w:val="003654AC"/>
    <w:rsid w:val="00367CF1"/>
    <w:rsid w:val="00370C0D"/>
    <w:rsid w:val="0037107F"/>
    <w:rsid w:val="003710CF"/>
    <w:rsid w:val="00371137"/>
    <w:rsid w:val="003714F5"/>
    <w:rsid w:val="00372BAE"/>
    <w:rsid w:val="00372FA2"/>
    <w:rsid w:val="0037358A"/>
    <w:rsid w:val="00374676"/>
    <w:rsid w:val="003750F6"/>
    <w:rsid w:val="003760FC"/>
    <w:rsid w:val="00376351"/>
    <w:rsid w:val="00377C9B"/>
    <w:rsid w:val="003821B7"/>
    <w:rsid w:val="00382E55"/>
    <w:rsid w:val="0038365C"/>
    <w:rsid w:val="0038369B"/>
    <w:rsid w:val="00383B0D"/>
    <w:rsid w:val="00383B78"/>
    <w:rsid w:val="003846B1"/>
    <w:rsid w:val="0038531E"/>
    <w:rsid w:val="00385727"/>
    <w:rsid w:val="00385978"/>
    <w:rsid w:val="00385992"/>
    <w:rsid w:val="00385A9D"/>
    <w:rsid w:val="003865C4"/>
    <w:rsid w:val="003867D5"/>
    <w:rsid w:val="0038773A"/>
    <w:rsid w:val="003902B1"/>
    <w:rsid w:val="0039042E"/>
    <w:rsid w:val="0039179C"/>
    <w:rsid w:val="003932FC"/>
    <w:rsid w:val="003949F8"/>
    <w:rsid w:val="00396896"/>
    <w:rsid w:val="00396B61"/>
    <w:rsid w:val="00396FD0"/>
    <w:rsid w:val="00397565"/>
    <w:rsid w:val="003979EC"/>
    <w:rsid w:val="003A09C3"/>
    <w:rsid w:val="003A1A7A"/>
    <w:rsid w:val="003A2392"/>
    <w:rsid w:val="003A2831"/>
    <w:rsid w:val="003A3156"/>
    <w:rsid w:val="003A3CB6"/>
    <w:rsid w:val="003A3ED1"/>
    <w:rsid w:val="003A44DB"/>
    <w:rsid w:val="003A6D7D"/>
    <w:rsid w:val="003B00C9"/>
    <w:rsid w:val="003B2986"/>
    <w:rsid w:val="003B3285"/>
    <w:rsid w:val="003B331C"/>
    <w:rsid w:val="003B3971"/>
    <w:rsid w:val="003B4534"/>
    <w:rsid w:val="003B4A9E"/>
    <w:rsid w:val="003B55D1"/>
    <w:rsid w:val="003B5B61"/>
    <w:rsid w:val="003B773B"/>
    <w:rsid w:val="003B7D43"/>
    <w:rsid w:val="003B7E9A"/>
    <w:rsid w:val="003C0DCE"/>
    <w:rsid w:val="003C1654"/>
    <w:rsid w:val="003C1808"/>
    <w:rsid w:val="003C1D07"/>
    <w:rsid w:val="003C2C72"/>
    <w:rsid w:val="003C2D50"/>
    <w:rsid w:val="003C4578"/>
    <w:rsid w:val="003C49C9"/>
    <w:rsid w:val="003C5542"/>
    <w:rsid w:val="003C606E"/>
    <w:rsid w:val="003C6C7B"/>
    <w:rsid w:val="003C7D19"/>
    <w:rsid w:val="003C7D2F"/>
    <w:rsid w:val="003D0CCC"/>
    <w:rsid w:val="003D1828"/>
    <w:rsid w:val="003D19C9"/>
    <w:rsid w:val="003D1DE4"/>
    <w:rsid w:val="003D1E9A"/>
    <w:rsid w:val="003D2422"/>
    <w:rsid w:val="003D29DB"/>
    <w:rsid w:val="003D3144"/>
    <w:rsid w:val="003D378F"/>
    <w:rsid w:val="003D39A1"/>
    <w:rsid w:val="003D3FBF"/>
    <w:rsid w:val="003D4989"/>
    <w:rsid w:val="003D4A30"/>
    <w:rsid w:val="003D4EA7"/>
    <w:rsid w:val="003D544A"/>
    <w:rsid w:val="003D59B1"/>
    <w:rsid w:val="003D5F9D"/>
    <w:rsid w:val="003D7452"/>
    <w:rsid w:val="003D77F3"/>
    <w:rsid w:val="003D79BB"/>
    <w:rsid w:val="003D7C98"/>
    <w:rsid w:val="003D7D9D"/>
    <w:rsid w:val="003E0543"/>
    <w:rsid w:val="003E115B"/>
    <w:rsid w:val="003E2B60"/>
    <w:rsid w:val="003E517D"/>
    <w:rsid w:val="003E5617"/>
    <w:rsid w:val="003E58F5"/>
    <w:rsid w:val="003E63CB"/>
    <w:rsid w:val="003E6420"/>
    <w:rsid w:val="003E6CD0"/>
    <w:rsid w:val="003E749E"/>
    <w:rsid w:val="003F17E0"/>
    <w:rsid w:val="003F1BB4"/>
    <w:rsid w:val="003F35A0"/>
    <w:rsid w:val="003F4156"/>
    <w:rsid w:val="003F4C2E"/>
    <w:rsid w:val="003F58AA"/>
    <w:rsid w:val="003F5ADF"/>
    <w:rsid w:val="003F7188"/>
    <w:rsid w:val="003F71E4"/>
    <w:rsid w:val="00400185"/>
    <w:rsid w:val="00400B29"/>
    <w:rsid w:val="004014AA"/>
    <w:rsid w:val="00403CC6"/>
    <w:rsid w:val="0040504B"/>
    <w:rsid w:val="004059F4"/>
    <w:rsid w:val="00406D92"/>
    <w:rsid w:val="00407453"/>
    <w:rsid w:val="004079A8"/>
    <w:rsid w:val="00407FE5"/>
    <w:rsid w:val="004101B0"/>
    <w:rsid w:val="00410326"/>
    <w:rsid w:val="00410708"/>
    <w:rsid w:val="00410EC7"/>
    <w:rsid w:val="00411B39"/>
    <w:rsid w:val="004120F1"/>
    <w:rsid w:val="004127A7"/>
    <w:rsid w:val="00412E9A"/>
    <w:rsid w:val="00413A1E"/>
    <w:rsid w:val="00414476"/>
    <w:rsid w:val="00414C2E"/>
    <w:rsid w:val="00414F1E"/>
    <w:rsid w:val="004151CF"/>
    <w:rsid w:val="0041628F"/>
    <w:rsid w:val="00416364"/>
    <w:rsid w:val="004171B1"/>
    <w:rsid w:val="004200C0"/>
    <w:rsid w:val="0042047F"/>
    <w:rsid w:val="00420922"/>
    <w:rsid w:val="00420AA6"/>
    <w:rsid w:val="00420B9F"/>
    <w:rsid w:val="00420E14"/>
    <w:rsid w:val="0042192C"/>
    <w:rsid w:val="00422260"/>
    <w:rsid w:val="00422B35"/>
    <w:rsid w:val="00422C7D"/>
    <w:rsid w:val="0042335B"/>
    <w:rsid w:val="0042413F"/>
    <w:rsid w:val="00424927"/>
    <w:rsid w:val="00424997"/>
    <w:rsid w:val="00426A44"/>
    <w:rsid w:val="004272F5"/>
    <w:rsid w:val="00431644"/>
    <w:rsid w:val="004319F8"/>
    <w:rsid w:val="00431E55"/>
    <w:rsid w:val="004321F6"/>
    <w:rsid w:val="00432FD6"/>
    <w:rsid w:val="00433044"/>
    <w:rsid w:val="00434088"/>
    <w:rsid w:val="00435455"/>
    <w:rsid w:val="0043590B"/>
    <w:rsid w:val="00435E60"/>
    <w:rsid w:val="0043604F"/>
    <w:rsid w:val="00437187"/>
    <w:rsid w:val="004375B9"/>
    <w:rsid w:val="004409F7"/>
    <w:rsid w:val="00440D45"/>
    <w:rsid w:val="004428D0"/>
    <w:rsid w:val="004431CE"/>
    <w:rsid w:val="004432CB"/>
    <w:rsid w:val="00443DBD"/>
    <w:rsid w:val="00444185"/>
    <w:rsid w:val="004441AF"/>
    <w:rsid w:val="004443A7"/>
    <w:rsid w:val="0044442C"/>
    <w:rsid w:val="00445941"/>
    <w:rsid w:val="004464EB"/>
    <w:rsid w:val="00447D26"/>
    <w:rsid w:val="00447DFC"/>
    <w:rsid w:val="00450234"/>
    <w:rsid w:val="004518F4"/>
    <w:rsid w:val="00451D32"/>
    <w:rsid w:val="00453B08"/>
    <w:rsid w:val="00453CEF"/>
    <w:rsid w:val="00455D45"/>
    <w:rsid w:val="00461002"/>
    <w:rsid w:val="00461C15"/>
    <w:rsid w:val="004623C3"/>
    <w:rsid w:val="004627CE"/>
    <w:rsid w:val="004630E0"/>
    <w:rsid w:val="00464595"/>
    <w:rsid w:val="004658B5"/>
    <w:rsid w:val="004660F2"/>
    <w:rsid w:val="004665C2"/>
    <w:rsid w:val="004712A8"/>
    <w:rsid w:val="0047179F"/>
    <w:rsid w:val="00471936"/>
    <w:rsid w:val="00471EA5"/>
    <w:rsid w:val="00472169"/>
    <w:rsid w:val="00472A79"/>
    <w:rsid w:val="00473E6E"/>
    <w:rsid w:val="00473F19"/>
    <w:rsid w:val="00473FAC"/>
    <w:rsid w:val="00474CC4"/>
    <w:rsid w:val="0047504E"/>
    <w:rsid w:val="0047570D"/>
    <w:rsid w:val="00475A90"/>
    <w:rsid w:val="00475E22"/>
    <w:rsid w:val="004770EC"/>
    <w:rsid w:val="00477591"/>
    <w:rsid w:val="0048010F"/>
    <w:rsid w:val="00480620"/>
    <w:rsid w:val="0048088E"/>
    <w:rsid w:val="00480F2B"/>
    <w:rsid w:val="004810CC"/>
    <w:rsid w:val="00482720"/>
    <w:rsid w:val="00482BBB"/>
    <w:rsid w:val="004835E7"/>
    <w:rsid w:val="00483AA4"/>
    <w:rsid w:val="00484A89"/>
    <w:rsid w:val="00485AA3"/>
    <w:rsid w:val="00485FBA"/>
    <w:rsid w:val="004867E2"/>
    <w:rsid w:val="00487A5E"/>
    <w:rsid w:val="00487FB3"/>
    <w:rsid w:val="00490B17"/>
    <w:rsid w:val="00491489"/>
    <w:rsid w:val="00491B3A"/>
    <w:rsid w:val="00491E82"/>
    <w:rsid w:val="00492CFD"/>
    <w:rsid w:val="00494170"/>
    <w:rsid w:val="00494207"/>
    <w:rsid w:val="00494DD5"/>
    <w:rsid w:val="00495019"/>
    <w:rsid w:val="00495D4B"/>
    <w:rsid w:val="00495D51"/>
    <w:rsid w:val="00496018"/>
    <w:rsid w:val="004962D2"/>
    <w:rsid w:val="004968F6"/>
    <w:rsid w:val="004972DB"/>
    <w:rsid w:val="00497576"/>
    <w:rsid w:val="004A0DA1"/>
    <w:rsid w:val="004A13D6"/>
    <w:rsid w:val="004A257B"/>
    <w:rsid w:val="004A275A"/>
    <w:rsid w:val="004A27CD"/>
    <w:rsid w:val="004A3F45"/>
    <w:rsid w:val="004A402F"/>
    <w:rsid w:val="004A42AB"/>
    <w:rsid w:val="004A4574"/>
    <w:rsid w:val="004A52E9"/>
    <w:rsid w:val="004A561B"/>
    <w:rsid w:val="004A6040"/>
    <w:rsid w:val="004A6597"/>
    <w:rsid w:val="004A6838"/>
    <w:rsid w:val="004A748D"/>
    <w:rsid w:val="004A7848"/>
    <w:rsid w:val="004B077B"/>
    <w:rsid w:val="004B0F1D"/>
    <w:rsid w:val="004B1AC4"/>
    <w:rsid w:val="004B1B3A"/>
    <w:rsid w:val="004B1CB4"/>
    <w:rsid w:val="004B1F07"/>
    <w:rsid w:val="004B222D"/>
    <w:rsid w:val="004B2F18"/>
    <w:rsid w:val="004B3DDB"/>
    <w:rsid w:val="004B3FCE"/>
    <w:rsid w:val="004B44FD"/>
    <w:rsid w:val="004B5136"/>
    <w:rsid w:val="004B5CFC"/>
    <w:rsid w:val="004B61AD"/>
    <w:rsid w:val="004B6F79"/>
    <w:rsid w:val="004B7127"/>
    <w:rsid w:val="004B774D"/>
    <w:rsid w:val="004C1739"/>
    <w:rsid w:val="004C2C87"/>
    <w:rsid w:val="004C3EF7"/>
    <w:rsid w:val="004C3F96"/>
    <w:rsid w:val="004C4AED"/>
    <w:rsid w:val="004C56C5"/>
    <w:rsid w:val="004C74FD"/>
    <w:rsid w:val="004D05D2"/>
    <w:rsid w:val="004D1799"/>
    <w:rsid w:val="004D235A"/>
    <w:rsid w:val="004D2C2D"/>
    <w:rsid w:val="004D38DE"/>
    <w:rsid w:val="004D520C"/>
    <w:rsid w:val="004D639E"/>
    <w:rsid w:val="004D69B5"/>
    <w:rsid w:val="004D7227"/>
    <w:rsid w:val="004E0366"/>
    <w:rsid w:val="004E060D"/>
    <w:rsid w:val="004E0E7F"/>
    <w:rsid w:val="004E0EB8"/>
    <w:rsid w:val="004E159C"/>
    <w:rsid w:val="004E18E9"/>
    <w:rsid w:val="004E2ADC"/>
    <w:rsid w:val="004E2DDF"/>
    <w:rsid w:val="004E4270"/>
    <w:rsid w:val="004E43B2"/>
    <w:rsid w:val="004E4B0F"/>
    <w:rsid w:val="004E4D1E"/>
    <w:rsid w:val="004E5DB1"/>
    <w:rsid w:val="004F13E7"/>
    <w:rsid w:val="004F1D02"/>
    <w:rsid w:val="004F2679"/>
    <w:rsid w:val="004F2B0C"/>
    <w:rsid w:val="004F2F21"/>
    <w:rsid w:val="004F3DE5"/>
    <w:rsid w:val="004F416E"/>
    <w:rsid w:val="004F5495"/>
    <w:rsid w:val="004F5F97"/>
    <w:rsid w:val="004F6913"/>
    <w:rsid w:val="004F7865"/>
    <w:rsid w:val="00500694"/>
    <w:rsid w:val="0050174E"/>
    <w:rsid w:val="00501854"/>
    <w:rsid w:val="00501E2E"/>
    <w:rsid w:val="0050219B"/>
    <w:rsid w:val="00503F17"/>
    <w:rsid w:val="00504308"/>
    <w:rsid w:val="00504D73"/>
    <w:rsid w:val="00506928"/>
    <w:rsid w:val="00507463"/>
    <w:rsid w:val="005076D1"/>
    <w:rsid w:val="005077EF"/>
    <w:rsid w:val="00507E98"/>
    <w:rsid w:val="0051077B"/>
    <w:rsid w:val="00510ABF"/>
    <w:rsid w:val="00511AD5"/>
    <w:rsid w:val="00511DC7"/>
    <w:rsid w:val="005142C5"/>
    <w:rsid w:val="0051454C"/>
    <w:rsid w:val="0051501B"/>
    <w:rsid w:val="005152B5"/>
    <w:rsid w:val="0052123C"/>
    <w:rsid w:val="005212F7"/>
    <w:rsid w:val="00521319"/>
    <w:rsid w:val="00521BE5"/>
    <w:rsid w:val="00522BC8"/>
    <w:rsid w:val="0052337E"/>
    <w:rsid w:val="005238E3"/>
    <w:rsid w:val="00523C28"/>
    <w:rsid w:val="00525EFC"/>
    <w:rsid w:val="00527B16"/>
    <w:rsid w:val="00530757"/>
    <w:rsid w:val="0053176B"/>
    <w:rsid w:val="00531F35"/>
    <w:rsid w:val="00532236"/>
    <w:rsid w:val="00533BDE"/>
    <w:rsid w:val="0053466E"/>
    <w:rsid w:val="00535393"/>
    <w:rsid w:val="00536B40"/>
    <w:rsid w:val="00536F42"/>
    <w:rsid w:val="00537182"/>
    <w:rsid w:val="00537A9C"/>
    <w:rsid w:val="0054068D"/>
    <w:rsid w:val="00540802"/>
    <w:rsid w:val="00541ECA"/>
    <w:rsid w:val="00541EDD"/>
    <w:rsid w:val="00542743"/>
    <w:rsid w:val="00542A66"/>
    <w:rsid w:val="00542C2D"/>
    <w:rsid w:val="00543182"/>
    <w:rsid w:val="00543E55"/>
    <w:rsid w:val="005442EA"/>
    <w:rsid w:val="00545153"/>
    <w:rsid w:val="00546A6B"/>
    <w:rsid w:val="005478BD"/>
    <w:rsid w:val="005479E3"/>
    <w:rsid w:val="0055068A"/>
    <w:rsid w:val="00551985"/>
    <w:rsid w:val="00552BD3"/>
    <w:rsid w:val="005532A0"/>
    <w:rsid w:val="0055392D"/>
    <w:rsid w:val="00553F58"/>
    <w:rsid w:val="00553F69"/>
    <w:rsid w:val="00554B33"/>
    <w:rsid w:val="00554C62"/>
    <w:rsid w:val="00555109"/>
    <w:rsid w:val="00555418"/>
    <w:rsid w:val="00555B61"/>
    <w:rsid w:val="00556B35"/>
    <w:rsid w:val="00556C75"/>
    <w:rsid w:val="0055741A"/>
    <w:rsid w:val="005611B7"/>
    <w:rsid w:val="005618A5"/>
    <w:rsid w:val="005618D4"/>
    <w:rsid w:val="00561D8E"/>
    <w:rsid w:val="00563F49"/>
    <w:rsid w:val="00565069"/>
    <w:rsid w:val="00565DF0"/>
    <w:rsid w:val="0056696F"/>
    <w:rsid w:val="0056799F"/>
    <w:rsid w:val="00567F68"/>
    <w:rsid w:val="005711F6"/>
    <w:rsid w:val="00572269"/>
    <w:rsid w:val="0057244A"/>
    <w:rsid w:val="00572F26"/>
    <w:rsid w:val="0057434F"/>
    <w:rsid w:val="005750C5"/>
    <w:rsid w:val="005752DE"/>
    <w:rsid w:val="00575978"/>
    <w:rsid w:val="00575D8D"/>
    <w:rsid w:val="00575F0F"/>
    <w:rsid w:val="00576972"/>
    <w:rsid w:val="00576B4F"/>
    <w:rsid w:val="00580312"/>
    <w:rsid w:val="0058277F"/>
    <w:rsid w:val="005827F2"/>
    <w:rsid w:val="00582F91"/>
    <w:rsid w:val="00583699"/>
    <w:rsid w:val="005851B4"/>
    <w:rsid w:val="00585545"/>
    <w:rsid w:val="00585CDD"/>
    <w:rsid w:val="00587058"/>
    <w:rsid w:val="00587A2E"/>
    <w:rsid w:val="00587A9C"/>
    <w:rsid w:val="005904A3"/>
    <w:rsid w:val="00590535"/>
    <w:rsid w:val="00591067"/>
    <w:rsid w:val="00591957"/>
    <w:rsid w:val="005923C1"/>
    <w:rsid w:val="00592A89"/>
    <w:rsid w:val="005947DF"/>
    <w:rsid w:val="00596FA7"/>
    <w:rsid w:val="00597BF9"/>
    <w:rsid w:val="00597C65"/>
    <w:rsid w:val="005A1B7B"/>
    <w:rsid w:val="005A20C4"/>
    <w:rsid w:val="005A24B9"/>
    <w:rsid w:val="005A309A"/>
    <w:rsid w:val="005A30D3"/>
    <w:rsid w:val="005A373D"/>
    <w:rsid w:val="005A375B"/>
    <w:rsid w:val="005A3816"/>
    <w:rsid w:val="005A39C0"/>
    <w:rsid w:val="005A4A1F"/>
    <w:rsid w:val="005A564D"/>
    <w:rsid w:val="005A5D50"/>
    <w:rsid w:val="005A6324"/>
    <w:rsid w:val="005B06F6"/>
    <w:rsid w:val="005B0B58"/>
    <w:rsid w:val="005B2BF0"/>
    <w:rsid w:val="005B4E53"/>
    <w:rsid w:val="005B4FAB"/>
    <w:rsid w:val="005B53E4"/>
    <w:rsid w:val="005B5857"/>
    <w:rsid w:val="005B7450"/>
    <w:rsid w:val="005C006D"/>
    <w:rsid w:val="005C169C"/>
    <w:rsid w:val="005C1B83"/>
    <w:rsid w:val="005C206A"/>
    <w:rsid w:val="005C25FF"/>
    <w:rsid w:val="005C2B77"/>
    <w:rsid w:val="005C2D55"/>
    <w:rsid w:val="005C346B"/>
    <w:rsid w:val="005C46CD"/>
    <w:rsid w:val="005C72E5"/>
    <w:rsid w:val="005D044D"/>
    <w:rsid w:val="005D0ABD"/>
    <w:rsid w:val="005D188D"/>
    <w:rsid w:val="005D18AD"/>
    <w:rsid w:val="005D23F8"/>
    <w:rsid w:val="005D26B4"/>
    <w:rsid w:val="005D37EF"/>
    <w:rsid w:val="005D401E"/>
    <w:rsid w:val="005D5953"/>
    <w:rsid w:val="005D782F"/>
    <w:rsid w:val="005D7F66"/>
    <w:rsid w:val="005E2FC6"/>
    <w:rsid w:val="005E3045"/>
    <w:rsid w:val="005E4D64"/>
    <w:rsid w:val="005E6416"/>
    <w:rsid w:val="005E64F0"/>
    <w:rsid w:val="005E66DE"/>
    <w:rsid w:val="005E6917"/>
    <w:rsid w:val="005E6CBC"/>
    <w:rsid w:val="005E72FF"/>
    <w:rsid w:val="005E73C0"/>
    <w:rsid w:val="005E79E9"/>
    <w:rsid w:val="005F0332"/>
    <w:rsid w:val="005F2706"/>
    <w:rsid w:val="005F30AD"/>
    <w:rsid w:val="005F3321"/>
    <w:rsid w:val="005F36BA"/>
    <w:rsid w:val="005F6A8F"/>
    <w:rsid w:val="005F6BB7"/>
    <w:rsid w:val="005F71D6"/>
    <w:rsid w:val="005F7588"/>
    <w:rsid w:val="006011B4"/>
    <w:rsid w:val="006017B1"/>
    <w:rsid w:val="00602377"/>
    <w:rsid w:val="00603242"/>
    <w:rsid w:val="00603DB9"/>
    <w:rsid w:val="006045AB"/>
    <w:rsid w:val="00604D09"/>
    <w:rsid w:val="006051D9"/>
    <w:rsid w:val="006054DD"/>
    <w:rsid w:val="00606FBA"/>
    <w:rsid w:val="00607669"/>
    <w:rsid w:val="006076F4"/>
    <w:rsid w:val="00607AFD"/>
    <w:rsid w:val="00610499"/>
    <w:rsid w:val="00611501"/>
    <w:rsid w:val="00612CB4"/>
    <w:rsid w:val="00612F97"/>
    <w:rsid w:val="0061345D"/>
    <w:rsid w:val="00614AC4"/>
    <w:rsid w:val="0061521C"/>
    <w:rsid w:val="0061549B"/>
    <w:rsid w:val="0061568E"/>
    <w:rsid w:val="00615767"/>
    <w:rsid w:val="00616802"/>
    <w:rsid w:val="00617A1A"/>
    <w:rsid w:val="00617A92"/>
    <w:rsid w:val="00617E12"/>
    <w:rsid w:val="00620C25"/>
    <w:rsid w:val="00621477"/>
    <w:rsid w:val="00621ADA"/>
    <w:rsid w:val="00623F7B"/>
    <w:rsid w:val="006250CB"/>
    <w:rsid w:val="006253CE"/>
    <w:rsid w:val="00625CAB"/>
    <w:rsid w:val="006261E4"/>
    <w:rsid w:val="00627704"/>
    <w:rsid w:val="00627C3B"/>
    <w:rsid w:val="00631308"/>
    <w:rsid w:val="0063158F"/>
    <w:rsid w:val="00631A78"/>
    <w:rsid w:val="00631D6B"/>
    <w:rsid w:val="00632183"/>
    <w:rsid w:val="0063262D"/>
    <w:rsid w:val="00632909"/>
    <w:rsid w:val="006330A1"/>
    <w:rsid w:val="006343BF"/>
    <w:rsid w:val="0063479F"/>
    <w:rsid w:val="006353F0"/>
    <w:rsid w:val="00635457"/>
    <w:rsid w:val="006357B5"/>
    <w:rsid w:val="00635C9A"/>
    <w:rsid w:val="006364A1"/>
    <w:rsid w:val="0063678E"/>
    <w:rsid w:val="00636A8B"/>
    <w:rsid w:val="00637BFD"/>
    <w:rsid w:val="00641C4E"/>
    <w:rsid w:val="00641FB3"/>
    <w:rsid w:val="00643896"/>
    <w:rsid w:val="00644044"/>
    <w:rsid w:val="006440FB"/>
    <w:rsid w:val="0064434C"/>
    <w:rsid w:val="00644528"/>
    <w:rsid w:val="00644D9B"/>
    <w:rsid w:val="00645AA2"/>
    <w:rsid w:val="00646FC1"/>
    <w:rsid w:val="00647168"/>
    <w:rsid w:val="006471CC"/>
    <w:rsid w:val="00647A29"/>
    <w:rsid w:val="0065079F"/>
    <w:rsid w:val="00652A28"/>
    <w:rsid w:val="0065379F"/>
    <w:rsid w:val="006560E6"/>
    <w:rsid w:val="00656188"/>
    <w:rsid w:val="00656CF2"/>
    <w:rsid w:val="0065715A"/>
    <w:rsid w:val="006601EB"/>
    <w:rsid w:val="006610F1"/>
    <w:rsid w:val="00661C6B"/>
    <w:rsid w:val="00662543"/>
    <w:rsid w:val="00662718"/>
    <w:rsid w:val="00663244"/>
    <w:rsid w:val="0066409B"/>
    <w:rsid w:val="00665442"/>
    <w:rsid w:val="00667442"/>
    <w:rsid w:val="00671004"/>
    <w:rsid w:val="006713E8"/>
    <w:rsid w:val="00672309"/>
    <w:rsid w:val="00672646"/>
    <w:rsid w:val="006727DF"/>
    <w:rsid w:val="00672B24"/>
    <w:rsid w:val="006749F0"/>
    <w:rsid w:val="00674E42"/>
    <w:rsid w:val="00675DF7"/>
    <w:rsid w:val="006762EF"/>
    <w:rsid w:val="00676ABB"/>
    <w:rsid w:val="00681089"/>
    <w:rsid w:val="006813F8"/>
    <w:rsid w:val="00682112"/>
    <w:rsid w:val="006822C2"/>
    <w:rsid w:val="00682924"/>
    <w:rsid w:val="00682BA6"/>
    <w:rsid w:val="0068319C"/>
    <w:rsid w:val="00684A81"/>
    <w:rsid w:val="00685046"/>
    <w:rsid w:val="00686572"/>
    <w:rsid w:val="00686957"/>
    <w:rsid w:val="00686A67"/>
    <w:rsid w:val="006872BA"/>
    <w:rsid w:val="00687DA3"/>
    <w:rsid w:val="00690795"/>
    <w:rsid w:val="00691166"/>
    <w:rsid w:val="00691648"/>
    <w:rsid w:val="006917D7"/>
    <w:rsid w:val="00692915"/>
    <w:rsid w:val="0069434C"/>
    <w:rsid w:val="00694F44"/>
    <w:rsid w:val="00696692"/>
    <w:rsid w:val="00696F51"/>
    <w:rsid w:val="006979A5"/>
    <w:rsid w:val="006A4BE1"/>
    <w:rsid w:val="006A68B9"/>
    <w:rsid w:val="006A6B99"/>
    <w:rsid w:val="006A7475"/>
    <w:rsid w:val="006A7E5F"/>
    <w:rsid w:val="006B01BD"/>
    <w:rsid w:val="006B1657"/>
    <w:rsid w:val="006B1686"/>
    <w:rsid w:val="006B261B"/>
    <w:rsid w:val="006B2C90"/>
    <w:rsid w:val="006B35E6"/>
    <w:rsid w:val="006B4017"/>
    <w:rsid w:val="006B465A"/>
    <w:rsid w:val="006B53DE"/>
    <w:rsid w:val="006B5461"/>
    <w:rsid w:val="006B5B2B"/>
    <w:rsid w:val="006B608B"/>
    <w:rsid w:val="006B6DD0"/>
    <w:rsid w:val="006B6F86"/>
    <w:rsid w:val="006B7A89"/>
    <w:rsid w:val="006B7FC6"/>
    <w:rsid w:val="006C016D"/>
    <w:rsid w:val="006C0399"/>
    <w:rsid w:val="006C0FE7"/>
    <w:rsid w:val="006C1C56"/>
    <w:rsid w:val="006C2A8E"/>
    <w:rsid w:val="006C3255"/>
    <w:rsid w:val="006C3F26"/>
    <w:rsid w:val="006C5053"/>
    <w:rsid w:val="006D0A7F"/>
    <w:rsid w:val="006D0D17"/>
    <w:rsid w:val="006D2C6D"/>
    <w:rsid w:val="006D35A3"/>
    <w:rsid w:val="006D3C3D"/>
    <w:rsid w:val="006D3C7D"/>
    <w:rsid w:val="006D4659"/>
    <w:rsid w:val="006D5D5F"/>
    <w:rsid w:val="006D68FB"/>
    <w:rsid w:val="006D7510"/>
    <w:rsid w:val="006E2868"/>
    <w:rsid w:val="006E2895"/>
    <w:rsid w:val="006E55BE"/>
    <w:rsid w:val="006E73E5"/>
    <w:rsid w:val="006E7A34"/>
    <w:rsid w:val="006F2C74"/>
    <w:rsid w:val="006F306C"/>
    <w:rsid w:val="006F3948"/>
    <w:rsid w:val="006F4A1C"/>
    <w:rsid w:val="006F53B3"/>
    <w:rsid w:val="006F5D13"/>
    <w:rsid w:val="006F639E"/>
    <w:rsid w:val="006F63A5"/>
    <w:rsid w:val="00700269"/>
    <w:rsid w:val="00700D98"/>
    <w:rsid w:val="00701361"/>
    <w:rsid w:val="0070142B"/>
    <w:rsid w:val="0070276E"/>
    <w:rsid w:val="00702F8F"/>
    <w:rsid w:val="007079FC"/>
    <w:rsid w:val="007106A8"/>
    <w:rsid w:val="00711A36"/>
    <w:rsid w:val="00711DFC"/>
    <w:rsid w:val="007129D4"/>
    <w:rsid w:val="00714C26"/>
    <w:rsid w:val="0071529C"/>
    <w:rsid w:val="007170DA"/>
    <w:rsid w:val="007172AD"/>
    <w:rsid w:val="00717508"/>
    <w:rsid w:val="00717581"/>
    <w:rsid w:val="00720370"/>
    <w:rsid w:val="00720801"/>
    <w:rsid w:val="00721757"/>
    <w:rsid w:val="00722B1B"/>
    <w:rsid w:val="00722C33"/>
    <w:rsid w:val="00723287"/>
    <w:rsid w:val="0072332D"/>
    <w:rsid w:val="00723DD7"/>
    <w:rsid w:val="0072416F"/>
    <w:rsid w:val="00727C94"/>
    <w:rsid w:val="00731B0A"/>
    <w:rsid w:val="00731EAE"/>
    <w:rsid w:val="00733073"/>
    <w:rsid w:val="00733FCC"/>
    <w:rsid w:val="00734560"/>
    <w:rsid w:val="00735033"/>
    <w:rsid w:val="00735328"/>
    <w:rsid w:val="007357E4"/>
    <w:rsid w:val="0073685B"/>
    <w:rsid w:val="00740475"/>
    <w:rsid w:val="00740BFC"/>
    <w:rsid w:val="00740DD0"/>
    <w:rsid w:val="007412E8"/>
    <w:rsid w:val="00741467"/>
    <w:rsid w:val="007417A8"/>
    <w:rsid w:val="00741D7C"/>
    <w:rsid w:val="00742044"/>
    <w:rsid w:val="007449BF"/>
    <w:rsid w:val="00746BC0"/>
    <w:rsid w:val="007510B4"/>
    <w:rsid w:val="00752142"/>
    <w:rsid w:val="007522DE"/>
    <w:rsid w:val="007523F9"/>
    <w:rsid w:val="0075254A"/>
    <w:rsid w:val="0075357E"/>
    <w:rsid w:val="00754B4F"/>
    <w:rsid w:val="00755106"/>
    <w:rsid w:val="007563B6"/>
    <w:rsid w:val="007573E8"/>
    <w:rsid w:val="007606BE"/>
    <w:rsid w:val="00760C4E"/>
    <w:rsid w:val="00760F9E"/>
    <w:rsid w:val="007610E6"/>
    <w:rsid w:val="007627BE"/>
    <w:rsid w:val="00764AC3"/>
    <w:rsid w:val="00764F03"/>
    <w:rsid w:val="00765781"/>
    <w:rsid w:val="00765B1A"/>
    <w:rsid w:val="0076638F"/>
    <w:rsid w:val="0076654E"/>
    <w:rsid w:val="0076679C"/>
    <w:rsid w:val="007667F5"/>
    <w:rsid w:val="00767593"/>
    <w:rsid w:val="00767C98"/>
    <w:rsid w:val="00770C2A"/>
    <w:rsid w:val="00770D59"/>
    <w:rsid w:val="00772722"/>
    <w:rsid w:val="00773C78"/>
    <w:rsid w:val="00777335"/>
    <w:rsid w:val="00780776"/>
    <w:rsid w:val="00780C06"/>
    <w:rsid w:val="0078200A"/>
    <w:rsid w:val="007843F2"/>
    <w:rsid w:val="00784C5D"/>
    <w:rsid w:val="00785439"/>
    <w:rsid w:val="00785A9F"/>
    <w:rsid w:val="00786957"/>
    <w:rsid w:val="00786B11"/>
    <w:rsid w:val="00787236"/>
    <w:rsid w:val="007874B8"/>
    <w:rsid w:val="00791BAA"/>
    <w:rsid w:val="0079215D"/>
    <w:rsid w:val="007925DF"/>
    <w:rsid w:val="00792EB8"/>
    <w:rsid w:val="00793D9E"/>
    <w:rsid w:val="00794231"/>
    <w:rsid w:val="00794FB3"/>
    <w:rsid w:val="0079558F"/>
    <w:rsid w:val="00795C60"/>
    <w:rsid w:val="00796FB9"/>
    <w:rsid w:val="00797B92"/>
    <w:rsid w:val="007A08AA"/>
    <w:rsid w:val="007A0A12"/>
    <w:rsid w:val="007A132D"/>
    <w:rsid w:val="007A1345"/>
    <w:rsid w:val="007A24CA"/>
    <w:rsid w:val="007A29A5"/>
    <w:rsid w:val="007A2DDB"/>
    <w:rsid w:val="007A2FC4"/>
    <w:rsid w:val="007A41B4"/>
    <w:rsid w:val="007A43E3"/>
    <w:rsid w:val="007A51D2"/>
    <w:rsid w:val="007A6B65"/>
    <w:rsid w:val="007A70BA"/>
    <w:rsid w:val="007B0D68"/>
    <w:rsid w:val="007B1566"/>
    <w:rsid w:val="007B1F6A"/>
    <w:rsid w:val="007B251D"/>
    <w:rsid w:val="007B31D3"/>
    <w:rsid w:val="007B3905"/>
    <w:rsid w:val="007B4F58"/>
    <w:rsid w:val="007B50AE"/>
    <w:rsid w:val="007B528D"/>
    <w:rsid w:val="007B58A2"/>
    <w:rsid w:val="007B63CA"/>
    <w:rsid w:val="007B70F0"/>
    <w:rsid w:val="007B77D1"/>
    <w:rsid w:val="007C07C7"/>
    <w:rsid w:val="007C1336"/>
    <w:rsid w:val="007C1CD9"/>
    <w:rsid w:val="007C32EF"/>
    <w:rsid w:val="007C361D"/>
    <w:rsid w:val="007C374C"/>
    <w:rsid w:val="007C40F9"/>
    <w:rsid w:val="007C4B84"/>
    <w:rsid w:val="007C4ED2"/>
    <w:rsid w:val="007C653E"/>
    <w:rsid w:val="007C70FF"/>
    <w:rsid w:val="007C7C25"/>
    <w:rsid w:val="007D004F"/>
    <w:rsid w:val="007D0B38"/>
    <w:rsid w:val="007D490A"/>
    <w:rsid w:val="007D5440"/>
    <w:rsid w:val="007D5F3B"/>
    <w:rsid w:val="007D6968"/>
    <w:rsid w:val="007D69EB"/>
    <w:rsid w:val="007D70F4"/>
    <w:rsid w:val="007D7CD0"/>
    <w:rsid w:val="007E11DA"/>
    <w:rsid w:val="007E128F"/>
    <w:rsid w:val="007E2D61"/>
    <w:rsid w:val="007E3B09"/>
    <w:rsid w:val="007E4558"/>
    <w:rsid w:val="007E7E3C"/>
    <w:rsid w:val="007E7E3D"/>
    <w:rsid w:val="007F0B3B"/>
    <w:rsid w:val="007F0FDC"/>
    <w:rsid w:val="007F1017"/>
    <w:rsid w:val="007F25F7"/>
    <w:rsid w:val="007F48FC"/>
    <w:rsid w:val="007F4A3F"/>
    <w:rsid w:val="007F4A61"/>
    <w:rsid w:val="007F5255"/>
    <w:rsid w:val="007F52CA"/>
    <w:rsid w:val="007F55AE"/>
    <w:rsid w:val="007F56CC"/>
    <w:rsid w:val="007F5922"/>
    <w:rsid w:val="007F61C2"/>
    <w:rsid w:val="007F629A"/>
    <w:rsid w:val="007F633B"/>
    <w:rsid w:val="007F6D00"/>
    <w:rsid w:val="007F6FD2"/>
    <w:rsid w:val="0080005C"/>
    <w:rsid w:val="008007B8"/>
    <w:rsid w:val="00800C32"/>
    <w:rsid w:val="00802930"/>
    <w:rsid w:val="00802F90"/>
    <w:rsid w:val="00803384"/>
    <w:rsid w:val="00805142"/>
    <w:rsid w:val="0080574A"/>
    <w:rsid w:val="00805FCE"/>
    <w:rsid w:val="00807A8B"/>
    <w:rsid w:val="008106E2"/>
    <w:rsid w:val="00811383"/>
    <w:rsid w:val="00812149"/>
    <w:rsid w:val="008124A8"/>
    <w:rsid w:val="00812CAC"/>
    <w:rsid w:val="0081496A"/>
    <w:rsid w:val="00814F2C"/>
    <w:rsid w:val="00816361"/>
    <w:rsid w:val="008166EF"/>
    <w:rsid w:val="00816C7C"/>
    <w:rsid w:val="00816FEF"/>
    <w:rsid w:val="008172D3"/>
    <w:rsid w:val="0081771C"/>
    <w:rsid w:val="008202C1"/>
    <w:rsid w:val="008202F4"/>
    <w:rsid w:val="00820A8C"/>
    <w:rsid w:val="008215FB"/>
    <w:rsid w:val="00821A57"/>
    <w:rsid w:val="00822929"/>
    <w:rsid w:val="00822F02"/>
    <w:rsid w:val="00823174"/>
    <w:rsid w:val="008237CF"/>
    <w:rsid w:val="00824289"/>
    <w:rsid w:val="00825751"/>
    <w:rsid w:val="008264EB"/>
    <w:rsid w:val="0083005E"/>
    <w:rsid w:val="00831172"/>
    <w:rsid w:val="00832359"/>
    <w:rsid w:val="00832549"/>
    <w:rsid w:val="00833B05"/>
    <w:rsid w:val="00834357"/>
    <w:rsid w:val="00834FE2"/>
    <w:rsid w:val="00835A3E"/>
    <w:rsid w:val="008362B4"/>
    <w:rsid w:val="00836E4C"/>
    <w:rsid w:val="00836F51"/>
    <w:rsid w:val="00837531"/>
    <w:rsid w:val="008402E2"/>
    <w:rsid w:val="00840430"/>
    <w:rsid w:val="00840CA2"/>
    <w:rsid w:val="0084155A"/>
    <w:rsid w:val="0084374F"/>
    <w:rsid w:val="00844A22"/>
    <w:rsid w:val="00846A55"/>
    <w:rsid w:val="00846D18"/>
    <w:rsid w:val="00847703"/>
    <w:rsid w:val="00847A30"/>
    <w:rsid w:val="00847DF5"/>
    <w:rsid w:val="00847FB8"/>
    <w:rsid w:val="00850546"/>
    <w:rsid w:val="0085129C"/>
    <w:rsid w:val="00852771"/>
    <w:rsid w:val="0085309D"/>
    <w:rsid w:val="00853487"/>
    <w:rsid w:val="008534E1"/>
    <w:rsid w:val="008546D0"/>
    <w:rsid w:val="00856897"/>
    <w:rsid w:val="0085690A"/>
    <w:rsid w:val="00856E9A"/>
    <w:rsid w:val="0086075D"/>
    <w:rsid w:val="00860DF5"/>
    <w:rsid w:val="00862502"/>
    <w:rsid w:val="0086273E"/>
    <w:rsid w:val="00862CC1"/>
    <w:rsid w:val="0086475F"/>
    <w:rsid w:val="008660D4"/>
    <w:rsid w:val="00866A27"/>
    <w:rsid w:val="00867EB3"/>
    <w:rsid w:val="008704B4"/>
    <w:rsid w:val="00870ECF"/>
    <w:rsid w:val="00871FA9"/>
    <w:rsid w:val="008728E9"/>
    <w:rsid w:val="00874380"/>
    <w:rsid w:val="00874D35"/>
    <w:rsid w:val="00880E40"/>
    <w:rsid w:val="00882874"/>
    <w:rsid w:val="00882C58"/>
    <w:rsid w:val="00882E3C"/>
    <w:rsid w:val="008832AE"/>
    <w:rsid w:val="00883787"/>
    <w:rsid w:val="00884044"/>
    <w:rsid w:val="008855E4"/>
    <w:rsid w:val="008856F2"/>
    <w:rsid w:val="00886CD2"/>
    <w:rsid w:val="00891E6F"/>
    <w:rsid w:val="0089275D"/>
    <w:rsid w:val="00892A36"/>
    <w:rsid w:val="00893029"/>
    <w:rsid w:val="00893239"/>
    <w:rsid w:val="00893B28"/>
    <w:rsid w:val="00894186"/>
    <w:rsid w:val="00894489"/>
    <w:rsid w:val="008944F3"/>
    <w:rsid w:val="00895AB9"/>
    <w:rsid w:val="008963A5"/>
    <w:rsid w:val="00896D5D"/>
    <w:rsid w:val="008A1BBD"/>
    <w:rsid w:val="008A2B83"/>
    <w:rsid w:val="008A3363"/>
    <w:rsid w:val="008A3371"/>
    <w:rsid w:val="008A3C3E"/>
    <w:rsid w:val="008A4F68"/>
    <w:rsid w:val="008A5F9D"/>
    <w:rsid w:val="008A677B"/>
    <w:rsid w:val="008A733B"/>
    <w:rsid w:val="008A79DE"/>
    <w:rsid w:val="008B03EB"/>
    <w:rsid w:val="008B0F85"/>
    <w:rsid w:val="008B1757"/>
    <w:rsid w:val="008B2168"/>
    <w:rsid w:val="008B3468"/>
    <w:rsid w:val="008B36BD"/>
    <w:rsid w:val="008B6437"/>
    <w:rsid w:val="008B67C5"/>
    <w:rsid w:val="008B67FE"/>
    <w:rsid w:val="008B71F6"/>
    <w:rsid w:val="008B7992"/>
    <w:rsid w:val="008B7D7E"/>
    <w:rsid w:val="008C101F"/>
    <w:rsid w:val="008C106F"/>
    <w:rsid w:val="008C2568"/>
    <w:rsid w:val="008C304F"/>
    <w:rsid w:val="008C4704"/>
    <w:rsid w:val="008C5610"/>
    <w:rsid w:val="008C5739"/>
    <w:rsid w:val="008C700F"/>
    <w:rsid w:val="008C7ECB"/>
    <w:rsid w:val="008D02DC"/>
    <w:rsid w:val="008D07D4"/>
    <w:rsid w:val="008D253E"/>
    <w:rsid w:val="008D3146"/>
    <w:rsid w:val="008D3B86"/>
    <w:rsid w:val="008D44A8"/>
    <w:rsid w:val="008D4755"/>
    <w:rsid w:val="008D4C3D"/>
    <w:rsid w:val="008D63D8"/>
    <w:rsid w:val="008D6AE6"/>
    <w:rsid w:val="008D743C"/>
    <w:rsid w:val="008E0644"/>
    <w:rsid w:val="008E0D3C"/>
    <w:rsid w:val="008E0FF6"/>
    <w:rsid w:val="008E1993"/>
    <w:rsid w:val="008E1B9E"/>
    <w:rsid w:val="008E29B0"/>
    <w:rsid w:val="008E459B"/>
    <w:rsid w:val="008E50EC"/>
    <w:rsid w:val="008E55AB"/>
    <w:rsid w:val="008E6235"/>
    <w:rsid w:val="008F0D94"/>
    <w:rsid w:val="008F120A"/>
    <w:rsid w:val="008F181D"/>
    <w:rsid w:val="008F27E0"/>
    <w:rsid w:val="008F2B27"/>
    <w:rsid w:val="008F48EB"/>
    <w:rsid w:val="008F4F0B"/>
    <w:rsid w:val="008F54B8"/>
    <w:rsid w:val="008F6C1F"/>
    <w:rsid w:val="008F71E6"/>
    <w:rsid w:val="009009A3"/>
    <w:rsid w:val="00902E48"/>
    <w:rsid w:val="009046C4"/>
    <w:rsid w:val="0090494E"/>
    <w:rsid w:val="00905A4E"/>
    <w:rsid w:val="009062A5"/>
    <w:rsid w:val="0090649B"/>
    <w:rsid w:val="00910FA7"/>
    <w:rsid w:val="00911272"/>
    <w:rsid w:val="009135D6"/>
    <w:rsid w:val="00914795"/>
    <w:rsid w:val="00914C77"/>
    <w:rsid w:val="00915138"/>
    <w:rsid w:val="00916967"/>
    <w:rsid w:val="00920E4C"/>
    <w:rsid w:val="00921ACB"/>
    <w:rsid w:val="0092369B"/>
    <w:rsid w:val="009249F0"/>
    <w:rsid w:val="00925B91"/>
    <w:rsid w:val="00926E33"/>
    <w:rsid w:val="00930E5B"/>
    <w:rsid w:val="009315B3"/>
    <w:rsid w:val="0093309E"/>
    <w:rsid w:val="00933B50"/>
    <w:rsid w:val="00934863"/>
    <w:rsid w:val="00934988"/>
    <w:rsid w:val="00934AD7"/>
    <w:rsid w:val="0093561C"/>
    <w:rsid w:val="00935959"/>
    <w:rsid w:val="0093697B"/>
    <w:rsid w:val="00936A8E"/>
    <w:rsid w:val="00937089"/>
    <w:rsid w:val="009405FF"/>
    <w:rsid w:val="0094137D"/>
    <w:rsid w:val="00941574"/>
    <w:rsid w:val="00942085"/>
    <w:rsid w:val="0094252F"/>
    <w:rsid w:val="00943437"/>
    <w:rsid w:val="00944289"/>
    <w:rsid w:val="00944E19"/>
    <w:rsid w:val="00944F8A"/>
    <w:rsid w:val="0094506A"/>
    <w:rsid w:val="00946A0E"/>
    <w:rsid w:val="00946A65"/>
    <w:rsid w:val="009479CC"/>
    <w:rsid w:val="00950818"/>
    <w:rsid w:val="00950DA0"/>
    <w:rsid w:val="009510A2"/>
    <w:rsid w:val="00953257"/>
    <w:rsid w:val="009540F4"/>
    <w:rsid w:val="0095474C"/>
    <w:rsid w:val="009554F5"/>
    <w:rsid w:val="00957002"/>
    <w:rsid w:val="00957F4E"/>
    <w:rsid w:val="00960383"/>
    <w:rsid w:val="0096094C"/>
    <w:rsid w:val="00960E02"/>
    <w:rsid w:val="00961593"/>
    <w:rsid w:val="009617FB"/>
    <w:rsid w:val="00961F0F"/>
    <w:rsid w:val="00962CB9"/>
    <w:rsid w:val="00963240"/>
    <w:rsid w:val="00963A2B"/>
    <w:rsid w:val="00963BC4"/>
    <w:rsid w:val="00964046"/>
    <w:rsid w:val="009640C6"/>
    <w:rsid w:val="009640F5"/>
    <w:rsid w:val="00964312"/>
    <w:rsid w:val="00965B8A"/>
    <w:rsid w:val="00966666"/>
    <w:rsid w:val="0097071F"/>
    <w:rsid w:val="00970E41"/>
    <w:rsid w:val="009717AC"/>
    <w:rsid w:val="00972299"/>
    <w:rsid w:val="00972EF5"/>
    <w:rsid w:val="00973B6F"/>
    <w:rsid w:val="00974605"/>
    <w:rsid w:val="009751C1"/>
    <w:rsid w:val="00975E07"/>
    <w:rsid w:val="00976082"/>
    <w:rsid w:val="00976390"/>
    <w:rsid w:val="00980338"/>
    <w:rsid w:val="009806A7"/>
    <w:rsid w:val="00980D06"/>
    <w:rsid w:val="009811F1"/>
    <w:rsid w:val="00981366"/>
    <w:rsid w:val="00983A21"/>
    <w:rsid w:val="00983E57"/>
    <w:rsid w:val="00985DE2"/>
    <w:rsid w:val="00985DE9"/>
    <w:rsid w:val="0098675D"/>
    <w:rsid w:val="00986F14"/>
    <w:rsid w:val="00987603"/>
    <w:rsid w:val="00990CCB"/>
    <w:rsid w:val="00992280"/>
    <w:rsid w:val="009926E0"/>
    <w:rsid w:val="0099451E"/>
    <w:rsid w:val="00994D8B"/>
    <w:rsid w:val="00995A28"/>
    <w:rsid w:val="0099640B"/>
    <w:rsid w:val="00996B1A"/>
    <w:rsid w:val="00997936"/>
    <w:rsid w:val="009A1D47"/>
    <w:rsid w:val="009A2C69"/>
    <w:rsid w:val="009A2DCC"/>
    <w:rsid w:val="009A31D4"/>
    <w:rsid w:val="009A31D6"/>
    <w:rsid w:val="009A38E8"/>
    <w:rsid w:val="009A51F8"/>
    <w:rsid w:val="009A5ABC"/>
    <w:rsid w:val="009A7F10"/>
    <w:rsid w:val="009B0267"/>
    <w:rsid w:val="009B2A59"/>
    <w:rsid w:val="009B32DC"/>
    <w:rsid w:val="009B3E26"/>
    <w:rsid w:val="009B4A2C"/>
    <w:rsid w:val="009B4F8D"/>
    <w:rsid w:val="009B57BD"/>
    <w:rsid w:val="009B6728"/>
    <w:rsid w:val="009C00B5"/>
    <w:rsid w:val="009C34C3"/>
    <w:rsid w:val="009C3706"/>
    <w:rsid w:val="009C3A3A"/>
    <w:rsid w:val="009C55C1"/>
    <w:rsid w:val="009C6CEA"/>
    <w:rsid w:val="009C7B85"/>
    <w:rsid w:val="009D0254"/>
    <w:rsid w:val="009D1053"/>
    <w:rsid w:val="009D17B0"/>
    <w:rsid w:val="009D19E2"/>
    <w:rsid w:val="009D1A64"/>
    <w:rsid w:val="009D1F55"/>
    <w:rsid w:val="009D4160"/>
    <w:rsid w:val="009D4B3C"/>
    <w:rsid w:val="009D5AEC"/>
    <w:rsid w:val="009D5B91"/>
    <w:rsid w:val="009D792E"/>
    <w:rsid w:val="009D7BC2"/>
    <w:rsid w:val="009D7DCA"/>
    <w:rsid w:val="009E0DFE"/>
    <w:rsid w:val="009E123B"/>
    <w:rsid w:val="009E298E"/>
    <w:rsid w:val="009E2A65"/>
    <w:rsid w:val="009E2D10"/>
    <w:rsid w:val="009E31F6"/>
    <w:rsid w:val="009E3AA7"/>
    <w:rsid w:val="009E4C07"/>
    <w:rsid w:val="009E5854"/>
    <w:rsid w:val="009E79F2"/>
    <w:rsid w:val="009E7F6D"/>
    <w:rsid w:val="009F0295"/>
    <w:rsid w:val="009F1B0A"/>
    <w:rsid w:val="009F1BE1"/>
    <w:rsid w:val="009F3261"/>
    <w:rsid w:val="009F38B9"/>
    <w:rsid w:val="009F50C7"/>
    <w:rsid w:val="009F5438"/>
    <w:rsid w:val="009F5EA7"/>
    <w:rsid w:val="009F6A65"/>
    <w:rsid w:val="009F744F"/>
    <w:rsid w:val="00A01184"/>
    <w:rsid w:val="00A037C2"/>
    <w:rsid w:val="00A03D43"/>
    <w:rsid w:val="00A04380"/>
    <w:rsid w:val="00A048C3"/>
    <w:rsid w:val="00A04F36"/>
    <w:rsid w:val="00A05472"/>
    <w:rsid w:val="00A05C32"/>
    <w:rsid w:val="00A0653F"/>
    <w:rsid w:val="00A06830"/>
    <w:rsid w:val="00A07773"/>
    <w:rsid w:val="00A07920"/>
    <w:rsid w:val="00A100C7"/>
    <w:rsid w:val="00A11CD0"/>
    <w:rsid w:val="00A125E0"/>
    <w:rsid w:val="00A13948"/>
    <w:rsid w:val="00A139B7"/>
    <w:rsid w:val="00A13EF8"/>
    <w:rsid w:val="00A1525F"/>
    <w:rsid w:val="00A15391"/>
    <w:rsid w:val="00A1555B"/>
    <w:rsid w:val="00A155C5"/>
    <w:rsid w:val="00A166FD"/>
    <w:rsid w:val="00A16AD8"/>
    <w:rsid w:val="00A21C95"/>
    <w:rsid w:val="00A21CF3"/>
    <w:rsid w:val="00A22A06"/>
    <w:rsid w:val="00A2465C"/>
    <w:rsid w:val="00A24813"/>
    <w:rsid w:val="00A26A80"/>
    <w:rsid w:val="00A27AEC"/>
    <w:rsid w:val="00A31CD0"/>
    <w:rsid w:val="00A320DB"/>
    <w:rsid w:val="00A35D16"/>
    <w:rsid w:val="00A35E29"/>
    <w:rsid w:val="00A36C5D"/>
    <w:rsid w:val="00A37BCD"/>
    <w:rsid w:val="00A40E77"/>
    <w:rsid w:val="00A41689"/>
    <w:rsid w:val="00A42592"/>
    <w:rsid w:val="00A42772"/>
    <w:rsid w:val="00A43C59"/>
    <w:rsid w:val="00A44783"/>
    <w:rsid w:val="00A45225"/>
    <w:rsid w:val="00A467A0"/>
    <w:rsid w:val="00A473A1"/>
    <w:rsid w:val="00A4759C"/>
    <w:rsid w:val="00A50E62"/>
    <w:rsid w:val="00A50ECD"/>
    <w:rsid w:val="00A518F3"/>
    <w:rsid w:val="00A51A91"/>
    <w:rsid w:val="00A52729"/>
    <w:rsid w:val="00A533DB"/>
    <w:rsid w:val="00A53675"/>
    <w:rsid w:val="00A53693"/>
    <w:rsid w:val="00A55602"/>
    <w:rsid w:val="00A55915"/>
    <w:rsid w:val="00A55DD7"/>
    <w:rsid w:val="00A564D7"/>
    <w:rsid w:val="00A56B6A"/>
    <w:rsid w:val="00A572E1"/>
    <w:rsid w:val="00A57394"/>
    <w:rsid w:val="00A5766E"/>
    <w:rsid w:val="00A5788B"/>
    <w:rsid w:val="00A578DC"/>
    <w:rsid w:val="00A6060E"/>
    <w:rsid w:val="00A6077C"/>
    <w:rsid w:val="00A607DC"/>
    <w:rsid w:val="00A618E2"/>
    <w:rsid w:val="00A62060"/>
    <w:rsid w:val="00A6234C"/>
    <w:rsid w:val="00A628AD"/>
    <w:rsid w:val="00A62CCD"/>
    <w:rsid w:val="00A62D1A"/>
    <w:rsid w:val="00A63797"/>
    <w:rsid w:val="00A640E2"/>
    <w:rsid w:val="00A6412F"/>
    <w:rsid w:val="00A64267"/>
    <w:rsid w:val="00A64D65"/>
    <w:rsid w:val="00A668C4"/>
    <w:rsid w:val="00A6725B"/>
    <w:rsid w:val="00A70605"/>
    <w:rsid w:val="00A73134"/>
    <w:rsid w:val="00A73A08"/>
    <w:rsid w:val="00A757D0"/>
    <w:rsid w:val="00A758CB"/>
    <w:rsid w:val="00A75B3C"/>
    <w:rsid w:val="00A76001"/>
    <w:rsid w:val="00A76C74"/>
    <w:rsid w:val="00A777B2"/>
    <w:rsid w:val="00A77A6B"/>
    <w:rsid w:val="00A818C2"/>
    <w:rsid w:val="00A81A0B"/>
    <w:rsid w:val="00A823B3"/>
    <w:rsid w:val="00A825D4"/>
    <w:rsid w:val="00A828F6"/>
    <w:rsid w:val="00A82B73"/>
    <w:rsid w:val="00A82BF5"/>
    <w:rsid w:val="00A83D44"/>
    <w:rsid w:val="00A8551E"/>
    <w:rsid w:val="00A85720"/>
    <w:rsid w:val="00A86E8B"/>
    <w:rsid w:val="00A86F90"/>
    <w:rsid w:val="00A87164"/>
    <w:rsid w:val="00A877D0"/>
    <w:rsid w:val="00A87A3A"/>
    <w:rsid w:val="00A87B5A"/>
    <w:rsid w:val="00A910A3"/>
    <w:rsid w:val="00A9158E"/>
    <w:rsid w:val="00A924A9"/>
    <w:rsid w:val="00A93072"/>
    <w:rsid w:val="00A938BD"/>
    <w:rsid w:val="00A93953"/>
    <w:rsid w:val="00A93AA8"/>
    <w:rsid w:val="00A93D72"/>
    <w:rsid w:val="00A94026"/>
    <w:rsid w:val="00A959D8"/>
    <w:rsid w:val="00AA0329"/>
    <w:rsid w:val="00AA0613"/>
    <w:rsid w:val="00AA113D"/>
    <w:rsid w:val="00AA1BFB"/>
    <w:rsid w:val="00AA3456"/>
    <w:rsid w:val="00AA3DE5"/>
    <w:rsid w:val="00AA5AF3"/>
    <w:rsid w:val="00AA5BA6"/>
    <w:rsid w:val="00AA6B57"/>
    <w:rsid w:val="00AA6BD5"/>
    <w:rsid w:val="00AA6BD8"/>
    <w:rsid w:val="00AA6C7D"/>
    <w:rsid w:val="00AA6EF9"/>
    <w:rsid w:val="00AA706E"/>
    <w:rsid w:val="00AA7F8E"/>
    <w:rsid w:val="00AA7FD6"/>
    <w:rsid w:val="00AB042A"/>
    <w:rsid w:val="00AB0EEC"/>
    <w:rsid w:val="00AB19EF"/>
    <w:rsid w:val="00AB2D34"/>
    <w:rsid w:val="00AB3430"/>
    <w:rsid w:val="00AB37B9"/>
    <w:rsid w:val="00AB49D4"/>
    <w:rsid w:val="00AB4AD1"/>
    <w:rsid w:val="00AB54C8"/>
    <w:rsid w:val="00AB5E07"/>
    <w:rsid w:val="00AB71BE"/>
    <w:rsid w:val="00AB75E5"/>
    <w:rsid w:val="00AB79BB"/>
    <w:rsid w:val="00AB7CFA"/>
    <w:rsid w:val="00AC0544"/>
    <w:rsid w:val="00AC0BC2"/>
    <w:rsid w:val="00AC108E"/>
    <w:rsid w:val="00AC1BCE"/>
    <w:rsid w:val="00AC2B75"/>
    <w:rsid w:val="00AC5B0C"/>
    <w:rsid w:val="00AC5B48"/>
    <w:rsid w:val="00AC6B50"/>
    <w:rsid w:val="00AC7291"/>
    <w:rsid w:val="00AC766B"/>
    <w:rsid w:val="00AD086B"/>
    <w:rsid w:val="00AD1450"/>
    <w:rsid w:val="00AD2006"/>
    <w:rsid w:val="00AD34E5"/>
    <w:rsid w:val="00AD3799"/>
    <w:rsid w:val="00AD38E1"/>
    <w:rsid w:val="00AD3E17"/>
    <w:rsid w:val="00AD5B1D"/>
    <w:rsid w:val="00AD5B54"/>
    <w:rsid w:val="00AD6502"/>
    <w:rsid w:val="00AD75FE"/>
    <w:rsid w:val="00AE0695"/>
    <w:rsid w:val="00AE12CB"/>
    <w:rsid w:val="00AE1680"/>
    <w:rsid w:val="00AE193F"/>
    <w:rsid w:val="00AE1C83"/>
    <w:rsid w:val="00AE269C"/>
    <w:rsid w:val="00AE29C8"/>
    <w:rsid w:val="00AE2F8E"/>
    <w:rsid w:val="00AE3E7E"/>
    <w:rsid w:val="00AE4705"/>
    <w:rsid w:val="00AE57EC"/>
    <w:rsid w:val="00AE5E56"/>
    <w:rsid w:val="00AF07C0"/>
    <w:rsid w:val="00AF0E4E"/>
    <w:rsid w:val="00AF1315"/>
    <w:rsid w:val="00AF19BF"/>
    <w:rsid w:val="00AF2DC3"/>
    <w:rsid w:val="00AF314C"/>
    <w:rsid w:val="00AF38B0"/>
    <w:rsid w:val="00AF4AFA"/>
    <w:rsid w:val="00AF56B1"/>
    <w:rsid w:val="00AF5F1A"/>
    <w:rsid w:val="00AF77A4"/>
    <w:rsid w:val="00AF7D22"/>
    <w:rsid w:val="00B013A4"/>
    <w:rsid w:val="00B0272C"/>
    <w:rsid w:val="00B033E5"/>
    <w:rsid w:val="00B037BB"/>
    <w:rsid w:val="00B03A63"/>
    <w:rsid w:val="00B03AF5"/>
    <w:rsid w:val="00B04FD8"/>
    <w:rsid w:val="00B0532D"/>
    <w:rsid w:val="00B054FB"/>
    <w:rsid w:val="00B10450"/>
    <w:rsid w:val="00B114ED"/>
    <w:rsid w:val="00B11A93"/>
    <w:rsid w:val="00B135DA"/>
    <w:rsid w:val="00B13C8B"/>
    <w:rsid w:val="00B14ECB"/>
    <w:rsid w:val="00B14F8C"/>
    <w:rsid w:val="00B171AC"/>
    <w:rsid w:val="00B201A4"/>
    <w:rsid w:val="00B201D1"/>
    <w:rsid w:val="00B2058A"/>
    <w:rsid w:val="00B213A6"/>
    <w:rsid w:val="00B235B0"/>
    <w:rsid w:val="00B23630"/>
    <w:rsid w:val="00B23E9A"/>
    <w:rsid w:val="00B2432A"/>
    <w:rsid w:val="00B24DF6"/>
    <w:rsid w:val="00B24FCF"/>
    <w:rsid w:val="00B263D0"/>
    <w:rsid w:val="00B265C1"/>
    <w:rsid w:val="00B26A03"/>
    <w:rsid w:val="00B30E48"/>
    <w:rsid w:val="00B310F3"/>
    <w:rsid w:val="00B337D1"/>
    <w:rsid w:val="00B34FE2"/>
    <w:rsid w:val="00B35166"/>
    <w:rsid w:val="00B357D8"/>
    <w:rsid w:val="00B360F4"/>
    <w:rsid w:val="00B365BE"/>
    <w:rsid w:val="00B36A00"/>
    <w:rsid w:val="00B37BFC"/>
    <w:rsid w:val="00B40358"/>
    <w:rsid w:val="00B403C7"/>
    <w:rsid w:val="00B41614"/>
    <w:rsid w:val="00B418EB"/>
    <w:rsid w:val="00B42851"/>
    <w:rsid w:val="00B42F80"/>
    <w:rsid w:val="00B435CB"/>
    <w:rsid w:val="00B44F88"/>
    <w:rsid w:val="00B505C8"/>
    <w:rsid w:val="00B50DB8"/>
    <w:rsid w:val="00B518CE"/>
    <w:rsid w:val="00B51C89"/>
    <w:rsid w:val="00B52B08"/>
    <w:rsid w:val="00B53654"/>
    <w:rsid w:val="00B53905"/>
    <w:rsid w:val="00B53DB7"/>
    <w:rsid w:val="00B54B5B"/>
    <w:rsid w:val="00B55039"/>
    <w:rsid w:val="00B5562E"/>
    <w:rsid w:val="00B55D65"/>
    <w:rsid w:val="00B5686A"/>
    <w:rsid w:val="00B57000"/>
    <w:rsid w:val="00B573FF"/>
    <w:rsid w:val="00B5746C"/>
    <w:rsid w:val="00B60901"/>
    <w:rsid w:val="00B60939"/>
    <w:rsid w:val="00B60AFD"/>
    <w:rsid w:val="00B615C7"/>
    <w:rsid w:val="00B61AED"/>
    <w:rsid w:val="00B62715"/>
    <w:rsid w:val="00B6302B"/>
    <w:rsid w:val="00B631BC"/>
    <w:rsid w:val="00B640B5"/>
    <w:rsid w:val="00B65611"/>
    <w:rsid w:val="00B66919"/>
    <w:rsid w:val="00B67329"/>
    <w:rsid w:val="00B67F20"/>
    <w:rsid w:val="00B70D34"/>
    <w:rsid w:val="00B70E8E"/>
    <w:rsid w:val="00B70FEB"/>
    <w:rsid w:val="00B7103F"/>
    <w:rsid w:val="00B71E05"/>
    <w:rsid w:val="00B745EE"/>
    <w:rsid w:val="00B76C92"/>
    <w:rsid w:val="00B8173F"/>
    <w:rsid w:val="00B818A4"/>
    <w:rsid w:val="00B84117"/>
    <w:rsid w:val="00B846D2"/>
    <w:rsid w:val="00B84898"/>
    <w:rsid w:val="00B84999"/>
    <w:rsid w:val="00B84D42"/>
    <w:rsid w:val="00B858F0"/>
    <w:rsid w:val="00B85AA2"/>
    <w:rsid w:val="00B8645E"/>
    <w:rsid w:val="00B8649C"/>
    <w:rsid w:val="00B8695D"/>
    <w:rsid w:val="00B86D34"/>
    <w:rsid w:val="00B871A6"/>
    <w:rsid w:val="00B872BE"/>
    <w:rsid w:val="00B872E6"/>
    <w:rsid w:val="00B87F0A"/>
    <w:rsid w:val="00B92D0B"/>
    <w:rsid w:val="00B92F0E"/>
    <w:rsid w:val="00B93173"/>
    <w:rsid w:val="00B93DE0"/>
    <w:rsid w:val="00B94945"/>
    <w:rsid w:val="00B94DD6"/>
    <w:rsid w:val="00BA06FE"/>
    <w:rsid w:val="00BA0753"/>
    <w:rsid w:val="00BA0A17"/>
    <w:rsid w:val="00BA1115"/>
    <w:rsid w:val="00BA1878"/>
    <w:rsid w:val="00BA20EE"/>
    <w:rsid w:val="00BA28BE"/>
    <w:rsid w:val="00BA2991"/>
    <w:rsid w:val="00BA322D"/>
    <w:rsid w:val="00BA369A"/>
    <w:rsid w:val="00BA3E6F"/>
    <w:rsid w:val="00BA63FA"/>
    <w:rsid w:val="00BB00B3"/>
    <w:rsid w:val="00BB0BDD"/>
    <w:rsid w:val="00BB0C2A"/>
    <w:rsid w:val="00BB0D31"/>
    <w:rsid w:val="00BB176C"/>
    <w:rsid w:val="00BB2A73"/>
    <w:rsid w:val="00BB3184"/>
    <w:rsid w:val="00BB3A45"/>
    <w:rsid w:val="00BB3B69"/>
    <w:rsid w:val="00BB3BD9"/>
    <w:rsid w:val="00BB49B8"/>
    <w:rsid w:val="00BB4ACC"/>
    <w:rsid w:val="00BB4E1A"/>
    <w:rsid w:val="00BB508B"/>
    <w:rsid w:val="00BB51E8"/>
    <w:rsid w:val="00BB545B"/>
    <w:rsid w:val="00BB5F22"/>
    <w:rsid w:val="00BB6279"/>
    <w:rsid w:val="00BB703E"/>
    <w:rsid w:val="00BB732D"/>
    <w:rsid w:val="00BB7405"/>
    <w:rsid w:val="00BC10AD"/>
    <w:rsid w:val="00BC2382"/>
    <w:rsid w:val="00BC34D2"/>
    <w:rsid w:val="00BC3631"/>
    <w:rsid w:val="00BC3EA7"/>
    <w:rsid w:val="00BC429E"/>
    <w:rsid w:val="00BC4680"/>
    <w:rsid w:val="00BC490C"/>
    <w:rsid w:val="00BC591F"/>
    <w:rsid w:val="00BC6CDB"/>
    <w:rsid w:val="00BC749B"/>
    <w:rsid w:val="00BC7B80"/>
    <w:rsid w:val="00BC7D6D"/>
    <w:rsid w:val="00BD02BF"/>
    <w:rsid w:val="00BD063E"/>
    <w:rsid w:val="00BD2108"/>
    <w:rsid w:val="00BD5587"/>
    <w:rsid w:val="00BD68A3"/>
    <w:rsid w:val="00BD6938"/>
    <w:rsid w:val="00BD6CF3"/>
    <w:rsid w:val="00BD7E08"/>
    <w:rsid w:val="00BE0B76"/>
    <w:rsid w:val="00BE0ECA"/>
    <w:rsid w:val="00BE2180"/>
    <w:rsid w:val="00BE21F2"/>
    <w:rsid w:val="00BE2A57"/>
    <w:rsid w:val="00BE38C5"/>
    <w:rsid w:val="00BE3D50"/>
    <w:rsid w:val="00BE3F8F"/>
    <w:rsid w:val="00BE4275"/>
    <w:rsid w:val="00BE4F96"/>
    <w:rsid w:val="00BE5587"/>
    <w:rsid w:val="00BE630F"/>
    <w:rsid w:val="00BE765B"/>
    <w:rsid w:val="00BE7B8A"/>
    <w:rsid w:val="00BE7E48"/>
    <w:rsid w:val="00BF06AE"/>
    <w:rsid w:val="00BF0F95"/>
    <w:rsid w:val="00BF1809"/>
    <w:rsid w:val="00BF2433"/>
    <w:rsid w:val="00BF3DC2"/>
    <w:rsid w:val="00BF4A2E"/>
    <w:rsid w:val="00BF4EDE"/>
    <w:rsid w:val="00BF54BF"/>
    <w:rsid w:val="00BF61C9"/>
    <w:rsid w:val="00BF6C94"/>
    <w:rsid w:val="00BF78AA"/>
    <w:rsid w:val="00C00424"/>
    <w:rsid w:val="00C00861"/>
    <w:rsid w:val="00C00E8A"/>
    <w:rsid w:val="00C04787"/>
    <w:rsid w:val="00C05227"/>
    <w:rsid w:val="00C05ED5"/>
    <w:rsid w:val="00C060DA"/>
    <w:rsid w:val="00C06746"/>
    <w:rsid w:val="00C07460"/>
    <w:rsid w:val="00C1097E"/>
    <w:rsid w:val="00C1179F"/>
    <w:rsid w:val="00C12C14"/>
    <w:rsid w:val="00C151D4"/>
    <w:rsid w:val="00C15F04"/>
    <w:rsid w:val="00C167A4"/>
    <w:rsid w:val="00C16C14"/>
    <w:rsid w:val="00C16C3A"/>
    <w:rsid w:val="00C179B3"/>
    <w:rsid w:val="00C17E3F"/>
    <w:rsid w:val="00C200AA"/>
    <w:rsid w:val="00C204F4"/>
    <w:rsid w:val="00C20D7A"/>
    <w:rsid w:val="00C22925"/>
    <w:rsid w:val="00C22935"/>
    <w:rsid w:val="00C2314D"/>
    <w:rsid w:val="00C237ED"/>
    <w:rsid w:val="00C2388F"/>
    <w:rsid w:val="00C24632"/>
    <w:rsid w:val="00C25418"/>
    <w:rsid w:val="00C25D9C"/>
    <w:rsid w:val="00C2778B"/>
    <w:rsid w:val="00C308C8"/>
    <w:rsid w:val="00C309E5"/>
    <w:rsid w:val="00C30DDF"/>
    <w:rsid w:val="00C31649"/>
    <w:rsid w:val="00C340EF"/>
    <w:rsid w:val="00C3434C"/>
    <w:rsid w:val="00C36726"/>
    <w:rsid w:val="00C371FE"/>
    <w:rsid w:val="00C40037"/>
    <w:rsid w:val="00C40385"/>
    <w:rsid w:val="00C41768"/>
    <w:rsid w:val="00C4339E"/>
    <w:rsid w:val="00C43F2F"/>
    <w:rsid w:val="00C451D9"/>
    <w:rsid w:val="00C462BD"/>
    <w:rsid w:val="00C46352"/>
    <w:rsid w:val="00C475AA"/>
    <w:rsid w:val="00C5342D"/>
    <w:rsid w:val="00C537E2"/>
    <w:rsid w:val="00C53AC3"/>
    <w:rsid w:val="00C53C98"/>
    <w:rsid w:val="00C54651"/>
    <w:rsid w:val="00C54B0D"/>
    <w:rsid w:val="00C56FCF"/>
    <w:rsid w:val="00C57A18"/>
    <w:rsid w:val="00C57B6C"/>
    <w:rsid w:val="00C625A4"/>
    <w:rsid w:val="00C628A6"/>
    <w:rsid w:val="00C6405D"/>
    <w:rsid w:val="00C64344"/>
    <w:rsid w:val="00C64844"/>
    <w:rsid w:val="00C64C4B"/>
    <w:rsid w:val="00C65108"/>
    <w:rsid w:val="00C65576"/>
    <w:rsid w:val="00C66165"/>
    <w:rsid w:val="00C66404"/>
    <w:rsid w:val="00C67836"/>
    <w:rsid w:val="00C703BD"/>
    <w:rsid w:val="00C70446"/>
    <w:rsid w:val="00C7060A"/>
    <w:rsid w:val="00C708AD"/>
    <w:rsid w:val="00C710D1"/>
    <w:rsid w:val="00C7151A"/>
    <w:rsid w:val="00C7174E"/>
    <w:rsid w:val="00C717E3"/>
    <w:rsid w:val="00C71F60"/>
    <w:rsid w:val="00C72241"/>
    <w:rsid w:val="00C750C8"/>
    <w:rsid w:val="00C7560F"/>
    <w:rsid w:val="00C75885"/>
    <w:rsid w:val="00C759D3"/>
    <w:rsid w:val="00C75E1C"/>
    <w:rsid w:val="00C770F6"/>
    <w:rsid w:val="00C8049C"/>
    <w:rsid w:val="00C80A0E"/>
    <w:rsid w:val="00C8213F"/>
    <w:rsid w:val="00C844EE"/>
    <w:rsid w:val="00C85154"/>
    <w:rsid w:val="00C8671C"/>
    <w:rsid w:val="00C8797A"/>
    <w:rsid w:val="00C879FA"/>
    <w:rsid w:val="00C87CC4"/>
    <w:rsid w:val="00C900B8"/>
    <w:rsid w:val="00C90BE6"/>
    <w:rsid w:val="00C90C4A"/>
    <w:rsid w:val="00C90C71"/>
    <w:rsid w:val="00C91977"/>
    <w:rsid w:val="00C91FD1"/>
    <w:rsid w:val="00C928E4"/>
    <w:rsid w:val="00C931CF"/>
    <w:rsid w:val="00C938CF"/>
    <w:rsid w:val="00C94053"/>
    <w:rsid w:val="00C95E1D"/>
    <w:rsid w:val="00C9624D"/>
    <w:rsid w:val="00C964E1"/>
    <w:rsid w:val="00C9684D"/>
    <w:rsid w:val="00C969DA"/>
    <w:rsid w:val="00C978C7"/>
    <w:rsid w:val="00CA0A0F"/>
    <w:rsid w:val="00CA20C2"/>
    <w:rsid w:val="00CA2C77"/>
    <w:rsid w:val="00CA322D"/>
    <w:rsid w:val="00CA3520"/>
    <w:rsid w:val="00CA3AFD"/>
    <w:rsid w:val="00CA444F"/>
    <w:rsid w:val="00CA5245"/>
    <w:rsid w:val="00CA5863"/>
    <w:rsid w:val="00CA598D"/>
    <w:rsid w:val="00CA5DCF"/>
    <w:rsid w:val="00CA68B8"/>
    <w:rsid w:val="00CA6F3F"/>
    <w:rsid w:val="00CA71F4"/>
    <w:rsid w:val="00CA7B09"/>
    <w:rsid w:val="00CA7F27"/>
    <w:rsid w:val="00CB12A5"/>
    <w:rsid w:val="00CB1CAC"/>
    <w:rsid w:val="00CB1ED0"/>
    <w:rsid w:val="00CB227D"/>
    <w:rsid w:val="00CB2396"/>
    <w:rsid w:val="00CB2F2A"/>
    <w:rsid w:val="00CB3931"/>
    <w:rsid w:val="00CB5B1A"/>
    <w:rsid w:val="00CB6236"/>
    <w:rsid w:val="00CB6B22"/>
    <w:rsid w:val="00CB6F00"/>
    <w:rsid w:val="00CB7F5F"/>
    <w:rsid w:val="00CC0632"/>
    <w:rsid w:val="00CC0966"/>
    <w:rsid w:val="00CC1B0D"/>
    <w:rsid w:val="00CC1B39"/>
    <w:rsid w:val="00CC35EA"/>
    <w:rsid w:val="00CC3848"/>
    <w:rsid w:val="00CC3AA9"/>
    <w:rsid w:val="00CC4150"/>
    <w:rsid w:val="00CC4251"/>
    <w:rsid w:val="00CC4ADE"/>
    <w:rsid w:val="00CC4C3A"/>
    <w:rsid w:val="00CC673D"/>
    <w:rsid w:val="00CC6A57"/>
    <w:rsid w:val="00CC7C59"/>
    <w:rsid w:val="00CD0838"/>
    <w:rsid w:val="00CD3520"/>
    <w:rsid w:val="00CD3DEF"/>
    <w:rsid w:val="00CD3F77"/>
    <w:rsid w:val="00CD52F8"/>
    <w:rsid w:val="00CD6ADC"/>
    <w:rsid w:val="00CD7158"/>
    <w:rsid w:val="00CD7193"/>
    <w:rsid w:val="00CD7D0E"/>
    <w:rsid w:val="00CD7D36"/>
    <w:rsid w:val="00CE08AB"/>
    <w:rsid w:val="00CE2375"/>
    <w:rsid w:val="00CE25E9"/>
    <w:rsid w:val="00CE2AE4"/>
    <w:rsid w:val="00CE3046"/>
    <w:rsid w:val="00CE38C8"/>
    <w:rsid w:val="00CE3D7C"/>
    <w:rsid w:val="00CE6274"/>
    <w:rsid w:val="00CE64D0"/>
    <w:rsid w:val="00CE7756"/>
    <w:rsid w:val="00CE77B6"/>
    <w:rsid w:val="00CE7D87"/>
    <w:rsid w:val="00CE7FCB"/>
    <w:rsid w:val="00CF0442"/>
    <w:rsid w:val="00CF22F3"/>
    <w:rsid w:val="00CF254F"/>
    <w:rsid w:val="00CF2B8D"/>
    <w:rsid w:val="00CF2DD9"/>
    <w:rsid w:val="00CF456B"/>
    <w:rsid w:val="00CF4AEE"/>
    <w:rsid w:val="00CF4BF6"/>
    <w:rsid w:val="00CF5A22"/>
    <w:rsid w:val="00CF662B"/>
    <w:rsid w:val="00CF686A"/>
    <w:rsid w:val="00CF78A1"/>
    <w:rsid w:val="00CF79FE"/>
    <w:rsid w:val="00D0183F"/>
    <w:rsid w:val="00D01943"/>
    <w:rsid w:val="00D0262E"/>
    <w:rsid w:val="00D0466F"/>
    <w:rsid w:val="00D05E3D"/>
    <w:rsid w:val="00D06139"/>
    <w:rsid w:val="00D070FF"/>
    <w:rsid w:val="00D110BD"/>
    <w:rsid w:val="00D11B3E"/>
    <w:rsid w:val="00D121A5"/>
    <w:rsid w:val="00D12C92"/>
    <w:rsid w:val="00D13647"/>
    <w:rsid w:val="00D13675"/>
    <w:rsid w:val="00D141E1"/>
    <w:rsid w:val="00D15314"/>
    <w:rsid w:val="00D17D6C"/>
    <w:rsid w:val="00D20B5C"/>
    <w:rsid w:val="00D2155B"/>
    <w:rsid w:val="00D2225C"/>
    <w:rsid w:val="00D2321F"/>
    <w:rsid w:val="00D23D11"/>
    <w:rsid w:val="00D244B6"/>
    <w:rsid w:val="00D2475D"/>
    <w:rsid w:val="00D24E3A"/>
    <w:rsid w:val="00D25DCD"/>
    <w:rsid w:val="00D26453"/>
    <w:rsid w:val="00D2660C"/>
    <w:rsid w:val="00D2754D"/>
    <w:rsid w:val="00D27B27"/>
    <w:rsid w:val="00D27B7E"/>
    <w:rsid w:val="00D33BE9"/>
    <w:rsid w:val="00D33F93"/>
    <w:rsid w:val="00D3443B"/>
    <w:rsid w:val="00D34FEF"/>
    <w:rsid w:val="00D357FF"/>
    <w:rsid w:val="00D36380"/>
    <w:rsid w:val="00D414CB"/>
    <w:rsid w:val="00D420D0"/>
    <w:rsid w:val="00D424C7"/>
    <w:rsid w:val="00D43B2A"/>
    <w:rsid w:val="00D43CEA"/>
    <w:rsid w:val="00D43D83"/>
    <w:rsid w:val="00D44D48"/>
    <w:rsid w:val="00D458FA"/>
    <w:rsid w:val="00D47575"/>
    <w:rsid w:val="00D47FF4"/>
    <w:rsid w:val="00D507C6"/>
    <w:rsid w:val="00D5181D"/>
    <w:rsid w:val="00D5243B"/>
    <w:rsid w:val="00D533EC"/>
    <w:rsid w:val="00D54090"/>
    <w:rsid w:val="00D54C9E"/>
    <w:rsid w:val="00D55511"/>
    <w:rsid w:val="00D5659D"/>
    <w:rsid w:val="00D56A95"/>
    <w:rsid w:val="00D6280B"/>
    <w:rsid w:val="00D658D8"/>
    <w:rsid w:val="00D7054C"/>
    <w:rsid w:val="00D70F16"/>
    <w:rsid w:val="00D71BEB"/>
    <w:rsid w:val="00D71F25"/>
    <w:rsid w:val="00D72F57"/>
    <w:rsid w:val="00D73B55"/>
    <w:rsid w:val="00D74993"/>
    <w:rsid w:val="00D76A44"/>
    <w:rsid w:val="00D815EF"/>
    <w:rsid w:val="00D81F26"/>
    <w:rsid w:val="00D86231"/>
    <w:rsid w:val="00D86363"/>
    <w:rsid w:val="00D91923"/>
    <w:rsid w:val="00D923D8"/>
    <w:rsid w:val="00D93753"/>
    <w:rsid w:val="00D93AD0"/>
    <w:rsid w:val="00D96D74"/>
    <w:rsid w:val="00DA0A5F"/>
    <w:rsid w:val="00DA1E1C"/>
    <w:rsid w:val="00DA2732"/>
    <w:rsid w:val="00DA2E38"/>
    <w:rsid w:val="00DA3167"/>
    <w:rsid w:val="00DA3D0B"/>
    <w:rsid w:val="00DA4615"/>
    <w:rsid w:val="00DA4A13"/>
    <w:rsid w:val="00DA4DC3"/>
    <w:rsid w:val="00DA5432"/>
    <w:rsid w:val="00DA71DE"/>
    <w:rsid w:val="00DA77A5"/>
    <w:rsid w:val="00DB1139"/>
    <w:rsid w:val="00DB2B58"/>
    <w:rsid w:val="00DB3CFF"/>
    <w:rsid w:val="00DB3DBF"/>
    <w:rsid w:val="00DB484F"/>
    <w:rsid w:val="00DB6808"/>
    <w:rsid w:val="00DB6F5B"/>
    <w:rsid w:val="00DB7C77"/>
    <w:rsid w:val="00DC04F6"/>
    <w:rsid w:val="00DC0690"/>
    <w:rsid w:val="00DC1D65"/>
    <w:rsid w:val="00DC1DEC"/>
    <w:rsid w:val="00DC3495"/>
    <w:rsid w:val="00DC398C"/>
    <w:rsid w:val="00DC3C57"/>
    <w:rsid w:val="00DC3F6C"/>
    <w:rsid w:val="00DC502D"/>
    <w:rsid w:val="00DC5501"/>
    <w:rsid w:val="00DC5BD3"/>
    <w:rsid w:val="00DC7154"/>
    <w:rsid w:val="00DC7E8A"/>
    <w:rsid w:val="00DD0F78"/>
    <w:rsid w:val="00DD11E5"/>
    <w:rsid w:val="00DD20BB"/>
    <w:rsid w:val="00DD273C"/>
    <w:rsid w:val="00DD3F28"/>
    <w:rsid w:val="00DD3F9A"/>
    <w:rsid w:val="00DD4537"/>
    <w:rsid w:val="00DD4C62"/>
    <w:rsid w:val="00DD4E15"/>
    <w:rsid w:val="00DD57E6"/>
    <w:rsid w:val="00DD593A"/>
    <w:rsid w:val="00DD59D8"/>
    <w:rsid w:val="00DD6242"/>
    <w:rsid w:val="00DE0FF2"/>
    <w:rsid w:val="00DE10F8"/>
    <w:rsid w:val="00DE1B08"/>
    <w:rsid w:val="00DE1CAD"/>
    <w:rsid w:val="00DE2273"/>
    <w:rsid w:val="00DE2304"/>
    <w:rsid w:val="00DE3138"/>
    <w:rsid w:val="00DE3586"/>
    <w:rsid w:val="00DE37F8"/>
    <w:rsid w:val="00DE4963"/>
    <w:rsid w:val="00DE4AA5"/>
    <w:rsid w:val="00DE4FCB"/>
    <w:rsid w:val="00DE516B"/>
    <w:rsid w:val="00DE58CE"/>
    <w:rsid w:val="00DE5D07"/>
    <w:rsid w:val="00DE69E4"/>
    <w:rsid w:val="00DE72A7"/>
    <w:rsid w:val="00DE7832"/>
    <w:rsid w:val="00DE7D51"/>
    <w:rsid w:val="00DF12CA"/>
    <w:rsid w:val="00DF18FC"/>
    <w:rsid w:val="00DF27EC"/>
    <w:rsid w:val="00DF4343"/>
    <w:rsid w:val="00DF50E9"/>
    <w:rsid w:val="00DF5D2B"/>
    <w:rsid w:val="00E0076F"/>
    <w:rsid w:val="00E00E8E"/>
    <w:rsid w:val="00E014C7"/>
    <w:rsid w:val="00E02397"/>
    <w:rsid w:val="00E02465"/>
    <w:rsid w:val="00E0262E"/>
    <w:rsid w:val="00E039FC"/>
    <w:rsid w:val="00E04D62"/>
    <w:rsid w:val="00E05630"/>
    <w:rsid w:val="00E06223"/>
    <w:rsid w:val="00E06DBB"/>
    <w:rsid w:val="00E06FD9"/>
    <w:rsid w:val="00E07DCF"/>
    <w:rsid w:val="00E10149"/>
    <w:rsid w:val="00E11340"/>
    <w:rsid w:val="00E11393"/>
    <w:rsid w:val="00E122A1"/>
    <w:rsid w:val="00E141A6"/>
    <w:rsid w:val="00E144CF"/>
    <w:rsid w:val="00E147AF"/>
    <w:rsid w:val="00E156C4"/>
    <w:rsid w:val="00E16372"/>
    <w:rsid w:val="00E17E7B"/>
    <w:rsid w:val="00E20CF6"/>
    <w:rsid w:val="00E20E4D"/>
    <w:rsid w:val="00E20ED6"/>
    <w:rsid w:val="00E21358"/>
    <w:rsid w:val="00E21AC1"/>
    <w:rsid w:val="00E21AE1"/>
    <w:rsid w:val="00E2249B"/>
    <w:rsid w:val="00E22A0D"/>
    <w:rsid w:val="00E22A43"/>
    <w:rsid w:val="00E22E76"/>
    <w:rsid w:val="00E231A8"/>
    <w:rsid w:val="00E235E7"/>
    <w:rsid w:val="00E23C38"/>
    <w:rsid w:val="00E244F6"/>
    <w:rsid w:val="00E24C0D"/>
    <w:rsid w:val="00E2538B"/>
    <w:rsid w:val="00E253FC"/>
    <w:rsid w:val="00E2594C"/>
    <w:rsid w:val="00E2771E"/>
    <w:rsid w:val="00E30374"/>
    <w:rsid w:val="00E31114"/>
    <w:rsid w:val="00E311EF"/>
    <w:rsid w:val="00E31AA1"/>
    <w:rsid w:val="00E32180"/>
    <w:rsid w:val="00E32211"/>
    <w:rsid w:val="00E323AD"/>
    <w:rsid w:val="00E339B8"/>
    <w:rsid w:val="00E34948"/>
    <w:rsid w:val="00E35B7C"/>
    <w:rsid w:val="00E37421"/>
    <w:rsid w:val="00E37531"/>
    <w:rsid w:val="00E37569"/>
    <w:rsid w:val="00E378E3"/>
    <w:rsid w:val="00E37C23"/>
    <w:rsid w:val="00E401B2"/>
    <w:rsid w:val="00E41BBB"/>
    <w:rsid w:val="00E41E30"/>
    <w:rsid w:val="00E4240A"/>
    <w:rsid w:val="00E42843"/>
    <w:rsid w:val="00E4289C"/>
    <w:rsid w:val="00E42F73"/>
    <w:rsid w:val="00E43D70"/>
    <w:rsid w:val="00E446AA"/>
    <w:rsid w:val="00E45407"/>
    <w:rsid w:val="00E466F3"/>
    <w:rsid w:val="00E46775"/>
    <w:rsid w:val="00E46954"/>
    <w:rsid w:val="00E46FB8"/>
    <w:rsid w:val="00E4724E"/>
    <w:rsid w:val="00E479BA"/>
    <w:rsid w:val="00E47B2C"/>
    <w:rsid w:val="00E47C14"/>
    <w:rsid w:val="00E47F6B"/>
    <w:rsid w:val="00E50350"/>
    <w:rsid w:val="00E51560"/>
    <w:rsid w:val="00E51EAC"/>
    <w:rsid w:val="00E5203B"/>
    <w:rsid w:val="00E5384F"/>
    <w:rsid w:val="00E53FC8"/>
    <w:rsid w:val="00E54347"/>
    <w:rsid w:val="00E54894"/>
    <w:rsid w:val="00E54AFB"/>
    <w:rsid w:val="00E54EB0"/>
    <w:rsid w:val="00E55424"/>
    <w:rsid w:val="00E55915"/>
    <w:rsid w:val="00E55BB5"/>
    <w:rsid w:val="00E56976"/>
    <w:rsid w:val="00E6184D"/>
    <w:rsid w:val="00E628EA"/>
    <w:rsid w:val="00E6426C"/>
    <w:rsid w:val="00E655B5"/>
    <w:rsid w:val="00E65E79"/>
    <w:rsid w:val="00E66BA2"/>
    <w:rsid w:val="00E67416"/>
    <w:rsid w:val="00E7001E"/>
    <w:rsid w:val="00E70325"/>
    <w:rsid w:val="00E718B6"/>
    <w:rsid w:val="00E71A2D"/>
    <w:rsid w:val="00E723BA"/>
    <w:rsid w:val="00E73581"/>
    <w:rsid w:val="00E76B75"/>
    <w:rsid w:val="00E77001"/>
    <w:rsid w:val="00E77ED9"/>
    <w:rsid w:val="00E80697"/>
    <w:rsid w:val="00E80F5F"/>
    <w:rsid w:val="00E80F78"/>
    <w:rsid w:val="00E83110"/>
    <w:rsid w:val="00E833F7"/>
    <w:rsid w:val="00E83BDF"/>
    <w:rsid w:val="00E84E1C"/>
    <w:rsid w:val="00E8582E"/>
    <w:rsid w:val="00E85BCA"/>
    <w:rsid w:val="00E8717C"/>
    <w:rsid w:val="00E87A1D"/>
    <w:rsid w:val="00E9094A"/>
    <w:rsid w:val="00E91D35"/>
    <w:rsid w:val="00E926A5"/>
    <w:rsid w:val="00E92FFB"/>
    <w:rsid w:val="00E9439E"/>
    <w:rsid w:val="00E94995"/>
    <w:rsid w:val="00E96679"/>
    <w:rsid w:val="00EA0800"/>
    <w:rsid w:val="00EA0DA2"/>
    <w:rsid w:val="00EA0EDE"/>
    <w:rsid w:val="00EA17C3"/>
    <w:rsid w:val="00EA2BDA"/>
    <w:rsid w:val="00EA2CAA"/>
    <w:rsid w:val="00EA3864"/>
    <w:rsid w:val="00EA5079"/>
    <w:rsid w:val="00EA5318"/>
    <w:rsid w:val="00EA556C"/>
    <w:rsid w:val="00EA61D5"/>
    <w:rsid w:val="00EA6959"/>
    <w:rsid w:val="00EA6CA0"/>
    <w:rsid w:val="00EA7021"/>
    <w:rsid w:val="00EA7F1C"/>
    <w:rsid w:val="00EB0258"/>
    <w:rsid w:val="00EB0DCB"/>
    <w:rsid w:val="00EB15B6"/>
    <w:rsid w:val="00EB2D33"/>
    <w:rsid w:val="00EB375F"/>
    <w:rsid w:val="00EB389B"/>
    <w:rsid w:val="00EB3D06"/>
    <w:rsid w:val="00EB4916"/>
    <w:rsid w:val="00EB5D5E"/>
    <w:rsid w:val="00EC00C9"/>
    <w:rsid w:val="00EC0DD9"/>
    <w:rsid w:val="00EC0EE1"/>
    <w:rsid w:val="00EC11BD"/>
    <w:rsid w:val="00EC1669"/>
    <w:rsid w:val="00EC1AB4"/>
    <w:rsid w:val="00EC237A"/>
    <w:rsid w:val="00EC2649"/>
    <w:rsid w:val="00EC31ED"/>
    <w:rsid w:val="00EC3CD6"/>
    <w:rsid w:val="00EC5836"/>
    <w:rsid w:val="00EC688C"/>
    <w:rsid w:val="00ED1419"/>
    <w:rsid w:val="00ED283A"/>
    <w:rsid w:val="00ED57EA"/>
    <w:rsid w:val="00ED5BD4"/>
    <w:rsid w:val="00ED5F75"/>
    <w:rsid w:val="00ED607D"/>
    <w:rsid w:val="00ED6D8C"/>
    <w:rsid w:val="00ED7C66"/>
    <w:rsid w:val="00EE07D3"/>
    <w:rsid w:val="00EE0C80"/>
    <w:rsid w:val="00EE15AE"/>
    <w:rsid w:val="00EE1794"/>
    <w:rsid w:val="00EE1996"/>
    <w:rsid w:val="00EE1C01"/>
    <w:rsid w:val="00EE22AF"/>
    <w:rsid w:val="00EE24AF"/>
    <w:rsid w:val="00EE4097"/>
    <w:rsid w:val="00EE4249"/>
    <w:rsid w:val="00EE5AF2"/>
    <w:rsid w:val="00EE7F6A"/>
    <w:rsid w:val="00EF0171"/>
    <w:rsid w:val="00EF1B25"/>
    <w:rsid w:val="00EF1DA0"/>
    <w:rsid w:val="00EF1E5A"/>
    <w:rsid w:val="00EF25DA"/>
    <w:rsid w:val="00EF4747"/>
    <w:rsid w:val="00EF4BF8"/>
    <w:rsid w:val="00EF4C9B"/>
    <w:rsid w:val="00EF5D9B"/>
    <w:rsid w:val="00F0041B"/>
    <w:rsid w:val="00F00893"/>
    <w:rsid w:val="00F01524"/>
    <w:rsid w:val="00F01A54"/>
    <w:rsid w:val="00F02253"/>
    <w:rsid w:val="00F02C01"/>
    <w:rsid w:val="00F033ED"/>
    <w:rsid w:val="00F03C2E"/>
    <w:rsid w:val="00F044AB"/>
    <w:rsid w:val="00F04A66"/>
    <w:rsid w:val="00F04B4B"/>
    <w:rsid w:val="00F0516C"/>
    <w:rsid w:val="00F05E82"/>
    <w:rsid w:val="00F067A2"/>
    <w:rsid w:val="00F07B9E"/>
    <w:rsid w:val="00F10864"/>
    <w:rsid w:val="00F1116F"/>
    <w:rsid w:val="00F112C4"/>
    <w:rsid w:val="00F1263A"/>
    <w:rsid w:val="00F13142"/>
    <w:rsid w:val="00F13698"/>
    <w:rsid w:val="00F144AD"/>
    <w:rsid w:val="00F15B77"/>
    <w:rsid w:val="00F15E91"/>
    <w:rsid w:val="00F17DB1"/>
    <w:rsid w:val="00F20A26"/>
    <w:rsid w:val="00F21704"/>
    <w:rsid w:val="00F21F2C"/>
    <w:rsid w:val="00F226BD"/>
    <w:rsid w:val="00F24072"/>
    <w:rsid w:val="00F24837"/>
    <w:rsid w:val="00F24C9B"/>
    <w:rsid w:val="00F2575F"/>
    <w:rsid w:val="00F25ACB"/>
    <w:rsid w:val="00F26198"/>
    <w:rsid w:val="00F27565"/>
    <w:rsid w:val="00F27589"/>
    <w:rsid w:val="00F30968"/>
    <w:rsid w:val="00F30DA6"/>
    <w:rsid w:val="00F310D4"/>
    <w:rsid w:val="00F318B5"/>
    <w:rsid w:val="00F31D5A"/>
    <w:rsid w:val="00F32064"/>
    <w:rsid w:val="00F33975"/>
    <w:rsid w:val="00F33DE9"/>
    <w:rsid w:val="00F34926"/>
    <w:rsid w:val="00F34A2F"/>
    <w:rsid w:val="00F35E6D"/>
    <w:rsid w:val="00F3619A"/>
    <w:rsid w:val="00F36D2F"/>
    <w:rsid w:val="00F37F5C"/>
    <w:rsid w:val="00F40AAA"/>
    <w:rsid w:val="00F40BA7"/>
    <w:rsid w:val="00F40F9D"/>
    <w:rsid w:val="00F4110B"/>
    <w:rsid w:val="00F4123E"/>
    <w:rsid w:val="00F412BF"/>
    <w:rsid w:val="00F41ACD"/>
    <w:rsid w:val="00F42769"/>
    <w:rsid w:val="00F43B1C"/>
    <w:rsid w:val="00F45718"/>
    <w:rsid w:val="00F458C6"/>
    <w:rsid w:val="00F45CAD"/>
    <w:rsid w:val="00F45D6D"/>
    <w:rsid w:val="00F46CB6"/>
    <w:rsid w:val="00F4701B"/>
    <w:rsid w:val="00F4756D"/>
    <w:rsid w:val="00F47DE8"/>
    <w:rsid w:val="00F513AE"/>
    <w:rsid w:val="00F5332D"/>
    <w:rsid w:val="00F542C1"/>
    <w:rsid w:val="00F55E73"/>
    <w:rsid w:val="00F55EDA"/>
    <w:rsid w:val="00F56253"/>
    <w:rsid w:val="00F56C80"/>
    <w:rsid w:val="00F57396"/>
    <w:rsid w:val="00F57BC3"/>
    <w:rsid w:val="00F60092"/>
    <w:rsid w:val="00F618D9"/>
    <w:rsid w:val="00F61C18"/>
    <w:rsid w:val="00F62BCF"/>
    <w:rsid w:val="00F62D76"/>
    <w:rsid w:val="00F62DCF"/>
    <w:rsid w:val="00F6537C"/>
    <w:rsid w:val="00F65F4B"/>
    <w:rsid w:val="00F66B3F"/>
    <w:rsid w:val="00F67001"/>
    <w:rsid w:val="00F67A69"/>
    <w:rsid w:val="00F70BFF"/>
    <w:rsid w:val="00F70C9D"/>
    <w:rsid w:val="00F72136"/>
    <w:rsid w:val="00F72B81"/>
    <w:rsid w:val="00F730C5"/>
    <w:rsid w:val="00F73213"/>
    <w:rsid w:val="00F74CD9"/>
    <w:rsid w:val="00F74F2C"/>
    <w:rsid w:val="00F758EF"/>
    <w:rsid w:val="00F76BDC"/>
    <w:rsid w:val="00F76E89"/>
    <w:rsid w:val="00F76F12"/>
    <w:rsid w:val="00F77246"/>
    <w:rsid w:val="00F77BE3"/>
    <w:rsid w:val="00F805BC"/>
    <w:rsid w:val="00F80A7B"/>
    <w:rsid w:val="00F80E5D"/>
    <w:rsid w:val="00F810C0"/>
    <w:rsid w:val="00F81E78"/>
    <w:rsid w:val="00F839D2"/>
    <w:rsid w:val="00F851CE"/>
    <w:rsid w:val="00F85BB5"/>
    <w:rsid w:val="00F85F32"/>
    <w:rsid w:val="00F870C6"/>
    <w:rsid w:val="00F8751D"/>
    <w:rsid w:val="00F875D4"/>
    <w:rsid w:val="00F901B2"/>
    <w:rsid w:val="00F90B6D"/>
    <w:rsid w:val="00F91219"/>
    <w:rsid w:val="00F92444"/>
    <w:rsid w:val="00F9393E"/>
    <w:rsid w:val="00F95CE2"/>
    <w:rsid w:val="00F961EB"/>
    <w:rsid w:val="00F9647F"/>
    <w:rsid w:val="00F966B5"/>
    <w:rsid w:val="00F96D24"/>
    <w:rsid w:val="00F96FD0"/>
    <w:rsid w:val="00F97A78"/>
    <w:rsid w:val="00FA0B20"/>
    <w:rsid w:val="00FA24E7"/>
    <w:rsid w:val="00FA3F03"/>
    <w:rsid w:val="00FA43EE"/>
    <w:rsid w:val="00FA44A3"/>
    <w:rsid w:val="00FA46E3"/>
    <w:rsid w:val="00FA5EE6"/>
    <w:rsid w:val="00FA64BC"/>
    <w:rsid w:val="00FA6C87"/>
    <w:rsid w:val="00FA7956"/>
    <w:rsid w:val="00FB0071"/>
    <w:rsid w:val="00FB055F"/>
    <w:rsid w:val="00FB2E9D"/>
    <w:rsid w:val="00FB2FCB"/>
    <w:rsid w:val="00FB35D3"/>
    <w:rsid w:val="00FB4C49"/>
    <w:rsid w:val="00FB55E9"/>
    <w:rsid w:val="00FB6817"/>
    <w:rsid w:val="00FB78F4"/>
    <w:rsid w:val="00FB7AD9"/>
    <w:rsid w:val="00FB7C55"/>
    <w:rsid w:val="00FC0449"/>
    <w:rsid w:val="00FC1074"/>
    <w:rsid w:val="00FC1884"/>
    <w:rsid w:val="00FC2F72"/>
    <w:rsid w:val="00FC371D"/>
    <w:rsid w:val="00FC489B"/>
    <w:rsid w:val="00FC5F0B"/>
    <w:rsid w:val="00FC6C44"/>
    <w:rsid w:val="00FD2100"/>
    <w:rsid w:val="00FD3B8E"/>
    <w:rsid w:val="00FD3F07"/>
    <w:rsid w:val="00FD436C"/>
    <w:rsid w:val="00FD446D"/>
    <w:rsid w:val="00FD4F2C"/>
    <w:rsid w:val="00FD50A0"/>
    <w:rsid w:val="00FD6394"/>
    <w:rsid w:val="00FD7046"/>
    <w:rsid w:val="00FE0E6C"/>
    <w:rsid w:val="00FE1BFF"/>
    <w:rsid w:val="00FE1CDC"/>
    <w:rsid w:val="00FE329B"/>
    <w:rsid w:val="00FE3734"/>
    <w:rsid w:val="00FE6527"/>
    <w:rsid w:val="00FE65A4"/>
    <w:rsid w:val="00FE6FAC"/>
    <w:rsid w:val="00FE70C3"/>
    <w:rsid w:val="00FE735A"/>
    <w:rsid w:val="00FE7A67"/>
    <w:rsid w:val="00FF1ED7"/>
    <w:rsid w:val="00FF2AD9"/>
    <w:rsid w:val="00FF359F"/>
    <w:rsid w:val="00FF3DCF"/>
    <w:rsid w:val="00FF4598"/>
    <w:rsid w:val="00FF492C"/>
    <w:rsid w:val="00FF4A21"/>
    <w:rsid w:val="00FF5AA3"/>
    <w:rsid w:val="00FF5AD8"/>
    <w:rsid w:val="00FF5FA7"/>
    <w:rsid w:val="00FF76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83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7F25F7"/>
    <w:rPr>
      <w:rFonts w:ascii="Arial Narrow" w:hAnsi="Arial Narrow"/>
      <w:b/>
      <w:color w:val="000000" w:themeColor="text1"/>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A6060E"/>
    <w:pPr>
      <w:spacing w:after="240"/>
      <w:contextualSpacing/>
    </w:pPr>
    <w:rPr>
      <w:rFonts w:ascii="Arial Narrow" w:hAnsi="Arial Narrow"/>
      <w:snapToGrid w:val="0"/>
      <w:sz w:val="18"/>
      <w:szCs w:val="22"/>
    </w:rPr>
  </w:style>
  <w:style w:type="character" w:customStyle="1" w:styleId="TableFigureFooterChar">
    <w:name w:val="Table/Figure Footer Char"/>
    <w:link w:val="TableFigureFooter"/>
    <w:rsid w:val="00A6060E"/>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aliases w:val="Bullet L1"/>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styleId="FootnoteText">
    <w:name w:val="footnote text"/>
    <w:basedOn w:val="Normal"/>
    <w:link w:val="FootnoteTextChar"/>
    <w:semiHidden/>
    <w:unhideWhenUsed/>
    <w:rsid w:val="00631A78"/>
    <w:rPr>
      <w:sz w:val="20"/>
      <w:szCs w:val="20"/>
    </w:rPr>
  </w:style>
  <w:style w:type="character" w:customStyle="1" w:styleId="FootnoteTextChar">
    <w:name w:val="Footnote Text Char"/>
    <w:basedOn w:val="DefaultParagraphFont"/>
    <w:link w:val="FootnoteText"/>
    <w:semiHidden/>
    <w:rsid w:val="00631A78"/>
    <w:rPr>
      <w:rFonts w:ascii="Calibri" w:hAnsi="Calibri" w:cs="Arial"/>
    </w:rPr>
  </w:style>
  <w:style w:type="character" w:styleId="FootnoteReference">
    <w:name w:val="footnote reference"/>
    <w:basedOn w:val="DefaultParagraphFont"/>
    <w:unhideWhenUsed/>
    <w:rsid w:val="00631A78"/>
    <w:rPr>
      <w:vertAlign w:val="superscript"/>
    </w:rPr>
  </w:style>
  <w:style w:type="character" w:customStyle="1" w:styleId="TableBold">
    <w:name w:val="Table Bold"/>
    <w:uiPriority w:val="4"/>
    <w:qFormat/>
    <w:rsid w:val="005E4D64"/>
    <w:rPr>
      <w:rFonts w:ascii="Arial Narrow" w:hAnsi="Arial Narrow" w:cs="Times New Roman"/>
      <w:b/>
      <w:sz w:val="20"/>
      <w:lang w:val="en-AU"/>
    </w:rPr>
  </w:style>
  <w:style w:type="paragraph" w:customStyle="1" w:styleId="Default">
    <w:name w:val="Default"/>
    <w:rsid w:val="005E4D64"/>
    <w:pPr>
      <w:autoSpaceDE w:val="0"/>
      <w:autoSpaceDN w:val="0"/>
      <w:adjustRightInd w:val="0"/>
      <w:jc w:val="both"/>
    </w:pPr>
    <w:rPr>
      <w:rFonts w:ascii="Arial Narrow" w:eastAsiaTheme="majorEastAsia" w:hAnsi="Arial Narrow" w:cs="Arial Narrow"/>
      <w:color w:val="000000"/>
      <w:sz w:val="24"/>
      <w:szCs w:val="24"/>
      <w:lang w:eastAsia="en-US"/>
    </w:rPr>
  </w:style>
  <w:style w:type="table" w:customStyle="1" w:styleId="Submissionstandard">
    <w:name w:val="Submission standard"/>
    <w:basedOn w:val="TableNormal"/>
    <w:uiPriority w:val="99"/>
    <w:qFormat/>
    <w:rsid w:val="0094137D"/>
    <w:pPr>
      <w:jc w:val="both"/>
    </w:pPr>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Narrow" w:hAnsi="ArialNarrow" w:cs="Times New Roman"/>
        <w:b/>
        <w:sz w:val="20"/>
      </w:rPr>
      <w:tblPr/>
      <w:tcPr>
        <w:shd w:val="clear" w:color="auto" w:fill="BFBFBF"/>
      </w:tcPr>
    </w:tblStylePr>
  </w:style>
  <w:style w:type="table" w:customStyle="1" w:styleId="ASDTable1">
    <w:name w:val="ASD Table1"/>
    <w:basedOn w:val="TableNormal"/>
    <w:next w:val="TableGrid"/>
    <w:uiPriority w:val="39"/>
    <w:rsid w:val="000A5890"/>
    <w:pPr>
      <w:jc w:val="both"/>
    </w:pPr>
    <w:rPr>
      <w:rFonts w:ascii="Arial Narrow" w:eastAsia="MS Gothic" w:hAnsi="Arial Narrow"/>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11">
    <w:name w:val="ASD Table11"/>
    <w:basedOn w:val="TableNormal"/>
    <w:next w:val="TableGrid"/>
    <w:uiPriority w:val="39"/>
    <w:rsid w:val="0090494E"/>
    <w:pPr>
      <w:jc w:val="both"/>
    </w:pPr>
    <w:rPr>
      <w:rFonts w:ascii="Arial Narrow" w:eastAsia="MS Gothic" w:hAnsi="Arial Narrow"/>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SubSubheading">
    <w:name w:val="6-SubSubheading"/>
    <w:basedOn w:val="5-SubsectionSubheading"/>
    <w:next w:val="Normal"/>
    <w:link w:val="6-SubSubheadingChar"/>
    <w:qFormat/>
    <w:rsid w:val="001F516D"/>
    <w:pPr>
      <w:outlineLvl w:val="3"/>
    </w:pPr>
    <w:rPr>
      <w:b w:val="0"/>
      <w:bCs/>
      <w:u w:val="single"/>
    </w:rPr>
  </w:style>
  <w:style w:type="character" w:customStyle="1" w:styleId="6-SubSubheadingChar">
    <w:name w:val="6-SubSubheading Char"/>
    <w:basedOn w:val="5-SubsectionSubheadingChar"/>
    <w:link w:val="6-SubSubheading"/>
    <w:rsid w:val="001F516D"/>
    <w:rPr>
      <w:rFonts w:asciiTheme="minorHAnsi" w:eastAsiaTheme="majorEastAsia" w:hAnsiTheme="minorHAnsi" w:cstheme="majorBidi"/>
      <w:b w:val="0"/>
      <w:bCs/>
      <w:color w:val="000000" w:themeColor="text1"/>
      <w:sz w:val="24"/>
      <w:szCs w:val="24"/>
      <w:u w:val="single"/>
    </w:rPr>
  </w:style>
  <w:style w:type="table" w:customStyle="1" w:styleId="Submissionstandard1">
    <w:name w:val="Submission standard1"/>
    <w:basedOn w:val="TableNormal"/>
    <w:uiPriority w:val="99"/>
    <w:qFormat/>
    <w:rsid w:val="001F516D"/>
    <w:pPr>
      <w:jc w:val="both"/>
    </w:pPr>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Narrow" w:hAnsi="ArialNarrow" w:cs="Times New Roman"/>
        <w:b/>
        <w:sz w:val="20"/>
      </w:rPr>
      <w:tblPr/>
      <w:tcPr>
        <w:shd w:val="clear" w:color="auto" w:fill="BFBFBF"/>
      </w:tcPr>
    </w:tblStylePr>
  </w:style>
  <w:style w:type="paragraph" w:customStyle="1" w:styleId="TableCentred">
    <w:name w:val="Table Centred"/>
    <w:basedOn w:val="Normal"/>
    <w:uiPriority w:val="5"/>
    <w:qFormat/>
    <w:rsid w:val="001F516D"/>
    <w:pPr>
      <w:jc w:val="center"/>
    </w:pPr>
    <w:rPr>
      <w:rFonts w:ascii="Arial Narrow" w:eastAsiaTheme="majorEastAsia" w:hAnsi="Arial Narrow" w:cstheme="majorBidi"/>
      <w:sz w:val="20"/>
      <w:szCs w:val="22"/>
      <w:lang w:eastAsia="en-US"/>
    </w:rPr>
  </w:style>
  <w:style w:type="table" w:customStyle="1" w:styleId="Submissionstandard2">
    <w:name w:val="Submission standard2"/>
    <w:basedOn w:val="TableNormal"/>
    <w:uiPriority w:val="99"/>
    <w:qFormat/>
    <w:rsid w:val="001F516D"/>
    <w:pPr>
      <w:jc w:val="both"/>
    </w:pPr>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Narrow" w:hAnsi="ArialNarrow" w:cs="Times New Roman"/>
        <w:b/>
        <w:sz w:val="20"/>
      </w:rPr>
      <w:tblPr/>
      <w:tcPr>
        <w:shd w:val="clear" w:color="auto" w:fill="BFBFBF"/>
      </w:tcPr>
    </w:tblStylePr>
  </w:style>
  <w:style w:type="numbering" w:customStyle="1" w:styleId="NoList1">
    <w:name w:val="No List1"/>
    <w:next w:val="NoList"/>
    <w:uiPriority w:val="99"/>
    <w:semiHidden/>
    <w:unhideWhenUsed/>
    <w:rsid w:val="001F516D"/>
  </w:style>
  <w:style w:type="character" w:customStyle="1" w:styleId="Heading1Char">
    <w:name w:val="Heading 1 Char"/>
    <w:basedOn w:val="DefaultParagraphFont"/>
    <w:link w:val="Heading1"/>
    <w:uiPriority w:val="9"/>
    <w:locked/>
    <w:rsid w:val="001F516D"/>
    <w:rPr>
      <w:rFonts w:ascii="Calibri" w:hAnsi="Calibri" w:cs="Arial"/>
      <w:b/>
      <w:caps/>
      <w:sz w:val="32"/>
      <w:szCs w:val="24"/>
    </w:rPr>
  </w:style>
  <w:style w:type="character" w:customStyle="1" w:styleId="Heading3Char">
    <w:name w:val="Heading 3 Char"/>
    <w:basedOn w:val="DefaultParagraphFont"/>
    <w:link w:val="Heading3"/>
    <w:uiPriority w:val="9"/>
    <w:locked/>
    <w:rsid w:val="001F516D"/>
    <w:rPr>
      <w:rFonts w:ascii="Calibri" w:hAnsi="Calibri" w:cs="Arial"/>
      <w:sz w:val="24"/>
      <w:szCs w:val="24"/>
      <w:u w:val="single"/>
    </w:rPr>
  </w:style>
  <w:style w:type="character" w:customStyle="1" w:styleId="Heading4Char">
    <w:name w:val="Heading 4 Char"/>
    <w:basedOn w:val="DefaultParagraphFont"/>
    <w:link w:val="Heading4"/>
    <w:uiPriority w:val="9"/>
    <w:locked/>
    <w:rsid w:val="001F516D"/>
    <w:rPr>
      <w:rFonts w:ascii="Calibri" w:hAnsi="Calibri" w:cs="Arial"/>
      <w:b/>
      <w:bCs/>
      <w:i/>
      <w:sz w:val="26"/>
      <w:szCs w:val="28"/>
    </w:rPr>
  </w:style>
  <w:style w:type="character" w:customStyle="1" w:styleId="Heading5Char">
    <w:name w:val="Heading 5 Char"/>
    <w:basedOn w:val="DefaultParagraphFont"/>
    <w:link w:val="Heading5"/>
    <w:uiPriority w:val="9"/>
    <w:locked/>
    <w:rsid w:val="001F516D"/>
    <w:rPr>
      <w:rFonts w:ascii="Calibri" w:hAnsi="Calibri" w:cs="Arial"/>
      <w:b/>
      <w:bCs/>
      <w:iCs/>
      <w:sz w:val="26"/>
      <w:szCs w:val="26"/>
    </w:rPr>
  </w:style>
  <w:style w:type="character" w:customStyle="1" w:styleId="Heading6Char">
    <w:name w:val="Heading 6 Char"/>
    <w:basedOn w:val="DefaultParagraphFont"/>
    <w:link w:val="Heading6"/>
    <w:uiPriority w:val="9"/>
    <w:locked/>
    <w:rsid w:val="001F516D"/>
    <w:rPr>
      <w:rFonts w:ascii="Calibri" w:hAnsi="Calibri" w:cs="Arial"/>
      <w:b/>
      <w:bCs/>
      <w:i/>
      <w:sz w:val="24"/>
      <w:szCs w:val="24"/>
    </w:rPr>
  </w:style>
  <w:style w:type="character" w:customStyle="1" w:styleId="Italics">
    <w:name w:val="Italics"/>
    <w:basedOn w:val="DefaultParagraphFont"/>
    <w:uiPriority w:val="1"/>
    <w:rsid w:val="001F516D"/>
    <w:rPr>
      <w:rFonts w:ascii="Candara" w:hAnsi="Candara" w:cs="Times New Roman"/>
      <w:i/>
      <w:sz w:val="24"/>
    </w:rPr>
  </w:style>
  <w:style w:type="character" w:customStyle="1" w:styleId="Superscript">
    <w:name w:val="Superscript"/>
    <w:basedOn w:val="DefaultParagraphFont"/>
    <w:uiPriority w:val="1"/>
    <w:rsid w:val="001F516D"/>
    <w:rPr>
      <w:rFonts w:ascii="Candara" w:hAnsi="Candara" w:cs="Times New Roman"/>
      <w:sz w:val="24"/>
      <w:vertAlign w:val="superscript"/>
    </w:rPr>
  </w:style>
  <w:style w:type="character" w:customStyle="1" w:styleId="Subscript">
    <w:name w:val="Subscript"/>
    <w:basedOn w:val="DefaultParagraphFont"/>
    <w:uiPriority w:val="1"/>
    <w:rsid w:val="001F516D"/>
    <w:rPr>
      <w:rFonts w:ascii="Candara" w:hAnsi="Candara" w:cs="Times New Roman"/>
      <w:sz w:val="24"/>
      <w:vertAlign w:val="subscript"/>
    </w:rPr>
  </w:style>
  <w:style w:type="character" w:styleId="SubtleEmphasis">
    <w:name w:val="Subtle Emphasis"/>
    <w:basedOn w:val="DefaultParagraphFont"/>
    <w:uiPriority w:val="19"/>
    <w:rsid w:val="001F516D"/>
    <w:rPr>
      <w:i/>
    </w:rPr>
  </w:style>
  <w:style w:type="character" w:styleId="IntenseEmphasis">
    <w:name w:val="Intense Emphasis"/>
    <w:basedOn w:val="DefaultParagraphFont"/>
    <w:uiPriority w:val="21"/>
    <w:rsid w:val="001F516D"/>
    <w:rPr>
      <w:b/>
      <w:i/>
    </w:rPr>
  </w:style>
  <w:style w:type="character" w:styleId="SubtleReference">
    <w:name w:val="Subtle Reference"/>
    <w:basedOn w:val="DefaultParagraphFont"/>
    <w:uiPriority w:val="31"/>
    <w:rsid w:val="001F516D"/>
    <w:rPr>
      <w:rFonts w:cs="Times New Roman"/>
      <w:smallCaps/>
    </w:rPr>
  </w:style>
  <w:style w:type="character" w:styleId="IntenseReference">
    <w:name w:val="Intense Reference"/>
    <w:basedOn w:val="DefaultParagraphFont"/>
    <w:uiPriority w:val="32"/>
    <w:rsid w:val="001F516D"/>
    <w:rPr>
      <w:b/>
      <w:smallCaps/>
    </w:rPr>
  </w:style>
  <w:style w:type="paragraph" w:customStyle="1" w:styleId="NumberedList">
    <w:name w:val="Numbered List"/>
    <w:basedOn w:val="Normal"/>
    <w:uiPriority w:val="3"/>
    <w:qFormat/>
    <w:rsid w:val="001F516D"/>
    <w:pPr>
      <w:numPr>
        <w:numId w:val="6"/>
      </w:numPr>
      <w:spacing w:after="240"/>
      <w:ind w:left="357" w:hanging="357"/>
      <w:contextualSpacing/>
    </w:pPr>
    <w:rPr>
      <w:rFonts w:ascii="Candara" w:eastAsia="MS Gothic" w:hAnsi="Candara" w:cs="Times New Roman"/>
      <w:szCs w:val="22"/>
      <w:lang w:eastAsia="en-US"/>
    </w:rPr>
  </w:style>
  <w:style w:type="paragraph" w:customStyle="1" w:styleId="LetteredList">
    <w:name w:val="Lettered List"/>
    <w:basedOn w:val="Normal"/>
    <w:uiPriority w:val="3"/>
    <w:rsid w:val="001F516D"/>
    <w:pPr>
      <w:numPr>
        <w:numId w:val="7"/>
      </w:numPr>
      <w:tabs>
        <w:tab w:val="num" w:pos="360"/>
      </w:tabs>
      <w:spacing w:after="240"/>
      <w:ind w:left="357" w:hanging="357"/>
      <w:contextualSpacing/>
    </w:pPr>
    <w:rPr>
      <w:rFonts w:ascii="Candara" w:eastAsia="MS Gothic" w:hAnsi="Candara" w:cs="Times New Roman"/>
      <w:szCs w:val="22"/>
      <w:lang w:eastAsia="en-US"/>
    </w:rPr>
  </w:style>
  <w:style w:type="table" w:customStyle="1" w:styleId="Submissionstandard3">
    <w:name w:val="Submission standard3"/>
    <w:basedOn w:val="TableNormal"/>
    <w:uiPriority w:val="99"/>
    <w:qFormat/>
    <w:rsid w:val="001F516D"/>
    <w:pPr>
      <w:jc w:val="both"/>
    </w:pPr>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Narrow" w:hAnsi="ArialNarrow" w:cs="Times New Roman"/>
        <w:b/>
        <w:sz w:val="20"/>
      </w:rPr>
      <w:tblPr/>
      <w:tcPr>
        <w:shd w:val="clear" w:color="auto" w:fill="BFBFBF"/>
      </w:tcPr>
    </w:tblStylePr>
  </w:style>
  <w:style w:type="table" w:customStyle="1" w:styleId="MediumList2-Accent61">
    <w:name w:val="Medium List 2 - Accent 61"/>
    <w:basedOn w:val="TableNormal"/>
    <w:next w:val="MediumList2-Accent6"/>
    <w:uiPriority w:val="66"/>
    <w:rsid w:val="001F516D"/>
    <w:pPr>
      <w:jc w:val="both"/>
    </w:pPr>
    <w:rPr>
      <w:rFonts w:ascii="Cambria" w:eastAsia="MS Gothic"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3-Accent51">
    <w:name w:val="Medium Grid 3 - Accent 51"/>
    <w:basedOn w:val="TableNormal"/>
    <w:next w:val="MediumGrid3-Accent5"/>
    <w:uiPriority w:val="69"/>
    <w:rsid w:val="001F516D"/>
    <w:pPr>
      <w:jc w:val="both"/>
    </w:pPr>
    <w:rPr>
      <w:rFonts w:ascii="Cambria" w:eastAsia="MS Gothic"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51">
    <w:name w:val="Light Grid - Accent 51"/>
    <w:basedOn w:val="TableNormal"/>
    <w:next w:val="LightGrid-Accent5"/>
    <w:uiPriority w:val="62"/>
    <w:rsid w:val="001F516D"/>
    <w:pPr>
      <w:jc w:val="both"/>
    </w:pPr>
    <w:rPr>
      <w:rFonts w:ascii="Cambria" w:eastAsia="MS Gothic"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61">
    <w:name w:val="Light List - Accent 61"/>
    <w:basedOn w:val="TableNormal"/>
    <w:next w:val="LightList-Accent6"/>
    <w:uiPriority w:val="61"/>
    <w:rsid w:val="001F516D"/>
    <w:pPr>
      <w:jc w:val="both"/>
    </w:pPr>
    <w:rPr>
      <w:rFonts w:ascii="Cambria" w:eastAsia="MS Gothic"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Mainheading">
    <w:name w:val="Main heading"/>
    <w:basedOn w:val="Heading1"/>
    <w:next w:val="Normal"/>
    <w:uiPriority w:val="9"/>
    <w:qFormat/>
    <w:rsid w:val="001F516D"/>
    <w:pPr>
      <w:pageBreakBefore/>
      <w:spacing w:after="240"/>
      <w:ind w:left="0" w:firstLine="0"/>
      <w:contextualSpacing/>
    </w:pPr>
    <w:rPr>
      <w:rFonts w:ascii="Verdana" w:eastAsia="MS Gothic" w:hAnsi="Verdana" w:cs="Times New Roman"/>
      <w:caps w:val="0"/>
      <w:spacing w:val="5"/>
      <w:szCs w:val="36"/>
      <w:lang w:eastAsia="en-US"/>
    </w:rPr>
  </w:style>
  <w:style w:type="paragraph" w:customStyle="1" w:styleId="Subheading">
    <w:name w:val="Sub heading"/>
    <w:basedOn w:val="Mainheading"/>
    <w:next w:val="Normal"/>
    <w:uiPriority w:val="9"/>
    <w:rsid w:val="001F516D"/>
    <w:pPr>
      <w:pageBreakBefore w:val="0"/>
    </w:pPr>
  </w:style>
  <w:style w:type="paragraph" w:customStyle="1" w:styleId="TableNotes">
    <w:name w:val="Table Notes"/>
    <w:basedOn w:val="Normal"/>
    <w:link w:val="TableNotesChar"/>
    <w:qFormat/>
    <w:rsid w:val="001F516D"/>
    <w:pPr>
      <w:spacing w:after="40"/>
    </w:pPr>
    <w:rPr>
      <w:rFonts w:ascii="Arial Narrow" w:eastAsia="MS Gothic" w:hAnsi="Arial Narrow" w:cs="Times New Roman"/>
      <w:sz w:val="16"/>
      <w:szCs w:val="22"/>
      <w:lang w:eastAsia="en-US"/>
    </w:rPr>
  </w:style>
  <w:style w:type="character" w:customStyle="1" w:styleId="TableNotesChar">
    <w:name w:val="Table Notes Char"/>
    <w:basedOn w:val="DefaultParagraphFont"/>
    <w:link w:val="TableNotes"/>
    <w:locked/>
    <w:rsid w:val="001F516D"/>
    <w:rPr>
      <w:rFonts w:ascii="Arial Narrow" w:eastAsia="MS Gothic" w:hAnsi="Arial Narrow"/>
      <w:sz w:val="16"/>
      <w:szCs w:val="22"/>
      <w:lang w:eastAsia="en-US"/>
    </w:rPr>
  </w:style>
  <w:style w:type="table" w:customStyle="1" w:styleId="TableGrid11">
    <w:name w:val="Table Grid 11"/>
    <w:basedOn w:val="TableNormal"/>
    <w:next w:val="TableGrid1"/>
    <w:uiPriority w:val="99"/>
    <w:semiHidden/>
    <w:unhideWhenUsed/>
    <w:rsid w:val="001F516D"/>
    <w:pPr>
      <w:jc w:val="both"/>
    </w:pPr>
    <w:rPr>
      <w:rFonts w:ascii="Cambria" w:eastAsia="MS Gothic" w:hAnsi="Cambria"/>
      <w:sz w:val="22"/>
      <w:szCs w:val="22"/>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LightShading-Accent21">
    <w:name w:val="Light Shading - Accent 21"/>
    <w:basedOn w:val="TableNormal"/>
    <w:next w:val="LightShading-Accent2"/>
    <w:uiPriority w:val="60"/>
    <w:rsid w:val="001F516D"/>
    <w:pPr>
      <w:jc w:val="both"/>
    </w:pPr>
    <w:rPr>
      <w:rFonts w:ascii="Cambria" w:eastAsia="MS Gothic"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1F516D"/>
    <w:pPr>
      <w:jc w:val="both"/>
    </w:pPr>
    <w:rPr>
      <w:rFonts w:ascii="Cambria" w:eastAsia="MS Gothic"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1F516D"/>
    <w:pPr>
      <w:jc w:val="both"/>
    </w:pPr>
    <w:rPr>
      <w:rFonts w:ascii="Cambria" w:eastAsia="MS Gothic"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customStyle="1" w:styleId="TableLeft">
    <w:name w:val="Table Left"/>
    <w:basedOn w:val="TableCentred"/>
    <w:link w:val="TableLeftChar"/>
    <w:uiPriority w:val="5"/>
    <w:rsid w:val="001F516D"/>
    <w:pPr>
      <w:jc w:val="left"/>
    </w:pPr>
  </w:style>
  <w:style w:type="paragraph" w:customStyle="1" w:styleId="TableBullets">
    <w:name w:val="Table Bullets"/>
    <w:basedOn w:val="TableLeft"/>
    <w:uiPriority w:val="5"/>
    <w:rsid w:val="001F516D"/>
    <w:pPr>
      <w:ind w:left="170" w:hanging="170"/>
    </w:pPr>
  </w:style>
  <w:style w:type="character" w:customStyle="1" w:styleId="TableItalics">
    <w:name w:val="Table Italics"/>
    <w:uiPriority w:val="4"/>
    <w:rsid w:val="001F516D"/>
    <w:rPr>
      <w:rFonts w:ascii="Arial Narrow" w:hAnsi="Arial Narrow" w:cs="Times New Roman"/>
      <w:i/>
      <w:sz w:val="20"/>
    </w:rPr>
  </w:style>
  <w:style w:type="character" w:styleId="PlaceholderText">
    <w:name w:val="Placeholder Text"/>
    <w:basedOn w:val="DefaultParagraphFont"/>
    <w:uiPriority w:val="99"/>
    <w:semiHidden/>
    <w:rsid w:val="001F516D"/>
    <w:rPr>
      <w:rFonts w:cs="Times New Roman"/>
      <w:color w:val="808080"/>
    </w:rPr>
  </w:style>
  <w:style w:type="paragraph" w:customStyle="1" w:styleId="ListNumber1">
    <w:name w:val="List Number1"/>
    <w:basedOn w:val="Normal"/>
    <w:next w:val="ListNumber"/>
    <w:uiPriority w:val="99"/>
    <w:unhideWhenUsed/>
    <w:rsid w:val="001F516D"/>
    <w:pPr>
      <w:tabs>
        <w:tab w:val="num" w:pos="360"/>
      </w:tabs>
      <w:spacing w:after="240"/>
      <w:ind w:left="360" w:hanging="360"/>
      <w:contextualSpacing/>
    </w:pPr>
    <w:rPr>
      <w:rFonts w:eastAsia="Calibri"/>
      <w:sz w:val="22"/>
      <w:szCs w:val="22"/>
      <w:lang w:eastAsia="en-US"/>
    </w:rPr>
  </w:style>
  <w:style w:type="paragraph" w:customStyle="1" w:styleId="Tableletteredlist">
    <w:name w:val="Table lettered list"/>
    <w:basedOn w:val="TableLeft"/>
    <w:uiPriority w:val="3"/>
    <w:rsid w:val="001F516D"/>
    <w:pPr>
      <w:numPr>
        <w:numId w:val="8"/>
      </w:numPr>
      <w:ind w:hanging="720"/>
    </w:pPr>
    <w:rPr>
      <w:lang w:bidi="en-US"/>
    </w:rPr>
  </w:style>
  <w:style w:type="character" w:customStyle="1" w:styleId="TableLeftChar">
    <w:name w:val="Table Left Char"/>
    <w:basedOn w:val="DefaultParagraphFont"/>
    <w:link w:val="TableLeft"/>
    <w:uiPriority w:val="5"/>
    <w:rsid w:val="001F516D"/>
    <w:rPr>
      <w:rFonts w:ascii="Arial Narrow" w:eastAsiaTheme="majorEastAsia" w:hAnsi="Arial Narrow" w:cstheme="majorBidi"/>
      <w:szCs w:val="22"/>
      <w:lang w:eastAsia="en-US"/>
    </w:rPr>
  </w:style>
  <w:style w:type="paragraph" w:customStyle="1" w:styleId="TableBullet">
    <w:name w:val="Table Bullet"/>
    <w:basedOn w:val="Normal"/>
    <w:rsid w:val="001F516D"/>
    <w:pPr>
      <w:numPr>
        <w:numId w:val="9"/>
      </w:numPr>
      <w:spacing w:before="40" w:after="40"/>
      <w:ind w:left="357" w:hanging="357"/>
    </w:pPr>
    <w:rPr>
      <w:rFonts w:ascii="Arial Narrow" w:eastAsia="Calibri" w:hAnsi="Arial Narrow"/>
      <w:sz w:val="20"/>
      <w:szCs w:val="22"/>
      <w:lang w:eastAsia="en-US"/>
    </w:rPr>
  </w:style>
  <w:style w:type="paragraph" w:customStyle="1" w:styleId="TableNoteBullet">
    <w:name w:val="Table Note Bullet"/>
    <w:basedOn w:val="Normal"/>
    <w:rsid w:val="001F516D"/>
    <w:pPr>
      <w:numPr>
        <w:numId w:val="10"/>
      </w:numPr>
      <w:spacing w:after="60"/>
      <w:ind w:left="357" w:hanging="357"/>
    </w:pPr>
    <w:rPr>
      <w:rFonts w:eastAsia="Calibri"/>
      <w:sz w:val="18"/>
      <w:szCs w:val="22"/>
      <w:lang w:eastAsia="en-US"/>
    </w:rPr>
  </w:style>
  <w:style w:type="paragraph" w:customStyle="1" w:styleId="TableHeading0">
    <w:name w:val="Table Heading"/>
    <w:basedOn w:val="Normal"/>
    <w:rsid w:val="001F516D"/>
    <w:pPr>
      <w:spacing w:after="60"/>
    </w:pPr>
    <w:rPr>
      <w:rFonts w:ascii="Arial Narrow" w:eastAsia="Calibri" w:hAnsi="Arial Narrow"/>
      <w:b/>
      <w:sz w:val="20"/>
      <w:szCs w:val="22"/>
      <w:lang w:eastAsia="en-US"/>
    </w:rPr>
  </w:style>
  <w:style w:type="paragraph" w:customStyle="1" w:styleId="NormalBeforeBullet">
    <w:name w:val="Normal Before Bullet"/>
    <w:basedOn w:val="Normal"/>
    <w:rsid w:val="001F516D"/>
    <w:pPr>
      <w:keepNext/>
      <w:spacing w:after="120"/>
    </w:pPr>
    <w:rPr>
      <w:rFonts w:eastAsia="Calibri"/>
      <w:sz w:val="22"/>
      <w:szCs w:val="22"/>
      <w:lang w:eastAsia="en-US"/>
    </w:rPr>
  </w:style>
  <w:style w:type="paragraph" w:customStyle="1" w:styleId="TableHeadingCA">
    <w:name w:val="Table Heading CA"/>
    <w:basedOn w:val="TableHeading0"/>
    <w:rsid w:val="001F516D"/>
    <w:pPr>
      <w:jc w:val="center"/>
    </w:pPr>
  </w:style>
  <w:style w:type="numbering" w:customStyle="1" w:styleId="NoList11">
    <w:name w:val="No List11"/>
    <w:next w:val="NoList"/>
    <w:uiPriority w:val="99"/>
    <w:semiHidden/>
    <w:unhideWhenUsed/>
    <w:rsid w:val="001F516D"/>
  </w:style>
  <w:style w:type="table" w:customStyle="1" w:styleId="Submissionstandard11">
    <w:name w:val="Submission standard11"/>
    <w:basedOn w:val="TableNormal"/>
    <w:uiPriority w:val="99"/>
    <w:qFormat/>
    <w:rsid w:val="001F516D"/>
    <w:pPr>
      <w:jc w:val="both"/>
    </w:pPr>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Narrow" w:hAnsi="ArialNarrow" w:cs="Times New Roman"/>
        <w:b/>
        <w:sz w:val="20"/>
      </w:rPr>
      <w:tblPr/>
      <w:tcPr>
        <w:shd w:val="clear" w:color="auto" w:fill="BFBFBF"/>
      </w:tcPr>
    </w:tblStylePr>
  </w:style>
  <w:style w:type="character" w:customStyle="1" w:styleId="Mention1">
    <w:name w:val="Mention1"/>
    <w:basedOn w:val="DefaultParagraphFont"/>
    <w:uiPriority w:val="99"/>
    <w:semiHidden/>
    <w:unhideWhenUsed/>
    <w:rsid w:val="001F516D"/>
    <w:rPr>
      <w:color w:val="2B579A"/>
      <w:shd w:val="clear" w:color="auto" w:fill="E6E6E6"/>
    </w:rPr>
  </w:style>
  <w:style w:type="character" w:customStyle="1" w:styleId="Mention2">
    <w:name w:val="Mention2"/>
    <w:basedOn w:val="DefaultParagraphFont"/>
    <w:uiPriority w:val="99"/>
    <w:semiHidden/>
    <w:unhideWhenUsed/>
    <w:rsid w:val="001F516D"/>
    <w:rPr>
      <w:color w:val="2B579A"/>
      <w:shd w:val="clear" w:color="auto" w:fill="E6E6E6"/>
    </w:rPr>
  </w:style>
  <w:style w:type="character" w:customStyle="1" w:styleId="Mention3">
    <w:name w:val="Mention3"/>
    <w:basedOn w:val="DefaultParagraphFont"/>
    <w:uiPriority w:val="99"/>
    <w:semiHidden/>
    <w:unhideWhenUsed/>
    <w:rsid w:val="001F516D"/>
    <w:rPr>
      <w:color w:val="2B579A"/>
      <w:shd w:val="clear" w:color="auto" w:fill="E6E6E6"/>
    </w:rPr>
  </w:style>
  <w:style w:type="character" w:customStyle="1" w:styleId="Mention4">
    <w:name w:val="Mention4"/>
    <w:basedOn w:val="DefaultParagraphFont"/>
    <w:uiPriority w:val="99"/>
    <w:semiHidden/>
    <w:unhideWhenUsed/>
    <w:rsid w:val="001F516D"/>
    <w:rPr>
      <w:color w:val="2B579A"/>
      <w:shd w:val="clear" w:color="auto" w:fill="E6E6E6"/>
    </w:rPr>
  </w:style>
  <w:style w:type="table" w:customStyle="1" w:styleId="TableGrid10">
    <w:name w:val="Table Grid1"/>
    <w:basedOn w:val="TableNormal"/>
    <w:next w:val="TableGrid"/>
    <w:uiPriority w:val="39"/>
    <w:rsid w:val="001F516D"/>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5">
    <w:name w:val="Mention5"/>
    <w:basedOn w:val="DefaultParagraphFont"/>
    <w:uiPriority w:val="99"/>
    <w:semiHidden/>
    <w:unhideWhenUsed/>
    <w:rsid w:val="001F516D"/>
    <w:rPr>
      <w:color w:val="2B579A"/>
      <w:shd w:val="clear" w:color="auto" w:fill="E6E6E6"/>
    </w:rPr>
  </w:style>
  <w:style w:type="character" w:customStyle="1" w:styleId="Mention6">
    <w:name w:val="Mention6"/>
    <w:basedOn w:val="DefaultParagraphFont"/>
    <w:uiPriority w:val="99"/>
    <w:semiHidden/>
    <w:unhideWhenUsed/>
    <w:rsid w:val="001F516D"/>
    <w:rPr>
      <w:color w:val="2B579A"/>
      <w:shd w:val="clear" w:color="auto" w:fill="E6E6E6"/>
    </w:rPr>
  </w:style>
  <w:style w:type="character" w:customStyle="1" w:styleId="Mention7">
    <w:name w:val="Mention7"/>
    <w:basedOn w:val="DefaultParagraphFont"/>
    <w:uiPriority w:val="99"/>
    <w:semiHidden/>
    <w:unhideWhenUsed/>
    <w:rsid w:val="001F516D"/>
    <w:rPr>
      <w:color w:val="2B579A"/>
      <w:shd w:val="clear" w:color="auto" w:fill="E6E6E6"/>
    </w:rPr>
  </w:style>
  <w:style w:type="character" w:customStyle="1" w:styleId="Mention8">
    <w:name w:val="Mention8"/>
    <w:basedOn w:val="DefaultParagraphFont"/>
    <w:uiPriority w:val="99"/>
    <w:semiHidden/>
    <w:unhideWhenUsed/>
    <w:rsid w:val="001F516D"/>
    <w:rPr>
      <w:color w:val="2B579A"/>
      <w:shd w:val="clear" w:color="auto" w:fill="E6E6E6"/>
    </w:rPr>
  </w:style>
  <w:style w:type="numbering" w:customStyle="1" w:styleId="NoList111">
    <w:name w:val="No List111"/>
    <w:next w:val="NoList"/>
    <w:uiPriority w:val="99"/>
    <w:semiHidden/>
    <w:unhideWhenUsed/>
    <w:rsid w:val="001F516D"/>
  </w:style>
  <w:style w:type="character" w:customStyle="1" w:styleId="TableTextChar1">
    <w:name w:val="TableText Char"/>
    <w:basedOn w:val="DefaultParagraphFont"/>
    <w:link w:val="TableText1"/>
    <w:locked/>
    <w:rsid w:val="001F516D"/>
    <w:rPr>
      <w:rFonts w:ascii="Arial Narrow" w:hAnsi="Arial Narrow"/>
    </w:rPr>
  </w:style>
  <w:style w:type="paragraph" w:customStyle="1" w:styleId="TableText1">
    <w:name w:val="TableText"/>
    <w:basedOn w:val="Normal"/>
    <w:link w:val="TableTextChar1"/>
    <w:rsid w:val="001F516D"/>
    <w:pPr>
      <w:keepNext/>
      <w:spacing w:before="40" w:after="40"/>
      <w:ind w:left="221" w:right="221"/>
    </w:pPr>
    <w:rPr>
      <w:rFonts w:ascii="Arial Narrow" w:hAnsi="Arial Narrow" w:cs="Times New Roman"/>
      <w:sz w:val="20"/>
      <w:szCs w:val="20"/>
    </w:rPr>
  </w:style>
  <w:style w:type="paragraph" w:customStyle="1" w:styleId="Tablefootnote">
    <w:name w:val="Table footnote"/>
    <w:basedOn w:val="Normal"/>
    <w:rsid w:val="001F516D"/>
    <w:pPr>
      <w:keepLines/>
      <w:tabs>
        <w:tab w:val="left" w:pos="1134"/>
      </w:tabs>
      <w:spacing w:before="40"/>
      <w:ind w:left="221" w:right="221"/>
    </w:pPr>
    <w:rPr>
      <w:rFonts w:ascii="Arial Narrow" w:hAnsi="Arial Narrow" w:cs="Times New Roman"/>
      <w:bCs/>
      <w:sz w:val="16"/>
      <w:szCs w:val="16"/>
    </w:rPr>
  </w:style>
  <w:style w:type="paragraph" w:customStyle="1" w:styleId="Tableheading1">
    <w:name w:val="Table heading"/>
    <w:basedOn w:val="Normal"/>
    <w:link w:val="TableheadingChar"/>
    <w:uiPriority w:val="99"/>
    <w:rsid w:val="001F516D"/>
    <w:pPr>
      <w:keepNext/>
      <w:spacing w:before="60" w:after="60"/>
      <w:ind w:left="221" w:right="221"/>
    </w:pPr>
    <w:rPr>
      <w:rFonts w:ascii="Arial Narrow" w:hAnsi="Arial Narrow" w:cs="Times New Roman"/>
      <w:b/>
      <w:sz w:val="20"/>
      <w:szCs w:val="20"/>
      <w:lang w:eastAsia="en-US"/>
    </w:rPr>
  </w:style>
  <w:style w:type="character" w:customStyle="1" w:styleId="TableheadingChar">
    <w:name w:val="Table heading Char"/>
    <w:link w:val="Tableheading1"/>
    <w:uiPriority w:val="99"/>
    <w:locked/>
    <w:rsid w:val="001F516D"/>
    <w:rPr>
      <w:rFonts w:ascii="Arial Narrow" w:hAnsi="Arial Narrow"/>
      <w:b/>
      <w:lang w:eastAsia="en-US"/>
    </w:rPr>
  </w:style>
  <w:style w:type="character" w:customStyle="1" w:styleId="HighlightYellow">
    <w:name w:val="Highlight Yellow"/>
    <w:basedOn w:val="DefaultParagraphFont"/>
    <w:uiPriority w:val="2"/>
    <w:rsid w:val="001F516D"/>
    <w:rPr>
      <w:rFonts w:ascii="Candara" w:hAnsi="Candara"/>
      <w:sz w:val="24"/>
      <w:bdr w:val="none" w:sz="0" w:space="0" w:color="auto"/>
      <w:shd w:val="clear" w:color="auto" w:fill="FFFF00"/>
    </w:rPr>
  </w:style>
  <w:style w:type="character" w:styleId="Strong">
    <w:name w:val="Strong"/>
    <w:uiPriority w:val="22"/>
    <w:rsid w:val="001F516D"/>
    <w:rPr>
      <w:b/>
      <w:bCs/>
    </w:rPr>
  </w:style>
  <w:style w:type="character" w:customStyle="1" w:styleId="HighlightGreen">
    <w:name w:val="Highlight Green"/>
    <w:basedOn w:val="DefaultParagraphFont"/>
    <w:uiPriority w:val="2"/>
    <w:rsid w:val="001F516D"/>
    <w:rPr>
      <w:rFonts w:ascii="Candara" w:hAnsi="Candara"/>
      <w:sz w:val="24"/>
      <w:bdr w:val="none" w:sz="0" w:space="0" w:color="auto"/>
      <w:shd w:val="clear" w:color="auto" w:fill="92D050"/>
    </w:rPr>
  </w:style>
  <w:style w:type="character" w:customStyle="1" w:styleId="HighlightRed">
    <w:name w:val="Highlight Red"/>
    <w:basedOn w:val="DefaultParagraphFont"/>
    <w:uiPriority w:val="2"/>
    <w:rsid w:val="001F516D"/>
    <w:rPr>
      <w:rFonts w:ascii="Candara" w:hAnsi="Candara"/>
      <w:sz w:val="24"/>
      <w:bdr w:val="none" w:sz="0" w:space="0" w:color="auto"/>
      <w:shd w:val="clear" w:color="auto" w:fill="FF0000"/>
    </w:rPr>
  </w:style>
  <w:style w:type="character" w:customStyle="1" w:styleId="Normalfont">
    <w:name w:val="Normal font"/>
    <w:basedOn w:val="DefaultParagraphFont"/>
    <w:uiPriority w:val="1"/>
    <w:rsid w:val="001F516D"/>
    <w:rPr>
      <w:rFonts w:ascii="Candara" w:hAnsi="Candara"/>
      <w:sz w:val="24"/>
    </w:rPr>
  </w:style>
  <w:style w:type="paragraph" w:styleId="ListBullet2">
    <w:name w:val="List Bullet 2"/>
    <w:basedOn w:val="Normal"/>
    <w:autoRedefine/>
    <w:uiPriority w:val="99"/>
    <w:semiHidden/>
    <w:rsid w:val="001F516D"/>
    <w:pPr>
      <w:tabs>
        <w:tab w:val="left" w:pos="416"/>
        <w:tab w:val="left" w:pos="582"/>
        <w:tab w:val="num" w:pos="643"/>
      </w:tabs>
      <w:spacing w:after="240" w:line="360" w:lineRule="auto"/>
      <w:ind w:left="643" w:right="221" w:hanging="360"/>
    </w:pPr>
    <w:rPr>
      <w:rFonts w:ascii="Arial" w:hAnsi="Arial" w:cs="Times New Roman"/>
      <w:lang w:eastAsia="en-US"/>
    </w:rPr>
  </w:style>
  <w:style w:type="paragraph" w:customStyle="1" w:styleId="Heading50">
    <w:name w:val="Heading5"/>
    <w:basedOn w:val="Normal"/>
    <w:rsid w:val="001F516D"/>
    <w:pPr>
      <w:spacing w:before="240" w:after="60"/>
      <w:ind w:left="221" w:right="221"/>
    </w:pPr>
    <w:rPr>
      <w:rFonts w:ascii="Arial" w:hAnsi="Arial" w:cs="Times New Roman"/>
      <w:i/>
      <w:snapToGrid w:val="0"/>
      <w:spacing w:val="-8"/>
      <w:lang w:eastAsia="en-US"/>
    </w:rPr>
  </w:style>
  <w:style w:type="paragraph" w:customStyle="1" w:styleId="Tableheaderrow">
    <w:name w:val="Table header row"/>
    <w:basedOn w:val="Normal"/>
    <w:link w:val="TableheaderrowChar"/>
    <w:rsid w:val="001F516D"/>
    <w:pPr>
      <w:keepNext/>
      <w:keepLines/>
      <w:spacing w:before="40" w:after="60"/>
      <w:ind w:left="221" w:right="221"/>
    </w:pPr>
    <w:rPr>
      <w:rFonts w:ascii="Arial Narrow" w:hAnsi="Arial Narrow"/>
      <w:b/>
      <w:bCs/>
      <w:sz w:val="20"/>
      <w:szCs w:val="20"/>
    </w:rPr>
  </w:style>
  <w:style w:type="character" w:customStyle="1" w:styleId="TableheaderrowChar">
    <w:name w:val="Table header row Char"/>
    <w:link w:val="Tableheaderrow"/>
    <w:locked/>
    <w:rsid w:val="001F516D"/>
    <w:rPr>
      <w:rFonts w:ascii="Arial Narrow" w:hAnsi="Arial Narrow" w:cs="Arial"/>
      <w:b/>
      <w:bCs/>
    </w:rPr>
  </w:style>
  <w:style w:type="paragraph" w:customStyle="1" w:styleId="Tablebodytext">
    <w:name w:val="Table body text"/>
    <w:basedOn w:val="Tableheaderrow"/>
    <w:link w:val="TablebodytextChar"/>
    <w:rsid w:val="001F516D"/>
    <w:pPr>
      <w:spacing w:line="360" w:lineRule="auto"/>
    </w:pPr>
    <w:rPr>
      <w:b w:val="0"/>
      <w:bCs w:val="0"/>
    </w:rPr>
  </w:style>
  <w:style w:type="character" w:customStyle="1" w:styleId="TablebodytextChar">
    <w:name w:val="Table body text Char"/>
    <w:basedOn w:val="TableheaderrowChar"/>
    <w:link w:val="Tablebodytext"/>
    <w:rsid w:val="001F516D"/>
    <w:rPr>
      <w:rFonts w:ascii="Arial Narrow" w:hAnsi="Arial Narrow" w:cs="Arial"/>
      <w:b w:val="0"/>
      <w:bCs w:val="0"/>
    </w:rPr>
  </w:style>
  <w:style w:type="paragraph" w:customStyle="1" w:styleId="SynopsisH2">
    <w:name w:val="Synopsis H2"/>
    <w:basedOn w:val="Normal"/>
    <w:rsid w:val="001F516D"/>
    <w:pPr>
      <w:keepNext/>
      <w:numPr>
        <w:ilvl w:val="1"/>
        <w:numId w:val="13"/>
      </w:numPr>
      <w:spacing w:after="360" w:line="360" w:lineRule="auto"/>
      <w:ind w:left="578" w:right="221" w:hanging="578"/>
      <w:outlineLvl w:val="1"/>
    </w:pPr>
    <w:rPr>
      <w:rFonts w:ascii="Verdana" w:eastAsia="MS Mincho" w:hAnsi="Verdana" w:cs="Times New Roman"/>
      <w:b/>
      <w:bCs/>
      <w:snapToGrid w:val="0"/>
      <w:color w:val="000000"/>
      <w:sz w:val="22"/>
      <w:szCs w:val="22"/>
      <w:lang w:eastAsia="zh-CN"/>
    </w:rPr>
  </w:style>
  <w:style w:type="paragraph" w:customStyle="1" w:styleId="Tablenotes1">
    <w:name w:val="Table notes"/>
    <w:basedOn w:val="Normal"/>
    <w:link w:val="TablenotesCharChar"/>
    <w:uiPriority w:val="99"/>
    <w:rsid w:val="001F516D"/>
    <w:pPr>
      <w:keepNext/>
      <w:keepLines/>
      <w:spacing w:after="240"/>
      <w:ind w:left="221" w:right="221"/>
    </w:pPr>
    <w:rPr>
      <w:rFonts w:ascii="Arial Narrow" w:hAnsi="Arial Narrow" w:cs="Times New Roman"/>
      <w:sz w:val="16"/>
      <w:szCs w:val="22"/>
      <w:lang w:eastAsia="en-US"/>
    </w:rPr>
  </w:style>
  <w:style w:type="character" w:customStyle="1" w:styleId="TablenotesCharChar">
    <w:name w:val="Table notes Char Char"/>
    <w:link w:val="Tablenotes1"/>
    <w:uiPriority w:val="99"/>
    <w:locked/>
    <w:rsid w:val="001F516D"/>
    <w:rPr>
      <w:rFonts w:ascii="Arial Narrow" w:hAnsi="Arial Narrow"/>
      <w:sz w:val="16"/>
      <w:szCs w:val="22"/>
      <w:lang w:eastAsia="en-US"/>
    </w:rPr>
  </w:style>
  <w:style w:type="paragraph" w:styleId="HTMLPreformatted">
    <w:name w:val="HTML Preformatted"/>
    <w:basedOn w:val="Normal"/>
    <w:link w:val="HTMLPreformattedChar"/>
    <w:uiPriority w:val="99"/>
    <w:unhideWhenUsed/>
    <w:rsid w:val="001F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right="221"/>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F516D"/>
    <w:rPr>
      <w:rFonts w:ascii="Courier New" w:hAnsi="Courier New" w:cs="Courier New"/>
      <w:lang w:val="en-US" w:eastAsia="en-US"/>
    </w:rPr>
  </w:style>
  <w:style w:type="table" w:customStyle="1" w:styleId="TableGridbeth1">
    <w:name w:val="Table Gridbeth1"/>
    <w:basedOn w:val="TableNormal"/>
    <w:next w:val="TableGrid"/>
    <w:uiPriority w:val="59"/>
    <w:rsid w:val="001F516D"/>
    <w:pPr>
      <w:spacing w:line="360" w:lineRule="auto"/>
      <w:ind w:left="221" w:right="22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1F516D"/>
    <w:pPr>
      <w:ind w:left="221" w:right="221"/>
      <w:jc w:val="both"/>
    </w:pPr>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SNormal">
    <w:name w:val="PBS Normal"/>
    <w:basedOn w:val="Normal"/>
    <w:link w:val="PBSNormalChar"/>
    <w:rsid w:val="001F516D"/>
    <w:pPr>
      <w:spacing w:after="150" w:line="340" w:lineRule="exact"/>
      <w:ind w:left="221" w:right="221"/>
    </w:pPr>
    <w:rPr>
      <w:rFonts w:ascii="Candara" w:hAnsi="Candara" w:cs="Times New Roman"/>
      <w:szCs w:val="20"/>
    </w:rPr>
  </w:style>
  <w:style w:type="character" w:customStyle="1" w:styleId="PBSNormalChar">
    <w:name w:val="PBS Normal Char"/>
    <w:basedOn w:val="DefaultParagraphFont"/>
    <w:link w:val="PBSNormal"/>
    <w:rsid w:val="001F516D"/>
    <w:rPr>
      <w:rFonts w:ascii="Candara" w:hAnsi="Candara"/>
      <w:sz w:val="24"/>
    </w:rPr>
  </w:style>
  <w:style w:type="character" w:styleId="HTMLCite">
    <w:name w:val="HTML Cite"/>
    <w:basedOn w:val="DefaultParagraphFont"/>
    <w:uiPriority w:val="99"/>
    <w:semiHidden/>
    <w:unhideWhenUsed/>
    <w:rsid w:val="001F516D"/>
    <w:rPr>
      <w:i/>
      <w:iCs/>
    </w:rPr>
  </w:style>
  <w:style w:type="paragraph" w:customStyle="1" w:styleId="TableBodyText0">
    <w:name w:val="Table Body Text"/>
    <w:basedOn w:val="Normal"/>
    <w:link w:val="TableBodyTextChar0"/>
    <w:rsid w:val="001F516D"/>
    <w:pPr>
      <w:keepLines/>
      <w:widowControl w:val="0"/>
      <w:spacing w:before="40" w:after="40"/>
      <w:ind w:left="221" w:right="221"/>
    </w:pPr>
    <w:rPr>
      <w:rFonts w:ascii="Tahoma" w:hAnsi="Tahoma" w:cs="Times New Roman"/>
      <w:sz w:val="16"/>
      <w:szCs w:val="20"/>
      <w:lang w:val="en-US" w:eastAsia="en-US"/>
    </w:rPr>
  </w:style>
  <w:style w:type="character" w:customStyle="1" w:styleId="TableBodyTextChar0">
    <w:name w:val="Table Body Text Char"/>
    <w:basedOn w:val="DefaultParagraphFont"/>
    <w:link w:val="TableBodyText0"/>
    <w:rsid w:val="001F516D"/>
    <w:rPr>
      <w:rFonts w:ascii="Tahoma" w:hAnsi="Tahoma"/>
      <w:sz w:val="16"/>
      <w:lang w:val="en-US" w:eastAsia="en-US"/>
    </w:rPr>
  </w:style>
  <w:style w:type="numbering" w:customStyle="1" w:styleId="LFO26">
    <w:name w:val="LFO26"/>
    <w:basedOn w:val="NoList"/>
    <w:rsid w:val="001F516D"/>
    <w:pPr>
      <w:numPr>
        <w:numId w:val="12"/>
      </w:numPr>
    </w:pPr>
  </w:style>
  <w:style w:type="character" w:customStyle="1" w:styleId="ref-journal">
    <w:name w:val="ref-journal"/>
    <w:basedOn w:val="DefaultParagraphFont"/>
    <w:rsid w:val="001F516D"/>
  </w:style>
  <w:style w:type="character" w:customStyle="1" w:styleId="ref-vol">
    <w:name w:val="ref-vol"/>
    <w:basedOn w:val="DefaultParagraphFont"/>
    <w:rsid w:val="001F516D"/>
  </w:style>
  <w:style w:type="character" w:customStyle="1" w:styleId="nowrap">
    <w:name w:val="nowrap"/>
    <w:basedOn w:val="DefaultParagraphFont"/>
    <w:rsid w:val="001F516D"/>
  </w:style>
  <w:style w:type="paragraph" w:customStyle="1" w:styleId="ListBulletlvl2">
    <w:name w:val="List Bullet lvl 2"/>
    <w:basedOn w:val="ListBullet"/>
    <w:rsid w:val="001F516D"/>
    <w:pPr>
      <w:keepNext/>
      <w:keepLines/>
      <w:numPr>
        <w:ilvl w:val="1"/>
        <w:numId w:val="14"/>
      </w:numPr>
      <w:spacing w:before="120" w:after="120"/>
      <w:ind w:left="714" w:hanging="357"/>
      <w:contextualSpacing w:val="0"/>
      <w:jc w:val="left"/>
    </w:pPr>
    <w:rPr>
      <w:rFonts w:eastAsia="Calibri"/>
      <w:sz w:val="22"/>
      <w:szCs w:val="22"/>
      <w:lang w:eastAsia="en-US"/>
    </w:rPr>
  </w:style>
  <w:style w:type="paragraph" w:customStyle="1" w:styleId="ListBulletlvl3">
    <w:name w:val="List Bullet lvl 3"/>
    <w:basedOn w:val="ListBullet"/>
    <w:rsid w:val="001F516D"/>
    <w:pPr>
      <w:keepNext/>
      <w:keepLines/>
      <w:numPr>
        <w:ilvl w:val="1"/>
        <w:numId w:val="0"/>
      </w:numPr>
      <w:tabs>
        <w:tab w:val="num" w:pos="360"/>
      </w:tabs>
      <w:spacing w:before="120" w:after="120"/>
      <w:ind w:left="2160" w:hanging="360"/>
      <w:contextualSpacing w:val="0"/>
      <w:jc w:val="left"/>
    </w:pPr>
    <w:rPr>
      <w:rFonts w:eastAsia="Calibri"/>
      <w:sz w:val="22"/>
      <w:szCs w:val="22"/>
      <w:lang w:eastAsia="en-US"/>
    </w:rPr>
  </w:style>
  <w:style w:type="paragraph" w:customStyle="1" w:styleId="ListBulletlvl4">
    <w:name w:val="List Bullet lvl 4"/>
    <w:basedOn w:val="ListBullet"/>
    <w:qFormat/>
    <w:rsid w:val="001F516D"/>
    <w:pPr>
      <w:keepNext/>
      <w:keepLines/>
      <w:numPr>
        <w:ilvl w:val="1"/>
        <w:numId w:val="0"/>
      </w:numPr>
      <w:tabs>
        <w:tab w:val="num" w:pos="360"/>
      </w:tabs>
      <w:spacing w:before="120" w:after="120"/>
      <w:ind w:left="2880" w:hanging="360"/>
      <w:contextualSpacing w:val="0"/>
      <w:jc w:val="left"/>
    </w:pPr>
    <w:rPr>
      <w:rFonts w:eastAsia="Calibri"/>
      <w:sz w:val="22"/>
      <w:szCs w:val="22"/>
      <w:lang w:eastAsia="en-US"/>
    </w:rPr>
  </w:style>
  <w:style w:type="paragraph" w:customStyle="1" w:styleId="ListBulletlvl5">
    <w:name w:val="List Bullet lvl 5"/>
    <w:basedOn w:val="ListBullet"/>
    <w:rsid w:val="001F516D"/>
    <w:pPr>
      <w:keepNext/>
      <w:keepLines/>
      <w:numPr>
        <w:ilvl w:val="1"/>
        <w:numId w:val="0"/>
      </w:numPr>
      <w:tabs>
        <w:tab w:val="num" w:pos="360"/>
      </w:tabs>
      <w:spacing w:before="120" w:after="120"/>
      <w:ind w:left="3600" w:hanging="360"/>
      <w:contextualSpacing w:val="0"/>
      <w:jc w:val="left"/>
    </w:pPr>
    <w:rPr>
      <w:rFonts w:eastAsia="Calibri"/>
      <w:sz w:val="22"/>
      <w:szCs w:val="22"/>
      <w:lang w:eastAsia="en-US"/>
    </w:rPr>
  </w:style>
  <w:style w:type="paragraph" w:customStyle="1" w:styleId="ListBulletlvl6">
    <w:name w:val="List Bullet lvl 6"/>
    <w:basedOn w:val="ListBullet"/>
    <w:rsid w:val="001F516D"/>
    <w:pPr>
      <w:keepNext/>
      <w:keepLines/>
      <w:numPr>
        <w:ilvl w:val="1"/>
        <w:numId w:val="0"/>
      </w:numPr>
      <w:tabs>
        <w:tab w:val="num" w:pos="360"/>
      </w:tabs>
      <w:spacing w:before="120" w:after="120"/>
      <w:ind w:left="4320" w:hanging="360"/>
      <w:contextualSpacing w:val="0"/>
      <w:jc w:val="left"/>
    </w:pPr>
    <w:rPr>
      <w:rFonts w:eastAsia="Calibri"/>
      <w:sz w:val="22"/>
      <w:szCs w:val="22"/>
      <w:lang w:eastAsia="en-US"/>
    </w:rPr>
  </w:style>
  <w:style w:type="paragraph" w:customStyle="1" w:styleId="ListBulletlvl7">
    <w:name w:val="List Bullet lvl 7"/>
    <w:basedOn w:val="ListBullet"/>
    <w:rsid w:val="001F516D"/>
    <w:pPr>
      <w:keepNext/>
      <w:keepLines/>
      <w:numPr>
        <w:ilvl w:val="1"/>
        <w:numId w:val="0"/>
      </w:numPr>
      <w:tabs>
        <w:tab w:val="num" w:pos="360"/>
      </w:tabs>
      <w:spacing w:before="120" w:after="120"/>
      <w:ind w:left="5040" w:hanging="360"/>
      <w:contextualSpacing w:val="0"/>
      <w:jc w:val="left"/>
    </w:pPr>
    <w:rPr>
      <w:rFonts w:eastAsia="Calibri"/>
      <w:sz w:val="22"/>
      <w:szCs w:val="22"/>
      <w:lang w:eastAsia="en-US"/>
    </w:rPr>
  </w:style>
  <w:style w:type="paragraph" w:customStyle="1" w:styleId="ListBulletlvl8">
    <w:name w:val="List Bullet lvl 8"/>
    <w:basedOn w:val="ListBullet"/>
    <w:rsid w:val="001F516D"/>
    <w:pPr>
      <w:keepNext/>
      <w:keepLines/>
      <w:numPr>
        <w:ilvl w:val="1"/>
        <w:numId w:val="0"/>
      </w:numPr>
      <w:tabs>
        <w:tab w:val="num" w:pos="360"/>
      </w:tabs>
      <w:spacing w:before="120" w:after="120"/>
      <w:ind w:left="5760" w:hanging="360"/>
      <w:contextualSpacing w:val="0"/>
      <w:jc w:val="left"/>
    </w:pPr>
    <w:rPr>
      <w:rFonts w:eastAsia="Calibri"/>
      <w:sz w:val="22"/>
      <w:szCs w:val="22"/>
      <w:lang w:eastAsia="en-US"/>
    </w:rPr>
  </w:style>
  <w:style w:type="paragraph" w:customStyle="1" w:styleId="ListBulletlvl9">
    <w:name w:val="List Bullet lvl 9"/>
    <w:basedOn w:val="ListBullet"/>
    <w:rsid w:val="001F516D"/>
    <w:pPr>
      <w:keepNext/>
      <w:keepLines/>
      <w:numPr>
        <w:ilvl w:val="1"/>
        <w:numId w:val="0"/>
      </w:numPr>
      <w:tabs>
        <w:tab w:val="num" w:pos="360"/>
      </w:tabs>
      <w:spacing w:before="120" w:after="120"/>
      <w:ind w:left="6480" w:hanging="360"/>
      <w:contextualSpacing w:val="0"/>
      <w:jc w:val="left"/>
    </w:pPr>
    <w:rPr>
      <w:rFonts w:eastAsia="Calibri"/>
      <w:sz w:val="22"/>
      <w:szCs w:val="22"/>
      <w:lang w:eastAsia="en-US"/>
    </w:rPr>
  </w:style>
  <w:style w:type="paragraph" w:customStyle="1" w:styleId="ListBulletLast">
    <w:name w:val="List Bullet Last"/>
    <w:basedOn w:val="ListBullet"/>
    <w:rsid w:val="001F516D"/>
    <w:pPr>
      <w:numPr>
        <w:ilvl w:val="1"/>
        <w:numId w:val="0"/>
      </w:numPr>
      <w:tabs>
        <w:tab w:val="num" w:pos="357"/>
      </w:tabs>
      <w:spacing w:after="240"/>
      <w:ind w:left="357" w:right="221" w:hanging="357"/>
      <w:contextualSpacing w:val="0"/>
    </w:pPr>
    <w:rPr>
      <w:rFonts w:eastAsia="Calibri"/>
      <w:sz w:val="22"/>
      <w:szCs w:val="22"/>
      <w:lang w:eastAsia="en-US"/>
    </w:rPr>
  </w:style>
  <w:style w:type="paragraph" w:customStyle="1" w:styleId="listbull">
    <w:name w:val="list:bull"/>
    <w:basedOn w:val="Normal"/>
    <w:link w:val="listbullChar"/>
    <w:uiPriority w:val="99"/>
    <w:rsid w:val="001F516D"/>
    <w:pPr>
      <w:numPr>
        <w:numId w:val="15"/>
      </w:numPr>
      <w:spacing w:after="120"/>
      <w:ind w:right="221"/>
    </w:pPr>
    <w:rPr>
      <w:rFonts w:ascii="Times New Roman" w:hAnsi="Times New Roman" w:cs="Times New Roman"/>
      <w:lang w:val="en-GB" w:eastAsia="en-US"/>
    </w:rPr>
  </w:style>
  <w:style w:type="character" w:customStyle="1" w:styleId="listbullChar">
    <w:name w:val="list:bull Char"/>
    <w:basedOn w:val="DefaultParagraphFont"/>
    <w:link w:val="listbull"/>
    <w:uiPriority w:val="99"/>
    <w:rsid w:val="001F516D"/>
    <w:rPr>
      <w:sz w:val="24"/>
      <w:szCs w:val="24"/>
      <w:lang w:val="en-GB" w:eastAsia="en-US"/>
    </w:rPr>
  </w:style>
  <w:style w:type="paragraph" w:customStyle="1" w:styleId="note">
    <w:name w:val="note"/>
    <w:basedOn w:val="Normal"/>
    <w:rsid w:val="001F516D"/>
    <w:pPr>
      <w:spacing w:before="100" w:beforeAutospacing="1" w:after="100" w:afterAutospacing="1"/>
      <w:ind w:left="221" w:right="221"/>
    </w:pPr>
    <w:rPr>
      <w:rFonts w:ascii="Times New Roman" w:hAnsi="Times New Roman" w:cs="Times New Roman"/>
    </w:rPr>
  </w:style>
  <w:style w:type="paragraph" w:customStyle="1" w:styleId="PlainText1">
    <w:name w:val="Plain Text1"/>
    <w:basedOn w:val="Normal"/>
    <w:next w:val="PlainText"/>
    <w:link w:val="PlainTextChar"/>
    <w:uiPriority w:val="99"/>
    <w:semiHidden/>
    <w:unhideWhenUsed/>
    <w:rsid w:val="001F516D"/>
    <w:rPr>
      <w:rFonts w:ascii="Consolas" w:eastAsia="Calibri" w:hAnsi="Consolas" w:cs="Consolas"/>
      <w:sz w:val="21"/>
      <w:szCs w:val="21"/>
    </w:rPr>
  </w:style>
  <w:style w:type="character" w:customStyle="1" w:styleId="PlainTextChar">
    <w:name w:val="Plain Text Char"/>
    <w:basedOn w:val="DefaultParagraphFont"/>
    <w:link w:val="PlainText1"/>
    <w:uiPriority w:val="99"/>
    <w:semiHidden/>
    <w:rsid w:val="001F516D"/>
    <w:rPr>
      <w:rFonts w:ascii="Consolas" w:eastAsia="Calibri" w:hAnsi="Consolas" w:cs="Consolas"/>
      <w:sz w:val="21"/>
      <w:szCs w:val="21"/>
    </w:rPr>
  </w:style>
  <w:style w:type="numbering" w:customStyle="1" w:styleId="NoList2">
    <w:name w:val="No List2"/>
    <w:next w:val="NoList"/>
    <w:uiPriority w:val="99"/>
    <w:semiHidden/>
    <w:unhideWhenUsed/>
    <w:rsid w:val="001F516D"/>
  </w:style>
  <w:style w:type="table" w:customStyle="1" w:styleId="Submissionstandard21">
    <w:name w:val="Submission standard21"/>
    <w:basedOn w:val="TableNormal"/>
    <w:uiPriority w:val="99"/>
    <w:qFormat/>
    <w:rsid w:val="001F516D"/>
    <w:pPr>
      <w:jc w:val="both"/>
    </w:pPr>
    <w:rPr>
      <w:rFonts w:ascii="Arial Narrow" w:eastAsia="MS Gothic" w:hAnsi="Arial Narrow"/>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Narrow" w:hAnsi="ArialNarrow" w:cs="Times New Roman"/>
        <w:b/>
        <w:sz w:val="20"/>
      </w:rPr>
      <w:tblPr/>
      <w:tcPr>
        <w:shd w:val="clear" w:color="auto" w:fill="BFBFBF"/>
      </w:tcPr>
    </w:tblStylePr>
  </w:style>
  <w:style w:type="table" w:customStyle="1" w:styleId="TableGrid12">
    <w:name w:val="Table Grid12"/>
    <w:basedOn w:val="TableNormal"/>
    <w:next w:val="TableGrid"/>
    <w:uiPriority w:val="59"/>
    <w:rsid w:val="001F516D"/>
    <w:pPr>
      <w:ind w:left="221" w:right="221"/>
      <w:jc w:val="both"/>
    </w:pPr>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FO261">
    <w:name w:val="LFO261"/>
    <w:basedOn w:val="NoList"/>
    <w:rsid w:val="001F516D"/>
    <w:pPr>
      <w:numPr>
        <w:numId w:val="11"/>
      </w:numPr>
    </w:pPr>
  </w:style>
  <w:style w:type="paragraph" w:customStyle="1" w:styleId="TableFootnotesAbbreviations">
    <w:name w:val="Table Footnotes/Abbreviations"/>
    <w:basedOn w:val="Normal"/>
    <w:link w:val="TableFootnotesAbbreviationsChar"/>
    <w:rsid w:val="001F516D"/>
    <w:pPr>
      <w:spacing w:before="60"/>
      <w:jc w:val="left"/>
    </w:pPr>
    <w:rPr>
      <w:rFonts w:ascii="Calibri Light" w:hAnsi="Calibri Light" w:cs="Times New Roman"/>
      <w:color w:val="4F81BD"/>
      <w:sz w:val="18"/>
      <w:szCs w:val="20"/>
      <w:lang w:val="en-US" w:eastAsia="en-US"/>
    </w:rPr>
  </w:style>
  <w:style w:type="character" w:customStyle="1" w:styleId="TableFootnotesAbbreviationsChar">
    <w:name w:val="Table Footnotes/Abbreviations Char"/>
    <w:basedOn w:val="DefaultParagraphFont"/>
    <w:link w:val="TableFootnotesAbbreviations"/>
    <w:rsid w:val="001F516D"/>
    <w:rPr>
      <w:rFonts w:ascii="Calibri Light" w:hAnsi="Calibri Light"/>
      <w:color w:val="4F81BD"/>
      <w:sz w:val="18"/>
      <w:lang w:val="en-US" w:eastAsia="en-US"/>
    </w:rPr>
  </w:style>
  <w:style w:type="paragraph" w:customStyle="1" w:styleId="Hyperlink1">
    <w:name w:val="Hyperlink1"/>
    <w:basedOn w:val="Normal"/>
    <w:link w:val="hyperlinkChar"/>
    <w:rsid w:val="001F516D"/>
    <w:pPr>
      <w:spacing w:before="60" w:after="180" w:line="264" w:lineRule="auto"/>
      <w:jc w:val="left"/>
    </w:pPr>
    <w:rPr>
      <w:rFonts w:ascii="Calibri Light" w:eastAsia="Calibri" w:hAnsi="Calibri Light"/>
      <w:color w:val="0000FF"/>
      <w:sz w:val="22"/>
      <w:u w:val="single"/>
      <w:lang w:val="en-GB" w:eastAsia="en-US"/>
    </w:rPr>
  </w:style>
  <w:style w:type="character" w:customStyle="1" w:styleId="hyperlinkChar">
    <w:name w:val="hyperlink Char"/>
    <w:basedOn w:val="DefaultParagraphFont"/>
    <w:link w:val="Hyperlink1"/>
    <w:rsid w:val="001F516D"/>
    <w:rPr>
      <w:rFonts w:ascii="Calibri Light" w:eastAsia="Calibri" w:hAnsi="Calibri Light" w:cs="Arial"/>
      <w:color w:val="0000FF"/>
      <w:sz w:val="22"/>
      <w:szCs w:val="24"/>
      <w:u w:val="single"/>
      <w:lang w:val="en-GB" w:eastAsia="en-US"/>
    </w:rPr>
  </w:style>
  <w:style w:type="character" w:customStyle="1" w:styleId="period">
    <w:name w:val="period"/>
    <w:basedOn w:val="DefaultParagraphFont"/>
    <w:rsid w:val="001F516D"/>
  </w:style>
  <w:style w:type="character" w:customStyle="1" w:styleId="Mention9">
    <w:name w:val="Mention9"/>
    <w:basedOn w:val="DefaultParagraphFont"/>
    <w:uiPriority w:val="99"/>
    <w:unhideWhenUsed/>
    <w:rsid w:val="001F516D"/>
    <w:rPr>
      <w:color w:val="2B579A"/>
      <w:shd w:val="clear" w:color="auto" w:fill="E1DFDD"/>
    </w:rPr>
  </w:style>
  <w:style w:type="character" w:customStyle="1" w:styleId="normaltextrun">
    <w:name w:val="normaltextrun"/>
    <w:basedOn w:val="DefaultParagraphFont"/>
    <w:rsid w:val="001F516D"/>
  </w:style>
  <w:style w:type="table" w:styleId="MediumList2-Accent6">
    <w:name w:val="Medium List 2 Accent 6"/>
    <w:basedOn w:val="TableNormal"/>
    <w:uiPriority w:val="66"/>
    <w:semiHidden/>
    <w:unhideWhenUsed/>
    <w:rsid w:val="001F516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5">
    <w:name w:val="Medium Grid 3 Accent 5"/>
    <w:basedOn w:val="TableNormal"/>
    <w:uiPriority w:val="69"/>
    <w:semiHidden/>
    <w:unhideWhenUsed/>
    <w:rsid w:val="001F51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5">
    <w:name w:val="Light Grid Accent 5"/>
    <w:basedOn w:val="TableNormal"/>
    <w:uiPriority w:val="62"/>
    <w:semiHidden/>
    <w:unhideWhenUsed/>
    <w:rsid w:val="001F516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semiHidden/>
    <w:unhideWhenUsed/>
    <w:rsid w:val="001F516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1">
    <w:name w:val="Table Grid 1"/>
    <w:basedOn w:val="TableNormal"/>
    <w:semiHidden/>
    <w:unhideWhenUsed/>
    <w:rsid w:val="001F516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2">
    <w:name w:val="Light Shading Accent 2"/>
    <w:basedOn w:val="TableNormal"/>
    <w:uiPriority w:val="60"/>
    <w:semiHidden/>
    <w:unhideWhenUsed/>
    <w:rsid w:val="001F516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F516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F516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Number">
    <w:name w:val="List Number"/>
    <w:basedOn w:val="Normal"/>
    <w:rsid w:val="001F516D"/>
    <w:pPr>
      <w:numPr>
        <w:numId w:val="5"/>
      </w:numPr>
      <w:contextualSpacing/>
    </w:pPr>
  </w:style>
  <w:style w:type="paragraph" w:styleId="PlainText">
    <w:name w:val="Plain Text"/>
    <w:basedOn w:val="Normal"/>
    <w:link w:val="PlainTextChar1"/>
    <w:semiHidden/>
    <w:unhideWhenUsed/>
    <w:rsid w:val="001F516D"/>
    <w:rPr>
      <w:rFonts w:ascii="Consolas" w:hAnsi="Consolas"/>
      <w:sz w:val="21"/>
      <w:szCs w:val="21"/>
    </w:rPr>
  </w:style>
  <w:style w:type="character" w:customStyle="1" w:styleId="PlainTextChar1">
    <w:name w:val="Plain Text Char1"/>
    <w:basedOn w:val="DefaultParagraphFont"/>
    <w:link w:val="PlainText"/>
    <w:semiHidden/>
    <w:rsid w:val="001F516D"/>
    <w:rPr>
      <w:rFonts w:ascii="Consolas" w:hAnsi="Consolas" w:cs="Arial"/>
      <w:sz w:val="21"/>
      <w:szCs w:val="21"/>
    </w:rPr>
  </w:style>
  <w:style w:type="table" w:customStyle="1" w:styleId="TableGrid2">
    <w:name w:val="Table Grid2"/>
    <w:basedOn w:val="TableNormal"/>
    <w:next w:val="TableGrid"/>
    <w:uiPriority w:val="39"/>
    <w:rsid w:val="001F516D"/>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1F516D"/>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1F516D"/>
    <w:rPr>
      <w:rFonts w:ascii="Arial Narrow" w:hAnsi="Arial Narrow"/>
      <w:lang w:eastAsia="en-US"/>
    </w:rPr>
  </w:style>
  <w:style w:type="character" w:customStyle="1" w:styleId="tooltip">
    <w:name w:val="tooltip"/>
    <w:basedOn w:val="DefaultParagraphFont"/>
    <w:rsid w:val="001F516D"/>
  </w:style>
  <w:style w:type="paragraph" w:customStyle="1" w:styleId="TableNotesLast">
    <w:name w:val="TableNotesLast"/>
    <w:basedOn w:val="Normal"/>
    <w:qFormat/>
    <w:rsid w:val="00B53DB7"/>
    <w:pPr>
      <w:numPr>
        <w:numId w:val="17"/>
      </w:numPr>
      <w:spacing w:after="360"/>
      <w:ind w:right="221"/>
    </w:pPr>
    <w:rPr>
      <w:rFonts w:asciiTheme="minorHAnsi" w:eastAsiaTheme="minorHAnsi" w:hAnsiTheme="minorHAnsi" w:cstheme="minorBidi"/>
      <w:sz w:val="20"/>
      <w:szCs w:val="22"/>
      <w:lang w:eastAsia="en-US"/>
    </w:rPr>
  </w:style>
  <w:style w:type="character" w:customStyle="1" w:styleId="UnresolvedMention2">
    <w:name w:val="Unresolved Mention2"/>
    <w:basedOn w:val="DefaultParagraphFont"/>
    <w:uiPriority w:val="99"/>
    <w:semiHidden/>
    <w:unhideWhenUsed/>
    <w:rsid w:val="000058C3"/>
    <w:rPr>
      <w:color w:val="605E5C"/>
      <w:shd w:val="clear" w:color="auto" w:fill="E1DFDD"/>
    </w:rPr>
  </w:style>
  <w:style w:type="paragraph" w:customStyle="1" w:styleId="3-SubsectionHeading">
    <w:name w:val="3-Subsection Heading"/>
    <w:basedOn w:val="Heading2"/>
    <w:next w:val="Normal"/>
    <w:link w:val="3-SubsectionHeadingChar"/>
    <w:qFormat/>
    <w:rsid w:val="007C4ED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C4ED2"/>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qFormat/>
    <w:rsid w:val="009B57BD"/>
    <w:pPr>
      <w:spacing w:after="120"/>
      <w:ind w:left="720" w:hanging="720"/>
    </w:pPr>
    <w:rPr>
      <w:rFonts w:asciiTheme="minorHAnsi" w:hAnsiTheme="minorHAns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23446800">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6549">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3F05-FF3F-46BF-97A6-30A697D0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11449</Words>
  <Characters>68214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2022-02-23T01:32:00Z</dcterms:created>
  <dcterms:modified xsi:type="dcterms:W3CDTF">2022-03-02T03:10:00Z</dcterms:modified>
</cp:coreProperties>
</file>