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5D4E0" w14:textId="77777777" w:rsidR="00AF4651" w:rsidRPr="00211C8B" w:rsidRDefault="00AF4651" w:rsidP="003E4FB8">
      <w:bookmarkStart w:id="0" w:name="_Toc82610344"/>
      <w:bookmarkStart w:id="1" w:name="_Toc79702732"/>
      <w:bookmarkStart w:id="2" w:name="_Toc22897640"/>
    </w:p>
    <w:p w14:paraId="25045823" w14:textId="77777777" w:rsidR="009D4C0F" w:rsidRPr="00211C8B" w:rsidRDefault="00E8341F" w:rsidP="004765E7">
      <w:pPr>
        <w:pStyle w:val="1-MainHeading"/>
        <w:ind w:left="938" w:hanging="938"/>
      </w:pPr>
      <w:r w:rsidRPr="00211C8B">
        <w:t>11</w:t>
      </w:r>
      <w:r w:rsidR="009D4C0F" w:rsidRPr="00211C8B">
        <w:t>.</w:t>
      </w:r>
      <w:r w:rsidR="001A4E16" w:rsidRPr="00211C8B">
        <w:t>0</w:t>
      </w:r>
      <w:r w:rsidRPr="00211C8B">
        <w:t>2</w:t>
      </w:r>
      <w:r w:rsidR="00DE6AAB" w:rsidRPr="00211C8B">
        <w:t xml:space="preserve"> FOLLITROPIN ALFA</w:t>
      </w:r>
      <w:bookmarkStart w:id="3" w:name="_Toc82610345"/>
      <w:bookmarkEnd w:id="0"/>
      <w:r w:rsidR="004765E7" w:rsidRPr="00211C8B">
        <w:br/>
      </w:r>
      <w:r w:rsidR="00DE6AAB" w:rsidRPr="00211C8B">
        <w:t>Injection 300 I.U. in 0.5 mL multi-dose cartridge</w:t>
      </w:r>
      <w:bookmarkStart w:id="4" w:name="_Toc82610346"/>
      <w:bookmarkEnd w:id="3"/>
      <w:r w:rsidR="004765E7" w:rsidRPr="00211C8B">
        <w:t>,</w:t>
      </w:r>
      <w:r w:rsidR="004765E7" w:rsidRPr="00211C8B">
        <w:br/>
      </w:r>
      <w:r w:rsidR="00DE6AAB" w:rsidRPr="00211C8B">
        <w:t>Injection 450 I.U. in 0.75 mL multi-dose cartridge</w:t>
      </w:r>
      <w:bookmarkStart w:id="5" w:name="_Toc82610347"/>
      <w:bookmarkEnd w:id="4"/>
      <w:r w:rsidR="004765E7" w:rsidRPr="00211C8B">
        <w:t>,</w:t>
      </w:r>
      <w:r w:rsidR="004765E7" w:rsidRPr="00211C8B">
        <w:br/>
      </w:r>
      <w:r w:rsidR="00DE6AAB" w:rsidRPr="00211C8B">
        <w:t>Injection 900 I.U. in 1.5 mL multi-dose cartridge</w:t>
      </w:r>
      <w:bookmarkStart w:id="6" w:name="_Toc82610348"/>
      <w:bookmarkEnd w:id="5"/>
      <w:r w:rsidR="004765E7" w:rsidRPr="00211C8B">
        <w:t>,</w:t>
      </w:r>
      <w:r w:rsidR="004765E7" w:rsidRPr="00211C8B">
        <w:br/>
      </w:r>
      <w:r w:rsidR="00907340" w:rsidRPr="00211C8B">
        <w:t>Gonal-f</w:t>
      </w:r>
      <w:r w:rsidR="00DE6AAB" w:rsidRPr="00211C8B">
        <w:t>®</w:t>
      </w:r>
      <w:r w:rsidR="00CB2D3B" w:rsidRPr="00211C8B">
        <w:t xml:space="preserve"> Pen</w:t>
      </w:r>
      <w:bookmarkStart w:id="7" w:name="_Toc82610349"/>
      <w:bookmarkEnd w:id="6"/>
      <w:r w:rsidR="004765E7" w:rsidRPr="00211C8B">
        <w:br/>
      </w:r>
      <w:r w:rsidR="00DE6AAB" w:rsidRPr="00211C8B">
        <w:t>Merck Healthcare Australia Pty Ltd</w:t>
      </w:r>
      <w:bookmarkEnd w:id="1"/>
      <w:bookmarkEnd w:id="7"/>
    </w:p>
    <w:p w14:paraId="32B60A7C" w14:textId="77777777" w:rsidR="009D4C0F" w:rsidRPr="00211C8B" w:rsidRDefault="009D4C0F" w:rsidP="00943FFD">
      <w:pPr>
        <w:pStyle w:val="2-SectionHeading"/>
      </w:pPr>
      <w:bookmarkStart w:id="8" w:name="_Toc79702734"/>
      <w:bookmarkStart w:id="9" w:name="_Toc82610351"/>
      <w:r w:rsidRPr="00211C8B">
        <w:t>Purpose of submission</w:t>
      </w:r>
      <w:bookmarkEnd w:id="8"/>
      <w:bookmarkEnd w:id="9"/>
    </w:p>
    <w:p w14:paraId="0CBD13BD" w14:textId="77777777" w:rsidR="00C031FF" w:rsidRPr="00211C8B" w:rsidRDefault="009D4C0F" w:rsidP="00AF4651">
      <w:pPr>
        <w:pStyle w:val="3-BodyText"/>
        <w:numPr>
          <w:ilvl w:val="1"/>
          <w:numId w:val="4"/>
        </w:numPr>
      </w:pPr>
      <w:r w:rsidRPr="00211C8B">
        <w:t xml:space="preserve">The </w:t>
      </w:r>
      <w:r w:rsidR="001C1CC3" w:rsidRPr="00211C8B">
        <w:t xml:space="preserve">Category 2 </w:t>
      </w:r>
      <w:r w:rsidRPr="00211C8B">
        <w:t xml:space="preserve">submission </w:t>
      </w:r>
      <w:r w:rsidR="00C722FE" w:rsidRPr="00211C8B">
        <w:t xml:space="preserve">requested </w:t>
      </w:r>
      <w:r w:rsidRPr="00211C8B">
        <w:t xml:space="preserve">a price increase for </w:t>
      </w:r>
      <w:r w:rsidR="00907340" w:rsidRPr="00211C8B">
        <w:t>Gonal-f</w:t>
      </w:r>
      <w:r w:rsidR="00C031FF" w:rsidRPr="00211C8B">
        <w:t xml:space="preserve">® Pen (herein referred to as </w:t>
      </w:r>
      <w:r w:rsidR="00907340" w:rsidRPr="00211C8B">
        <w:t>Gonal-f</w:t>
      </w:r>
      <w:r w:rsidR="00CE2EAE" w:rsidRPr="00211C8B">
        <w:t>)</w:t>
      </w:r>
      <w:r w:rsidR="00C031FF" w:rsidRPr="00211C8B">
        <w:t xml:space="preserve"> based on the therapeutic relativities of </w:t>
      </w:r>
      <w:r w:rsidR="00907340" w:rsidRPr="00211C8B">
        <w:t>Gonal-f</w:t>
      </w:r>
      <w:r w:rsidR="00C031FF" w:rsidRPr="00211C8B">
        <w:t xml:space="preserve"> compared to biosimilar</w:t>
      </w:r>
      <w:r w:rsidR="008104E5" w:rsidRPr="00211C8B">
        <w:t xml:space="preserve"> follitropin alfa products</w:t>
      </w:r>
      <w:r w:rsidRPr="00211C8B">
        <w:t>. G</w:t>
      </w:r>
      <w:r w:rsidR="00CE2EAE" w:rsidRPr="00211C8B">
        <w:t>onal</w:t>
      </w:r>
      <w:r w:rsidRPr="00211C8B">
        <w:t>-f is listed in Section 100 (In</w:t>
      </w:r>
      <w:r w:rsidR="00694A5B" w:rsidRPr="00211C8B">
        <w:t xml:space="preserve"> </w:t>
      </w:r>
      <w:r w:rsidRPr="00211C8B">
        <w:t xml:space="preserve">Vitro </w:t>
      </w:r>
      <w:r w:rsidR="00A56A59" w:rsidRPr="00211C8B">
        <w:t>Fertilisation</w:t>
      </w:r>
      <w:r w:rsidRPr="00211C8B">
        <w:t xml:space="preserve"> (IVF) Program) for </w:t>
      </w:r>
      <w:r w:rsidR="00F76FBA" w:rsidRPr="00211C8B">
        <w:t xml:space="preserve">the </w:t>
      </w:r>
      <w:r w:rsidRPr="00211C8B">
        <w:t>treatment of women who are undergoing assisted reproductive technology (ART).</w:t>
      </w:r>
    </w:p>
    <w:p w14:paraId="4CAAE139" w14:textId="77777777" w:rsidR="009D4C0F" w:rsidRPr="00211C8B" w:rsidRDefault="003A4955" w:rsidP="00AF4651">
      <w:pPr>
        <w:pStyle w:val="3-BodyText"/>
        <w:numPr>
          <w:ilvl w:val="1"/>
          <w:numId w:val="4"/>
        </w:numPr>
      </w:pPr>
      <w:r w:rsidRPr="00211C8B">
        <w:t>The basis of the requested price increase</w:t>
      </w:r>
      <w:r w:rsidR="009D4C0F" w:rsidRPr="00211C8B">
        <w:t xml:space="preserve"> was a cost-effectiveness analysis versus biosimilar preparations of follitropin alfa</w:t>
      </w:r>
      <w:r w:rsidR="009D4C0F" w:rsidRPr="006B134C">
        <w:t>.</w:t>
      </w:r>
    </w:p>
    <w:p w14:paraId="528F1DF3" w14:textId="77777777" w:rsidR="0010090F" w:rsidRDefault="0010090F" w:rsidP="0001556C">
      <w:pPr>
        <w:pStyle w:val="TableFigureHeading"/>
      </w:pPr>
      <w:r>
        <w:t xml:space="preserve">Table </w:t>
      </w:r>
      <w:r w:rsidR="00360359">
        <w:rPr>
          <w:noProof/>
        </w:rPr>
        <w:t>1</w:t>
      </w:r>
      <w:r>
        <w:t xml:space="preserve">: </w:t>
      </w:r>
      <w:r w:rsidRPr="00120DAD">
        <w:t>Key components of the clinical issue addressed by the submission (as stated in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Key components of the clinical issue addressed by the submission (as stated in the submission)"/>
        <w:tblDescription w:val="Key components of the clinical issue addressed by the submission (as stated in the submission)"/>
      </w:tblPr>
      <w:tblGrid>
        <w:gridCol w:w="1668"/>
        <w:gridCol w:w="7488"/>
      </w:tblGrid>
      <w:tr w:rsidR="009D4C0F" w:rsidRPr="00211C8B" w14:paraId="5D43399A" w14:textId="77777777" w:rsidTr="003D5B22">
        <w:tc>
          <w:tcPr>
            <w:tcW w:w="1668" w:type="dxa"/>
            <w:tcBorders>
              <w:top w:val="single" w:sz="4" w:space="0" w:color="auto"/>
              <w:left w:val="single" w:sz="4" w:space="0" w:color="auto"/>
              <w:bottom w:val="single" w:sz="4" w:space="0" w:color="auto"/>
              <w:right w:val="single" w:sz="4" w:space="0" w:color="auto"/>
            </w:tcBorders>
            <w:vAlign w:val="center"/>
            <w:hideMark/>
          </w:tcPr>
          <w:p w14:paraId="577CCFBD" w14:textId="77777777" w:rsidR="009D4C0F" w:rsidRPr="0010090F" w:rsidRDefault="009D4C0F" w:rsidP="003D5B22">
            <w:pPr>
              <w:pStyle w:val="In-tableHeading"/>
              <w:rPr>
                <w:lang w:val="en-AU"/>
              </w:rPr>
            </w:pPr>
            <w:r w:rsidRPr="0010090F">
              <w:rPr>
                <w:lang w:val="en-AU"/>
              </w:rPr>
              <w:t>Component</w:t>
            </w:r>
          </w:p>
        </w:tc>
        <w:tc>
          <w:tcPr>
            <w:tcW w:w="7488" w:type="dxa"/>
            <w:tcBorders>
              <w:top w:val="single" w:sz="4" w:space="0" w:color="auto"/>
              <w:left w:val="single" w:sz="4" w:space="0" w:color="auto"/>
              <w:bottom w:val="single" w:sz="4" w:space="0" w:color="auto"/>
              <w:right w:val="single" w:sz="4" w:space="0" w:color="auto"/>
            </w:tcBorders>
            <w:vAlign w:val="center"/>
            <w:hideMark/>
          </w:tcPr>
          <w:p w14:paraId="6A3A650B" w14:textId="77777777" w:rsidR="009D4C0F" w:rsidRPr="00B40578" w:rsidRDefault="009D4C0F" w:rsidP="003D5B22">
            <w:pPr>
              <w:pStyle w:val="In-tableHeading"/>
              <w:rPr>
                <w:lang w:val="en-AU"/>
              </w:rPr>
            </w:pPr>
            <w:r w:rsidRPr="00B40578">
              <w:rPr>
                <w:lang w:val="en-AU"/>
              </w:rPr>
              <w:t>Description</w:t>
            </w:r>
          </w:p>
        </w:tc>
      </w:tr>
      <w:tr w:rsidR="009D4C0F" w:rsidRPr="00211C8B" w14:paraId="6A1D7552" w14:textId="77777777" w:rsidTr="003D5B22">
        <w:tc>
          <w:tcPr>
            <w:tcW w:w="1668" w:type="dxa"/>
            <w:tcBorders>
              <w:top w:val="single" w:sz="4" w:space="0" w:color="auto"/>
              <w:left w:val="single" w:sz="4" w:space="0" w:color="auto"/>
              <w:bottom w:val="single" w:sz="4" w:space="0" w:color="auto"/>
              <w:right w:val="single" w:sz="4" w:space="0" w:color="auto"/>
            </w:tcBorders>
            <w:vAlign w:val="center"/>
            <w:hideMark/>
          </w:tcPr>
          <w:p w14:paraId="7705A448" w14:textId="77777777" w:rsidR="009D4C0F" w:rsidRPr="00211C8B" w:rsidRDefault="009D4C0F" w:rsidP="003D5B22">
            <w:pPr>
              <w:pStyle w:val="TableText0"/>
              <w:rPr>
                <w:color w:val="000000" w:themeColor="text1"/>
              </w:rPr>
            </w:pPr>
            <w:r w:rsidRPr="00211C8B">
              <w:rPr>
                <w:color w:val="000000" w:themeColor="text1"/>
              </w:rPr>
              <w:t>Population</w:t>
            </w:r>
          </w:p>
        </w:tc>
        <w:tc>
          <w:tcPr>
            <w:tcW w:w="7488" w:type="dxa"/>
            <w:tcBorders>
              <w:top w:val="single" w:sz="4" w:space="0" w:color="auto"/>
              <w:left w:val="single" w:sz="4" w:space="0" w:color="auto"/>
              <w:bottom w:val="single" w:sz="4" w:space="0" w:color="auto"/>
              <w:right w:val="single" w:sz="4" w:space="0" w:color="auto"/>
            </w:tcBorders>
            <w:vAlign w:val="center"/>
            <w:hideMark/>
          </w:tcPr>
          <w:p w14:paraId="2E7C481B" w14:textId="77777777" w:rsidR="009D4C0F" w:rsidRPr="00211C8B" w:rsidRDefault="009D4C0F" w:rsidP="003D5B22">
            <w:pPr>
              <w:pStyle w:val="TableText0"/>
              <w:spacing w:line="256" w:lineRule="auto"/>
              <w:rPr>
                <w:color w:val="000000" w:themeColor="text1"/>
              </w:rPr>
            </w:pPr>
            <w:r w:rsidRPr="00211C8B">
              <w:rPr>
                <w:color w:val="000000" w:themeColor="text1"/>
              </w:rPr>
              <w:t>Patients who are undergoing ART</w:t>
            </w:r>
          </w:p>
          <w:p w14:paraId="70E707A7" w14:textId="77777777" w:rsidR="009D4C0F" w:rsidRPr="00211C8B" w:rsidRDefault="009D4C0F" w:rsidP="003D5B22">
            <w:pPr>
              <w:pStyle w:val="TableText0"/>
              <w:spacing w:line="256" w:lineRule="auto"/>
              <w:rPr>
                <w:i/>
                <w:iCs/>
                <w:color w:val="000000" w:themeColor="text1"/>
              </w:rPr>
            </w:pPr>
            <w:r w:rsidRPr="00211C8B">
              <w:rPr>
                <w:color w:val="000000" w:themeColor="text1"/>
              </w:rPr>
              <w:t>Patient must be receiving medical services as described in items 13200, 13201, 13202 or 13203 of the Medicare Benefits Schedule</w:t>
            </w:r>
            <w:r w:rsidRPr="00211C8B">
              <w:rPr>
                <w:rStyle w:val="FootnoteReference"/>
                <w:color w:val="000000" w:themeColor="text1"/>
              </w:rPr>
              <w:footnoteReference w:id="2"/>
            </w:r>
          </w:p>
        </w:tc>
      </w:tr>
      <w:tr w:rsidR="009D4C0F" w:rsidRPr="00211C8B" w14:paraId="257DC37C" w14:textId="77777777" w:rsidTr="003D5B22">
        <w:tc>
          <w:tcPr>
            <w:tcW w:w="1668" w:type="dxa"/>
            <w:tcBorders>
              <w:top w:val="single" w:sz="4" w:space="0" w:color="auto"/>
              <w:left w:val="single" w:sz="4" w:space="0" w:color="auto"/>
              <w:bottom w:val="single" w:sz="4" w:space="0" w:color="auto"/>
              <w:right w:val="single" w:sz="4" w:space="0" w:color="auto"/>
            </w:tcBorders>
            <w:vAlign w:val="center"/>
            <w:hideMark/>
          </w:tcPr>
          <w:p w14:paraId="072ABB1C" w14:textId="77777777" w:rsidR="009D4C0F" w:rsidRPr="00211C8B" w:rsidRDefault="009D4C0F" w:rsidP="003D5B22">
            <w:pPr>
              <w:pStyle w:val="TableText0"/>
              <w:rPr>
                <w:color w:val="000000" w:themeColor="text1"/>
              </w:rPr>
            </w:pPr>
            <w:r w:rsidRPr="00211C8B">
              <w:rPr>
                <w:color w:val="000000" w:themeColor="text1"/>
              </w:rPr>
              <w:t>Intervention</w:t>
            </w:r>
          </w:p>
        </w:tc>
        <w:tc>
          <w:tcPr>
            <w:tcW w:w="7488" w:type="dxa"/>
            <w:tcBorders>
              <w:top w:val="single" w:sz="4" w:space="0" w:color="auto"/>
              <w:left w:val="single" w:sz="4" w:space="0" w:color="auto"/>
              <w:bottom w:val="single" w:sz="4" w:space="0" w:color="auto"/>
              <w:right w:val="single" w:sz="4" w:space="0" w:color="auto"/>
            </w:tcBorders>
            <w:vAlign w:val="center"/>
            <w:hideMark/>
          </w:tcPr>
          <w:p w14:paraId="0D58DF5E" w14:textId="77777777" w:rsidR="009D4C0F" w:rsidRPr="00211C8B" w:rsidRDefault="009D4C0F" w:rsidP="003D5B22">
            <w:pPr>
              <w:pStyle w:val="TableText0"/>
              <w:spacing w:line="256" w:lineRule="auto"/>
              <w:rPr>
                <w:color w:val="000000" w:themeColor="text1"/>
              </w:rPr>
            </w:pPr>
            <w:r w:rsidRPr="00211C8B">
              <w:rPr>
                <w:color w:val="000000" w:themeColor="text1"/>
              </w:rPr>
              <w:t>Follitropin alfa (</w:t>
            </w:r>
            <w:r w:rsidR="00907340" w:rsidRPr="00211C8B">
              <w:rPr>
                <w:color w:val="000000" w:themeColor="text1"/>
              </w:rPr>
              <w:t>Gonal-f</w:t>
            </w:r>
            <w:r w:rsidRPr="00211C8B">
              <w:rPr>
                <w:color w:val="000000" w:themeColor="text1"/>
              </w:rPr>
              <w:t xml:space="preserve">) </w:t>
            </w:r>
          </w:p>
        </w:tc>
      </w:tr>
      <w:tr w:rsidR="009D4C0F" w:rsidRPr="00211C8B" w14:paraId="6F0101FC" w14:textId="77777777" w:rsidTr="003D5B22">
        <w:tc>
          <w:tcPr>
            <w:tcW w:w="1668" w:type="dxa"/>
            <w:tcBorders>
              <w:top w:val="single" w:sz="4" w:space="0" w:color="auto"/>
              <w:left w:val="single" w:sz="4" w:space="0" w:color="auto"/>
              <w:bottom w:val="single" w:sz="4" w:space="0" w:color="auto"/>
              <w:right w:val="single" w:sz="4" w:space="0" w:color="auto"/>
            </w:tcBorders>
            <w:vAlign w:val="center"/>
            <w:hideMark/>
          </w:tcPr>
          <w:p w14:paraId="64C13793" w14:textId="77777777" w:rsidR="009D4C0F" w:rsidRPr="00211C8B" w:rsidRDefault="009D4C0F" w:rsidP="003D5B22">
            <w:pPr>
              <w:pStyle w:val="TableText0"/>
              <w:rPr>
                <w:color w:val="000000" w:themeColor="text1"/>
              </w:rPr>
            </w:pPr>
            <w:r w:rsidRPr="00211C8B">
              <w:rPr>
                <w:color w:val="000000" w:themeColor="text1"/>
              </w:rPr>
              <w:t>Comparator</w:t>
            </w:r>
          </w:p>
        </w:tc>
        <w:tc>
          <w:tcPr>
            <w:tcW w:w="7488" w:type="dxa"/>
            <w:tcBorders>
              <w:top w:val="single" w:sz="4" w:space="0" w:color="auto"/>
              <w:left w:val="single" w:sz="4" w:space="0" w:color="auto"/>
              <w:bottom w:val="single" w:sz="4" w:space="0" w:color="auto"/>
              <w:right w:val="single" w:sz="4" w:space="0" w:color="auto"/>
            </w:tcBorders>
            <w:vAlign w:val="center"/>
            <w:hideMark/>
          </w:tcPr>
          <w:p w14:paraId="637DDFD6" w14:textId="77777777" w:rsidR="009D4C0F" w:rsidRPr="00211C8B" w:rsidRDefault="009D4C0F" w:rsidP="003D5B22">
            <w:pPr>
              <w:pStyle w:val="TableText0"/>
              <w:spacing w:line="256" w:lineRule="auto"/>
              <w:rPr>
                <w:color w:val="000000" w:themeColor="text1"/>
              </w:rPr>
            </w:pPr>
            <w:r w:rsidRPr="00211C8B">
              <w:rPr>
                <w:color w:val="000000" w:themeColor="text1"/>
              </w:rPr>
              <w:t>Biosimilar preparations of follitropin alfa</w:t>
            </w:r>
            <w:r w:rsidR="002F5379" w:rsidRPr="00211C8B">
              <w:rPr>
                <w:color w:val="000000" w:themeColor="text1"/>
              </w:rPr>
              <w:t xml:space="preserve"> (</w:t>
            </w:r>
            <w:r w:rsidR="002F5379" w:rsidRPr="00211C8B">
              <w:t>Bemfola, Ovaleap, Primapur and Follitrope)</w:t>
            </w:r>
            <w:r w:rsidR="00CE2EAE" w:rsidRPr="00211C8B">
              <w:rPr>
                <w:color w:val="000000" w:themeColor="text1"/>
              </w:rPr>
              <w:t xml:space="preserve"> – Bemfola </w:t>
            </w:r>
            <w:r w:rsidR="00FE3905" w:rsidRPr="00211C8B">
              <w:rPr>
                <w:color w:val="000000" w:themeColor="text1"/>
              </w:rPr>
              <w:t xml:space="preserve">was </w:t>
            </w:r>
            <w:r w:rsidR="00CE2EAE" w:rsidRPr="00211C8B">
              <w:rPr>
                <w:color w:val="000000" w:themeColor="text1"/>
              </w:rPr>
              <w:t>nominated as a proxy</w:t>
            </w:r>
            <w:r w:rsidR="002F5379" w:rsidRPr="00211C8B">
              <w:rPr>
                <w:color w:val="000000" w:themeColor="text1"/>
              </w:rPr>
              <w:t xml:space="preserve"> in the economic evaluation</w:t>
            </w:r>
          </w:p>
        </w:tc>
      </w:tr>
      <w:tr w:rsidR="009D4C0F" w:rsidRPr="00211C8B" w14:paraId="583557CD" w14:textId="77777777" w:rsidTr="003D5B22">
        <w:tc>
          <w:tcPr>
            <w:tcW w:w="1668" w:type="dxa"/>
            <w:tcBorders>
              <w:top w:val="single" w:sz="4" w:space="0" w:color="auto"/>
              <w:left w:val="single" w:sz="4" w:space="0" w:color="auto"/>
              <w:bottom w:val="single" w:sz="4" w:space="0" w:color="auto"/>
              <w:right w:val="single" w:sz="4" w:space="0" w:color="auto"/>
            </w:tcBorders>
            <w:vAlign w:val="center"/>
            <w:hideMark/>
          </w:tcPr>
          <w:p w14:paraId="14B61A4F" w14:textId="77777777" w:rsidR="009D4C0F" w:rsidRPr="00211C8B" w:rsidRDefault="009D4C0F" w:rsidP="003D5B22">
            <w:pPr>
              <w:pStyle w:val="TableText0"/>
              <w:rPr>
                <w:color w:val="000000" w:themeColor="text1"/>
              </w:rPr>
            </w:pPr>
            <w:r w:rsidRPr="00211C8B">
              <w:rPr>
                <w:color w:val="000000" w:themeColor="text1"/>
              </w:rPr>
              <w:t>Outcomes</w:t>
            </w:r>
          </w:p>
        </w:tc>
        <w:tc>
          <w:tcPr>
            <w:tcW w:w="7488" w:type="dxa"/>
            <w:tcBorders>
              <w:top w:val="single" w:sz="4" w:space="0" w:color="auto"/>
              <w:left w:val="single" w:sz="4" w:space="0" w:color="auto"/>
              <w:bottom w:val="single" w:sz="4" w:space="0" w:color="auto"/>
              <w:right w:val="single" w:sz="4" w:space="0" w:color="auto"/>
            </w:tcBorders>
            <w:vAlign w:val="center"/>
            <w:hideMark/>
          </w:tcPr>
          <w:p w14:paraId="291C029F" w14:textId="77777777" w:rsidR="009D4C0F" w:rsidRPr="00211C8B" w:rsidRDefault="009D4C0F" w:rsidP="003D5B22">
            <w:pPr>
              <w:pStyle w:val="TableText0"/>
              <w:spacing w:line="256" w:lineRule="auto"/>
              <w:rPr>
                <w:color w:val="000000" w:themeColor="text1"/>
              </w:rPr>
            </w:pPr>
            <w:r w:rsidRPr="00211C8B">
              <w:rPr>
                <w:color w:val="000000" w:themeColor="text1"/>
              </w:rPr>
              <w:t>1) Clinical pregnancy rate</w:t>
            </w:r>
          </w:p>
          <w:p w14:paraId="329D50E6" w14:textId="77777777" w:rsidR="009D4C0F" w:rsidRPr="00211C8B" w:rsidRDefault="009D4C0F" w:rsidP="003D5B22">
            <w:pPr>
              <w:pStyle w:val="TableText0"/>
              <w:spacing w:line="256" w:lineRule="auto"/>
              <w:rPr>
                <w:color w:val="000000" w:themeColor="text1"/>
              </w:rPr>
            </w:pPr>
            <w:r w:rsidRPr="00211C8B">
              <w:rPr>
                <w:color w:val="000000" w:themeColor="text1"/>
              </w:rPr>
              <w:t>2) Ongoing pregnancy rate</w:t>
            </w:r>
            <w:r w:rsidRPr="00211C8B">
              <w:rPr>
                <w:color w:val="000000" w:themeColor="text1"/>
              </w:rPr>
              <w:br/>
              <w:t>3) Live birth rate</w:t>
            </w:r>
          </w:p>
        </w:tc>
      </w:tr>
      <w:tr w:rsidR="009D4C0F" w:rsidRPr="00211C8B" w14:paraId="1F65F09F" w14:textId="77777777" w:rsidTr="003D5B22">
        <w:tc>
          <w:tcPr>
            <w:tcW w:w="1668" w:type="dxa"/>
            <w:tcBorders>
              <w:top w:val="single" w:sz="4" w:space="0" w:color="auto"/>
              <w:left w:val="single" w:sz="4" w:space="0" w:color="auto"/>
              <w:bottom w:val="single" w:sz="4" w:space="0" w:color="auto"/>
              <w:right w:val="single" w:sz="4" w:space="0" w:color="auto"/>
            </w:tcBorders>
            <w:vAlign w:val="center"/>
            <w:hideMark/>
          </w:tcPr>
          <w:p w14:paraId="117641EC" w14:textId="77777777" w:rsidR="009D4C0F" w:rsidRPr="00211C8B" w:rsidRDefault="009D4C0F" w:rsidP="003D5B22">
            <w:pPr>
              <w:pStyle w:val="TableText0"/>
              <w:rPr>
                <w:color w:val="000000" w:themeColor="text1"/>
              </w:rPr>
            </w:pPr>
            <w:r w:rsidRPr="00211C8B">
              <w:rPr>
                <w:color w:val="000000" w:themeColor="text1"/>
              </w:rPr>
              <w:t>Clinical claim</w:t>
            </w:r>
          </w:p>
        </w:tc>
        <w:tc>
          <w:tcPr>
            <w:tcW w:w="7488" w:type="dxa"/>
            <w:tcBorders>
              <w:top w:val="single" w:sz="4" w:space="0" w:color="auto"/>
              <w:left w:val="single" w:sz="4" w:space="0" w:color="auto"/>
              <w:bottom w:val="single" w:sz="4" w:space="0" w:color="auto"/>
              <w:right w:val="single" w:sz="4" w:space="0" w:color="auto"/>
            </w:tcBorders>
            <w:vAlign w:val="center"/>
            <w:hideMark/>
          </w:tcPr>
          <w:p w14:paraId="00CBA42D" w14:textId="77777777" w:rsidR="009D4C0F" w:rsidRPr="00211C8B" w:rsidRDefault="00CD7E9A" w:rsidP="003D5B22">
            <w:pPr>
              <w:pStyle w:val="TableText0"/>
              <w:spacing w:line="256" w:lineRule="auto"/>
              <w:rPr>
                <w:color w:val="000000" w:themeColor="text1"/>
              </w:rPr>
            </w:pPr>
            <w:r w:rsidRPr="00211C8B">
              <w:t>The submission described Gonal-f as superior in terms of effectiveness for fertility treatment compared with biosimilar preparations of follitropin alfa and non-inferior in terms of safety compared to the biosimilars.</w:t>
            </w:r>
          </w:p>
        </w:tc>
      </w:tr>
    </w:tbl>
    <w:p w14:paraId="24CCC5ED" w14:textId="77777777" w:rsidR="009D4C0F" w:rsidRPr="00211C8B" w:rsidRDefault="009D4C0F" w:rsidP="009D4C0F">
      <w:pPr>
        <w:pStyle w:val="TableFigureFooter"/>
        <w:rPr>
          <w:color w:val="000000" w:themeColor="text1"/>
        </w:rPr>
      </w:pPr>
      <w:bookmarkStart w:id="10" w:name="_Hlk79412387"/>
      <w:r w:rsidRPr="00211C8B">
        <w:rPr>
          <w:color w:val="000000" w:themeColor="text1"/>
        </w:rPr>
        <w:t xml:space="preserve">Source: </w:t>
      </w:r>
      <w:r w:rsidR="00A713BB" w:rsidRPr="00211C8B">
        <w:t>Compiled</w:t>
      </w:r>
      <w:r w:rsidRPr="00211C8B">
        <w:t xml:space="preserve"> during the </w:t>
      </w:r>
      <w:r w:rsidR="00A713BB" w:rsidRPr="00211C8B">
        <w:t>evaluation</w:t>
      </w:r>
      <w:r w:rsidRPr="00211C8B">
        <w:t xml:space="preserve"> from </w:t>
      </w:r>
      <w:r w:rsidRPr="00211C8B">
        <w:rPr>
          <w:color w:val="000000" w:themeColor="text1"/>
        </w:rPr>
        <w:t>pp 11-12, 33 of the submission</w:t>
      </w:r>
      <w:r w:rsidR="0001556C">
        <w:rPr>
          <w:color w:val="000000" w:themeColor="text1"/>
        </w:rPr>
        <w:t xml:space="preserve">; </w:t>
      </w:r>
      <w:r w:rsidR="0001556C" w:rsidRPr="00211C8B">
        <w:rPr>
          <w:color w:val="000000" w:themeColor="text1"/>
          <w:szCs w:val="18"/>
        </w:rPr>
        <w:t>ART = assisted reproductive technology</w:t>
      </w:r>
      <w:r w:rsidRPr="00211C8B">
        <w:rPr>
          <w:color w:val="000000" w:themeColor="text1"/>
        </w:rPr>
        <w:t xml:space="preserve"> </w:t>
      </w:r>
    </w:p>
    <w:bookmarkEnd w:id="10"/>
    <w:p w14:paraId="5ED1E2FC" w14:textId="77777777" w:rsidR="007B29C2" w:rsidRPr="00211C8B" w:rsidRDefault="007B29C2" w:rsidP="00AF4651">
      <w:pPr>
        <w:pStyle w:val="3-BodyText"/>
        <w:numPr>
          <w:ilvl w:val="1"/>
          <w:numId w:val="4"/>
        </w:numPr>
      </w:pPr>
      <w:r w:rsidRPr="00211C8B">
        <w:t>Additionally, the submission requested that Gonal-f should not be marked as equivalent to Ovaleap in the Pharmaceutical Benefits Scheme (PBS) Schedule (‘a-</w:t>
      </w:r>
      <w:r w:rsidR="00AD7870" w:rsidRPr="00211C8B">
        <w:t> </w:t>
      </w:r>
      <w:r w:rsidRPr="00211C8B">
        <w:t>flagged’) for the purpose of substitution by the pharmacist at the point of dispensing</w:t>
      </w:r>
      <w:r w:rsidR="005E59C2" w:rsidRPr="00211C8B">
        <w:t>.</w:t>
      </w:r>
    </w:p>
    <w:p w14:paraId="34FDC37D" w14:textId="77777777" w:rsidR="009D4C0F" w:rsidRPr="00211C8B" w:rsidRDefault="009D4C0F" w:rsidP="00943FFD">
      <w:pPr>
        <w:pStyle w:val="2-SectionHeading"/>
      </w:pPr>
      <w:bookmarkStart w:id="11" w:name="_Toc79702735"/>
      <w:bookmarkStart w:id="12" w:name="_Toc82610352"/>
      <w:r w:rsidRPr="00211C8B">
        <w:lastRenderedPageBreak/>
        <w:t>Background</w:t>
      </w:r>
      <w:bookmarkEnd w:id="11"/>
      <w:bookmarkEnd w:id="12"/>
    </w:p>
    <w:p w14:paraId="06415DCB" w14:textId="77777777" w:rsidR="009D4C0F" w:rsidRPr="00211C8B" w:rsidRDefault="009D4C0F" w:rsidP="009D4C0F">
      <w:pPr>
        <w:pStyle w:val="4-SubsectionHeading"/>
      </w:pPr>
      <w:bookmarkStart w:id="13" w:name="_Toc22897638"/>
      <w:bookmarkStart w:id="14" w:name="_Toc79702736"/>
      <w:bookmarkStart w:id="15" w:name="_Toc82610353"/>
      <w:r w:rsidRPr="00211C8B">
        <w:t>Registration status</w:t>
      </w:r>
      <w:bookmarkEnd w:id="13"/>
      <w:bookmarkEnd w:id="14"/>
      <w:bookmarkEnd w:id="15"/>
    </w:p>
    <w:p w14:paraId="14B7DDE2" w14:textId="3CA936D9" w:rsidR="009D4C0F" w:rsidRPr="00211C8B" w:rsidRDefault="00907340" w:rsidP="00286BF1">
      <w:pPr>
        <w:pStyle w:val="3-BodyText"/>
      </w:pPr>
      <w:r w:rsidRPr="00211C8B">
        <w:t>Gonal-f</w:t>
      </w:r>
      <w:r w:rsidR="009D4C0F" w:rsidRPr="00211C8B">
        <w:t xml:space="preserve"> was approved and registered by the </w:t>
      </w:r>
      <w:r w:rsidR="00824714" w:rsidRPr="00211C8B">
        <w:t>Therapeutic Goods Administration (</w:t>
      </w:r>
      <w:r w:rsidR="009D4C0F" w:rsidRPr="00211C8B">
        <w:t>TGA</w:t>
      </w:r>
      <w:r w:rsidR="00824714" w:rsidRPr="00211C8B">
        <w:t>)</w:t>
      </w:r>
      <w:r w:rsidR="009D4C0F" w:rsidRPr="00211C8B">
        <w:t xml:space="preserve"> in 1998 for the following indications</w:t>
      </w:r>
      <w:r w:rsidR="006B74EB">
        <w:t xml:space="preserve"> for</w:t>
      </w:r>
      <w:r w:rsidR="009D4C0F" w:rsidRPr="00211C8B">
        <w:t>:</w:t>
      </w:r>
    </w:p>
    <w:p w14:paraId="6CC7F639" w14:textId="76F98EF5" w:rsidR="009D4C0F" w:rsidRPr="00211C8B" w:rsidRDefault="009D4C0F" w:rsidP="00AF4651">
      <w:pPr>
        <w:pStyle w:val="ListParagraph"/>
        <w:numPr>
          <w:ilvl w:val="0"/>
          <w:numId w:val="2"/>
        </w:numPr>
        <w:jc w:val="both"/>
      </w:pPr>
      <w:r w:rsidRPr="00211C8B">
        <w:t>the treatment of anovulatory infertility in women who have been unresponsive to clomiphene citrate or where clomiphene citrate is contraindicated</w:t>
      </w:r>
    </w:p>
    <w:p w14:paraId="4E3DE1B7" w14:textId="651E3B22" w:rsidR="009D4C0F" w:rsidRPr="00211C8B" w:rsidRDefault="009D4C0F" w:rsidP="00AF4651">
      <w:pPr>
        <w:pStyle w:val="ListParagraph"/>
        <w:numPr>
          <w:ilvl w:val="0"/>
          <w:numId w:val="2"/>
        </w:numPr>
        <w:jc w:val="both"/>
      </w:pPr>
      <w:r w:rsidRPr="00211C8B">
        <w:t>controlled ovarian hyperstimulation in women undergoing assist reproductive technologies</w:t>
      </w:r>
    </w:p>
    <w:p w14:paraId="370910CF" w14:textId="23355D69" w:rsidR="009D4C0F" w:rsidRPr="00211C8B" w:rsidRDefault="009D4C0F" w:rsidP="00AF4651">
      <w:pPr>
        <w:pStyle w:val="ListParagraph"/>
        <w:numPr>
          <w:ilvl w:val="0"/>
          <w:numId w:val="2"/>
        </w:numPr>
        <w:jc w:val="both"/>
      </w:pPr>
      <w:r w:rsidRPr="00211C8B">
        <w:t>use with concomitant human chorionic gonadotrophin (hCG) therapy for the stimulation of spermatogenesis in gonadotrophin-deficient men in whom hCG alone is ineffective.</w:t>
      </w:r>
    </w:p>
    <w:p w14:paraId="71D69B2E" w14:textId="77777777" w:rsidR="007B29C2" w:rsidRPr="00211C8B" w:rsidRDefault="007B29C2" w:rsidP="007B29C2">
      <w:pPr>
        <w:pStyle w:val="4-SubsectionHeading"/>
      </w:pPr>
      <w:bookmarkStart w:id="16" w:name="_Toc82610354"/>
      <w:r w:rsidRPr="00211C8B">
        <w:t>Previous PBAC consideration</w:t>
      </w:r>
      <w:bookmarkEnd w:id="16"/>
    </w:p>
    <w:p w14:paraId="510C2693" w14:textId="77777777" w:rsidR="007B29C2" w:rsidRPr="00211C8B" w:rsidRDefault="007B29C2" w:rsidP="00943FFD">
      <w:pPr>
        <w:pStyle w:val="3-BodyText"/>
      </w:pPr>
      <w:r w:rsidRPr="00211C8B">
        <w:t>The originator brand of follitropin alfa, Gonal-f, was consider</w:t>
      </w:r>
      <w:r w:rsidR="005D0F82" w:rsidRPr="00211C8B">
        <w:t>ed by the PBAC in December 1997</w:t>
      </w:r>
      <w:r w:rsidRPr="00211C8B">
        <w:t xml:space="preserve"> and listed on 1 April 1998.</w:t>
      </w:r>
    </w:p>
    <w:p w14:paraId="5A30C0C6" w14:textId="77777777" w:rsidR="007B29C2" w:rsidRPr="00211C8B" w:rsidRDefault="00790BC7" w:rsidP="00943FFD">
      <w:pPr>
        <w:pStyle w:val="3-BodyText"/>
      </w:pPr>
      <w:r w:rsidRPr="00211C8B">
        <w:t>Bemfola, the first follitropin alfa biosimilar</w:t>
      </w:r>
      <w:r w:rsidR="0077654A">
        <w:t xml:space="preserve"> </w:t>
      </w:r>
      <w:r w:rsidR="00810C8B">
        <w:t>drug</w:t>
      </w:r>
      <w:r w:rsidRPr="00211C8B">
        <w:t xml:space="preserve">, was recommended at </w:t>
      </w:r>
      <w:r w:rsidR="004E6BF4" w:rsidRPr="00211C8B">
        <w:t xml:space="preserve">the March 2016 </w:t>
      </w:r>
      <w:r w:rsidR="00F76FBA" w:rsidRPr="00211C8B">
        <w:t xml:space="preserve">PBAC </w:t>
      </w:r>
      <w:r w:rsidRPr="00211C8B">
        <w:t>meeting and listed on 1 August 2016.</w:t>
      </w:r>
      <w:r w:rsidR="00810C8B">
        <w:t xml:space="preserve"> </w:t>
      </w:r>
      <w:r w:rsidR="007234AE">
        <w:t>T</w:t>
      </w:r>
      <w:r w:rsidR="007234AE" w:rsidRPr="00211C8B">
        <w:t xml:space="preserve">he PBAC advised that the Gonal-f and Bemfola brands of follitropin alfa could not be marked as equivalent (“a” flagged) for the purposes of substitution, primarily due to differences in the strengths, number of pens per pack and maximum quantities between the brands which make substitution at the </w:t>
      </w:r>
      <w:r w:rsidR="007234AE">
        <w:t>point of dispensing im</w:t>
      </w:r>
      <w:r w:rsidR="007234AE" w:rsidRPr="00211C8B">
        <w:t>practical.</w:t>
      </w:r>
    </w:p>
    <w:p w14:paraId="1B6050F0" w14:textId="77777777" w:rsidR="007B29C2" w:rsidRPr="00211C8B" w:rsidRDefault="003C61F8" w:rsidP="00943FFD">
      <w:pPr>
        <w:pStyle w:val="3-BodyText"/>
      </w:pPr>
      <w:r w:rsidRPr="00211C8B">
        <w:t xml:space="preserve">Ovaleap, </w:t>
      </w:r>
      <w:r w:rsidR="00810C8B">
        <w:t xml:space="preserve">a second follitropin alfa </w:t>
      </w:r>
      <w:r w:rsidR="00F14E3C">
        <w:t xml:space="preserve">biosimilar </w:t>
      </w:r>
      <w:r w:rsidR="00810C8B">
        <w:t>drug</w:t>
      </w:r>
      <w:r w:rsidRPr="00211C8B">
        <w:t xml:space="preserve">, was recommended at the </w:t>
      </w:r>
      <w:r w:rsidR="007B29C2" w:rsidRPr="00211C8B">
        <w:t>July 2021</w:t>
      </w:r>
      <w:r w:rsidR="00F76FBA" w:rsidRPr="00211C8B">
        <w:t xml:space="preserve"> PBAC</w:t>
      </w:r>
      <w:r w:rsidR="007B29C2" w:rsidRPr="00211C8B">
        <w:t xml:space="preserve"> meeting</w:t>
      </w:r>
      <w:r w:rsidRPr="00211C8B">
        <w:t>.</w:t>
      </w:r>
      <w:r w:rsidR="00810C8B">
        <w:t xml:space="preserve"> </w:t>
      </w:r>
      <w:r w:rsidR="0077654A">
        <w:t>The PBAC considered Ovaleap</w:t>
      </w:r>
      <w:r w:rsidR="00810C8B">
        <w:t xml:space="preserve"> as equivalent for the purposes of substitution with Gonal-F</w:t>
      </w:r>
      <w:r w:rsidR="007234AE">
        <w:t xml:space="preserve"> as the issues applying to Bemfola do not apply to Ovaleap</w:t>
      </w:r>
      <w:r w:rsidR="00810C8B">
        <w:t>.</w:t>
      </w:r>
    </w:p>
    <w:p w14:paraId="590DB4F8" w14:textId="77777777" w:rsidR="009D4C0F" w:rsidRPr="00211C8B" w:rsidRDefault="009D4C0F" w:rsidP="00943FFD">
      <w:pPr>
        <w:pStyle w:val="2-SectionHeading"/>
      </w:pPr>
      <w:bookmarkStart w:id="17" w:name="_Toc79702737"/>
      <w:bookmarkStart w:id="18" w:name="_Toc82610355"/>
      <w:r w:rsidRPr="00211C8B">
        <w:t>Requested listing</w:t>
      </w:r>
      <w:bookmarkEnd w:id="17"/>
      <w:bookmarkEnd w:id="18"/>
    </w:p>
    <w:tbl>
      <w:tblPr>
        <w:tblW w:w="4977" w:type="pct"/>
        <w:tblInd w:w="28" w:type="dxa"/>
        <w:tblCellMar>
          <w:left w:w="28" w:type="dxa"/>
          <w:right w:w="28" w:type="dxa"/>
        </w:tblCellMar>
        <w:tblLook w:val="0000" w:firstRow="0" w:lastRow="0" w:firstColumn="0" w:lastColumn="0" w:noHBand="0" w:noVBand="0"/>
      </w:tblPr>
      <w:tblGrid>
        <w:gridCol w:w="1532"/>
        <w:gridCol w:w="1558"/>
        <w:gridCol w:w="852"/>
        <w:gridCol w:w="850"/>
        <w:gridCol w:w="1844"/>
        <w:gridCol w:w="1138"/>
        <w:gridCol w:w="1211"/>
      </w:tblGrid>
      <w:tr w:rsidR="009D4C0F" w:rsidRPr="00211C8B" w14:paraId="089B85A8" w14:textId="77777777" w:rsidTr="00F14E3C">
        <w:trPr>
          <w:cantSplit/>
          <w:trHeight w:val="463"/>
        </w:trPr>
        <w:tc>
          <w:tcPr>
            <w:tcW w:w="1720" w:type="pct"/>
            <w:gridSpan w:val="2"/>
            <w:tcBorders>
              <w:top w:val="single" w:sz="4" w:space="0" w:color="auto"/>
              <w:bottom w:val="single" w:sz="4" w:space="0" w:color="auto"/>
            </w:tcBorders>
            <w:vAlign w:val="center"/>
          </w:tcPr>
          <w:p w14:paraId="7DE46741" w14:textId="77777777" w:rsidR="009D4C0F" w:rsidRPr="00211C8B" w:rsidRDefault="009D4C0F" w:rsidP="003D5B22">
            <w:pPr>
              <w:keepNext/>
              <w:jc w:val="left"/>
              <w:rPr>
                <w:rFonts w:ascii="Arial Narrow" w:hAnsi="Arial Narrow"/>
                <w:b/>
                <w:sz w:val="20"/>
              </w:rPr>
            </w:pPr>
            <w:r w:rsidRPr="00211C8B">
              <w:rPr>
                <w:rFonts w:ascii="Arial Narrow" w:hAnsi="Arial Narrow"/>
                <w:b/>
                <w:sz w:val="20"/>
              </w:rPr>
              <w:t>Name, Restriction,</w:t>
            </w:r>
          </w:p>
          <w:p w14:paraId="3E5A2EA9" w14:textId="77777777" w:rsidR="009D4C0F" w:rsidRPr="00211C8B" w:rsidRDefault="009D4C0F" w:rsidP="003D5B22">
            <w:pPr>
              <w:keepNext/>
              <w:jc w:val="left"/>
              <w:rPr>
                <w:rFonts w:ascii="Arial Narrow" w:hAnsi="Arial Narrow"/>
                <w:b/>
                <w:sz w:val="20"/>
              </w:rPr>
            </w:pPr>
            <w:r w:rsidRPr="00211C8B">
              <w:rPr>
                <w:rFonts w:ascii="Arial Narrow" w:hAnsi="Arial Narrow"/>
                <w:b/>
                <w:sz w:val="20"/>
              </w:rPr>
              <w:t>Manner of administration and form</w:t>
            </w:r>
          </w:p>
        </w:tc>
        <w:tc>
          <w:tcPr>
            <w:tcW w:w="474" w:type="pct"/>
            <w:tcBorders>
              <w:top w:val="single" w:sz="4" w:space="0" w:color="auto"/>
              <w:bottom w:val="single" w:sz="4" w:space="0" w:color="auto"/>
            </w:tcBorders>
            <w:vAlign w:val="center"/>
          </w:tcPr>
          <w:p w14:paraId="24BCE196" w14:textId="77777777" w:rsidR="009D4C0F" w:rsidRPr="00211C8B" w:rsidRDefault="009D4C0F" w:rsidP="003D5B22">
            <w:pPr>
              <w:keepNext/>
              <w:jc w:val="center"/>
              <w:rPr>
                <w:rFonts w:ascii="Arial Narrow" w:hAnsi="Arial Narrow"/>
                <w:b/>
                <w:sz w:val="20"/>
              </w:rPr>
            </w:pPr>
            <w:r w:rsidRPr="00211C8B">
              <w:rPr>
                <w:rFonts w:ascii="Arial Narrow" w:hAnsi="Arial Narrow"/>
                <w:b/>
                <w:sz w:val="20"/>
              </w:rPr>
              <w:t>Max.</w:t>
            </w:r>
          </w:p>
          <w:p w14:paraId="7D27094F" w14:textId="77777777" w:rsidR="009D4C0F" w:rsidRPr="00211C8B" w:rsidRDefault="009D4C0F" w:rsidP="00785F8F">
            <w:pPr>
              <w:keepNext/>
              <w:jc w:val="center"/>
              <w:rPr>
                <w:rFonts w:ascii="Arial Narrow" w:hAnsi="Arial Narrow"/>
                <w:b/>
                <w:sz w:val="20"/>
              </w:rPr>
            </w:pPr>
            <w:r w:rsidRPr="00211C8B">
              <w:rPr>
                <w:rFonts w:ascii="Arial Narrow" w:hAnsi="Arial Narrow"/>
                <w:b/>
                <w:sz w:val="20"/>
              </w:rPr>
              <w:t xml:space="preserve">Qty </w:t>
            </w:r>
          </w:p>
        </w:tc>
        <w:tc>
          <w:tcPr>
            <w:tcW w:w="473" w:type="pct"/>
            <w:tcBorders>
              <w:top w:val="single" w:sz="4" w:space="0" w:color="auto"/>
              <w:bottom w:val="single" w:sz="4" w:space="0" w:color="auto"/>
            </w:tcBorders>
            <w:vAlign w:val="center"/>
          </w:tcPr>
          <w:p w14:paraId="5D9D2963" w14:textId="77777777" w:rsidR="009D4C0F" w:rsidRPr="00211C8B" w:rsidRDefault="009D4C0F" w:rsidP="003D5B22">
            <w:pPr>
              <w:keepNext/>
              <w:jc w:val="center"/>
              <w:rPr>
                <w:rFonts w:ascii="Arial Narrow" w:hAnsi="Arial Narrow"/>
                <w:b/>
                <w:sz w:val="20"/>
              </w:rPr>
            </w:pPr>
            <w:r w:rsidRPr="00211C8B">
              <w:rPr>
                <w:rFonts w:ascii="Arial Narrow" w:hAnsi="Arial Narrow" w:cs="Times New Roman"/>
                <w:b/>
                <w:sz w:val="20"/>
              </w:rPr>
              <w:t>№</w:t>
            </w:r>
            <w:r w:rsidRPr="00211C8B">
              <w:rPr>
                <w:rFonts w:ascii="Arial Narrow" w:hAnsi="Arial Narrow"/>
                <w:b/>
                <w:sz w:val="20"/>
              </w:rPr>
              <w:t>.of</w:t>
            </w:r>
          </w:p>
          <w:p w14:paraId="7149A762" w14:textId="77777777" w:rsidR="009D4C0F" w:rsidRPr="00211C8B" w:rsidRDefault="009D4C0F" w:rsidP="003D5B22">
            <w:pPr>
              <w:keepNext/>
              <w:jc w:val="center"/>
              <w:rPr>
                <w:rFonts w:ascii="Arial Narrow" w:hAnsi="Arial Narrow"/>
                <w:b/>
                <w:sz w:val="20"/>
              </w:rPr>
            </w:pPr>
            <w:r w:rsidRPr="00211C8B">
              <w:rPr>
                <w:rFonts w:ascii="Arial Narrow" w:hAnsi="Arial Narrow"/>
                <w:b/>
                <w:sz w:val="20"/>
              </w:rPr>
              <w:t>Rpts</w:t>
            </w:r>
          </w:p>
        </w:tc>
        <w:tc>
          <w:tcPr>
            <w:tcW w:w="1026" w:type="pct"/>
            <w:tcBorders>
              <w:top w:val="single" w:sz="4" w:space="0" w:color="auto"/>
              <w:bottom w:val="single" w:sz="4" w:space="0" w:color="auto"/>
            </w:tcBorders>
            <w:vAlign w:val="center"/>
          </w:tcPr>
          <w:p w14:paraId="31A75470" w14:textId="77777777" w:rsidR="009D4C0F" w:rsidRPr="00211C8B" w:rsidRDefault="009D4C0F" w:rsidP="00785F8F">
            <w:pPr>
              <w:keepNext/>
              <w:jc w:val="center"/>
              <w:rPr>
                <w:rFonts w:ascii="Arial Narrow" w:hAnsi="Arial Narrow"/>
                <w:b/>
                <w:sz w:val="20"/>
              </w:rPr>
            </w:pPr>
            <w:r w:rsidRPr="00211C8B">
              <w:rPr>
                <w:rFonts w:ascii="Arial Narrow" w:hAnsi="Arial Narrow"/>
                <w:b/>
                <w:sz w:val="20"/>
              </w:rPr>
              <w:t>Dispensed Price for Max. Qty</w:t>
            </w:r>
          </w:p>
        </w:tc>
        <w:tc>
          <w:tcPr>
            <w:tcW w:w="1307" w:type="pct"/>
            <w:gridSpan w:val="2"/>
            <w:tcBorders>
              <w:top w:val="single" w:sz="4" w:space="0" w:color="auto"/>
              <w:bottom w:val="single" w:sz="4" w:space="0" w:color="auto"/>
            </w:tcBorders>
            <w:vAlign w:val="center"/>
          </w:tcPr>
          <w:p w14:paraId="7B5F0DA6" w14:textId="77777777" w:rsidR="009D4C0F" w:rsidRPr="00211C8B" w:rsidRDefault="009D4C0F" w:rsidP="003D5B22">
            <w:pPr>
              <w:keepNext/>
              <w:jc w:val="center"/>
              <w:rPr>
                <w:rFonts w:ascii="Arial Narrow" w:hAnsi="Arial Narrow"/>
                <w:b/>
                <w:sz w:val="20"/>
              </w:rPr>
            </w:pPr>
            <w:r w:rsidRPr="00211C8B">
              <w:rPr>
                <w:rFonts w:ascii="Arial Narrow" w:hAnsi="Arial Narrow"/>
                <w:b/>
                <w:sz w:val="20"/>
              </w:rPr>
              <w:t>Proprietary Name and Manufacturer</w:t>
            </w:r>
          </w:p>
        </w:tc>
      </w:tr>
      <w:tr w:rsidR="003B69E4" w:rsidRPr="00211C8B" w14:paraId="1B9378AE" w14:textId="77777777" w:rsidTr="00F14E3C">
        <w:trPr>
          <w:cantSplit/>
          <w:trHeight w:val="567"/>
        </w:trPr>
        <w:tc>
          <w:tcPr>
            <w:tcW w:w="1720" w:type="pct"/>
            <w:gridSpan w:val="2"/>
            <w:vAlign w:val="center"/>
          </w:tcPr>
          <w:p w14:paraId="51632452" w14:textId="77777777" w:rsidR="003B69E4" w:rsidRPr="00211C8B" w:rsidRDefault="003B69E4" w:rsidP="003D5B22">
            <w:pPr>
              <w:pStyle w:val="TableText0"/>
            </w:pPr>
            <w:r w:rsidRPr="00211C8B">
              <w:t>follitropin alfa, injection, 300iu</w:t>
            </w:r>
          </w:p>
          <w:p w14:paraId="637530A8" w14:textId="77777777" w:rsidR="003B69E4" w:rsidRPr="00211C8B" w:rsidRDefault="003B69E4" w:rsidP="003D5B22">
            <w:pPr>
              <w:keepNext/>
              <w:jc w:val="left"/>
              <w:rPr>
                <w:rFonts w:ascii="Arial Narrow" w:eastAsiaTheme="majorEastAsia" w:hAnsi="Arial Narrow" w:cstheme="majorBidi"/>
                <w:bCs/>
                <w:sz w:val="20"/>
              </w:rPr>
            </w:pPr>
            <w:r w:rsidRPr="00211C8B">
              <w:rPr>
                <w:rFonts w:ascii="Arial Narrow" w:eastAsiaTheme="majorEastAsia" w:hAnsi="Arial Narrow" w:cstheme="majorBidi"/>
                <w:bCs/>
                <w:sz w:val="20"/>
              </w:rPr>
              <w:t>0.5mL pen device</w:t>
            </w:r>
          </w:p>
        </w:tc>
        <w:tc>
          <w:tcPr>
            <w:tcW w:w="474" w:type="pct"/>
            <w:vAlign w:val="center"/>
          </w:tcPr>
          <w:p w14:paraId="21D89931" w14:textId="77777777" w:rsidR="003B69E4" w:rsidRPr="00211C8B" w:rsidRDefault="003B69E4" w:rsidP="003D5B22">
            <w:pPr>
              <w:keepNext/>
              <w:jc w:val="center"/>
              <w:rPr>
                <w:rFonts w:ascii="Arial Narrow" w:eastAsiaTheme="majorEastAsia" w:hAnsi="Arial Narrow" w:cstheme="majorBidi"/>
                <w:bCs/>
                <w:sz w:val="20"/>
              </w:rPr>
            </w:pPr>
            <w:r w:rsidRPr="00211C8B">
              <w:rPr>
                <w:rFonts w:ascii="Arial Narrow" w:eastAsiaTheme="majorEastAsia" w:hAnsi="Arial Narrow" w:cstheme="majorBidi"/>
                <w:bCs/>
                <w:sz w:val="20"/>
              </w:rPr>
              <w:t>2</w:t>
            </w:r>
          </w:p>
        </w:tc>
        <w:tc>
          <w:tcPr>
            <w:tcW w:w="473" w:type="pct"/>
            <w:vAlign w:val="center"/>
          </w:tcPr>
          <w:p w14:paraId="0D799F75" w14:textId="77777777" w:rsidR="003B69E4" w:rsidRPr="00211C8B" w:rsidRDefault="003B69E4" w:rsidP="003D5B22">
            <w:pPr>
              <w:keepNext/>
              <w:jc w:val="center"/>
              <w:rPr>
                <w:rFonts w:ascii="Arial Narrow" w:eastAsiaTheme="majorEastAsia" w:hAnsi="Arial Narrow" w:cstheme="majorBidi"/>
                <w:bCs/>
                <w:sz w:val="20"/>
              </w:rPr>
            </w:pPr>
            <w:r w:rsidRPr="00211C8B">
              <w:rPr>
                <w:rFonts w:ascii="Arial Narrow" w:eastAsiaTheme="majorEastAsia" w:hAnsi="Arial Narrow" w:cstheme="majorBidi"/>
                <w:bCs/>
                <w:sz w:val="20"/>
              </w:rPr>
              <w:t>0</w:t>
            </w:r>
          </w:p>
        </w:tc>
        <w:tc>
          <w:tcPr>
            <w:tcW w:w="1026" w:type="pct"/>
            <w:vAlign w:val="center"/>
          </w:tcPr>
          <w:p w14:paraId="0DE6F6E4" w14:textId="77777777" w:rsidR="003B69E4" w:rsidRPr="00211C8B" w:rsidRDefault="003B69E4" w:rsidP="003D5B22">
            <w:pPr>
              <w:pStyle w:val="TableText0"/>
            </w:pPr>
            <w:r w:rsidRPr="00211C8B">
              <w:t xml:space="preserve">Current $234.84 Requested </w:t>
            </w:r>
            <w:r w:rsidRPr="00211C8B">
              <w:rPr>
                <w:bCs w:val="0"/>
              </w:rPr>
              <w:t>$</w:t>
            </w:r>
            <w:r w:rsidR="00E70F00">
              <w:rPr>
                <w:bCs w:val="0"/>
                <w:noProof/>
                <w:color w:val="000000"/>
                <w:highlight w:val="black"/>
              </w:rPr>
              <w:t>''''''''''''''''''</w:t>
            </w:r>
            <w:r w:rsidRPr="00211C8B">
              <w:rPr>
                <w:bCs w:val="0"/>
              </w:rPr>
              <w:t xml:space="preserve"> </w:t>
            </w:r>
          </w:p>
        </w:tc>
        <w:tc>
          <w:tcPr>
            <w:tcW w:w="633" w:type="pct"/>
            <w:vMerge w:val="restart"/>
            <w:vAlign w:val="center"/>
          </w:tcPr>
          <w:p w14:paraId="709A42D2" w14:textId="77777777" w:rsidR="003B69E4" w:rsidRPr="00211C8B" w:rsidRDefault="003B69E4" w:rsidP="00784247">
            <w:pPr>
              <w:keepNext/>
              <w:jc w:val="center"/>
              <w:rPr>
                <w:rFonts w:ascii="Arial Narrow" w:eastAsiaTheme="majorEastAsia" w:hAnsi="Arial Narrow" w:cstheme="majorBidi"/>
                <w:bCs/>
                <w:sz w:val="20"/>
              </w:rPr>
            </w:pPr>
            <w:r w:rsidRPr="00211C8B">
              <w:rPr>
                <w:rFonts w:ascii="Arial Narrow" w:eastAsiaTheme="majorEastAsia" w:hAnsi="Arial Narrow" w:cstheme="majorBidi"/>
                <w:bCs/>
                <w:sz w:val="20"/>
              </w:rPr>
              <w:t>Gonal-f Pen</w:t>
            </w:r>
          </w:p>
        </w:tc>
        <w:tc>
          <w:tcPr>
            <w:tcW w:w="674" w:type="pct"/>
            <w:vMerge w:val="restart"/>
            <w:vAlign w:val="center"/>
          </w:tcPr>
          <w:p w14:paraId="690262C1" w14:textId="77777777" w:rsidR="003B69E4" w:rsidRPr="00211C8B" w:rsidRDefault="003B69E4" w:rsidP="00784247">
            <w:pPr>
              <w:keepNext/>
              <w:jc w:val="center"/>
              <w:rPr>
                <w:rFonts w:ascii="Arial Narrow" w:eastAsiaTheme="majorEastAsia" w:hAnsi="Arial Narrow" w:cstheme="majorBidi"/>
                <w:bCs/>
                <w:sz w:val="20"/>
              </w:rPr>
            </w:pPr>
            <w:r w:rsidRPr="00211C8B">
              <w:rPr>
                <w:rFonts w:ascii="Arial Narrow" w:eastAsiaTheme="majorEastAsia" w:hAnsi="Arial Narrow" w:cstheme="majorBidi"/>
                <w:bCs/>
                <w:sz w:val="20"/>
              </w:rPr>
              <w:t>Merck Healthcare Australia Pty Ltd</w:t>
            </w:r>
          </w:p>
        </w:tc>
      </w:tr>
      <w:tr w:rsidR="003B69E4" w:rsidRPr="00211C8B" w14:paraId="6E443629" w14:textId="77777777" w:rsidTr="00F14E3C">
        <w:trPr>
          <w:cantSplit/>
          <w:trHeight w:val="567"/>
        </w:trPr>
        <w:tc>
          <w:tcPr>
            <w:tcW w:w="1720" w:type="pct"/>
            <w:gridSpan w:val="2"/>
            <w:vAlign w:val="center"/>
          </w:tcPr>
          <w:p w14:paraId="03897AA4" w14:textId="77777777" w:rsidR="003B69E4" w:rsidRPr="00211C8B" w:rsidRDefault="003B69E4" w:rsidP="003D5B22">
            <w:pPr>
              <w:pStyle w:val="TableText0"/>
            </w:pPr>
            <w:r w:rsidRPr="00211C8B">
              <w:t>follitropin alfa, injection, 450iu</w:t>
            </w:r>
          </w:p>
          <w:p w14:paraId="4C32875F" w14:textId="77777777" w:rsidR="003B69E4" w:rsidRPr="00211C8B" w:rsidRDefault="003B69E4" w:rsidP="003D5B22">
            <w:pPr>
              <w:keepNext/>
              <w:jc w:val="left"/>
              <w:rPr>
                <w:rFonts w:ascii="Arial Narrow" w:eastAsiaTheme="majorEastAsia" w:hAnsi="Arial Narrow" w:cstheme="majorBidi"/>
                <w:bCs/>
                <w:sz w:val="20"/>
              </w:rPr>
            </w:pPr>
            <w:r w:rsidRPr="00211C8B">
              <w:rPr>
                <w:rFonts w:ascii="Arial Narrow" w:eastAsiaTheme="majorEastAsia" w:hAnsi="Arial Narrow" w:cstheme="majorBidi"/>
                <w:bCs/>
                <w:sz w:val="20"/>
              </w:rPr>
              <w:t>0.75mL pen device</w:t>
            </w:r>
          </w:p>
        </w:tc>
        <w:tc>
          <w:tcPr>
            <w:tcW w:w="474" w:type="pct"/>
            <w:vAlign w:val="center"/>
          </w:tcPr>
          <w:p w14:paraId="49801E47" w14:textId="77777777" w:rsidR="003B69E4" w:rsidRPr="00211C8B" w:rsidRDefault="003B69E4" w:rsidP="003D5B22">
            <w:pPr>
              <w:keepNext/>
              <w:jc w:val="center"/>
              <w:rPr>
                <w:rFonts w:ascii="Arial Narrow" w:eastAsiaTheme="majorEastAsia" w:hAnsi="Arial Narrow" w:cstheme="majorBidi"/>
                <w:bCs/>
                <w:sz w:val="20"/>
              </w:rPr>
            </w:pPr>
            <w:r w:rsidRPr="00211C8B">
              <w:rPr>
                <w:rFonts w:ascii="Arial Narrow" w:eastAsiaTheme="majorEastAsia" w:hAnsi="Arial Narrow" w:cstheme="majorBidi"/>
                <w:bCs/>
                <w:sz w:val="20"/>
              </w:rPr>
              <w:t>2</w:t>
            </w:r>
          </w:p>
        </w:tc>
        <w:tc>
          <w:tcPr>
            <w:tcW w:w="473" w:type="pct"/>
            <w:vAlign w:val="center"/>
          </w:tcPr>
          <w:p w14:paraId="531670AB" w14:textId="77777777" w:rsidR="003B69E4" w:rsidRPr="00211C8B" w:rsidRDefault="003B69E4" w:rsidP="003D5B22">
            <w:pPr>
              <w:keepNext/>
              <w:jc w:val="center"/>
              <w:rPr>
                <w:rFonts w:ascii="Arial Narrow" w:eastAsiaTheme="majorEastAsia" w:hAnsi="Arial Narrow" w:cstheme="majorBidi"/>
                <w:bCs/>
                <w:sz w:val="20"/>
              </w:rPr>
            </w:pPr>
            <w:r w:rsidRPr="00211C8B">
              <w:rPr>
                <w:rFonts w:ascii="Arial Narrow" w:eastAsiaTheme="majorEastAsia" w:hAnsi="Arial Narrow" w:cstheme="majorBidi"/>
                <w:bCs/>
                <w:sz w:val="20"/>
              </w:rPr>
              <w:t>0</w:t>
            </w:r>
          </w:p>
        </w:tc>
        <w:tc>
          <w:tcPr>
            <w:tcW w:w="1026" w:type="pct"/>
            <w:vAlign w:val="center"/>
          </w:tcPr>
          <w:p w14:paraId="1EED3906" w14:textId="77777777" w:rsidR="003B69E4" w:rsidRPr="00211C8B" w:rsidRDefault="003B69E4" w:rsidP="003D5B22">
            <w:pPr>
              <w:pStyle w:val="TableText0"/>
            </w:pPr>
            <w:r w:rsidRPr="00211C8B">
              <w:t xml:space="preserve">Current $348.36 Requested </w:t>
            </w:r>
            <w:r w:rsidRPr="00211C8B">
              <w:rPr>
                <w:bCs w:val="0"/>
              </w:rPr>
              <w:t>$</w:t>
            </w:r>
            <w:r w:rsidR="00E70F00">
              <w:rPr>
                <w:bCs w:val="0"/>
                <w:noProof/>
                <w:color w:val="000000"/>
                <w:highlight w:val="black"/>
              </w:rPr>
              <w:t>'''''''''''''''</w:t>
            </w:r>
            <w:r w:rsidRPr="00211C8B">
              <w:rPr>
                <w:bCs w:val="0"/>
              </w:rPr>
              <w:t xml:space="preserve"> </w:t>
            </w:r>
          </w:p>
        </w:tc>
        <w:tc>
          <w:tcPr>
            <w:tcW w:w="633" w:type="pct"/>
            <w:vMerge/>
            <w:vAlign w:val="center"/>
          </w:tcPr>
          <w:p w14:paraId="0DB15A0C" w14:textId="77777777" w:rsidR="003B69E4" w:rsidRPr="00211C8B" w:rsidRDefault="003B69E4" w:rsidP="003D5B22">
            <w:pPr>
              <w:keepNext/>
              <w:jc w:val="center"/>
              <w:rPr>
                <w:rFonts w:ascii="Arial Narrow" w:eastAsiaTheme="majorEastAsia" w:hAnsi="Arial Narrow" w:cstheme="majorBidi"/>
                <w:bCs/>
                <w:sz w:val="20"/>
              </w:rPr>
            </w:pPr>
          </w:p>
        </w:tc>
        <w:tc>
          <w:tcPr>
            <w:tcW w:w="674" w:type="pct"/>
            <w:vMerge/>
            <w:vAlign w:val="center"/>
          </w:tcPr>
          <w:p w14:paraId="67D8410B" w14:textId="77777777" w:rsidR="003B69E4" w:rsidRPr="00211C8B" w:rsidRDefault="003B69E4" w:rsidP="003D5B22">
            <w:pPr>
              <w:keepNext/>
              <w:jc w:val="center"/>
              <w:rPr>
                <w:rFonts w:ascii="Arial Narrow" w:eastAsiaTheme="majorEastAsia" w:hAnsi="Arial Narrow" w:cstheme="majorBidi"/>
                <w:bCs/>
                <w:sz w:val="20"/>
              </w:rPr>
            </w:pPr>
          </w:p>
        </w:tc>
      </w:tr>
      <w:tr w:rsidR="003B69E4" w:rsidRPr="00211C8B" w14:paraId="67876D48" w14:textId="77777777" w:rsidTr="00F14E3C">
        <w:trPr>
          <w:cantSplit/>
          <w:trHeight w:val="567"/>
        </w:trPr>
        <w:tc>
          <w:tcPr>
            <w:tcW w:w="1720" w:type="pct"/>
            <w:gridSpan w:val="2"/>
            <w:vAlign w:val="center"/>
          </w:tcPr>
          <w:p w14:paraId="49DEA3B4" w14:textId="77777777" w:rsidR="003B69E4" w:rsidRPr="00211C8B" w:rsidRDefault="003B69E4" w:rsidP="003D5B22">
            <w:pPr>
              <w:pStyle w:val="TableText0"/>
            </w:pPr>
            <w:r w:rsidRPr="00211C8B">
              <w:t>follitropin alfa, injection, 900iu</w:t>
            </w:r>
          </w:p>
          <w:p w14:paraId="7D3AFDF0" w14:textId="77777777" w:rsidR="003B69E4" w:rsidRPr="00211C8B" w:rsidRDefault="003B69E4" w:rsidP="003D5B22">
            <w:pPr>
              <w:keepNext/>
              <w:jc w:val="left"/>
              <w:rPr>
                <w:rFonts w:ascii="Arial Narrow" w:eastAsiaTheme="majorEastAsia" w:hAnsi="Arial Narrow" w:cstheme="majorBidi"/>
                <w:bCs/>
                <w:sz w:val="20"/>
              </w:rPr>
            </w:pPr>
            <w:r w:rsidRPr="00211C8B">
              <w:rPr>
                <w:rFonts w:ascii="Arial Narrow" w:eastAsiaTheme="majorEastAsia" w:hAnsi="Arial Narrow" w:cstheme="majorBidi"/>
                <w:bCs/>
                <w:sz w:val="20"/>
              </w:rPr>
              <w:t>1.5mL pen device</w:t>
            </w:r>
          </w:p>
        </w:tc>
        <w:tc>
          <w:tcPr>
            <w:tcW w:w="474" w:type="pct"/>
            <w:vAlign w:val="center"/>
          </w:tcPr>
          <w:p w14:paraId="5B2CE050" w14:textId="77777777" w:rsidR="003B69E4" w:rsidRPr="00211C8B" w:rsidRDefault="003B69E4" w:rsidP="003D5B22">
            <w:pPr>
              <w:keepNext/>
              <w:jc w:val="center"/>
              <w:rPr>
                <w:rFonts w:ascii="Arial Narrow" w:eastAsiaTheme="majorEastAsia" w:hAnsi="Arial Narrow" w:cstheme="majorBidi"/>
                <w:bCs/>
                <w:sz w:val="20"/>
              </w:rPr>
            </w:pPr>
            <w:r w:rsidRPr="00211C8B">
              <w:rPr>
                <w:rFonts w:ascii="Arial Narrow" w:eastAsiaTheme="majorEastAsia" w:hAnsi="Arial Narrow" w:cstheme="majorBidi"/>
                <w:bCs/>
                <w:sz w:val="20"/>
              </w:rPr>
              <w:t>5</w:t>
            </w:r>
          </w:p>
        </w:tc>
        <w:tc>
          <w:tcPr>
            <w:tcW w:w="473" w:type="pct"/>
            <w:vAlign w:val="center"/>
          </w:tcPr>
          <w:p w14:paraId="63A64E47" w14:textId="77777777" w:rsidR="003B69E4" w:rsidRPr="00211C8B" w:rsidRDefault="003B69E4" w:rsidP="003D5B22">
            <w:pPr>
              <w:keepNext/>
              <w:jc w:val="center"/>
              <w:rPr>
                <w:rFonts w:ascii="Arial Narrow" w:eastAsiaTheme="majorEastAsia" w:hAnsi="Arial Narrow" w:cstheme="majorBidi"/>
                <w:bCs/>
                <w:sz w:val="20"/>
              </w:rPr>
            </w:pPr>
            <w:r w:rsidRPr="00211C8B">
              <w:rPr>
                <w:rFonts w:ascii="Arial Narrow" w:eastAsiaTheme="majorEastAsia" w:hAnsi="Arial Narrow" w:cstheme="majorBidi"/>
                <w:bCs/>
                <w:sz w:val="20"/>
              </w:rPr>
              <w:t>0</w:t>
            </w:r>
          </w:p>
        </w:tc>
        <w:tc>
          <w:tcPr>
            <w:tcW w:w="1026" w:type="pct"/>
            <w:vAlign w:val="center"/>
          </w:tcPr>
          <w:p w14:paraId="7E15E53D" w14:textId="77777777" w:rsidR="003B69E4" w:rsidRPr="00211C8B" w:rsidRDefault="003B69E4" w:rsidP="003D5B22">
            <w:pPr>
              <w:pStyle w:val="TableText0"/>
            </w:pPr>
            <w:r w:rsidRPr="00211C8B">
              <w:t xml:space="preserve">Current $1685.18 Requested </w:t>
            </w:r>
            <w:r w:rsidRPr="00211C8B">
              <w:rPr>
                <w:bCs w:val="0"/>
              </w:rPr>
              <w:t>$</w:t>
            </w:r>
            <w:r w:rsidR="00E70F00">
              <w:rPr>
                <w:bCs w:val="0"/>
                <w:noProof/>
                <w:color w:val="000000"/>
                <w:highlight w:val="black"/>
              </w:rPr>
              <w:t>'''''''''''''''''</w:t>
            </w:r>
            <w:r w:rsidRPr="00211C8B">
              <w:rPr>
                <w:bCs w:val="0"/>
              </w:rPr>
              <w:t xml:space="preserve"> </w:t>
            </w:r>
          </w:p>
        </w:tc>
        <w:tc>
          <w:tcPr>
            <w:tcW w:w="633" w:type="pct"/>
            <w:vMerge/>
            <w:vAlign w:val="center"/>
          </w:tcPr>
          <w:p w14:paraId="29084122" w14:textId="77777777" w:rsidR="003B69E4" w:rsidRPr="00211C8B" w:rsidRDefault="003B69E4" w:rsidP="003D5B22">
            <w:pPr>
              <w:keepNext/>
              <w:jc w:val="center"/>
              <w:rPr>
                <w:rFonts w:ascii="Arial Narrow" w:eastAsiaTheme="majorEastAsia" w:hAnsi="Arial Narrow" w:cstheme="majorBidi"/>
                <w:bCs/>
                <w:sz w:val="20"/>
              </w:rPr>
            </w:pPr>
          </w:p>
        </w:tc>
        <w:tc>
          <w:tcPr>
            <w:tcW w:w="674" w:type="pct"/>
            <w:vMerge/>
            <w:vAlign w:val="center"/>
          </w:tcPr>
          <w:p w14:paraId="3CB78573" w14:textId="77777777" w:rsidR="003B69E4" w:rsidRPr="00211C8B" w:rsidRDefault="003B69E4" w:rsidP="003D5B22">
            <w:pPr>
              <w:keepNext/>
              <w:jc w:val="center"/>
              <w:rPr>
                <w:rFonts w:ascii="Arial Narrow" w:eastAsiaTheme="majorEastAsia" w:hAnsi="Arial Narrow" w:cstheme="majorBidi"/>
                <w:bCs/>
                <w:sz w:val="20"/>
              </w:rPr>
            </w:pPr>
          </w:p>
        </w:tc>
      </w:tr>
      <w:tr w:rsidR="009D4C0F" w:rsidRPr="00211C8B" w14:paraId="45BF8EBB" w14:textId="77777777" w:rsidTr="00F14E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hideMark/>
          </w:tcPr>
          <w:p w14:paraId="5178618F" w14:textId="77777777" w:rsidR="009D4C0F" w:rsidRPr="00211C8B" w:rsidRDefault="009D4C0F" w:rsidP="003D5B22">
            <w:pPr>
              <w:pStyle w:val="Tabletext"/>
            </w:pPr>
            <w:r w:rsidRPr="00211C8B">
              <w:t>Category/Program:</w:t>
            </w:r>
          </w:p>
        </w:tc>
        <w:tc>
          <w:tcPr>
            <w:tcW w:w="4147" w:type="pct"/>
            <w:gridSpan w:val="6"/>
            <w:tcBorders>
              <w:top w:val="single" w:sz="4" w:space="0" w:color="auto"/>
              <w:left w:val="single" w:sz="4" w:space="0" w:color="auto"/>
              <w:bottom w:val="single" w:sz="4" w:space="0" w:color="auto"/>
              <w:right w:val="single" w:sz="4" w:space="0" w:color="auto"/>
            </w:tcBorders>
          </w:tcPr>
          <w:p w14:paraId="12439533" w14:textId="77777777" w:rsidR="009D4C0F" w:rsidRPr="00211C8B" w:rsidRDefault="009D4C0F" w:rsidP="003D5B22">
            <w:pPr>
              <w:pStyle w:val="Tabletext"/>
            </w:pPr>
            <w:r w:rsidRPr="00211C8B">
              <w:t>Section 100 – IVF Program</w:t>
            </w:r>
          </w:p>
        </w:tc>
      </w:tr>
      <w:tr w:rsidR="009D4C0F" w:rsidRPr="00211C8B" w14:paraId="4DB93B6C" w14:textId="77777777" w:rsidTr="00F14E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hideMark/>
          </w:tcPr>
          <w:p w14:paraId="60D38787" w14:textId="77777777" w:rsidR="009D4C0F" w:rsidRPr="00211C8B" w:rsidRDefault="009D4C0F" w:rsidP="003D5B22">
            <w:pPr>
              <w:pStyle w:val="Tabletext"/>
            </w:pPr>
            <w:r w:rsidRPr="00211C8B">
              <w:t>PBS indication:</w:t>
            </w:r>
          </w:p>
        </w:tc>
        <w:tc>
          <w:tcPr>
            <w:tcW w:w="4147" w:type="pct"/>
            <w:gridSpan w:val="6"/>
            <w:tcBorders>
              <w:top w:val="single" w:sz="4" w:space="0" w:color="auto"/>
              <w:left w:val="single" w:sz="4" w:space="0" w:color="auto"/>
              <w:bottom w:val="single" w:sz="4" w:space="0" w:color="auto"/>
              <w:right w:val="single" w:sz="4" w:space="0" w:color="auto"/>
            </w:tcBorders>
          </w:tcPr>
          <w:p w14:paraId="2E033FF4" w14:textId="77777777" w:rsidR="009D4C0F" w:rsidRPr="00211C8B" w:rsidRDefault="009D4C0F" w:rsidP="003D5B22">
            <w:pPr>
              <w:pStyle w:val="Tabletext"/>
            </w:pPr>
            <w:r w:rsidRPr="00211C8B">
              <w:t>Assisted Reproductive Technology</w:t>
            </w:r>
          </w:p>
        </w:tc>
      </w:tr>
      <w:tr w:rsidR="009D4C0F" w:rsidRPr="00211C8B" w14:paraId="24DD5623" w14:textId="77777777" w:rsidTr="00F14E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hideMark/>
          </w:tcPr>
          <w:p w14:paraId="56297886" w14:textId="77777777" w:rsidR="009D4C0F" w:rsidRPr="00211C8B" w:rsidRDefault="009D4C0F" w:rsidP="003D5B22">
            <w:pPr>
              <w:pStyle w:val="Tabletext"/>
            </w:pPr>
            <w:r w:rsidRPr="00211C8B">
              <w:t>Restriction:</w:t>
            </w:r>
          </w:p>
        </w:tc>
        <w:tc>
          <w:tcPr>
            <w:tcW w:w="4147" w:type="pct"/>
            <w:gridSpan w:val="6"/>
            <w:tcBorders>
              <w:top w:val="single" w:sz="4" w:space="0" w:color="auto"/>
              <w:left w:val="single" w:sz="4" w:space="0" w:color="auto"/>
              <w:bottom w:val="single" w:sz="4" w:space="0" w:color="auto"/>
              <w:right w:val="single" w:sz="4" w:space="0" w:color="auto"/>
            </w:tcBorders>
          </w:tcPr>
          <w:p w14:paraId="100181CD" w14:textId="77777777" w:rsidR="009D4C0F" w:rsidRPr="00211C8B" w:rsidRDefault="009D4C0F" w:rsidP="003D5B22">
            <w:pPr>
              <w:pStyle w:val="Tabletext"/>
            </w:pPr>
            <w:r w:rsidRPr="00393339">
              <w:fldChar w:fldCharType="begin">
                <w:ffData>
                  <w:name w:val="Check5"/>
                  <w:enabled/>
                  <w:calcOnExit w:val="0"/>
                  <w:checkBox>
                    <w:sizeAuto/>
                    <w:default w:val="1"/>
                  </w:checkBox>
                </w:ffData>
              </w:fldChar>
            </w:r>
            <w:r w:rsidRPr="00211C8B">
              <w:instrText xml:space="preserve"> FORMCHECKBOX </w:instrText>
            </w:r>
            <w:r w:rsidR="008368CD">
              <w:fldChar w:fldCharType="separate"/>
            </w:r>
            <w:r w:rsidRPr="00393339">
              <w:fldChar w:fldCharType="end"/>
            </w:r>
            <w:r w:rsidR="00810C8B">
              <w:t>Authority Required (</w:t>
            </w:r>
            <w:r w:rsidRPr="00211C8B">
              <w:t>Streamlined</w:t>
            </w:r>
            <w:r w:rsidR="00810C8B">
              <w:t>)</w:t>
            </w:r>
          </w:p>
        </w:tc>
      </w:tr>
      <w:tr w:rsidR="009D4C0F" w:rsidRPr="00211C8B" w14:paraId="383DA409" w14:textId="77777777" w:rsidTr="00F14E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hideMark/>
          </w:tcPr>
          <w:p w14:paraId="5A3E4D30" w14:textId="77777777" w:rsidR="009D4C0F" w:rsidRPr="00211C8B" w:rsidRDefault="009D4C0F" w:rsidP="003D5B22">
            <w:pPr>
              <w:pStyle w:val="Tabletext"/>
            </w:pPr>
            <w:r w:rsidRPr="00211C8B">
              <w:t>Clinical criteria:</w:t>
            </w:r>
          </w:p>
        </w:tc>
        <w:tc>
          <w:tcPr>
            <w:tcW w:w="4147" w:type="pct"/>
            <w:gridSpan w:val="6"/>
            <w:tcBorders>
              <w:top w:val="single" w:sz="4" w:space="0" w:color="auto"/>
              <w:left w:val="single" w:sz="4" w:space="0" w:color="auto"/>
              <w:bottom w:val="single" w:sz="4" w:space="0" w:color="auto"/>
              <w:right w:val="single" w:sz="4" w:space="0" w:color="auto"/>
            </w:tcBorders>
          </w:tcPr>
          <w:p w14:paraId="2324076D" w14:textId="77777777" w:rsidR="009D4C0F" w:rsidRPr="00211C8B" w:rsidRDefault="009D4C0F" w:rsidP="003D5B22">
            <w:pPr>
              <w:pStyle w:val="Tabletext"/>
            </w:pPr>
            <w:r w:rsidRPr="00211C8B">
              <w:t>Patient must be receiving medical services as described in items 13200, 13201, 13202 or 13203 of the Medicare Benefits Schedule</w:t>
            </w:r>
          </w:p>
        </w:tc>
      </w:tr>
      <w:tr w:rsidR="009D4C0F" w:rsidRPr="00211C8B" w14:paraId="3937B329" w14:textId="77777777" w:rsidTr="00F14E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hideMark/>
          </w:tcPr>
          <w:p w14:paraId="2FCAB307" w14:textId="77777777" w:rsidR="009D4C0F" w:rsidRPr="00211C8B" w:rsidRDefault="009D4C0F" w:rsidP="003D5B22">
            <w:pPr>
              <w:pStyle w:val="Tabletext"/>
            </w:pPr>
            <w:r w:rsidRPr="00211C8B">
              <w:t>Prescriber criteria:</w:t>
            </w:r>
          </w:p>
        </w:tc>
        <w:tc>
          <w:tcPr>
            <w:tcW w:w="4147" w:type="pct"/>
            <w:gridSpan w:val="6"/>
            <w:tcBorders>
              <w:top w:val="single" w:sz="4" w:space="0" w:color="auto"/>
              <w:left w:val="single" w:sz="4" w:space="0" w:color="auto"/>
              <w:bottom w:val="single" w:sz="4" w:space="0" w:color="auto"/>
              <w:right w:val="single" w:sz="4" w:space="0" w:color="auto"/>
            </w:tcBorders>
          </w:tcPr>
          <w:p w14:paraId="0E42F182" w14:textId="1996B8C1" w:rsidR="009D4C0F" w:rsidRPr="00211C8B" w:rsidRDefault="009D4C0F" w:rsidP="00F14E3C">
            <w:pPr>
              <w:pStyle w:val="TableText0"/>
              <w:rPr>
                <w:color w:val="000000"/>
              </w:rPr>
            </w:pPr>
            <w:r w:rsidRPr="00393339">
              <w:fldChar w:fldCharType="begin">
                <w:ffData>
                  <w:name w:val="Check1"/>
                  <w:enabled/>
                  <w:calcOnExit w:val="0"/>
                  <w:checkBox>
                    <w:sizeAuto/>
                    <w:default w:val="1"/>
                  </w:checkBox>
                </w:ffData>
              </w:fldChar>
            </w:r>
            <w:r w:rsidRPr="00211C8B">
              <w:instrText xml:space="preserve"> FORMCHECKBOX </w:instrText>
            </w:r>
            <w:r w:rsidR="008368CD">
              <w:fldChar w:fldCharType="separate"/>
            </w:r>
            <w:r w:rsidRPr="00393339">
              <w:fldChar w:fldCharType="end"/>
            </w:r>
            <w:r w:rsidRPr="00211C8B">
              <w:t>Medical Practitioners</w:t>
            </w:r>
          </w:p>
        </w:tc>
      </w:tr>
    </w:tbl>
    <w:p w14:paraId="28E108CF" w14:textId="77777777" w:rsidR="009D4C0F" w:rsidRPr="00211C8B" w:rsidRDefault="00A713BB" w:rsidP="009D4C0F">
      <w:pPr>
        <w:rPr>
          <w:rFonts w:ascii="Arial Narrow" w:hAnsi="Arial Narrow"/>
          <w:sz w:val="18"/>
          <w:szCs w:val="18"/>
        </w:rPr>
      </w:pPr>
      <w:r w:rsidRPr="00211C8B">
        <w:rPr>
          <w:rFonts w:ascii="Arial Narrow" w:hAnsi="Arial Narrow"/>
          <w:sz w:val="18"/>
          <w:szCs w:val="18"/>
        </w:rPr>
        <w:t xml:space="preserve">Source: </w:t>
      </w:r>
      <w:r w:rsidR="00DE310D" w:rsidRPr="00211C8B">
        <w:rPr>
          <w:rFonts w:ascii="Arial Narrow" w:hAnsi="Arial Narrow"/>
          <w:sz w:val="18"/>
          <w:szCs w:val="18"/>
        </w:rPr>
        <w:t>Compiled</w:t>
      </w:r>
      <w:r w:rsidR="00305CB2" w:rsidRPr="00211C8B">
        <w:rPr>
          <w:rFonts w:ascii="Arial Narrow" w:hAnsi="Arial Narrow"/>
          <w:sz w:val="18"/>
          <w:szCs w:val="18"/>
        </w:rPr>
        <w:t xml:space="preserve"> during the </w:t>
      </w:r>
      <w:r w:rsidRPr="00211C8B">
        <w:rPr>
          <w:rFonts w:ascii="Arial Narrow" w:hAnsi="Arial Narrow"/>
          <w:sz w:val="18"/>
          <w:szCs w:val="18"/>
        </w:rPr>
        <w:t>evaluation</w:t>
      </w:r>
      <w:r w:rsidR="00917A7D" w:rsidRPr="00211C8B">
        <w:rPr>
          <w:rFonts w:ascii="Arial Narrow" w:hAnsi="Arial Narrow"/>
          <w:sz w:val="18"/>
          <w:szCs w:val="18"/>
        </w:rPr>
        <w:t xml:space="preserve"> from PBS online and the submission requested price</w:t>
      </w:r>
    </w:p>
    <w:p w14:paraId="5C1BA9AA" w14:textId="77777777" w:rsidR="00305CB2" w:rsidRPr="00211C8B" w:rsidRDefault="00305CB2" w:rsidP="009D4C0F"/>
    <w:p w14:paraId="2C48CF00" w14:textId="77777777" w:rsidR="009D4C0F" w:rsidRPr="00211C8B" w:rsidRDefault="009D4C0F" w:rsidP="00943FFD">
      <w:pPr>
        <w:pStyle w:val="3-BodyText"/>
      </w:pPr>
      <w:r w:rsidRPr="00211C8B">
        <w:t>The submission request</w:t>
      </w:r>
      <w:r w:rsidR="00BE0090" w:rsidRPr="00211C8B">
        <w:t>ed</w:t>
      </w:r>
      <w:r w:rsidRPr="00211C8B">
        <w:t xml:space="preserve"> a price increase for </w:t>
      </w:r>
      <w:r w:rsidR="00907340" w:rsidRPr="00211C8B">
        <w:t>Gonal-f</w:t>
      </w:r>
      <w:r w:rsidR="00810C8B">
        <w:t>, but</w:t>
      </w:r>
      <w:r w:rsidRPr="00211C8B">
        <w:t xml:space="preserve"> no changes </w:t>
      </w:r>
      <w:r w:rsidR="004B195D" w:rsidRPr="00211C8B">
        <w:t xml:space="preserve">to </w:t>
      </w:r>
      <w:r w:rsidR="00F76FBA" w:rsidRPr="00211C8B">
        <w:t xml:space="preserve">the </w:t>
      </w:r>
      <w:r w:rsidR="004B195D" w:rsidRPr="00211C8B">
        <w:t xml:space="preserve">restrictions of the current </w:t>
      </w:r>
      <w:r w:rsidRPr="00211C8B">
        <w:t>PBS listing</w:t>
      </w:r>
      <w:r w:rsidR="00810C8B">
        <w:t>s</w:t>
      </w:r>
      <w:r w:rsidRPr="00211C8B">
        <w:t xml:space="preserve">. </w:t>
      </w:r>
      <w:r w:rsidR="001C0D0B" w:rsidRPr="00211C8B">
        <w:t xml:space="preserve">The </w:t>
      </w:r>
      <w:r w:rsidR="004033A1" w:rsidRPr="00211C8B">
        <w:t>Pre-Sub-Committee Response (</w:t>
      </w:r>
      <w:r w:rsidR="001C0D0B" w:rsidRPr="00211C8B">
        <w:t>PSCR</w:t>
      </w:r>
      <w:r w:rsidR="004033A1" w:rsidRPr="00211C8B">
        <w:t>)</w:t>
      </w:r>
      <w:r w:rsidR="001C0D0B" w:rsidRPr="00000649">
        <w:rPr>
          <w:color w:val="FF0000"/>
        </w:rPr>
        <w:t xml:space="preserve"> </w:t>
      </w:r>
      <w:r w:rsidR="001C0D0B" w:rsidRPr="00211C8B">
        <w:t>clarified that the proposed DPMQ used in the submission was based</w:t>
      </w:r>
      <w:r w:rsidR="004033A1" w:rsidRPr="00211C8B">
        <w:t xml:space="preserve"> on</w:t>
      </w:r>
      <w:r w:rsidR="001C0D0B" w:rsidRPr="00211C8B">
        <w:t xml:space="preserve"> reversing all</w:t>
      </w:r>
      <w:r w:rsidR="00473128" w:rsidRPr="00211C8B">
        <w:t xml:space="preserve"> the</w:t>
      </w:r>
      <w:r w:rsidR="001C0D0B" w:rsidRPr="00211C8B">
        <w:t xml:space="preserve"> price reductions that</w:t>
      </w:r>
      <w:r w:rsidR="00473128" w:rsidRPr="00211C8B">
        <w:t xml:space="preserve"> </w:t>
      </w:r>
      <w:r w:rsidR="001C0D0B" w:rsidRPr="00211C8B">
        <w:t>have occurred</w:t>
      </w:r>
      <w:r w:rsidR="004033A1" w:rsidRPr="00211C8B">
        <w:t xml:space="preserve"> since Gonal-f moved to </w:t>
      </w:r>
      <w:r w:rsidR="00F76FBA" w:rsidRPr="00211C8B">
        <w:t>the</w:t>
      </w:r>
      <w:r w:rsidR="001C0D0B" w:rsidRPr="00211C8B">
        <w:t xml:space="preserve"> </w:t>
      </w:r>
      <w:r w:rsidR="00A16D12" w:rsidRPr="00211C8B">
        <w:t>F2</w:t>
      </w:r>
      <w:r w:rsidR="00F76FBA" w:rsidRPr="00211C8B">
        <w:t xml:space="preserve"> formulary</w:t>
      </w:r>
      <w:r w:rsidR="00473128" w:rsidRPr="00211C8B">
        <w:t xml:space="preserve"> after the listing of Bemfola to achieve the prior F1 price,</w:t>
      </w:r>
      <w:r w:rsidR="00A16D12" w:rsidRPr="00211C8B">
        <w:t xml:space="preserve"> </w:t>
      </w:r>
      <w:r w:rsidR="00372B76" w:rsidRPr="00211C8B">
        <w:t>that is, the reversal of</w:t>
      </w:r>
      <w:r w:rsidR="001C0D0B" w:rsidRPr="00211C8B">
        <w:t xml:space="preserve"> </w:t>
      </w:r>
      <w:r w:rsidR="00473128" w:rsidRPr="00211C8B">
        <w:t xml:space="preserve">a </w:t>
      </w:r>
      <w:r w:rsidR="001C0D0B" w:rsidRPr="00211C8B">
        <w:t>16% price reduction as well as the impacts of subsequent reference pricing.</w:t>
      </w:r>
      <w:r w:rsidR="00D24EE2" w:rsidRPr="00211C8B">
        <w:t xml:space="preserve"> The </w:t>
      </w:r>
      <w:r w:rsidR="00473128" w:rsidRPr="00211C8B">
        <w:t xml:space="preserve">PBAC </w:t>
      </w:r>
      <w:r w:rsidR="00D24EE2" w:rsidRPr="00211C8B">
        <w:t xml:space="preserve">noted </w:t>
      </w:r>
      <w:r w:rsidR="00473128" w:rsidRPr="00211C8B">
        <w:t xml:space="preserve">that </w:t>
      </w:r>
      <w:r w:rsidR="00D24EE2" w:rsidRPr="00211C8B">
        <w:t xml:space="preserve">the </w:t>
      </w:r>
      <w:r w:rsidR="00473128" w:rsidRPr="00211C8B">
        <w:t xml:space="preserve">submission </w:t>
      </w:r>
      <w:r w:rsidR="00D24EE2" w:rsidRPr="00211C8B">
        <w:t>requested</w:t>
      </w:r>
      <w:r w:rsidR="00F01F5E" w:rsidRPr="00211C8B">
        <w:t xml:space="preserve"> an approximate </w:t>
      </w:r>
      <w:r w:rsidR="00D24EE2" w:rsidRPr="00211C8B">
        <w:t>25% increase to the current price of Gonal-f</w:t>
      </w:r>
      <w:r w:rsidR="00473128" w:rsidRPr="00211C8B">
        <w:t>:</w:t>
      </w:r>
    </w:p>
    <w:p w14:paraId="003A1097" w14:textId="77777777" w:rsidR="003A6EEE" w:rsidRPr="00B235C6" w:rsidRDefault="009D4C0F" w:rsidP="00AF4651">
      <w:pPr>
        <w:pStyle w:val="3-BodyText"/>
        <w:numPr>
          <w:ilvl w:val="0"/>
          <w:numId w:val="3"/>
        </w:numPr>
        <w:rPr>
          <w:iCs/>
        </w:rPr>
      </w:pPr>
      <w:r w:rsidRPr="00211C8B">
        <w:t>300</w:t>
      </w:r>
      <w:r w:rsidR="00B83A22" w:rsidRPr="00211C8B">
        <w:t xml:space="preserve"> IU</w:t>
      </w:r>
      <w:r w:rsidRPr="00211C8B">
        <w:t xml:space="preserve"> 0.5mL pen device from $234.84 to a requested price of $</w:t>
      </w:r>
      <w:r w:rsidR="00E70F00">
        <w:rPr>
          <w:noProof/>
          <w:color w:val="000000"/>
          <w:highlight w:val="black"/>
        </w:rPr>
        <w:t xml:space="preserve">'''''''''''''' </w:t>
      </w:r>
      <w:r w:rsidR="00473128" w:rsidRPr="00B235C6">
        <w:t>(</w:t>
      </w:r>
      <w:r w:rsidR="00E70F00">
        <w:rPr>
          <w:noProof/>
          <w:color w:val="000000"/>
          <w:highlight w:val="black"/>
        </w:rPr>
        <w:t>'''''''''''</w:t>
      </w:r>
      <w:r w:rsidR="00473128" w:rsidRPr="00B235C6">
        <w:t>% increase)</w:t>
      </w:r>
    </w:p>
    <w:p w14:paraId="4E9B1F4F" w14:textId="77777777" w:rsidR="003A6EEE" w:rsidRPr="00B235C6" w:rsidRDefault="009D4C0F" w:rsidP="00AF4651">
      <w:pPr>
        <w:pStyle w:val="3-BodyText"/>
        <w:numPr>
          <w:ilvl w:val="0"/>
          <w:numId w:val="3"/>
        </w:numPr>
        <w:rPr>
          <w:iCs/>
        </w:rPr>
      </w:pPr>
      <w:r w:rsidRPr="00B235C6">
        <w:t>450</w:t>
      </w:r>
      <w:r w:rsidR="009739F1" w:rsidRPr="00B235C6">
        <w:t xml:space="preserve"> IU</w:t>
      </w:r>
      <w:r w:rsidRPr="00B235C6">
        <w:t xml:space="preserve"> 0.75mL pen device from $348.36 to a requested price of $</w:t>
      </w:r>
      <w:r w:rsidR="00E70F00">
        <w:rPr>
          <w:noProof/>
          <w:color w:val="000000"/>
          <w:highlight w:val="black"/>
        </w:rPr>
        <w:t xml:space="preserve">'''''''''''''' </w:t>
      </w:r>
      <w:r w:rsidR="00473128" w:rsidRPr="00B235C6">
        <w:t>(</w:t>
      </w:r>
      <w:r w:rsidR="00E70F00">
        <w:rPr>
          <w:noProof/>
          <w:color w:val="000000"/>
          <w:highlight w:val="black"/>
        </w:rPr>
        <w:t>''''''''''</w:t>
      </w:r>
      <w:r w:rsidR="00473128" w:rsidRPr="00B235C6">
        <w:t>% increase)</w:t>
      </w:r>
    </w:p>
    <w:p w14:paraId="300D0B38" w14:textId="1E7A3B50" w:rsidR="009D4C0F" w:rsidRPr="00211C8B" w:rsidRDefault="009D4C0F" w:rsidP="00AF4651">
      <w:pPr>
        <w:pStyle w:val="3-BodyText"/>
        <w:numPr>
          <w:ilvl w:val="0"/>
          <w:numId w:val="3"/>
        </w:numPr>
        <w:rPr>
          <w:iCs/>
        </w:rPr>
      </w:pPr>
      <w:r w:rsidRPr="00B235C6">
        <w:t>900</w:t>
      </w:r>
      <w:r w:rsidR="009739F1" w:rsidRPr="00B235C6">
        <w:t xml:space="preserve"> IU</w:t>
      </w:r>
      <w:r w:rsidRPr="00B235C6">
        <w:t xml:space="preserve"> 1.5mL pen device from $1685.18 to a requested price of $</w:t>
      </w:r>
      <w:r w:rsidR="00E70F00">
        <w:rPr>
          <w:noProof/>
          <w:color w:val="000000"/>
          <w:highlight w:val="black"/>
        </w:rPr>
        <w:t>''''''''''''''''</w:t>
      </w:r>
      <w:r w:rsidR="00473128" w:rsidRPr="00B235C6">
        <w:t xml:space="preserve"> (</w:t>
      </w:r>
      <w:r w:rsidR="00E70F00">
        <w:rPr>
          <w:noProof/>
          <w:color w:val="000000"/>
          <w:highlight w:val="black"/>
        </w:rPr>
        <w:t>''''''''''</w:t>
      </w:r>
      <w:r w:rsidR="00473128" w:rsidRPr="00B235C6">
        <w:t>%</w:t>
      </w:r>
      <w:r w:rsidR="00473128" w:rsidRPr="00211C8B">
        <w:t xml:space="preserve"> increase)</w:t>
      </w:r>
      <w:r w:rsidR="006B134C">
        <w:t xml:space="preserve">. </w:t>
      </w:r>
    </w:p>
    <w:p w14:paraId="7F742C52" w14:textId="77777777" w:rsidR="00D57A0E" w:rsidRPr="00211C8B" w:rsidRDefault="00101552" w:rsidP="00943FFD">
      <w:pPr>
        <w:pStyle w:val="3-BodyText"/>
        <w:rPr>
          <w:i/>
          <w:iCs/>
        </w:rPr>
      </w:pPr>
      <w:r w:rsidRPr="00211C8B">
        <w:t>Th</w:t>
      </w:r>
      <w:r w:rsidR="004E6BF4" w:rsidRPr="00211C8B">
        <w:t>e submission argued that Gonal-</w:t>
      </w:r>
      <w:r w:rsidR="00670CC6" w:rsidRPr="00211C8B">
        <w:t>f</w:t>
      </w:r>
      <w:r w:rsidRPr="00211C8B">
        <w:t xml:space="preserve"> is therapeutically distinct from other follitropin alfa biosimilars and therefore Gonal-</w:t>
      </w:r>
      <w:r w:rsidR="00670CC6" w:rsidRPr="00211C8B">
        <w:t>f</w:t>
      </w:r>
      <w:r w:rsidRPr="00211C8B">
        <w:t xml:space="preserve"> is not clinically interchangeable with other biosimilars. </w:t>
      </w:r>
      <w:r w:rsidR="000C558B" w:rsidRPr="00000649">
        <w:rPr>
          <w:iCs/>
        </w:rPr>
        <w:t xml:space="preserve">The PSCR </w:t>
      </w:r>
      <w:r w:rsidR="00AD7870" w:rsidRPr="00000649">
        <w:rPr>
          <w:iCs/>
        </w:rPr>
        <w:t>stated</w:t>
      </w:r>
      <w:r w:rsidR="00473128" w:rsidRPr="00000649">
        <w:rPr>
          <w:iCs/>
        </w:rPr>
        <w:t xml:space="preserve"> that</w:t>
      </w:r>
      <w:r w:rsidR="00A150CF" w:rsidRPr="00000649">
        <w:rPr>
          <w:iCs/>
        </w:rPr>
        <w:t xml:space="preserve"> the clinical evidence from the Chua et al. (2021) meta-analysis was supportive of the submission’s clinical claim that Gonal-f is superior to</w:t>
      </w:r>
      <w:r w:rsidR="00473128" w:rsidRPr="00000649">
        <w:rPr>
          <w:iCs/>
        </w:rPr>
        <w:t xml:space="preserve"> the</w:t>
      </w:r>
      <w:r w:rsidR="00A150CF" w:rsidRPr="00000649">
        <w:rPr>
          <w:iCs/>
        </w:rPr>
        <w:t xml:space="preserve"> biosimilar preparations.</w:t>
      </w:r>
    </w:p>
    <w:p w14:paraId="26D542D9" w14:textId="77777777" w:rsidR="000B53D4" w:rsidRPr="000B53D4" w:rsidRDefault="00A150CF" w:rsidP="0077654A">
      <w:pPr>
        <w:pStyle w:val="3-BodyText"/>
      </w:pPr>
      <w:r w:rsidRPr="00211C8B">
        <w:t xml:space="preserve">The </w:t>
      </w:r>
      <w:r w:rsidR="00473128" w:rsidRPr="00211C8B">
        <w:t xml:space="preserve">PBAC </w:t>
      </w:r>
      <w:r w:rsidRPr="00211C8B">
        <w:t xml:space="preserve">noted that a claim of superior effectiveness of the reference brand to the biosimilar brand </w:t>
      </w:r>
      <w:r w:rsidR="00C57B36" w:rsidRPr="00211C8B">
        <w:t xml:space="preserve">is </w:t>
      </w:r>
      <w:r w:rsidRPr="00211C8B">
        <w:t>contradict</w:t>
      </w:r>
      <w:r w:rsidR="00C57B36" w:rsidRPr="00211C8B">
        <w:t>ory to</w:t>
      </w:r>
      <w:r w:rsidR="006612DE" w:rsidRPr="00211C8B">
        <w:t xml:space="preserve"> the </w:t>
      </w:r>
      <w:r w:rsidR="00167475" w:rsidRPr="00211C8B">
        <w:t xml:space="preserve">decision </w:t>
      </w:r>
      <w:r w:rsidR="006612DE" w:rsidRPr="00211C8B">
        <w:t xml:space="preserve">made by the </w:t>
      </w:r>
      <w:r w:rsidR="007234AE">
        <w:t xml:space="preserve">TGA </w:t>
      </w:r>
      <w:r w:rsidR="00AD6A97">
        <w:t>and other national/regional Regulatory Agencies (e.g., E</w:t>
      </w:r>
      <w:r w:rsidR="0077654A">
        <w:t xml:space="preserve">uropean </w:t>
      </w:r>
      <w:r w:rsidR="00AD6A97">
        <w:t>M</w:t>
      </w:r>
      <w:r w:rsidR="0077654A">
        <w:t xml:space="preserve">edicines </w:t>
      </w:r>
      <w:r w:rsidR="00AD6A97">
        <w:t>A</w:t>
      </w:r>
      <w:r w:rsidR="0077654A">
        <w:t>gency</w:t>
      </w:r>
      <w:r w:rsidR="00AD6A97">
        <w:t xml:space="preserve">) </w:t>
      </w:r>
      <w:r w:rsidR="006612DE" w:rsidRPr="00211C8B">
        <w:t>under</w:t>
      </w:r>
      <w:r w:rsidRPr="00211C8B">
        <w:t xml:space="preserve"> the biosimilar regulatory framework.</w:t>
      </w:r>
      <w:r w:rsidR="00E500E0" w:rsidRPr="00211C8B">
        <w:t xml:space="preserve"> </w:t>
      </w:r>
      <w:r w:rsidR="00695B3B">
        <w:t>R</w:t>
      </w:r>
      <w:r w:rsidRPr="00211C8B">
        <w:t xml:space="preserve">egulatory evaluations </w:t>
      </w:r>
      <w:r w:rsidR="00E500E0" w:rsidRPr="00211C8B">
        <w:t xml:space="preserve">of biosimilar medicines </w:t>
      </w:r>
      <w:r w:rsidRPr="00211C8B">
        <w:t xml:space="preserve">place an emphasis on the pre-clinical data </w:t>
      </w:r>
      <w:r w:rsidR="00D57A0E" w:rsidRPr="00211C8B">
        <w:t>(</w:t>
      </w:r>
      <w:r w:rsidRPr="00211C8B">
        <w:t>also referred to as in-vitro or analytic data</w:t>
      </w:r>
      <w:r w:rsidR="00D57A0E" w:rsidRPr="00211C8B">
        <w:t>)</w:t>
      </w:r>
      <w:r w:rsidRPr="00211C8B">
        <w:t xml:space="preserve">. </w:t>
      </w:r>
      <w:r w:rsidR="00D57A0E" w:rsidRPr="00211C8B">
        <w:t>In-vitro characterisation of the molecule is the pivotal evidence used to establish that a proposed biosimilar is highly similar to the reference biological medicine</w:t>
      </w:r>
      <w:r w:rsidR="00AD6A97">
        <w:t xml:space="preserve"> because it is the most sensitive way of identifying differences between the biosimilar and the reference biological medicine</w:t>
      </w:r>
      <w:r w:rsidR="00D57A0E" w:rsidRPr="00211C8B">
        <w:t xml:space="preserve">. </w:t>
      </w:r>
      <w:r w:rsidR="00E500E0" w:rsidRPr="00211C8B">
        <w:t xml:space="preserve">The </w:t>
      </w:r>
      <w:r w:rsidR="00473128" w:rsidRPr="00211C8B">
        <w:t xml:space="preserve">PBAC </w:t>
      </w:r>
      <w:r w:rsidR="00E500E0" w:rsidRPr="00211C8B">
        <w:t xml:space="preserve">noted </w:t>
      </w:r>
      <w:r w:rsidR="00473128" w:rsidRPr="00211C8B">
        <w:t xml:space="preserve">that </w:t>
      </w:r>
      <w:r w:rsidR="00E500E0" w:rsidRPr="00211C8B">
        <w:t xml:space="preserve">the TGA </w:t>
      </w:r>
      <w:r w:rsidR="0016431F" w:rsidRPr="00211C8B">
        <w:t>determined</w:t>
      </w:r>
      <w:r w:rsidR="00E500E0" w:rsidRPr="00211C8B">
        <w:t xml:space="preserve"> via independent, rigorous, and comprehensive evaluations, that other follitropin alfa products are biosimilar to the reference brand, Gonal-f. </w:t>
      </w:r>
      <w:r w:rsidR="00D57A0E" w:rsidRPr="00211C8B">
        <w:t xml:space="preserve">The </w:t>
      </w:r>
      <w:r w:rsidR="00473128" w:rsidRPr="00211C8B">
        <w:t xml:space="preserve">PBAC </w:t>
      </w:r>
      <w:r w:rsidR="00CC5076" w:rsidRPr="00211C8B">
        <w:t>considered</w:t>
      </w:r>
      <w:r w:rsidR="00D57A0E" w:rsidRPr="00211C8B">
        <w:t xml:space="preserve"> th</w:t>
      </w:r>
      <w:r w:rsidR="00473128" w:rsidRPr="00211C8B">
        <w:t>at th</w:t>
      </w:r>
      <w:r w:rsidR="00D57A0E" w:rsidRPr="00211C8B">
        <w:t xml:space="preserve">e submission did not include </w:t>
      </w:r>
      <w:r w:rsidR="00AD7870" w:rsidRPr="00211C8B">
        <w:t xml:space="preserve">the </w:t>
      </w:r>
      <w:r w:rsidR="00D57A0E" w:rsidRPr="00211C8B">
        <w:t xml:space="preserve">necessary information on in-vitro characteristics of the biosimilars versus Gonal-f. </w:t>
      </w:r>
      <w:r w:rsidR="00CC5076" w:rsidRPr="00211C8B">
        <w:t xml:space="preserve">The </w:t>
      </w:r>
      <w:r w:rsidR="0043509F" w:rsidRPr="00211C8B">
        <w:t xml:space="preserve">PBAC considered </w:t>
      </w:r>
      <w:r w:rsidR="00CC5076" w:rsidRPr="00211C8B">
        <w:t>that</w:t>
      </w:r>
      <w:r w:rsidR="000F12E7" w:rsidRPr="00211C8B">
        <w:t xml:space="preserve"> a totality of evidence approach</w:t>
      </w:r>
      <w:r w:rsidR="000B53D4">
        <w:t>,</w:t>
      </w:r>
      <w:r w:rsidR="000F12E7" w:rsidRPr="00211C8B">
        <w:t xml:space="preserve"> which would include the in-vitro characterisation of the molecule, pharmacokinetic analyses and randomised clinical endpoint </w:t>
      </w:r>
      <w:r w:rsidR="00C4230B">
        <w:t>trials</w:t>
      </w:r>
      <w:r w:rsidR="000B53D4">
        <w:t>,</w:t>
      </w:r>
      <w:r w:rsidR="001220CB">
        <w:t xml:space="preserve"> </w:t>
      </w:r>
      <w:r w:rsidR="000F12E7" w:rsidRPr="00211C8B">
        <w:t>would be required to support the submission’s clinical claim</w:t>
      </w:r>
      <w:r w:rsidR="002118B1" w:rsidRPr="00211C8B">
        <w:t>.</w:t>
      </w:r>
    </w:p>
    <w:p w14:paraId="5E723873" w14:textId="77777777" w:rsidR="004B195D" w:rsidRPr="00211C8B" w:rsidRDefault="007234AE" w:rsidP="00943FFD">
      <w:pPr>
        <w:pStyle w:val="3-BodyText"/>
        <w:rPr>
          <w:i/>
          <w:iCs/>
        </w:rPr>
      </w:pPr>
      <w:r>
        <w:t xml:space="preserve">Based on the above views, the PBAC considered that Ovaleap and Gonal-f be marked as equivalent for the purposes of substitution. Furthermore, </w:t>
      </w:r>
      <w:r>
        <w:rPr>
          <w:iCs/>
        </w:rPr>
        <w:t>t</w:t>
      </w:r>
      <w:r w:rsidR="00B41FD8" w:rsidRPr="000B53D4">
        <w:rPr>
          <w:iCs/>
        </w:rPr>
        <w:t xml:space="preserve">he </w:t>
      </w:r>
      <w:r w:rsidR="00C67A72" w:rsidRPr="000B53D4">
        <w:rPr>
          <w:iCs/>
        </w:rPr>
        <w:t xml:space="preserve">PBAC </w:t>
      </w:r>
      <w:r>
        <w:rPr>
          <w:iCs/>
        </w:rPr>
        <w:t xml:space="preserve">recalled </w:t>
      </w:r>
      <w:r w:rsidR="00C67A72" w:rsidRPr="000B53D4">
        <w:rPr>
          <w:iCs/>
        </w:rPr>
        <w:t xml:space="preserve">in its </w:t>
      </w:r>
      <w:r>
        <w:rPr>
          <w:iCs/>
        </w:rPr>
        <w:t xml:space="preserve">July 2021 </w:t>
      </w:r>
      <w:r w:rsidR="00C67A72" w:rsidRPr="000B53D4">
        <w:rPr>
          <w:iCs/>
        </w:rPr>
        <w:t xml:space="preserve">consideration of Ovaleap </w:t>
      </w:r>
      <w:r w:rsidR="00134BA9" w:rsidRPr="000B53D4">
        <w:rPr>
          <w:iCs/>
        </w:rPr>
        <w:t xml:space="preserve">that in practice </w:t>
      </w:r>
      <w:r w:rsidR="008A34D5" w:rsidRPr="000B53D4">
        <w:rPr>
          <w:iCs/>
        </w:rPr>
        <w:t xml:space="preserve">the </w:t>
      </w:r>
      <w:r w:rsidR="00B41FD8" w:rsidRPr="000B53D4">
        <w:rPr>
          <w:iCs/>
        </w:rPr>
        <w:t xml:space="preserve">prescribing </w:t>
      </w:r>
      <w:r w:rsidR="008A34D5" w:rsidRPr="000B53D4">
        <w:rPr>
          <w:iCs/>
        </w:rPr>
        <w:t xml:space="preserve">clinician </w:t>
      </w:r>
      <w:r w:rsidR="00B41FD8" w:rsidRPr="000B53D4">
        <w:rPr>
          <w:iCs/>
        </w:rPr>
        <w:t xml:space="preserve">would have the option to specify “No Brand Substitution Permitted” should they </w:t>
      </w:r>
      <w:r w:rsidR="00695B3B">
        <w:rPr>
          <w:iCs/>
        </w:rPr>
        <w:t>wish to prescribe a particular brand</w:t>
      </w:r>
      <w:r w:rsidR="00B41FD8" w:rsidRPr="000B53D4">
        <w:rPr>
          <w:iCs/>
        </w:rPr>
        <w:t>. Pharmacists have a responsibility to adhere to these directions where specified.</w:t>
      </w:r>
    </w:p>
    <w:p w14:paraId="5EEC87C4" w14:textId="77777777" w:rsidR="002342CC" w:rsidRPr="009B38D8" w:rsidRDefault="002342CC" w:rsidP="00231FB2">
      <w:pPr>
        <w:ind w:left="720"/>
        <w:rPr>
          <w:i/>
          <w:iCs/>
        </w:rPr>
      </w:pPr>
      <w:bookmarkStart w:id="19" w:name="_Hlk76375324"/>
      <w:r w:rsidRPr="005A791F">
        <w:rPr>
          <w:i/>
          <w:iCs/>
        </w:rPr>
        <w:t>For more detail on PBAC’s view, see section 7 PBAC outcome.</w:t>
      </w:r>
    </w:p>
    <w:p w14:paraId="33214AF0" w14:textId="77777777" w:rsidR="009D4C0F" w:rsidRPr="009B38D8" w:rsidRDefault="009D4C0F" w:rsidP="00943FFD">
      <w:pPr>
        <w:pStyle w:val="2-SectionHeading"/>
      </w:pPr>
      <w:bookmarkStart w:id="20" w:name="_Toc79702738"/>
      <w:bookmarkStart w:id="21" w:name="_Toc82610356"/>
      <w:bookmarkEnd w:id="19"/>
      <w:r w:rsidRPr="009B38D8">
        <w:t>Population and disease</w:t>
      </w:r>
      <w:bookmarkEnd w:id="20"/>
      <w:bookmarkEnd w:id="21"/>
    </w:p>
    <w:p w14:paraId="1F449FC6" w14:textId="7D59C7DF" w:rsidR="009D4C0F" w:rsidRPr="00211C8B" w:rsidRDefault="009D4C0F" w:rsidP="00943FFD">
      <w:pPr>
        <w:pStyle w:val="3-BodyText"/>
        <w:rPr>
          <w:color w:val="0066FF"/>
        </w:rPr>
      </w:pPr>
      <w:r w:rsidRPr="00F10F43">
        <w:rPr>
          <w:color w:val="000000" w:themeColor="text1"/>
        </w:rPr>
        <w:t>The target population in the submission was patients undergoing ART requiring contr</w:t>
      </w:r>
      <w:r w:rsidRPr="00211C8B">
        <w:rPr>
          <w:color w:val="000000" w:themeColor="text1"/>
        </w:rPr>
        <w:t>olled ovarian stimulation.</w:t>
      </w:r>
      <w:r w:rsidRPr="00211C8B">
        <w:rPr>
          <w:i/>
          <w:iCs/>
          <w:color w:val="000000" w:themeColor="text1"/>
        </w:rPr>
        <w:t xml:space="preserve"> </w:t>
      </w:r>
      <w:r w:rsidRPr="00211C8B">
        <w:t>The most recent national estimates indicate that 4.9%</w:t>
      </w:r>
      <w:r w:rsidR="00634363">
        <w:t> </w:t>
      </w:r>
      <w:r w:rsidRPr="00211C8B">
        <w:t>of all women who gave birth in Australia in 2018 received some form of ART treatment.</w:t>
      </w:r>
    </w:p>
    <w:p w14:paraId="26B22674" w14:textId="77777777" w:rsidR="00864EAE" w:rsidRPr="00211C8B" w:rsidRDefault="00101552" w:rsidP="0024217C">
      <w:pPr>
        <w:pStyle w:val="3-BodyText"/>
        <w:rPr>
          <w:color w:val="0066FF"/>
        </w:rPr>
      </w:pPr>
      <w:r w:rsidRPr="00211C8B">
        <w:t xml:space="preserve">Follitropin alfa is the synthetic form of follicle stimulating hormone (FSH), </w:t>
      </w:r>
      <w:r w:rsidR="00A81A38" w:rsidRPr="00211C8B">
        <w:t xml:space="preserve">a </w:t>
      </w:r>
      <w:r w:rsidRPr="00211C8B">
        <w:t xml:space="preserve">pituitary glycoprotein hormone which is a regulator of reproductive function in both females and males; specifically, </w:t>
      </w:r>
      <w:r w:rsidR="00843963" w:rsidRPr="00211C8B">
        <w:t>it initiates</w:t>
      </w:r>
      <w:r w:rsidRPr="00211C8B">
        <w:t xml:space="preserve"> ovarian follicular development and spermatogenesis. The rationale for its clinical use is</w:t>
      </w:r>
      <w:r w:rsidR="00843963" w:rsidRPr="00211C8B">
        <w:t xml:space="preserve"> the</w:t>
      </w:r>
      <w:r w:rsidRPr="00211C8B">
        <w:t xml:space="preserve"> activation of these biological functions in patients with a variety of fertility problems</w:t>
      </w:r>
      <w:r w:rsidR="00843963" w:rsidRPr="00211C8B">
        <w:t>.</w:t>
      </w:r>
      <w:r w:rsidR="0024217C" w:rsidRPr="00211C8B">
        <w:t xml:space="preserve"> The PBAC noted that ovarian follicular development and spermatogenesis</w:t>
      </w:r>
      <w:r w:rsidR="00C975C1">
        <w:t xml:space="preserve"> are</w:t>
      </w:r>
      <w:r w:rsidR="0024217C" w:rsidRPr="00C975C1">
        <w:t xml:space="preserve"> contribut</w:t>
      </w:r>
      <w:r w:rsidR="00C975C1">
        <w:t>ing factors</w:t>
      </w:r>
      <w:r w:rsidR="0024217C" w:rsidRPr="00C975C1">
        <w:t xml:space="preserve"> to the success of infertility treatment, </w:t>
      </w:r>
      <w:r w:rsidR="0024217C" w:rsidRPr="00131CC6">
        <w:t>and</w:t>
      </w:r>
      <w:r w:rsidR="0024217C" w:rsidRPr="00E80357">
        <w:t xml:space="preserve"> that it has previously </w:t>
      </w:r>
      <w:r w:rsidR="0024217C" w:rsidRPr="00BE674F">
        <w:t xml:space="preserve">considered </w:t>
      </w:r>
      <w:r w:rsidR="0024217C" w:rsidRPr="005A791F">
        <w:t>live birth to be</w:t>
      </w:r>
      <w:r w:rsidR="0024217C" w:rsidRPr="009B38D8">
        <w:t xml:space="preserve"> the most patient</w:t>
      </w:r>
      <w:r w:rsidR="000B53D4">
        <w:t>-relevant</w:t>
      </w:r>
      <w:r w:rsidR="0024217C" w:rsidRPr="009B38D8">
        <w:t xml:space="preserve"> outcome.</w:t>
      </w:r>
    </w:p>
    <w:p w14:paraId="1B79FA79" w14:textId="77777777" w:rsidR="009D4C0F" w:rsidRPr="00211C8B" w:rsidRDefault="00843963" w:rsidP="00943FFD">
      <w:pPr>
        <w:pStyle w:val="3-BodyText"/>
      </w:pPr>
      <w:r w:rsidRPr="005A791F">
        <w:t>The f</w:t>
      </w:r>
      <w:r w:rsidR="009D4C0F" w:rsidRPr="009B38D8">
        <w:t xml:space="preserve">ollitropin alfa regimen involves the administration of 150 IU to 225 IU of </w:t>
      </w:r>
      <w:r w:rsidR="00907340" w:rsidRPr="009B38D8">
        <w:t>Gonal-f</w:t>
      </w:r>
      <w:r w:rsidR="009D4C0F" w:rsidRPr="009B38D8">
        <w:t xml:space="preserve"> daily, commencing on days 2 or 3 of the </w:t>
      </w:r>
      <w:r w:rsidR="00554719" w:rsidRPr="00F10F43">
        <w:t xml:space="preserve">IVF </w:t>
      </w:r>
      <w:r w:rsidR="009D4C0F" w:rsidRPr="00F10F43">
        <w:t>cycle. Treatment continue</w:t>
      </w:r>
      <w:r w:rsidR="00554719" w:rsidRPr="00F52214">
        <w:t>s</w:t>
      </w:r>
      <w:r w:rsidR="009D4C0F" w:rsidRPr="003964AE">
        <w:t xml:space="preserve"> until adequate follicular development </w:t>
      </w:r>
      <w:r w:rsidR="00554719" w:rsidRPr="00211C8B">
        <w:t xml:space="preserve">is </w:t>
      </w:r>
      <w:r w:rsidR="009D4C0F" w:rsidRPr="00211C8B">
        <w:t>achieved</w:t>
      </w:r>
      <w:r w:rsidR="00554719" w:rsidRPr="00211C8B">
        <w:t>;</w:t>
      </w:r>
      <w:r w:rsidR="009D4C0F" w:rsidRPr="00211C8B">
        <w:t xml:space="preserve"> </w:t>
      </w:r>
      <w:r w:rsidR="00554719" w:rsidRPr="00211C8B">
        <w:t>d</w:t>
      </w:r>
      <w:r w:rsidR="009D4C0F" w:rsidRPr="00211C8B">
        <w:t>ose</w:t>
      </w:r>
      <w:r w:rsidR="00554719" w:rsidRPr="00211C8B">
        <w:t>s</w:t>
      </w:r>
      <w:r w:rsidR="009D4C0F" w:rsidRPr="00211C8B">
        <w:t xml:space="preserve"> </w:t>
      </w:r>
      <w:r w:rsidR="00554719" w:rsidRPr="00211C8B">
        <w:t xml:space="preserve">are adjusted </w:t>
      </w:r>
      <w:r w:rsidR="009D4C0F" w:rsidRPr="00211C8B">
        <w:t>according to the patient</w:t>
      </w:r>
      <w:r w:rsidR="00AC5D0F" w:rsidRPr="00211C8B">
        <w:t>’</w:t>
      </w:r>
      <w:r w:rsidR="009D4C0F" w:rsidRPr="00211C8B">
        <w:t xml:space="preserve">s response, </w:t>
      </w:r>
      <w:r w:rsidR="00554719" w:rsidRPr="00211C8B">
        <w:t xml:space="preserve">but usually </w:t>
      </w:r>
      <w:r w:rsidR="009D4C0F" w:rsidRPr="00211C8B">
        <w:t xml:space="preserve">not higher than 450 IU daily. A single injection of </w:t>
      </w:r>
      <w:r w:rsidR="0027140F" w:rsidRPr="00211C8B">
        <w:t xml:space="preserve">hCG </w:t>
      </w:r>
      <w:r w:rsidR="009D4C0F" w:rsidRPr="00211C8B">
        <w:t xml:space="preserve">is administered 24–48 hours after the last </w:t>
      </w:r>
      <w:r w:rsidR="00907340" w:rsidRPr="00211C8B">
        <w:t>Gonal-f</w:t>
      </w:r>
      <w:r w:rsidR="009D4C0F" w:rsidRPr="00211C8B">
        <w:t xml:space="preserve"> injection to induce final follicular maturation. Down-regulation with either a </w:t>
      </w:r>
      <w:r w:rsidR="00C54EC8" w:rsidRPr="00211C8B">
        <w:t>gonadotropin-releasing hormone (GnRH)</w:t>
      </w:r>
      <w:r w:rsidR="009D4C0F" w:rsidRPr="00211C8B">
        <w:t xml:space="preserve"> agonist or antagonist is now commonly used to suppress the endogenous </w:t>
      </w:r>
      <w:r w:rsidR="00210A96" w:rsidRPr="00211C8B">
        <w:t>luteinizing hormone</w:t>
      </w:r>
      <w:r w:rsidR="009D4C0F" w:rsidRPr="00211C8B">
        <w:t xml:space="preserve"> surge and to control to</w:t>
      </w:r>
      <w:r w:rsidR="005E4CB2" w:rsidRPr="00211C8B">
        <w:t>x</w:t>
      </w:r>
      <w:r w:rsidR="009D4C0F" w:rsidRPr="00211C8B">
        <w:t xml:space="preserve">ic levels of </w:t>
      </w:r>
      <w:r w:rsidR="00210A96" w:rsidRPr="00211C8B">
        <w:t>luteinizing hormone</w:t>
      </w:r>
      <w:r w:rsidR="009D4C0F" w:rsidRPr="00211C8B">
        <w:t>.</w:t>
      </w:r>
    </w:p>
    <w:p w14:paraId="318AAEA1" w14:textId="77777777" w:rsidR="002342CC" w:rsidRPr="00211C8B" w:rsidRDefault="002342CC" w:rsidP="00231FB2">
      <w:pPr>
        <w:pStyle w:val="3-BodyText"/>
        <w:numPr>
          <w:ilvl w:val="0"/>
          <w:numId w:val="0"/>
        </w:numPr>
        <w:ind w:left="720"/>
        <w:rPr>
          <w:rFonts w:eastAsia="Calibri" w:cstheme="minorHAnsi"/>
          <w:i/>
          <w:iCs/>
        </w:rPr>
      </w:pPr>
      <w:r w:rsidRPr="00211C8B">
        <w:rPr>
          <w:i/>
          <w:iCs/>
        </w:rPr>
        <w:t>For more detail on PBAC’s view, see section 7 PBAC outcome.</w:t>
      </w:r>
    </w:p>
    <w:p w14:paraId="305A1295" w14:textId="77777777" w:rsidR="009D4C0F" w:rsidRPr="00211C8B" w:rsidRDefault="009D4C0F" w:rsidP="00943FFD">
      <w:pPr>
        <w:pStyle w:val="2-SectionHeading"/>
      </w:pPr>
      <w:bookmarkStart w:id="22" w:name="_Toc79702739"/>
      <w:bookmarkStart w:id="23" w:name="_Toc82610357"/>
      <w:r w:rsidRPr="00211C8B">
        <w:t>Comparator</w:t>
      </w:r>
      <w:bookmarkEnd w:id="22"/>
      <w:bookmarkEnd w:id="23"/>
    </w:p>
    <w:p w14:paraId="0A87AB89" w14:textId="77777777" w:rsidR="00F10DCE" w:rsidRPr="00211C8B" w:rsidRDefault="009D4C0F" w:rsidP="00943FFD">
      <w:pPr>
        <w:pStyle w:val="3-BodyText"/>
      </w:pPr>
      <w:r w:rsidRPr="00211C8B">
        <w:t xml:space="preserve">The submission nominated </w:t>
      </w:r>
      <w:r w:rsidR="00E77B68" w:rsidRPr="00211C8B">
        <w:t>“</w:t>
      </w:r>
      <w:r w:rsidRPr="00211C8B">
        <w:t>biosimilar preparations of follitropin alfa</w:t>
      </w:r>
      <w:r w:rsidR="00E77B68" w:rsidRPr="00211C8B">
        <w:t>”</w:t>
      </w:r>
      <w:r w:rsidRPr="00211C8B">
        <w:t xml:space="preserve"> as the comparator. The clinical evaluation included all biosimilar preparations of follitropin alfa as comparators</w:t>
      </w:r>
      <w:r w:rsidR="00E13E20" w:rsidRPr="00211C8B">
        <w:t xml:space="preserve"> including Bemfola, Ovaleap, Primapur and Follitrope. As Primapur and Follitrope</w:t>
      </w:r>
      <w:r w:rsidR="00E13E20" w:rsidRPr="00211C8B">
        <w:rPr>
          <w:rFonts w:cs="Calibri"/>
        </w:rPr>
        <w:t xml:space="preserve"> are not currently approved by the TGA, the submission presented a separate analysis including only </w:t>
      </w:r>
      <w:r w:rsidR="00E13E20" w:rsidRPr="00211C8B">
        <w:t xml:space="preserve">Bemfola and Ovaleap as comparators. </w:t>
      </w:r>
      <w:r w:rsidR="0008046F" w:rsidRPr="00211C8B">
        <w:t xml:space="preserve">The PBAC considered that this </w:t>
      </w:r>
      <w:r w:rsidR="00E13E20" w:rsidRPr="00211C8B">
        <w:t>was appropriate.</w:t>
      </w:r>
    </w:p>
    <w:p w14:paraId="11CC4C3D" w14:textId="77777777" w:rsidR="00F10DCE" w:rsidRPr="00211C8B" w:rsidRDefault="00F10DCE" w:rsidP="00943FFD">
      <w:pPr>
        <w:pStyle w:val="3-BodyText"/>
      </w:pPr>
      <w:r w:rsidRPr="00211C8B">
        <w:t>Bemfola was used as a proxy for all biosimilar preparations of follitropin alfa in the economic evaluation and financial estimates</w:t>
      </w:r>
      <w:r w:rsidR="00CC6E79" w:rsidRPr="00211C8B">
        <w:t xml:space="preserve">; </w:t>
      </w:r>
      <w:r w:rsidRPr="00211C8B">
        <w:t xml:space="preserve">Bemfola was selected as a proxy </w:t>
      </w:r>
      <w:r w:rsidR="00843963" w:rsidRPr="00211C8B">
        <w:t xml:space="preserve">because </w:t>
      </w:r>
      <w:r w:rsidRPr="00211C8B">
        <w:t xml:space="preserve">it is </w:t>
      </w:r>
      <w:r w:rsidR="00CC6E79" w:rsidRPr="00211C8B">
        <w:t xml:space="preserve">currently </w:t>
      </w:r>
      <w:r w:rsidRPr="00211C8B">
        <w:t>PBS listed.</w:t>
      </w:r>
    </w:p>
    <w:p w14:paraId="65956CBE" w14:textId="77777777" w:rsidR="002342CC" w:rsidRPr="00211C8B" w:rsidRDefault="002342CC" w:rsidP="00231FB2">
      <w:pPr>
        <w:pStyle w:val="3-BodyText"/>
        <w:numPr>
          <w:ilvl w:val="0"/>
          <w:numId w:val="0"/>
        </w:numPr>
        <w:ind w:left="709"/>
        <w:rPr>
          <w:i/>
          <w:iCs/>
        </w:rPr>
      </w:pPr>
      <w:r w:rsidRPr="00211C8B">
        <w:rPr>
          <w:i/>
          <w:iCs/>
        </w:rPr>
        <w:t>For more detail on PBAC’s view, see section 7 PBAC outcome.</w:t>
      </w:r>
    </w:p>
    <w:p w14:paraId="307991C9" w14:textId="77777777" w:rsidR="009D4C0F" w:rsidRPr="00211C8B" w:rsidRDefault="009D4C0F" w:rsidP="00943FFD">
      <w:pPr>
        <w:pStyle w:val="2-SectionHeading"/>
      </w:pPr>
      <w:bookmarkStart w:id="24" w:name="_Toc79702740"/>
      <w:bookmarkStart w:id="25" w:name="_Toc82610358"/>
      <w:r w:rsidRPr="00211C8B">
        <w:t>Consideration of the evidence</w:t>
      </w:r>
      <w:bookmarkEnd w:id="24"/>
      <w:bookmarkEnd w:id="25"/>
    </w:p>
    <w:p w14:paraId="42DAA0EA" w14:textId="77777777" w:rsidR="00231FB2" w:rsidRPr="00211C8B" w:rsidRDefault="00231FB2" w:rsidP="00231FB2">
      <w:pPr>
        <w:pStyle w:val="4-SubsectionHeading"/>
      </w:pPr>
      <w:bookmarkStart w:id="26" w:name="_Toc79702741"/>
      <w:bookmarkStart w:id="27" w:name="_Toc82610359"/>
      <w:r w:rsidRPr="00211C8B">
        <w:t>Sponsor hearing</w:t>
      </w:r>
    </w:p>
    <w:p w14:paraId="585C0321" w14:textId="77777777" w:rsidR="00231FB2" w:rsidRPr="00211C8B" w:rsidRDefault="00140971" w:rsidP="00CD4AAF">
      <w:pPr>
        <w:pStyle w:val="3-BodyText"/>
      </w:pPr>
      <w:r w:rsidRPr="00211C8B">
        <w:rPr>
          <w:rFonts w:cs="Arial"/>
          <w:bCs/>
          <w:snapToGrid w:val="0"/>
        </w:rPr>
        <w:t xml:space="preserve">The sponsor requested a hearing for this item. The clinician presented a commentary on the methodology of the </w:t>
      </w:r>
      <w:r w:rsidRPr="00211C8B">
        <w:t>Chua et al. 2021</w:t>
      </w:r>
      <w:r w:rsidR="00211C8B" w:rsidRPr="00211C8B">
        <w:t xml:space="preserve"> systematic review and</w:t>
      </w:r>
      <w:r w:rsidRPr="00211C8B">
        <w:t xml:space="preserve"> meta-analysis</w:t>
      </w:r>
      <w:r w:rsidR="00555692">
        <w:t>,</w:t>
      </w:r>
      <w:r w:rsidRPr="00211C8B">
        <w:rPr>
          <w:rFonts w:cs="Arial"/>
          <w:bCs/>
          <w:snapToGrid w:val="0"/>
        </w:rPr>
        <w:t xml:space="preserve"> and explained the choice and relevance of the outcomes presented. The clinician was supportive of the submission’s claim that Gonal-f is superior to its comparators but noted that further research is required to determine the nature of the superiority</w:t>
      </w:r>
      <w:r w:rsidR="001B6B13">
        <w:rPr>
          <w:rFonts w:cs="Arial"/>
          <w:bCs/>
          <w:snapToGrid w:val="0"/>
        </w:rPr>
        <w:t xml:space="preserve"> and the mechanism by which it is achieved</w:t>
      </w:r>
      <w:r w:rsidRPr="00211C8B">
        <w:rPr>
          <w:rFonts w:cs="Arial"/>
          <w:bCs/>
          <w:snapToGrid w:val="0"/>
        </w:rPr>
        <w:t>. The PBAC considered that the hearing provided a greater insight into how the meta-analysis was conducted. The PBAC did not ask the clinician any questions.</w:t>
      </w:r>
    </w:p>
    <w:p w14:paraId="5CF0E5D3" w14:textId="77777777" w:rsidR="00231FB2" w:rsidRPr="00211C8B" w:rsidRDefault="00231FB2" w:rsidP="009D4C0F">
      <w:pPr>
        <w:pStyle w:val="4-SubsectionHeading"/>
      </w:pPr>
      <w:r w:rsidRPr="00211C8B">
        <w:t>Consumer comments</w:t>
      </w:r>
    </w:p>
    <w:p w14:paraId="20ADAB84" w14:textId="2F7E82EC" w:rsidR="00477263" w:rsidRPr="00211C8B" w:rsidRDefault="00330EA2" w:rsidP="00D47991">
      <w:pPr>
        <w:pStyle w:val="3-BodyText"/>
      </w:pPr>
      <w:r w:rsidRPr="00211C8B">
        <w:rPr>
          <w:rFonts w:cs="Arial"/>
          <w:bCs/>
          <w:snapToGrid w:val="0"/>
        </w:rPr>
        <w:t xml:space="preserve">The PBAC noted and welcomed the input from individuals (1), health care professionals (6) and organisations (2) via the Consumer Comments facility on the PBS website. The PBAC noted the advice received from </w:t>
      </w:r>
      <w:r w:rsidRPr="00211C8B">
        <w:rPr>
          <w:bCs/>
          <w:snapToGrid w:val="0"/>
        </w:rPr>
        <w:t xml:space="preserve">Fertility First and Access Australia as well as </w:t>
      </w:r>
      <w:r w:rsidRPr="00211C8B">
        <w:t xml:space="preserve">the other consumer comments that did not support the ‘a’-flagging of Ovaleap with Gonal-f. The comments described a range of concerns about the pharmaceutical and clinical differences affecting patient outcomes, and quality use of medicine issues. Notably a comment described the specifying of “Brand Substitution Not Permitted” as an administrative burden for prescribers and that ‘a’ flagging Gonal-f to Ovaleap allowed a margin for error. </w:t>
      </w:r>
      <w:r w:rsidRPr="00211C8B">
        <w:rPr>
          <w:bCs/>
          <w:snapToGrid w:val="0"/>
        </w:rPr>
        <w:t xml:space="preserve">The PBAC noted that at the time the Consumer Comments facility closed for this submission, the Public Summary Document </w:t>
      </w:r>
      <w:r w:rsidR="00A37D38">
        <w:rPr>
          <w:bCs/>
          <w:snapToGrid w:val="0"/>
        </w:rPr>
        <w:t xml:space="preserve">(PSD) </w:t>
      </w:r>
      <w:r w:rsidRPr="00211C8B">
        <w:rPr>
          <w:bCs/>
          <w:snapToGrid w:val="0"/>
        </w:rPr>
        <w:t>for Ovaleap had not yet been made publicly available.</w:t>
      </w:r>
    </w:p>
    <w:p w14:paraId="4199B4F4" w14:textId="77777777" w:rsidR="009D4C0F" w:rsidRPr="00211C8B" w:rsidRDefault="009D4C0F" w:rsidP="009D4C0F">
      <w:pPr>
        <w:pStyle w:val="4-SubsectionHeading"/>
      </w:pPr>
      <w:r w:rsidRPr="00211C8B">
        <w:t xml:space="preserve">Clinical </w:t>
      </w:r>
      <w:bookmarkEnd w:id="26"/>
      <w:bookmarkEnd w:id="27"/>
      <w:r w:rsidR="00C4230B">
        <w:t>trials</w:t>
      </w:r>
    </w:p>
    <w:p w14:paraId="40BFD1DA" w14:textId="77777777" w:rsidR="009D4C0F" w:rsidRPr="00211C8B" w:rsidRDefault="009D4C0F" w:rsidP="00943FFD">
      <w:pPr>
        <w:pStyle w:val="3-BodyText"/>
        <w:rPr>
          <w:color w:val="0066FF"/>
        </w:rPr>
      </w:pPr>
      <w:r w:rsidRPr="00211C8B">
        <w:t xml:space="preserve">The submission was based on a systematic review and meta-analysis </w:t>
      </w:r>
      <w:r w:rsidR="000F797F" w:rsidRPr="00211C8B">
        <w:t xml:space="preserve">by Chua et al. 2021 which included </w:t>
      </w:r>
      <w:r w:rsidRPr="00211C8B">
        <w:t xml:space="preserve">five head-to-head randomised </w:t>
      </w:r>
      <w:r w:rsidR="00C4230B">
        <w:t>trials</w:t>
      </w:r>
      <w:r w:rsidR="00AA74DA" w:rsidRPr="00211C8B">
        <w:t xml:space="preserve"> </w:t>
      </w:r>
      <w:r w:rsidRPr="00211C8B">
        <w:t xml:space="preserve">comparing </w:t>
      </w:r>
      <w:r w:rsidR="00907340" w:rsidRPr="00211C8B">
        <w:t>Gonal-f</w:t>
      </w:r>
      <w:r w:rsidRPr="00211C8B">
        <w:t xml:space="preserve"> to biosimilar preparations of follitropin alfa (n=</w:t>
      </w:r>
      <w:r w:rsidR="00A45664" w:rsidRPr="00211C8B">
        <w:t>1,181</w:t>
      </w:r>
      <w:r w:rsidR="00413F85" w:rsidRPr="00211C8B">
        <w:t xml:space="preserve">; </w:t>
      </w:r>
      <w:r w:rsidR="0057214D" w:rsidRPr="00211C8B">
        <w:rPr>
          <w:iCs/>
        </w:rPr>
        <w:t xml:space="preserve">corrected to </w:t>
      </w:r>
      <w:r w:rsidR="006B4142" w:rsidRPr="00211C8B">
        <w:rPr>
          <w:iCs/>
        </w:rPr>
        <w:t>n=</w:t>
      </w:r>
      <w:r w:rsidR="00D17BF0" w:rsidRPr="00211C8B">
        <w:t>2,332</w:t>
      </w:r>
      <w:r w:rsidR="0057214D" w:rsidRPr="00211C8B">
        <w:rPr>
          <w:iCs/>
        </w:rPr>
        <w:t xml:space="preserve"> during the evaluation</w:t>
      </w:r>
      <w:r w:rsidR="00BD0BC0" w:rsidRPr="00211C8B">
        <w:rPr>
          <w:iCs/>
        </w:rPr>
        <w:t xml:space="preserve"> as the reported sample size </w:t>
      </w:r>
      <w:r w:rsidR="00ED5763" w:rsidRPr="00211C8B">
        <w:rPr>
          <w:iCs/>
        </w:rPr>
        <w:t xml:space="preserve">in the submission was </w:t>
      </w:r>
      <w:r w:rsidR="00BD0BC0" w:rsidRPr="00211C8B">
        <w:rPr>
          <w:iCs/>
        </w:rPr>
        <w:t>less than</w:t>
      </w:r>
      <w:r w:rsidR="00ED5763" w:rsidRPr="00211C8B">
        <w:rPr>
          <w:iCs/>
        </w:rPr>
        <w:t xml:space="preserve"> the sum of the sample sizes of the included </w:t>
      </w:r>
      <w:r w:rsidR="00C4230B">
        <w:rPr>
          <w:iCs/>
        </w:rPr>
        <w:t>trials</w:t>
      </w:r>
      <w:r w:rsidRPr="00211C8B">
        <w:t xml:space="preserve">). </w:t>
      </w:r>
      <w:r w:rsidR="00817931">
        <w:t xml:space="preserve">Brand-specific </w:t>
      </w:r>
      <w:r w:rsidRPr="00211C8B">
        <w:t xml:space="preserve">analyses were conducted by </w:t>
      </w:r>
      <w:r w:rsidR="00211C8B" w:rsidRPr="00211C8B">
        <w:t xml:space="preserve">the </w:t>
      </w:r>
      <w:r w:rsidRPr="00211C8B">
        <w:t>specific biosimilar preparation used including Bemfola (n=1,472</w:t>
      </w:r>
      <w:r w:rsidR="00817931">
        <w:t>, 2 studies</w:t>
      </w:r>
      <w:r w:rsidRPr="00211C8B">
        <w:t>), Ovaleap (n=299</w:t>
      </w:r>
      <w:r w:rsidR="00817931">
        <w:t>, 1 study</w:t>
      </w:r>
      <w:r w:rsidRPr="00211C8B">
        <w:t>), Primapur (n=110</w:t>
      </w:r>
      <w:r w:rsidR="00817931">
        <w:t>, 1 study</w:t>
      </w:r>
      <w:r w:rsidRPr="00211C8B">
        <w:t xml:space="preserve">), </w:t>
      </w:r>
      <w:r w:rsidR="00211C8B" w:rsidRPr="00211C8B">
        <w:t xml:space="preserve">and </w:t>
      </w:r>
      <w:r w:rsidRPr="00211C8B">
        <w:t>Follitrope (n=451</w:t>
      </w:r>
      <w:r w:rsidR="00817931">
        <w:t>, 1 study</w:t>
      </w:r>
      <w:r w:rsidRPr="00211C8B">
        <w:t xml:space="preserve">). </w:t>
      </w:r>
      <w:r w:rsidR="000F797F" w:rsidRPr="00211C8B">
        <w:t>T</w:t>
      </w:r>
      <w:r w:rsidR="00E13E20" w:rsidRPr="00211C8B">
        <w:t xml:space="preserve">he qualitative systematic review used information from 17 </w:t>
      </w:r>
      <w:r w:rsidR="00C4230B">
        <w:t>trials</w:t>
      </w:r>
      <w:r w:rsidR="00E13E20" w:rsidRPr="00211C8B">
        <w:t xml:space="preserve"> while the meta-analysis used the data from five published randomised </w:t>
      </w:r>
      <w:r w:rsidR="00C4230B">
        <w:t>trials</w:t>
      </w:r>
      <w:r w:rsidR="00E13E20" w:rsidRPr="00211C8B">
        <w:t xml:space="preserve">. This </w:t>
      </w:r>
      <w:r w:rsidR="00C4230B">
        <w:t>review</w:t>
      </w:r>
      <w:r w:rsidR="00C4230B" w:rsidRPr="00211C8B">
        <w:t xml:space="preserve"> </w:t>
      </w:r>
      <w:r w:rsidR="00E13E20" w:rsidRPr="00211C8B">
        <w:t>was funded by the sponsor</w:t>
      </w:r>
      <w:r w:rsidR="00211C8B" w:rsidRPr="00211C8B">
        <w:t xml:space="preserve"> of Gonal-f</w:t>
      </w:r>
      <w:r w:rsidR="00E13E20" w:rsidRPr="00211C8B">
        <w:t>.</w:t>
      </w:r>
    </w:p>
    <w:p w14:paraId="19E2708A" w14:textId="77777777" w:rsidR="000F797F" w:rsidRPr="00211C8B" w:rsidRDefault="009D4C0F" w:rsidP="00943FFD">
      <w:pPr>
        <w:pStyle w:val="3-BodyText"/>
      </w:pPr>
      <w:r w:rsidRPr="00211C8B">
        <w:t xml:space="preserve">Details of the </w:t>
      </w:r>
      <w:r w:rsidR="00C4230B">
        <w:t>trials</w:t>
      </w:r>
      <w:r w:rsidRPr="00211C8B">
        <w:t xml:space="preserve"> presented in the submission are provided in </w:t>
      </w:r>
      <w:r w:rsidR="00637BF6" w:rsidRPr="00211C8B">
        <w:t xml:space="preserve">Table </w:t>
      </w:r>
      <w:r w:rsidR="00363435" w:rsidRPr="00211C8B">
        <w:t>2.</w:t>
      </w:r>
    </w:p>
    <w:p w14:paraId="1F041788" w14:textId="77777777" w:rsidR="0010090F" w:rsidRDefault="0010090F" w:rsidP="00284991">
      <w:pPr>
        <w:pStyle w:val="TableFigureHeading"/>
      </w:pPr>
      <w:r>
        <w:t xml:space="preserve">Table </w:t>
      </w:r>
      <w:r w:rsidR="00360359">
        <w:rPr>
          <w:noProof/>
        </w:rPr>
        <w:t>2</w:t>
      </w:r>
      <w:r>
        <w:t xml:space="preserve">: </w:t>
      </w:r>
      <w:r w:rsidR="00C4230B">
        <w:t>Trials</w:t>
      </w:r>
      <w:r w:rsidRPr="00580984">
        <w:t xml:space="preserve">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rials and associated reports presented in the submission"/>
        <w:tblDescription w:val="Trials and associated reports presented in the submission"/>
      </w:tblPr>
      <w:tblGrid>
        <w:gridCol w:w="1435"/>
        <w:gridCol w:w="5459"/>
        <w:gridCol w:w="2123"/>
      </w:tblGrid>
      <w:tr w:rsidR="00363435" w:rsidRPr="00211C8B" w14:paraId="42DEE935" w14:textId="77777777" w:rsidTr="00B04B36">
        <w:trPr>
          <w:tblHeader/>
        </w:trPr>
        <w:tc>
          <w:tcPr>
            <w:tcW w:w="796" w:type="pct"/>
            <w:vAlign w:val="center"/>
          </w:tcPr>
          <w:p w14:paraId="7B077520" w14:textId="77777777" w:rsidR="00363435" w:rsidRPr="0010090F" w:rsidRDefault="00363435" w:rsidP="00211C8B">
            <w:pPr>
              <w:pStyle w:val="In-tableHeading"/>
              <w:rPr>
                <w:lang w:val="en-AU"/>
              </w:rPr>
            </w:pPr>
            <w:r w:rsidRPr="0010090F">
              <w:rPr>
                <w:lang w:val="en-AU"/>
              </w:rPr>
              <w:t>Trial ID/Author Year</w:t>
            </w:r>
          </w:p>
        </w:tc>
        <w:tc>
          <w:tcPr>
            <w:tcW w:w="3027" w:type="pct"/>
            <w:vAlign w:val="center"/>
          </w:tcPr>
          <w:p w14:paraId="682539B8" w14:textId="77777777" w:rsidR="00363435" w:rsidRPr="00B40578" w:rsidRDefault="00363435" w:rsidP="00211C8B">
            <w:pPr>
              <w:pStyle w:val="In-tableHeading"/>
              <w:rPr>
                <w:lang w:val="en-AU"/>
              </w:rPr>
            </w:pPr>
            <w:r w:rsidRPr="00B40578">
              <w:rPr>
                <w:lang w:val="en-AU"/>
              </w:rPr>
              <w:t>Protocol title/ Publication title</w:t>
            </w:r>
          </w:p>
        </w:tc>
        <w:tc>
          <w:tcPr>
            <w:tcW w:w="1177" w:type="pct"/>
            <w:vAlign w:val="center"/>
          </w:tcPr>
          <w:p w14:paraId="772433AA" w14:textId="77777777" w:rsidR="00363435" w:rsidRPr="005A791F" w:rsidRDefault="00363435" w:rsidP="0010090F">
            <w:pPr>
              <w:pStyle w:val="In-tableHeading"/>
              <w:rPr>
                <w:lang w:val="en-AU"/>
              </w:rPr>
            </w:pPr>
            <w:r w:rsidRPr="005A791F">
              <w:rPr>
                <w:lang w:val="en-AU"/>
              </w:rPr>
              <w:t>Publication citation</w:t>
            </w:r>
          </w:p>
        </w:tc>
      </w:tr>
      <w:tr w:rsidR="00363435" w:rsidRPr="00211C8B" w14:paraId="6CFAC1C8" w14:textId="77777777" w:rsidTr="00B04B36">
        <w:tc>
          <w:tcPr>
            <w:tcW w:w="796" w:type="pct"/>
            <w:tcBorders>
              <w:top w:val="nil"/>
              <w:bottom w:val="single" w:sz="4" w:space="0" w:color="auto"/>
            </w:tcBorders>
            <w:vAlign w:val="center"/>
          </w:tcPr>
          <w:p w14:paraId="7CA5782F" w14:textId="77777777" w:rsidR="00363435" w:rsidRPr="00211C8B" w:rsidRDefault="00363435" w:rsidP="00B04B36">
            <w:pPr>
              <w:pStyle w:val="TableText0"/>
              <w:jc w:val="center"/>
              <w:rPr>
                <w:color w:val="000000" w:themeColor="text1"/>
                <w:szCs w:val="20"/>
              </w:rPr>
            </w:pPr>
            <w:r w:rsidRPr="00211C8B">
              <w:rPr>
                <w:rFonts w:cstheme="minorHAnsi"/>
                <w:color w:val="000000" w:themeColor="text1"/>
                <w:szCs w:val="20"/>
              </w:rPr>
              <w:t>NCT01121666</w:t>
            </w:r>
          </w:p>
        </w:tc>
        <w:tc>
          <w:tcPr>
            <w:tcW w:w="3027" w:type="pct"/>
            <w:tcBorders>
              <w:top w:val="nil"/>
              <w:bottom w:val="single" w:sz="4" w:space="0" w:color="auto"/>
            </w:tcBorders>
            <w:vAlign w:val="center"/>
          </w:tcPr>
          <w:p w14:paraId="73008C6C" w14:textId="77777777" w:rsidR="00363435" w:rsidRPr="00211C8B" w:rsidRDefault="00363435" w:rsidP="00B04B36">
            <w:pPr>
              <w:pStyle w:val="TableText0"/>
              <w:rPr>
                <w:color w:val="000000" w:themeColor="text1"/>
                <w:szCs w:val="20"/>
              </w:rPr>
            </w:pPr>
            <w:r w:rsidRPr="00211C8B">
              <w:rPr>
                <w:rFonts w:cs="Arial"/>
                <w:color w:val="000000" w:themeColor="text1"/>
                <w:szCs w:val="20"/>
                <w:lang w:eastAsia="zh-CN"/>
              </w:rPr>
              <w:t xml:space="preserve">A multi-Centre phase 3 </w:t>
            </w:r>
            <w:r w:rsidR="00C4230B">
              <w:rPr>
                <w:rFonts w:cs="Arial"/>
                <w:color w:val="000000" w:themeColor="text1"/>
                <w:szCs w:val="20"/>
                <w:lang w:eastAsia="zh-CN"/>
              </w:rPr>
              <w:t>trial</w:t>
            </w:r>
            <w:r w:rsidRPr="00211C8B">
              <w:rPr>
                <w:rFonts w:cs="Arial"/>
                <w:color w:val="000000" w:themeColor="text1"/>
                <w:szCs w:val="20"/>
                <w:lang w:eastAsia="zh-CN"/>
              </w:rPr>
              <w:t xml:space="preserve"> comparing efficacy and safety of Bemfola ® versus Gonal-f ® in women undergoing ovarian stimulation for IVF</w:t>
            </w:r>
          </w:p>
        </w:tc>
        <w:tc>
          <w:tcPr>
            <w:tcW w:w="1177" w:type="pct"/>
            <w:tcBorders>
              <w:top w:val="nil"/>
              <w:bottom w:val="single" w:sz="4" w:space="0" w:color="auto"/>
            </w:tcBorders>
            <w:vAlign w:val="center"/>
          </w:tcPr>
          <w:p w14:paraId="7717F40E" w14:textId="77777777" w:rsidR="00363435" w:rsidRPr="00211C8B" w:rsidRDefault="00363435" w:rsidP="00B04B36">
            <w:pPr>
              <w:pStyle w:val="TableText0"/>
              <w:rPr>
                <w:i/>
                <w:color w:val="000000" w:themeColor="text1"/>
                <w:szCs w:val="20"/>
              </w:rPr>
            </w:pPr>
            <w:r w:rsidRPr="00211C8B">
              <w:rPr>
                <w:rFonts w:cs="Arial"/>
                <w:color w:val="000000" w:themeColor="text1"/>
                <w:szCs w:val="20"/>
                <w:lang w:eastAsia="zh-CN"/>
              </w:rPr>
              <w:t>Reprod BioMed Online. 2015;30:504-13</w:t>
            </w:r>
          </w:p>
        </w:tc>
      </w:tr>
      <w:tr w:rsidR="00363435" w:rsidRPr="00211C8B" w14:paraId="38B9B237" w14:textId="77777777" w:rsidTr="00B04B36">
        <w:tc>
          <w:tcPr>
            <w:tcW w:w="796" w:type="pct"/>
            <w:tcBorders>
              <w:bottom w:val="single" w:sz="4" w:space="0" w:color="auto"/>
              <w:right w:val="single" w:sz="4" w:space="0" w:color="auto"/>
            </w:tcBorders>
            <w:vAlign w:val="center"/>
          </w:tcPr>
          <w:p w14:paraId="6AE909DE" w14:textId="77777777" w:rsidR="00363435" w:rsidRPr="00211C8B" w:rsidRDefault="00363435" w:rsidP="00B04B36">
            <w:pPr>
              <w:pStyle w:val="TableText0"/>
              <w:jc w:val="center"/>
              <w:rPr>
                <w:rFonts w:cstheme="minorHAnsi"/>
                <w:color w:val="000000" w:themeColor="text1"/>
                <w:szCs w:val="20"/>
              </w:rPr>
            </w:pPr>
            <w:r w:rsidRPr="00211C8B">
              <w:rPr>
                <w:rFonts w:cs="Arial"/>
                <w:color w:val="000000" w:themeColor="text1"/>
                <w:kern w:val="24"/>
                <w:szCs w:val="20"/>
                <w:lang w:eastAsia="en-GB"/>
              </w:rPr>
              <w:t>NCT01687712</w:t>
            </w:r>
          </w:p>
        </w:tc>
        <w:tc>
          <w:tcPr>
            <w:tcW w:w="3027" w:type="pct"/>
            <w:tcBorders>
              <w:left w:val="single" w:sz="4" w:space="0" w:color="auto"/>
              <w:bottom w:val="single" w:sz="4" w:space="0" w:color="auto"/>
              <w:right w:val="single" w:sz="4" w:space="0" w:color="auto"/>
            </w:tcBorders>
            <w:vAlign w:val="center"/>
          </w:tcPr>
          <w:p w14:paraId="092C7F5D" w14:textId="77777777" w:rsidR="00363435" w:rsidRPr="00211C8B" w:rsidRDefault="00363435" w:rsidP="00B04B36">
            <w:pPr>
              <w:pStyle w:val="TableText0"/>
              <w:rPr>
                <w:rFonts w:cs="Arial"/>
                <w:color w:val="000000" w:themeColor="text1"/>
                <w:szCs w:val="20"/>
                <w:lang w:eastAsia="zh-CN"/>
              </w:rPr>
            </w:pPr>
            <w:r w:rsidRPr="00211C8B">
              <w:rPr>
                <w:rFonts w:cs="Arial"/>
                <w:color w:val="000000" w:themeColor="text1"/>
                <w:szCs w:val="20"/>
                <w:lang w:eastAsia="zh-CN"/>
              </w:rPr>
              <w:t xml:space="preserve">Fertility Biotech AG: Phase III </w:t>
            </w:r>
            <w:r w:rsidR="00C4230B">
              <w:rPr>
                <w:rFonts w:cs="Arial"/>
                <w:color w:val="000000" w:themeColor="text1"/>
                <w:szCs w:val="20"/>
                <w:lang w:eastAsia="zh-CN"/>
              </w:rPr>
              <w:t>Trial</w:t>
            </w:r>
            <w:r w:rsidRPr="00211C8B">
              <w:rPr>
                <w:rFonts w:cs="Arial"/>
                <w:color w:val="000000" w:themeColor="text1"/>
                <w:szCs w:val="20"/>
                <w:lang w:eastAsia="zh-CN"/>
              </w:rPr>
              <w:t xml:space="preserve"> Comparing Efficacy and Safety of AFOLIA vs Gonal-f RFF in Women (35 to 42) Undergoing IVF</w:t>
            </w:r>
          </w:p>
        </w:tc>
        <w:tc>
          <w:tcPr>
            <w:tcW w:w="1177" w:type="pct"/>
            <w:tcBorders>
              <w:left w:val="single" w:sz="4" w:space="0" w:color="auto"/>
              <w:bottom w:val="single" w:sz="4" w:space="0" w:color="auto"/>
            </w:tcBorders>
            <w:vAlign w:val="center"/>
          </w:tcPr>
          <w:p w14:paraId="0B1ED40D" w14:textId="77777777" w:rsidR="00363435" w:rsidRPr="00211C8B" w:rsidRDefault="00363435" w:rsidP="00B04B36">
            <w:pPr>
              <w:pStyle w:val="TableText0"/>
              <w:rPr>
                <w:rFonts w:cs="Arial"/>
                <w:color w:val="000000" w:themeColor="text1"/>
                <w:szCs w:val="20"/>
                <w:lang w:eastAsia="zh-CN"/>
              </w:rPr>
            </w:pPr>
            <w:r w:rsidRPr="00211C8B">
              <w:rPr>
                <w:rFonts w:cs="Arial"/>
                <w:color w:val="000000" w:themeColor="text1"/>
                <w:szCs w:val="20"/>
                <w:lang w:eastAsia="zh-CN"/>
              </w:rPr>
              <w:t>U.S. National Library of Medicine; 2012 September. Report No.: NCT1687712</w:t>
            </w:r>
          </w:p>
        </w:tc>
      </w:tr>
      <w:tr w:rsidR="00363435" w:rsidRPr="00211C8B" w14:paraId="107CCBD2" w14:textId="77777777" w:rsidTr="00B04B36">
        <w:tc>
          <w:tcPr>
            <w:tcW w:w="796" w:type="pct"/>
            <w:vMerge w:val="restart"/>
            <w:tcBorders>
              <w:top w:val="single" w:sz="4" w:space="0" w:color="auto"/>
            </w:tcBorders>
            <w:vAlign w:val="center"/>
          </w:tcPr>
          <w:p w14:paraId="46F6CA5C" w14:textId="77777777" w:rsidR="00363435" w:rsidRPr="00211C8B" w:rsidRDefault="00363435" w:rsidP="00B04B36">
            <w:pPr>
              <w:pStyle w:val="TableText0"/>
              <w:jc w:val="center"/>
              <w:rPr>
                <w:color w:val="000000" w:themeColor="text1"/>
                <w:szCs w:val="20"/>
              </w:rPr>
            </w:pPr>
            <w:r w:rsidRPr="00211C8B">
              <w:rPr>
                <w:rFonts w:cstheme="minorHAnsi"/>
                <w:color w:val="000000" w:themeColor="text1"/>
                <w:szCs w:val="20"/>
              </w:rPr>
              <w:t>ISRCTN74772901</w:t>
            </w:r>
          </w:p>
        </w:tc>
        <w:tc>
          <w:tcPr>
            <w:tcW w:w="3027" w:type="pct"/>
            <w:tcBorders>
              <w:top w:val="single" w:sz="4" w:space="0" w:color="auto"/>
              <w:bottom w:val="nil"/>
            </w:tcBorders>
            <w:vAlign w:val="center"/>
          </w:tcPr>
          <w:p w14:paraId="04BE1839" w14:textId="77777777" w:rsidR="00363435" w:rsidRPr="00211C8B" w:rsidRDefault="00363435" w:rsidP="00B04B36">
            <w:pPr>
              <w:pStyle w:val="TableText0"/>
              <w:rPr>
                <w:color w:val="000000" w:themeColor="text1"/>
                <w:szCs w:val="20"/>
              </w:rPr>
            </w:pPr>
            <w:r w:rsidRPr="00211C8B">
              <w:rPr>
                <w:rFonts w:cs="Arial"/>
                <w:color w:val="000000" w:themeColor="text1"/>
                <w:szCs w:val="20"/>
                <w:lang w:eastAsia="zh-CN"/>
              </w:rPr>
              <w:t>Strowitzki T, Kuczynski W, Mueller A, Bias P. Randomized, active-controlled, comparative phase 3 efficacy and safety equivalence trial of Ovaleap ® (recombinant human follicle-stimulating hormone) in infertile women using assisted reproduction technology (ART)</w:t>
            </w:r>
          </w:p>
        </w:tc>
        <w:tc>
          <w:tcPr>
            <w:tcW w:w="1177" w:type="pct"/>
            <w:tcBorders>
              <w:top w:val="single" w:sz="4" w:space="0" w:color="auto"/>
              <w:bottom w:val="nil"/>
            </w:tcBorders>
            <w:vAlign w:val="center"/>
          </w:tcPr>
          <w:p w14:paraId="0BB3EC4C" w14:textId="77777777" w:rsidR="00363435" w:rsidRPr="00211C8B" w:rsidRDefault="00363435" w:rsidP="00B04B36">
            <w:pPr>
              <w:pStyle w:val="TableText0"/>
              <w:rPr>
                <w:color w:val="000000" w:themeColor="text1"/>
                <w:szCs w:val="20"/>
              </w:rPr>
            </w:pPr>
            <w:r w:rsidRPr="00211C8B">
              <w:rPr>
                <w:rFonts w:cs="Arial"/>
                <w:color w:val="000000" w:themeColor="text1"/>
                <w:szCs w:val="20"/>
                <w:lang w:eastAsia="zh-CN"/>
              </w:rPr>
              <w:t>Reprod Biol Endocrinol. 2016;14:1</w:t>
            </w:r>
          </w:p>
        </w:tc>
      </w:tr>
      <w:tr w:rsidR="00363435" w:rsidRPr="00211C8B" w14:paraId="49F8E2DE" w14:textId="77777777" w:rsidTr="00B04B36">
        <w:tc>
          <w:tcPr>
            <w:tcW w:w="796" w:type="pct"/>
            <w:vMerge/>
            <w:tcBorders>
              <w:bottom w:val="single" w:sz="4" w:space="0" w:color="auto"/>
            </w:tcBorders>
            <w:vAlign w:val="center"/>
          </w:tcPr>
          <w:p w14:paraId="1EA3F136" w14:textId="77777777" w:rsidR="00363435" w:rsidRPr="00211C8B" w:rsidRDefault="00363435" w:rsidP="00B04B36">
            <w:pPr>
              <w:pStyle w:val="TableText0"/>
              <w:jc w:val="center"/>
              <w:rPr>
                <w:rFonts w:cstheme="minorHAnsi"/>
                <w:color w:val="000000" w:themeColor="text1"/>
                <w:szCs w:val="20"/>
              </w:rPr>
            </w:pPr>
          </w:p>
        </w:tc>
        <w:tc>
          <w:tcPr>
            <w:tcW w:w="3027" w:type="pct"/>
            <w:tcBorders>
              <w:top w:val="nil"/>
              <w:bottom w:val="single" w:sz="4" w:space="0" w:color="auto"/>
            </w:tcBorders>
            <w:vAlign w:val="center"/>
          </w:tcPr>
          <w:p w14:paraId="126967C2" w14:textId="77777777" w:rsidR="00363435" w:rsidRPr="00211C8B" w:rsidRDefault="00363435" w:rsidP="00B04B36">
            <w:pPr>
              <w:pStyle w:val="TableText0"/>
              <w:rPr>
                <w:rFonts w:cs="Arial"/>
                <w:color w:val="000000" w:themeColor="text1"/>
                <w:szCs w:val="20"/>
                <w:lang w:eastAsia="zh-CN"/>
              </w:rPr>
            </w:pPr>
            <w:r w:rsidRPr="00211C8B">
              <w:rPr>
                <w:rFonts w:cs="Arial"/>
                <w:color w:val="000000" w:themeColor="text1"/>
                <w:szCs w:val="20"/>
                <w:lang w:eastAsia="zh-CN"/>
              </w:rPr>
              <w:t xml:space="preserve">Strowitzki T, Kuczynski W, Mueller A, Bias P. Safety and efficacy of Ovaleap® (recombinant human follicle-stimulating hormone) for up to 3 cycles in infertile women using assisted reproductive technology: a phase 3 open-label follow-up to Main </w:t>
            </w:r>
            <w:r w:rsidR="00C4230B">
              <w:rPr>
                <w:rFonts w:cs="Arial"/>
                <w:color w:val="000000" w:themeColor="text1"/>
                <w:szCs w:val="20"/>
                <w:lang w:eastAsia="zh-CN"/>
              </w:rPr>
              <w:t>trial</w:t>
            </w:r>
            <w:r w:rsidRPr="00211C8B">
              <w:rPr>
                <w:rFonts w:cs="Arial"/>
                <w:color w:val="000000" w:themeColor="text1"/>
                <w:szCs w:val="20"/>
                <w:lang w:eastAsia="zh-CN"/>
              </w:rPr>
              <w:t>.</w:t>
            </w:r>
          </w:p>
        </w:tc>
        <w:tc>
          <w:tcPr>
            <w:tcW w:w="1177" w:type="pct"/>
            <w:tcBorders>
              <w:top w:val="nil"/>
              <w:bottom w:val="single" w:sz="4" w:space="0" w:color="auto"/>
            </w:tcBorders>
            <w:vAlign w:val="center"/>
          </w:tcPr>
          <w:p w14:paraId="70BE275C" w14:textId="77777777" w:rsidR="00363435" w:rsidRPr="00211C8B" w:rsidRDefault="00363435" w:rsidP="00B04B36">
            <w:pPr>
              <w:pStyle w:val="TableText0"/>
              <w:rPr>
                <w:rFonts w:cs="Arial"/>
                <w:color w:val="000000" w:themeColor="text1"/>
                <w:szCs w:val="20"/>
                <w:lang w:eastAsia="zh-CN"/>
              </w:rPr>
            </w:pPr>
            <w:r w:rsidRPr="00211C8B">
              <w:rPr>
                <w:rFonts w:cs="Arial"/>
                <w:color w:val="000000" w:themeColor="text1"/>
                <w:szCs w:val="20"/>
                <w:lang w:eastAsia="zh-CN"/>
              </w:rPr>
              <w:t>Reprod Biol Endocrinol. 2016;14:31</w:t>
            </w:r>
          </w:p>
        </w:tc>
      </w:tr>
      <w:tr w:rsidR="00363435" w:rsidRPr="00211C8B" w14:paraId="76B76304" w14:textId="77777777" w:rsidTr="00B04B36">
        <w:tc>
          <w:tcPr>
            <w:tcW w:w="796" w:type="pct"/>
            <w:tcBorders>
              <w:top w:val="single" w:sz="4" w:space="0" w:color="auto"/>
              <w:bottom w:val="single" w:sz="4" w:space="0" w:color="auto"/>
            </w:tcBorders>
            <w:vAlign w:val="center"/>
          </w:tcPr>
          <w:p w14:paraId="6C242E98" w14:textId="77777777" w:rsidR="00363435" w:rsidRPr="00211C8B" w:rsidRDefault="00363435" w:rsidP="00B04B36">
            <w:pPr>
              <w:pStyle w:val="TableText0"/>
              <w:jc w:val="center"/>
              <w:rPr>
                <w:color w:val="000000" w:themeColor="text1"/>
                <w:szCs w:val="20"/>
              </w:rPr>
            </w:pPr>
            <w:r w:rsidRPr="00211C8B">
              <w:rPr>
                <w:rFonts w:cs="Arial"/>
                <w:color w:val="000000" w:themeColor="text1"/>
                <w:kern w:val="24"/>
                <w:szCs w:val="20"/>
                <w:lang w:eastAsia="en-GB"/>
              </w:rPr>
              <w:t>NCT03088137</w:t>
            </w:r>
          </w:p>
        </w:tc>
        <w:tc>
          <w:tcPr>
            <w:tcW w:w="3027" w:type="pct"/>
            <w:tcBorders>
              <w:top w:val="single" w:sz="4" w:space="0" w:color="auto"/>
              <w:bottom w:val="single" w:sz="4" w:space="0" w:color="auto"/>
            </w:tcBorders>
            <w:vAlign w:val="center"/>
          </w:tcPr>
          <w:p w14:paraId="431C7627" w14:textId="77777777" w:rsidR="00363435" w:rsidRPr="00211C8B" w:rsidRDefault="00363435" w:rsidP="00B04B36">
            <w:pPr>
              <w:pStyle w:val="TableText0"/>
              <w:rPr>
                <w:color w:val="000000" w:themeColor="text1"/>
                <w:szCs w:val="20"/>
              </w:rPr>
            </w:pPr>
            <w:r w:rsidRPr="00211C8B">
              <w:rPr>
                <w:rFonts w:cs="Arial"/>
                <w:color w:val="000000" w:themeColor="text1"/>
                <w:szCs w:val="20"/>
                <w:lang w:eastAsia="zh-CN"/>
              </w:rPr>
              <w:t xml:space="preserve">A </w:t>
            </w:r>
            <w:r w:rsidR="000D7BDE" w:rsidRPr="00211C8B">
              <w:rPr>
                <w:rFonts w:cs="Arial"/>
                <w:color w:val="000000" w:themeColor="text1"/>
                <w:szCs w:val="20"/>
                <w:lang w:eastAsia="zh-CN"/>
              </w:rPr>
              <w:t>multicentre</w:t>
            </w:r>
            <w:r w:rsidRPr="00211C8B">
              <w:rPr>
                <w:rFonts w:cs="Arial"/>
                <w:color w:val="000000" w:themeColor="text1"/>
                <w:szCs w:val="20"/>
                <w:lang w:eastAsia="zh-CN"/>
              </w:rPr>
              <w:t xml:space="preserve">, randomized, phase III </w:t>
            </w:r>
            <w:r w:rsidR="00C4230B">
              <w:rPr>
                <w:rFonts w:cs="Arial"/>
                <w:color w:val="000000" w:themeColor="text1"/>
                <w:szCs w:val="20"/>
                <w:lang w:eastAsia="zh-CN"/>
              </w:rPr>
              <w:t>trial</w:t>
            </w:r>
            <w:r w:rsidRPr="00211C8B">
              <w:rPr>
                <w:rFonts w:cs="Arial"/>
                <w:color w:val="000000" w:themeColor="text1"/>
                <w:szCs w:val="20"/>
                <w:lang w:eastAsia="zh-CN"/>
              </w:rPr>
              <w:t xml:space="preserve"> comparing the efficacy and safety of follitropin alfa biosimilar and the original follitropin alfa</w:t>
            </w:r>
          </w:p>
        </w:tc>
        <w:tc>
          <w:tcPr>
            <w:tcW w:w="1177" w:type="pct"/>
            <w:tcBorders>
              <w:top w:val="single" w:sz="4" w:space="0" w:color="auto"/>
              <w:bottom w:val="single" w:sz="4" w:space="0" w:color="auto"/>
            </w:tcBorders>
            <w:vAlign w:val="center"/>
          </w:tcPr>
          <w:p w14:paraId="35ED969A" w14:textId="77777777" w:rsidR="00363435" w:rsidRPr="00211C8B" w:rsidRDefault="00363435" w:rsidP="00B04B36">
            <w:pPr>
              <w:pStyle w:val="TableText0"/>
              <w:rPr>
                <w:rFonts w:cs="Arial"/>
                <w:color w:val="000000" w:themeColor="text1"/>
                <w:kern w:val="24"/>
                <w:szCs w:val="20"/>
                <w:lang w:eastAsia="en-GB"/>
              </w:rPr>
            </w:pPr>
            <w:r w:rsidRPr="00211C8B">
              <w:rPr>
                <w:rFonts w:cs="Arial"/>
                <w:color w:val="000000" w:themeColor="text1"/>
                <w:kern w:val="24"/>
                <w:szCs w:val="20"/>
                <w:lang w:eastAsia="en-GB"/>
              </w:rPr>
              <w:t>Eu J Obstet Gynecol Reprodc Biol. 2019;241:6-12</w:t>
            </w:r>
          </w:p>
        </w:tc>
      </w:tr>
      <w:tr w:rsidR="00363435" w:rsidRPr="00211C8B" w14:paraId="74D80862" w14:textId="77777777" w:rsidTr="00B04B36">
        <w:tc>
          <w:tcPr>
            <w:tcW w:w="796" w:type="pct"/>
            <w:tcBorders>
              <w:top w:val="single" w:sz="4" w:space="0" w:color="auto"/>
              <w:bottom w:val="single" w:sz="4" w:space="0" w:color="auto"/>
            </w:tcBorders>
            <w:vAlign w:val="center"/>
          </w:tcPr>
          <w:p w14:paraId="745E7ED2" w14:textId="77777777" w:rsidR="00363435" w:rsidRPr="00211C8B" w:rsidRDefault="00363435" w:rsidP="00B04B36">
            <w:pPr>
              <w:pStyle w:val="TableText0"/>
              <w:jc w:val="center"/>
              <w:rPr>
                <w:rFonts w:cstheme="minorHAnsi"/>
                <w:color w:val="000000" w:themeColor="text1"/>
                <w:szCs w:val="20"/>
              </w:rPr>
            </w:pPr>
            <w:r w:rsidRPr="00211C8B">
              <w:rPr>
                <w:rFonts w:cs="Arial"/>
                <w:color w:val="000000" w:themeColor="text1"/>
                <w:kern w:val="24"/>
                <w:szCs w:val="20"/>
                <w:lang w:eastAsia="en-GB"/>
              </w:rPr>
              <w:t>NCT03506243</w:t>
            </w:r>
          </w:p>
        </w:tc>
        <w:tc>
          <w:tcPr>
            <w:tcW w:w="3027" w:type="pct"/>
            <w:tcBorders>
              <w:top w:val="single" w:sz="4" w:space="0" w:color="auto"/>
              <w:bottom w:val="single" w:sz="4" w:space="0" w:color="auto"/>
            </w:tcBorders>
          </w:tcPr>
          <w:p w14:paraId="68342D8E" w14:textId="77777777" w:rsidR="00363435" w:rsidRPr="00211C8B" w:rsidRDefault="00363435" w:rsidP="00B04B36">
            <w:pPr>
              <w:pStyle w:val="TableText0"/>
              <w:rPr>
                <w:rFonts w:cs="Arial"/>
                <w:color w:val="000000" w:themeColor="text1"/>
                <w:szCs w:val="20"/>
                <w:lang w:eastAsia="zh-CN"/>
              </w:rPr>
            </w:pPr>
            <w:r w:rsidRPr="00211C8B">
              <w:rPr>
                <w:rFonts w:cs="Arial"/>
                <w:color w:val="000000" w:themeColor="text1"/>
                <w:szCs w:val="20"/>
                <w:lang w:eastAsia="zh-CN"/>
              </w:rPr>
              <w:t>Efficacy and safety of recombinant human follicle-stimulating hormone in patients undergoing in vitro fertilization-embryo transfer</w:t>
            </w:r>
          </w:p>
        </w:tc>
        <w:tc>
          <w:tcPr>
            <w:tcW w:w="1177" w:type="pct"/>
            <w:tcBorders>
              <w:top w:val="single" w:sz="4" w:space="0" w:color="auto"/>
              <w:bottom w:val="single" w:sz="4" w:space="0" w:color="auto"/>
            </w:tcBorders>
            <w:vAlign w:val="center"/>
          </w:tcPr>
          <w:p w14:paraId="34C496C0" w14:textId="77777777" w:rsidR="00363435" w:rsidRPr="00211C8B" w:rsidRDefault="00363435" w:rsidP="00B04B36">
            <w:pPr>
              <w:pStyle w:val="TableText0"/>
              <w:rPr>
                <w:rFonts w:cs="Arial"/>
                <w:color w:val="000000" w:themeColor="text1"/>
                <w:kern w:val="24"/>
                <w:szCs w:val="20"/>
                <w:lang w:eastAsia="en-GB"/>
              </w:rPr>
            </w:pPr>
            <w:r w:rsidRPr="00211C8B">
              <w:rPr>
                <w:rFonts w:cs="Arial"/>
                <w:color w:val="000000" w:themeColor="text1"/>
                <w:kern w:val="24"/>
                <w:szCs w:val="20"/>
                <w:lang w:eastAsia="en-GB"/>
              </w:rPr>
              <w:t>Aging (Albany NY). 2020;12:4918-30</w:t>
            </w:r>
          </w:p>
        </w:tc>
      </w:tr>
    </w:tbl>
    <w:p w14:paraId="1EC68021" w14:textId="77777777" w:rsidR="00363435" w:rsidRPr="00211C8B" w:rsidRDefault="00363435" w:rsidP="00843963">
      <w:pPr>
        <w:pStyle w:val="TableFigureFooter"/>
      </w:pPr>
      <w:r w:rsidRPr="00211C8B">
        <w:t>Source: Table 3, p23 of the submission.</w:t>
      </w:r>
    </w:p>
    <w:p w14:paraId="402E3473" w14:textId="77777777" w:rsidR="000F797F" w:rsidRPr="004E1DF4" w:rsidRDefault="000F797F" w:rsidP="00943FFD">
      <w:pPr>
        <w:pStyle w:val="3-BodyText"/>
      </w:pPr>
      <w:r w:rsidRPr="00211C8B">
        <w:t xml:space="preserve">The submission identified </w:t>
      </w:r>
      <w:r w:rsidR="009A3715">
        <w:t>another</w:t>
      </w:r>
      <w:r w:rsidRPr="009A3715">
        <w:t xml:space="preserve"> relevant meta-analysis, Papsch et al. 2018</w:t>
      </w:r>
      <w:r w:rsidRPr="00211C8B">
        <w:rPr>
          <w:rStyle w:val="FootnoteReference"/>
        </w:rPr>
        <w:footnoteReference w:id="3"/>
      </w:r>
      <w:r w:rsidRPr="00211C8B">
        <w:t>, which was a post-hoc analysis of Phase III clinical trial data for Ovaleap and Bemfola compared wi</w:t>
      </w:r>
      <w:r w:rsidRPr="009A3715">
        <w:t xml:space="preserve">th Gonal-f </w:t>
      </w:r>
      <w:r w:rsidR="009A3715">
        <w:t>that</w:t>
      </w:r>
      <w:r w:rsidR="009A3715" w:rsidRPr="009A3715">
        <w:t xml:space="preserve"> </w:t>
      </w:r>
      <w:r w:rsidRPr="009A3715">
        <w:t xml:space="preserve">did not consider other biosimilar preparations. However, this was not assessed in the submission because </w:t>
      </w:r>
      <w:r w:rsidR="00FA2E99" w:rsidRPr="009A3715">
        <w:t xml:space="preserve">it was a non-peer reviewed poster presented at ISPOR Europe 2018. </w:t>
      </w:r>
      <w:r w:rsidR="005E4CB2" w:rsidRPr="004E1DF4">
        <w:rPr>
          <w:iCs/>
        </w:rPr>
        <w:t>Th</w:t>
      </w:r>
      <w:r w:rsidR="004E1DF4">
        <w:rPr>
          <w:iCs/>
        </w:rPr>
        <w:t xml:space="preserve">e PBAC considered that this </w:t>
      </w:r>
      <w:r w:rsidR="00843963" w:rsidRPr="004E1DF4">
        <w:rPr>
          <w:iCs/>
        </w:rPr>
        <w:t xml:space="preserve">was </w:t>
      </w:r>
      <w:r w:rsidR="005E4CB2" w:rsidRPr="004E1DF4">
        <w:rPr>
          <w:iCs/>
        </w:rPr>
        <w:t>an appropriate exclusion.</w:t>
      </w:r>
    </w:p>
    <w:p w14:paraId="479EFE09" w14:textId="463A78CA" w:rsidR="00BF5D16" w:rsidRDefault="00415913" w:rsidP="00BF5D16">
      <w:pPr>
        <w:pStyle w:val="3-BodyText"/>
      </w:pPr>
      <w:r w:rsidRPr="002E23CD">
        <w:t xml:space="preserve">The submission </w:t>
      </w:r>
      <w:r w:rsidR="0082626B" w:rsidRPr="00C975C1">
        <w:t xml:space="preserve">presented </w:t>
      </w:r>
      <w:r w:rsidRPr="00131CC6">
        <w:t xml:space="preserve">live birth rate </w:t>
      </w:r>
      <w:r w:rsidR="0082626B" w:rsidRPr="00E80357">
        <w:t xml:space="preserve">as the primary outcome </w:t>
      </w:r>
      <w:r w:rsidRPr="00E80357">
        <w:t>since it was</w:t>
      </w:r>
      <w:r w:rsidR="00C14727" w:rsidRPr="00E80357">
        <w:t xml:space="preserve"> the</w:t>
      </w:r>
      <w:r w:rsidRPr="00E80357">
        <w:t xml:space="preserve"> </w:t>
      </w:r>
      <w:r w:rsidR="00363435" w:rsidRPr="005A791F">
        <w:t>PBAC</w:t>
      </w:r>
      <w:r w:rsidRPr="005A791F">
        <w:t xml:space="preserve">’s preferred outcome in its </w:t>
      </w:r>
      <w:r w:rsidR="00630502" w:rsidRPr="009B38D8">
        <w:t>recommendation</w:t>
      </w:r>
      <w:r w:rsidRPr="009B38D8">
        <w:t xml:space="preserve"> of Luveris (paragraph 7</w:t>
      </w:r>
      <w:r w:rsidR="00CD457E" w:rsidRPr="009B38D8">
        <w:t>.8</w:t>
      </w:r>
      <w:r w:rsidRPr="00043BCD">
        <w:t xml:space="preserve">, Luveris, </w:t>
      </w:r>
      <w:r w:rsidR="00A37D38">
        <w:t>PSD</w:t>
      </w:r>
      <w:r w:rsidRPr="00043BCD">
        <w:t>, March 2015 meeting)</w:t>
      </w:r>
      <w:r w:rsidR="00955534" w:rsidRPr="00043BCD">
        <w:t>.</w:t>
      </w:r>
      <w:r w:rsidRPr="00F10F43">
        <w:t xml:space="preserve"> </w:t>
      </w:r>
      <w:r w:rsidR="00CD457E" w:rsidRPr="00284991">
        <w:rPr>
          <w:iCs/>
        </w:rPr>
        <w:t xml:space="preserve">The </w:t>
      </w:r>
      <w:r w:rsidR="004E1DF4">
        <w:rPr>
          <w:iCs/>
        </w:rPr>
        <w:t>PBAC</w:t>
      </w:r>
      <w:r w:rsidR="004E1DF4" w:rsidRPr="00284991">
        <w:rPr>
          <w:iCs/>
        </w:rPr>
        <w:t xml:space="preserve"> </w:t>
      </w:r>
      <w:r w:rsidR="00CD457E" w:rsidRPr="00284991">
        <w:rPr>
          <w:iCs/>
        </w:rPr>
        <w:t>noted that Luveris was the originator and only brand of lutropin alfa</w:t>
      </w:r>
      <w:r w:rsidR="004E1DF4">
        <w:rPr>
          <w:iCs/>
        </w:rPr>
        <w:t>, and as such, t</w:t>
      </w:r>
      <w:r w:rsidR="00CD457E" w:rsidRPr="00284991">
        <w:rPr>
          <w:iCs/>
        </w:rPr>
        <w:t xml:space="preserve">he evidence and claim for Luveris was therefore in relation to establishing clinical and cost effectiveness, </w:t>
      </w:r>
      <w:r w:rsidR="00DF7B1E" w:rsidRPr="00284991">
        <w:rPr>
          <w:iCs/>
        </w:rPr>
        <w:t xml:space="preserve">rather than a claim in </w:t>
      </w:r>
      <w:r w:rsidR="00CD457E" w:rsidRPr="00284991">
        <w:rPr>
          <w:iCs/>
        </w:rPr>
        <w:t>relation to biosimilarity.</w:t>
      </w:r>
      <w:r w:rsidR="00CD457E" w:rsidRPr="004E1DF4">
        <w:rPr>
          <w:i/>
        </w:rPr>
        <w:t xml:space="preserve"> </w:t>
      </w:r>
      <w:r w:rsidR="00434C6A" w:rsidRPr="004E1DF4">
        <w:rPr>
          <w:iCs/>
        </w:rPr>
        <w:t xml:space="preserve">The submission also presented the following additional outcomes to substantiate the superiority of Gonal-f over the follitropin alfa biosimilar preparations: ongoing pregnancy rate, cumulative live birth, cumulative clinical pregnancy, and cumulative ongoing </w:t>
      </w:r>
      <w:r w:rsidR="00434C6A" w:rsidRPr="002E23CD">
        <w:rPr>
          <w:iCs/>
        </w:rPr>
        <w:t xml:space="preserve">pregnancy. </w:t>
      </w:r>
      <w:r w:rsidR="00746325" w:rsidRPr="00284991">
        <w:t>The evaluation questioned the appropriateness of the outcomes used in the submission</w:t>
      </w:r>
      <w:r w:rsidR="0082626B" w:rsidRPr="00284991">
        <w:t xml:space="preserve"> given</w:t>
      </w:r>
      <w:r w:rsidR="004E1DF4" w:rsidRPr="00284991">
        <w:t xml:space="preserve"> that</w:t>
      </w:r>
      <w:r w:rsidR="00434C6A" w:rsidRPr="00284991">
        <w:t xml:space="preserve"> </w:t>
      </w:r>
      <w:r w:rsidR="002E23CD" w:rsidRPr="00284991">
        <w:t xml:space="preserve">the </w:t>
      </w:r>
      <w:r w:rsidR="00C4230B">
        <w:t>trials</w:t>
      </w:r>
      <w:r w:rsidR="002E23CD" w:rsidRPr="00284991">
        <w:t xml:space="preserve"> </w:t>
      </w:r>
      <w:r w:rsidR="0082626B" w:rsidRPr="00284991">
        <w:t xml:space="preserve">were not powered to detect differences in </w:t>
      </w:r>
      <w:r w:rsidR="002E23CD" w:rsidRPr="00284991">
        <w:t>live birth rates and the other outcomes</w:t>
      </w:r>
      <w:r w:rsidR="0082626B" w:rsidRPr="00284991">
        <w:t xml:space="preserve">, noting that </w:t>
      </w:r>
      <w:r w:rsidR="00CB0FB3" w:rsidRPr="00284991">
        <w:t xml:space="preserve">the </w:t>
      </w:r>
      <w:r w:rsidR="00C4230B">
        <w:t>trials</w:t>
      </w:r>
      <w:r w:rsidR="0082626B" w:rsidRPr="00284991">
        <w:t xml:space="preserve">’ primary outcome </w:t>
      </w:r>
      <w:r w:rsidR="00271BF9" w:rsidRPr="00284991">
        <w:t>of</w:t>
      </w:r>
      <w:r w:rsidR="0082626B" w:rsidRPr="00284991">
        <w:t xml:space="preserve"> number of oocytes retrieved was not included in the submission. Additionally</w:t>
      </w:r>
      <w:r w:rsidR="00CB0FB3" w:rsidRPr="002E23CD">
        <w:t xml:space="preserve">, </w:t>
      </w:r>
      <w:r w:rsidR="0082626B" w:rsidRPr="00284991">
        <w:t>the evaluation noted</w:t>
      </w:r>
      <w:r w:rsidR="0082626B" w:rsidRPr="002E23CD">
        <w:t xml:space="preserve"> </w:t>
      </w:r>
      <w:r w:rsidR="00CB0FB3" w:rsidRPr="002E23CD">
        <w:t>t</w:t>
      </w:r>
      <w:r w:rsidR="002E23CD">
        <w:t>hat t</w:t>
      </w:r>
      <w:r w:rsidR="00CB0FB3" w:rsidRPr="002E23CD">
        <w:rPr>
          <w:iCs/>
        </w:rPr>
        <w:t xml:space="preserve">he </w:t>
      </w:r>
      <w:r w:rsidR="00C4230B">
        <w:rPr>
          <w:iCs/>
        </w:rPr>
        <w:t>trials</w:t>
      </w:r>
      <w:r w:rsidR="00CB0FB3" w:rsidRPr="002E23CD">
        <w:rPr>
          <w:iCs/>
        </w:rPr>
        <w:t xml:space="preserve"> were designed and powered to establish </w:t>
      </w:r>
      <w:r w:rsidR="002E23CD">
        <w:rPr>
          <w:iCs/>
        </w:rPr>
        <w:t xml:space="preserve">the </w:t>
      </w:r>
      <w:r w:rsidR="00CB0FB3" w:rsidRPr="002E23CD">
        <w:rPr>
          <w:iCs/>
        </w:rPr>
        <w:t xml:space="preserve">non-inferiority of Gonal-f to follitropin alfa biosimilar preparations. </w:t>
      </w:r>
      <w:r w:rsidR="00104814">
        <w:t>The PSCR</w:t>
      </w:r>
      <w:r w:rsidR="00062E10" w:rsidRPr="00284991">
        <w:t xml:space="preserve"> </w:t>
      </w:r>
      <w:r w:rsidR="00CB0FB3" w:rsidRPr="00284991">
        <w:t>stated</w:t>
      </w:r>
      <w:r w:rsidR="002E23CD" w:rsidRPr="00284991">
        <w:t xml:space="preserve"> that</w:t>
      </w:r>
      <w:r w:rsidR="00CB0FB3" w:rsidRPr="00284991">
        <w:t xml:space="preserve"> the rationale for the Chua et al. (2021) meta-analysis was to </w:t>
      </w:r>
      <w:r w:rsidR="00C4230B">
        <w:t>study</w:t>
      </w:r>
      <w:r w:rsidR="00CB0FB3" w:rsidRPr="00284991">
        <w:t xml:space="preserve"> the outcome of live birth rate and cumulative live birth rate per started cycle which are more clinically relevant than just the nu</w:t>
      </w:r>
      <w:r w:rsidR="00041BCF" w:rsidRPr="00284991">
        <w:t xml:space="preserve">mber of oocytes retrieved. The PSCR noted </w:t>
      </w:r>
      <w:r w:rsidR="002E23CD" w:rsidRPr="00284991">
        <w:t xml:space="preserve">that </w:t>
      </w:r>
      <w:r w:rsidR="00041BCF" w:rsidRPr="00284991">
        <w:t xml:space="preserve">this was </w:t>
      </w:r>
      <w:r w:rsidR="00CB0FB3" w:rsidRPr="00284991">
        <w:t>aligned with the European Society of Human Reproduction and Embryology (ESHRE) Guideline for Ovarian Stimulation in IVF/ICSI and the International Committee for Monitoring Assisted Reproductive Technology (ICMART), both of which state that the most relevant outcomes of infertility treatment are live birth rate and cumulative live birth rate.</w:t>
      </w:r>
      <w:r w:rsidR="00746325" w:rsidRPr="002E23CD">
        <w:rPr>
          <w:i/>
          <w:iCs/>
        </w:rPr>
        <w:t xml:space="preserve"> </w:t>
      </w:r>
      <w:r w:rsidR="00BA79F2">
        <w:t>While t</w:t>
      </w:r>
      <w:r w:rsidR="00700D9B" w:rsidRPr="00284991">
        <w:t xml:space="preserve">he </w:t>
      </w:r>
      <w:r w:rsidR="002E23CD">
        <w:t>PBAC</w:t>
      </w:r>
      <w:r w:rsidR="002E23CD" w:rsidRPr="00284991">
        <w:t xml:space="preserve"> </w:t>
      </w:r>
      <w:r w:rsidR="00746325" w:rsidRPr="00284991">
        <w:t xml:space="preserve">agreed with the submission that the live birth rate </w:t>
      </w:r>
      <w:r w:rsidR="00700D9B" w:rsidRPr="00284991">
        <w:t xml:space="preserve">was a </w:t>
      </w:r>
      <w:r w:rsidR="00746325" w:rsidRPr="00284991">
        <w:t>patient</w:t>
      </w:r>
      <w:r w:rsidR="00284991">
        <w:noBreakHyphen/>
      </w:r>
      <w:r w:rsidR="00746325" w:rsidRPr="00284991">
        <w:t xml:space="preserve">relevant </w:t>
      </w:r>
      <w:r w:rsidR="00062E10" w:rsidRPr="00284991">
        <w:t>outcome,</w:t>
      </w:r>
      <w:r w:rsidR="00BA79F2">
        <w:t xml:space="preserve"> it noted that the mechanism of action of follitropin alfa relates to oocyte retrieval and thus this is the appropriate outcome to measure comparative effectiveness. Additionally, the PBAC </w:t>
      </w:r>
      <w:r w:rsidR="002E23CD">
        <w:t xml:space="preserve">noted that </w:t>
      </w:r>
      <w:r w:rsidR="00C975C1" w:rsidRPr="005E6B92">
        <w:t xml:space="preserve">other factors contribute to the number of live births </w:t>
      </w:r>
      <w:r w:rsidR="00AD6A97">
        <w:t xml:space="preserve">(e.g., skill of the embryologist and selection of which embryos to transfer) </w:t>
      </w:r>
      <w:r w:rsidR="00BA79F2">
        <w:t>and considered it was not biologically or clinically plausible that differences in live births would be due to follitropin alfa alone.</w:t>
      </w:r>
    </w:p>
    <w:p w14:paraId="39848C71" w14:textId="77777777" w:rsidR="00522BAE" w:rsidRPr="00BF5D16" w:rsidRDefault="00AB1D50" w:rsidP="00AF4651">
      <w:pPr>
        <w:pStyle w:val="3-BodyText"/>
      </w:pPr>
      <w:r w:rsidRPr="005A791F">
        <w:t>The</w:t>
      </w:r>
      <w:r w:rsidR="00415913" w:rsidRPr="005A791F">
        <w:t xml:space="preserve"> submission included only the results of the first cycles of treatment in the randomised </w:t>
      </w:r>
      <w:r w:rsidR="00C4230B">
        <w:t>trials</w:t>
      </w:r>
      <w:r w:rsidR="00415913" w:rsidRPr="005A791F">
        <w:t xml:space="preserve"> and no j</w:t>
      </w:r>
      <w:r w:rsidR="00415913" w:rsidRPr="009B38D8">
        <w:t xml:space="preserve">ustification was provided for excluding results from additional cycles of treatment when available. </w:t>
      </w:r>
      <w:r w:rsidR="00104814">
        <w:rPr>
          <w:iCs/>
        </w:rPr>
        <w:t>The PSCR</w:t>
      </w:r>
      <w:r w:rsidR="007C3831" w:rsidRPr="00BF5D16">
        <w:rPr>
          <w:iCs/>
          <w:color w:val="FF0000"/>
        </w:rPr>
        <w:t xml:space="preserve"> </w:t>
      </w:r>
      <w:r w:rsidR="00A83BA5" w:rsidRPr="00BF5D16">
        <w:rPr>
          <w:iCs/>
        </w:rPr>
        <w:t>clarified that the first cycle contributed to the primary end point of live birth</w:t>
      </w:r>
      <w:r w:rsidR="00E15589" w:rsidRPr="00BF5D16">
        <w:rPr>
          <w:iCs/>
        </w:rPr>
        <w:t xml:space="preserve"> and</w:t>
      </w:r>
      <w:r w:rsidR="00A83BA5" w:rsidRPr="00BF5D16">
        <w:rPr>
          <w:iCs/>
        </w:rPr>
        <w:t xml:space="preserve"> </w:t>
      </w:r>
      <w:r w:rsidR="00E15589" w:rsidRPr="00BF5D16">
        <w:rPr>
          <w:iCs/>
        </w:rPr>
        <w:t>reflected the most comprehensive and ho</w:t>
      </w:r>
      <w:r w:rsidR="00F11134" w:rsidRPr="00BF5D16">
        <w:rPr>
          <w:iCs/>
        </w:rPr>
        <w:t>mogeneous data included in the five</w:t>
      </w:r>
      <w:r w:rsidR="00E15589" w:rsidRPr="00BF5D16">
        <w:rPr>
          <w:iCs/>
        </w:rPr>
        <w:t xml:space="preserve"> </w:t>
      </w:r>
      <w:r w:rsidR="00C4230B" w:rsidRPr="00BF5D16">
        <w:rPr>
          <w:iCs/>
        </w:rPr>
        <w:t>trials</w:t>
      </w:r>
      <w:r w:rsidR="00E15589" w:rsidRPr="00BF5D16">
        <w:rPr>
          <w:iCs/>
        </w:rPr>
        <w:t>. The PSCR noted that subsequent cycles contributed to cumulative secondary outcomes and were not ignored, but rather could not be included for accurate comparative purposes.</w:t>
      </w:r>
    </w:p>
    <w:p w14:paraId="2D0C977B" w14:textId="77777777" w:rsidR="005E78D1" w:rsidRPr="00211C8B" w:rsidRDefault="00F01BFC" w:rsidP="00943FFD">
      <w:pPr>
        <w:pStyle w:val="3-BodyText"/>
      </w:pPr>
      <w:r>
        <w:t>The PBAC considered that t</w:t>
      </w:r>
      <w:r w:rsidR="005E78D1" w:rsidRPr="00F01BFC">
        <w:t>he submission provide</w:t>
      </w:r>
      <w:r w:rsidR="00E65800" w:rsidRPr="00F01BFC">
        <w:t>d</w:t>
      </w:r>
      <w:r w:rsidR="005E78D1" w:rsidRPr="00F01BFC">
        <w:t xml:space="preserve"> inadequate detail on the relevant direct randomised </w:t>
      </w:r>
      <w:r w:rsidR="00C4230B">
        <w:t>trials</w:t>
      </w:r>
      <w:r w:rsidR="005E78D1" w:rsidRPr="00F01BFC">
        <w:t xml:space="preserve"> included in the meta-analysis. There was no information on the characteristics of patients who were lost to follow-up, patients who withdrew or patients who missed an assessment. </w:t>
      </w:r>
      <w:r w:rsidR="001F1084" w:rsidRPr="00F01BFC" w:rsidDel="00A2494F">
        <w:t xml:space="preserve">Additionally, </w:t>
      </w:r>
      <w:r w:rsidR="00131CC6">
        <w:t xml:space="preserve">the PBAC considered </w:t>
      </w:r>
      <w:r w:rsidR="001F1084" w:rsidRPr="00F01BFC" w:rsidDel="00A2494F">
        <w:t>i</w:t>
      </w:r>
      <w:r w:rsidR="005E78D1" w:rsidRPr="00131CC6" w:rsidDel="00A2494F">
        <w:t>t is likely that the target population in Australia would have characteristics of those who were excluded in this trial, especially around the history of access to ART and miscarriage.</w:t>
      </w:r>
    </w:p>
    <w:p w14:paraId="571C07A6" w14:textId="77777777" w:rsidR="0093269E" w:rsidRPr="00F01BFC" w:rsidRDefault="006A1CD5" w:rsidP="00943FFD">
      <w:pPr>
        <w:pStyle w:val="3-BodyText"/>
        <w:rPr>
          <w:color w:val="000000" w:themeColor="text1"/>
        </w:rPr>
      </w:pPr>
      <w:r w:rsidRPr="00211C8B">
        <w:t xml:space="preserve">The average ages of patients who use ART in Australia is 35.8 </w:t>
      </w:r>
      <w:r w:rsidR="00B84266">
        <w:t xml:space="preserve">years </w:t>
      </w:r>
      <w:r w:rsidRPr="00211C8B">
        <w:t>for women using their own oocytes and embryo</w:t>
      </w:r>
      <w:r w:rsidR="00F01BFC">
        <w:t>,</w:t>
      </w:r>
      <w:r w:rsidRPr="00F01BFC">
        <w:t xml:space="preserve"> and 40.3 </w:t>
      </w:r>
      <w:r w:rsidR="00B84266">
        <w:t xml:space="preserve">years </w:t>
      </w:r>
      <w:r w:rsidRPr="00F01BFC">
        <w:t xml:space="preserve">for those receiving oocytes or embryo. </w:t>
      </w:r>
      <w:r w:rsidR="00F01BFC">
        <w:t>T</w:t>
      </w:r>
      <w:r w:rsidRPr="00F01BFC">
        <w:t xml:space="preserve">he mean age of the participants in the five randomised </w:t>
      </w:r>
      <w:r w:rsidR="00C4230B">
        <w:t>trials</w:t>
      </w:r>
      <w:r w:rsidRPr="00F01BFC">
        <w:t xml:space="preserve"> was 32.3 years (3.5 years younger than the Australian population receiving ART treatment, on average). </w:t>
      </w:r>
      <w:r w:rsidR="00F01BFC">
        <w:t xml:space="preserve">The PBAC considered that </w:t>
      </w:r>
      <w:r w:rsidRPr="00F01BFC">
        <w:t xml:space="preserve">the effectiveness of Gonal-f for the Australian population may be lower than what was observed in the </w:t>
      </w:r>
      <w:r w:rsidR="00C4230B">
        <w:t>trials</w:t>
      </w:r>
      <w:r w:rsidRPr="00F01BFC">
        <w:t>.</w:t>
      </w:r>
    </w:p>
    <w:p w14:paraId="695E4D75" w14:textId="77777777" w:rsidR="00A80BCB" w:rsidRPr="00131CC6" w:rsidRDefault="00A80BCB" w:rsidP="00943FFD">
      <w:pPr>
        <w:pStyle w:val="3-BodyText"/>
        <w:rPr>
          <w:color w:val="0066FF"/>
        </w:rPr>
      </w:pPr>
      <w:r w:rsidRPr="005A791F">
        <w:t>The</w:t>
      </w:r>
      <w:r w:rsidRPr="005A791F">
        <w:rPr>
          <w:i/>
        </w:rPr>
        <w:t xml:space="preserve"> </w:t>
      </w:r>
      <w:r w:rsidRPr="009B38D8">
        <w:t>submission evaluated the risk of bias</w:t>
      </w:r>
      <w:r w:rsidR="00817931">
        <w:t>,</w:t>
      </w:r>
      <w:r w:rsidRPr="009B38D8">
        <w:t xml:space="preserve"> </w:t>
      </w:r>
      <w:r w:rsidR="00817931">
        <w:t>for the pre</w:t>
      </w:r>
      <w:r w:rsidR="00763B78">
        <w:t>-</w:t>
      </w:r>
      <w:r w:rsidR="00817931">
        <w:t xml:space="preserve">specified primary endpoint of number of oocytes, </w:t>
      </w:r>
      <w:r w:rsidRPr="009B38D8">
        <w:t xml:space="preserve">as low in four of the RCTs included for the live birth outcome. A moderate grading was given by the submission for the evidence on the primary and secondary end points in two of the </w:t>
      </w:r>
      <w:r w:rsidR="00C4230B">
        <w:t>trials</w:t>
      </w:r>
      <w:r w:rsidRPr="009B38D8">
        <w:t xml:space="preserve"> </w:t>
      </w:r>
      <w:r w:rsidR="00131CC6">
        <w:t>given that</w:t>
      </w:r>
      <w:r w:rsidR="00131CC6" w:rsidRPr="00131CC6">
        <w:t xml:space="preserve"> </w:t>
      </w:r>
      <w:r w:rsidRPr="00131CC6">
        <w:t xml:space="preserve">allocation concealment and randomisation </w:t>
      </w:r>
      <w:r w:rsidR="001D77EE" w:rsidRPr="00131CC6">
        <w:t xml:space="preserve">were </w:t>
      </w:r>
      <w:r w:rsidRPr="00E80357">
        <w:t xml:space="preserve">not reported. </w:t>
      </w:r>
      <w:r w:rsidRPr="00BE674F">
        <w:rPr>
          <w:iCs/>
        </w:rPr>
        <w:t xml:space="preserve">The evaluation concluded that the included randomised </w:t>
      </w:r>
      <w:r w:rsidR="00C4230B">
        <w:rPr>
          <w:iCs/>
        </w:rPr>
        <w:t>trials</w:t>
      </w:r>
      <w:r w:rsidRPr="00BE674F">
        <w:rPr>
          <w:iCs/>
        </w:rPr>
        <w:t xml:space="preserve"> have a high risk of bias </w:t>
      </w:r>
      <w:r w:rsidRPr="00211C8B">
        <w:rPr>
          <w:iCs/>
        </w:rPr>
        <w:t xml:space="preserve">associated with not being able to blind participants to treatment allocation and the </w:t>
      </w:r>
      <w:r w:rsidR="00C4230B">
        <w:rPr>
          <w:iCs/>
        </w:rPr>
        <w:t>trials</w:t>
      </w:r>
      <w:r w:rsidRPr="00211C8B">
        <w:rPr>
          <w:iCs/>
        </w:rPr>
        <w:t xml:space="preserve"> not providing sufficient details about missing outcome data.</w:t>
      </w:r>
      <w:r w:rsidR="004B7DF6" w:rsidRPr="00211C8B">
        <w:rPr>
          <w:iCs/>
        </w:rPr>
        <w:t xml:space="preserve"> </w:t>
      </w:r>
      <w:r w:rsidR="00104814">
        <w:rPr>
          <w:iCs/>
        </w:rPr>
        <w:t>The PSCR</w:t>
      </w:r>
      <w:r w:rsidR="00E45E1E" w:rsidRPr="00BA79F2">
        <w:rPr>
          <w:iCs/>
        </w:rPr>
        <w:t xml:space="preserve"> </w:t>
      </w:r>
      <w:r w:rsidR="007C3831" w:rsidRPr="00BA79F2">
        <w:rPr>
          <w:iCs/>
        </w:rPr>
        <w:t xml:space="preserve">argued </w:t>
      </w:r>
      <w:r w:rsidR="004B7DF6" w:rsidRPr="00BA79F2">
        <w:rPr>
          <w:iCs/>
        </w:rPr>
        <w:t xml:space="preserve">that the performance bias in </w:t>
      </w:r>
      <w:r w:rsidR="007C3831" w:rsidRPr="00BA79F2">
        <w:rPr>
          <w:iCs/>
        </w:rPr>
        <w:t xml:space="preserve">the </w:t>
      </w:r>
      <w:r w:rsidR="00C4230B">
        <w:rPr>
          <w:iCs/>
        </w:rPr>
        <w:t>trials</w:t>
      </w:r>
      <w:r w:rsidR="004B7DF6" w:rsidRPr="00BA79F2">
        <w:rPr>
          <w:iCs/>
        </w:rPr>
        <w:t xml:space="preserve"> </w:t>
      </w:r>
      <w:r w:rsidR="007C3831" w:rsidRPr="00BA79F2">
        <w:rPr>
          <w:iCs/>
        </w:rPr>
        <w:t xml:space="preserve">presented </w:t>
      </w:r>
      <w:r w:rsidR="004B7DF6" w:rsidRPr="00BA79F2">
        <w:rPr>
          <w:iCs/>
        </w:rPr>
        <w:t xml:space="preserve">were low and that all methodological issues were addressed by </w:t>
      </w:r>
      <w:r w:rsidR="004C5503" w:rsidRPr="00BA79F2">
        <w:rPr>
          <w:iCs/>
        </w:rPr>
        <w:t xml:space="preserve">the respective </w:t>
      </w:r>
      <w:r w:rsidR="00C21D8D" w:rsidRPr="00BA79F2">
        <w:rPr>
          <w:iCs/>
        </w:rPr>
        <w:t>peer-reviewed journals.</w:t>
      </w:r>
    </w:p>
    <w:p w14:paraId="61CE7FC2" w14:textId="77777777" w:rsidR="0093269E" w:rsidRPr="00131CC6" w:rsidRDefault="0093269E" w:rsidP="00943FFD">
      <w:pPr>
        <w:pStyle w:val="3-BodyText"/>
      </w:pPr>
      <w:r w:rsidRPr="00131CC6">
        <w:t>The</w:t>
      </w:r>
      <w:r w:rsidR="00131CC6">
        <w:t xml:space="preserve"> PBAC noted that the</w:t>
      </w:r>
      <w:r w:rsidRPr="00131CC6">
        <w:t xml:space="preserve"> submission did not discuss the discrepancy between the doses in the included </w:t>
      </w:r>
      <w:r w:rsidR="00C4230B">
        <w:t>trials</w:t>
      </w:r>
      <w:r w:rsidR="00131CC6">
        <w:t xml:space="preserve"> </w:t>
      </w:r>
      <w:r w:rsidRPr="00131CC6">
        <w:t>—</w:t>
      </w:r>
      <w:r w:rsidR="00131CC6">
        <w:t xml:space="preserve"> </w:t>
      </w:r>
      <w:r w:rsidRPr="00131CC6">
        <w:t xml:space="preserve">specifically the initial dose of 225 IU for </w:t>
      </w:r>
      <w:r w:rsidR="00131CC6">
        <w:t xml:space="preserve">the </w:t>
      </w:r>
      <w:r w:rsidRPr="00131CC6">
        <w:t xml:space="preserve">NCT01687712 </w:t>
      </w:r>
      <w:r w:rsidR="00C4230B">
        <w:t>trial</w:t>
      </w:r>
      <w:r w:rsidR="00131CC6">
        <w:t xml:space="preserve"> versus</w:t>
      </w:r>
      <w:r w:rsidR="00131CC6" w:rsidRPr="00131CC6">
        <w:t xml:space="preserve"> </w:t>
      </w:r>
      <w:r w:rsidRPr="00131CC6">
        <w:t xml:space="preserve">the other included </w:t>
      </w:r>
      <w:r w:rsidR="00C4230B">
        <w:t>trials</w:t>
      </w:r>
      <w:r w:rsidR="00131CC6" w:rsidRPr="00131CC6">
        <w:t xml:space="preserve"> </w:t>
      </w:r>
      <w:r w:rsidR="00131CC6">
        <w:t xml:space="preserve">that </w:t>
      </w:r>
      <w:r w:rsidRPr="00131CC6">
        <w:t>used an initial dose of 150 IU.</w:t>
      </w:r>
    </w:p>
    <w:p w14:paraId="4A0811CA" w14:textId="77777777" w:rsidR="00131CC6" w:rsidRDefault="00131CC6" w:rsidP="0062372A">
      <w:pPr>
        <w:pStyle w:val="TableFigureHeading"/>
      </w:pPr>
      <w:r>
        <w:t xml:space="preserve">Table </w:t>
      </w:r>
      <w:r w:rsidR="00360359">
        <w:rPr>
          <w:noProof/>
        </w:rPr>
        <w:t>3</w:t>
      </w:r>
      <w:r>
        <w:t xml:space="preserve">: </w:t>
      </w:r>
      <w:r w:rsidRPr="00587E75">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features of the included evidence"/>
        <w:tblDescription w:val="Key features of the included evidence"/>
      </w:tblPr>
      <w:tblGrid>
        <w:gridCol w:w="1397"/>
        <w:gridCol w:w="821"/>
        <w:gridCol w:w="1390"/>
        <w:gridCol w:w="1102"/>
        <w:gridCol w:w="956"/>
        <w:gridCol w:w="2126"/>
        <w:gridCol w:w="1225"/>
      </w:tblGrid>
      <w:tr w:rsidR="009D4C0F" w:rsidRPr="00211C8B" w14:paraId="102B5DB3" w14:textId="77777777" w:rsidTr="006E0426">
        <w:trPr>
          <w:cantSplit/>
          <w:tblHeader/>
        </w:trPr>
        <w:tc>
          <w:tcPr>
            <w:tcW w:w="775" w:type="pct"/>
            <w:shd w:val="clear" w:color="auto" w:fill="auto"/>
            <w:vAlign w:val="center"/>
          </w:tcPr>
          <w:p w14:paraId="329F43D5" w14:textId="77777777" w:rsidR="009D4C0F" w:rsidRPr="00131CC6" w:rsidRDefault="009D4C0F" w:rsidP="003D5B22">
            <w:pPr>
              <w:pStyle w:val="In-tableHeading"/>
              <w:rPr>
                <w:lang w:val="en-AU"/>
              </w:rPr>
            </w:pPr>
            <w:r w:rsidRPr="00131CC6">
              <w:rPr>
                <w:lang w:val="en-AU"/>
              </w:rPr>
              <w:t>Trial</w:t>
            </w:r>
          </w:p>
        </w:tc>
        <w:tc>
          <w:tcPr>
            <w:tcW w:w="455" w:type="pct"/>
            <w:shd w:val="clear" w:color="auto" w:fill="auto"/>
            <w:vAlign w:val="center"/>
          </w:tcPr>
          <w:p w14:paraId="22FA06DE" w14:textId="77777777" w:rsidR="009D4C0F" w:rsidRPr="005A791F" w:rsidRDefault="009D4C0F" w:rsidP="003D5B22">
            <w:pPr>
              <w:pStyle w:val="In-tableHeading"/>
              <w:jc w:val="center"/>
              <w:rPr>
                <w:lang w:val="en-AU"/>
              </w:rPr>
            </w:pPr>
            <w:r w:rsidRPr="005A791F">
              <w:rPr>
                <w:lang w:val="en-AU"/>
              </w:rPr>
              <w:t>N</w:t>
            </w:r>
          </w:p>
        </w:tc>
        <w:tc>
          <w:tcPr>
            <w:tcW w:w="771" w:type="pct"/>
            <w:shd w:val="clear" w:color="auto" w:fill="auto"/>
            <w:vAlign w:val="center"/>
          </w:tcPr>
          <w:p w14:paraId="6CE626DF" w14:textId="77777777" w:rsidR="009D4C0F" w:rsidRPr="009B38D8" w:rsidRDefault="009D4C0F" w:rsidP="003D5B22">
            <w:pPr>
              <w:pStyle w:val="In-tableHeading"/>
              <w:jc w:val="center"/>
              <w:rPr>
                <w:lang w:val="en-AU"/>
              </w:rPr>
            </w:pPr>
            <w:r w:rsidRPr="009B38D8">
              <w:rPr>
                <w:lang w:val="en-AU"/>
              </w:rPr>
              <w:t>Design/ duration</w:t>
            </w:r>
          </w:p>
        </w:tc>
        <w:tc>
          <w:tcPr>
            <w:tcW w:w="611" w:type="pct"/>
            <w:shd w:val="clear" w:color="auto" w:fill="auto"/>
            <w:vAlign w:val="center"/>
          </w:tcPr>
          <w:p w14:paraId="546E2A01" w14:textId="77777777" w:rsidR="009D4C0F" w:rsidRPr="00F10F43" w:rsidRDefault="009D4C0F" w:rsidP="003D5B22">
            <w:pPr>
              <w:pStyle w:val="In-tableHeading"/>
              <w:jc w:val="center"/>
              <w:rPr>
                <w:lang w:val="en-AU"/>
              </w:rPr>
            </w:pPr>
            <w:r w:rsidRPr="00F10F43">
              <w:rPr>
                <w:lang w:val="en-AU"/>
              </w:rPr>
              <w:t>Risk of bias</w:t>
            </w:r>
          </w:p>
        </w:tc>
        <w:tc>
          <w:tcPr>
            <w:tcW w:w="530" w:type="pct"/>
            <w:shd w:val="clear" w:color="auto" w:fill="auto"/>
            <w:vAlign w:val="center"/>
          </w:tcPr>
          <w:p w14:paraId="214E3EE8" w14:textId="77777777" w:rsidR="009D4C0F" w:rsidRPr="00211C8B" w:rsidRDefault="009D4C0F" w:rsidP="003D5B22">
            <w:pPr>
              <w:pStyle w:val="In-tableHeading"/>
              <w:jc w:val="center"/>
              <w:rPr>
                <w:lang w:val="en-AU"/>
              </w:rPr>
            </w:pPr>
            <w:r w:rsidRPr="00211C8B">
              <w:rPr>
                <w:lang w:val="en-AU"/>
              </w:rPr>
              <w:t>Patient population</w:t>
            </w:r>
          </w:p>
        </w:tc>
        <w:tc>
          <w:tcPr>
            <w:tcW w:w="1179" w:type="pct"/>
            <w:shd w:val="clear" w:color="auto" w:fill="auto"/>
            <w:vAlign w:val="center"/>
          </w:tcPr>
          <w:p w14:paraId="51D01C41" w14:textId="77777777" w:rsidR="009D4C0F" w:rsidRPr="00211C8B" w:rsidRDefault="009D4C0F" w:rsidP="003D5B22">
            <w:pPr>
              <w:pStyle w:val="In-tableHeading"/>
              <w:jc w:val="center"/>
              <w:rPr>
                <w:lang w:val="en-AU"/>
              </w:rPr>
            </w:pPr>
            <w:r w:rsidRPr="00211C8B">
              <w:rPr>
                <w:lang w:val="en-AU"/>
              </w:rPr>
              <w:t>Outcome</w:t>
            </w:r>
            <w:r w:rsidR="00492230" w:rsidRPr="00211C8B">
              <w:rPr>
                <w:lang w:val="en-AU"/>
              </w:rPr>
              <w:t>s</w:t>
            </w:r>
          </w:p>
        </w:tc>
        <w:tc>
          <w:tcPr>
            <w:tcW w:w="679" w:type="pct"/>
            <w:shd w:val="clear" w:color="auto" w:fill="auto"/>
            <w:vAlign w:val="center"/>
          </w:tcPr>
          <w:p w14:paraId="37D8B883" w14:textId="77777777" w:rsidR="009D4C0F" w:rsidRPr="00211C8B" w:rsidRDefault="009D4C0F" w:rsidP="003D5B22">
            <w:pPr>
              <w:pStyle w:val="In-tableHeading"/>
              <w:jc w:val="center"/>
              <w:rPr>
                <w:lang w:val="en-AU"/>
              </w:rPr>
            </w:pPr>
            <w:r w:rsidRPr="00211C8B">
              <w:rPr>
                <w:lang w:val="en-AU"/>
              </w:rPr>
              <w:t>Use in modelled evaluation</w:t>
            </w:r>
          </w:p>
        </w:tc>
      </w:tr>
      <w:tr w:rsidR="009D4C0F" w:rsidRPr="00211C8B" w14:paraId="6D31EF42" w14:textId="77777777" w:rsidTr="006E0426">
        <w:trPr>
          <w:cantSplit/>
        </w:trPr>
        <w:tc>
          <w:tcPr>
            <w:tcW w:w="5000" w:type="pct"/>
            <w:gridSpan w:val="7"/>
            <w:shd w:val="clear" w:color="auto" w:fill="auto"/>
            <w:vAlign w:val="center"/>
          </w:tcPr>
          <w:p w14:paraId="6AB642EA" w14:textId="77777777" w:rsidR="009D4C0F" w:rsidRPr="00211C8B" w:rsidRDefault="00907340" w:rsidP="003D5B22">
            <w:pPr>
              <w:pStyle w:val="In-tableHeading"/>
              <w:rPr>
                <w:lang w:val="en-AU"/>
              </w:rPr>
            </w:pPr>
            <w:r w:rsidRPr="00211C8B">
              <w:rPr>
                <w:lang w:val="en-AU"/>
              </w:rPr>
              <w:t>Gonal-f</w:t>
            </w:r>
            <w:r w:rsidR="009D4C0F" w:rsidRPr="00211C8B">
              <w:rPr>
                <w:lang w:val="en-AU"/>
              </w:rPr>
              <w:t xml:space="preserve"> vs Bemfola</w:t>
            </w:r>
          </w:p>
        </w:tc>
      </w:tr>
      <w:tr w:rsidR="009D4C0F" w:rsidRPr="00211C8B" w14:paraId="2BD69DB7" w14:textId="77777777" w:rsidTr="006E0426">
        <w:trPr>
          <w:cantSplit/>
        </w:trPr>
        <w:tc>
          <w:tcPr>
            <w:tcW w:w="775" w:type="pct"/>
            <w:shd w:val="clear" w:color="auto" w:fill="auto"/>
            <w:vAlign w:val="center"/>
          </w:tcPr>
          <w:p w14:paraId="2FB4B887" w14:textId="77777777" w:rsidR="009D4C0F" w:rsidRPr="00211C8B" w:rsidRDefault="009D4C0F" w:rsidP="003D5B22">
            <w:pPr>
              <w:pStyle w:val="TableText0"/>
            </w:pPr>
            <w:r w:rsidRPr="00211C8B">
              <w:rPr>
                <w:rFonts w:cstheme="minorHAnsi"/>
                <w:color w:val="000000" w:themeColor="text1"/>
                <w:szCs w:val="20"/>
              </w:rPr>
              <w:t>NCT01121666</w:t>
            </w:r>
          </w:p>
        </w:tc>
        <w:tc>
          <w:tcPr>
            <w:tcW w:w="455" w:type="pct"/>
            <w:shd w:val="clear" w:color="auto" w:fill="auto"/>
            <w:vAlign w:val="center"/>
          </w:tcPr>
          <w:p w14:paraId="4317EF21" w14:textId="77777777" w:rsidR="009D4C0F" w:rsidRPr="00211C8B" w:rsidRDefault="009D4C0F" w:rsidP="003D5B22">
            <w:pPr>
              <w:pStyle w:val="TableText0"/>
              <w:jc w:val="center"/>
            </w:pPr>
            <w:r w:rsidRPr="00211C8B">
              <w:t>372</w:t>
            </w:r>
          </w:p>
        </w:tc>
        <w:tc>
          <w:tcPr>
            <w:tcW w:w="771" w:type="pct"/>
            <w:shd w:val="clear" w:color="auto" w:fill="auto"/>
            <w:vAlign w:val="center"/>
          </w:tcPr>
          <w:p w14:paraId="083DA7E6" w14:textId="77777777" w:rsidR="009D4C0F" w:rsidRPr="00211C8B" w:rsidRDefault="009D4C0F" w:rsidP="003D5B22">
            <w:pPr>
              <w:pStyle w:val="TableText0"/>
              <w:jc w:val="center"/>
            </w:pPr>
            <w:r w:rsidRPr="00211C8B">
              <w:t>R, SB</w:t>
            </w:r>
          </w:p>
          <w:p w14:paraId="405ECD0A" w14:textId="77777777" w:rsidR="009D4C0F" w:rsidRPr="00211C8B" w:rsidRDefault="009D4C0F" w:rsidP="003D5B22">
            <w:pPr>
              <w:pStyle w:val="TableText0"/>
              <w:jc w:val="center"/>
            </w:pPr>
            <w:r w:rsidRPr="00211C8B">
              <w:t xml:space="preserve"> 2 cycles</w:t>
            </w:r>
          </w:p>
        </w:tc>
        <w:tc>
          <w:tcPr>
            <w:tcW w:w="611" w:type="pct"/>
            <w:shd w:val="clear" w:color="auto" w:fill="auto"/>
            <w:vAlign w:val="center"/>
          </w:tcPr>
          <w:p w14:paraId="0FECD21A" w14:textId="77777777" w:rsidR="009D4C0F" w:rsidRPr="00211C8B" w:rsidRDefault="009D4C0F" w:rsidP="003D5B22">
            <w:pPr>
              <w:pStyle w:val="TableText0"/>
              <w:jc w:val="center"/>
            </w:pPr>
            <w:r w:rsidRPr="00211C8B">
              <w:t>High</w:t>
            </w:r>
          </w:p>
        </w:tc>
        <w:tc>
          <w:tcPr>
            <w:tcW w:w="530" w:type="pct"/>
            <w:shd w:val="clear" w:color="auto" w:fill="auto"/>
            <w:vAlign w:val="center"/>
          </w:tcPr>
          <w:p w14:paraId="0B44DE47" w14:textId="77777777" w:rsidR="009D4C0F" w:rsidRPr="00211C8B" w:rsidRDefault="009D4C0F" w:rsidP="003D5B22">
            <w:pPr>
              <w:pStyle w:val="TableText0"/>
              <w:jc w:val="center"/>
            </w:pPr>
            <w:r w:rsidRPr="00211C8B">
              <w:t>ART</w:t>
            </w:r>
          </w:p>
        </w:tc>
        <w:tc>
          <w:tcPr>
            <w:tcW w:w="1179" w:type="pct"/>
            <w:shd w:val="clear" w:color="auto" w:fill="auto"/>
            <w:vAlign w:val="center"/>
          </w:tcPr>
          <w:p w14:paraId="6C10116C" w14:textId="77777777" w:rsidR="009D4C0F" w:rsidRPr="00211C8B" w:rsidRDefault="009D4C0F" w:rsidP="003D5B22">
            <w:pPr>
              <w:pStyle w:val="TableText0"/>
              <w:jc w:val="center"/>
            </w:pPr>
            <w:r w:rsidRPr="00211C8B">
              <w:t xml:space="preserve">Number oocytes retrieved; clinical pregnancy; ongoing pregnancy; live birth </w:t>
            </w:r>
          </w:p>
        </w:tc>
        <w:tc>
          <w:tcPr>
            <w:tcW w:w="679" w:type="pct"/>
            <w:shd w:val="clear" w:color="auto" w:fill="auto"/>
            <w:vAlign w:val="center"/>
          </w:tcPr>
          <w:p w14:paraId="3F794EF3" w14:textId="77777777" w:rsidR="009D4C0F" w:rsidRPr="00211C8B" w:rsidRDefault="009D4C0F" w:rsidP="003D5B22">
            <w:pPr>
              <w:pStyle w:val="TableText0"/>
              <w:jc w:val="center"/>
            </w:pPr>
            <w:r w:rsidRPr="00211C8B">
              <w:t>Yes</w:t>
            </w:r>
          </w:p>
        </w:tc>
      </w:tr>
      <w:tr w:rsidR="009D4C0F" w:rsidRPr="00211C8B" w14:paraId="0CB0260A" w14:textId="77777777" w:rsidTr="006E0426">
        <w:trPr>
          <w:cantSplit/>
        </w:trPr>
        <w:tc>
          <w:tcPr>
            <w:tcW w:w="775" w:type="pct"/>
            <w:shd w:val="clear" w:color="auto" w:fill="auto"/>
            <w:vAlign w:val="center"/>
          </w:tcPr>
          <w:p w14:paraId="636D3C5C" w14:textId="77777777" w:rsidR="009D4C0F" w:rsidRPr="00211C8B" w:rsidRDefault="009D4C0F" w:rsidP="003D5B22">
            <w:pPr>
              <w:pStyle w:val="TableText0"/>
            </w:pPr>
            <w:r w:rsidRPr="00211C8B">
              <w:rPr>
                <w:rFonts w:cs="Arial"/>
                <w:color w:val="000000" w:themeColor="text1"/>
                <w:kern w:val="24"/>
                <w:szCs w:val="20"/>
                <w:lang w:eastAsia="en-GB"/>
              </w:rPr>
              <w:t>NCT01687712</w:t>
            </w:r>
          </w:p>
        </w:tc>
        <w:tc>
          <w:tcPr>
            <w:tcW w:w="455" w:type="pct"/>
            <w:shd w:val="clear" w:color="auto" w:fill="auto"/>
            <w:vAlign w:val="center"/>
          </w:tcPr>
          <w:p w14:paraId="70B18F2D" w14:textId="77777777" w:rsidR="009D4C0F" w:rsidRPr="00211C8B" w:rsidRDefault="009D4C0F" w:rsidP="003D5B22">
            <w:pPr>
              <w:pStyle w:val="TableText0"/>
              <w:jc w:val="center"/>
            </w:pPr>
            <w:r w:rsidRPr="00211C8B">
              <w:t>1100</w:t>
            </w:r>
          </w:p>
        </w:tc>
        <w:tc>
          <w:tcPr>
            <w:tcW w:w="771" w:type="pct"/>
            <w:shd w:val="clear" w:color="auto" w:fill="auto"/>
            <w:vAlign w:val="center"/>
          </w:tcPr>
          <w:p w14:paraId="66CEB7EB" w14:textId="77777777" w:rsidR="009D4C0F" w:rsidRPr="00211C8B" w:rsidRDefault="009D4C0F" w:rsidP="003D5B22">
            <w:pPr>
              <w:pStyle w:val="TableText0"/>
              <w:jc w:val="center"/>
            </w:pPr>
            <w:r w:rsidRPr="00211C8B">
              <w:t>R, SB</w:t>
            </w:r>
          </w:p>
          <w:p w14:paraId="237294E7" w14:textId="77777777" w:rsidR="009D4C0F" w:rsidRPr="00211C8B" w:rsidRDefault="009D4C0F" w:rsidP="003D5B22">
            <w:pPr>
              <w:pStyle w:val="TableText0"/>
              <w:jc w:val="center"/>
            </w:pPr>
            <w:r w:rsidRPr="00211C8B">
              <w:t xml:space="preserve"> 3 cycles</w:t>
            </w:r>
          </w:p>
        </w:tc>
        <w:tc>
          <w:tcPr>
            <w:tcW w:w="611" w:type="pct"/>
            <w:shd w:val="clear" w:color="auto" w:fill="auto"/>
            <w:vAlign w:val="center"/>
          </w:tcPr>
          <w:p w14:paraId="7DC73649" w14:textId="77777777" w:rsidR="009D4C0F" w:rsidRPr="00211C8B" w:rsidRDefault="009D4C0F" w:rsidP="003D5B22">
            <w:pPr>
              <w:pStyle w:val="TableText0"/>
              <w:jc w:val="center"/>
            </w:pPr>
            <w:r w:rsidRPr="00211C8B">
              <w:t>High</w:t>
            </w:r>
          </w:p>
        </w:tc>
        <w:tc>
          <w:tcPr>
            <w:tcW w:w="530" w:type="pct"/>
            <w:shd w:val="clear" w:color="auto" w:fill="auto"/>
            <w:vAlign w:val="center"/>
          </w:tcPr>
          <w:p w14:paraId="5E7A7C96" w14:textId="77777777" w:rsidR="009D4C0F" w:rsidRPr="00211C8B" w:rsidRDefault="009D4C0F" w:rsidP="003D5B22">
            <w:pPr>
              <w:pStyle w:val="TableText0"/>
              <w:jc w:val="center"/>
            </w:pPr>
            <w:r w:rsidRPr="00211C8B">
              <w:t>ART</w:t>
            </w:r>
          </w:p>
        </w:tc>
        <w:tc>
          <w:tcPr>
            <w:tcW w:w="1179" w:type="pct"/>
            <w:shd w:val="clear" w:color="auto" w:fill="auto"/>
            <w:vAlign w:val="center"/>
          </w:tcPr>
          <w:p w14:paraId="1C0A8041" w14:textId="77777777" w:rsidR="009D4C0F" w:rsidRPr="00211C8B" w:rsidRDefault="009D4C0F" w:rsidP="003D5B22">
            <w:pPr>
              <w:pStyle w:val="TableText0"/>
              <w:jc w:val="center"/>
            </w:pPr>
            <w:r w:rsidRPr="00211C8B">
              <w:t>Number oocytes retrieved; clinical pregnancy; ongoing pregnancy; live birth</w:t>
            </w:r>
          </w:p>
        </w:tc>
        <w:tc>
          <w:tcPr>
            <w:tcW w:w="679" w:type="pct"/>
            <w:shd w:val="clear" w:color="auto" w:fill="auto"/>
            <w:vAlign w:val="center"/>
          </w:tcPr>
          <w:p w14:paraId="59E6F775" w14:textId="77777777" w:rsidR="009D4C0F" w:rsidRPr="00211C8B" w:rsidRDefault="009D4C0F" w:rsidP="003D5B22">
            <w:pPr>
              <w:pStyle w:val="TableText0"/>
              <w:jc w:val="center"/>
            </w:pPr>
            <w:r w:rsidRPr="00211C8B">
              <w:t>Yes</w:t>
            </w:r>
          </w:p>
        </w:tc>
      </w:tr>
      <w:tr w:rsidR="009D4C0F" w:rsidRPr="00211C8B" w14:paraId="66558A48" w14:textId="77777777" w:rsidTr="006E0426">
        <w:trPr>
          <w:cantSplit/>
        </w:trPr>
        <w:tc>
          <w:tcPr>
            <w:tcW w:w="5000" w:type="pct"/>
            <w:gridSpan w:val="7"/>
            <w:shd w:val="clear" w:color="auto" w:fill="auto"/>
            <w:vAlign w:val="center"/>
          </w:tcPr>
          <w:p w14:paraId="5CAFFBA3" w14:textId="77777777" w:rsidR="009D4C0F" w:rsidRPr="00211C8B" w:rsidRDefault="00907340" w:rsidP="003D5B22">
            <w:pPr>
              <w:pStyle w:val="TableText0"/>
              <w:rPr>
                <w:b/>
                <w:bCs w:val="0"/>
              </w:rPr>
            </w:pPr>
            <w:r w:rsidRPr="00211C8B">
              <w:rPr>
                <w:b/>
                <w:bCs w:val="0"/>
              </w:rPr>
              <w:t>Gonal-f</w:t>
            </w:r>
            <w:r w:rsidR="009D4C0F" w:rsidRPr="00211C8B">
              <w:rPr>
                <w:b/>
                <w:bCs w:val="0"/>
              </w:rPr>
              <w:t xml:space="preserve"> vs Ovaleap</w:t>
            </w:r>
          </w:p>
        </w:tc>
      </w:tr>
      <w:tr w:rsidR="009D4C0F" w:rsidRPr="00211C8B" w14:paraId="229E5ED4" w14:textId="77777777" w:rsidTr="006E0426">
        <w:trPr>
          <w:cantSplit/>
        </w:trPr>
        <w:tc>
          <w:tcPr>
            <w:tcW w:w="775" w:type="pct"/>
            <w:shd w:val="clear" w:color="auto" w:fill="auto"/>
            <w:vAlign w:val="center"/>
          </w:tcPr>
          <w:p w14:paraId="7AA6E5D6" w14:textId="77777777" w:rsidR="009D4C0F" w:rsidRPr="00211C8B" w:rsidRDefault="009D4C0F" w:rsidP="003D5B22">
            <w:pPr>
              <w:pStyle w:val="TableText0"/>
            </w:pPr>
            <w:r w:rsidRPr="00211C8B">
              <w:t>ISRCTN74772901</w:t>
            </w:r>
          </w:p>
        </w:tc>
        <w:tc>
          <w:tcPr>
            <w:tcW w:w="455" w:type="pct"/>
            <w:shd w:val="clear" w:color="auto" w:fill="auto"/>
            <w:vAlign w:val="center"/>
          </w:tcPr>
          <w:p w14:paraId="6FCC4258" w14:textId="77777777" w:rsidR="009D4C0F" w:rsidRPr="00211C8B" w:rsidRDefault="009D4C0F" w:rsidP="003D5B22">
            <w:pPr>
              <w:pStyle w:val="TableText0"/>
              <w:jc w:val="center"/>
            </w:pPr>
            <w:r w:rsidRPr="00211C8B">
              <w:t>299</w:t>
            </w:r>
          </w:p>
        </w:tc>
        <w:tc>
          <w:tcPr>
            <w:tcW w:w="771" w:type="pct"/>
            <w:shd w:val="clear" w:color="auto" w:fill="auto"/>
            <w:vAlign w:val="center"/>
          </w:tcPr>
          <w:p w14:paraId="0A1A10B3" w14:textId="77777777" w:rsidR="009D4C0F" w:rsidRPr="00211C8B" w:rsidRDefault="009D4C0F" w:rsidP="003D5B22">
            <w:pPr>
              <w:pStyle w:val="TableText0"/>
              <w:jc w:val="center"/>
            </w:pPr>
            <w:r w:rsidRPr="00211C8B">
              <w:t>R, SB</w:t>
            </w:r>
          </w:p>
          <w:p w14:paraId="24FF57B4" w14:textId="77777777" w:rsidR="009D4C0F" w:rsidRPr="00211C8B" w:rsidRDefault="009D4C0F" w:rsidP="003D5B22">
            <w:pPr>
              <w:pStyle w:val="TableText0"/>
              <w:jc w:val="center"/>
            </w:pPr>
            <w:r w:rsidRPr="00211C8B">
              <w:t xml:space="preserve"> 1 cycle</w:t>
            </w:r>
          </w:p>
        </w:tc>
        <w:tc>
          <w:tcPr>
            <w:tcW w:w="611" w:type="pct"/>
            <w:shd w:val="clear" w:color="auto" w:fill="auto"/>
            <w:vAlign w:val="center"/>
          </w:tcPr>
          <w:p w14:paraId="72D46277" w14:textId="77777777" w:rsidR="009D4C0F" w:rsidRPr="00211C8B" w:rsidRDefault="009D4C0F" w:rsidP="003D5B22">
            <w:pPr>
              <w:pStyle w:val="TableText0"/>
              <w:jc w:val="center"/>
            </w:pPr>
            <w:r w:rsidRPr="00211C8B">
              <w:t>High</w:t>
            </w:r>
          </w:p>
        </w:tc>
        <w:tc>
          <w:tcPr>
            <w:tcW w:w="530" w:type="pct"/>
            <w:shd w:val="clear" w:color="auto" w:fill="auto"/>
            <w:vAlign w:val="center"/>
          </w:tcPr>
          <w:p w14:paraId="58D25369" w14:textId="77777777" w:rsidR="009D4C0F" w:rsidRPr="00211C8B" w:rsidRDefault="009D4C0F" w:rsidP="003D5B22">
            <w:pPr>
              <w:pStyle w:val="TableText0"/>
              <w:jc w:val="center"/>
            </w:pPr>
            <w:r w:rsidRPr="00211C8B">
              <w:t>ART</w:t>
            </w:r>
          </w:p>
        </w:tc>
        <w:tc>
          <w:tcPr>
            <w:tcW w:w="1179" w:type="pct"/>
            <w:shd w:val="clear" w:color="auto" w:fill="auto"/>
            <w:vAlign w:val="center"/>
          </w:tcPr>
          <w:p w14:paraId="17D6B771" w14:textId="77777777" w:rsidR="009D4C0F" w:rsidRPr="00211C8B" w:rsidRDefault="009D4C0F" w:rsidP="003D5B22">
            <w:pPr>
              <w:pStyle w:val="TableText0"/>
              <w:jc w:val="center"/>
            </w:pPr>
            <w:r w:rsidRPr="00211C8B">
              <w:t>Number oocytes retrieved; clinical pregnancy; ongoing pregnancy; live birth</w:t>
            </w:r>
          </w:p>
        </w:tc>
        <w:tc>
          <w:tcPr>
            <w:tcW w:w="679" w:type="pct"/>
            <w:shd w:val="clear" w:color="auto" w:fill="auto"/>
            <w:vAlign w:val="center"/>
          </w:tcPr>
          <w:p w14:paraId="23482ACA" w14:textId="77777777" w:rsidR="009D4C0F" w:rsidRPr="00211C8B" w:rsidRDefault="009D4C0F" w:rsidP="003D5B22">
            <w:pPr>
              <w:pStyle w:val="TableText0"/>
              <w:jc w:val="center"/>
            </w:pPr>
            <w:r w:rsidRPr="00211C8B">
              <w:t xml:space="preserve">Yes </w:t>
            </w:r>
          </w:p>
        </w:tc>
      </w:tr>
      <w:tr w:rsidR="009D4C0F" w:rsidRPr="00211C8B" w14:paraId="4FAFBB20" w14:textId="77777777" w:rsidTr="006E0426">
        <w:trPr>
          <w:cantSplit/>
        </w:trPr>
        <w:tc>
          <w:tcPr>
            <w:tcW w:w="5000" w:type="pct"/>
            <w:gridSpan w:val="7"/>
            <w:shd w:val="clear" w:color="auto" w:fill="auto"/>
            <w:vAlign w:val="center"/>
          </w:tcPr>
          <w:p w14:paraId="30A89D85" w14:textId="77777777" w:rsidR="009D4C0F" w:rsidRPr="00211C8B" w:rsidRDefault="00907340" w:rsidP="003D5B22">
            <w:pPr>
              <w:pStyle w:val="TableText0"/>
              <w:rPr>
                <w:b/>
                <w:bCs w:val="0"/>
              </w:rPr>
            </w:pPr>
            <w:r w:rsidRPr="00211C8B">
              <w:rPr>
                <w:b/>
                <w:bCs w:val="0"/>
              </w:rPr>
              <w:t>Gonal-f</w:t>
            </w:r>
            <w:r w:rsidR="009D4C0F" w:rsidRPr="00211C8B">
              <w:rPr>
                <w:b/>
                <w:bCs w:val="0"/>
              </w:rPr>
              <w:t xml:space="preserve"> vs Primapur</w:t>
            </w:r>
          </w:p>
        </w:tc>
      </w:tr>
      <w:tr w:rsidR="009D4C0F" w:rsidRPr="00211C8B" w14:paraId="7DBBAB45" w14:textId="77777777" w:rsidTr="006E0426">
        <w:trPr>
          <w:cantSplit/>
        </w:trPr>
        <w:tc>
          <w:tcPr>
            <w:tcW w:w="775" w:type="pct"/>
            <w:shd w:val="clear" w:color="auto" w:fill="auto"/>
            <w:vAlign w:val="center"/>
          </w:tcPr>
          <w:p w14:paraId="23AAA33A" w14:textId="77777777" w:rsidR="009D4C0F" w:rsidRPr="00211C8B" w:rsidRDefault="009D4C0F" w:rsidP="003D5B22">
            <w:pPr>
              <w:pStyle w:val="TableText0"/>
            </w:pPr>
            <w:r w:rsidRPr="00211C8B">
              <w:rPr>
                <w:color w:val="000000" w:themeColor="text1"/>
                <w:szCs w:val="20"/>
                <w:lang w:eastAsia="zh-CN"/>
              </w:rPr>
              <w:t>NCT03088137</w:t>
            </w:r>
          </w:p>
        </w:tc>
        <w:tc>
          <w:tcPr>
            <w:tcW w:w="455" w:type="pct"/>
            <w:shd w:val="clear" w:color="auto" w:fill="auto"/>
            <w:vAlign w:val="center"/>
          </w:tcPr>
          <w:p w14:paraId="6444B16C" w14:textId="77777777" w:rsidR="009D4C0F" w:rsidRPr="00211C8B" w:rsidRDefault="009D4C0F" w:rsidP="003D5B22">
            <w:pPr>
              <w:pStyle w:val="TableText0"/>
              <w:jc w:val="center"/>
            </w:pPr>
            <w:r w:rsidRPr="00211C8B">
              <w:t>110</w:t>
            </w:r>
          </w:p>
        </w:tc>
        <w:tc>
          <w:tcPr>
            <w:tcW w:w="771" w:type="pct"/>
            <w:shd w:val="clear" w:color="auto" w:fill="auto"/>
            <w:vAlign w:val="center"/>
          </w:tcPr>
          <w:p w14:paraId="3A5775C5" w14:textId="77777777" w:rsidR="009D4C0F" w:rsidRPr="00211C8B" w:rsidRDefault="009D4C0F" w:rsidP="003D5B22">
            <w:pPr>
              <w:pStyle w:val="TableText0"/>
              <w:jc w:val="center"/>
            </w:pPr>
            <w:r w:rsidRPr="00211C8B">
              <w:t>R, SB</w:t>
            </w:r>
          </w:p>
          <w:p w14:paraId="484DD1DF" w14:textId="77777777" w:rsidR="009D4C0F" w:rsidRPr="00211C8B" w:rsidRDefault="009D4C0F" w:rsidP="003D5B22">
            <w:pPr>
              <w:pStyle w:val="TableText0"/>
              <w:jc w:val="center"/>
            </w:pPr>
            <w:r w:rsidRPr="00211C8B">
              <w:t xml:space="preserve"> </w:t>
            </w:r>
            <w:r w:rsidR="00AD4F5E" w:rsidRPr="00211C8B">
              <w:t>1 cycle</w:t>
            </w:r>
          </w:p>
        </w:tc>
        <w:tc>
          <w:tcPr>
            <w:tcW w:w="611" w:type="pct"/>
            <w:shd w:val="clear" w:color="auto" w:fill="auto"/>
            <w:vAlign w:val="center"/>
          </w:tcPr>
          <w:p w14:paraId="6C79208A" w14:textId="77777777" w:rsidR="009D4C0F" w:rsidRPr="00211C8B" w:rsidRDefault="009D4C0F" w:rsidP="003D5B22">
            <w:pPr>
              <w:pStyle w:val="TableText0"/>
              <w:jc w:val="center"/>
            </w:pPr>
            <w:r w:rsidRPr="00211C8B">
              <w:t>High</w:t>
            </w:r>
          </w:p>
        </w:tc>
        <w:tc>
          <w:tcPr>
            <w:tcW w:w="530" w:type="pct"/>
            <w:shd w:val="clear" w:color="auto" w:fill="auto"/>
            <w:vAlign w:val="center"/>
          </w:tcPr>
          <w:p w14:paraId="7DE247BD" w14:textId="77777777" w:rsidR="009D4C0F" w:rsidRPr="00211C8B" w:rsidRDefault="009D4C0F" w:rsidP="003D5B22">
            <w:pPr>
              <w:pStyle w:val="TableText0"/>
              <w:jc w:val="center"/>
            </w:pPr>
            <w:r w:rsidRPr="00211C8B">
              <w:t>ART</w:t>
            </w:r>
          </w:p>
        </w:tc>
        <w:tc>
          <w:tcPr>
            <w:tcW w:w="1179" w:type="pct"/>
            <w:shd w:val="clear" w:color="auto" w:fill="auto"/>
            <w:vAlign w:val="center"/>
          </w:tcPr>
          <w:p w14:paraId="6CE7165E" w14:textId="77777777" w:rsidR="009D4C0F" w:rsidRPr="00211C8B" w:rsidRDefault="009D4C0F" w:rsidP="003D5B22">
            <w:pPr>
              <w:pStyle w:val="TableText0"/>
              <w:jc w:val="center"/>
            </w:pPr>
            <w:r w:rsidRPr="00211C8B">
              <w:t>Number oocytes retrieved; ongoing pregnancy; live birth</w:t>
            </w:r>
          </w:p>
        </w:tc>
        <w:tc>
          <w:tcPr>
            <w:tcW w:w="679" w:type="pct"/>
            <w:shd w:val="clear" w:color="auto" w:fill="auto"/>
            <w:vAlign w:val="center"/>
          </w:tcPr>
          <w:p w14:paraId="785205F6" w14:textId="77777777" w:rsidR="009D4C0F" w:rsidRPr="00211C8B" w:rsidRDefault="009D4C0F" w:rsidP="003D5B22">
            <w:pPr>
              <w:pStyle w:val="TableText0"/>
              <w:jc w:val="center"/>
            </w:pPr>
            <w:r w:rsidRPr="00211C8B">
              <w:t>No</w:t>
            </w:r>
          </w:p>
        </w:tc>
      </w:tr>
      <w:tr w:rsidR="009D4C0F" w:rsidRPr="00211C8B" w14:paraId="42E91443" w14:textId="77777777" w:rsidTr="006E0426">
        <w:trPr>
          <w:cantSplit/>
        </w:trPr>
        <w:tc>
          <w:tcPr>
            <w:tcW w:w="5000" w:type="pct"/>
            <w:gridSpan w:val="7"/>
            <w:shd w:val="clear" w:color="auto" w:fill="auto"/>
            <w:vAlign w:val="center"/>
          </w:tcPr>
          <w:p w14:paraId="23A66E7A" w14:textId="77777777" w:rsidR="009D4C0F" w:rsidRPr="00211C8B" w:rsidRDefault="00907340" w:rsidP="003D5B22">
            <w:pPr>
              <w:pStyle w:val="TableText0"/>
              <w:rPr>
                <w:b/>
                <w:bCs w:val="0"/>
              </w:rPr>
            </w:pPr>
            <w:r w:rsidRPr="00211C8B">
              <w:rPr>
                <w:b/>
                <w:bCs w:val="0"/>
              </w:rPr>
              <w:t>Gonal-f</w:t>
            </w:r>
            <w:r w:rsidR="009D4C0F" w:rsidRPr="00211C8B">
              <w:rPr>
                <w:b/>
                <w:bCs w:val="0"/>
              </w:rPr>
              <w:t xml:space="preserve"> vs Follitrope</w:t>
            </w:r>
          </w:p>
        </w:tc>
      </w:tr>
      <w:tr w:rsidR="009D4C0F" w:rsidRPr="00211C8B" w14:paraId="13C72C41" w14:textId="77777777" w:rsidTr="006E0426">
        <w:trPr>
          <w:cantSplit/>
        </w:trPr>
        <w:tc>
          <w:tcPr>
            <w:tcW w:w="775" w:type="pct"/>
            <w:shd w:val="clear" w:color="auto" w:fill="auto"/>
            <w:vAlign w:val="center"/>
          </w:tcPr>
          <w:p w14:paraId="02BB354C" w14:textId="77777777" w:rsidR="009D4C0F" w:rsidRPr="00211C8B" w:rsidRDefault="009D4C0F" w:rsidP="003D5B22">
            <w:pPr>
              <w:pStyle w:val="TableText0"/>
            </w:pPr>
            <w:r w:rsidRPr="00211C8B">
              <w:rPr>
                <w:color w:val="000000" w:themeColor="text1"/>
                <w:szCs w:val="20"/>
                <w:lang w:eastAsia="zh-CN"/>
              </w:rPr>
              <w:t>NCT03506243</w:t>
            </w:r>
          </w:p>
        </w:tc>
        <w:tc>
          <w:tcPr>
            <w:tcW w:w="455" w:type="pct"/>
            <w:shd w:val="clear" w:color="auto" w:fill="auto"/>
            <w:vAlign w:val="center"/>
          </w:tcPr>
          <w:p w14:paraId="62F847C0" w14:textId="77777777" w:rsidR="009D4C0F" w:rsidRPr="00211C8B" w:rsidRDefault="009D4C0F" w:rsidP="003D5B22">
            <w:pPr>
              <w:pStyle w:val="TableText0"/>
              <w:jc w:val="center"/>
            </w:pPr>
            <w:r w:rsidRPr="00211C8B">
              <w:t>451</w:t>
            </w:r>
          </w:p>
        </w:tc>
        <w:tc>
          <w:tcPr>
            <w:tcW w:w="771" w:type="pct"/>
            <w:shd w:val="clear" w:color="auto" w:fill="auto"/>
            <w:vAlign w:val="center"/>
          </w:tcPr>
          <w:p w14:paraId="69E571DB" w14:textId="77777777" w:rsidR="009D4C0F" w:rsidRPr="00211C8B" w:rsidRDefault="009D4C0F" w:rsidP="003D5B22">
            <w:pPr>
              <w:pStyle w:val="TableText0"/>
              <w:jc w:val="center"/>
            </w:pPr>
            <w:r w:rsidRPr="00211C8B">
              <w:t>R, SB</w:t>
            </w:r>
          </w:p>
          <w:p w14:paraId="224DDEFD" w14:textId="77777777" w:rsidR="009D4C0F" w:rsidRPr="00211C8B" w:rsidRDefault="009D4C0F" w:rsidP="003D5B22">
            <w:pPr>
              <w:pStyle w:val="TableText0"/>
              <w:jc w:val="center"/>
            </w:pPr>
            <w:r w:rsidRPr="00211C8B">
              <w:t xml:space="preserve"> </w:t>
            </w:r>
            <w:r w:rsidR="00AD4F5E" w:rsidRPr="00211C8B">
              <w:t>1 cycle</w:t>
            </w:r>
          </w:p>
        </w:tc>
        <w:tc>
          <w:tcPr>
            <w:tcW w:w="611" w:type="pct"/>
            <w:shd w:val="clear" w:color="auto" w:fill="auto"/>
            <w:vAlign w:val="center"/>
          </w:tcPr>
          <w:p w14:paraId="20705020" w14:textId="77777777" w:rsidR="009D4C0F" w:rsidRPr="00211C8B" w:rsidRDefault="009D4C0F" w:rsidP="003D5B22">
            <w:pPr>
              <w:pStyle w:val="TableText0"/>
              <w:jc w:val="center"/>
            </w:pPr>
            <w:r w:rsidRPr="00211C8B">
              <w:t>High</w:t>
            </w:r>
          </w:p>
        </w:tc>
        <w:tc>
          <w:tcPr>
            <w:tcW w:w="530" w:type="pct"/>
            <w:shd w:val="clear" w:color="auto" w:fill="auto"/>
            <w:vAlign w:val="center"/>
          </w:tcPr>
          <w:p w14:paraId="0FBEA8A8" w14:textId="77777777" w:rsidR="009D4C0F" w:rsidRPr="00211C8B" w:rsidRDefault="009D4C0F" w:rsidP="003D5B22">
            <w:pPr>
              <w:pStyle w:val="TableText0"/>
              <w:jc w:val="center"/>
            </w:pPr>
            <w:r w:rsidRPr="00211C8B">
              <w:t>ART</w:t>
            </w:r>
          </w:p>
        </w:tc>
        <w:tc>
          <w:tcPr>
            <w:tcW w:w="1179" w:type="pct"/>
            <w:shd w:val="clear" w:color="auto" w:fill="auto"/>
            <w:vAlign w:val="center"/>
          </w:tcPr>
          <w:p w14:paraId="2058DE05" w14:textId="77777777" w:rsidR="009D4C0F" w:rsidRPr="00211C8B" w:rsidRDefault="009D4C0F" w:rsidP="003D5B22">
            <w:pPr>
              <w:pStyle w:val="TableText0"/>
              <w:jc w:val="center"/>
            </w:pPr>
            <w:r w:rsidRPr="00211C8B">
              <w:t>Number oocytes retrieved; clinical pregnancy; ongoing pregnancy</w:t>
            </w:r>
          </w:p>
        </w:tc>
        <w:tc>
          <w:tcPr>
            <w:tcW w:w="679" w:type="pct"/>
            <w:shd w:val="clear" w:color="auto" w:fill="auto"/>
            <w:vAlign w:val="center"/>
          </w:tcPr>
          <w:p w14:paraId="0C4A2702" w14:textId="77777777" w:rsidR="009D4C0F" w:rsidRPr="00211C8B" w:rsidRDefault="009D4C0F" w:rsidP="003D5B22">
            <w:pPr>
              <w:pStyle w:val="TableText0"/>
              <w:jc w:val="center"/>
            </w:pPr>
            <w:r w:rsidRPr="00211C8B">
              <w:t>No</w:t>
            </w:r>
          </w:p>
        </w:tc>
      </w:tr>
    </w:tbl>
    <w:p w14:paraId="5AF979C0" w14:textId="77777777" w:rsidR="009D4C0F" w:rsidRPr="00211C8B" w:rsidRDefault="009D4C0F" w:rsidP="009D4C0F">
      <w:pPr>
        <w:pStyle w:val="TableFigureFooter"/>
      </w:pPr>
      <w:r w:rsidRPr="00211C8B">
        <w:t xml:space="preserve">Source: </w:t>
      </w:r>
      <w:r w:rsidR="00C1601E" w:rsidRPr="00211C8B">
        <w:t xml:space="preserve">Compiled during </w:t>
      </w:r>
      <w:r w:rsidR="004A5E5B" w:rsidRPr="00211C8B">
        <w:t xml:space="preserve">evaluation </w:t>
      </w:r>
      <w:r w:rsidR="00C1601E" w:rsidRPr="00211C8B">
        <w:t xml:space="preserve">using data </w:t>
      </w:r>
      <w:r w:rsidR="00816BA3" w:rsidRPr="00211C8B">
        <w:t xml:space="preserve">from the Chua et al., 2021 meta-analysis and the </w:t>
      </w:r>
      <w:r w:rsidR="00C4230B">
        <w:t>trial</w:t>
      </w:r>
      <w:r w:rsidR="00816BA3" w:rsidRPr="00211C8B">
        <w:t xml:space="preserve"> papers included in the meta-analysis</w:t>
      </w:r>
      <w:r w:rsidRPr="00211C8B">
        <w:t>.</w:t>
      </w:r>
    </w:p>
    <w:p w14:paraId="2FC0A72C" w14:textId="77777777" w:rsidR="009D4C0F" w:rsidRPr="00211C8B" w:rsidRDefault="009D4C0F" w:rsidP="009D4C0F">
      <w:pPr>
        <w:pStyle w:val="TableFigureFooter"/>
        <w:rPr>
          <w:sz w:val="20"/>
        </w:rPr>
      </w:pPr>
      <w:r w:rsidRPr="00211C8B">
        <w:t>ART = assisted reproductive technology; R = randomised</w:t>
      </w:r>
      <w:r w:rsidR="005B553A" w:rsidRPr="00211C8B">
        <w:t>; SB = single blind</w:t>
      </w:r>
    </w:p>
    <w:p w14:paraId="0CDA1675" w14:textId="77777777" w:rsidR="009D4C0F" w:rsidRPr="00211C8B" w:rsidRDefault="009D4C0F" w:rsidP="009D4C0F">
      <w:pPr>
        <w:pStyle w:val="4-SubsectionHeading"/>
      </w:pPr>
      <w:bookmarkStart w:id="28" w:name="_Toc79702742"/>
      <w:bookmarkStart w:id="29" w:name="_Toc82610360"/>
      <w:r w:rsidRPr="00211C8B">
        <w:t>Comparative effectiveness</w:t>
      </w:r>
      <w:bookmarkEnd w:id="28"/>
      <w:bookmarkEnd w:id="29"/>
    </w:p>
    <w:p w14:paraId="259C4752" w14:textId="77777777" w:rsidR="009D4C0F" w:rsidRPr="00E80357" w:rsidRDefault="005E17EE" w:rsidP="00943FFD">
      <w:pPr>
        <w:pStyle w:val="3-BodyText"/>
        <w:rPr>
          <w:color w:val="0066FF"/>
        </w:rPr>
      </w:pPr>
      <w:r w:rsidRPr="00211C8B">
        <w:t xml:space="preserve">Tables </w:t>
      </w:r>
      <w:r w:rsidR="00642627" w:rsidRPr="00211C8B">
        <w:t>4-6</w:t>
      </w:r>
      <w:r w:rsidRPr="00211C8B">
        <w:t xml:space="preserve"> present</w:t>
      </w:r>
      <w:r w:rsidR="00131CC6">
        <w:t xml:space="preserve"> the</w:t>
      </w:r>
      <w:r w:rsidRPr="00131CC6">
        <w:t xml:space="preserve"> differences in the outcomes </w:t>
      </w:r>
      <w:r w:rsidR="00BA2581" w:rsidRPr="00131CC6">
        <w:t xml:space="preserve">of </w:t>
      </w:r>
      <w:r w:rsidRPr="00131CC6">
        <w:t xml:space="preserve">live birth, clinical pregnancy and ongoing pregnancy rates and number of oocytes retrieved </w:t>
      </w:r>
      <w:r w:rsidRPr="00E80357">
        <w:t xml:space="preserve">reported in the five </w:t>
      </w:r>
      <w:r w:rsidR="006B7E6F" w:rsidRPr="00E80357">
        <w:t xml:space="preserve">randomised </w:t>
      </w:r>
      <w:r w:rsidR="00C4230B">
        <w:t>trials</w:t>
      </w:r>
      <w:r w:rsidRPr="00E80357">
        <w:t xml:space="preserve">. </w:t>
      </w:r>
      <w:r w:rsidR="00E80357">
        <w:t>The PBAC considered that n</w:t>
      </w:r>
      <w:r w:rsidRPr="00E80357">
        <w:t xml:space="preserve">one of the individual </w:t>
      </w:r>
      <w:r w:rsidR="00C4230B">
        <w:t>trials</w:t>
      </w:r>
      <w:r w:rsidRPr="00E80357">
        <w:t xml:space="preserve"> found a significant effect on clinical pregnancy rate, ongoing pregnancy rate or live birth rate for </w:t>
      </w:r>
      <w:r w:rsidR="00907340" w:rsidRPr="00E80357">
        <w:t>Gonal-f</w:t>
      </w:r>
      <w:r w:rsidRPr="00E80357">
        <w:t xml:space="preserve"> compared with biosimilar preparations of follitropin alfa in the first</w:t>
      </w:r>
      <w:r w:rsidR="00A0150A" w:rsidRPr="00E80357">
        <w:t xml:space="preserve"> or subsequent</w:t>
      </w:r>
      <w:r w:rsidRPr="00E80357">
        <w:t xml:space="preserve"> cycle</w:t>
      </w:r>
      <w:r w:rsidR="00A0150A" w:rsidRPr="00E80357">
        <w:t>s</w:t>
      </w:r>
      <w:r w:rsidRPr="00E80357">
        <w:t xml:space="preserve"> of treatment.</w:t>
      </w:r>
    </w:p>
    <w:p w14:paraId="7768CCD5" w14:textId="77777777" w:rsidR="00E80357" w:rsidRDefault="00E80357" w:rsidP="0062372A">
      <w:pPr>
        <w:pStyle w:val="TableFigureHeading"/>
      </w:pPr>
      <w:r>
        <w:t xml:space="preserve">Table </w:t>
      </w:r>
      <w:r w:rsidR="00360359">
        <w:rPr>
          <w:noProof/>
        </w:rPr>
        <w:t>4</w:t>
      </w:r>
      <w:r>
        <w:t xml:space="preserve">: </w:t>
      </w:r>
      <w:r w:rsidRPr="009B6726">
        <w:t xml:space="preserve">Results of clinical pregnancy across the </w:t>
      </w:r>
      <w:r w:rsidR="00C4230B">
        <w:t>trials</w:t>
      </w:r>
      <w:r w:rsidRPr="009B6726">
        <w:t>: dichotomous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sults of clinical pregnancy across the trials: dichotomous data "/>
        <w:tblDescription w:val="Results of clinical pregnancy across the trials: dichotomous data "/>
      </w:tblPr>
      <w:tblGrid>
        <w:gridCol w:w="1556"/>
        <w:gridCol w:w="849"/>
        <w:gridCol w:w="2072"/>
        <w:gridCol w:w="1544"/>
        <w:gridCol w:w="1517"/>
        <w:gridCol w:w="1479"/>
      </w:tblGrid>
      <w:tr w:rsidR="00641DD8" w:rsidRPr="00211C8B" w14:paraId="3310AE9C" w14:textId="77777777" w:rsidTr="009569D5">
        <w:trPr>
          <w:tblHeader/>
        </w:trPr>
        <w:tc>
          <w:tcPr>
            <w:tcW w:w="863" w:type="pct"/>
            <w:vAlign w:val="center"/>
          </w:tcPr>
          <w:p w14:paraId="0A87027D" w14:textId="77777777" w:rsidR="00641DD8" w:rsidRPr="00E80357" w:rsidRDefault="00C4230B" w:rsidP="00A6538B">
            <w:pPr>
              <w:pStyle w:val="In-tableHeading"/>
              <w:rPr>
                <w:lang w:val="en-AU"/>
              </w:rPr>
            </w:pPr>
            <w:r>
              <w:rPr>
                <w:lang w:val="en-AU"/>
              </w:rPr>
              <w:t>Trial</w:t>
            </w:r>
            <w:r w:rsidR="00641DD8" w:rsidRPr="00E80357">
              <w:rPr>
                <w:lang w:val="en-AU"/>
              </w:rPr>
              <w:t xml:space="preserve"> ID</w:t>
            </w:r>
          </w:p>
        </w:tc>
        <w:tc>
          <w:tcPr>
            <w:tcW w:w="471" w:type="pct"/>
          </w:tcPr>
          <w:p w14:paraId="787739AB" w14:textId="77777777" w:rsidR="00641DD8" w:rsidRPr="005A791F" w:rsidRDefault="00641DD8" w:rsidP="00A6538B">
            <w:pPr>
              <w:pStyle w:val="In-tableHeading"/>
              <w:jc w:val="center"/>
              <w:rPr>
                <w:lang w:val="en-AU"/>
              </w:rPr>
            </w:pPr>
            <w:r w:rsidRPr="005A791F">
              <w:rPr>
                <w:lang w:val="en-AU"/>
              </w:rPr>
              <w:t>Cycle</w:t>
            </w:r>
          </w:p>
        </w:tc>
        <w:tc>
          <w:tcPr>
            <w:tcW w:w="1149" w:type="pct"/>
            <w:vAlign w:val="center"/>
          </w:tcPr>
          <w:p w14:paraId="10EC412C" w14:textId="77777777" w:rsidR="00641DD8" w:rsidRPr="009B38D8" w:rsidRDefault="00907340" w:rsidP="00A6538B">
            <w:pPr>
              <w:pStyle w:val="In-tableHeading"/>
              <w:jc w:val="center"/>
              <w:rPr>
                <w:lang w:val="en-AU"/>
              </w:rPr>
            </w:pPr>
            <w:r w:rsidRPr="005A791F">
              <w:rPr>
                <w:lang w:val="en-AU"/>
              </w:rPr>
              <w:t>Gonal-f</w:t>
            </w:r>
            <w:r w:rsidR="00641DD8" w:rsidRPr="005A791F">
              <w:rPr>
                <w:lang w:val="en-AU"/>
              </w:rPr>
              <w:br/>
              <w:t>n/N (%)</w:t>
            </w:r>
          </w:p>
        </w:tc>
        <w:tc>
          <w:tcPr>
            <w:tcW w:w="856" w:type="pct"/>
            <w:vAlign w:val="center"/>
          </w:tcPr>
          <w:p w14:paraId="528CE5C3" w14:textId="77777777" w:rsidR="00641DD8" w:rsidRPr="00211C8B" w:rsidRDefault="00641DD8" w:rsidP="00A6538B">
            <w:pPr>
              <w:pStyle w:val="In-tableHeading"/>
              <w:jc w:val="center"/>
              <w:rPr>
                <w:lang w:val="en-AU"/>
              </w:rPr>
            </w:pPr>
            <w:r w:rsidRPr="00F10F43">
              <w:rPr>
                <w:lang w:val="en-AU"/>
              </w:rPr>
              <w:t>Biosimilar preparations</w:t>
            </w:r>
            <w:r w:rsidRPr="00F10F43">
              <w:rPr>
                <w:lang w:val="en-AU"/>
              </w:rPr>
              <w:br/>
              <w:t>n/N (%)</w:t>
            </w:r>
          </w:p>
        </w:tc>
        <w:tc>
          <w:tcPr>
            <w:tcW w:w="841" w:type="pct"/>
            <w:vAlign w:val="center"/>
          </w:tcPr>
          <w:p w14:paraId="02574D33" w14:textId="77777777" w:rsidR="00641DD8" w:rsidRPr="00211C8B" w:rsidRDefault="00641DD8" w:rsidP="00A6538B">
            <w:pPr>
              <w:pStyle w:val="In-tableHeading"/>
              <w:jc w:val="center"/>
              <w:rPr>
                <w:lang w:val="en-AU"/>
              </w:rPr>
            </w:pPr>
            <w:r w:rsidRPr="00211C8B">
              <w:rPr>
                <w:lang w:val="en-AU"/>
              </w:rPr>
              <w:t>Relative risk (95% CI)</w:t>
            </w:r>
          </w:p>
        </w:tc>
        <w:tc>
          <w:tcPr>
            <w:tcW w:w="820" w:type="pct"/>
            <w:vAlign w:val="center"/>
          </w:tcPr>
          <w:p w14:paraId="6A394B75" w14:textId="77777777" w:rsidR="00641DD8" w:rsidRPr="00211C8B" w:rsidRDefault="00641DD8" w:rsidP="00A6538B">
            <w:pPr>
              <w:pStyle w:val="In-tableHeading"/>
              <w:jc w:val="center"/>
              <w:rPr>
                <w:lang w:val="en-AU"/>
              </w:rPr>
            </w:pPr>
            <w:r w:rsidRPr="00211C8B">
              <w:rPr>
                <w:lang w:val="en-AU"/>
              </w:rPr>
              <w:t xml:space="preserve">Risk difference </w:t>
            </w:r>
          </w:p>
        </w:tc>
      </w:tr>
      <w:tr w:rsidR="00641DD8" w:rsidRPr="00211C8B" w14:paraId="0FCAE1EA" w14:textId="77777777" w:rsidTr="009569D5">
        <w:tc>
          <w:tcPr>
            <w:tcW w:w="5000" w:type="pct"/>
            <w:gridSpan w:val="6"/>
            <w:vAlign w:val="center"/>
          </w:tcPr>
          <w:p w14:paraId="22075EC1" w14:textId="77777777" w:rsidR="00641DD8" w:rsidRPr="00211C8B" w:rsidRDefault="00907340" w:rsidP="00A6538B">
            <w:pPr>
              <w:pStyle w:val="TableText0"/>
              <w:rPr>
                <w:color w:val="000000" w:themeColor="text1"/>
              </w:rPr>
            </w:pPr>
            <w:r w:rsidRPr="00211C8B">
              <w:rPr>
                <w:rFonts w:cs="Arial"/>
                <w:b/>
                <w:bCs w:val="0"/>
                <w:color w:val="000000" w:themeColor="text1"/>
                <w:szCs w:val="20"/>
                <w:lang w:eastAsia="zh-CN"/>
              </w:rPr>
              <w:t>Gonal-f</w:t>
            </w:r>
            <w:r w:rsidR="00641DD8" w:rsidRPr="00211C8B">
              <w:rPr>
                <w:rFonts w:cs="Arial"/>
                <w:b/>
                <w:bCs w:val="0"/>
                <w:color w:val="000000" w:themeColor="text1"/>
                <w:szCs w:val="20"/>
                <w:lang w:eastAsia="zh-CN"/>
              </w:rPr>
              <w:t xml:space="preserve"> vs Bemfola</w:t>
            </w:r>
          </w:p>
        </w:tc>
      </w:tr>
      <w:tr w:rsidR="00641DD8" w:rsidRPr="00211C8B" w14:paraId="0ED22819" w14:textId="77777777" w:rsidTr="009569D5">
        <w:tc>
          <w:tcPr>
            <w:tcW w:w="863" w:type="pct"/>
            <w:vMerge w:val="restart"/>
          </w:tcPr>
          <w:p w14:paraId="754992A4" w14:textId="77777777" w:rsidR="00641DD8" w:rsidRPr="00211C8B" w:rsidRDefault="00641DD8" w:rsidP="00A6538B">
            <w:pPr>
              <w:pStyle w:val="TableText0"/>
              <w:rPr>
                <w:color w:val="000000" w:themeColor="text1"/>
                <w:szCs w:val="20"/>
                <w:lang w:eastAsia="zh-CN"/>
              </w:rPr>
            </w:pPr>
            <w:r w:rsidRPr="00211C8B">
              <w:rPr>
                <w:color w:val="000000" w:themeColor="text1"/>
                <w:szCs w:val="20"/>
                <w:lang w:eastAsia="zh-CN"/>
              </w:rPr>
              <w:t>NCT01121666</w:t>
            </w:r>
          </w:p>
        </w:tc>
        <w:tc>
          <w:tcPr>
            <w:tcW w:w="471" w:type="pct"/>
          </w:tcPr>
          <w:p w14:paraId="228B861B" w14:textId="77777777" w:rsidR="00641DD8" w:rsidRPr="00211C8B" w:rsidRDefault="00641DD8" w:rsidP="00A6538B">
            <w:pPr>
              <w:pStyle w:val="TableText0"/>
              <w:jc w:val="center"/>
              <w:rPr>
                <w:color w:val="000000" w:themeColor="text1"/>
              </w:rPr>
            </w:pPr>
            <w:r w:rsidRPr="00211C8B">
              <w:rPr>
                <w:color w:val="000000" w:themeColor="text1"/>
              </w:rPr>
              <w:t>Cycle 1</w:t>
            </w:r>
          </w:p>
        </w:tc>
        <w:tc>
          <w:tcPr>
            <w:tcW w:w="1149" w:type="pct"/>
            <w:vAlign w:val="center"/>
          </w:tcPr>
          <w:p w14:paraId="5DA47C45" w14:textId="77777777" w:rsidR="00641DD8" w:rsidRPr="00211C8B" w:rsidRDefault="00641DD8" w:rsidP="00A6538B">
            <w:pPr>
              <w:pStyle w:val="TableText0"/>
              <w:jc w:val="center"/>
              <w:rPr>
                <w:color w:val="000000" w:themeColor="text1"/>
              </w:rPr>
            </w:pPr>
            <w:r w:rsidRPr="00211C8B">
              <w:rPr>
                <w:color w:val="000000" w:themeColor="text1"/>
              </w:rPr>
              <w:t>55/123 (44.7%)</w:t>
            </w:r>
          </w:p>
        </w:tc>
        <w:tc>
          <w:tcPr>
            <w:tcW w:w="856" w:type="pct"/>
            <w:vAlign w:val="center"/>
          </w:tcPr>
          <w:p w14:paraId="0A404154" w14:textId="77777777" w:rsidR="00641DD8" w:rsidRPr="00211C8B" w:rsidRDefault="00641DD8" w:rsidP="00A6538B">
            <w:pPr>
              <w:pStyle w:val="TableText0"/>
              <w:jc w:val="center"/>
              <w:rPr>
                <w:color w:val="000000" w:themeColor="text1"/>
              </w:rPr>
            </w:pPr>
            <w:r w:rsidRPr="00211C8B">
              <w:rPr>
                <w:color w:val="000000" w:themeColor="text1"/>
              </w:rPr>
              <w:t>90/249 (36.1%)</w:t>
            </w:r>
          </w:p>
        </w:tc>
        <w:tc>
          <w:tcPr>
            <w:tcW w:w="841" w:type="pct"/>
            <w:vAlign w:val="center"/>
          </w:tcPr>
          <w:p w14:paraId="5E16FA52" w14:textId="77777777" w:rsidR="00641DD8" w:rsidRPr="00211C8B" w:rsidRDefault="00641DD8" w:rsidP="00A6538B">
            <w:pPr>
              <w:pStyle w:val="TableText0"/>
              <w:jc w:val="center"/>
              <w:rPr>
                <w:color w:val="000000" w:themeColor="text1"/>
              </w:rPr>
            </w:pPr>
            <w:r w:rsidRPr="00211C8B">
              <w:rPr>
                <w:color w:val="000000" w:themeColor="text1"/>
              </w:rPr>
              <w:t>0.81 (0.63, 1.04)</w:t>
            </w:r>
          </w:p>
        </w:tc>
        <w:tc>
          <w:tcPr>
            <w:tcW w:w="820" w:type="pct"/>
            <w:vAlign w:val="center"/>
          </w:tcPr>
          <w:p w14:paraId="328E0E95" w14:textId="77777777" w:rsidR="00641DD8" w:rsidRPr="00211C8B" w:rsidRDefault="00641DD8" w:rsidP="00A6538B">
            <w:pPr>
              <w:pStyle w:val="TableText0"/>
              <w:jc w:val="center"/>
              <w:rPr>
                <w:color w:val="000000" w:themeColor="text1"/>
              </w:rPr>
            </w:pPr>
            <w:r w:rsidRPr="00211C8B">
              <w:rPr>
                <w:color w:val="000000" w:themeColor="text1"/>
              </w:rPr>
              <w:t>-0.09</w:t>
            </w:r>
          </w:p>
        </w:tc>
      </w:tr>
      <w:tr w:rsidR="007D057B" w:rsidRPr="00211C8B" w14:paraId="1567C12D" w14:textId="77777777" w:rsidTr="009569D5">
        <w:tc>
          <w:tcPr>
            <w:tcW w:w="863" w:type="pct"/>
            <w:vMerge/>
          </w:tcPr>
          <w:p w14:paraId="2F5902E0" w14:textId="77777777" w:rsidR="007D057B" w:rsidRPr="00211C8B" w:rsidRDefault="007D057B" w:rsidP="007D057B">
            <w:pPr>
              <w:pStyle w:val="TableText0"/>
              <w:rPr>
                <w:color w:val="000000" w:themeColor="text1"/>
                <w:szCs w:val="20"/>
                <w:lang w:eastAsia="zh-CN"/>
              </w:rPr>
            </w:pPr>
          </w:p>
        </w:tc>
        <w:tc>
          <w:tcPr>
            <w:tcW w:w="471" w:type="pct"/>
          </w:tcPr>
          <w:p w14:paraId="04D02345" w14:textId="77777777" w:rsidR="007D057B" w:rsidRPr="00211C8B" w:rsidRDefault="007D057B" w:rsidP="007D057B">
            <w:pPr>
              <w:pStyle w:val="TableText0"/>
              <w:jc w:val="center"/>
              <w:rPr>
                <w:b/>
                <w:bCs w:val="0"/>
                <w:iCs/>
                <w:color w:val="000000" w:themeColor="text1"/>
              </w:rPr>
            </w:pPr>
            <w:r w:rsidRPr="00211C8B">
              <w:rPr>
                <w:b/>
                <w:bCs w:val="0"/>
                <w:iCs/>
                <w:color w:val="000000" w:themeColor="text1"/>
              </w:rPr>
              <w:t>Cycle 2</w:t>
            </w:r>
          </w:p>
        </w:tc>
        <w:tc>
          <w:tcPr>
            <w:tcW w:w="1149" w:type="pct"/>
            <w:vAlign w:val="center"/>
          </w:tcPr>
          <w:p w14:paraId="3FE5C404" w14:textId="77777777" w:rsidR="007D057B" w:rsidRPr="003014B3" w:rsidRDefault="007D057B" w:rsidP="007D057B">
            <w:pPr>
              <w:pStyle w:val="TableText0"/>
              <w:jc w:val="center"/>
              <w:rPr>
                <w:b/>
                <w:bCs w:val="0"/>
                <w:iCs/>
              </w:rPr>
            </w:pPr>
            <w:r w:rsidRPr="003014B3">
              <w:rPr>
                <w:b/>
                <w:bCs w:val="0"/>
                <w:iCs/>
              </w:rPr>
              <w:t>10/38</w:t>
            </w:r>
            <w:r w:rsidRPr="003014B3">
              <w:rPr>
                <w:b/>
                <w:iCs/>
                <w:vertAlign w:val="superscript"/>
              </w:rPr>
              <w:t>(a)</w:t>
            </w:r>
            <w:r w:rsidRPr="003014B3">
              <w:rPr>
                <w:b/>
                <w:bCs w:val="0"/>
                <w:iCs/>
              </w:rPr>
              <w:t xml:space="preserve"> (26.3%)</w:t>
            </w:r>
          </w:p>
        </w:tc>
        <w:tc>
          <w:tcPr>
            <w:tcW w:w="856" w:type="pct"/>
            <w:vAlign w:val="center"/>
          </w:tcPr>
          <w:p w14:paraId="6C9D9EE6" w14:textId="77777777" w:rsidR="007D057B" w:rsidRPr="003014B3" w:rsidRDefault="007D057B" w:rsidP="007D057B">
            <w:pPr>
              <w:pStyle w:val="TableText0"/>
              <w:jc w:val="center"/>
              <w:rPr>
                <w:b/>
                <w:bCs w:val="0"/>
                <w:iCs/>
              </w:rPr>
            </w:pPr>
            <w:r w:rsidRPr="003014B3">
              <w:rPr>
                <w:b/>
                <w:bCs w:val="0"/>
                <w:iCs/>
              </w:rPr>
              <w:t>25/72</w:t>
            </w:r>
            <w:r w:rsidRPr="003014B3">
              <w:rPr>
                <w:b/>
                <w:iCs/>
                <w:vertAlign w:val="superscript"/>
              </w:rPr>
              <w:t>(a)</w:t>
            </w:r>
            <w:r w:rsidRPr="003014B3">
              <w:rPr>
                <w:b/>
                <w:iCs/>
              </w:rPr>
              <w:t xml:space="preserve"> </w:t>
            </w:r>
            <w:r w:rsidRPr="003014B3">
              <w:rPr>
                <w:b/>
                <w:bCs w:val="0"/>
                <w:iCs/>
              </w:rPr>
              <w:t>(34.7%)</w:t>
            </w:r>
          </w:p>
        </w:tc>
        <w:tc>
          <w:tcPr>
            <w:tcW w:w="841" w:type="pct"/>
            <w:vAlign w:val="center"/>
          </w:tcPr>
          <w:p w14:paraId="75E5C866" w14:textId="77777777" w:rsidR="007D057B" w:rsidRPr="003014B3" w:rsidRDefault="007D057B" w:rsidP="007D057B">
            <w:pPr>
              <w:pStyle w:val="TableText0"/>
              <w:jc w:val="center"/>
              <w:rPr>
                <w:b/>
                <w:bCs w:val="0"/>
                <w:iCs/>
              </w:rPr>
            </w:pPr>
            <w:r w:rsidRPr="003014B3">
              <w:rPr>
                <w:b/>
                <w:bCs w:val="0"/>
                <w:iCs/>
              </w:rPr>
              <w:t>1.32 (0.71, 2.45)</w:t>
            </w:r>
          </w:p>
        </w:tc>
        <w:tc>
          <w:tcPr>
            <w:tcW w:w="820" w:type="pct"/>
            <w:vAlign w:val="center"/>
          </w:tcPr>
          <w:p w14:paraId="0B45F229" w14:textId="77777777" w:rsidR="007D057B" w:rsidRPr="003014B3" w:rsidRDefault="007D057B" w:rsidP="007D057B">
            <w:pPr>
              <w:pStyle w:val="TableText0"/>
              <w:jc w:val="center"/>
              <w:rPr>
                <w:b/>
                <w:bCs w:val="0"/>
                <w:iCs/>
              </w:rPr>
            </w:pPr>
            <w:r w:rsidRPr="003014B3">
              <w:rPr>
                <w:b/>
                <w:bCs w:val="0"/>
                <w:iCs/>
              </w:rPr>
              <w:t>0.084</w:t>
            </w:r>
          </w:p>
        </w:tc>
      </w:tr>
      <w:tr w:rsidR="00641DD8" w:rsidRPr="00211C8B" w14:paraId="55F3A16E" w14:textId="77777777" w:rsidTr="009569D5">
        <w:tc>
          <w:tcPr>
            <w:tcW w:w="863" w:type="pct"/>
            <w:vMerge w:val="restart"/>
          </w:tcPr>
          <w:p w14:paraId="486A8A41" w14:textId="77777777" w:rsidR="00641DD8" w:rsidRPr="00211C8B" w:rsidRDefault="00641DD8" w:rsidP="00A6538B">
            <w:pPr>
              <w:pStyle w:val="TableText0"/>
              <w:rPr>
                <w:color w:val="000000" w:themeColor="text1"/>
                <w:szCs w:val="20"/>
                <w:lang w:eastAsia="zh-CN"/>
              </w:rPr>
            </w:pPr>
            <w:r w:rsidRPr="00211C8B">
              <w:rPr>
                <w:color w:val="000000" w:themeColor="text1"/>
                <w:szCs w:val="20"/>
                <w:lang w:eastAsia="zh-CN"/>
              </w:rPr>
              <w:t>NCT01687712</w:t>
            </w:r>
          </w:p>
        </w:tc>
        <w:tc>
          <w:tcPr>
            <w:tcW w:w="471" w:type="pct"/>
          </w:tcPr>
          <w:p w14:paraId="3A46AE37" w14:textId="77777777" w:rsidR="00641DD8" w:rsidRPr="00211C8B" w:rsidRDefault="00641DD8" w:rsidP="00A6538B">
            <w:pPr>
              <w:pStyle w:val="TableText0"/>
              <w:jc w:val="center"/>
              <w:rPr>
                <w:color w:val="000000" w:themeColor="text1"/>
              </w:rPr>
            </w:pPr>
            <w:r w:rsidRPr="00211C8B">
              <w:rPr>
                <w:color w:val="000000" w:themeColor="text1"/>
              </w:rPr>
              <w:t>Cycle 1</w:t>
            </w:r>
          </w:p>
        </w:tc>
        <w:tc>
          <w:tcPr>
            <w:tcW w:w="1149" w:type="pct"/>
            <w:vAlign w:val="center"/>
          </w:tcPr>
          <w:p w14:paraId="44963C36" w14:textId="77777777" w:rsidR="00641DD8" w:rsidRPr="00211C8B" w:rsidRDefault="00641DD8" w:rsidP="00A6538B">
            <w:pPr>
              <w:pStyle w:val="TableText0"/>
              <w:jc w:val="center"/>
              <w:rPr>
                <w:color w:val="000000" w:themeColor="text1"/>
              </w:rPr>
            </w:pPr>
            <w:r w:rsidRPr="00211C8B">
              <w:rPr>
                <w:color w:val="000000" w:themeColor="text1"/>
              </w:rPr>
              <w:t>138/ 551 (25.0%)</w:t>
            </w:r>
          </w:p>
        </w:tc>
        <w:tc>
          <w:tcPr>
            <w:tcW w:w="856" w:type="pct"/>
            <w:vAlign w:val="center"/>
          </w:tcPr>
          <w:p w14:paraId="5290C15A" w14:textId="77777777" w:rsidR="00641DD8" w:rsidRPr="00211C8B" w:rsidRDefault="00641DD8" w:rsidP="00A6538B">
            <w:pPr>
              <w:pStyle w:val="TableText0"/>
              <w:jc w:val="center"/>
              <w:rPr>
                <w:color w:val="000000" w:themeColor="text1"/>
              </w:rPr>
            </w:pPr>
            <w:r w:rsidRPr="00211C8B">
              <w:rPr>
                <w:color w:val="000000" w:themeColor="text1"/>
              </w:rPr>
              <w:t>114/ 549 (20.8%)</w:t>
            </w:r>
          </w:p>
        </w:tc>
        <w:tc>
          <w:tcPr>
            <w:tcW w:w="841" w:type="pct"/>
            <w:vAlign w:val="center"/>
          </w:tcPr>
          <w:p w14:paraId="16567C74" w14:textId="77777777" w:rsidR="00641DD8" w:rsidRPr="00211C8B" w:rsidRDefault="00641DD8" w:rsidP="00A6538B">
            <w:pPr>
              <w:pStyle w:val="TableText0"/>
              <w:jc w:val="center"/>
              <w:rPr>
                <w:color w:val="000000" w:themeColor="text1"/>
              </w:rPr>
            </w:pPr>
            <w:r w:rsidRPr="00211C8B">
              <w:rPr>
                <w:color w:val="000000" w:themeColor="text1"/>
              </w:rPr>
              <w:t>0.83 (0.67, 1.03)</w:t>
            </w:r>
          </w:p>
        </w:tc>
        <w:tc>
          <w:tcPr>
            <w:tcW w:w="820" w:type="pct"/>
            <w:vAlign w:val="center"/>
          </w:tcPr>
          <w:p w14:paraId="0EF1310E" w14:textId="77777777" w:rsidR="00641DD8" w:rsidRPr="00211C8B" w:rsidRDefault="00641DD8" w:rsidP="00A6538B">
            <w:pPr>
              <w:pStyle w:val="TableText0"/>
              <w:jc w:val="center"/>
              <w:rPr>
                <w:color w:val="000000" w:themeColor="text1"/>
              </w:rPr>
            </w:pPr>
            <w:r w:rsidRPr="00211C8B">
              <w:rPr>
                <w:color w:val="000000" w:themeColor="text1"/>
              </w:rPr>
              <w:t>-0.04</w:t>
            </w:r>
          </w:p>
        </w:tc>
      </w:tr>
      <w:tr w:rsidR="00641DD8" w:rsidRPr="00211C8B" w14:paraId="1E8BB121" w14:textId="77777777" w:rsidTr="009569D5">
        <w:tc>
          <w:tcPr>
            <w:tcW w:w="863" w:type="pct"/>
            <w:vMerge/>
          </w:tcPr>
          <w:p w14:paraId="7E84CD67" w14:textId="77777777" w:rsidR="00641DD8" w:rsidRPr="00211C8B" w:rsidRDefault="00641DD8" w:rsidP="00A6538B">
            <w:pPr>
              <w:pStyle w:val="TableText0"/>
              <w:rPr>
                <w:color w:val="000000" w:themeColor="text1"/>
                <w:szCs w:val="20"/>
                <w:lang w:eastAsia="zh-CN"/>
              </w:rPr>
            </w:pPr>
          </w:p>
        </w:tc>
        <w:tc>
          <w:tcPr>
            <w:tcW w:w="471" w:type="pct"/>
          </w:tcPr>
          <w:p w14:paraId="47C8DD75" w14:textId="77777777" w:rsidR="00641DD8" w:rsidRPr="00211C8B" w:rsidRDefault="00641DD8" w:rsidP="00A6538B">
            <w:pPr>
              <w:pStyle w:val="TableText0"/>
              <w:jc w:val="center"/>
              <w:rPr>
                <w:iCs/>
                <w:color w:val="000000" w:themeColor="text1"/>
              </w:rPr>
            </w:pPr>
            <w:r w:rsidRPr="00211C8B">
              <w:rPr>
                <w:iCs/>
                <w:color w:val="000000" w:themeColor="text1"/>
              </w:rPr>
              <w:t>Cycle 2</w:t>
            </w:r>
          </w:p>
        </w:tc>
        <w:tc>
          <w:tcPr>
            <w:tcW w:w="1149" w:type="pct"/>
            <w:vAlign w:val="center"/>
          </w:tcPr>
          <w:p w14:paraId="7FE4A0D9" w14:textId="77777777" w:rsidR="00641DD8" w:rsidRPr="00211C8B" w:rsidRDefault="00641DD8" w:rsidP="00A6538B">
            <w:pPr>
              <w:pStyle w:val="TableText0"/>
              <w:jc w:val="center"/>
              <w:rPr>
                <w:iCs/>
                <w:color w:val="000000" w:themeColor="text1"/>
              </w:rPr>
            </w:pPr>
            <w:r w:rsidRPr="00211C8B">
              <w:rPr>
                <w:iCs/>
                <w:color w:val="000000" w:themeColor="text1"/>
              </w:rPr>
              <w:t>26/120 (21.7%)</w:t>
            </w:r>
          </w:p>
        </w:tc>
        <w:tc>
          <w:tcPr>
            <w:tcW w:w="856" w:type="pct"/>
            <w:vAlign w:val="center"/>
          </w:tcPr>
          <w:p w14:paraId="00FBB2C0" w14:textId="77777777" w:rsidR="00641DD8" w:rsidRPr="00211C8B" w:rsidRDefault="00641DD8" w:rsidP="00A6538B">
            <w:pPr>
              <w:pStyle w:val="TableText0"/>
              <w:jc w:val="center"/>
              <w:rPr>
                <w:iCs/>
                <w:color w:val="000000" w:themeColor="text1"/>
              </w:rPr>
            </w:pPr>
            <w:r w:rsidRPr="00211C8B">
              <w:rPr>
                <w:iCs/>
                <w:color w:val="000000" w:themeColor="text1"/>
              </w:rPr>
              <w:t>17/109 (15.6%)</w:t>
            </w:r>
          </w:p>
        </w:tc>
        <w:tc>
          <w:tcPr>
            <w:tcW w:w="841" w:type="pct"/>
            <w:vAlign w:val="center"/>
          </w:tcPr>
          <w:p w14:paraId="5305246C" w14:textId="77777777" w:rsidR="00641DD8" w:rsidRPr="00211C8B" w:rsidRDefault="00641DD8" w:rsidP="00A6538B">
            <w:pPr>
              <w:pStyle w:val="TableText0"/>
              <w:jc w:val="center"/>
              <w:rPr>
                <w:iCs/>
                <w:color w:val="000000" w:themeColor="text1"/>
              </w:rPr>
            </w:pPr>
            <w:r w:rsidRPr="00211C8B">
              <w:rPr>
                <w:iCs/>
                <w:color w:val="000000" w:themeColor="text1"/>
              </w:rPr>
              <w:t>0.72 (0.41, 1.25)</w:t>
            </w:r>
          </w:p>
        </w:tc>
        <w:tc>
          <w:tcPr>
            <w:tcW w:w="820" w:type="pct"/>
            <w:vAlign w:val="center"/>
          </w:tcPr>
          <w:p w14:paraId="075337AE" w14:textId="77777777" w:rsidR="00641DD8" w:rsidRPr="00211C8B" w:rsidRDefault="00641DD8" w:rsidP="00A6538B">
            <w:pPr>
              <w:pStyle w:val="TableText0"/>
              <w:jc w:val="center"/>
              <w:rPr>
                <w:iCs/>
                <w:color w:val="000000" w:themeColor="text1"/>
              </w:rPr>
            </w:pPr>
            <w:r w:rsidRPr="00211C8B">
              <w:rPr>
                <w:iCs/>
                <w:color w:val="000000" w:themeColor="text1"/>
              </w:rPr>
              <w:t>-0.06</w:t>
            </w:r>
          </w:p>
        </w:tc>
      </w:tr>
      <w:tr w:rsidR="00641DD8" w:rsidRPr="00211C8B" w14:paraId="37A418D7" w14:textId="77777777" w:rsidTr="009569D5">
        <w:tc>
          <w:tcPr>
            <w:tcW w:w="863" w:type="pct"/>
            <w:vMerge/>
            <w:vAlign w:val="center"/>
          </w:tcPr>
          <w:p w14:paraId="70170B30" w14:textId="77777777" w:rsidR="00641DD8" w:rsidRPr="00211C8B" w:rsidRDefault="00641DD8" w:rsidP="00A6538B">
            <w:pPr>
              <w:pStyle w:val="TableText0"/>
              <w:rPr>
                <w:color w:val="000000" w:themeColor="text1"/>
                <w:szCs w:val="20"/>
                <w:lang w:eastAsia="zh-CN"/>
              </w:rPr>
            </w:pPr>
          </w:p>
        </w:tc>
        <w:tc>
          <w:tcPr>
            <w:tcW w:w="471" w:type="pct"/>
          </w:tcPr>
          <w:p w14:paraId="3F15263A" w14:textId="77777777" w:rsidR="00641DD8" w:rsidRPr="00211C8B" w:rsidRDefault="00641DD8" w:rsidP="00A6538B">
            <w:pPr>
              <w:pStyle w:val="TableText0"/>
              <w:jc w:val="center"/>
              <w:rPr>
                <w:iCs/>
                <w:color w:val="000000" w:themeColor="text1"/>
              </w:rPr>
            </w:pPr>
            <w:r w:rsidRPr="00211C8B">
              <w:rPr>
                <w:iCs/>
                <w:color w:val="000000" w:themeColor="text1"/>
              </w:rPr>
              <w:t>Cycle 3</w:t>
            </w:r>
          </w:p>
        </w:tc>
        <w:tc>
          <w:tcPr>
            <w:tcW w:w="1149" w:type="pct"/>
            <w:vAlign w:val="center"/>
          </w:tcPr>
          <w:p w14:paraId="2968473A" w14:textId="77777777" w:rsidR="00641DD8" w:rsidRPr="00211C8B" w:rsidRDefault="00641DD8" w:rsidP="00A6538B">
            <w:pPr>
              <w:pStyle w:val="TableText0"/>
              <w:jc w:val="center"/>
              <w:rPr>
                <w:iCs/>
                <w:color w:val="000000" w:themeColor="text1"/>
              </w:rPr>
            </w:pPr>
            <w:r w:rsidRPr="00211C8B">
              <w:rPr>
                <w:iCs/>
                <w:color w:val="000000" w:themeColor="text1"/>
              </w:rPr>
              <w:t>0/24 (0%)</w:t>
            </w:r>
          </w:p>
        </w:tc>
        <w:tc>
          <w:tcPr>
            <w:tcW w:w="856" w:type="pct"/>
            <w:vAlign w:val="center"/>
          </w:tcPr>
          <w:p w14:paraId="208152D7" w14:textId="77777777" w:rsidR="00641DD8" w:rsidRPr="00211C8B" w:rsidRDefault="00641DD8" w:rsidP="00A6538B">
            <w:pPr>
              <w:pStyle w:val="TableText0"/>
              <w:jc w:val="center"/>
              <w:rPr>
                <w:iCs/>
                <w:color w:val="000000" w:themeColor="text1"/>
              </w:rPr>
            </w:pPr>
            <w:r w:rsidRPr="00211C8B">
              <w:rPr>
                <w:iCs/>
                <w:color w:val="000000" w:themeColor="text1"/>
              </w:rPr>
              <w:t>5/28 (17.9%)</w:t>
            </w:r>
          </w:p>
        </w:tc>
        <w:tc>
          <w:tcPr>
            <w:tcW w:w="841" w:type="pct"/>
            <w:vAlign w:val="center"/>
          </w:tcPr>
          <w:p w14:paraId="1C53C29F" w14:textId="77777777" w:rsidR="00641DD8" w:rsidRPr="00211C8B" w:rsidRDefault="00641DD8" w:rsidP="00A6538B">
            <w:pPr>
              <w:pStyle w:val="TableText0"/>
              <w:jc w:val="center"/>
              <w:rPr>
                <w:iCs/>
                <w:color w:val="000000" w:themeColor="text1"/>
              </w:rPr>
            </w:pPr>
            <w:r w:rsidRPr="00211C8B">
              <w:rPr>
                <w:iCs/>
                <w:color w:val="000000" w:themeColor="text1"/>
              </w:rPr>
              <w:t>9.48 (0.55, 163)</w:t>
            </w:r>
          </w:p>
        </w:tc>
        <w:tc>
          <w:tcPr>
            <w:tcW w:w="820" w:type="pct"/>
            <w:vAlign w:val="center"/>
          </w:tcPr>
          <w:p w14:paraId="545E104C" w14:textId="77777777" w:rsidR="00641DD8" w:rsidRPr="00211C8B" w:rsidRDefault="00641DD8" w:rsidP="00A6538B">
            <w:pPr>
              <w:pStyle w:val="TableText0"/>
              <w:jc w:val="center"/>
              <w:rPr>
                <w:iCs/>
                <w:color w:val="000000" w:themeColor="text1"/>
              </w:rPr>
            </w:pPr>
            <w:r w:rsidRPr="00211C8B">
              <w:rPr>
                <w:iCs/>
                <w:color w:val="000000" w:themeColor="text1"/>
              </w:rPr>
              <w:t>0.18</w:t>
            </w:r>
          </w:p>
        </w:tc>
      </w:tr>
      <w:tr w:rsidR="00641DD8" w:rsidRPr="00211C8B" w14:paraId="652CE28C" w14:textId="77777777" w:rsidTr="009569D5">
        <w:tc>
          <w:tcPr>
            <w:tcW w:w="5000" w:type="pct"/>
            <w:gridSpan w:val="6"/>
            <w:vAlign w:val="center"/>
          </w:tcPr>
          <w:p w14:paraId="2D59B2CB" w14:textId="77777777" w:rsidR="00641DD8" w:rsidRPr="00211C8B" w:rsidRDefault="00907340" w:rsidP="00A6538B">
            <w:pPr>
              <w:pStyle w:val="TableText0"/>
              <w:rPr>
                <w:color w:val="000000" w:themeColor="text1"/>
              </w:rPr>
            </w:pPr>
            <w:r w:rsidRPr="00211C8B">
              <w:rPr>
                <w:rFonts w:cs="Arial"/>
                <w:b/>
                <w:bCs w:val="0"/>
                <w:color w:val="000000" w:themeColor="text1"/>
                <w:szCs w:val="20"/>
                <w:lang w:eastAsia="zh-CN"/>
              </w:rPr>
              <w:t>Gonal-f</w:t>
            </w:r>
            <w:r w:rsidR="00641DD8" w:rsidRPr="00211C8B">
              <w:rPr>
                <w:rFonts w:cs="Arial"/>
                <w:b/>
                <w:bCs w:val="0"/>
                <w:color w:val="000000" w:themeColor="text1"/>
                <w:szCs w:val="20"/>
                <w:lang w:eastAsia="zh-CN"/>
              </w:rPr>
              <w:t xml:space="preserve"> vs Ovaleap</w:t>
            </w:r>
          </w:p>
        </w:tc>
      </w:tr>
      <w:tr w:rsidR="00641DD8" w:rsidRPr="00211C8B" w14:paraId="50E79617" w14:textId="77777777" w:rsidTr="009569D5">
        <w:tc>
          <w:tcPr>
            <w:tcW w:w="863" w:type="pct"/>
          </w:tcPr>
          <w:p w14:paraId="05FBF5AC" w14:textId="77777777" w:rsidR="00641DD8" w:rsidRPr="00211C8B" w:rsidRDefault="00641DD8" w:rsidP="00A6538B">
            <w:pPr>
              <w:pStyle w:val="TableText0"/>
              <w:rPr>
                <w:b/>
                <w:color w:val="000000" w:themeColor="text1"/>
              </w:rPr>
            </w:pPr>
            <w:r w:rsidRPr="00211C8B">
              <w:rPr>
                <w:color w:val="000000" w:themeColor="text1"/>
                <w:szCs w:val="20"/>
                <w:lang w:eastAsia="zh-CN"/>
              </w:rPr>
              <w:t>ISRCTN74772901</w:t>
            </w:r>
          </w:p>
        </w:tc>
        <w:tc>
          <w:tcPr>
            <w:tcW w:w="471" w:type="pct"/>
          </w:tcPr>
          <w:p w14:paraId="2E0C6EAC" w14:textId="77777777" w:rsidR="00641DD8" w:rsidRPr="00211C8B" w:rsidRDefault="00641DD8" w:rsidP="00A6538B">
            <w:pPr>
              <w:pStyle w:val="TableText0"/>
              <w:jc w:val="center"/>
              <w:rPr>
                <w:color w:val="000000" w:themeColor="text1"/>
              </w:rPr>
            </w:pPr>
            <w:r w:rsidRPr="00211C8B">
              <w:rPr>
                <w:color w:val="000000" w:themeColor="text1"/>
              </w:rPr>
              <w:t>Cycle 1</w:t>
            </w:r>
          </w:p>
        </w:tc>
        <w:tc>
          <w:tcPr>
            <w:tcW w:w="1149" w:type="pct"/>
            <w:vAlign w:val="center"/>
          </w:tcPr>
          <w:p w14:paraId="2DFE9640" w14:textId="77777777" w:rsidR="00641DD8" w:rsidRPr="00211C8B" w:rsidRDefault="00641DD8" w:rsidP="00A6538B">
            <w:pPr>
              <w:pStyle w:val="TableText0"/>
              <w:jc w:val="center"/>
              <w:rPr>
                <w:color w:val="000000" w:themeColor="text1"/>
              </w:rPr>
            </w:pPr>
            <w:r w:rsidRPr="00211C8B">
              <w:rPr>
                <w:color w:val="000000" w:themeColor="text1"/>
              </w:rPr>
              <w:t>52/146 (35.6%)</w:t>
            </w:r>
          </w:p>
        </w:tc>
        <w:tc>
          <w:tcPr>
            <w:tcW w:w="856" w:type="pct"/>
            <w:vAlign w:val="center"/>
          </w:tcPr>
          <w:p w14:paraId="1AD6DFF5" w14:textId="77777777" w:rsidR="00641DD8" w:rsidRPr="00211C8B" w:rsidRDefault="00641DD8" w:rsidP="00A6538B">
            <w:pPr>
              <w:pStyle w:val="TableText0"/>
              <w:jc w:val="center"/>
              <w:rPr>
                <w:color w:val="000000" w:themeColor="text1"/>
              </w:rPr>
            </w:pPr>
            <w:r w:rsidRPr="00211C8B">
              <w:rPr>
                <w:color w:val="000000" w:themeColor="text1"/>
              </w:rPr>
              <w:t>43/153 (28.1%)</w:t>
            </w:r>
          </w:p>
        </w:tc>
        <w:tc>
          <w:tcPr>
            <w:tcW w:w="841" w:type="pct"/>
            <w:vAlign w:val="center"/>
          </w:tcPr>
          <w:p w14:paraId="405A7127" w14:textId="77777777" w:rsidR="00641DD8" w:rsidRPr="00211C8B" w:rsidRDefault="00641DD8" w:rsidP="00A6538B">
            <w:pPr>
              <w:pStyle w:val="TableText0"/>
              <w:jc w:val="center"/>
              <w:rPr>
                <w:color w:val="000000" w:themeColor="text1"/>
              </w:rPr>
            </w:pPr>
            <w:r w:rsidRPr="00211C8B">
              <w:rPr>
                <w:color w:val="000000" w:themeColor="text1"/>
              </w:rPr>
              <w:t>0.79 (0.56, 1.10)</w:t>
            </w:r>
          </w:p>
        </w:tc>
        <w:tc>
          <w:tcPr>
            <w:tcW w:w="820" w:type="pct"/>
            <w:vAlign w:val="center"/>
          </w:tcPr>
          <w:p w14:paraId="68B3B304" w14:textId="77777777" w:rsidR="00641DD8" w:rsidRPr="00211C8B" w:rsidRDefault="00641DD8" w:rsidP="00A6538B">
            <w:pPr>
              <w:pStyle w:val="TableText0"/>
              <w:jc w:val="center"/>
              <w:rPr>
                <w:color w:val="000000" w:themeColor="text1"/>
              </w:rPr>
            </w:pPr>
            <w:r w:rsidRPr="00211C8B">
              <w:rPr>
                <w:color w:val="000000" w:themeColor="text1"/>
              </w:rPr>
              <w:t>-0.07</w:t>
            </w:r>
          </w:p>
        </w:tc>
      </w:tr>
      <w:tr w:rsidR="00641DD8" w:rsidRPr="00211C8B" w14:paraId="45DD6632" w14:textId="77777777" w:rsidTr="009569D5">
        <w:tc>
          <w:tcPr>
            <w:tcW w:w="5000" w:type="pct"/>
            <w:gridSpan w:val="6"/>
            <w:vAlign w:val="center"/>
          </w:tcPr>
          <w:p w14:paraId="5F75D0F0" w14:textId="77777777" w:rsidR="00641DD8" w:rsidRPr="00211C8B" w:rsidRDefault="00907340" w:rsidP="00A6538B">
            <w:pPr>
              <w:pStyle w:val="TableText0"/>
              <w:rPr>
                <w:color w:val="000000" w:themeColor="text1"/>
              </w:rPr>
            </w:pPr>
            <w:r w:rsidRPr="00211C8B">
              <w:rPr>
                <w:rFonts w:cs="Arial"/>
                <w:b/>
                <w:bCs w:val="0"/>
                <w:color w:val="000000" w:themeColor="text1"/>
                <w:szCs w:val="20"/>
                <w:lang w:eastAsia="zh-CN"/>
              </w:rPr>
              <w:t>Gonal-f</w:t>
            </w:r>
            <w:r w:rsidR="00641DD8" w:rsidRPr="00211C8B">
              <w:rPr>
                <w:rFonts w:cs="Arial"/>
                <w:b/>
                <w:bCs w:val="0"/>
                <w:color w:val="000000" w:themeColor="text1"/>
                <w:szCs w:val="20"/>
                <w:lang w:eastAsia="zh-CN"/>
              </w:rPr>
              <w:t xml:space="preserve"> vs </w:t>
            </w:r>
            <w:r w:rsidR="00641DD8" w:rsidRPr="00211C8B">
              <w:rPr>
                <w:b/>
                <w:bCs w:val="0"/>
                <w:color w:val="000000" w:themeColor="text1"/>
                <w:szCs w:val="20"/>
              </w:rPr>
              <w:t>Primapur</w:t>
            </w:r>
          </w:p>
        </w:tc>
      </w:tr>
      <w:tr w:rsidR="00641DD8" w:rsidRPr="00211C8B" w14:paraId="43C3E7AD" w14:textId="77777777" w:rsidTr="00A6538B">
        <w:tc>
          <w:tcPr>
            <w:tcW w:w="863" w:type="pct"/>
            <w:vAlign w:val="center"/>
          </w:tcPr>
          <w:p w14:paraId="59A6724A" w14:textId="77777777" w:rsidR="00641DD8" w:rsidRPr="00211C8B" w:rsidRDefault="00641DD8" w:rsidP="00A6538B">
            <w:pPr>
              <w:pStyle w:val="TableText0"/>
              <w:rPr>
                <w:color w:val="000000" w:themeColor="text1"/>
                <w:szCs w:val="20"/>
                <w:lang w:eastAsia="zh-CN"/>
              </w:rPr>
            </w:pPr>
            <w:r w:rsidRPr="00211C8B">
              <w:rPr>
                <w:color w:val="000000" w:themeColor="text1"/>
                <w:szCs w:val="20"/>
                <w:lang w:eastAsia="zh-CN"/>
              </w:rPr>
              <w:t>NCT03088137</w:t>
            </w:r>
          </w:p>
        </w:tc>
        <w:tc>
          <w:tcPr>
            <w:tcW w:w="471" w:type="pct"/>
          </w:tcPr>
          <w:p w14:paraId="617B70D3" w14:textId="77777777" w:rsidR="00641DD8" w:rsidRPr="00211C8B" w:rsidRDefault="00641DD8" w:rsidP="00A6538B">
            <w:pPr>
              <w:pStyle w:val="TableText0"/>
              <w:jc w:val="center"/>
              <w:rPr>
                <w:color w:val="000000" w:themeColor="text1"/>
              </w:rPr>
            </w:pPr>
            <w:r w:rsidRPr="00211C8B">
              <w:rPr>
                <w:color w:val="000000" w:themeColor="text1"/>
              </w:rPr>
              <w:t>Cycle 1</w:t>
            </w:r>
          </w:p>
        </w:tc>
        <w:tc>
          <w:tcPr>
            <w:tcW w:w="1149" w:type="pct"/>
          </w:tcPr>
          <w:p w14:paraId="57A436BA" w14:textId="77777777" w:rsidR="00641DD8" w:rsidRPr="00211C8B" w:rsidRDefault="00641DD8" w:rsidP="00A6538B">
            <w:pPr>
              <w:pStyle w:val="TableText0"/>
              <w:jc w:val="center"/>
              <w:rPr>
                <w:color w:val="000000" w:themeColor="text1"/>
              </w:rPr>
            </w:pPr>
            <w:r w:rsidRPr="00211C8B">
              <w:rPr>
                <w:color w:val="000000" w:themeColor="text1"/>
              </w:rPr>
              <w:t>NR</w:t>
            </w:r>
          </w:p>
        </w:tc>
        <w:tc>
          <w:tcPr>
            <w:tcW w:w="856" w:type="pct"/>
          </w:tcPr>
          <w:p w14:paraId="51D462DF" w14:textId="77777777" w:rsidR="00641DD8" w:rsidRPr="00211C8B" w:rsidRDefault="00641DD8" w:rsidP="00A6538B">
            <w:pPr>
              <w:pStyle w:val="TableText0"/>
              <w:jc w:val="center"/>
              <w:rPr>
                <w:color w:val="000000" w:themeColor="text1"/>
              </w:rPr>
            </w:pPr>
            <w:r w:rsidRPr="00211C8B">
              <w:rPr>
                <w:color w:val="000000" w:themeColor="text1"/>
              </w:rPr>
              <w:t>NR</w:t>
            </w:r>
          </w:p>
        </w:tc>
        <w:tc>
          <w:tcPr>
            <w:tcW w:w="841" w:type="pct"/>
          </w:tcPr>
          <w:p w14:paraId="5BE1F507" w14:textId="77777777" w:rsidR="00641DD8" w:rsidRPr="00211C8B" w:rsidRDefault="00641DD8" w:rsidP="00A6538B">
            <w:pPr>
              <w:pStyle w:val="TableText0"/>
              <w:jc w:val="center"/>
              <w:rPr>
                <w:color w:val="000000" w:themeColor="text1"/>
              </w:rPr>
            </w:pPr>
            <w:r w:rsidRPr="00211C8B">
              <w:rPr>
                <w:color w:val="000000" w:themeColor="text1"/>
              </w:rPr>
              <w:t>NR</w:t>
            </w:r>
          </w:p>
        </w:tc>
        <w:tc>
          <w:tcPr>
            <w:tcW w:w="820" w:type="pct"/>
          </w:tcPr>
          <w:p w14:paraId="0681FC97" w14:textId="77777777" w:rsidR="00641DD8" w:rsidRPr="00211C8B" w:rsidRDefault="00641DD8" w:rsidP="00A6538B">
            <w:pPr>
              <w:pStyle w:val="TableText0"/>
              <w:jc w:val="center"/>
              <w:rPr>
                <w:color w:val="000000" w:themeColor="text1"/>
              </w:rPr>
            </w:pPr>
            <w:r w:rsidRPr="00211C8B">
              <w:rPr>
                <w:color w:val="000000" w:themeColor="text1"/>
              </w:rPr>
              <w:t>NR</w:t>
            </w:r>
          </w:p>
        </w:tc>
      </w:tr>
      <w:tr w:rsidR="00641DD8" w:rsidRPr="00211C8B" w14:paraId="669DF9E5" w14:textId="77777777" w:rsidTr="009569D5">
        <w:tc>
          <w:tcPr>
            <w:tcW w:w="5000" w:type="pct"/>
            <w:gridSpan w:val="6"/>
            <w:vAlign w:val="center"/>
          </w:tcPr>
          <w:p w14:paraId="4D9BA1E0" w14:textId="77777777" w:rsidR="00641DD8" w:rsidRPr="00211C8B" w:rsidRDefault="00907340" w:rsidP="009569D5">
            <w:pPr>
              <w:pStyle w:val="TableText0"/>
              <w:rPr>
                <w:color w:val="000000" w:themeColor="text1"/>
              </w:rPr>
            </w:pPr>
            <w:r w:rsidRPr="00211C8B">
              <w:rPr>
                <w:rFonts w:cs="Arial"/>
                <w:b/>
                <w:bCs w:val="0"/>
                <w:color w:val="000000" w:themeColor="text1"/>
                <w:szCs w:val="20"/>
                <w:lang w:eastAsia="zh-CN"/>
              </w:rPr>
              <w:t>Gonal-f</w:t>
            </w:r>
            <w:r w:rsidR="00641DD8" w:rsidRPr="00211C8B">
              <w:rPr>
                <w:rFonts w:cs="Arial"/>
                <w:b/>
                <w:bCs w:val="0"/>
                <w:color w:val="000000" w:themeColor="text1"/>
                <w:szCs w:val="20"/>
                <w:lang w:eastAsia="zh-CN"/>
              </w:rPr>
              <w:t xml:space="preserve"> vs </w:t>
            </w:r>
            <w:r w:rsidR="00641DD8" w:rsidRPr="00211C8B">
              <w:rPr>
                <w:b/>
                <w:color w:val="000000" w:themeColor="text1"/>
                <w:kern w:val="24"/>
              </w:rPr>
              <w:t>Follitrope</w:t>
            </w:r>
          </w:p>
        </w:tc>
      </w:tr>
      <w:tr w:rsidR="00641DD8" w:rsidRPr="00211C8B" w14:paraId="1C809CC6" w14:textId="77777777" w:rsidTr="009569D5">
        <w:tc>
          <w:tcPr>
            <w:tcW w:w="863" w:type="pct"/>
            <w:vAlign w:val="center"/>
          </w:tcPr>
          <w:p w14:paraId="5588B921" w14:textId="77777777" w:rsidR="00641DD8" w:rsidRPr="00211C8B" w:rsidRDefault="00641DD8" w:rsidP="00A6538B">
            <w:pPr>
              <w:pStyle w:val="TableText0"/>
              <w:rPr>
                <w:color w:val="000000" w:themeColor="text1"/>
              </w:rPr>
            </w:pPr>
            <w:r w:rsidRPr="00211C8B">
              <w:rPr>
                <w:color w:val="000000" w:themeColor="text1"/>
                <w:szCs w:val="20"/>
                <w:lang w:eastAsia="zh-CN"/>
              </w:rPr>
              <w:t>NCT03506243</w:t>
            </w:r>
          </w:p>
        </w:tc>
        <w:tc>
          <w:tcPr>
            <w:tcW w:w="471" w:type="pct"/>
          </w:tcPr>
          <w:p w14:paraId="79331940" w14:textId="77777777" w:rsidR="00641DD8" w:rsidRPr="00211C8B" w:rsidRDefault="00641DD8" w:rsidP="00A6538B">
            <w:pPr>
              <w:pStyle w:val="TableText0"/>
              <w:jc w:val="center"/>
              <w:rPr>
                <w:color w:val="000000" w:themeColor="text1"/>
              </w:rPr>
            </w:pPr>
            <w:r w:rsidRPr="00211C8B">
              <w:rPr>
                <w:color w:val="000000" w:themeColor="text1"/>
              </w:rPr>
              <w:t>Cycle 1</w:t>
            </w:r>
          </w:p>
        </w:tc>
        <w:tc>
          <w:tcPr>
            <w:tcW w:w="1149" w:type="pct"/>
            <w:vAlign w:val="center"/>
          </w:tcPr>
          <w:p w14:paraId="385CAC87" w14:textId="77777777" w:rsidR="00641DD8" w:rsidRPr="00211C8B" w:rsidRDefault="00641DD8" w:rsidP="00A6538B">
            <w:pPr>
              <w:pStyle w:val="TableText0"/>
              <w:jc w:val="center"/>
              <w:rPr>
                <w:color w:val="000000" w:themeColor="text1"/>
              </w:rPr>
            </w:pPr>
            <w:r w:rsidRPr="00211C8B">
              <w:rPr>
                <w:color w:val="000000" w:themeColor="text1"/>
              </w:rPr>
              <w:t>41/112 (36.6%)</w:t>
            </w:r>
          </w:p>
        </w:tc>
        <w:tc>
          <w:tcPr>
            <w:tcW w:w="856" w:type="pct"/>
            <w:vAlign w:val="center"/>
          </w:tcPr>
          <w:p w14:paraId="56538FAF" w14:textId="77777777" w:rsidR="00641DD8" w:rsidRPr="00211C8B" w:rsidRDefault="00641DD8" w:rsidP="00A6538B">
            <w:pPr>
              <w:pStyle w:val="TableText0"/>
              <w:jc w:val="center"/>
              <w:rPr>
                <w:color w:val="000000" w:themeColor="text1"/>
              </w:rPr>
            </w:pPr>
            <w:r w:rsidRPr="00211C8B">
              <w:rPr>
                <w:color w:val="000000" w:themeColor="text1"/>
              </w:rPr>
              <w:t>103/339 (30.4%)</w:t>
            </w:r>
          </w:p>
        </w:tc>
        <w:tc>
          <w:tcPr>
            <w:tcW w:w="841" w:type="pct"/>
            <w:vAlign w:val="center"/>
          </w:tcPr>
          <w:p w14:paraId="5EBC01D7" w14:textId="77777777" w:rsidR="00641DD8" w:rsidRPr="00211C8B" w:rsidRDefault="00641DD8" w:rsidP="00A6538B">
            <w:pPr>
              <w:pStyle w:val="TableText0"/>
              <w:jc w:val="center"/>
              <w:rPr>
                <w:color w:val="000000" w:themeColor="text1"/>
              </w:rPr>
            </w:pPr>
            <w:r w:rsidRPr="00211C8B">
              <w:rPr>
                <w:color w:val="000000" w:themeColor="text1"/>
              </w:rPr>
              <w:t>0.83 (0.62, 1.11)</w:t>
            </w:r>
          </w:p>
        </w:tc>
        <w:tc>
          <w:tcPr>
            <w:tcW w:w="820" w:type="pct"/>
            <w:vAlign w:val="center"/>
          </w:tcPr>
          <w:p w14:paraId="6D9F8A11" w14:textId="77777777" w:rsidR="00641DD8" w:rsidRPr="00211C8B" w:rsidRDefault="00641DD8" w:rsidP="00A6538B">
            <w:pPr>
              <w:pStyle w:val="TableText0"/>
              <w:jc w:val="center"/>
              <w:rPr>
                <w:color w:val="000000" w:themeColor="text1"/>
              </w:rPr>
            </w:pPr>
            <w:r w:rsidRPr="00211C8B">
              <w:rPr>
                <w:color w:val="000000" w:themeColor="text1"/>
              </w:rPr>
              <w:t>-0.06</w:t>
            </w:r>
          </w:p>
        </w:tc>
      </w:tr>
    </w:tbl>
    <w:p w14:paraId="0D0B0F4E" w14:textId="77777777" w:rsidR="005B553A" w:rsidRPr="00211C8B" w:rsidRDefault="005B553A" w:rsidP="005B553A">
      <w:pPr>
        <w:pStyle w:val="TableFigureFooter"/>
      </w:pPr>
      <w:r w:rsidRPr="00211C8B">
        <w:t>Source: compiled during evaluation using supplementary Table 4 of Chua et al. 2021 meta-analysis and the five RCT papers</w:t>
      </w:r>
    </w:p>
    <w:p w14:paraId="7C56DFBA" w14:textId="77777777" w:rsidR="005B553A" w:rsidRPr="00211C8B" w:rsidRDefault="005B553A" w:rsidP="005B553A">
      <w:pPr>
        <w:pStyle w:val="TableFigureFooter"/>
      </w:pPr>
      <w:r w:rsidRPr="00211C8B">
        <w:t>CI = confidence interval</w:t>
      </w:r>
      <w:r w:rsidR="00C519B5" w:rsidRPr="00211C8B">
        <w:t>; NR = not reported</w:t>
      </w:r>
    </w:p>
    <w:p w14:paraId="2BD1CBD9" w14:textId="77777777" w:rsidR="00A6538B" w:rsidRPr="00211C8B" w:rsidRDefault="003C708A" w:rsidP="005E4CB2">
      <w:pPr>
        <w:pStyle w:val="TableFigureFooter"/>
      </w:pPr>
      <w:r w:rsidRPr="00211C8B">
        <w:rPr>
          <w:vertAlign w:val="superscript"/>
        </w:rPr>
        <w:t>(a)</w:t>
      </w:r>
      <w:r w:rsidRPr="00211C8B">
        <w:t xml:space="preserve"> </w:t>
      </w:r>
      <w:r w:rsidR="00A6538B" w:rsidRPr="00211C8B">
        <w:t xml:space="preserve">per protocol sample sizes were </w:t>
      </w:r>
      <w:r w:rsidR="00A6538B" w:rsidRPr="003014B3">
        <w:t>used</w:t>
      </w:r>
      <w:r w:rsidR="007D057B" w:rsidRPr="003014B3">
        <w:t>, corrected in ESC advice</w:t>
      </w:r>
      <w:r w:rsidR="00A6538B" w:rsidRPr="003014B3">
        <w:t>.</w:t>
      </w:r>
    </w:p>
    <w:p w14:paraId="2A85FF40" w14:textId="77777777" w:rsidR="00E80357" w:rsidRDefault="00E80357" w:rsidP="00BA79F2">
      <w:pPr>
        <w:pStyle w:val="TableFigureHeading"/>
      </w:pPr>
      <w:r>
        <w:t xml:space="preserve">Table </w:t>
      </w:r>
      <w:r w:rsidR="00360359">
        <w:rPr>
          <w:noProof/>
        </w:rPr>
        <w:t>5</w:t>
      </w:r>
      <w:r>
        <w:t xml:space="preserve">: </w:t>
      </w:r>
      <w:r w:rsidRPr="0001528F">
        <w:t xml:space="preserve">Results of ongoing pregnancy across the </w:t>
      </w:r>
      <w:r w:rsidR="00C4230B">
        <w:t>trials</w:t>
      </w:r>
      <w:r w:rsidRPr="0001528F">
        <w:t>: dichotomous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sults of ongoing pregnancy across the trials: dichotomous data"/>
        <w:tblDescription w:val="Results of ongoing pregnancy across the trials: dichotomous data"/>
      </w:tblPr>
      <w:tblGrid>
        <w:gridCol w:w="1556"/>
        <w:gridCol w:w="849"/>
        <w:gridCol w:w="2072"/>
        <w:gridCol w:w="1544"/>
        <w:gridCol w:w="1517"/>
        <w:gridCol w:w="1479"/>
      </w:tblGrid>
      <w:tr w:rsidR="0010726E" w:rsidRPr="00211C8B" w14:paraId="17E028FA" w14:textId="77777777" w:rsidTr="009569D5">
        <w:trPr>
          <w:tblHeader/>
        </w:trPr>
        <w:tc>
          <w:tcPr>
            <w:tcW w:w="863" w:type="pct"/>
            <w:vAlign w:val="center"/>
          </w:tcPr>
          <w:p w14:paraId="719E15A9" w14:textId="77777777" w:rsidR="0010726E" w:rsidRPr="00E80357" w:rsidRDefault="00C4230B" w:rsidP="009569D5">
            <w:pPr>
              <w:pStyle w:val="In-tableHeading"/>
              <w:keepNext w:val="0"/>
              <w:rPr>
                <w:lang w:val="en-AU"/>
              </w:rPr>
            </w:pPr>
            <w:r>
              <w:rPr>
                <w:lang w:val="en-AU"/>
              </w:rPr>
              <w:t>Trial</w:t>
            </w:r>
            <w:r w:rsidR="0010726E" w:rsidRPr="00E80357">
              <w:rPr>
                <w:lang w:val="en-AU"/>
              </w:rPr>
              <w:t xml:space="preserve"> ID</w:t>
            </w:r>
          </w:p>
        </w:tc>
        <w:tc>
          <w:tcPr>
            <w:tcW w:w="471" w:type="pct"/>
          </w:tcPr>
          <w:p w14:paraId="58B1E54F" w14:textId="77777777" w:rsidR="0010726E" w:rsidRPr="00E80357" w:rsidRDefault="0010726E" w:rsidP="009569D5">
            <w:pPr>
              <w:pStyle w:val="In-tableHeading"/>
              <w:keepNext w:val="0"/>
              <w:jc w:val="center"/>
              <w:rPr>
                <w:lang w:val="en-AU"/>
              </w:rPr>
            </w:pPr>
            <w:r w:rsidRPr="00E80357">
              <w:rPr>
                <w:lang w:val="en-AU"/>
              </w:rPr>
              <w:t>Cycle</w:t>
            </w:r>
          </w:p>
        </w:tc>
        <w:tc>
          <w:tcPr>
            <w:tcW w:w="1149" w:type="pct"/>
            <w:vAlign w:val="center"/>
          </w:tcPr>
          <w:p w14:paraId="3BB6FDB6" w14:textId="77777777" w:rsidR="0010726E" w:rsidRPr="005A791F" w:rsidRDefault="00907340" w:rsidP="009569D5">
            <w:pPr>
              <w:pStyle w:val="In-tableHeading"/>
              <w:keepNext w:val="0"/>
              <w:jc w:val="center"/>
              <w:rPr>
                <w:lang w:val="en-AU"/>
              </w:rPr>
            </w:pPr>
            <w:r w:rsidRPr="005A791F">
              <w:rPr>
                <w:lang w:val="en-AU"/>
              </w:rPr>
              <w:t>Gonal-f</w:t>
            </w:r>
            <w:r w:rsidR="0010726E" w:rsidRPr="005A791F">
              <w:rPr>
                <w:lang w:val="en-AU"/>
              </w:rPr>
              <w:br/>
              <w:t>n/N (%)</w:t>
            </w:r>
          </w:p>
        </w:tc>
        <w:tc>
          <w:tcPr>
            <w:tcW w:w="856" w:type="pct"/>
            <w:vAlign w:val="center"/>
          </w:tcPr>
          <w:p w14:paraId="76300C2D" w14:textId="77777777" w:rsidR="0010726E" w:rsidRPr="009B38D8" w:rsidRDefault="0010726E" w:rsidP="009569D5">
            <w:pPr>
              <w:pStyle w:val="In-tableHeading"/>
              <w:keepNext w:val="0"/>
              <w:jc w:val="center"/>
              <w:rPr>
                <w:lang w:val="en-AU"/>
              </w:rPr>
            </w:pPr>
            <w:r w:rsidRPr="009B38D8">
              <w:rPr>
                <w:lang w:val="en-AU"/>
              </w:rPr>
              <w:t>Biosimilar preparations</w:t>
            </w:r>
            <w:r w:rsidRPr="009B38D8">
              <w:rPr>
                <w:lang w:val="en-AU"/>
              </w:rPr>
              <w:br/>
              <w:t>n/N (%)</w:t>
            </w:r>
          </w:p>
        </w:tc>
        <w:tc>
          <w:tcPr>
            <w:tcW w:w="841" w:type="pct"/>
            <w:vAlign w:val="center"/>
          </w:tcPr>
          <w:p w14:paraId="2C500B1E" w14:textId="77777777" w:rsidR="0010726E" w:rsidRPr="00211C8B" w:rsidRDefault="0010726E" w:rsidP="009569D5">
            <w:pPr>
              <w:pStyle w:val="In-tableHeading"/>
              <w:keepNext w:val="0"/>
              <w:jc w:val="center"/>
              <w:rPr>
                <w:lang w:val="en-AU"/>
              </w:rPr>
            </w:pPr>
            <w:r w:rsidRPr="00F10F43">
              <w:rPr>
                <w:lang w:val="en-AU"/>
              </w:rPr>
              <w:t>Relative risk (95% CI)</w:t>
            </w:r>
          </w:p>
        </w:tc>
        <w:tc>
          <w:tcPr>
            <w:tcW w:w="820" w:type="pct"/>
            <w:vAlign w:val="center"/>
          </w:tcPr>
          <w:p w14:paraId="15C73F9D" w14:textId="77777777" w:rsidR="0010726E" w:rsidRPr="00211C8B" w:rsidRDefault="0010726E" w:rsidP="009569D5">
            <w:pPr>
              <w:pStyle w:val="In-tableHeading"/>
              <w:keepNext w:val="0"/>
              <w:jc w:val="center"/>
              <w:rPr>
                <w:lang w:val="en-AU"/>
              </w:rPr>
            </w:pPr>
            <w:r w:rsidRPr="00211C8B">
              <w:rPr>
                <w:lang w:val="en-AU"/>
              </w:rPr>
              <w:t xml:space="preserve">Risk difference </w:t>
            </w:r>
          </w:p>
        </w:tc>
      </w:tr>
      <w:tr w:rsidR="0010726E" w:rsidRPr="00211C8B" w14:paraId="0667B901" w14:textId="77777777" w:rsidTr="009569D5">
        <w:tc>
          <w:tcPr>
            <w:tcW w:w="5000" w:type="pct"/>
            <w:gridSpan w:val="6"/>
          </w:tcPr>
          <w:p w14:paraId="0D90C87A" w14:textId="77777777" w:rsidR="0010726E" w:rsidRPr="00211C8B" w:rsidRDefault="00907340" w:rsidP="009569D5">
            <w:pPr>
              <w:pStyle w:val="TableText0"/>
              <w:keepNext w:val="0"/>
              <w:rPr>
                <w:color w:val="000000" w:themeColor="text1"/>
              </w:rPr>
            </w:pPr>
            <w:r w:rsidRPr="00211C8B">
              <w:rPr>
                <w:rFonts w:cs="Arial"/>
                <w:b/>
                <w:bCs w:val="0"/>
                <w:color w:val="000000" w:themeColor="text1"/>
                <w:szCs w:val="20"/>
                <w:lang w:eastAsia="zh-CN"/>
              </w:rPr>
              <w:t>Gonal-f</w:t>
            </w:r>
            <w:r w:rsidR="0010726E" w:rsidRPr="00211C8B">
              <w:rPr>
                <w:rFonts w:cs="Arial"/>
                <w:b/>
                <w:bCs w:val="0"/>
                <w:color w:val="000000" w:themeColor="text1"/>
                <w:szCs w:val="20"/>
                <w:lang w:eastAsia="zh-CN"/>
              </w:rPr>
              <w:t xml:space="preserve"> vs Bemfola</w:t>
            </w:r>
          </w:p>
        </w:tc>
      </w:tr>
      <w:tr w:rsidR="0010726E" w:rsidRPr="00211C8B" w14:paraId="6B9D0A94" w14:textId="77777777" w:rsidTr="009569D5">
        <w:tc>
          <w:tcPr>
            <w:tcW w:w="863" w:type="pct"/>
            <w:vMerge w:val="restart"/>
          </w:tcPr>
          <w:p w14:paraId="5431162E" w14:textId="77777777" w:rsidR="0010726E" w:rsidRPr="00211C8B" w:rsidRDefault="0010726E" w:rsidP="009569D5">
            <w:pPr>
              <w:pStyle w:val="TableText0"/>
              <w:keepNext w:val="0"/>
              <w:rPr>
                <w:color w:val="000000" w:themeColor="text1"/>
              </w:rPr>
            </w:pPr>
            <w:r w:rsidRPr="00211C8B">
              <w:rPr>
                <w:color w:val="000000" w:themeColor="text1"/>
                <w:szCs w:val="20"/>
                <w:lang w:eastAsia="zh-CN"/>
              </w:rPr>
              <w:t>NCT01121666</w:t>
            </w:r>
          </w:p>
        </w:tc>
        <w:tc>
          <w:tcPr>
            <w:tcW w:w="471" w:type="pct"/>
          </w:tcPr>
          <w:p w14:paraId="7A2CD31A" w14:textId="77777777" w:rsidR="0010726E" w:rsidRPr="00211C8B" w:rsidRDefault="0010726E" w:rsidP="009569D5">
            <w:pPr>
              <w:pStyle w:val="TableText0"/>
              <w:keepNext w:val="0"/>
              <w:jc w:val="center"/>
              <w:rPr>
                <w:color w:val="000000" w:themeColor="text1"/>
              </w:rPr>
            </w:pPr>
            <w:r w:rsidRPr="00211C8B">
              <w:rPr>
                <w:color w:val="000000" w:themeColor="text1"/>
              </w:rPr>
              <w:t>Cycle 1</w:t>
            </w:r>
          </w:p>
        </w:tc>
        <w:tc>
          <w:tcPr>
            <w:tcW w:w="1149" w:type="pct"/>
            <w:vAlign w:val="center"/>
          </w:tcPr>
          <w:p w14:paraId="24AB77F8" w14:textId="77777777" w:rsidR="0010726E" w:rsidRPr="00211C8B" w:rsidRDefault="0010726E" w:rsidP="009569D5">
            <w:pPr>
              <w:pStyle w:val="TableText0"/>
              <w:keepNext w:val="0"/>
              <w:jc w:val="center"/>
              <w:rPr>
                <w:color w:val="000000" w:themeColor="text1"/>
              </w:rPr>
            </w:pPr>
            <w:r w:rsidRPr="00211C8B">
              <w:rPr>
                <w:color w:val="000000" w:themeColor="text1"/>
              </w:rPr>
              <w:t>55/123 (44.7%)</w:t>
            </w:r>
          </w:p>
        </w:tc>
        <w:tc>
          <w:tcPr>
            <w:tcW w:w="856" w:type="pct"/>
            <w:vAlign w:val="center"/>
          </w:tcPr>
          <w:p w14:paraId="612631BE" w14:textId="77777777" w:rsidR="0010726E" w:rsidRPr="00211C8B" w:rsidRDefault="0010726E" w:rsidP="009569D5">
            <w:pPr>
              <w:pStyle w:val="TableText0"/>
              <w:keepNext w:val="0"/>
              <w:jc w:val="center"/>
              <w:rPr>
                <w:color w:val="000000" w:themeColor="text1"/>
              </w:rPr>
            </w:pPr>
            <w:r w:rsidRPr="00211C8B">
              <w:rPr>
                <w:color w:val="000000" w:themeColor="text1"/>
              </w:rPr>
              <w:t>90/249 (36.1%)</w:t>
            </w:r>
          </w:p>
        </w:tc>
        <w:tc>
          <w:tcPr>
            <w:tcW w:w="841" w:type="pct"/>
            <w:vAlign w:val="center"/>
          </w:tcPr>
          <w:p w14:paraId="114F3F43" w14:textId="77777777" w:rsidR="0010726E" w:rsidRPr="00211C8B" w:rsidRDefault="0010726E" w:rsidP="009569D5">
            <w:pPr>
              <w:pStyle w:val="TableText0"/>
              <w:keepNext w:val="0"/>
              <w:jc w:val="center"/>
              <w:rPr>
                <w:color w:val="000000" w:themeColor="text1"/>
              </w:rPr>
            </w:pPr>
            <w:r w:rsidRPr="00211C8B">
              <w:rPr>
                <w:color w:val="000000" w:themeColor="text1"/>
              </w:rPr>
              <w:t>0.81 (0.63, 1.04)</w:t>
            </w:r>
          </w:p>
        </w:tc>
        <w:tc>
          <w:tcPr>
            <w:tcW w:w="820" w:type="pct"/>
            <w:vAlign w:val="center"/>
          </w:tcPr>
          <w:p w14:paraId="283A9CC5" w14:textId="77777777" w:rsidR="0010726E" w:rsidRPr="00211C8B" w:rsidRDefault="0010726E" w:rsidP="009569D5">
            <w:pPr>
              <w:pStyle w:val="TableText0"/>
              <w:keepNext w:val="0"/>
              <w:jc w:val="center"/>
              <w:rPr>
                <w:color w:val="000000" w:themeColor="text1"/>
              </w:rPr>
            </w:pPr>
            <w:r w:rsidRPr="00211C8B">
              <w:rPr>
                <w:color w:val="000000" w:themeColor="text1"/>
              </w:rPr>
              <w:t>-0.09</w:t>
            </w:r>
          </w:p>
        </w:tc>
      </w:tr>
      <w:tr w:rsidR="007D057B" w:rsidRPr="00211C8B" w14:paraId="039537F1" w14:textId="77777777" w:rsidTr="009569D5">
        <w:tc>
          <w:tcPr>
            <w:tcW w:w="863" w:type="pct"/>
            <w:vMerge/>
          </w:tcPr>
          <w:p w14:paraId="02ABC7E1" w14:textId="77777777" w:rsidR="007D057B" w:rsidRPr="00211C8B" w:rsidRDefault="007D057B" w:rsidP="007D057B">
            <w:pPr>
              <w:pStyle w:val="TableText0"/>
              <w:keepNext w:val="0"/>
              <w:rPr>
                <w:color w:val="000000" w:themeColor="text1"/>
              </w:rPr>
            </w:pPr>
          </w:p>
        </w:tc>
        <w:tc>
          <w:tcPr>
            <w:tcW w:w="471" w:type="pct"/>
          </w:tcPr>
          <w:p w14:paraId="131FBCD0" w14:textId="77777777" w:rsidR="007D057B" w:rsidRPr="00211C8B" w:rsidRDefault="007D057B" w:rsidP="007D057B">
            <w:pPr>
              <w:pStyle w:val="TableText0"/>
              <w:keepNext w:val="0"/>
              <w:jc w:val="center"/>
              <w:rPr>
                <w:b/>
                <w:bCs w:val="0"/>
                <w:iCs/>
                <w:color w:val="000000" w:themeColor="text1"/>
              </w:rPr>
            </w:pPr>
            <w:r w:rsidRPr="00211C8B">
              <w:rPr>
                <w:b/>
                <w:bCs w:val="0"/>
                <w:iCs/>
                <w:color w:val="000000" w:themeColor="text1"/>
              </w:rPr>
              <w:t>Cycle 2</w:t>
            </w:r>
          </w:p>
        </w:tc>
        <w:tc>
          <w:tcPr>
            <w:tcW w:w="1149" w:type="pct"/>
            <w:vAlign w:val="center"/>
          </w:tcPr>
          <w:p w14:paraId="439B2246" w14:textId="77777777" w:rsidR="007D057B" w:rsidRPr="003014B3" w:rsidRDefault="007D057B" w:rsidP="007D057B">
            <w:pPr>
              <w:pStyle w:val="TableText0"/>
              <w:keepNext w:val="0"/>
              <w:jc w:val="center"/>
              <w:rPr>
                <w:b/>
                <w:bCs w:val="0"/>
                <w:iCs/>
              </w:rPr>
            </w:pPr>
            <w:r w:rsidRPr="003014B3">
              <w:rPr>
                <w:b/>
                <w:bCs w:val="0"/>
                <w:iCs/>
              </w:rPr>
              <w:t>9/38</w:t>
            </w:r>
            <w:r w:rsidRPr="003014B3">
              <w:rPr>
                <w:b/>
                <w:iCs/>
                <w:vertAlign w:val="superscript"/>
              </w:rPr>
              <w:t>(a)</w:t>
            </w:r>
            <w:r w:rsidRPr="003014B3">
              <w:rPr>
                <w:b/>
                <w:iCs/>
              </w:rPr>
              <w:t xml:space="preserve"> </w:t>
            </w:r>
            <w:r w:rsidRPr="003014B3">
              <w:rPr>
                <w:b/>
                <w:bCs w:val="0"/>
                <w:iCs/>
              </w:rPr>
              <w:t>(26.3%)</w:t>
            </w:r>
          </w:p>
        </w:tc>
        <w:tc>
          <w:tcPr>
            <w:tcW w:w="856" w:type="pct"/>
            <w:vAlign w:val="center"/>
          </w:tcPr>
          <w:p w14:paraId="317EB671" w14:textId="77777777" w:rsidR="007D057B" w:rsidRPr="003014B3" w:rsidRDefault="007D057B" w:rsidP="007D057B">
            <w:pPr>
              <w:pStyle w:val="TableText0"/>
              <w:keepNext w:val="0"/>
              <w:jc w:val="center"/>
              <w:rPr>
                <w:b/>
                <w:bCs w:val="0"/>
                <w:iCs/>
              </w:rPr>
            </w:pPr>
            <w:r w:rsidRPr="003014B3">
              <w:rPr>
                <w:b/>
                <w:bCs w:val="0"/>
                <w:iCs/>
              </w:rPr>
              <w:t>22/72</w:t>
            </w:r>
            <w:r w:rsidRPr="003014B3">
              <w:rPr>
                <w:b/>
                <w:iCs/>
                <w:vertAlign w:val="superscript"/>
              </w:rPr>
              <w:t>(a)</w:t>
            </w:r>
            <w:r w:rsidRPr="003014B3">
              <w:rPr>
                <w:b/>
                <w:iCs/>
              </w:rPr>
              <w:t xml:space="preserve"> </w:t>
            </w:r>
            <w:r w:rsidRPr="003014B3">
              <w:rPr>
                <w:b/>
                <w:bCs w:val="0"/>
                <w:iCs/>
              </w:rPr>
              <w:t>(30.6%)</w:t>
            </w:r>
          </w:p>
        </w:tc>
        <w:tc>
          <w:tcPr>
            <w:tcW w:w="841" w:type="pct"/>
            <w:vAlign w:val="center"/>
          </w:tcPr>
          <w:p w14:paraId="6529CCD0" w14:textId="77777777" w:rsidR="007D057B" w:rsidRPr="003014B3" w:rsidRDefault="007D057B" w:rsidP="007D057B">
            <w:pPr>
              <w:pStyle w:val="TableText0"/>
              <w:keepNext w:val="0"/>
              <w:jc w:val="center"/>
              <w:rPr>
                <w:b/>
                <w:bCs w:val="0"/>
                <w:iCs/>
              </w:rPr>
            </w:pPr>
            <w:r w:rsidRPr="003014B3">
              <w:rPr>
                <w:b/>
                <w:bCs w:val="0"/>
                <w:iCs/>
              </w:rPr>
              <w:t>1.29 (0.66, 2.52)</w:t>
            </w:r>
          </w:p>
        </w:tc>
        <w:tc>
          <w:tcPr>
            <w:tcW w:w="820" w:type="pct"/>
            <w:vAlign w:val="center"/>
          </w:tcPr>
          <w:p w14:paraId="0FA33782" w14:textId="77777777" w:rsidR="007D057B" w:rsidRPr="003014B3" w:rsidRDefault="007D057B" w:rsidP="007D057B">
            <w:pPr>
              <w:pStyle w:val="TableText0"/>
              <w:keepNext w:val="0"/>
              <w:jc w:val="center"/>
              <w:rPr>
                <w:b/>
                <w:bCs w:val="0"/>
                <w:iCs/>
              </w:rPr>
            </w:pPr>
            <w:r w:rsidRPr="003014B3">
              <w:rPr>
                <w:b/>
                <w:bCs w:val="0"/>
                <w:iCs/>
              </w:rPr>
              <w:t>0.069</w:t>
            </w:r>
          </w:p>
        </w:tc>
      </w:tr>
      <w:tr w:rsidR="0010726E" w:rsidRPr="00211C8B" w14:paraId="10AD7C91" w14:textId="77777777" w:rsidTr="00A6538B">
        <w:tc>
          <w:tcPr>
            <w:tcW w:w="863" w:type="pct"/>
          </w:tcPr>
          <w:p w14:paraId="0E8FD77E" w14:textId="77777777" w:rsidR="0010726E" w:rsidRPr="00211C8B" w:rsidRDefault="0010726E" w:rsidP="009569D5">
            <w:pPr>
              <w:pStyle w:val="TableText0"/>
              <w:keepNext w:val="0"/>
              <w:rPr>
                <w:color w:val="000000" w:themeColor="text1"/>
              </w:rPr>
            </w:pPr>
            <w:r w:rsidRPr="00211C8B">
              <w:rPr>
                <w:color w:val="000000" w:themeColor="text1"/>
                <w:szCs w:val="20"/>
                <w:lang w:eastAsia="zh-CN"/>
              </w:rPr>
              <w:t>NCT01687712</w:t>
            </w:r>
          </w:p>
        </w:tc>
        <w:tc>
          <w:tcPr>
            <w:tcW w:w="471" w:type="pct"/>
          </w:tcPr>
          <w:p w14:paraId="3F4AC66E" w14:textId="77777777" w:rsidR="0010726E" w:rsidRPr="00211C8B" w:rsidRDefault="0010726E" w:rsidP="009569D5">
            <w:pPr>
              <w:pStyle w:val="TableText0"/>
              <w:keepNext w:val="0"/>
              <w:jc w:val="center"/>
              <w:rPr>
                <w:color w:val="000000" w:themeColor="text1"/>
              </w:rPr>
            </w:pPr>
            <w:r w:rsidRPr="00211C8B">
              <w:rPr>
                <w:color w:val="000000" w:themeColor="text1"/>
              </w:rPr>
              <w:t>Cycle 1</w:t>
            </w:r>
          </w:p>
        </w:tc>
        <w:tc>
          <w:tcPr>
            <w:tcW w:w="1149" w:type="pct"/>
            <w:vAlign w:val="center"/>
          </w:tcPr>
          <w:p w14:paraId="32AB32A4" w14:textId="77777777" w:rsidR="0010726E" w:rsidRPr="00211C8B" w:rsidRDefault="0010726E" w:rsidP="009569D5">
            <w:pPr>
              <w:pStyle w:val="TableText0"/>
              <w:keepNext w:val="0"/>
              <w:jc w:val="center"/>
              <w:rPr>
                <w:color w:val="000000" w:themeColor="text1"/>
              </w:rPr>
            </w:pPr>
            <w:r w:rsidRPr="00211C8B">
              <w:rPr>
                <w:color w:val="000000" w:themeColor="text1"/>
              </w:rPr>
              <w:t>NR</w:t>
            </w:r>
          </w:p>
        </w:tc>
        <w:tc>
          <w:tcPr>
            <w:tcW w:w="856" w:type="pct"/>
            <w:vAlign w:val="center"/>
          </w:tcPr>
          <w:p w14:paraId="6CC29EC2" w14:textId="77777777" w:rsidR="0010726E" w:rsidRPr="00211C8B" w:rsidRDefault="0010726E" w:rsidP="009569D5">
            <w:pPr>
              <w:pStyle w:val="TableText0"/>
              <w:keepNext w:val="0"/>
              <w:jc w:val="center"/>
              <w:rPr>
                <w:color w:val="000000" w:themeColor="text1"/>
              </w:rPr>
            </w:pPr>
            <w:r w:rsidRPr="00211C8B">
              <w:rPr>
                <w:color w:val="000000" w:themeColor="text1"/>
              </w:rPr>
              <w:t>NR</w:t>
            </w:r>
          </w:p>
        </w:tc>
        <w:tc>
          <w:tcPr>
            <w:tcW w:w="841" w:type="pct"/>
            <w:vAlign w:val="center"/>
          </w:tcPr>
          <w:p w14:paraId="015168E0" w14:textId="77777777" w:rsidR="0010726E" w:rsidRPr="00211C8B" w:rsidRDefault="0010726E" w:rsidP="009569D5">
            <w:pPr>
              <w:pStyle w:val="TableText0"/>
              <w:keepNext w:val="0"/>
              <w:jc w:val="center"/>
              <w:rPr>
                <w:color w:val="000000" w:themeColor="text1"/>
              </w:rPr>
            </w:pPr>
            <w:r w:rsidRPr="00211C8B">
              <w:rPr>
                <w:color w:val="000000" w:themeColor="text1"/>
              </w:rPr>
              <w:t>NR</w:t>
            </w:r>
          </w:p>
        </w:tc>
        <w:tc>
          <w:tcPr>
            <w:tcW w:w="820" w:type="pct"/>
            <w:vAlign w:val="center"/>
          </w:tcPr>
          <w:p w14:paraId="2B30F82C" w14:textId="77777777" w:rsidR="0010726E" w:rsidRPr="00211C8B" w:rsidRDefault="0010726E" w:rsidP="009569D5">
            <w:pPr>
              <w:pStyle w:val="TableText0"/>
              <w:keepNext w:val="0"/>
              <w:jc w:val="center"/>
              <w:rPr>
                <w:color w:val="000000" w:themeColor="text1"/>
              </w:rPr>
            </w:pPr>
            <w:r w:rsidRPr="00211C8B">
              <w:rPr>
                <w:color w:val="000000" w:themeColor="text1"/>
              </w:rPr>
              <w:t>NR</w:t>
            </w:r>
          </w:p>
        </w:tc>
      </w:tr>
      <w:tr w:rsidR="0010726E" w:rsidRPr="00211C8B" w14:paraId="434D900B" w14:textId="77777777" w:rsidTr="00A6538B">
        <w:tc>
          <w:tcPr>
            <w:tcW w:w="5000" w:type="pct"/>
            <w:gridSpan w:val="6"/>
            <w:vAlign w:val="center"/>
          </w:tcPr>
          <w:p w14:paraId="6A9077B7" w14:textId="77777777" w:rsidR="0010726E" w:rsidRPr="00211C8B" w:rsidRDefault="00907340" w:rsidP="009569D5">
            <w:pPr>
              <w:pStyle w:val="TableText0"/>
              <w:keepNext w:val="0"/>
              <w:rPr>
                <w:color w:val="000000" w:themeColor="text1"/>
              </w:rPr>
            </w:pPr>
            <w:r w:rsidRPr="00211C8B">
              <w:rPr>
                <w:rFonts w:cs="Arial"/>
                <w:b/>
                <w:bCs w:val="0"/>
                <w:color w:val="000000" w:themeColor="text1"/>
                <w:szCs w:val="20"/>
                <w:lang w:eastAsia="zh-CN"/>
              </w:rPr>
              <w:t>Gonal-f</w:t>
            </w:r>
            <w:r w:rsidR="0010726E" w:rsidRPr="00211C8B">
              <w:rPr>
                <w:rFonts w:cs="Arial"/>
                <w:b/>
                <w:bCs w:val="0"/>
                <w:color w:val="000000" w:themeColor="text1"/>
                <w:szCs w:val="20"/>
                <w:lang w:eastAsia="zh-CN"/>
              </w:rPr>
              <w:t xml:space="preserve"> vs Ovaleap</w:t>
            </w:r>
          </w:p>
        </w:tc>
      </w:tr>
      <w:tr w:rsidR="0010726E" w:rsidRPr="00211C8B" w14:paraId="3531F272" w14:textId="77777777" w:rsidTr="009569D5">
        <w:tc>
          <w:tcPr>
            <w:tcW w:w="863" w:type="pct"/>
          </w:tcPr>
          <w:p w14:paraId="119BCF04" w14:textId="77777777" w:rsidR="0010726E" w:rsidRPr="00211C8B" w:rsidRDefault="0010726E" w:rsidP="009569D5">
            <w:pPr>
              <w:pStyle w:val="TableText0"/>
              <w:keepNext w:val="0"/>
              <w:rPr>
                <w:color w:val="000000" w:themeColor="text1"/>
                <w:szCs w:val="20"/>
                <w:lang w:eastAsia="zh-CN"/>
              </w:rPr>
            </w:pPr>
            <w:r w:rsidRPr="00211C8B">
              <w:rPr>
                <w:color w:val="000000" w:themeColor="text1"/>
                <w:szCs w:val="20"/>
                <w:lang w:eastAsia="zh-CN"/>
              </w:rPr>
              <w:t>ISRCTN74772901</w:t>
            </w:r>
          </w:p>
        </w:tc>
        <w:tc>
          <w:tcPr>
            <w:tcW w:w="471" w:type="pct"/>
          </w:tcPr>
          <w:p w14:paraId="216177D7" w14:textId="77777777" w:rsidR="0010726E" w:rsidRPr="00211C8B" w:rsidRDefault="0010726E" w:rsidP="009569D5">
            <w:pPr>
              <w:pStyle w:val="TableText0"/>
              <w:keepNext w:val="0"/>
              <w:jc w:val="center"/>
              <w:rPr>
                <w:color w:val="000000" w:themeColor="text1"/>
              </w:rPr>
            </w:pPr>
            <w:r w:rsidRPr="00211C8B">
              <w:rPr>
                <w:color w:val="000000" w:themeColor="text1"/>
              </w:rPr>
              <w:t>Cycle 1</w:t>
            </w:r>
          </w:p>
        </w:tc>
        <w:tc>
          <w:tcPr>
            <w:tcW w:w="1149" w:type="pct"/>
            <w:vAlign w:val="center"/>
          </w:tcPr>
          <w:p w14:paraId="333F2D1A" w14:textId="77777777" w:rsidR="0010726E" w:rsidRPr="00211C8B" w:rsidRDefault="0010726E" w:rsidP="009569D5">
            <w:pPr>
              <w:pStyle w:val="TableText0"/>
              <w:keepNext w:val="0"/>
              <w:jc w:val="center"/>
              <w:rPr>
                <w:color w:val="000000" w:themeColor="text1"/>
              </w:rPr>
            </w:pPr>
            <w:r w:rsidRPr="00211C8B">
              <w:rPr>
                <w:color w:val="000000" w:themeColor="text1"/>
              </w:rPr>
              <w:t>49/146 (33.6%)</w:t>
            </w:r>
          </w:p>
        </w:tc>
        <w:tc>
          <w:tcPr>
            <w:tcW w:w="856" w:type="pct"/>
            <w:vAlign w:val="center"/>
          </w:tcPr>
          <w:p w14:paraId="19B2088D" w14:textId="77777777" w:rsidR="0010726E" w:rsidRPr="00211C8B" w:rsidRDefault="0010726E" w:rsidP="009569D5">
            <w:pPr>
              <w:pStyle w:val="TableText0"/>
              <w:keepNext w:val="0"/>
              <w:jc w:val="center"/>
              <w:rPr>
                <w:color w:val="000000" w:themeColor="text1"/>
              </w:rPr>
            </w:pPr>
            <w:r w:rsidRPr="00211C8B">
              <w:rPr>
                <w:color w:val="000000" w:themeColor="text1"/>
              </w:rPr>
              <w:t>42/153 (27.5%)</w:t>
            </w:r>
          </w:p>
        </w:tc>
        <w:tc>
          <w:tcPr>
            <w:tcW w:w="841" w:type="pct"/>
            <w:vAlign w:val="center"/>
          </w:tcPr>
          <w:p w14:paraId="5DFED559" w14:textId="77777777" w:rsidR="0010726E" w:rsidRPr="00211C8B" w:rsidRDefault="0010726E" w:rsidP="009569D5">
            <w:pPr>
              <w:pStyle w:val="TableText0"/>
              <w:keepNext w:val="0"/>
              <w:jc w:val="center"/>
              <w:rPr>
                <w:color w:val="000000" w:themeColor="text1"/>
              </w:rPr>
            </w:pPr>
            <w:r w:rsidRPr="00211C8B">
              <w:rPr>
                <w:color w:val="000000" w:themeColor="text1"/>
              </w:rPr>
              <w:t>0.82 (0.58, 1.15)</w:t>
            </w:r>
          </w:p>
        </w:tc>
        <w:tc>
          <w:tcPr>
            <w:tcW w:w="820" w:type="pct"/>
            <w:vAlign w:val="center"/>
          </w:tcPr>
          <w:p w14:paraId="144BA627" w14:textId="77777777" w:rsidR="0010726E" w:rsidRPr="00211C8B" w:rsidRDefault="0010726E" w:rsidP="009569D5">
            <w:pPr>
              <w:pStyle w:val="TableText0"/>
              <w:keepNext w:val="0"/>
              <w:jc w:val="center"/>
              <w:rPr>
                <w:color w:val="000000" w:themeColor="text1"/>
              </w:rPr>
            </w:pPr>
            <w:r w:rsidRPr="00211C8B">
              <w:rPr>
                <w:color w:val="000000" w:themeColor="text1"/>
              </w:rPr>
              <w:t>-0.06</w:t>
            </w:r>
          </w:p>
        </w:tc>
      </w:tr>
      <w:tr w:rsidR="0010726E" w:rsidRPr="00211C8B" w14:paraId="17CD2A3D" w14:textId="77777777" w:rsidTr="009569D5">
        <w:tc>
          <w:tcPr>
            <w:tcW w:w="5000" w:type="pct"/>
            <w:gridSpan w:val="6"/>
            <w:vAlign w:val="center"/>
          </w:tcPr>
          <w:p w14:paraId="582ED5CE" w14:textId="77777777" w:rsidR="0010726E" w:rsidRPr="00211C8B" w:rsidRDefault="00907340" w:rsidP="009569D5">
            <w:pPr>
              <w:pStyle w:val="TableText0"/>
              <w:keepNext w:val="0"/>
              <w:rPr>
                <w:color w:val="000000" w:themeColor="text1"/>
              </w:rPr>
            </w:pPr>
            <w:r w:rsidRPr="00211C8B">
              <w:rPr>
                <w:rFonts w:cs="Arial"/>
                <w:b/>
                <w:bCs w:val="0"/>
                <w:color w:val="000000" w:themeColor="text1"/>
                <w:szCs w:val="20"/>
                <w:lang w:eastAsia="zh-CN"/>
              </w:rPr>
              <w:t>Gonal-f</w:t>
            </w:r>
            <w:r w:rsidR="0010726E" w:rsidRPr="00211C8B">
              <w:rPr>
                <w:rFonts w:cs="Arial"/>
                <w:b/>
                <w:bCs w:val="0"/>
                <w:color w:val="000000" w:themeColor="text1"/>
                <w:szCs w:val="20"/>
                <w:lang w:eastAsia="zh-CN"/>
              </w:rPr>
              <w:t xml:space="preserve"> vs </w:t>
            </w:r>
            <w:r w:rsidR="0010726E" w:rsidRPr="00211C8B">
              <w:rPr>
                <w:b/>
                <w:bCs w:val="0"/>
                <w:color w:val="000000" w:themeColor="text1"/>
                <w:szCs w:val="20"/>
              </w:rPr>
              <w:t>Primapur</w:t>
            </w:r>
          </w:p>
        </w:tc>
      </w:tr>
      <w:tr w:rsidR="0010726E" w:rsidRPr="00211C8B" w14:paraId="70B7F39A" w14:textId="77777777" w:rsidTr="009569D5">
        <w:tc>
          <w:tcPr>
            <w:tcW w:w="863" w:type="pct"/>
            <w:vAlign w:val="center"/>
          </w:tcPr>
          <w:p w14:paraId="34DA16F1" w14:textId="77777777" w:rsidR="0010726E" w:rsidRPr="00211C8B" w:rsidRDefault="0010726E" w:rsidP="009569D5">
            <w:pPr>
              <w:pStyle w:val="TableText0"/>
              <w:keepNext w:val="0"/>
              <w:rPr>
                <w:color w:val="000000" w:themeColor="text1"/>
              </w:rPr>
            </w:pPr>
            <w:r w:rsidRPr="00211C8B">
              <w:rPr>
                <w:color w:val="000000" w:themeColor="text1"/>
                <w:szCs w:val="20"/>
                <w:lang w:eastAsia="zh-CN"/>
              </w:rPr>
              <w:t>NCT03088137</w:t>
            </w:r>
          </w:p>
        </w:tc>
        <w:tc>
          <w:tcPr>
            <w:tcW w:w="471" w:type="pct"/>
          </w:tcPr>
          <w:p w14:paraId="2DAED88B" w14:textId="77777777" w:rsidR="0010726E" w:rsidRPr="00211C8B" w:rsidRDefault="0010726E" w:rsidP="009569D5">
            <w:pPr>
              <w:pStyle w:val="TableText0"/>
              <w:keepNext w:val="0"/>
              <w:jc w:val="center"/>
              <w:rPr>
                <w:color w:val="000000" w:themeColor="text1"/>
              </w:rPr>
            </w:pPr>
            <w:r w:rsidRPr="00211C8B">
              <w:rPr>
                <w:color w:val="000000" w:themeColor="text1"/>
              </w:rPr>
              <w:t>Cycle 1</w:t>
            </w:r>
          </w:p>
        </w:tc>
        <w:tc>
          <w:tcPr>
            <w:tcW w:w="1149" w:type="pct"/>
            <w:vAlign w:val="center"/>
          </w:tcPr>
          <w:p w14:paraId="27B620CB" w14:textId="77777777" w:rsidR="0010726E" w:rsidRPr="00211C8B" w:rsidRDefault="0010726E" w:rsidP="009569D5">
            <w:pPr>
              <w:pStyle w:val="TableText0"/>
              <w:keepNext w:val="0"/>
              <w:jc w:val="center"/>
              <w:rPr>
                <w:color w:val="000000" w:themeColor="text1"/>
              </w:rPr>
            </w:pPr>
            <w:r w:rsidRPr="00211C8B">
              <w:rPr>
                <w:color w:val="000000" w:themeColor="text1"/>
              </w:rPr>
              <w:t>16/55 (29.1%)</w:t>
            </w:r>
          </w:p>
        </w:tc>
        <w:tc>
          <w:tcPr>
            <w:tcW w:w="856" w:type="pct"/>
            <w:vAlign w:val="center"/>
          </w:tcPr>
          <w:p w14:paraId="1114CC7D" w14:textId="77777777" w:rsidR="0010726E" w:rsidRPr="00211C8B" w:rsidRDefault="0010726E" w:rsidP="009569D5">
            <w:pPr>
              <w:pStyle w:val="TableText0"/>
              <w:keepNext w:val="0"/>
              <w:jc w:val="center"/>
              <w:rPr>
                <w:color w:val="000000" w:themeColor="text1"/>
              </w:rPr>
            </w:pPr>
            <w:r w:rsidRPr="00211C8B">
              <w:rPr>
                <w:color w:val="000000" w:themeColor="text1"/>
              </w:rPr>
              <w:t>13/55 (23.6%)</w:t>
            </w:r>
          </w:p>
        </w:tc>
        <w:tc>
          <w:tcPr>
            <w:tcW w:w="841" w:type="pct"/>
            <w:vAlign w:val="center"/>
          </w:tcPr>
          <w:p w14:paraId="65F5887C" w14:textId="77777777" w:rsidR="0010726E" w:rsidRPr="00211C8B" w:rsidRDefault="0010726E" w:rsidP="009569D5">
            <w:pPr>
              <w:pStyle w:val="TableText0"/>
              <w:keepNext w:val="0"/>
              <w:jc w:val="center"/>
              <w:rPr>
                <w:b/>
                <w:bCs w:val="0"/>
                <w:color w:val="000000" w:themeColor="text1"/>
              </w:rPr>
            </w:pPr>
            <w:r w:rsidRPr="00211C8B">
              <w:rPr>
                <w:color w:val="000000" w:themeColor="text1"/>
              </w:rPr>
              <w:t>0.81 (0.43, 1.52)</w:t>
            </w:r>
          </w:p>
        </w:tc>
        <w:tc>
          <w:tcPr>
            <w:tcW w:w="820" w:type="pct"/>
            <w:vAlign w:val="center"/>
          </w:tcPr>
          <w:p w14:paraId="1781FC47" w14:textId="77777777" w:rsidR="0010726E" w:rsidRPr="00211C8B" w:rsidRDefault="0010726E" w:rsidP="009569D5">
            <w:pPr>
              <w:pStyle w:val="TableText0"/>
              <w:keepNext w:val="0"/>
              <w:jc w:val="center"/>
              <w:rPr>
                <w:color w:val="000000" w:themeColor="text1"/>
              </w:rPr>
            </w:pPr>
            <w:r w:rsidRPr="00211C8B">
              <w:rPr>
                <w:color w:val="000000" w:themeColor="text1"/>
              </w:rPr>
              <w:t>-0.05</w:t>
            </w:r>
          </w:p>
        </w:tc>
      </w:tr>
      <w:tr w:rsidR="0010726E" w:rsidRPr="00211C8B" w14:paraId="6A711B36" w14:textId="77777777" w:rsidTr="009569D5">
        <w:tc>
          <w:tcPr>
            <w:tcW w:w="5000" w:type="pct"/>
            <w:gridSpan w:val="6"/>
            <w:vAlign w:val="center"/>
          </w:tcPr>
          <w:p w14:paraId="5C09438B" w14:textId="77777777" w:rsidR="0010726E" w:rsidRPr="00211C8B" w:rsidRDefault="00907340" w:rsidP="009569D5">
            <w:pPr>
              <w:pStyle w:val="TableText0"/>
              <w:keepNext w:val="0"/>
              <w:rPr>
                <w:color w:val="000000" w:themeColor="text1"/>
              </w:rPr>
            </w:pPr>
            <w:r w:rsidRPr="00211C8B">
              <w:rPr>
                <w:rFonts w:cs="Arial"/>
                <w:b/>
                <w:bCs w:val="0"/>
                <w:color w:val="000000" w:themeColor="text1"/>
                <w:szCs w:val="20"/>
                <w:lang w:eastAsia="zh-CN"/>
              </w:rPr>
              <w:t>Gonal-f</w:t>
            </w:r>
            <w:r w:rsidR="0010726E" w:rsidRPr="00211C8B">
              <w:rPr>
                <w:rFonts w:cs="Arial"/>
                <w:b/>
                <w:bCs w:val="0"/>
                <w:color w:val="000000" w:themeColor="text1"/>
                <w:szCs w:val="20"/>
                <w:lang w:eastAsia="zh-CN"/>
              </w:rPr>
              <w:t xml:space="preserve"> vs </w:t>
            </w:r>
            <w:r w:rsidR="0010726E" w:rsidRPr="00211C8B">
              <w:rPr>
                <w:b/>
                <w:color w:val="000000" w:themeColor="text1"/>
                <w:kern w:val="24"/>
              </w:rPr>
              <w:t>Follitrope</w:t>
            </w:r>
          </w:p>
        </w:tc>
      </w:tr>
      <w:tr w:rsidR="0010726E" w:rsidRPr="00211C8B" w14:paraId="04C224D4" w14:textId="77777777" w:rsidTr="009569D5">
        <w:tc>
          <w:tcPr>
            <w:tcW w:w="863" w:type="pct"/>
            <w:vAlign w:val="center"/>
          </w:tcPr>
          <w:p w14:paraId="102DE027" w14:textId="77777777" w:rsidR="0010726E" w:rsidRPr="00211C8B" w:rsidRDefault="0010726E" w:rsidP="009569D5">
            <w:pPr>
              <w:pStyle w:val="TableText0"/>
              <w:keepNext w:val="0"/>
              <w:rPr>
                <w:color w:val="000000" w:themeColor="text1"/>
              </w:rPr>
            </w:pPr>
            <w:r w:rsidRPr="00211C8B">
              <w:rPr>
                <w:color w:val="000000" w:themeColor="text1"/>
                <w:szCs w:val="20"/>
                <w:lang w:eastAsia="zh-CN"/>
              </w:rPr>
              <w:t>NCT03506243</w:t>
            </w:r>
          </w:p>
        </w:tc>
        <w:tc>
          <w:tcPr>
            <w:tcW w:w="471" w:type="pct"/>
          </w:tcPr>
          <w:p w14:paraId="4AFD0378" w14:textId="77777777" w:rsidR="0010726E" w:rsidRPr="00211C8B" w:rsidRDefault="0010726E" w:rsidP="009569D5">
            <w:pPr>
              <w:pStyle w:val="TableText0"/>
              <w:keepNext w:val="0"/>
              <w:jc w:val="center"/>
              <w:rPr>
                <w:color w:val="000000" w:themeColor="text1"/>
              </w:rPr>
            </w:pPr>
            <w:r w:rsidRPr="00211C8B">
              <w:rPr>
                <w:color w:val="000000" w:themeColor="text1"/>
              </w:rPr>
              <w:t>Cycle 1</w:t>
            </w:r>
          </w:p>
        </w:tc>
        <w:tc>
          <w:tcPr>
            <w:tcW w:w="1149" w:type="pct"/>
            <w:vAlign w:val="center"/>
          </w:tcPr>
          <w:p w14:paraId="677B017C" w14:textId="77777777" w:rsidR="0010726E" w:rsidRPr="00211C8B" w:rsidRDefault="0010726E" w:rsidP="009569D5">
            <w:pPr>
              <w:pStyle w:val="TableText0"/>
              <w:keepNext w:val="0"/>
              <w:jc w:val="center"/>
              <w:rPr>
                <w:color w:val="000000" w:themeColor="text1"/>
              </w:rPr>
            </w:pPr>
            <w:r w:rsidRPr="00211C8B">
              <w:rPr>
                <w:color w:val="000000" w:themeColor="text1"/>
              </w:rPr>
              <w:t>34/112 (30.4%)</w:t>
            </w:r>
          </w:p>
        </w:tc>
        <w:tc>
          <w:tcPr>
            <w:tcW w:w="856" w:type="pct"/>
            <w:vAlign w:val="center"/>
          </w:tcPr>
          <w:p w14:paraId="74F4EBA7" w14:textId="77777777" w:rsidR="0010726E" w:rsidRPr="00211C8B" w:rsidRDefault="0010726E" w:rsidP="009569D5">
            <w:pPr>
              <w:pStyle w:val="TableText0"/>
              <w:keepNext w:val="0"/>
              <w:jc w:val="center"/>
              <w:rPr>
                <w:color w:val="000000" w:themeColor="text1"/>
              </w:rPr>
            </w:pPr>
            <w:r w:rsidRPr="00211C8B">
              <w:rPr>
                <w:color w:val="000000" w:themeColor="text1"/>
              </w:rPr>
              <w:t>82/339 (24.2%)</w:t>
            </w:r>
          </w:p>
        </w:tc>
        <w:tc>
          <w:tcPr>
            <w:tcW w:w="841" w:type="pct"/>
            <w:vAlign w:val="center"/>
          </w:tcPr>
          <w:p w14:paraId="73015E4D" w14:textId="77777777" w:rsidR="0010726E" w:rsidRPr="00211C8B" w:rsidRDefault="0010726E" w:rsidP="009569D5">
            <w:pPr>
              <w:pStyle w:val="TableText0"/>
              <w:keepNext w:val="0"/>
              <w:jc w:val="center"/>
              <w:rPr>
                <w:color w:val="000000" w:themeColor="text1"/>
              </w:rPr>
            </w:pPr>
            <w:r w:rsidRPr="00211C8B">
              <w:rPr>
                <w:color w:val="000000" w:themeColor="text1"/>
              </w:rPr>
              <w:t>0.80 (0.57, 1.12)</w:t>
            </w:r>
          </w:p>
        </w:tc>
        <w:tc>
          <w:tcPr>
            <w:tcW w:w="820" w:type="pct"/>
            <w:vAlign w:val="center"/>
          </w:tcPr>
          <w:p w14:paraId="168B9AE6" w14:textId="77777777" w:rsidR="0010726E" w:rsidRPr="00211C8B" w:rsidRDefault="0010726E" w:rsidP="009569D5">
            <w:pPr>
              <w:pStyle w:val="TableText0"/>
              <w:keepNext w:val="0"/>
              <w:jc w:val="center"/>
              <w:rPr>
                <w:color w:val="000000" w:themeColor="text1"/>
              </w:rPr>
            </w:pPr>
            <w:r w:rsidRPr="00211C8B">
              <w:rPr>
                <w:color w:val="000000" w:themeColor="text1"/>
              </w:rPr>
              <w:t>-0.06</w:t>
            </w:r>
          </w:p>
        </w:tc>
      </w:tr>
    </w:tbl>
    <w:p w14:paraId="270B8021" w14:textId="77777777" w:rsidR="005B553A" w:rsidRPr="00211C8B" w:rsidRDefault="005B553A" w:rsidP="005B553A">
      <w:pPr>
        <w:pStyle w:val="TableFigureFooter"/>
      </w:pPr>
      <w:r w:rsidRPr="00211C8B">
        <w:t>Source: compiled during evaluation using supplementary Table 4 of Chua et al. 2021 meta-analysis and the five RCT papers</w:t>
      </w:r>
    </w:p>
    <w:p w14:paraId="7F3F44C8" w14:textId="77777777" w:rsidR="005B553A" w:rsidRPr="00211C8B" w:rsidRDefault="005B553A" w:rsidP="005B553A">
      <w:pPr>
        <w:pStyle w:val="TableFigureFooter"/>
      </w:pPr>
      <w:r w:rsidRPr="00211C8B">
        <w:t>CI = confidence interval</w:t>
      </w:r>
      <w:r w:rsidR="00C519B5" w:rsidRPr="00211C8B">
        <w:t>; NR = not reported</w:t>
      </w:r>
    </w:p>
    <w:p w14:paraId="393EA1D8" w14:textId="77777777" w:rsidR="00A6538B" w:rsidRPr="00211C8B" w:rsidRDefault="008B2654" w:rsidP="005E4CB2">
      <w:pPr>
        <w:pStyle w:val="TableFigureFooter"/>
      </w:pPr>
      <w:r w:rsidRPr="00211C8B">
        <w:rPr>
          <w:vertAlign w:val="superscript"/>
        </w:rPr>
        <w:t>(a)</w:t>
      </w:r>
      <w:r w:rsidRPr="00211C8B">
        <w:t xml:space="preserve"> </w:t>
      </w:r>
      <w:r w:rsidR="00A6538B" w:rsidRPr="00211C8B">
        <w:t xml:space="preserve">per protocol sample sizes were </w:t>
      </w:r>
      <w:r w:rsidR="00A6538B" w:rsidRPr="003014B3">
        <w:t>used</w:t>
      </w:r>
      <w:r w:rsidR="007D057B" w:rsidRPr="003014B3">
        <w:t>, corrected in ESC advice</w:t>
      </w:r>
      <w:r w:rsidR="00441DAC" w:rsidRPr="003014B3">
        <w:t>.</w:t>
      </w:r>
    </w:p>
    <w:p w14:paraId="2EFDB98F" w14:textId="77777777" w:rsidR="008368CD" w:rsidRDefault="008368CD">
      <w:pPr>
        <w:jc w:val="left"/>
        <w:rPr>
          <w:rFonts w:ascii="Arial Narrow" w:eastAsiaTheme="majorEastAsia" w:hAnsi="Arial Narrow" w:cstheme="majorBidi"/>
          <w:b/>
          <w:bCs/>
          <w:sz w:val="20"/>
        </w:rPr>
      </w:pPr>
      <w:r>
        <w:br w:type="page"/>
      </w:r>
    </w:p>
    <w:p w14:paraId="32D3B89B" w14:textId="19DC2ED7" w:rsidR="00BE674F" w:rsidRDefault="00BE674F" w:rsidP="00BA79F2">
      <w:pPr>
        <w:pStyle w:val="TableFigureHeading"/>
      </w:pPr>
      <w:r>
        <w:t xml:space="preserve">Table </w:t>
      </w:r>
      <w:r w:rsidR="00360359">
        <w:rPr>
          <w:noProof/>
        </w:rPr>
        <w:t>6</w:t>
      </w:r>
      <w:r>
        <w:t xml:space="preserve">: </w:t>
      </w:r>
      <w:r w:rsidRPr="007D167F">
        <w:t xml:space="preserve">Live birth across the </w:t>
      </w:r>
      <w:r w:rsidR="00C4230B">
        <w:t>trials</w:t>
      </w:r>
      <w:r w:rsidRPr="007D167F">
        <w:t>: dichotomous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Live birth across the trials: dichotomous data"/>
        <w:tblDescription w:val="Live birth across the trials: dichotomous data"/>
      </w:tblPr>
      <w:tblGrid>
        <w:gridCol w:w="1556"/>
        <w:gridCol w:w="849"/>
        <w:gridCol w:w="2072"/>
        <w:gridCol w:w="1544"/>
        <w:gridCol w:w="1517"/>
        <w:gridCol w:w="1479"/>
      </w:tblGrid>
      <w:tr w:rsidR="00BF01BC" w:rsidRPr="00211C8B" w14:paraId="1613FDE0" w14:textId="77777777" w:rsidTr="00A6538B">
        <w:trPr>
          <w:tblHeader/>
        </w:trPr>
        <w:tc>
          <w:tcPr>
            <w:tcW w:w="863" w:type="pct"/>
            <w:vAlign w:val="center"/>
          </w:tcPr>
          <w:p w14:paraId="7F5DE3AD" w14:textId="77777777" w:rsidR="00BF01BC" w:rsidRPr="00BE674F" w:rsidRDefault="00C4230B" w:rsidP="00A6538B">
            <w:pPr>
              <w:pStyle w:val="In-tableHeading"/>
              <w:rPr>
                <w:lang w:val="en-AU"/>
              </w:rPr>
            </w:pPr>
            <w:r>
              <w:rPr>
                <w:lang w:val="en-AU"/>
              </w:rPr>
              <w:t>Trial</w:t>
            </w:r>
            <w:r w:rsidR="00BF01BC" w:rsidRPr="00BE674F">
              <w:rPr>
                <w:lang w:val="en-AU"/>
              </w:rPr>
              <w:t xml:space="preserve"> ID</w:t>
            </w:r>
          </w:p>
        </w:tc>
        <w:tc>
          <w:tcPr>
            <w:tcW w:w="471" w:type="pct"/>
          </w:tcPr>
          <w:p w14:paraId="4FF46E17" w14:textId="77777777" w:rsidR="00BF01BC" w:rsidRPr="009B38D8" w:rsidRDefault="00BF01BC" w:rsidP="00A6538B">
            <w:pPr>
              <w:pStyle w:val="In-tableHeading"/>
              <w:jc w:val="center"/>
              <w:rPr>
                <w:lang w:val="en-AU"/>
              </w:rPr>
            </w:pPr>
            <w:r w:rsidRPr="009B38D8">
              <w:rPr>
                <w:lang w:val="en-AU"/>
              </w:rPr>
              <w:t>Cycle</w:t>
            </w:r>
          </w:p>
        </w:tc>
        <w:tc>
          <w:tcPr>
            <w:tcW w:w="1149" w:type="pct"/>
            <w:vAlign w:val="center"/>
          </w:tcPr>
          <w:p w14:paraId="6F304723" w14:textId="77777777" w:rsidR="00BF01BC" w:rsidRPr="00211C8B" w:rsidRDefault="00907340" w:rsidP="00A6538B">
            <w:pPr>
              <w:pStyle w:val="In-tableHeading"/>
              <w:jc w:val="center"/>
              <w:rPr>
                <w:lang w:val="en-AU"/>
              </w:rPr>
            </w:pPr>
            <w:r w:rsidRPr="00F10F43">
              <w:rPr>
                <w:lang w:val="en-AU"/>
              </w:rPr>
              <w:t>Gonal-f</w:t>
            </w:r>
            <w:r w:rsidR="00BF01BC" w:rsidRPr="00F10F43">
              <w:rPr>
                <w:lang w:val="en-AU"/>
              </w:rPr>
              <w:br/>
              <w:t>n/N (%)</w:t>
            </w:r>
          </w:p>
        </w:tc>
        <w:tc>
          <w:tcPr>
            <w:tcW w:w="856" w:type="pct"/>
            <w:vAlign w:val="center"/>
          </w:tcPr>
          <w:p w14:paraId="2A26014D" w14:textId="77777777" w:rsidR="00BF01BC" w:rsidRPr="00211C8B" w:rsidRDefault="00BF01BC" w:rsidP="00A6538B">
            <w:pPr>
              <w:pStyle w:val="In-tableHeading"/>
              <w:jc w:val="center"/>
              <w:rPr>
                <w:lang w:val="en-AU"/>
              </w:rPr>
            </w:pPr>
            <w:r w:rsidRPr="00211C8B">
              <w:rPr>
                <w:lang w:val="en-AU"/>
              </w:rPr>
              <w:t>Biosimilar preparations</w:t>
            </w:r>
            <w:r w:rsidRPr="00211C8B">
              <w:rPr>
                <w:lang w:val="en-AU"/>
              </w:rPr>
              <w:br/>
              <w:t>n/N (%)</w:t>
            </w:r>
          </w:p>
        </w:tc>
        <w:tc>
          <w:tcPr>
            <w:tcW w:w="841" w:type="pct"/>
            <w:vAlign w:val="center"/>
          </w:tcPr>
          <w:p w14:paraId="0F0CBCEB" w14:textId="77777777" w:rsidR="00BF01BC" w:rsidRPr="00211C8B" w:rsidRDefault="00BF01BC" w:rsidP="00A6538B">
            <w:pPr>
              <w:pStyle w:val="In-tableHeading"/>
              <w:jc w:val="center"/>
              <w:rPr>
                <w:lang w:val="en-AU"/>
              </w:rPr>
            </w:pPr>
            <w:r w:rsidRPr="00211C8B">
              <w:rPr>
                <w:lang w:val="en-AU"/>
              </w:rPr>
              <w:t>Relative risk (95% CI)</w:t>
            </w:r>
          </w:p>
        </w:tc>
        <w:tc>
          <w:tcPr>
            <w:tcW w:w="820" w:type="pct"/>
            <w:vAlign w:val="center"/>
          </w:tcPr>
          <w:p w14:paraId="76B843F5" w14:textId="77777777" w:rsidR="00BF01BC" w:rsidRPr="00211C8B" w:rsidRDefault="00BF01BC" w:rsidP="00A6538B">
            <w:pPr>
              <w:pStyle w:val="In-tableHeading"/>
              <w:jc w:val="center"/>
              <w:rPr>
                <w:lang w:val="en-AU"/>
              </w:rPr>
            </w:pPr>
            <w:r w:rsidRPr="00211C8B">
              <w:rPr>
                <w:lang w:val="en-AU"/>
              </w:rPr>
              <w:t xml:space="preserve">Risk difference </w:t>
            </w:r>
          </w:p>
        </w:tc>
      </w:tr>
      <w:tr w:rsidR="00BF01BC" w:rsidRPr="00211C8B" w14:paraId="34A88932" w14:textId="77777777" w:rsidTr="00A6538B">
        <w:tc>
          <w:tcPr>
            <w:tcW w:w="5000" w:type="pct"/>
            <w:gridSpan w:val="6"/>
            <w:shd w:val="clear" w:color="auto" w:fill="auto"/>
            <w:vAlign w:val="center"/>
          </w:tcPr>
          <w:p w14:paraId="17FF3532" w14:textId="77777777" w:rsidR="00BF01BC" w:rsidRPr="00211C8B" w:rsidRDefault="00907340" w:rsidP="00A6538B">
            <w:pPr>
              <w:pStyle w:val="TableText0"/>
              <w:rPr>
                <w:b/>
                <w:color w:val="000000" w:themeColor="text1"/>
              </w:rPr>
            </w:pPr>
            <w:r w:rsidRPr="00211C8B">
              <w:rPr>
                <w:b/>
                <w:color w:val="000000" w:themeColor="text1"/>
              </w:rPr>
              <w:t>Gonal-f</w:t>
            </w:r>
            <w:r w:rsidR="00BF01BC" w:rsidRPr="00211C8B">
              <w:rPr>
                <w:b/>
                <w:color w:val="000000" w:themeColor="text1"/>
              </w:rPr>
              <w:t xml:space="preserve"> vs Bemfola</w:t>
            </w:r>
          </w:p>
        </w:tc>
      </w:tr>
      <w:tr w:rsidR="00BF01BC" w:rsidRPr="00211C8B" w14:paraId="01DCD2EC" w14:textId="77777777" w:rsidTr="009569D5">
        <w:tc>
          <w:tcPr>
            <w:tcW w:w="863" w:type="pct"/>
            <w:vMerge w:val="restart"/>
          </w:tcPr>
          <w:p w14:paraId="40A40853" w14:textId="77777777" w:rsidR="00BF01BC" w:rsidRPr="00211C8B" w:rsidRDefault="00BF01BC" w:rsidP="00A6538B">
            <w:pPr>
              <w:pStyle w:val="TableText0"/>
              <w:rPr>
                <w:color w:val="000000" w:themeColor="text1"/>
              </w:rPr>
            </w:pPr>
            <w:r w:rsidRPr="00211C8B">
              <w:rPr>
                <w:color w:val="000000" w:themeColor="text1"/>
                <w:szCs w:val="20"/>
                <w:lang w:eastAsia="zh-CN"/>
              </w:rPr>
              <w:t>NCT01121666</w:t>
            </w:r>
          </w:p>
        </w:tc>
        <w:tc>
          <w:tcPr>
            <w:tcW w:w="471" w:type="pct"/>
          </w:tcPr>
          <w:p w14:paraId="6FE024BA" w14:textId="77777777" w:rsidR="00BF01BC" w:rsidRPr="00211C8B" w:rsidRDefault="00BF01BC" w:rsidP="00A6538B">
            <w:pPr>
              <w:pStyle w:val="TableText0"/>
              <w:jc w:val="center"/>
              <w:rPr>
                <w:color w:val="000000" w:themeColor="text1"/>
              </w:rPr>
            </w:pPr>
            <w:r w:rsidRPr="00211C8B">
              <w:rPr>
                <w:color w:val="000000" w:themeColor="text1"/>
              </w:rPr>
              <w:t>Cycle 1</w:t>
            </w:r>
          </w:p>
        </w:tc>
        <w:tc>
          <w:tcPr>
            <w:tcW w:w="1149" w:type="pct"/>
            <w:vAlign w:val="center"/>
          </w:tcPr>
          <w:p w14:paraId="04EDE5D7" w14:textId="77777777" w:rsidR="00BF01BC" w:rsidRPr="00211C8B" w:rsidRDefault="00BF01BC" w:rsidP="00A6538B">
            <w:pPr>
              <w:pStyle w:val="TableText0"/>
              <w:jc w:val="center"/>
              <w:rPr>
                <w:color w:val="000000" w:themeColor="text1"/>
              </w:rPr>
            </w:pPr>
            <w:r w:rsidRPr="00211C8B">
              <w:rPr>
                <w:color w:val="000000" w:themeColor="text1"/>
              </w:rPr>
              <w:t>50/123 (40.7%)</w:t>
            </w:r>
          </w:p>
        </w:tc>
        <w:tc>
          <w:tcPr>
            <w:tcW w:w="856" w:type="pct"/>
            <w:vAlign w:val="center"/>
          </w:tcPr>
          <w:p w14:paraId="35971CBB" w14:textId="77777777" w:rsidR="00BF01BC" w:rsidRPr="00211C8B" w:rsidRDefault="00BF01BC" w:rsidP="00A6538B">
            <w:pPr>
              <w:pStyle w:val="TableText0"/>
              <w:jc w:val="center"/>
              <w:rPr>
                <w:color w:val="000000" w:themeColor="text1"/>
              </w:rPr>
            </w:pPr>
            <w:r w:rsidRPr="00211C8B">
              <w:rPr>
                <w:color w:val="000000" w:themeColor="text1"/>
              </w:rPr>
              <w:t>80/249 (32.1%)</w:t>
            </w:r>
          </w:p>
        </w:tc>
        <w:tc>
          <w:tcPr>
            <w:tcW w:w="841" w:type="pct"/>
            <w:vAlign w:val="center"/>
          </w:tcPr>
          <w:p w14:paraId="0136118C" w14:textId="77777777" w:rsidR="00BF01BC" w:rsidRPr="00211C8B" w:rsidRDefault="00BF01BC" w:rsidP="00A6538B">
            <w:pPr>
              <w:pStyle w:val="TableText0"/>
              <w:jc w:val="center"/>
              <w:rPr>
                <w:color w:val="000000" w:themeColor="text1"/>
              </w:rPr>
            </w:pPr>
            <w:r w:rsidRPr="00211C8B">
              <w:rPr>
                <w:color w:val="000000" w:themeColor="text1"/>
              </w:rPr>
              <w:t>0.79 (0.60, 1.05)</w:t>
            </w:r>
          </w:p>
        </w:tc>
        <w:tc>
          <w:tcPr>
            <w:tcW w:w="820" w:type="pct"/>
            <w:vAlign w:val="center"/>
          </w:tcPr>
          <w:p w14:paraId="124BD2A6" w14:textId="77777777" w:rsidR="00BF01BC" w:rsidRPr="00211C8B" w:rsidRDefault="00BF01BC" w:rsidP="00A6538B">
            <w:pPr>
              <w:pStyle w:val="TableText0"/>
              <w:jc w:val="center"/>
              <w:rPr>
                <w:color w:val="000000" w:themeColor="text1"/>
              </w:rPr>
            </w:pPr>
            <w:r w:rsidRPr="00211C8B">
              <w:rPr>
                <w:color w:val="000000" w:themeColor="text1"/>
              </w:rPr>
              <w:t>-0.09</w:t>
            </w:r>
          </w:p>
        </w:tc>
      </w:tr>
      <w:tr w:rsidR="007D057B" w:rsidRPr="00211C8B" w14:paraId="0FCB7ADB" w14:textId="77777777" w:rsidTr="009569D5">
        <w:tc>
          <w:tcPr>
            <w:tcW w:w="863" w:type="pct"/>
            <w:vMerge/>
          </w:tcPr>
          <w:p w14:paraId="0F945196" w14:textId="77777777" w:rsidR="007D057B" w:rsidRPr="00211C8B" w:rsidRDefault="007D057B" w:rsidP="007D057B">
            <w:pPr>
              <w:pStyle w:val="TableText0"/>
              <w:rPr>
                <w:color w:val="000000" w:themeColor="text1"/>
              </w:rPr>
            </w:pPr>
          </w:p>
        </w:tc>
        <w:tc>
          <w:tcPr>
            <w:tcW w:w="471" w:type="pct"/>
          </w:tcPr>
          <w:p w14:paraId="480A98E9" w14:textId="77777777" w:rsidR="007D057B" w:rsidRPr="00211C8B" w:rsidRDefault="007D057B" w:rsidP="007D057B">
            <w:pPr>
              <w:pStyle w:val="TableText0"/>
              <w:jc w:val="center"/>
              <w:rPr>
                <w:b/>
                <w:iCs/>
                <w:color w:val="000000" w:themeColor="text1"/>
              </w:rPr>
            </w:pPr>
            <w:r w:rsidRPr="00211C8B">
              <w:rPr>
                <w:b/>
                <w:iCs/>
                <w:color w:val="000000" w:themeColor="text1"/>
              </w:rPr>
              <w:t>Cycle 2</w:t>
            </w:r>
          </w:p>
        </w:tc>
        <w:tc>
          <w:tcPr>
            <w:tcW w:w="1149" w:type="pct"/>
            <w:vAlign w:val="center"/>
          </w:tcPr>
          <w:p w14:paraId="5998F853" w14:textId="77777777" w:rsidR="007D057B" w:rsidRPr="003014B3" w:rsidRDefault="007D057B" w:rsidP="007D057B">
            <w:pPr>
              <w:pStyle w:val="TableText0"/>
              <w:jc w:val="center"/>
              <w:rPr>
                <w:b/>
                <w:iCs/>
              </w:rPr>
            </w:pPr>
            <w:r w:rsidRPr="003014B3">
              <w:rPr>
                <w:b/>
                <w:iCs/>
              </w:rPr>
              <w:t>9/38</w:t>
            </w:r>
            <w:r w:rsidRPr="003014B3">
              <w:rPr>
                <w:b/>
                <w:iCs/>
                <w:vertAlign w:val="superscript"/>
              </w:rPr>
              <w:t>(a)</w:t>
            </w:r>
            <w:r w:rsidRPr="003014B3">
              <w:rPr>
                <w:b/>
                <w:iCs/>
              </w:rPr>
              <w:t xml:space="preserve"> (23.7%)</w:t>
            </w:r>
          </w:p>
        </w:tc>
        <w:tc>
          <w:tcPr>
            <w:tcW w:w="856" w:type="pct"/>
            <w:vAlign w:val="center"/>
          </w:tcPr>
          <w:p w14:paraId="5C7B69DC" w14:textId="77777777" w:rsidR="007D057B" w:rsidRPr="003014B3" w:rsidRDefault="007D057B" w:rsidP="007D057B">
            <w:pPr>
              <w:pStyle w:val="TableText0"/>
              <w:jc w:val="center"/>
              <w:rPr>
                <w:b/>
                <w:iCs/>
              </w:rPr>
            </w:pPr>
            <w:r w:rsidRPr="003014B3">
              <w:rPr>
                <w:b/>
                <w:iCs/>
              </w:rPr>
              <w:t>22/72</w:t>
            </w:r>
            <w:r w:rsidRPr="003014B3">
              <w:rPr>
                <w:b/>
                <w:iCs/>
                <w:vertAlign w:val="superscript"/>
              </w:rPr>
              <w:t>(a)</w:t>
            </w:r>
            <w:r w:rsidRPr="003014B3">
              <w:rPr>
                <w:b/>
                <w:iCs/>
              </w:rPr>
              <w:t xml:space="preserve"> (30.6%)</w:t>
            </w:r>
          </w:p>
        </w:tc>
        <w:tc>
          <w:tcPr>
            <w:tcW w:w="841" w:type="pct"/>
            <w:vAlign w:val="center"/>
          </w:tcPr>
          <w:p w14:paraId="0598F15F" w14:textId="77777777" w:rsidR="007D057B" w:rsidRPr="003014B3" w:rsidRDefault="007D057B" w:rsidP="007D057B">
            <w:pPr>
              <w:pStyle w:val="TableText0"/>
              <w:jc w:val="center"/>
              <w:rPr>
                <w:b/>
                <w:iCs/>
              </w:rPr>
            </w:pPr>
            <w:r w:rsidRPr="003014B3">
              <w:rPr>
                <w:b/>
                <w:iCs/>
              </w:rPr>
              <w:t>1.29 (0.66, 2.52)</w:t>
            </w:r>
          </w:p>
        </w:tc>
        <w:tc>
          <w:tcPr>
            <w:tcW w:w="820" w:type="pct"/>
            <w:vAlign w:val="center"/>
          </w:tcPr>
          <w:p w14:paraId="577071D2" w14:textId="77777777" w:rsidR="007D057B" w:rsidRPr="003014B3" w:rsidRDefault="007D057B" w:rsidP="007D057B">
            <w:pPr>
              <w:pStyle w:val="TableText0"/>
              <w:jc w:val="center"/>
              <w:rPr>
                <w:b/>
                <w:iCs/>
              </w:rPr>
            </w:pPr>
            <w:r w:rsidRPr="003014B3">
              <w:rPr>
                <w:b/>
                <w:iCs/>
              </w:rPr>
              <w:t>0.069</w:t>
            </w:r>
          </w:p>
        </w:tc>
      </w:tr>
      <w:tr w:rsidR="00BF01BC" w:rsidRPr="00211C8B" w14:paraId="3E2217A9" w14:textId="77777777" w:rsidTr="009569D5">
        <w:tc>
          <w:tcPr>
            <w:tcW w:w="863" w:type="pct"/>
            <w:vMerge w:val="restart"/>
          </w:tcPr>
          <w:p w14:paraId="0C34D6D0" w14:textId="77777777" w:rsidR="00BF01BC" w:rsidRPr="00211C8B" w:rsidRDefault="00BF01BC" w:rsidP="00A6538B">
            <w:pPr>
              <w:pStyle w:val="TableText0"/>
              <w:rPr>
                <w:color w:val="000000" w:themeColor="text1"/>
              </w:rPr>
            </w:pPr>
            <w:r w:rsidRPr="00211C8B">
              <w:rPr>
                <w:color w:val="000000" w:themeColor="text1"/>
                <w:szCs w:val="20"/>
                <w:lang w:eastAsia="zh-CN"/>
              </w:rPr>
              <w:t>NCT01687712</w:t>
            </w:r>
          </w:p>
        </w:tc>
        <w:tc>
          <w:tcPr>
            <w:tcW w:w="471" w:type="pct"/>
          </w:tcPr>
          <w:p w14:paraId="6221A654" w14:textId="77777777" w:rsidR="00BF01BC" w:rsidRPr="00211C8B" w:rsidRDefault="00BF01BC" w:rsidP="00A6538B">
            <w:pPr>
              <w:pStyle w:val="TableText0"/>
              <w:jc w:val="center"/>
              <w:rPr>
                <w:color w:val="000000" w:themeColor="text1"/>
              </w:rPr>
            </w:pPr>
            <w:r w:rsidRPr="00211C8B">
              <w:rPr>
                <w:color w:val="000000" w:themeColor="text1"/>
              </w:rPr>
              <w:t>Cycle 1</w:t>
            </w:r>
          </w:p>
        </w:tc>
        <w:tc>
          <w:tcPr>
            <w:tcW w:w="1149" w:type="pct"/>
            <w:vAlign w:val="center"/>
          </w:tcPr>
          <w:p w14:paraId="3FF6CA45" w14:textId="77777777" w:rsidR="00BF01BC" w:rsidRPr="00211C8B" w:rsidRDefault="00BF01BC" w:rsidP="00A6538B">
            <w:pPr>
              <w:pStyle w:val="TableText0"/>
              <w:jc w:val="center"/>
              <w:rPr>
                <w:color w:val="000000" w:themeColor="text1"/>
              </w:rPr>
            </w:pPr>
            <w:r w:rsidRPr="00211C8B">
              <w:rPr>
                <w:color w:val="000000" w:themeColor="text1"/>
              </w:rPr>
              <w:t>122/551 (22.1%)</w:t>
            </w:r>
          </w:p>
        </w:tc>
        <w:tc>
          <w:tcPr>
            <w:tcW w:w="856" w:type="pct"/>
            <w:vAlign w:val="center"/>
          </w:tcPr>
          <w:p w14:paraId="79BA862A" w14:textId="77777777" w:rsidR="00BF01BC" w:rsidRPr="00211C8B" w:rsidRDefault="00BF01BC" w:rsidP="00A6538B">
            <w:pPr>
              <w:pStyle w:val="TableText0"/>
              <w:jc w:val="center"/>
              <w:rPr>
                <w:color w:val="000000" w:themeColor="text1"/>
              </w:rPr>
            </w:pPr>
            <w:r w:rsidRPr="00211C8B">
              <w:rPr>
                <w:color w:val="000000" w:themeColor="text1"/>
              </w:rPr>
              <w:t>101/549 (18.4%)</w:t>
            </w:r>
          </w:p>
        </w:tc>
        <w:tc>
          <w:tcPr>
            <w:tcW w:w="841" w:type="pct"/>
            <w:vAlign w:val="center"/>
          </w:tcPr>
          <w:p w14:paraId="03B9F5F1" w14:textId="77777777" w:rsidR="00BF01BC" w:rsidRPr="00211C8B" w:rsidRDefault="00BF01BC" w:rsidP="00A6538B">
            <w:pPr>
              <w:pStyle w:val="TableText0"/>
              <w:jc w:val="center"/>
              <w:rPr>
                <w:color w:val="000000" w:themeColor="text1"/>
              </w:rPr>
            </w:pPr>
            <w:r w:rsidRPr="00211C8B">
              <w:rPr>
                <w:color w:val="000000" w:themeColor="text1"/>
              </w:rPr>
              <w:t>0.83 (0.66, 1.05)</w:t>
            </w:r>
          </w:p>
        </w:tc>
        <w:tc>
          <w:tcPr>
            <w:tcW w:w="820" w:type="pct"/>
            <w:vAlign w:val="center"/>
          </w:tcPr>
          <w:p w14:paraId="101CDB9F" w14:textId="77777777" w:rsidR="00BF01BC" w:rsidRPr="00211C8B" w:rsidRDefault="00BF01BC" w:rsidP="00A6538B">
            <w:pPr>
              <w:pStyle w:val="TableText0"/>
              <w:jc w:val="center"/>
              <w:rPr>
                <w:color w:val="000000" w:themeColor="text1"/>
              </w:rPr>
            </w:pPr>
            <w:r w:rsidRPr="00211C8B">
              <w:rPr>
                <w:color w:val="000000" w:themeColor="text1"/>
              </w:rPr>
              <w:t>-0.04</w:t>
            </w:r>
          </w:p>
        </w:tc>
      </w:tr>
      <w:tr w:rsidR="00BF01BC" w:rsidRPr="00211C8B" w14:paraId="6D42A8F2" w14:textId="77777777" w:rsidTr="009569D5">
        <w:tc>
          <w:tcPr>
            <w:tcW w:w="863" w:type="pct"/>
            <w:vMerge/>
          </w:tcPr>
          <w:p w14:paraId="3CF29160" w14:textId="77777777" w:rsidR="00BF01BC" w:rsidRPr="00211C8B" w:rsidRDefault="00BF01BC" w:rsidP="00A6538B">
            <w:pPr>
              <w:pStyle w:val="TableText0"/>
              <w:rPr>
                <w:color w:val="000000" w:themeColor="text1"/>
              </w:rPr>
            </w:pPr>
          </w:p>
        </w:tc>
        <w:tc>
          <w:tcPr>
            <w:tcW w:w="471" w:type="pct"/>
          </w:tcPr>
          <w:p w14:paraId="40BFE7B1" w14:textId="77777777" w:rsidR="00BF01BC" w:rsidRPr="00211C8B" w:rsidRDefault="00BF01BC" w:rsidP="00A6538B">
            <w:pPr>
              <w:pStyle w:val="TableText0"/>
              <w:jc w:val="center"/>
              <w:rPr>
                <w:iCs/>
                <w:color w:val="000000" w:themeColor="text1"/>
              </w:rPr>
            </w:pPr>
            <w:r w:rsidRPr="00211C8B">
              <w:rPr>
                <w:iCs/>
                <w:color w:val="000000" w:themeColor="text1"/>
              </w:rPr>
              <w:t>Cycle 2</w:t>
            </w:r>
          </w:p>
        </w:tc>
        <w:tc>
          <w:tcPr>
            <w:tcW w:w="1149" w:type="pct"/>
            <w:vAlign w:val="center"/>
          </w:tcPr>
          <w:p w14:paraId="1D2846A6" w14:textId="77777777" w:rsidR="00BF01BC" w:rsidRPr="00211C8B" w:rsidRDefault="00BF01BC" w:rsidP="00A6538B">
            <w:pPr>
              <w:pStyle w:val="TableText0"/>
              <w:jc w:val="center"/>
              <w:rPr>
                <w:iCs/>
                <w:color w:val="000000" w:themeColor="text1"/>
              </w:rPr>
            </w:pPr>
            <w:r w:rsidRPr="00211C8B">
              <w:rPr>
                <w:iCs/>
                <w:color w:val="000000" w:themeColor="text1"/>
              </w:rPr>
              <w:t>25/120 (20.8%)</w:t>
            </w:r>
          </w:p>
        </w:tc>
        <w:tc>
          <w:tcPr>
            <w:tcW w:w="856" w:type="pct"/>
            <w:vAlign w:val="center"/>
          </w:tcPr>
          <w:p w14:paraId="2D2AFD83" w14:textId="77777777" w:rsidR="00BF01BC" w:rsidRPr="00211C8B" w:rsidRDefault="00BF01BC" w:rsidP="00A6538B">
            <w:pPr>
              <w:pStyle w:val="TableText0"/>
              <w:jc w:val="center"/>
              <w:rPr>
                <w:iCs/>
                <w:color w:val="000000" w:themeColor="text1"/>
              </w:rPr>
            </w:pPr>
            <w:r w:rsidRPr="00211C8B">
              <w:rPr>
                <w:iCs/>
                <w:color w:val="000000" w:themeColor="text1"/>
              </w:rPr>
              <w:t>16/109 (14.7%)</w:t>
            </w:r>
          </w:p>
        </w:tc>
        <w:tc>
          <w:tcPr>
            <w:tcW w:w="841" w:type="pct"/>
            <w:vAlign w:val="center"/>
          </w:tcPr>
          <w:p w14:paraId="654C4EB3" w14:textId="77777777" w:rsidR="00BF01BC" w:rsidRPr="00211C8B" w:rsidRDefault="00BF01BC" w:rsidP="00A6538B">
            <w:pPr>
              <w:pStyle w:val="TableText0"/>
              <w:jc w:val="center"/>
              <w:rPr>
                <w:iCs/>
                <w:color w:val="000000" w:themeColor="text1"/>
              </w:rPr>
            </w:pPr>
            <w:r w:rsidRPr="00211C8B">
              <w:rPr>
                <w:iCs/>
                <w:color w:val="000000" w:themeColor="text1"/>
              </w:rPr>
              <w:t>0.70 (0.40, 1.25)</w:t>
            </w:r>
          </w:p>
        </w:tc>
        <w:tc>
          <w:tcPr>
            <w:tcW w:w="820" w:type="pct"/>
            <w:vAlign w:val="center"/>
          </w:tcPr>
          <w:p w14:paraId="3B740723" w14:textId="77777777" w:rsidR="00BF01BC" w:rsidRPr="00211C8B" w:rsidRDefault="00BF01BC" w:rsidP="00A6538B">
            <w:pPr>
              <w:pStyle w:val="TableText0"/>
              <w:jc w:val="center"/>
              <w:rPr>
                <w:iCs/>
                <w:color w:val="000000" w:themeColor="text1"/>
              </w:rPr>
            </w:pPr>
            <w:r w:rsidRPr="00211C8B">
              <w:rPr>
                <w:iCs/>
                <w:color w:val="000000" w:themeColor="text1"/>
              </w:rPr>
              <w:t>-6.1</w:t>
            </w:r>
          </w:p>
        </w:tc>
      </w:tr>
      <w:tr w:rsidR="00BF01BC" w:rsidRPr="00211C8B" w14:paraId="015BFC3A" w14:textId="77777777" w:rsidTr="009569D5">
        <w:tc>
          <w:tcPr>
            <w:tcW w:w="863" w:type="pct"/>
            <w:vMerge/>
            <w:vAlign w:val="center"/>
          </w:tcPr>
          <w:p w14:paraId="315846F3" w14:textId="77777777" w:rsidR="00BF01BC" w:rsidRPr="00211C8B" w:rsidRDefault="00BF01BC" w:rsidP="00A6538B">
            <w:pPr>
              <w:pStyle w:val="TableText0"/>
              <w:rPr>
                <w:color w:val="000000" w:themeColor="text1"/>
              </w:rPr>
            </w:pPr>
          </w:p>
        </w:tc>
        <w:tc>
          <w:tcPr>
            <w:tcW w:w="471" w:type="pct"/>
          </w:tcPr>
          <w:p w14:paraId="22A695A5" w14:textId="77777777" w:rsidR="00BF01BC" w:rsidRPr="00211C8B" w:rsidRDefault="00BF01BC" w:rsidP="00A6538B">
            <w:pPr>
              <w:pStyle w:val="TableText0"/>
              <w:jc w:val="center"/>
              <w:rPr>
                <w:iCs/>
                <w:color w:val="000000" w:themeColor="text1"/>
              </w:rPr>
            </w:pPr>
            <w:r w:rsidRPr="00211C8B">
              <w:rPr>
                <w:iCs/>
                <w:color w:val="000000" w:themeColor="text1"/>
              </w:rPr>
              <w:t>Cycle 3</w:t>
            </w:r>
          </w:p>
        </w:tc>
        <w:tc>
          <w:tcPr>
            <w:tcW w:w="1149" w:type="pct"/>
            <w:vAlign w:val="center"/>
          </w:tcPr>
          <w:p w14:paraId="6BC7ABB6" w14:textId="77777777" w:rsidR="00BF01BC" w:rsidRPr="00211C8B" w:rsidRDefault="00BF01BC" w:rsidP="00A6538B">
            <w:pPr>
              <w:pStyle w:val="TableText0"/>
              <w:jc w:val="center"/>
              <w:rPr>
                <w:iCs/>
                <w:color w:val="000000" w:themeColor="text1"/>
              </w:rPr>
            </w:pPr>
            <w:r w:rsidRPr="00211C8B">
              <w:rPr>
                <w:iCs/>
                <w:color w:val="000000" w:themeColor="text1"/>
              </w:rPr>
              <w:t>0/24 (0.0%)</w:t>
            </w:r>
          </w:p>
        </w:tc>
        <w:tc>
          <w:tcPr>
            <w:tcW w:w="856" w:type="pct"/>
            <w:vAlign w:val="center"/>
          </w:tcPr>
          <w:p w14:paraId="66135DF9" w14:textId="77777777" w:rsidR="00BF01BC" w:rsidRPr="00211C8B" w:rsidRDefault="00BF01BC" w:rsidP="00A6538B">
            <w:pPr>
              <w:pStyle w:val="TableText0"/>
              <w:jc w:val="center"/>
              <w:rPr>
                <w:iCs/>
                <w:color w:val="000000" w:themeColor="text1"/>
              </w:rPr>
            </w:pPr>
            <w:r w:rsidRPr="00211C8B">
              <w:rPr>
                <w:iCs/>
                <w:color w:val="000000" w:themeColor="text1"/>
              </w:rPr>
              <w:t>4/28 (14.3%)</w:t>
            </w:r>
          </w:p>
        </w:tc>
        <w:tc>
          <w:tcPr>
            <w:tcW w:w="841" w:type="pct"/>
            <w:vAlign w:val="center"/>
          </w:tcPr>
          <w:p w14:paraId="10091937" w14:textId="77777777" w:rsidR="00BF01BC" w:rsidRPr="00211C8B" w:rsidRDefault="00BF01BC" w:rsidP="00A6538B">
            <w:pPr>
              <w:pStyle w:val="TableText0"/>
              <w:jc w:val="center"/>
              <w:rPr>
                <w:iCs/>
                <w:color w:val="000000" w:themeColor="text1"/>
              </w:rPr>
            </w:pPr>
            <w:r w:rsidRPr="00211C8B">
              <w:rPr>
                <w:iCs/>
                <w:color w:val="000000" w:themeColor="text1"/>
              </w:rPr>
              <w:t>6.81 (0.38, 121)</w:t>
            </w:r>
          </w:p>
        </w:tc>
        <w:tc>
          <w:tcPr>
            <w:tcW w:w="820" w:type="pct"/>
            <w:vAlign w:val="center"/>
          </w:tcPr>
          <w:p w14:paraId="4818FAD8" w14:textId="77777777" w:rsidR="00BF01BC" w:rsidRPr="00211C8B" w:rsidRDefault="00BF01BC" w:rsidP="00A6538B">
            <w:pPr>
              <w:pStyle w:val="TableText0"/>
              <w:jc w:val="center"/>
              <w:rPr>
                <w:iCs/>
                <w:color w:val="000000" w:themeColor="text1"/>
              </w:rPr>
            </w:pPr>
            <w:r w:rsidRPr="00211C8B">
              <w:rPr>
                <w:iCs/>
                <w:color w:val="000000" w:themeColor="text1"/>
              </w:rPr>
              <w:t>0.14</w:t>
            </w:r>
          </w:p>
        </w:tc>
      </w:tr>
      <w:tr w:rsidR="00BF01BC" w:rsidRPr="00211C8B" w14:paraId="1AF03476" w14:textId="77777777" w:rsidTr="009569D5">
        <w:tc>
          <w:tcPr>
            <w:tcW w:w="5000" w:type="pct"/>
            <w:gridSpan w:val="6"/>
            <w:vAlign w:val="center"/>
          </w:tcPr>
          <w:p w14:paraId="40E7E2AF" w14:textId="77777777" w:rsidR="00BF01BC" w:rsidRPr="00211C8B" w:rsidRDefault="00907340" w:rsidP="00A6538B">
            <w:pPr>
              <w:pStyle w:val="TableText0"/>
              <w:rPr>
                <w:color w:val="000000" w:themeColor="text1"/>
              </w:rPr>
            </w:pPr>
            <w:r w:rsidRPr="00211C8B">
              <w:rPr>
                <w:rFonts w:cs="Arial"/>
                <w:b/>
                <w:bCs w:val="0"/>
                <w:color w:val="000000" w:themeColor="text1"/>
                <w:szCs w:val="20"/>
                <w:lang w:eastAsia="zh-CN"/>
              </w:rPr>
              <w:t>Gonal-f</w:t>
            </w:r>
            <w:r w:rsidR="00BF01BC" w:rsidRPr="00211C8B">
              <w:rPr>
                <w:rFonts w:cs="Arial"/>
                <w:b/>
                <w:bCs w:val="0"/>
                <w:color w:val="000000" w:themeColor="text1"/>
                <w:szCs w:val="20"/>
                <w:lang w:eastAsia="zh-CN"/>
              </w:rPr>
              <w:t xml:space="preserve"> vs Ovaleap</w:t>
            </w:r>
          </w:p>
        </w:tc>
      </w:tr>
      <w:tr w:rsidR="00BF01BC" w:rsidRPr="00211C8B" w14:paraId="7BD2D360" w14:textId="77777777" w:rsidTr="009569D5">
        <w:tc>
          <w:tcPr>
            <w:tcW w:w="863" w:type="pct"/>
          </w:tcPr>
          <w:p w14:paraId="0C194C7E" w14:textId="77777777" w:rsidR="00BF01BC" w:rsidRPr="00211C8B" w:rsidRDefault="00BF01BC" w:rsidP="00A6538B">
            <w:pPr>
              <w:pStyle w:val="TableText0"/>
              <w:rPr>
                <w:color w:val="000000" w:themeColor="text1"/>
                <w:szCs w:val="20"/>
                <w:lang w:eastAsia="zh-CN"/>
              </w:rPr>
            </w:pPr>
            <w:r w:rsidRPr="00211C8B">
              <w:rPr>
                <w:color w:val="000000" w:themeColor="text1"/>
                <w:szCs w:val="20"/>
                <w:lang w:eastAsia="zh-CN"/>
              </w:rPr>
              <w:t>ISRCTN74772901</w:t>
            </w:r>
          </w:p>
        </w:tc>
        <w:tc>
          <w:tcPr>
            <w:tcW w:w="471" w:type="pct"/>
          </w:tcPr>
          <w:p w14:paraId="41982509" w14:textId="77777777" w:rsidR="00BF01BC" w:rsidRPr="00211C8B" w:rsidRDefault="00BF01BC" w:rsidP="00A6538B">
            <w:pPr>
              <w:pStyle w:val="TableText0"/>
              <w:jc w:val="center"/>
              <w:rPr>
                <w:color w:val="000000" w:themeColor="text1"/>
              </w:rPr>
            </w:pPr>
            <w:r w:rsidRPr="00211C8B">
              <w:rPr>
                <w:color w:val="000000" w:themeColor="text1"/>
              </w:rPr>
              <w:t>Cycle 1</w:t>
            </w:r>
          </w:p>
        </w:tc>
        <w:tc>
          <w:tcPr>
            <w:tcW w:w="1149" w:type="pct"/>
            <w:vAlign w:val="center"/>
          </w:tcPr>
          <w:p w14:paraId="04D1AB02" w14:textId="77777777" w:rsidR="00BF01BC" w:rsidRPr="00211C8B" w:rsidRDefault="00BF01BC" w:rsidP="00A6538B">
            <w:pPr>
              <w:pStyle w:val="TableText0"/>
              <w:jc w:val="center"/>
              <w:rPr>
                <w:color w:val="000000" w:themeColor="text1"/>
              </w:rPr>
            </w:pPr>
            <w:r w:rsidRPr="00211C8B">
              <w:rPr>
                <w:color w:val="000000" w:themeColor="text1"/>
              </w:rPr>
              <w:t>47/146 (32.2%)</w:t>
            </w:r>
          </w:p>
        </w:tc>
        <w:tc>
          <w:tcPr>
            <w:tcW w:w="856" w:type="pct"/>
            <w:vAlign w:val="center"/>
          </w:tcPr>
          <w:p w14:paraId="7A9A0BF1" w14:textId="77777777" w:rsidR="00BF01BC" w:rsidRPr="00211C8B" w:rsidRDefault="00BF01BC" w:rsidP="00A6538B">
            <w:pPr>
              <w:pStyle w:val="TableText0"/>
              <w:jc w:val="center"/>
              <w:rPr>
                <w:color w:val="000000" w:themeColor="text1"/>
              </w:rPr>
            </w:pPr>
            <w:r w:rsidRPr="00211C8B">
              <w:rPr>
                <w:color w:val="000000" w:themeColor="text1"/>
              </w:rPr>
              <w:t>41/153 (26.8%)</w:t>
            </w:r>
          </w:p>
        </w:tc>
        <w:tc>
          <w:tcPr>
            <w:tcW w:w="841" w:type="pct"/>
            <w:vAlign w:val="center"/>
          </w:tcPr>
          <w:p w14:paraId="02C920CE" w14:textId="77777777" w:rsidR="00BF01BC" w:rsidRPr="00211C8B" w:rsidRDefault="00BF01BC" w:rsidP="00A6538B">
            <w:pPr>
              <w:pStyle w:val="TableText0"/>
              <w:jc w:val="center"/>
              <w:rPr>
                <w:color w:val="000000" w:themeColor="text1"/>
              </w:rPr>
            </w:pPr>
            <w:r w:rsidRPr="00211C8B">
              <w:rPr>
                <w:color w:val="000000" w:themeColor="text1"/>
              </w:rPr>
              <w:t>0.83 (0.58, 1.18)</w:t>
            </w:r>
          </w:p>
        </w:tc>
        <w:tc>
          <w:tcPr>
            <w:tcW w:w="820" w:type="pct"/>
            <w:vAlign w:val="center"/>
          </w:tcPr>
          <w:p w14:paraId="78FC22E0" w14:textId="77777777" w:rsidR="00BF01BC" w:rsidRPr="00211C8B" w:rsidRDefault="00BF01BC" w:rsidP="00A6538B">
            <w:pPr>
              <w:pStyle w:val="TableText0"/>
              <w:jc w:val="center"/>
              <w:rPr>
                <w:color w:val="000000" w:themeColor="text1"/>
              </w:rPr>
            </w:pPr>
            <w:r w:rsidRPr="00211C8B">
              <w:rPr>
                <w:color w:val="000000" w:themeColor="text1"/>
              </w:rPr>
              <w:t>-0.05</w:t>
            </w:r>
          </w:p>
        </w:tc>
      </w:tr>
      <w:tr w:rsidR="00BF01BC" w:rsidRPr="00211C8B" w14:paraId="4E6585A2" w14:textId="77777777" w:rsidTr="009569D5">
        <w:tc>
          <w:tcPr>
            <w:tcW w:w="5000" w:type="pct"/>
            <w:gridSpan w:val="6"/>
            <w:vAlign w:val="center"/>
          </w:tcPr>
          <w:p w14:paraId="6203FF49" w14:textId="77777777" w:rsidR="00BF01BC" w:rsidRPr="00211C8B" w:rsidRDefault="00907340" w:rsidP="009569D5">
            <w:pPr>
              <w:pStyle w:val="TableText0"/>
              <w:rPr>
                <w:color w:val="000000" w:themeColor="text1"/>
              </w:rPr>
            </w:pPr>
            <w:r w:rsidRPr="00211C8B">
              <w:rPr>
                <w:rFonts w:cs="Arial"/>
                <w:b/>
                <w:bCs w:val="0"/>
                <w:color w:val="000000" w:themeColor="text1"/>
                <w:szCs w:val="20"/>
                <w:lang w:eastAsia="zh-CN"/>
              </w:rPr>
              <w:t>Gonal-f</w:t>
            </w:r>
            <w:r w:rsidR="00BF01BC" w:rsidRPr="00211C8B">
              <w:rPr>
                <w:rFonts w:cs="Arial"/>
                <w:b/>
                <w:bCs w:val="0"/>
                <w:color w:val="000000" w:themeColor="text1"/>
                <w:szCs w:val="20"/>
                <w:lang w:eastAsia="zh-CN"/>
              </w:rPr>
              <w:t xml:space="preserve"> vs </w:t>
            </w:r>
            <w:r w:rsidR="00BF01BC" w:rsidRPr="00211C8B">
              <w:rPr>
                <w:b/>
                <w:bCs w:val="0"/>
                <w:color w:val="000000" w:themeColor="text1"/>
                <w:szCs w:val="20"/>
              </w:rPr>
              <w:t>Primapur</w:t>
            </w:r>
          </w:p>
        </w:tc>
      </w:tr>
      <w:tr w:rsidR="00BF01BC" w:rsidRPr="00211C8B" w14:paraId="7ED86509" w14:textId="77777777" w:rsidTr="009569D5">
        <w:tc>
          <w:tcPr>
            <w:tcW w:w="863" w:type="pct"/>
            <w:vAlign w:val="center"/>
          </w:tcPr>
          <w:p w14:paraId="27C48A32" w14:textId="77777777" w:rsidR="00BF01BC" w:rsidRPr="00211C8B" w:rsidRDefault="00BF01BC" w:rsidP="009569D5">
            <w:pPr>
              <w:pStyle w:val="TableText0"/>
              <w:rPr>
                <w:color w:val="000000" w:themeColor="text1"/>
              </w:rPr>
            </w:pPr>
            <w:r w:rsidRPr="00211C8B">
              <w:rPr>
                <w:color w:val="000000" w:themeColor="text1"/>
                <w:szCs w:val="20"/>
                <w:lang w:eastAsia="zh-CN"/>
              </w:rPr>
              <w:t>NCT03088137</w:t>
            </w:r>
          </w:p>
        </w:tc>
        <w:tc>
          <w:tcPr>
            <w:tcW w:w="471" w:type="pct"/>
          </w:tcPr>
          <w:p w14:paraId="39F65AAF" w14:textId="77777777" w:rsidR="00BF01BC" w:rsidRPr="00211C8B" w:rsidRDefault="00BF01BC" w:rsidP="009569D5">
            <w:pPr>
              <w:pStyle w:val="TableText0"/>
              <w:jc w:val="center"/>
              <w:rPr>
                <w:color w:val="000000" w:themeColor="text1"/>
              </w:rPr>
            </w:pPr>
            <w:r w:rsidRPr="00211C8B">
              <w:rPr>
                <w:color w:val="000000" w:themeColor="text1"/>
              </w:rPr>
              <w:t>Cycle 1</w:t>
            </w:r>
          </w:p>
        </w:tc>
        <w:tc>
          <w:tcPr>
            <w:tcW w:w="1149" w:type="pct"/>
            <w:vAlign w:val="center"/>
          </w:tcPr>
          <w:p w14:paraId="3B01C018" w14:textId="77777777" w:rsidR="00BF01BC" w:rsidRPr="00211C8B" w:rsidRDefault="00BF01BC" w:rsidP="009569D5">
            <w:pPr>
              <w:pStyle w:val="TableText0"/>
              <w:jc w:val="center"/>
              <w:rPr>
                <w:color w:val="000000" w:themeColor="text1"/>
              </w:rPr>
            </w:pPr>
            <w:r w:rsidRPr="00211C8B">
              <w:rPr>
                <w:color w:val="000000" w:themeColor="text1"/>
              </w:rPr>
              <w:t>12/55 (21.8%)</w:t>
            </w:r>
          </w:p>
        </w:tc>
        <w:tc>
          <w:tcPr>
            <w:tcW w:w="856" w:type="pct"/>
            <w:vAlign w:val="center"/>
          </w:tcPr>
          <w:p w14:paraId="4D332E5C" w14:textId="77777777" w:rsidR="00BF01BC" w:rsidRPr="00211C8B" w:rsidRDefault="00BF01BC" w:rsidP="009569D5">
            <w:pPr>
              <w:pStyle w:val="TableText0"/>
              <w:jc w:val="center"/>
              <w:rPr>
                <w:color w:val="000000" w:themeColor="text1"/>
              </w:rPr>
            </w:pPr>
            <w:r w:rsidRPr="00211C8B">
              <w:rPr>
                <w:color w:val="000000" w:themeColor="text1"/>
              </w:rPr>
              <w:t>13/55 (23.6%)</w:t>
            </w:r>
          </w:p>
        </w:tc>
        <w:tc>
          <w:tcPr>
            <w:tcW w:w="841" w:type="pct"/>
            <w:vAlign w:val="center"/>
          </w:tcPr>
          <w:p w14:paraId="3F8670DD" w14:textId="77777777" w:rsidR="00BF01BC" w:rsidRPr="00211C8B" w:rsidRDefault="00BF01BC" w:rsidP="009569D5">
            <w:pPr>
              <w:pStyle w:val="TableText0"/>
              <w:jc w:val="center"/>
              <w:rPr>
                <w:color w:val="000000" w:themeColor="text1"/>
              </w:rPr>
            </w:pPr>
            <w:r w:rsidRPr="00211C8B">
              <w:rPr>
                <w:color w:val="000000" w:themeColor="text1"/>
              </w:rPr>
              <w:t>1.08 (0.54, 2.16)</w:t>
            </w:r>
          </w:p>
        </w:tc>
        <w:tc>
          <w:tcPr>
            <w:tcW w:w="820" w:type="pct"/>
            <w:vAlign w:val="center"/>
          </w:tcPr>
          <w:p w14:paraId="23A4A847" w14:textId="77777777" w:rsidR="00BF01BC" w:rsidRPr="00211C8B" w:rsidRDefault="00BF01BC" w:rsidP="009569D5">
            <w:pPr>
              <w:pStyle w:val="TableText0"/>
              <w:jc w:val="center"/>
              <w:rPr>
                <w:color w:val="000000" w:themeColor="text1"/>
              </w:rPr>
            </w:pPr>
            <w:r w:rsidRPr="00211C8B">
              <w:rPr>
                <w:color w:val="000000" w:themeColor="text1"/>
              </w:rPr>
              <w:t>0.02</w:t>
            </w:r>
          </w:p>
        </w:tc>
      </w:tr>
      <w:tr w:rsidR="00BF01BC" w:rsidRPr="00211C8B" w14:paraId="44B624B5" w14:textId="77777777" w:rsidTr="009569D5">
        <w:tc>
          <w:tcPr>
            <w:tcW w:w="5000" w:type="pct"/>
            <w:gridSpan w:val="6"/>
            <w:vAlign w:val="center"/>
          </w:tcPr>
          <w:p w14:paraId="4EA901C8" w14:textId="77777777" w:rsidR="00BF01BC" w:rsidRPr="00211C8B" w:rsidRDefault="00907340" w:rsidP="009569D5">
            <w:pPr>
              <w:pStyle w:val="TableText0"/>
              <w:rPr>
                <w:color w:val="000000" w:themeColor="text1"/>
              </w:rPr>
            </w:pPr>
            <w:r w:rsidRPr="00211C8B">
              <w:rPr>
                <w:rFonts w:cs="Arial"/>
                <w:b/>
                <w:bCs w:val="0"/>
                <w:color w:val="000000" w:themeColor="text1"/>
                <w:szCs w:val="20"/>
                <w:lang w:eastAsia="zh-CN"/>
              </w:rPr>
              <w:t>Gonal-f</w:t>
            </w:r>
            <w:r w:rsidR="00BF01BC" w:rsidRPr="00211C8B">
              <w:rPr>
                <w:rFonts w:cs="Arial"/>
                <w:b/>
                <w:bCs w:val="0"/>
                <w:color w:val="000000" w:themeColor="text1"/>
                <w:szCs w:val="20"/>
                <w:lang w:eastAsia="zh-CN"/>
              </w:rPr>
              <w:t xml:space="preserve"> vs </w:t>
            </w:r>
            <w:r w:rsidR="00BF01BC" w:rsidRPr="00211C8B">
              <w:rPr>
                <w:b/>
                <w:color w:val="000000" w:themeColor="text1"/>
                <w:kern w:val="24"/>
              </w:rPr>
              <w:t>Follitrope</w:t>
            </w:r>
          </w:p>
        </w:tc>
      </w:tr>
      <w:tr w:rsidR="00BF01BC" w:rsidRPr="00211C8B" w14:paraId="1338FEE6" w14:textId="77777777" w:rsidTr="009569D5">
        <w:tc>
          <w:tcPr>
            <w:tcW w:w="863" w:type="pct"/>
            <w:vAlign w:val="center"/>
          </w:tcPr>
          <w:p w14:paraId="1AAAFF6F" w14:textId="77777777" w:rsidR="00BF01BC" w:rsidRPr="00211C8B" w:rsidRDefault="00BF01BC" w:rsidP="009569D5">
            <w:pPr>
              <w:pStyle w:val="TableText0"/>
              <w:rPr>
                <w:color w:val="000000" w:themeColor="text1"/>
              </w:rPr>
            </w:pPr>
            <w:r w:rsidRPr="00211C8B">
              <w:rPr>
                <w:color w:val="000000" w:themeColor="text1"/>
                <w:szCs w:val="20"/>
                <w:lang w:eastAsia="zh-CN"/>
              </w:rPr>
              <w:t>NCT03506243</w:t>
            </w:r>
          </w:p>
        </w:tc>
        <w:tc>
          <w:tcPr>
            <w:tcW w:w="471" w:type="pct"/>
          </w:tcPr>
          <w:p w14:paraId="2D160A56" w14:textId="77777777" w:rsidR="00BF01BC" w:rsidRPr="00211C8B" w:rsidRDefault="00BF01BC" w:rsidP="009569D5">
            <w:pPr>
              <w:pStyle w:val="TableText0"/>
              <w:jc w:val="center"/>
              <w:rPr>
                <w:color w:val="000000" w:themeColor="text1"/>
              </w:rPr>
            </w:pPr>
            <w:r w:rsidRPr="00211C8B">
              <w:rPr>
                <w:color w:val="000000" w:themeColor="text1"/>
              </w:rPr>
              <w:t>Cycle 1</w:t>
            </w:r>
          </w:p>
        </w:tc>
        <w:tc>
          <w:tcPr>
            <w:tcW w:w="1149" w:type="pct"/>
            <w:vAlign w:val="center"/>
          </w:tcPr>
          <w:p w14:paraId="419743E2" w14:textId="77777777" w:rsidR="00BF01BC" w:rsidRPr="00211C8B" w:rsidRDefault="00BF01BC" w:rsidP="009569D5">
            <w:pPr>
              <w:pStyle w:val="TableText0"/>
              <w:jc w:val="center"/>
              <w:rPr>
                <w:color w:val="000000" w:themeColor="text1"/>
              </w:rPr>
            </w:pPr>
            <w:r w:rsidRPr="00211C8B">
              <w:rPr>
                <w:color w:val="000000" w:themeColor="text1"/>
              </w:rPr>
              <w:t>NR</w:t>
            </w:r>
          </w:p>
        </w:tc>
        <w:tc>
          <w:tcPr>
            <w:tcW w:w="856" w:type="pct"/>
            <w:vAlign w:val="center"/>
          </w:tcPr>
          <w:p w14:paraId="6314093F" w14:textId="77777777" w:rsidR="00BF01BC" w:rsidRPr="00211C8B" w:rsidRDefault="00BF01BC" w:rsidP="009569D5">
            <w:pPr>
              <w:pStyle w:val="TableText0"/>
              <w:jc w:val="center"/>
              <w:rPr>
                <w:color w:val="000000" w:themeColor="text1"/>
              </w:rPr>
            </w:pPr>
            <w:r w:rsidRPr="00211C8B">
              <w:rPr>
                <w:color w:val="000000" w:themeColor="text1"/>
              </w:rPr>
              <w:t>NR</w:t>
            </w:r>
          </w:p>
        </w:tc>
        <w:tc>
          <w:tcPr>
            <w:tcW w:w="841" w:type="pct"/>
            <w:vAlign w:val="center"/>
          </w:tcPr>
          <w:p w14:paraId="12B38F0E" w14:textId="77777777" w:rsidR="00BF01BC" w:rsidRPr="00211C8B" w:rsidRDefault="00BF01BC" w:rsidP="009569D5">
            <w:pPr>
              <w:pStyle w:val="TableText0"/>
              <w:jc w:val="center"/>
              <w:rPr>
                <w:color w:val="000000" w:themeColor="text1"/>
              </w:rPr>
            </w:pPr>
            <w:r w:rsidRPr="00211C8B">
              <w:rPr>
                <w:color w:val="000000" w:themeColor="text1"/>
              </w:rPr>
              <w:t>NR</w:t>
            </w:r>
          </w:p>
        </w:tc>
        <w:tc>
          <w:tcPr>
            <w:tcW w:w="820" w:type="pct"/>
            <w:vAlign w:val="center"/>
          </w:tcPr>
          <w:p w14:paraId="0D83C569" w14:textId="77777777" w:rsidR="00BF01BC" w:rsidRPr="00211C8B" w:rsidRDefault="00BF01BC" w:rsidP="009569D5">
            <w:pPr>
              <w:pStyle w:val="TableText0"/>
              <w:jc w:val="center"/>
              <w:rPr>
                <w:color w:val="000000" w:themeColor="text1"/>
              </w:rPr>
            </w:pPr>
            <w:r w:rsidRPr="00211C8B">
              <w:rPr>
                <w:color w:val="000000" w:themeColor="text1"/>
              </w:rPr>
              <w:t>NR</w:t>
            </w:r>
          </w:p>
        </w:tc>
      </w:tr>
    </w:tbl>
    <w:p w14:paraId="0C978869" w14:textId="77777777" w:rsidR="005B553A" w:rsidRPr="00211C8B" w:rsidRDefault="005B553A" w:rsidP="009D4C0F">
      <w:pPr>
        <w:pStyle w:val="TableFigureFooter"/>
      </w:pPr>
      <w:r w:rsidRPr="00211C8B">
        <w:t>Source: compiled during evaluation using supplementary Table 4 of Chua et al. 2021 meta-analysis and the five RCT papers</w:t>
      </w:r>
    </w:p>
    <w:p w14:paraId="2C58E93B" w14:textId="77777777" w:rsidR="009D4C0F" w:rsidRPr="00211C8B" w:rsidRDefault="009D4C0F" w:rsidP="009D4C0F">
      <w:pPr>
        <w:pStyle w:val="TableFigureFooter"/>
      </w:pPr>
      <w:r w:rsidRPr="00211C8B" w:rsidDel="001522CF">
        <w:t>CI = confidence interval</w:t>
      </w:r>
      <w:r w:rsidR="00C95670" w:rsidRPr="00211C8B">
        <w:t xml:space="preserve">; </w:t>
      </w:r>
      <w:r w:rsidR="00C519B5" w:rsidRPr="00211C8B">
        <w:t xml:space="preserve">NR = not reported </w:t>
      </w:r>
    </w:p>
    <w:p w14:paraId="69F8420A" w14:textId="77777777" w:rsidR="007A1987" w:rsidRPr="00211C8B" w:rsidRDefault="0062063F" w:rsidP="005E4CB2">
      <w:pPr>
        <w:pStyle w:val="TableFigureFooter"/>
      </w:pPr>
      <w:r w:rsidRPr="00211C8B">
        <w:rPr>
          <w:vertAlign w:val="superscript"/>
        </w:rPr>
        <w:t>(a)</w:t>
      </w:r>
      <w:r w:rsidRPr="00211C8B">
        <w:t xml:space="preserve"> </w:t>
      </w:r>
      <w:r w:rsidR="00A6538B" w:rsidRPr="00211C8B">
        <w:t>per protocol sample sizes were used</w:t>
      </w:r>
      <w:r w:rsidR="007D057B" w:rsidRPr="00211C8B">
        <w:t xml:space="preserve">, </w:t>
      </w:r>
      <w:r w:rsidR="007D057B" w:rsidRPr="003014B3">
        <w:t>corrected in ESC advice</w:t>
      </w:r>
      <w:r w:rsidR="00A6538B" w:rsidRPr="003014B3">
        <w:t>.</w:t>
      </w:r>
    </w:p>
    <w:p w14:paraId="740A7004" w14:textId="77777777" w:rsidR="00BF01BC" w:rsidRPr="00BE674F" w:rsidRDefault="00BF01BC" w:rsidP="00943FFD">
      <w:pPr>
        <w:pStyle w:val="3-BodyText"/>
      </w:pPr>
      <w:r w:rsidRPr="00211C8B">
        <w:t xml:space="preserve">Table </w:t>
      </w:r>
      <w:r w:rsidR="00642627" w:rsidRPr="00211C8B">
        <w:t>7</w:t>
      </w:r>
      <w:r w:rsidRPr="00211C8B">
        <w:t xml:space="preserve"> presents the number of oocytes retrieved by cycle across the </w:t>
      </w:r>
      <w:r w:rsidR="00C4230B">
        <w:t>trials</w:t>
      </w:r>
      <w:r w:rsidRPr="00211C8B">
        <w:t xml:space="preserve">. This outcome was not reported in the submission </w:t>
      </w:r>
      <w:r w:rsidRPr="00BA79F2">
        <w:rPr>
          <w:iCs/>
        </w:rPr>
        <w:t xml:space="preserve">but </w:t>
      </w:r>
      <w:r w:rsidR="00DF2CE1" w:rsidRPr="00BA79F2">
        <w:rPr>
          <w:iCs/>
        </w:rPr>
        <w:t xml:space="preserve">was reported in the Chua et al. (2021) </w:t>
      </w:r>
      <w:r w:rsidR="00BE674F">
        <w:rPr>
          <w:iCs/>
        </w:rPr>
        <w:t>meta-</w:t>
      </w:r>
      <w:r w:rsidR="00DF2CE1" w:rsidRPr="00E24CC4">
        <w:rPr>
          <w:iCs/>
        </w:rPr>
        <w:t>analysis</w:t>
      </w:r>
      <w:r w:rsidRPr="00BE674F">
        <w:rPr>
          <w:iCs/>
        </w:rPr>
        <w:t>.</w:t>
      </w:r>
      <w:r w:rsidRPr="00BE674F">
        <w:t xml:space="preserve"> </w:t>
      </w:r>
      <w:r w:rsidR="00BE674F">
        <w:t>The PBAC noted that o</w:t>
      </w:r>
      <w:r w:rsidRPr="00BE674F">
        <w:t xml:space="preserve">ne randomised </w:t>
      </w:r>
      <w:r w:rsidR="00C4230B">
        <w:t>trial</w:t>
      </w:r>
      <w:r w:rsidRPr="00BE674F">
        <w:t xml:space="preserve"> found a significantly greater number of oocytes retrieved in the </w:t>
      </w:r>
      <w:r w:rsidR="00AB7AC1">
        <w:t>first</w:t>
      </w:r>
      <w:r w:rsidR="00AB7AC1" w:rsidRPr="00BE674F">
        <w:t xml:space="preserve"> </w:t>
      </w:r>
      <w:r w:rsidRPr="00BE674F">
        <w:t xml:space="preserve">cycle of treatment for the biosimilar comparator (Follitrope) compared with </w:t>
      </w:r>
      <w:r w:rsidR="00907340" w:rsidRPr="00BE674F">
        <w:t>Gonal-f</w:t>
      </w:r>
      <w:r w:rsidR="00BE674F">
        <w:t>, and that o</w:t>
      </w:r>
      <w:r w:rsidR="00D661E8" w:rsidRPr="00BE674F">
        <w:t>therwise,</w:t>
      </w:r>
      <w:r w:rsidRPr="00BE674F">
        <w:t xml:space="preserve"> there was no </w:t>
      </w:r>
      <w:r w:rsidR="00817931">
        <w:t>clinically relevant</w:t>
      </w:r>
      <w:r w:rsidR="00817931" w:rsidRPr="00BE674F">
        <w:t xml:space="preserve"> </w:t>
      </w:r>
      <w:r w:rsidRPr="00BE674F">
        <w:t xml:space="preserve">difference found in number of oocytes retrieved for </w:t>
      </w:r>
      <w:r w:rsidR="00907340" w:rsidRPr="00BE674F">
        <w:t>Gonal-f</w:t>
      </w:r>
      <w:r w:rsidRPr="005A791F">
        <w:t xml:space="preserve"> versus the biosimilar compa</w:t>
      </w:r>
      <w:r w:rsidRPr="009B38D8">
        <w:t xml:space="preserve">rators of follitropin alfa for either the </w:t>
      </w:r>
      <w:r w:rsidR="001A7F2F">
        <w:t>first</w:t>
      </w:r>
      <w:r w:rsidR="001A7F2F" w:rsidRPr="009B38D8">
        <w:t xml:space="preserve"> </w:t>
      </w:r>
      <w:r w:rsidRPr="009B38D8">
        <w:t>or subsequent cycles of treatment.</w:t>
      </w:r>
    </w:p>
    <w:p w14:paraId="4F78495B" w14:textId="77777777" w:rsidR="005A791F" w:rsidRDefault="005A791F" w:rsidP="00E24CC4">
      <w:pPr>
        <w:pStyle w:val="TableFigureHeading"/>
      </w:pPr>
      <w:r>
        <w:t xml:space="preserve">Table </w:t>
      </w:r>
      <w:r w:rsidR="00360359">
        <w:rPr>
          <w:noProof/>
        </w:rPr>
        <w:t>7</w:t>
      </w:r>
      <w:r>
        <w:t xml:space="preserve">: </w:t>
      </w:r>
      <w:r w:rsidRPr="002378DC">
        <w:t xml:space="preserve">Results of number of oocytes retrieved across the </w:t>
      </w:r>
      <w:r w:rsidR="00C4230B">
        <w:t>trials</w:t>
      </w:r>
      <w:r w:rsidRPr="002378DC">
        <w:t>: continuous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Results of number of oocytes retrieved across the trials: continuous data"/>
        <w:tblDescription w:val="Results of number of oocytes retrieved across the trials: continuous data"/>
      </w:tblPr>
      <w:tblGrid>
        <w:gridCol w:w="1411"/>
        <w:gridCol w:w="783"/>
        <w:gridCol w:w="2243"/>
        <w:gridCol w:w="2005"/>
        <w:gridCol w:w="2575"/>
      </w:tblGrid>
      <w:tr w:rsidR="003C708A" w:rsidRPr="00211C8B" w14:paraId="2AC5FBF1" w14:textId="77777777" w:rsidTr="006E0426">
        <w:tc>
          <w:tcPr>
            <w:tcW w:w="782" w:type="pct"/>
            <w:vAlign w:val="center"/>
          </w:tcPr>
          <w:p w14:paraId="54A3044B" w14:textId="77777777" w:rsidR="00BF01BC" w:rsidRPr="005A791F" w:rsidRDefault="00BF01BC" w:rsidP="00BF01BC">
            <w:pPr>
              <w:pStyle w:val="TableText0"/>
              <w:rPr>
                <w:b/>
                <w:bCs w:val="0"/>
                <w:iCs/>
              </w:rPr>
            </w:pPr>
            <w:r w:rsidRPr="005A791F">
              <w:rPr>
                <w:b/>
                <w:bCs w:val="0"/>
                <w:iCs/>
              </w:rPr>
              <w:t>Trial ID</w:t>
            </w:r>
          </w:p>
        </w:tc>
        <w:tc>
          <w:tcPr>
            <w:tcW w:w="434" w:type="pct"/>
            <w:vAlign w:val="center"/>
          </w:tcPr>
          <w:p w14:paraId="0CE8A217" w14:textId="77777777" w:rsidR="00BF01BC" w:rsidRPr="005A791F" w:rsidRDefault="00BF01BC" w:rsidP="00A6538B">
            <w:pPr>
              <w:pStyle w:val="TableText0"/>
              <w:rPr>
                <w:b/>
                <w:bCs w:val="0"/>
                <w:iCs/>
              </w:rPr>
            </w:pPr>
            <w:r w:rsidRPr="005A791F">
              <w:rPr>
                <w:b/>
                <w:bCs w:val="0"/>
                <w:iCs/>
              </w:rPr>
              <w:t>Cycle</w:t>
            </w:r>
          </w:p>
        </w:tc>
        <w:tc>
          <w:tcPr>
            <w:tcW w:w="1244" w:type="pct"/>
            <w:vAlign w:val="center"/>
          </w:tcPr>
          <w:p w14:paraId="539F14F6" w14:textId="77777777" w:rsidR="00BF01BC" w:rsidRPr="00F10F43" w:rsidRDefault="00907340" w:rsidP="00A6538B">
            <w:pPr>
              <w:pStyle w:val="TableText0"/>
              <w:rPr>
                <w:b/>
                <w:bCs w:val="0"/>
                <w:iCs/>
              </w:rPr>
            </w:pPr>
            <w:r w:rsidRPr="009B38D8">
              <w:rPr>
                <w:b/>
                <w:bCs w:val="0"/>
                <w:iCs/>
              </w:rPr>
              <w:t>Gonal-f</w:t>
            </w:r>
            <w:r w:rsidR="00BF01BC" w:rsidRPr="009B38D8">
              <w:rPr>
                <w:b/>
                <w:bCs w:val="0"/>
                <w:iCs/>
              </w:rPr>
              <w:t>, mean (SD)</w:t>
            </w:r>
          </w:p>
        </w:tc>
        <w:tc>
          <w:tcPr>
            <w:tcW w:w="1112" w:type="pct"/>
            <w:vAlign w:val="center"/>
          </w:tcPr>
          <w:p w14:paraId="18F3FB95" w14:textId="77777777" w:rsidR="00BF01BC" w:rsidRPr="00211C8B" w:rsidRDefault="00BF01BC" w:rsidP="00A6538B">
            <w:pPr>
              <w:pStyle w:val="TableText0"/>
              <w:rPr>
                <w:b/>
                <w:bCs w:val="0"/>
                <w:iCs/>
              </w:rPr>
            </w:pPr>
            <w:r w:rsidRPr="00211C8B">
              <w:rPr>
                <w:b/>
                <w:bCs w:val="0"/>
                <w:iCs/>
              </w:rPr>
              <w:t>Biosimilar preparations, mean (SD)</w:t>
            </w:r>
          </w:p>
        </w:tc>
        <w:tc>
          <w:tcPr>
            <w:tcW w:w="1428" w:type="pct"/>
            <w:vAlign w:val="center"/>
          </w:tcPr>
          <w:p w14:paraId="63075147" w14:textId="77777777" w:rsidR="00BF01BC" w:rsidRPr="00211C8B" w:rsidRDefault="00BF01BC" w:rsidP="00BF01BC">
            <w:pPr>
              <w:pStyle w:val="TableText0"/>
              <w:rPr>
                <w:b/>
                <w:bCs w:val="0"/>
                <w:iCs/>
              </w:rPr>
            </w:pPr>
            <w:r w:rsidRPr="00211C8B">
              <w:rPr>
                <w:b/>
                <w:bCs w:val="0"/>
                <w:iCs/>
              </w:rPr>
              <w:t xml:space="preserve">Mean difference (Biosimilar preparations </w:t>
            </w:r>
            <w:r w:rsidR="00907340" w:rsidRPr="00211C8B">
              <w:rPr>
                <w:b/>
                <w:bCs w:val="0"/>
                <w:iCs/>
              </w:rPr>
              <w:t>Gonal-f</w:t>
            </w:r>
            <w:r w:rsidRPr="00211C8B">
              <w:rPr>
                <w:b/>
                <w:bCs w:val="0"/>
                <w:iCs/>
              </w:rPr>
              <w:t>), 95% CI</w:t>
            </w:r>
          </w:p>
        </w:tc>
      </w:tr>
      <w:tr w:rsidR="00BF01BC" w:rsidRPr="00211C8B" w14:paraId="40BBBF9B" w14:textId="77777777" w:rsidTr="006E0426">
        <w:tc>
          <w:tcPr>
            <w:tcW w:w="3572" w:type="pct"/>
            <w:gridSpan w:val="4"/>
            <w:vAlign w:val="center"/>
          </w:tcPr>
          <w:p w14:paraId="085F1CA7" w14:textId="77777777" w:rsidR="00BF01BC" w:rsidRPr="00211C8B" w:rsidRDefault="00907340" w:rsidP="009569D5">
            <w:pPr>
              <w:pStyle w:val="TableText0"/>
              <w:rPr>
                <w:iCs/>
                <w:color w:val="000000" w:themeColor="text1"/>
              </w:rPr>
            </w:pPr>
            <w:r w:rsidRPr="00211C8B">
              <w:rPr>
                <w:rFonts w:cs="Arial"/>
                <w:b/>
                <w:bCs w:val="0"/>
                <w:iCs/>
                <w:color w:val="000000" w:themeColor="text1"/>
                <w:szCs w:val="20"/>
                <w:lang w:eastAsia="zh-CN"/>
              </w:rPr>
              <w:t>Gonal-f</w:t>
            </w:r>
            <w:r w:rsidR="00BF01BC" w:rsidRPr="00211C8B">
              <w:rPr>
                <w:rFonts w:cs="Arial"/>
                <w:b/>
                <w:bCs w:val="0"/>
                <w:iCs/>
                <w:color w:val="000000" w:themeColor="text1"/>
                <w:szCs w:val="20"/>
                <w:lang w:eastAsia="zh-CN"/>
              </w:rPr>
              <w:t xml:space="preserve"> vs Bemfola</w:t>
            </w:r>
          </w:p>
        </w:tc>
        <w:tc>
          <w:tcPr>
            <w:tcW w:w="1428" w:type="pct"/>
          </w:tcPr>
          <w:p w14:paraId="43DAECD0" w14:textId="77777777" w:rsidR="00BF01BC" w:rsidRPr="00211C8B" w:rsidRDefault="00BF01BC" w:rsidP="009569D5">
            <w:pPr>
              <w:pStyle w:val="TableText0"/>
              <w:rPr>
                <w:rFonts w:cs="Arial"/>
                <w:b/>
                <w:bCs w:val="0"/>
                <w:iCs/>
                <w:color w:val="000000" w:themeColor="text1"/>
                <w:szCs w:val="20"/>
                <w:lang w:eastAsia="zh-CN"/>
              </w:rPr>
            </w:pPr>
          </w:p>
        </w:tc>
      </w:tr>
      <w:tr w:rsidR="003C708A" w:rsidRPr="00211C8B" w14:paraId="1329E7E1" w14:textId="77777777" w:rsidTr="006E0426">
        <w:tc>
          <w:tcPr>
            <w:tcW w:w="782" w:type="pct"/>
            <w:vMerge w:val="restart"/>
          </w:tcPr>
          <w:p w14:paraId="7DB26131" w14:textId="77777777" w:rsidR="00BF01BC" w:rsidRPr="00211C8B" w:rsidRDefault="00BF01BC" w:rsidP="009569D5">
            <w:pPr>
              <w:pStyle w:val="TableText0"/>
              <w:rPr>
                <w:iCs/>
              </w:rPr>
            </w:pPr>
            <w:r w:rsidRPr="00211C8B">
              <w:rPr>
                <w:iCs/>
              </w:rPr>
              <w:t>NCT01121666</w:t>
            </w:r>
          </w:p>
        </w:tc>
        <w:tc>
          <w:tcPr>
            <w:tcW w:w="434" w:type="pct"/>
          </w:tcPr>
          <w:p w14:paraId="3F47845F" w14:textId="77777777" w:rsidR="00BF01BC" w:rsidRPr="00211C8B" w:rsidRDefault="00BF01BC" w:rsidP="009569D5">
            <w:pPr>
              <w:pStyle w:val="TableText0"/>
              <w:jc w:val="center"/>
              <w:rPr>
                <w:iCs/>
              </w:rPr>
            </w:pPr>
            <w:r w:rsidRPr="00211C8B">
              <w:rPr>
                <w:iCs/>
              </w:rPr>
              <w:t>Cycle 1</w:t>
            </w:r>
          </w:p>
        </w:tc>
        <w:tc>
          <w:tcPr>
            <w:tcW w:w="1244" w:type="pct"/>
            <w:vAlign w:val="center"/>
          </w:tcPr>
          <w:p w14:paraId="35ADF5D2" w14:textId="77777777" w:rsidR="00BF01BC" w:rsidRPr="00211C8B" w:rsidRDefault="00BF01BC" w:rsidP="009569D5">
            <w:pPr>
              <w:pStyle w:val="TableText0"/>
              <w:jc w:val="center"/>
              <w:rPr>
                <w:iCs/>
                <w:color w:val="000000" w:themeColor="text1"/>
              </w:rPr>
            </w:pPr>
            <w:r w:rsidRPr="00211C8B">
              <w:rPr>
                <w:iCs/>
                <w:color w:val="000000" w:themeColor="text1"/>
              </w:rPr>
              <w:t>10.4 (6.14)</w:t>
            </w:r>
          </w:p>
        </w:tc>
        <w:tc>
          <w:tcPr>
            <w:tcW w:w="1112" w:type="pct"/>
            <w:vAlign w:val="center"/>
          </w:tcPr>
          <w:p w14:paraId="6DBC53CD" w14:textId="77777777" w:rsidR="00BF01BC" w:rsidRPr="00211C8B" w:rsidRDefault="00BF01BC" w:rsidP="009569D5">
            <w:pPr>
              <w:pStyle w:val="TableText0"/>
              <w:jc w:val="center"/>
              <w:rPr>
                <w:iCs/>
                <w:color w:val="000000" w:themeColor="text1"/>
              </w:rPr>
            </w:pPr>
            <w:r w:rsidRPr="00211C8B">
              <w:rPr>
                <w:iCs/>
                <w:color w:val="000000" w:themeColor="text1"/>
              </w:rPr>
              <w:t>10.7 (5.62)</w:t>
            </w:r>
          </w:p>
        </w:tc>
        <w:tc>
          <w:tcPr>
            <w:tcW w:w="1428" w:type="pct"/>
          </w:tcPr>
          <w:p w14:paraId="6CE7C97E" w14:textId="77777777" w:rsidR="00BF01BC" w:rsidRPr="00211C8B" w:rsidRDefault="00BF01BC" w:rsidP="009569D5">
            <w:pPr>
              <w:pStyle w:val="TableText0"/>
              <w:jc w:val="center"/>
              <w:rPr>
                <w:iCs/>
                <w:color w:val="000000" w:themeColor="text1"/>
              </w:rPr>
            </w:pPr>
            <w:r w:rsidRPr="00211C8B">
              <w:rPr>
                <w:iCs/>
                <w:color w:val="000000" w:themeColor="text1"/>
              </w:rPr>
              <w:t>0.30 (-1.00, 1.60)</w:t>
            </w:r>
          </w:p>
        </w:tc>
      </w:tr>
      <w:tr w:rsidR="003C708A" w:rsidRPr="00211C8B" w14:paraId="5BD6FB6B" w14:textId="77777777" w:rsidTr="006E0426">
        <w:tc>
          <w:tcPr>
            <w:tcW w:w="782" w:type="pct"/>
            <w:vMerge/>
          </w:tcPr>
          <w:p w14:paraId="49B15504" w14:textId="77777777" w:rsidR="00BF01BC" w:rsidRPr="00211C8B" w:rsidRDefault="00BF01BC" w:rsidP="009569D5">
            <w:pPr>
              <w:pStyle w:val="TableText0"/>
              <w:rPr>
                <w:iCs/>
              </w:rPr>
            </w:pPr>
          </w:p>
        </w:tc>
        <w:tc>
          <w:tcPr>
            <w:tcW w:w="434" w:type="pct"/>
          </w:tcPr>
          <w:p w14:paraId="33174FB9" w14:textId="77777777" w:rsidR="00BF01BC" w:rsidRPr="00211C8B" w:rsidRDefault="00BF01BC" w:rsidP="009569D5">
            <w:pPr>
              <w:pStyle w:val="TableText0"/>
              <w:jc w:val="center"/>
              <w:rPr>
                <w:iCs/>
              </w:rPr>
            </w:pPr>
            <w:r w:rsidRPr="00211C8B">
              <w:rPr>
                <w:iCs/>
              </w:rPr>
              <w:t>Cycle 2</w:t>
            </w:r>
          </w:p>
        </w:tc>
        <w:tc>
          <w:tcPr>
            <w:tcW w:w="1244" w:type="pct"/>
            <w:vAlign w:val="center"/>
          </w:tcPr>
          <w:p w14:paraId="205A3ACF" w14:textId="77777777" w:rsidR="00BF01BC" w:rsidRPr="00211C8B" w:rsidRDefault="00BF01BC" w:rsidP="009569D5">
            <w:pPr>
              <w:pStyle w:val="TableText0"/>
              <w:jc w:val="center"/>
              <w:rPr>
                <w:iCs/>
                <w:color w:val="000000" w:themeColor="text1"/>
              </w:rPr>
            </w:pPr>
            <w:r w:rsidRPr="00211C8B">
              <w:rPr>
                <w:iCs/>
                <w:color w:val="000000" w:themeColor="text1"/>
              </w:rPr>
              <w:t>10.1 (5.3)</w:t>
            </w:r>
          </w:p>
        </w:tc>
        <w:tc>
          <w:tcPr>
            <w:tcW w:w="1112" w:type="pct"/>
            <w:vAlign w:val="center"/>
          </w:tcPr>
          <w:p w14:paraId="408EDF6E" w14:textId="77777777" w:rsidR="00BF01BC" w:rsidRPr="00211C8B" w:rsidRDefault="00BF01BC" w:rsidP="009569D5">
            <w:pPr>
              <w:pStyle w:val="TableText0"/>
              <w:jc w:val="center"/>
              <w:rPr>
                <w:iCs/>
                <w:color w:val="000000" w:themeColor="text1"/>
              </w:rPr>
            </w:pPr>
            <w:r w:rsidRPr="00211C8B">
              <w:rPr>
                <w:iCs/>
                <w:color w:val="000000" w:themeColor="text1"/>
              </w:rPr>
              <w:t>10.4 (4.2)</w:t>
            </w:r>
          </w:p>
        </w:tc>
        <w:tc>
          <w:tcPr>
            <w:tcW w:w="1428" w:type="pct"/>
          </w:tcPr>
          <w:p w14:paraId="441E5CB2" w14:textId="77777777" w:rsidR="00BF01BC" w:rsidRPr="00211C8B" w:rsidRDefault="00BF01BC" w:rsidP="009569D5">
            <w:pPr>
              <w:pStyle w:val="TableText0"/>
              <w:jc w:val="center"/>
              <w:rPr>
                <w:iCs/>
                <w:color w:val="000000" w:themeColor="text1"/>
              </w:rPr>
            </w:pPr>
            <w:r w:rsidRPr="00211C8B">
              <w:rPr>
                <w:iCs/>
                <w:color w:val="000000" w:themeColor="text1"/>
              </w:rPr>
              <w:t>0.30 (-1.12, 1.72)</w:t>
            </w:r>
          </w:p>
        </w:tc>
      </w:tr>
      <w:tr w:rsidR="003C708A" w:rsidRPr="00211C8B" w14:paraId="4883D939" w14:textId="77777777" w:rsidTr="006E0426">
        <w:tc>
          <w:tcPr>
            <w:tcW w:w="782" w:type="pct"/>
          </w:tcPr>
          <w:p w14:paraId="61782125" w14:textId="77777777" w:rsidR="00BF01BC" w:rsidRPr="00211C8B" w:rsidRDefault="00BF01BC" w:rsidP="009569D5">
            <w:pPr>
              <w:pStyle w:val="TableText0"/>
              <w:rPr>
                <w:iCs/>
              </w:rPr>
            </w:pPr>
            <w:r w:rsidRPr="00211C8B">
              <w:rPr>
                <w:iCs/>
              </w:rPr>
              <w:t>NCT03088137</w:t>
            </w:r>
          </w:p>
        </w:tc>
        <w:tc>
          <w:tcPr>
            <w:tcW w:w="434" w:type="pct"/>
          </w:tcPr>
          <w:p w14:paraId="589C6A26" w14:textId="77777777" w:rsidR="00BF01BC" w:rsidRPr="00211C8B" w:rsidRDefault="00BF01BC" w:rsidP="009569D5">
            <w:pPr>
              <w:pStyle w:val="TableText0"/>
              <w:jc w:val="center"/>
              <w:rPr>
                <w:iCs/>
              </w:rPr>
            </w:pPr>
            <w:r w:rsidRPr="00211C8B">
              <w:rPr>
                <w:iCs/>
              </w:rPr>
              <w:t>Cycle 1</w:t>
            </w:r>
          </w:p>
        </w:tc>
        <w:tc>
          <w:tcPr>
            <w:tcW w:w="1244" w:type="pct"/>
            <w:vAlign w:val="center"/>
          </w:tcPr>
          <w:p w14:paraId="03A10841" w14:textId="77777777" w:rsidR="00BF01BC" w:rsidRPr="00211C8B" w:rsidRDefault="00BF01BC" w:rsidP="009569D5">
            <w:pPr>
              <w:pStyle w:val="TableText0"/>
              <w:jc w:val="center"/>
              <w:rPr>
                <w:iCs/>
                <w:color w:val="000000" w:themeColor="text1"/>
              </w:rPr>
            </w:pPr>
            <w:r w:rsidRPr="00211C8B">
              <w:rPr>
                <w:iCs/>
                <w:color w:val="000000" w:themeColor="text1"/>
              </w:rPr>
              <w:t>11.62 (6.29)</w:t>
            </w:r>
          </w:p>
        </w:tc>
        <w:tc>
          <w:tcPr>
            <w:tcW w:w="1112" w:type="pct"/>
            <w:vAlign w:val="center"/>
          </w:tcPr>
          <w:p w14:paraId="53C64DEC" w14:textId="77777777" w:rsidR="00BF01BC" w:rsidRPr="00211C8B" w:rsidRDefault="00BF01BC" w:rsidP="009569D5">
            <w:pPr>
              <w:pStyle w:val="TableText0"/>
              <w:jc w:val="center"/>
              <w:rPr>
                <w:iCs/>
                <w:color w:val="000000" w:themeColor="text1"/>
              </w:rPr>
            </w:pPr>
            <w:r w:rsidRPr="00211C8B">
              <w:rPr>
                <w:iCs/>
                <w:color w:val="000000" w:themeColor="text1"/>
              </w:rPr>
              <w:t>12.16 (7.28)</w:t>
            </w:r>
          </w:p>
        </w:tc>
        <w:tc>
          <w:tcPr>
            <w:tcW w:w="1428" w:type="pct"/>
          </w:tcPr>
          <w:p w14:paraId="79A84C4B" w14:textId="77777777" w:rsidR="00BF01BC" w:rsidRPr="00211C8B" w:rsidRDefault="00BF01BC" w:rsidP="009569D5">
            <w:pPr>
              <w:pStyle w:val="TableText0"/>
              <w:jc w:val="center"/>
              <w:rPr>
                <w:iCs/>
                <w:color w:val="000000" w:themeColor="text1"/>
              </w:rPr>
            </w:pPr>
            <w:r w:rsidRPr="00211C8B">
              <w:rPr>
                <w:iCs/>
                <w:color w:val="000000" w:themeColor="text1"/>
              </w:rPr>
              <w:t>0.54 (-2.06, 3.14)</w:t>
            </w:r>
          </w:p>
        </w:tc>
      </w:tr>
      <w:tr w:rsidR="00BF01BC" w:rsidRPr="00211C8B" w14:paraId="5686623D" w14:textId="77777777" w:rsidTr="006E0426">
        <w:tc>
          <w:tcPr>
            <w:tcW w:w="3572" w:type="pct"/>
            <w:gridSpan w:val="4"/>
          </w:tcPr>
          <w:p w14:paraId="053142D7" w14:textId="77777777" w:rsidR="00BF01BC" w:rsidRPr="00211C8B" w:rsidRDefault="00907340" w:rsidP="009569D5">
            <w:pPr>
              <w:pStyle w:val="TableText0"/>
              <w:rPr>
                <w:iCs/>
                <w:color w:val="000000" w:themeColor="text1"/>
              </w:rPr>
            </w:pPr>
            <w:r w:rsidRPr="00211C8B">
              <w:rPr>
                <w:rFonts w:cs="Arial"/>
                <w:b/>
                <w:bCs w:val="0"/>
                <w:iCs/>
                <w:color w:val="000000" w:themeColor="text1"/>
                <w:szCs w:val="20"/>
                <w:lang w:eastAsia="zh-CN"/>
              </w:rPr>
              <w:t>Gonal-f</w:t>
            </w:r>
            <w:r w:rsidR="00BF01BC" w:rsidRPr="00211C8B">
              <w:rPr>
                <w:rFonts w:cs="Arial"/>
                <w:b/>
                <w:bCs w:val="0"/>
                <w:iCs/>
                <w:color w:val="000000" w:themeColor="text1"/>
                <w:szCs w:val="20"/>
                <w:lang w:eastAsia="zh-CN"/>
              </w:rPr>
              <w:t xml:space="preserve"> vs Ovaleap</w:t>
            </w:r>
          </w:p>
        </w:tc>
        <w:tc>
          <w:tcPr>
            <w:tcW w:w="1428" w:type="pct"/>
          </w:tcPr>
          <w:p w14:paraId="4DDDF17F" w14:textId="77777777" w:rsidR="00BF01BC" w:rsidRPr="00211C8B" w:rsidRDefault="00BF01BC" w:rsidP="009569D5">
            <w:pPr>
              <w:pStyle w:val="TableText0"/>
              <w:rPr>
                <w:b/>
                <w:iCs/>
                <w:color w:val="000000" w:themeColor="text1"/>
              </w:rPr>
            </w:pPr>
          </w:p>
        </w:tc>
      </w:tr>
      <w:tr w:rsidR="003C708A" w:rsidRPr="00211C8B" w14:paraId="6ECC1E7E" w14:textId="77777777" w:rsidTr="006E0426">
        <w:tc>
          <w:tcPr>
            <w:tcW w:w="782" w:type="pct"/>
          </w:tcPr>
          <w:p w14:paraId="7C739479" w14:textId="77777777" w:rsidR="00BF01BC" w:rsidRPr="00211C8B" w:rsidRDefault="00BF01BC" w:rsidP="009569D5">
            <w:pPr>
              <w:pStyle w:val="TableText0"/>
              <w:rPr>
                <w:iCs/>
              </w:rPr>
            </w:pPr>
            <w:r w:rsidRPr="00211C8B">
              <w:rPr>
                <w:iCs/>
              </w:rPr>
              <w:t>ISRCTN74772901</w:t>
            </w:r>
          </w:p>
        </w:tc>
        <w:tc>
          <w:tcPr>
            <w:tcW w:w="434" w:type="pct"/>
          </w:tcPr>
          <w:p w14:paraId="7913EFBF" w14:textId="77777777" w:rsidR="00BF01BC" w:rsidRPr="00211C8B" w:rsidRDefault="00BF01BC" w:rsidP="009569D5">
            <w:pPr>
              <w:pStyle w:val="TableText0"/>
              <w:jc w:val="center"/>
              <w:rPr>
                <w:iCs/>
              </w:rPr>
            </w:pPr>
            <w:r w:rsidRPr="00211C8B">
              <w:rPr>
                <w:iCs/>
              </w:rPr>
              <w:t>Cycle 1</w:t>
            </w:r>
          </w:p>
        </w:tc>
        <w:tc>
          <w:tcPr>
            <w:tcW w:w="1244" w:type="pct"/>
            <w:vAlign w:val="center"/>
          </w:tcPr>
          <w:p w14:paraId="0CE17417" w14:textId="77777777" w:rsidR="00BF01BC" w:rsidRPr="00211C8B" w:rsidRDefault="00BF01BC" w:rsidP="009569D5">
            <w:pPr>
              <w:pStyle w:val="TableText0"/>
              <w:jc w:val="center"/>
              <w:rPr>
                <w:iCs/>
                <w:color w:val="000000" w:themeColor="text1"/>
              </w:rPr>
            </w:pPr>
            <w:r w:rsidRPr="00211C8B">
              <w:rPr>
                <w:iCs/>
                <w:color w:val="000000" w:themeColor="text1"/>
              </w:rPr>
              <w:t>11.9 (6.9)</w:t>
            </w:r>
          </w:p>
        </w:tc>
        <w:tc>
          <w:tcPr>
            <w:tcW w:w="1112" w:type="pct"/>
            <w:vAlign w:val="center"/>
          </w:tcPr>
          <w:p w14:paraId="402F5A04" w14:textId="77777777" w:rsidR="00BF01BC" w:rsidRPr="00211C8B" w:rsidRDefault="00BF01BC" w:rsidP="009569D5">
            <w:pPr>
              <w:pStyle w:val="TableText0"/>
              <w:jc w:val="center"/>
              <w:rPr>
                <w:iCs/>
                <w:color w:val="000000" w:themeColor="text1"/>
              </w:rPr>
            </w:pPr>
            <w:r w:rsidRPr="00211C8B">
              <w:rPr>
                <w:iCs/>
                <w:color w:val="000000" w:themeColor="text1"/>
              </w:rPr>
              <w:t>12.2 (6.8)</w:t>
            </w:r>
          </w:p>
        </w:tc>
        <w:tc>
          <w:tcPr>
            <w:tcW w:w="1428" w:type="pct"/>
          </w:tcPr>
          <w:p w14:paraId="739D261D" w14:textId="77777777" w:rsidR="00BF01BC" w:rsidRPr="00211C8B" w:rsidRDefault="00BF01BC" w:rsidP="009569D5">
            <w:pPr>
              <w:pStyle w:val="TableText0"/>
              <w:jc w:val="center"/>
              <w:rPr>
                <w:iCs/>
                <w:color w:val="000000" w:themeColor="text1"/>
              </w:rPr>
            </w:pPr>
            <w:r w:rsidRPr="00211C8B">
              <w:rPr>
                <w:iCs/>
                <w:color w:val="000000" w:themeColor="text1"/>
              </w:rPr>
              <w:t>0.30 (-1.12, 1.87)</w:t>
            </w:r>
          </w:p>
        </w:tc>
      </w:tr>
      <w:tr w:rsidR="00BF01BC" w:rsidRPr="00211C8B" w14:paraId="4BB378C0" w14:textId="77777777" w:rsidTr="006E0426">
        <w:tc>
          <w:tcPr>
            <w:tcW w:w="3572" w:type="pct"/>
            <w:gridSpan w:val="4"/>
          </w:tcPr>
          <w:p w14:paraId="27BAC0A2" w14:textId="77777777" w:rsidR="00BF01BC" w:rsidRPr="00211C8B" w:rsidRDefault="00907340" w:rsidP="009569D5">
            <w:pPr>
              <w:pStyle w:val="TableText0"/>
              <w:rPr>
                <w:iCs/>
                <w:color w:val="000000" w:themeColor="text1"/>
              </w:rPr>
            </w:pPr>
            <w:r w:rsidRPr="00211C8B">
              <w:rPr>
                <w:rFonts w:cs="Arial"/>
                <w:b/>
                <w:bCs w:val="0"/>
                <w:iCs/>
                <w:color w:val="000000" w:themeColor="text1"/>
                <w:szCs w:val="20"/>
                <w:lang w:eastAsia="zh-CN"/>
              </w:rPr>
              <w:t>Gonal-f</w:t>
            </w:r>
            <w:r w:rsidR="00BF01BC" w:rsidRPr="00211C8B">
              <w:rPr>
                <w:rFonts w:cs="Arial"/>
                <w:b/>
                <w:bCs w:val="0"/>
                <w:iCs/>
                <w:color w:val="000000" w:themeColor="text1"/>
                <w:szCs w:val="20"/>
                <w:lang w:eastAsia="zh-CN"/>
              </w:rPr>
              <w:t xml:space="preserve"> vs </w:t>
            </w:r>
            <w:r w:rsidR="00BF01BC" w:rsidRPr="00211C8B">
              <w:rPr>
                <w:b/>
                <w:iCs/>
                <w:color w:val="000000" w:themeColor="text1"/>
                <w:kern w:val="24"/>
              </w:rPr>
              <w:t>Follitrope</w:t>
            </w:r>
          </w:p>
        </w:tc>
        <w:tc>
          <w:tcPr>
            <w:tcW w:w="1428" w:type="pct"/>
          </w:tcPr>
          <w:p w14:paraId="427CE03E" w14:textId="77777777" w:rsidR="00BF01BC" w:rsidRPr="00211C8B" w:rsidRDefault="00BF01BC" w:rsidP="009569D5">
            <w:pPr>
              <w:pStyle w:val="TableText0"/>
              <w:rPr>
                <w:b/>
                <w:iCs/>
                <w:color w:val="000000" w:themeColor="text1"/>
              </w:rPr>
            </w:pPr>
          </w:p>
        </w:tc>
      </w:tr>
      <w:tr w:rsidR="003C708A" w:rsidRPr="00211C8B" w14:paraId="46A72D63" w14:textId="77777777" w:rsidTr="006E0426">
        <w:tc>
          <w:tcPr>
            <w:tcW w:w="782" w:type="pct"/>
          </w:tcPr>
          <w:p w14:paraId="3F2C2981" w14:textId="77777777" w:rsidR="00BF01BC" w:rsidRPr="00211C8B" w:rsidRDefault="00BF01BC" w:rsidP="009569D5">
            <w:pPr>
              <w:pStyle w:val="TableText0"/>
              <w:rPr>
                <w:iCs/>
              </w:rPr>
            </w:pPr>
            <w:r w:rsidRPr="00211C8B">
              <w:rPr>
                <w:iCs/>
              </w:rPr>
              <w:t>NCT03506243</w:t>
            </w:r>
          </w:p>
        </w:tc>
        <w:tc>
          <w:tcPr>
            <w:tcW w:w="434" w:type="pct"/>
          </w:tcPr>
          <w:p w14:paraId="1C4105D8" w14:textId="77777777" w:rsidR="00BF01BC" w:rsidRPr="00211C8B" w:rsidRDefault="00BF01BC" w:rsidP="009569D5">
            <w:pPr>
              <w:pStyle w:val="TableText0"/>
              <w:jc w:val="center"/>
              <w:rPr>
                <w:iCs/>
              </w:rPr>
            </w:pPr>
            <w:r w:rsidRPr="00211C8B">
              <w:rPr>
                <w:iCs/>
              </w:rPr>
              <w:t>Cycle 1</w:t>
            </w:r>
          </w:p>
        </w:tc>
        <w:tc>
          <w:tcPr>
            <w:tcW w:w="1244" w:type="pct"/>
            <w:vAlign w:val="center"/>
          </w:tcPr>
          <w:p w14:paraId="0589E9FE" w14:textId="77777777" w:rsidR="00BF01BC" w:rsidRPr="00211C8B" w:rsidRDefault="00BF01BC" w:rsidP="009569D5">
            <w:pPr>
              <w:pStyle w:val="TableText0"/>
              <w:jc w:val="center"/>
              <w:rPr>
                <w:b/>
                <w:iCs/>
                <w:color w:val="000000" w:themeColor="text1"/>
              </w:rPr>
            </w:pPr>
            <w:r w:rsidRPr="00211C8B">
              <w:rPr>
                <w:b/>
                <w:iCs/>
                <w:color w:val="000000" w:themeColor="text1"/>
              </w:rPr>
              <w:t>12.8 (0.9)</w:t>
            </w:r>
          </w:p>
        </w:tc>
        <w:tc>
          <w:tcPr>
            <w:tcW w:w="1112" w:type="pct"/>
            <w:vAlign w:val="center"/>
          </w:tcPr>
          <w:p w14:paraId="16E2636F" w14:textId="77777777" w:rsidR="00BF01BC" w:rsidRPr="00211C8B" w:rsidRDefault="00BF01BC" w:rsidP="009569D5">
            <w:pPr>
              <w:pStyle w:val="TableText0"/>
              <w:jc w:val="center"/>
              <w:rPr>
                <w:b/>
                <w:iCs/>
                <w:color w:val="000000" w:themeColor="text1"/>
              </w:rPr>
            </w:pPr>
            <w:r w:rsidRPr="00211C8B">
              <w:rPr>
                <w:b/>
                <w:iCs/>
                <w:color w:val="000000" w:themeColor="text1"/>
              </w:rPr>
              <w:t>14.9 (0.5)</w:t>
            </w:r>
          </w:p>
        </w:tc>
        <w:tc>
          <w:tcPr>
            <w:tcW w:w="1428" w:type="pct"/>
          </w:tcPr>
          <w:p w14:paraId="060D489C" w14:textId="77777777" w:rsidR="00BF01BC" w:rsidRPr="00211C8B" w:rsidRDefault="00BF01BC" w:rsidP="009569D5">
            <w:pPr>
              <w:pStyle w:val="TableText0"/>
              <w:jc w:val="center"/>
              <w:rPr>
                <w:b/>
                <w:bCs w:val="0"/>
                <w:iCs/>
                <w:color w:val="000000" w:themeColor="text1"/>
              </w:rPr>
            </w:pPr>
            <w:r w:rsidRPr="00211C8B">
              <w:rPr>
                <w:b/>
                <w:bCs w:val="0"/>
                <w:iCs/>
                <w:color w:val="000000" w:themeColor="text1"/>
              </w:rPr>
              <w:t>2.10 (1.92, 2.28)</w:t>
            </w:r>
          </w:p>
        </w:tc>
      </w:tr>
    </w:tbl>
    <w:p w14:paraId="168508F5" w14:textId="77777777" w:rsidR="00BF01BC" w:rsidRPr="00211C8B" w:rsidDel="00255D9F" w:rsidRDefault="00BF01BC" w:rsidP="00BF01BC">
      <w:pPr>
        <w:pStyle w:val="TableFigureFooter"/>
        <w:rPr>
          <w:iCs/>
          <w:sz w:val="20"/>
        </w:rPr>
      </w:pPr>
      <w:r w:rsidRPr="00211C8B" w:rsidDel="00255D9F">
        <w:rPr>
          <w:iCs/>
        </w:rPr>
        <w:t xml:space="preserve">Source: </w:t>
      </w:r>
      <w:r w:rsidRPr="00211C8B">
        <w:rPr>
          <w:iCs/>
        </w:rPr>
        <w:t xml:space="preserve">Compiled during </w:t>
      </w:r>
      <w:r w:rsidR="004A5E5B" w:rsidRPr="00211C8B">
        <w:rPr>
          <w:iCs/>
        </w:rPr>
        <w:t xml:space="preserve">evaluation </w:t>
      </w:r>
      <w:r w:rsidRPr="00211C8B">
        <w:rPr>
          <w:iCs/>
        </w:rPr>
        <w:t>using supplementary Table 4 of Chua et al. 2021 meta-analysis and the five RCT papers</w:t>
      </w:r>
      <w:r w:rsidRPr="00211C8B" w:rsidDel="00255D9F">
        <w:rPr>
          <w:iCs/>
        </w:rPr>
        <w:t>.</w:t>
      </w:r>
    </w:p>
    <w:p w14:paraId="08B55841" w14:textId="77777777" w:rsidR="00BF01BC" w:rsidRPr="00211C8B" w:rsidDel="00255D9F" w:rsidRDefault="00BF01BC" w:rsidP="00BF01BC">
      <w:pPr>
        <w:pStyle w:val="TableFigureFooter"/>
        <w:rPr>
          <w:iCs/>
        </w:rPr>
      </w:pPr>
      <w:r w:rsidRPr="00211C8B" w:rsidDel="00255D9F">
        <w:rPr>
          <w:iCs/>
        </w:rPr>
        <w:t xml:space="preserve">CI = confidence interval; </w:t>
      </w:r>
      <w:r w:rsidRPr="00211C8B">
        <w:rPr>
          <w:iCs/>
        </w:rPr>
        <w:t xml:space="preserve">RCT = randomised controlled trial; </w:t>
      </w:r>
      <w:r w:rsidRPr="00211C8B" w:rsidDel="00255D9F">
        <w:rPr>
          <w:iCs/>
        </w:rPr>
        <w:t>SD = standard deviation</w:t>
      </w:r>
    </w:p>
    <w:p w14:paraId="30076066" w14:textId="77777777" w:rsidR="001B4D34" w:rsidRPr="009B38D8" w:rsidDel="00255D9F" w:rsidRDefault="0024795F" w:rsidP="00943FFD">
      <w:pPr>
        <w:pStyle w:val="3-BodyText"/>
      </w:pPr>
      <w:r w:rsidRPr="00211C8B">
        <w:t xml:space="preserve">When comparing </w:t>
      </w:r>
      <w:r w:rsidR="00EA5075" w:rsidRPr="00211C8B">
        <w:t xml:space="preserve">biosimilar preparations </w:t>
      </w:r>
      <w:r w:rsidR="00D936E4" w:rsidRPr="00211C8B">
        <w:t xml:space="preserve">to </w:t>
      </w:r>
      <w:r w:rsidR="00907340" w:rsidRPr="00211C8B">
        <w:t>Gonal-f</w:t>
      </w:r>
      <w:r w:rsidR="00D936E4" w:rsidRPr="00211C8B">
        <w:t xml:space="preserve"> </w:t>
      </w:r>
      <w:r w:rsidRPr="00211C8B">
        <w:t xml:space="preserve">for cycle </w:t>
      </w:r>
      <w:r w:rsidR="00254734" w:rsidRPr="00211C8B">
        <w:t xml:space="preserve">1 </w:t>
      </w:r>
      <w:r w:rsidRPr="00211C8B">
        <w:t xml:space="preserve">of treatment, </w:t>
      </w:r>
      <w:r w:rsidR="009B38D8">
        <w:t xml:space="preserve">the PBAC noted </w:t>
      </w:r>
      <w:r w:rsidRPr="009B38D8">
        <w:t xml:space="preserve">a </w:t>
      </w:r>
      <w:r w:rsidR="00044493" w:rsidRPr="00D31A3E">
        <w:rPr>
          <w:iCs/>
        </w:rPr>
        <w:t>higher</w:t>
      </w:r>
      <w:r w:rsidRPr="009B38D8">
        <w:t xml:space="preserve"> clinical pregnancy rate</w:t>
      </w:r>
      <w:r w:rsidR="008A0504" w:rsidRPr="009B38D8">
        <w:t>,</w:t>
      </w:r>
      <w:r w:rsidR="00E212CC" w:rsidRPr="009B38D8">
        <w:t xml:space="preserve"> </w:t>
      </w:r>
      <w:r w:rsidRPr="009B38D8">
        <w:t xml:space="preserve">ongoing pregnancy rate </w:t>
      </w:r>
      <w:r w:rsidR="00245D79" w:rsidRPr="009B38D8">
        <w:t>and</w:t>
      </w:r>
      <w:r w:rsidRPr="009B38D8">
        <w:t xml:space="preserve"> live birth rate</w:t>
      </w:r>
      <w:r w:rsidR="00641DD8" w:rsidRPr="009B38D8">
        <w:t>.</w:t>
      </w:r>
      <w:r w:rsidR="00044493" w:rsidRPr="009B38D8">
        <w:t xml:space="preserve"> </w:t>
      </w:r>
      <w:r w:rsidR="00E212CC" w:rsidRPr="00D31A3E">
        <w:rPr>
          <w:iCs/>
        </w:rPr>
        <w:t>However,</w:t>
      </w:r>
      <w:r w:rsidR="009B38D8" w:rsidRPr="00D31A3E">
        <w:rPr>
          <w:iCs/>
        </w:rPr>
        <w:t xml:space="preserve"> the PBAC considered that</w:t>
      </w:r>
      <w:r w:rsidR="00E212CC" w:rsidRPr="00D31A3E">
        <w:rPr>
          <w:iCs/>
        </w:rPr>
        <w:t xml:space="preserve"> t</w:t>
      </w:r>
      <w:r w:rsidR="00044493" w:rsidRPr="00D31A3E">
        <w:rPr>
          <w:iCs/>
        </w:rPr>
        <w:t xml:space="preserve">hese </w:t>
      </w:r>
      <w:r w:rsidR="00E212CC" w:rsidRPr="00D31A3E">
        <w:rPr>
          <w:iCs/>
        </w:rPr>
        <w:t>results we</w:t>
      </w:r>
      <w:r w:rsidR="00044493" w:rsidRPr="00D31A3E">
        <w:rPr>
          <w:iCs/>
        </w:rPr>
        <w:t xml:space="preserve">re difficult to interpret because </w:t>
      </w:r>
      <w:r w:rsidR="009B38D8" w:rsidRPr="00D31A3E">
        <w:rPr>
          <w:iCs/>
        </w:rPr>
        <w:t xml:space="preserve">the </w:t>
      </w:r>
      <w:r w:rsidR="00044493" w:rsidRPr="00D31A3E">
        <w:rPr>
          <w:iCs/>
        </w:rPr>
        <w:t>live</w:t>
      </w:r>
      <w:r w:rsidR="00E212CC" w:rsidRPr="00D31A3E">
        <w:rPr>
          <w:iCs/>
        </w:rPr>
        <w:t xml:space="preserve"> </w:t>
      </w:r>
      <w:r w:rsidR="00044493" w:rsidRPr="00D31A3E">
        <w:rPr>
          <w:iCs/>
        </w:rPr>
        <w:t xml:space="preserve">birth rate </w:t>
      </w:r>
      <w:r w:rsidR="00E212CC" w:rsidRPr="00D31A3E">
        <w:rPr>
          <w:iCs/>
        </w:rPr>
        <w:t xml:space="preserve">could be subject to post-randomisation confounding </w:t>
      </w:r>
      <w:r w:rsidR="00621A5F">
        <w:rPr>
          <w:iCs/>
        </w:rPr>
        <w:t xml:space="preserve">due to </w:t>
      </w:r>
      <w:r w:rsidR="00E212CC" w:rsidRPr="00D31A3E">
        <w:rPr>
          <w:iCs/>
        </w:rPr>
        <w:t>other IVF processes such as</w:t>
      </w:r>
      <w:r w:rsidR="009B38D8" w:rsidRPr="00D31A3E">
        <w:rPr>
          <w:iCs/>
        </w:rPr>
        <w:t xml:space="preserve"> the</w:t>
      </w:r>
      <w:r w:rsidR="00E212CC" w:rsidRPr="00D31A3E">
        <w:rPr>
          <w:iCs/>
        </w:rPr>
        <w:t xml:space="preserve"> skill of </w:t>
      </w:r>
      <w:r w:rsidR="009B38D8" w:rsidRPr="00D31A3E">
        <w:rPr>
          <w:iCs/>
        </w:rPr>
        <w:t xml:space="preserve">the </w:t>
      </w:r>
      <w:r w:rsidR="00E212CC" w:rsidRPr="00D31A3E">
        <w:rPr>
          <w:iCs/>
        </w:rPr>
        <w:t xml:space="preserve">embryologists and </w:t>
      </w:r>
      <w:r w:rsidR="009B38D8" w:rsidRPr="00D31A3E">
        <w:rPr>
          <w:iCs/>
        </w:rPr>
        <w:t xml:space="preserve">the </w:t>
      </w:r>
      <w:r w:rsidR="00E212CC" w:rsidRPr="00D31A3E">
        <w:rPr>
          <w:iCs/>
        </w:rPr>
        <w:t>selection of which embryos to transfer. Additionally,</w:t>
      </w:r>
      <w:r w:rsidR="009B38D8" w:rsidRPr="00D31A3E">
        <w:rPr>
          <w:iCs/>
        </w:rPr>
        <w:t xml:space="preserve"> the</w:t>
      </w:r>
      <w:r w:rsidR="00E212CC" w:rsidRPr="00D31A3E">
        <w:rPr>
          <w:iCs/>
        </w:rPr>
        <w:t xml:space="preserve"> treatment-centre interactions could affect the livebirth endpoint.</w:t>
      </w:r>
    </w:p>
    <w:p w14:paraId="2609F808" w14:textId="77777777" w:rsidR="009569D5" w:rsidRPr="00211C8B" w:rsidRDefault="009569D5" w:rsidP="00943FFD">
      <w:pPr>
        <w:pStyle w:val="3-BodyText"/>
        <w:rPr>
          <w:iCs/>
        </w:rPr>
      </w:pPr>
      <w:r w:rsidRPr="009B38D8">
        <w:t xml:space="preserve">The submission presented additional meta-analyses comparing </w:t>
      </w:r>
      <w:r w:rsidR="00907340" w:rsidRPr="009B38D8">
        <w:t>Gonal-f</w:t>
      </w:r>
      <w:r w:rsidRPr="00F10F43">
        <w:t xml:space="preserve"> to biosimilar preparations that are mark</w:t>
      </w:r>
      <w:r w:rsidRPr="00211C8B">
        <w:t xml:space="preserve">eted in Australia (i.e., excluding Primapur and Follitrope) for the </w:t>
      </w:r>
      <w:r w:rsidR="001A7F2F">
        <w:t>first</w:t>
      </w:r>
      <w:r w:rsidRPr="00211C8B">
        <w:t xml:space="preserve"> cycle of treatment. </w:t>
      </w:r>
      <w:r w:rsidR="00907340" w:rsidRPr="00211C8B">
        <w:t>Gonal-f</w:t>
      </w:r>
      <w:r w:rsidRPr="00211C8B">
        <w:t xml:space="preserve"> had a significantly greater clinical pregnancy rate (0.82; 95% CI 0.70, 0.95) and live birth rate (0.82; 95% CI 0.70, 0.96) compared with the biosimilar preparations marketed in Australia. </w:t>
      </w:r>
    </w:p>
    <w:p w14:paraId="677D0F9D" w14:textId="77777777" w:rsidR="00641DD8" w:rsidRPr="00A74393" w:rsidRDefault="001B4D34" w:rsidP="00943FFD">
      <w:pPr>
        <w:pStyle w:val="3-BodyText"/>
        <w:rPr>
          <w:iCs/>
        </w:rPr>
      </w:pPr>
      <w:r w:rsidRPr="00211C8B">
        <w:t>A</w:t>
      </w:r>
      <w:r w:rsidR="00641DD8" w:rsidRPr="00211C8B">
        <w:t xml:space="preserve">dditional meta-analysis conducted as part of </w:t>
      </w:r>
      <w:r w:rsidR="00033734" w:rsidRPr="00211C8B">
        <w:t xml:space="preserve">the evaluation </w:t>
      </w:r>
      <w:r w:rsidR="00641DD8" w:rsidRPr="00211C8B">
        <w:t>found a higher number of oocytes retrieved</w:t>
      </w:r>
      <w:r w:rsidR="009844AE" w:rsidRPr="00211C8B">
        <w:t xml:space="preserve"> </w:t>
      </w:r>
      <w:r w:rsidR="00033734" w:rsidRPr="00211C8B">
        <w:t>in</w:t>
      </w:r>
      <w:r w:rsidR="009844AE" w:rsidRPr="00211C8B">
        <w:t xml:space="preserve"> the </w:t>
      </w:r>
      <w:r w:rsidR="001A7F2F">
        <w:t>first</w:t>
      </w:r>
      <w:r w:rsidR="009844AE" w:rsidRPr="00211C8B">
        <w:t xml:space="preserve"> cycle of treatment</w:t>
      </w:r>
      <w:r w:rsidR="00641DD8" w:rsidRPr="00211C8B">
        <w:t xml:space="preserve"> for the biosimilars overall compared with </w:t>
      </w:r>
      <w:r w:rsidR="00907340" w:rsidRPr="00211C8B">
        <w:t>Gonal-f</w:t>
      </w:r>
      <w:r w:rsidR="00641DD8" w:rsidRPr="00211C8B">
        <w:t xml:space="preserve">; however, this was driven by the </w:t>
      </w:r>
      <w:r w:rsidR="003524B2" w:rsidRPr="00211C8B">
        <w:t xml:space="preserve">statistically significant </w:t>
      </w:r>
      <w:r w:rsidR="00641DD8" w:rsidRPr="00211C8B">
        <w:t xml:space="preserve">results of a single </w:t>
      </w:r>
      <w:r w:rsidR="00C4230B">
        <w:t>trial</w:t>
      </w:r>
      <w:r w:rsidR="00641DD8" w:rsidRPr="00211C8B">
        <w:t xml:space="preserve"> of </w:t>
      </w:r>
      <w:r w:rsidR="00907340" w:rsidRPr="00211C8B">
        <w:t>Gonal-f</w:t>
      </w:r>
      <w:r w:rsidR="00641DD8" w:rsidRPr="00211C8B">
        <w:t xml:space="preserve"> versus Follitrope. </w:t>
      </w:r>
      <w:r w:rsidR="0099495D" w:rsidRPr="00D31A3E">
        <w:rPr>
          <w:iCs/>
        </w:rPr>
        <w:t xml:space="preserve">The </w:t>
      </w:r>
      <w:r w:rsidR="00A74393">
        <w:rPr>
          <w:iCs/>
        </w:rPr>
        <w:t>PBAC</w:t>
      </w:r>
      <w:r w:rsidR="00A74393" w:rsidRPr="00D31A3E">
        <w:rPr>
          <w:iCs/>
        </w:rPr>
        <w:t xml:space="preserve"> </w:t>
      </w:r>
      <w:r w:rsidR="0099495D" w:rsidRPr="00D31A3E">
        <w:rPr>
          <w:iCs/>
        </w:rPr>
        <w:t xml:space="preserve">noted </w:t>
      </w:r>
      <w:r w:rsidR="00A74393">
        <w:rPr>
          <w:iCs/>
        </w:rPr>
        <w:t xml:space="preserve">that </w:t>
      </w:r>
      <w:r w:rsidR="0099495D" w:rsidRPr="00D31A3E">
        <w:rPr>
          <w:iCs/>
        </w:rPr>
        <w:t xml:space="preserve">post-randomisation confounding was not considered in the individual </w:t>
      </w:r>
      <w:r w:rsidR="00C4230B">
        <w:rPr>
          <w:iCs/>
        </w:rPr>
        <w:t>trials</w:t>
      </w:r>
      <w:r w:rsidR="0099495D" w:rsidRPr="00D31A3E">
        <w:rPr>
          <w:iCs/>
        </w:rPr>
        <w:t xml:space="preserve"> because they all pre-specified number-of-oocytes as the primary endpoint as per regulatory guidelines.</w:t>
      </w:r>
    </w:p>
    <w:p w14:paraId="43CCE987" w14:textId="77777777" w:rsidR="009D4C0F" w:rsidRPr="00F10F43" w:rsidRDefault="009D4C0F" w:rsidP="009D4C0F">
      <w:pPr>
        <w:pStyle w:val="4-SubsectionHeading"/>
        <w:rPr>
          <w:i w:val="0"/>
        </w:rPr>
      </w:pPr>
      <w:bookmarkStart w:id="30" w:name="_Toc79702743"/>
      <w:bookmarkStart w:id="31" w:name="_Toc82610361"/>
      <w:r w:rsidRPr="00F10F43">
        <w:rPr>
          <w:i w:val="0"/>
        </w:rPr>
        <w:t>Comparative harms</w:t>
      </w:r>
      <w:bookmarkEnd w:id="30"/>
      <w:bookmarkEnd w:id="31"/>
    </w:p>
    <w:p w14:paraId="2727C4AC" w14:textId="77777777" w:rsidR="009D4C0F" w:rsidRPr="00211C8B" w:rsidRDefault="008E300D" w:rsidP="00943FFD">
      <w:pPr>
        <w:pStyle w:val="3-BodyText"/>
      </w:pPr>
      <w:r w:rsidRPr="003964AE">
        <w:t xml:space="preserve">Table </w:t>
      </w:r>
      <w:r w:rsidR="00642627" w:rsidRPr="003964AE">
        <w:t>8</w:t>
      </w:r>
      <w:r w:rsidRPr="003964AE">
        <w:t xml:space="preserve"> presents a comparison of the key adverse outcome of treatment with follitropin alfa, ovarian hyperstimulation syndrome. The include</w:t>
      </w:r>
      <w:r w:rsidR="008B4882" w:rsidRPr="003964AE">
        <w:t>d</w:t>
      </w:r>
      <w:r w:rsidRPr="003964AE">
        <w:t xml:space="preserve"> </w:t>
      </w:r>
      <w:r w:rsidR="00C4230B">
        <w:t>trials</w:t>
      </w:r>
      <w:r w:rsidR="00D31A3E" w:rsidRPr="003964AE">
        <w:t xml:space="preserve"> </w:t>
      </w:r>
      <w:r w:rsidRPr="003964AE">
        <w:t xml:space="preserve">found no significant difference between </w:t>
      </w:r>
      <w:r w:rsidR="00907340" w:rsidRPr="003964AE">
        <w:t>Gonal-f</w:t>
      </w:r>
      <w:r w:rsidRPr="00211C8B">
        <w:t xml:space="preserve"> and biosimilar preparations of follitropin alfa. </w:t>
      </w:r>
    </w:p>
    <w:p w14:paraId="3BB0D227" w14:textId="77777777" w:rsidR="003964AE" w:rsidRDefault="003964AE" w:rsidP="00D31A3E">
      <w:pPr>
        <w:pStyle w:val="TableFigureHeading"/>
      </w:pPr>
      <w:bookmarkStart w:id="32" w:name="_Hlk79847326"/>
      <w:r>
        <w:t xml:space="preserve">Table </w:t>
      </w:r>
      <w:r w:rsidR="00360359">
        <w:rPr>
          <w:noProof/>
        </w:rPr>
        <w:t>8</w:t>
      </w:r>
      <w:r>
        <w:t xml:space="preserve">: </w:t>
      </w:r>
      <w:r w:rsidRPr="005B5D5C">
        <w:t xml:space="preserve">Summary of key adverse events in the </w:t>
      </w:r>
      <w:r w:rsidR="00C4230B">
        <w:t>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key adverse events in the trials"/>
        <w:tblDescription w:val="Summary of key adverse events in the trials"/>
      </w:tblPr>
      <w:tblGrid>
        <w:gridCol w:w="2330"/>
        <w:gridCol w:w="2231"/>
        <w:gridCol w:w="2234"/>
        <w:gridCol w:w="2222"/>
      </w:tblGrid>
      <w:tr w:rsidR="00E67C3D" w:rsidRPr="00211C8B" w14:paraId="44B09E72" w14:textId="77777777" w:rsidTr="006E0426">
        <w:trPr>
          <w:cantSplit/>
          <w:tblHeader/>
        </w:trPr>
        <w:tc>
          <w:tcPr>
            <w:tcW w:w="1292" w:type="pct"/>
            <w:vAlign w:val="center"/>
          </w:tcPr>
          <w:bookmarkEnd w:id="32"/>
          <w:p w14:paraId="097AE994" w14:textId="77777777" w:rsidR="00E67C3D" w:rsidRPr="003964AE" w:rsidRDefault="00E67C3D" w:rsidP="00306CE0">
            <w:pPr>
              <w:pStyle w:val="In-tableHeading"/>
              <w:rPr>
                <w:lang w:val="en-AU"/>
              </w:rPr>
            </w:pPr>
            <w:r w:rsidRPr="003964AE">
              <w:rPr>
                <w:lang w:val="en-AU"/>
              </w:rPr>
              <w:t>Trial ID</w:t>
            </w:r>
          </w:p>
        </w:tc>
        <w:tc>
          <w:tcPr>
            <w:tcW w:w="1237" w:type="pct"/>
            <w:vAlign w:val="center"/>
          </w:tcPr>
          <w:p w14:paraId="4B5F8A36" w14:textId="77777777" w:rsidR="00E67C3D" w:rsidRPr="00211C8B" w:rsidRDefault="00907340" w:rsidP="00306CE0">
            <w:pPr>
              <w:pStyle w:val="In-tableHeading"/>
              <w:jc w:val="center"/>
              <w:rPr>
                <w:lang w:val="en-AU"/>
              </w:rPr>
            </w:pPr>
            <w:r w:rsidRPr="00211C8B">
              <w:rPr>
                <w:lang w:val="en-AU"/>
              </w:rPr>
              <w:t>Gonal-f</w:t>
            </w:r>
          </w:p>
          <w:p w14:paraId="2B462358" w14:textId="77777777" w:rsidR="00E67C3D" w:rsidRPr="00211C8B" w:rsidRDefault="00E67C3D" w:rsidP="00306CE0">
            <w:pPr>
              <w:pStyle w:val="In-tableHeading"/>
              <w:jc w:val="center"/>
              <w:rPr>
                <w:lang w:val="en-AU"/>
              </w:rPr>
            </w:pPr>
            <w:r w:rsidRPr="00211C8B">
              <w:rPr>
                <w:lang w:val="en-AU"/>
              </w:rPr>
              <w:t>n/N (%)</w:t>
            </w:r>
          </w:p>
        </w:tc>
        <w:tc>
          <w:tcPr>
            <w:tcW w:w="1239" w:type="pct"/>
            <w:vAlign w:val="center"/>
          </w:tcPr>
          <w:p w14:paraId="3CC6A5C2" w14:textId="77777777" w:rsidR="00E67C3D" w:rsidRPr="00211C8B" w:rsidRDefault="00E67C3D" w:rsidP="00306CE0">
            <w:pPr>
              <w:pStyle w:val="In-tableHeading"/>
              <w:jc w:val="center"/>
              <w:rPr>
                <w:lang w:val="en-AU"/>
              </w:rPr>
            </w:pPr>
            <w:r w:rsidRPr="00211C8B">
              <w:rPr>
                <w:lang w:val="en-AU"/>
              </w:rPr>
              <w:t>Follitropin alfa biosimilar</w:t>
            </w:r>
          </w:p>
          <w:p w14:paraId="2BD1E58F" w14:textId="77777777" w:rsidR="00E67C3D" w:rsidRPr="00211C8B" w:rsidRDefault="00E67C3D" w:rsidP="00306CE0">
            <w:pPr>
              <w:pStyle w:val="In-tableHeading"/>
              <w:jc w:val="center"/>
              <w:rPr>
                <w:lang w:val="en-AU"/>
              </w:rPr>
            </w:pPr>
            <w:r w:rsidRPr="00211C8B">
              <w:rPr>
                <w:lang w:val="en-AU"/>
              </w:rPr>
              <w:t>preparations</w:t>
            </w:r>
            <w:r w:rsidRPr="00211C8B">
              <w:rPr>
                <w:b w:val="0"/>
                <w:bCs/>
                <w:lang w:val="en-AU"/>
              </w:rPr>
              <w:t xml:space="preserve"> n/N (%)</w:t>
            </w:r>
          </w:p>
        </w:tc>
        <w:tc>
          <w:tcPr>
            <w:tcW w:w="1232" w:type="pct"/>
            <w:vAlign w:val="center"/>
          </w:tcPr>
          <w:p w14:paraId="2E606FE0" w14:textId="77777777" w:rsidR="00E67C3D" w:rsidRPr="00211C8B" w:rsidRDefault="00E67C3D" w:rsidP="00306CE0">
            <w:pPr>
              <w:pStyle w:val="In-tableHeading"/>
              <w:jc w:val="center"/>
              <w:rPr>
                <w:lang w:val="en-AU"/>
              </w:rPr>
            </w:pPr>
            <w:r w:rsidRPr="00211C8B">
              <w:rPr>
                <w:lang w:val="en-AU"/>
              </w:rPr>
              <w:t>RR (95% CI)</w:t>
            </w:r>
          </w:p>
        </w:tc>
      </w:tr>
      <w:tr w:rsidR="00E67C3D" w:rsidRPr="00211C8B" w14:paraId="1A721F6B" w14:textId="77777777" w:rsidTr="006E0426">
        <w:trPr>
          <w:cantSplit/>
        </w:trPr>
        <w:tc>
          <w:tcPr>
            <w:tcW w:w="5000" w:type="pct"/>
            <w:gridSpan w:val="4"/>
            <w:vAlign w:val="center"/>
          </w:tcPr>
          <w:p w14:paraId="46BB4C7D" w14:textId="77777777" w:rsidR="00E67C3D" w:rsidRPr="00211C8B" w:rsidRDefault="00907340" w:rsidP="00306CE0">
            <w:pPr>
              <w:pStyle w:val="TableText0"/>
              <w:rPr>
                <w:b/>
                <w:bCs w:val="0"/>
              </w:rPr>
            </w:pPr>
            <w:r w:rsidRPr="00211C8B">
              <w:rPr>
                <w:b/>
                <w:bCs w:val="0"/>
              </w:rPr>
              <w:t>Gonal-f</w:t>
            </w:r>
            <w:r w:rsidR="005F7683" w:rsidRPr="00211C8B">
              <w:rPr>
                <w:b/>
              </w:rPr>
              <w:t xml:space="preserve"> vs Bemfola (</w:t>
            </w:r>
            <w:r w:rsidR="00E67C3D" w:rsidRPr="00211C8B">
              <w:rPr>
                <w:b/>
                <w:bCs w:val="0"/>
              </w:rPr>
              <w:t>NCT01121666</w:t>
            </w:r>
            <w:r w:rsidR="005F7683" w:rsidRPr="00211C8B">
              <w:rPr>
                <w:b/>
                <w:bCs w:val="0"/>
              </w:rPr>
              <w:t>)</w:t>
            </w:r>
          </w:p>
        </w:tc>
      </w:tr>
      <w:tr w:rsidR="00E67C3D" w:rsidRPr="00211C8B" w14:paraId="1FAC5986" w14:textId="77777777" w:rsidTr="006E0426">
        <w:trPr>
          <w:cantSplit/>
        </w:trPr>
        <w:tc>
          <w:tcPr>
            <w:tcW w:w="1292" w:type="pct"/>
          </w:tcPr>
          <w:p w14:paraId="272C14B4" w14:textId="77777777" w:rsidR="00E67C3D" w:rsidRPr="00211C8B" w:rsidRDefault="00E67C3D" w:rsidP="00306CE0">
            <w:pPr>
              <w:pStyle w:val="TableText0"/>
            </w:pPr>
            <w:r w:rsidRPr="00211C8B">
              <w:t>Ovarian hyperstimulation syndrome</w:t>
            </w:r>
          </w:p>
        </w:tc>
        <w:tc>
          <w:tcPr>
            <w:tcW w:w="1237" w:type="pct"/>
          </w:tcPr>
          <w:p w14:paraId="61230625" w14:textId="77777777" w:rsidR="00E67C3D" w:rsidRPr="00211C8B" w:rsidRDefault="00E67C3D" w:rsidP="00306CE0">
            <w:pPr>
              <w:pStyle w:val="TableText0"/>
            </w:pPr>
            <w:r w:rsidRPr="00211C8B">
              <w:t>6/123 (4.88)</w:t>
            </w:r>
          </w:p>
        </w:tc>
        <w:tc>
          <w:tcPr>
            <w:tcW w:w="1239" w:type="pct"/>
          </w:tcPr>
          <w:p w14:paraId="17AFA198" w14:textId="77777777" w:rsidR="00E67C3D" w:rsidRPr="00211C8B" w:rsidRDefault="00E67C3D" w:rsidP="00306CE0">
            <w:pPr>
              <w:pStyle w:val="TableText0"/>
            </w:pPr>
            <w:r w:rsidRPr="00211C8B">
              <w:t>24/ 249 (9.64)</w:t>
            </w:r>
          </w:p>
        </w:tc>
        <w:tc>
          <w:tcPr>
            <w:tcW w:w="1232" w:type="pct"/>
          </w:tcPr>
          <w:p w14:paraId="47D70A20" w14:textId="77777777" w:rsidR="00E67C3D" w:rsidRPr="00211C8B" w:rsidRDefault="00E67C3D" w:rsidP="00306CE0">
            <w:pPr>
              <w:pStyle w:val="TableText0"/>
            </w:pPr>
            <w:r w:rsidRPr="00211C8B">
              <w:t>1.98 (0.83, 4.71)</w:t>
            </w:r>
          </w:p>
        </w:tc>
      </w:tr>
      <w:tr w:rsidR="00E67C3D" w:rsidRPr="00211C8B" w14:paraId="59EE33F5" w14:textId="77777777" w:rsidTr="006E0426">
        <w:trPr>
          <w:cantSplit/>
        </w:trPr>
        <w:tc>
          <w:tcPr>
            <w:tcW w:w="5000" w:type="pct"/>
            <w:gridSpan w:val="4"/>
          </w:tcPr>
          <w:p w14:paraId="31F332BC" w14:textId="77777777" w:rsidR="00E67C3D" w:rsidRPr="00211C8B" w:rsidRDefault="00907340" w:rsidP="00306CE0">
            <w:pPr>
              <w:pStyle w:val="TableText0"/>
              <w:rPr>
                <w:b/>
                <w:bCs w:val="0"/>
              </w:rPr>
            </w:pPr>
            <w:r w:rsidRPr="00211C8B">
              <w:rPr>
                <w:b/>
                <w:bCs w:val="0"/>
              </w:rPr>
              <w:t>Gonal-f</w:t>
            </w:r>
            <w:r w:rsidR="005F7683" w:rsidRPr="00211C8B">
              <w:rPr>
                <w:b/>
              </w:rPr>
              <w:t xml:space="preserve"> vs Ovaleap (</w:t>
            </w:r>
            <w:r w:rsidR="00E67C3D" w:rsidRPr="00211C8B">
              <w:rPr>
                <w:b/>
                <w:bCs w:val="0"/>
              </w:rPr>
              <w:t>ISRCTN74772901</w:t>
            </w:r>
            <w:r w:rsidR="005F7683" w:rsidRPr="00211C8B">
              <w:rPr>
                <w:b/>
                <w:bCs w:val="0"/>
              </w:rPr>
              <w:t>)</w:t>
            </w:r>
          </w:p>
        </w:tc>
      </w:tr>
      <w:tr w:rsidR="00E67C3D" w:rsidRPr="00211C8B" w14:paraId="11618DA3" w14:textId="77777777" w:rsidTr="006E0426">
        <w:trPr>
          <w:cantSplit/>
        </w:trPr>
        <w:tc>
          <w:tcPr>
            <w:tcW w:w="1292" w:type="pct"/>
          </w:tcPr>
          <w:p w14:paraId="224C19CB" w14:textId="77777777" w:rsidR="00E67C3D" w:rsidRPr="00211C8B" w:rsidRDefault="00E67C3D" w:rsidP="00306CE0">
            <w:pPr>
              <w:pStyle w:val="TableText0"/>
            </w:pPr>
            <w:r w:rsidRPr="00211C8B">
              <w:t>Ovarian hyperstimulation syndrome</w:t>
            </w:r>
          </w:p>
        </w:tc>
        <w:tc>
          <w:tcPr>
            <w:tcW w:w="1237" w:type="pct"/>
          </w:tcPr>
          <w:p w14:paraId="5C8647C7" w14:textId="77777777" w:rsidR="00E67C3D" w:rsidRPr="00211C8B" w:rsidRDefault="00E67C3D" w:rsidP="00306CE0">
            <w:pPr>
              <w:pStyle w:val="TableText0"/>
              <w:rPr>
                <w:color w:val="000000" w:themeColor="text1"/>
              </w:rPr>
            </w:pPr>
            <w:r w:rsidRPr="00211C8B">
              <w:rPr>
                <w:color w:val="000000" w:themeColor="text1"/>
              </w:rPr>
              <w:t>4/146 (2.7)</w:t>
            </w:r>
          </w:p>
        </w:tc>
        <w:tc>
          <w:tcPr>
            <w:tcW w:w="1239" w:type="pct"/>
          </w:tcPr>
          <w:p w14:paraId="267C7EA0" w14:textId="77777777" w:rsidR="00E67C3D" w:rsidRPr="00211C8B" w:rsidRDefault="00E67C3D" w:rsidP="00306CE0">
            <w:pPr>
              <w:pStyle w:val="TableText0"/>
              <w:rPr>
                <w:color w:val="000000" w:themeColor="text1"/>
              </w:rPr>
            </w:pPr>
            <w:r w:rsidRPr="00211C8B">
              <w:rPr>
                <w:color w:val="000000" w:themeColor="text1"/>
              </w:rPr>
              <w:t>7/153 (4.6)</w:t>
            </w:r>
          </w:p>
        </w:tc>
        <w:tc>
          <w:tcPr>
            <w:tcW w:w="1232" w:type="pct"/>
          </w:tcPr>
          <w:p w14:paraId="11129818" w14:textId="77777777" w:rsidR="00E67C3D" w:rsidRPr="00211C8B" w:rsidRDefault="00E67C3D" w:rsidP="00306CE0">
            <w:pPr>
              <w:pStyle w:val="TableText0"/>
              <w:rPr>
                <w:color w:val="000000" w:themeColor="text1"/>
              </w:rPr>
            </w:pPr>
            <w:r w:rsidRPr="00211C8B">
              <w:rPr>
                <w:color w:val="000000" w:themeColor="text1"/>
              </w:rPr>
              <w:t>1.67 (0.50, 5.59)</w:t>
            </w:r>
          </w:p>
        </w:tc>
      </w:tr>
      <w:tr w:rsidR="00E67C3D" w:rsidRPr="00211C8B" w14:paraId="4008FD81" w14:textId="77777777" w:rsidTr="006E0426">
        <w:trPr>
          <w:cantSplit/>
        </w:trPr>
        <w:tc>
          <w:tcPr>
            <w:tcW w:w="1292" w:type="pct"/>
          </w:tcPr>
          <w:p w14:paraId="6683738A" w14:textId="77777777" w:rsidR="00E67C3D" w:rsidRPr="00211C8B" w:rsidRDefault="00E67C3D" w:rsidP="00306CE0">
            <w:pPr>
              <w:pStyle w:val="TableText0"/>
            </w:pPr>
            <w:r w:rsidRPr="00211C8B">
              <w:t>Ectopic pregnancy</w:t>
            </w:r>
          </w:p>
        </w:tc>
        <w:tc>
          <w:tcPr>
            <w:tcW w:w="1237" w:type="pct"/>
          </w:tcPr>
          <w:p w14:paraId="5BF4605B" w14:textId="77777777" w:rsidR="00E67C3D" w:rsidRPr="00211C8B" w:rsidRDefault="00E67C3D" w:rsidP="00306CE0">
            <w:pPr>
              <w:pStyle w:val="TableText0"/>
            </w:pPr>
            <w:r w:rsidRPr="00211C8B">
              <w:t>1/146 (0.7)</w:t>
            </w:r>
          </w:p>
        </w:tc>
        <w:tc>
          <w:tcPr>
            <w:tcW w:w="1239" w:type="pct"/>
          </w:tcPr>
          <w:p w14:paraId="49215A20" w14:textId="77777777" w:rsidR="00E67C3D" w:rsidRPr="00211C8B" w:rsidRDefault="00E67C3D" w:rsidP="00306CE0">
            <w:pPr>
              <w:pStyle w:val="TableText0"/>
            </w:pPr>
            <w:r w:rsidRPr="00211C8B">
              <w:t>2/153 (1.3)</w:t>
            </w:r>
          </w:p>
        </w:tc>
        <w:tc>
          <w:tcPr>
            <w:tcW w:w="1232" w:type="pct"/>
          </w:tcPr>
          <w:p w14:paraId="1F8B5A04" w14:textId="77777777" w:rsidR="00E67C3D" w:rsidRPr="00211C8B" w:rsidRDefault="00E67C3D" w:rsidP="00306CE0">
            <w:pPr>
              <w:pStyle w:val="TableText0"/>
            </w:pPr>
            <w:r w:rsidRPr="00211C8B">
              <w:t>1.91 (0.17, 20.82)</w:t>
            </w:r>
          </w:p>
        </w:tc>
      </w:tr>
      <w:tr w:rsidR="00E67C3D" w:rsidRPr="00211C8B" w14:paraId="1516A7FE" w14:textId="77777777" w:rsidTr="006E0426">
        <w:trPr>
          <w:cantSplit/>
        </w:trPr>
        <w:tc>
          <w:tcPr>
            <w:tcW w:w="1292" w:type="pct"/>
          </w:tcPr>
          <w:p w14:paraId="33F22497" w14:textId="77777777" w:rsidR="00E67C3D" w:rsidRPr="00211C8B" w:rsidRDefault="00E67C3D" w:rsidP="00306CE0">
            <w:pPr>
              <w:pStyle w:val="TableText0"/>
            </w:pPr>
            <w:r w:rsidRPr="00211C8B">
              <w:t>Antepartum haemorrhage</w:t>
            </w:r>
          </w:p>
        </w:tc>
        <w:tc>
          <w:tcPr>
            <w:tcW w:w="1237" w:type="pct"/>
          </w:tcPr>
          <w:p w14:paraId="6B728FD1" w14:textId="77777777" w:rsidR="00E67C3D" w:rsidRPr="00211C8B" w:rsidRDefault="00E67C3D" w:rsidP="00306CE0">
            <w:pPr>
              <w:pStyle w:val="TableText0"/>
            </w:pPr>
            <w:r w:rsidRPr="00211C8B">
              <w:t>1/146 (0.7)</w:t>
            </w:r>
          </w:p>
        </w:tc>
        <w:tc>
          <w:tcPr>
            <w:tcW w:w="1239" w:type="pct"/>
          </w:tcPr>
          <w:p w14:paraId="25043266" w14:textId="77777777" w:rsidR="00E67C3D" w:rsidRPr="00211C8B" w:rsidRDefault="00E67C3D" w:rsidP="00306CE0">
            <w:pPr>
              <w:pStyle w:val="TableText0"/>
            </w:pPr>
            <w:r w:rsidRPr="00211C8B">
              <w:t>1/153 (1.3)</w:t>
            </w:r>
          </w:p>
        </w:tc>
        <w:tc>
          <w:tcPr>
            <w:tcW w:w="1232" w:type="pct"/>
          </w:tcPr>
          <w:p w14:paraId="2D0E3511" w14:textId="77777777" w:rsidR="00E67C3D" w:rsidRPr="00211C8B" w:rsidRDefault="00E67C3D" w:rsidP="00306CE0">
            <w:pPr>
              <w:pStyle w:val="TableText0"/>
            </w:pPr>
            <w:r w:rsidRPr="00211C8B">
              <w:t>0.95 (0.06, 15.12)</w:t>
            </w:r>
          </w:p>
        </w:tc>
      </w:tr>
      <w:tr w:rsidR="00E67C3D" w:rsidRPr="00211C8B" w14:paraId="677B0397" w14:textId="77777777" w:rsidTr="006E0426">
        <w:trPr>
          <w:cantSplit/>
        </w:trPr>
        <w:tc>
          <w:tcPr>
            <w:tcW w:w="5000" w:type="pct"/>
            <w:gridSpan w:val="4"/>
          </w:tcPr>
          <w:p w14:paraId="21377472" w14:textId="77777777" w:rsidR="00E67C3D" w:rsidRPr="00211C8B" w:rsidRDefault="00907340" w:rsidP="00306CE0">
            <w:pPr>
              <w:pStyle w:val="TableText0"/>
              <w:rPr>
                <w:b/>
                <w:bCs w:val="0"/>
              </w:rPr>
            </w:pPr>
            <w:r w:rsidRPr="00211C8B">
              <w:rPr>
                <w:b/>
                <w:bCs w:val="0"/>
              </w:rPr>
              <w:t>Gonal-f</w:t>
            </w:r>
            <w:r w:rsidR="005F7683" w:rsidRPr="00211C8B">
              <w:rPr>
                <w:b/>
              </w:rPr>
              <w:t xml:space="preserve"> vs Bemfola (</w:t>
            </w:r>
            <w:r w:rsidR="00E67C3D" w:rsidRPr="00211C8B">
              <w:rPr>
                <w:b/>
                <w:bCs w:val="0"/>
              </w:rPr>
              <w:t>NCT01687712</w:t>
            </w:r>
            <w:r w:rsidR="005F7683" w:rsidRPr="00211C8B">
              <w:rPr>
                <w:b/>
                <w:bCs w:val="0"/>
              </w:rPr>
              <w:t>)</w:t>
            </w:r>
          </w:p>
        </w:tc>
      </w:tr>
      <w:tr w:rsidR="00E67C3D" w:rsidRPr="00211C8B" w14:paraId="0821E4BD" w14:textId="77777777" w:rsidTr="006E0426">
        <w:trPr>
          <w:cantSplit/>
        </w:trPr>
        <w:tc>
          <w:tcPr>
            <w:tcW w:w="1292" w:type="pct"/>
          </w:tcPr>
          <w:p w14:paraId="7545B150" w14:textId="77777777" w:rsidR="00E67C3D" w:rsidRPr="00211C8B" w:rsidRDefault="00E67C3D" w:rsidP="00306CE0">
            <w:pPr>
              <w:pStyle w:val="TableText0"/>
            </w:pPr>
            <w:r w:rsidRPr="00211C8B">
              <w:t>Ovarian hyperstimulation syndrome (cycle 1)</w:t>
            </w:r>
          </w:p>
        </w:tc>
        <w:tc>
          <w:tcPr>
            <w:tcW w:w="1237" w:type="pct"/>
          </w:tcPr>
          <w:p w14:paraId="0DB034C4" w14:textId="77777777" w:rsidR="00E67C3D" w:rsidRPr="00211C8B" w:rsidRDefault="00E67C3D" w:rsidP="00306CE0">
            <w:pPr>
              <w:pStyle w:val="TableText0"/>
            </w:pPr>
            <w:r w:rsidRPr="00211C8B">
              <w:rPr>
                <w:color w:val="000000" w:themeColor="text1"/>
              </w:rPr>
              <w:t>8/551 (1.45)</w:t>
            </w:r>
          </w:p>
        </w:tc>
        <w:tc>
          <w:tcPr>
            <w:tcW w:w="1239" w:type="pct"/>
          </w:tcPr>
          <w:p w14:paraId="3BE4E97E" w14:textId="77777777" w:rsidR="00E67C3D" w:rsidRPr="00211C8B" w:rsidRDefault="00E67C3D" w:rsidP="00306CE0">
            <w:pPr>
              <w:pStyle w:val="TableText0"/>
            </w:pPr>
            <w:r w:rsidRPr="00211C8B">
              <w:rPr>
                <w:color w:val="000000" w:themeColor="text1"/>
              </w:rPr>
              <w:t>7/549 (1.28)</w:t>
            </w:r>
          </w:p>
        </w:tc>
        <w:tc>
          <w:tcPr>
            <w:tcW w:w="1232" w:type="pct"/>
          </w:tcPr>
          <w:p w14:paraId="57DE59A5" w14:textId="77777777" w:rsidR="00E67C3D" w:rsidRPr="00211C8B" w:rsidRDefault="00E67C3D" w:rsidP="00306CE0">
            <w:pPr>
              <w:pStyle w:val="TableText0"/>
            </w:pPr>
            <w:r w:rsidRPr="00211C8B">
              <w:t>0.88 (0.32, 2.41)</w:t>
            </w:r>
          </w:p>
        </w:tc>
      </w:tr>
      <w:tr w:rsidR="00E67C3D" w:rsidRPr="00211C8B" w14:paraId="06113938" w14:textId="77777777" w:rsidTr="006E0426">
        <w:trPr>
          <w:cantSplit/>
        </w:trPr>
        <w:tc>
          <w:tcPr>
            <w:tcW w:w="1292" w:type="pct"/>
          </w:tcPr>
          <w:p w14:paraId="1750D951" w14:textId="77777777" w:rsidR="00E67C3D" w:rsidRPr="00211C8B" w:rsidRDefault="00E67C3D" w:rsidP="00306CE0">
            <w:pPr>
              <w:pStyle w:val="TableText0"/>
            </w:pPr>
            <w:r w:rsidRPr="00211C8B">
              <w:t>Ovarian hyperstimulation syndrome (cycle 2)</w:t>
            </w:r>
          </w:p>
        </w:tc>
        <w:tc>
          <w:tcPr>
            <w:tcW w:w="1237" w:type="pct"/>
          </w:tcPr>
          <w:p w14:paraId="13ADA3D0" w14:textId="77777777" w:rsidR="00E67C3D" w:rsidRPr="00211C8B" w:rsidRDefault="00E67C3D" w:rsidP="00306CE0">
            <w:pPr>
              <w:pStyle w:val="TableText0"/>
            </w:pPr>
            <w:r w:rsidRPr="00211C8B">
              <w:rPr>
                <w:color w:val="000000" w:themeColor="text1"/>
              </w:rPr>
              <w:t>2/120 (1.67)</w:t>
            </w:r>
          </w:p>
        </w:tc>
        <w:tc>
          <w:tcPr>
            <w:tcW w:w="1239" w:type="pct"/>
          </w:tcPr>
          <w:p w14:paraId="07721C90" w14:textId="77777777" w:rsidR="00E67C3D" w:rsidRPr="00211C8B" w:rsidRDefault="00E67C3D" w:rsidP="00306CE0">
            <w:pPr>
              <w:pStyle w:val="TableText0"/>
            </w:pPr>
            <w:r w:rsidRPr="00211C8B">
              <w:rPr>
                <w:color w:val="000000" w:themeColor="text1"/>
              </w:rPr>
              <w:t>0/109 (0.00)</w:t>
            </w:r>
          </w:p>
        </w:tc>
        <w:tc>
          <w:tcPr>
            <w:tcW w:w="1232" w:type="pct"/>
          </w:tcPr>
          <w:p w14:paraId="3FBE640E" w14:textId="77777777" w:rsidR="00E67C3D" w:rsidRPr="00211C8B" w:rsidRDefault="00E67C3D" w:rsidP="00306CE0">
            <w:pPr>
              <w:pStyle w:val="TableText0"/>
            </w:pPr>
            <w:r w:rsidRPr="00211C8B">
              <w:t>0.22 (0.01, 4.53)</w:t>
            </w:r>
          </w:p>
        </w:tc>
      </w:tr>
      <w:tr w:rsidR="00E67C3D" w:rsidRPr="00211C8B" w14:paraId="4C6CD689" w14:textId="77777777" w:rsidTr="006E0426">
        <w:trPr>
          <w:cantSplit/>
        </w:trPr>
        <w:tc>
          <w:tcPr>
            <w:tcW w:w="1292" w:type="pct"/>
          </w:tcPr>
          <w:p w14:paraId="5DCCBB6F" w14:textId="77777777" w:rsidR="00E67C3D" w:rsidRPr="00211C8B" w:rsidRDefault="00E67C3D" w:rsidP="00306CE0">
            <w:pPr>
              <w:pStyle w:val="TableText0"/>
            </w:pPr>
            <w:r w:rsidRPr="00211C8B">
              <w:t>Ovarian hyperstimulation syndrome (cycle 3)</w:t>
            </w:r>
          </w:p>
        </w:tc>
        <w:tc>
          <w:tcPr>
            <w:tcW w:w="1237" w:type="pct"/>
          </w:tcPr>
          <w:p w14:paraId="123F83F8" w14:textId="77777777" w:rsidR="00E67C3D" w:rsidRPr="00211C8B" w:rsidRDefault="00E67C3D" w:rsidP="00306CE0">
            <w:pPr>
              <w:pStyle w:val="TableText0"/>
            </w:pPr>
            <w:r w:rsidRPr="00211C8B">
              <w:rPr>
                <w:color w:val="000000" w:themeColor="text1"/>
              </w:rPr>
              <w:t>0/24 (0.00)</w:t>
            </w:r>
          </w:p>
        </w:tc>
        <w:tc>
          <w:tcPr>
            <w:tcW w:w="1239" w:type="pct"/>
          </w:tcPr>
          <w:p w14:paraId="29B67120" w14:textId="77777777" w:rsidR="00E67C3D" w:rsidRPr="00211C8B" w:rsidRDefault="00E67C3D" w:rsidP="00306CE0">
            <w:pPr>
              <w:pStyle w:val="TableText0"/>
            </w:pPr>
            <w:r w:rsidRPr="00211C8B">
              <w:rPr>
                <w:color w:val="000000" w:themeColor="text1"/>
              </w:rPr>
              <w:t>0/ 28 (0.00)</w:t>
            </w:r>
          </w:p>
        </w:tc>
        <w:tc>
          <w:tcPr>
            <w:tcW w:w="1232" w:type="pct"/>
          </w:tcPr>
          <w:p w14:paraId="571E9CA9" w14:textId="77777777" w:rsidR="00E67C3D" w:rsidRPr="00211C8B" w:rsidRDefault="00E67C3D" w:rsidP="00306CE0">
            <w:pPr>
              <w:pStyle w:val="TableText0"/>
            </w:pPr>
            <w:r w:rsidRPr="00211C8B">
              <w:t>0.86 (0.02, 41.88)</w:t>
            </w:r>
          </w:p>
        </w:tc>
      </w:tr>
      <w:tr w:rsidR="00E67C3D" w:rsidRPr="00211C8B" w14:paraId="420FB8EB" w14:textId="77777777" w:rsidTr="006E0426">
        <w:trPr>
          <w:cantSplit/>
        </w:trPr>
        <w:tc>
          <w:tcPr>
            <w:tcW w:w="1292" w:type="pct"/>
          </w:tcPr>
          <w:p w14:paraId="066F2921" w14:textId="77777777" w:rsidR="00E67C3D" w:rsidRPr="00211C8B" w:rsidRDefault="00E67C3D" w:rsidP="00306CE0">
            <w:pPr>
              <w:pStyle w:val="TableText0"/>
            </w:pPr>
            <w:r w:rsidRPr="00211C8B">
              <w:t>Ectopic pregnancy</w:t>
            </w:r>
          </w:p>
        </w:tc>
        <w:tc>
          <w:tcPr>
            <w:tcW w:w="1237" w:type="pct"/>
          </w:tcPr>
          <w:p w14:paraId="718984EB" w14:textId="77777777" w:rsidR="00E67C3D" w:rsidRPr="00211C8B" w:rsidRDefault="00E67C3D" w:rsidP="00306CE0">
            <w:pPr>
              <w:pStyle w:val="TableText0"/>
            </w:pPr>
            <w:r w:rsidRPr="00211C8B">
              <w:t>1/551 (0.18)</w:t>
            </w:r>
          </w:p>
        </w:tc>
        <w:tc>
          <w:tcPr>
            <w:tcW w:w="1239" w:type="pct"/>
          </w:tcPr>
          <w:p w14:paraId="43BD1279" w14:textId="77777777" w:rsidR="00E67C3D" w:rsidRPr="00211C8B" w:rsidRDefault="00E67C3D" w:rsidP="00306CE0">
            <w:pPr>
              <w:pStyle w:val="TableText0"/>
            </w:pPr>
            <w:r w:rsidRPr="00211C8B">
              <w:t>2/549 (0.36)</w:t>
            </w:r>
          </w:p>
        </w:tc>
        <w:tc>
          <w:tcPr>
            <w:tcW w:w="1232" w:type="pct"/>
          </w:tcPr>
          <w:p w14:paraId="477A8366" w14:textId="77777777" w:rsidR="00E67C3D" w:rsidRPr="00211C8B" w:rsidRDefault="00E67C3D" w:rsidP="00306CE0">
            <w:pPr>
              <w:pStyle w:val="TableText0"/>
            </w:pPr>
            <w:r w:rsidRPr="00211C8B">
              <w:t>2.01 (0.18, 22.07)</w:t>
            </w:r>
          </w:p>
        </w:tc>
      </w:tr>
      <w:tr w:rsidR="00E67C3D" w:rsidRPr="00211C8B" w14:paraId="63E3D439" w14:textId="77777777" w:rsidTr="006E0426">
        <w:trPr>
          <w:cantSplit/>
        </w:trPr>
        <w:tc>
          <w:tcPr>
            <w:tcW w:w="1292" w:type="pct"/>
          </w:tcPr>
          <w:p w14:paraId="7035F98B" w14:textId="77777777" w:rsidR="00E67C3D" w:rsidRPr="00211C8B" w:rsidRDefault="00E67C3D" w:rsidP="00306CE0">
            <w:pPr>
              <w:pStyle w:val="TableText0"/>
            </w:pPr>
            <w:r w:rsidRPr="00211C8B">
              <w:t>Spontaneous miscarriage</w:t>
            </w:r>
          </w:p>
        </w:tc>
        <w:tc>
          <w:tcPr>
            <w:tcW w:w="1237" w:type="pct"/>
          </w:tcPr>
          <w:p w14:paraId="61B33218" w14:textId="77777777" w:rsidR="00E67C3D" w:rsidRPr="00211C8B" w:rsidRDefault="00E67C3D" w:rsidP="00306CE0">
            <w:pPr>
              <w:pStyle w:val="TableText0"/>
            </w:pPr>
            <w:r w:rsidRPr="00211C8B">
              <w:t>5/551 (0.91)</w:t>
            </w:r>
          </w:p>
        </w:tc>
        <w:tc>
          <w:tcPr>
            <w:tcW w:w="1239" w:type="pct"/>
          </w:tcPr>
          <w:p w14:paraId="3295B270" w14:textId="77777777" w:rsidR="00E67C3D" w:rsidRPr="00211C8B" w:rsidRDefault="00E67C3D" w:rsidP="00306CE0">
            <w:pPr>
              <w:pStyle w:val="TableText0"/>
            </w:pPr>
            <w:r w:rsidRPr="00211C8B">
              <w:t>2/549 (0.36)</w:t>
            </w:r>
          </w:p>
        </w:tc>
        <w:tc>
          <w:tcPr>
            <w:tcW w:w="1232" w:type="pct"/>
          </w:tcPr>
          <w:p w14:paraId="33EB45DC" w14:textId="77777777" w:rsidR="00E67C3D" w:rsidRPr="00211C8B" w:rsidRDefault="00E67C3D" w:rsidP="00306CE0">
            <w:pPr>
              <w:pStyle w:val="TableText0"/>
            </w:pPr>
            <w:r w:rsidRPr="00211C8B">
              <w:t>0.40 (0.08, 2.06)</w:t>
            </w:r>
          </w:p>
        </w:tc>
      </w:tr>
      <w:tr w:rsidR="00E67C3D" w:rsidRPr="00211C8B" w14:paraId="6F4C5030" w14:textId="77777777" w:rsidTr="006E0426">
        <w:trPr>
          <w:cantSplit/>
        </w:trPr>
        <w:tc>
          <w:tcPr>
            <w:tcW w:w="5000" w:type="pct"/>
            <w:gridSpan w:val="4"/>
          </w:tcPr>
          <w:p w14:paraId="36517D9A" w14:textId="77777777" w:rsidR="00E67C3D" w:rsidRPr="00211C8B" w:rsidRDefault="00907340" w:rsidP="00306CE0">
            <w:pPr>
              <w:pStyle w:val="TableText0"/>
              <w:rPr>
                <w:b/>
                <w:bCs w:val="0"/>
              </w:rPr>
            </w:pPr>
            <w:r w:rsidRPr="00211C8B">
              <w:rPr>
                <w:b/>
                <w:bCs w:val="0"/>
              </w:rPr>
              <w:t>Gonal-f</w:t>
            </w:r>
            <w:r w:rsidR="005F7683" w:rsidRPr="00211C8B">
              <w:rPr>
                <w:b/>
              </w:rPr>
              <w:t xml:space="preserve"> vs Primapur (</w:t>
            </w:r>
            <w:r w:rsidR="00E67C3D" w:rsidRPr="00211C8B">
              <w:rPr>
                <w:b/>
                <w:bCs w:val="0"/>
              </w:rPr>
              <w:t>NCT03088137</w:t>
            </w:r>
            <w:r w:rsidR="005F7683" w:rsidRPr="00211C8B">
              <w:rPr>
                <w:b/>
                <w:bCs w:val="0"/>
              </w:rPr>
              <w:t>)</w:t>
            </w:r>
          </w:p>
        </w:tc>
      </w:tr>
      <w:tr w:rsidR="00E67C3D" w:rsidRPr="00211C8B" w14:paraId="1FD389CD" w14:textId="77777777" w:rsidTr="006E0426">
        <w:trPr>
          <w:cantSplit/>
        </w:trPr>
        <w:tc>
          <w:tcPr>
            <w:tcW w:w="1292" w:type="pct"/>
          </w:tcPr>
          <w:p w14:paraId="5DAD3A12" w14:textId="77777777" w:rsidR="00E67C3D" w:rsidRPr="00211C8B" w:rsidRDefault="00E67C3D" w:rsidP="00306CE0">
            <w:pPr>
              <w:pStyle w:val="TableText0"/>
            </w:pPr>
            <w:r w:rsidRPr="00211C8B">
              <w:t>Ovarian hyperstimulation syndrome</w:t>
            </w:r>
          </w:p>
        </w:tc>
        <w:tc>
          <w:tcPr>
            <w:tcW w:w="1237" w:type="pct"/>
          </w:tcPr>
          <w:p w14:paraId="5999AF76" w14:textId="77777777" w:rsidR="00E67C3D" w:rsidRPr="00211C8B" w:rsidRDefault="00E67C3D" w:rsidP="00306CE0">
            <w:pPr>
              <w:pStyle w:val="TableText0"/>
            </w:pPr>
            <w:r w:rsidRPr="00211C8B">
              <w:rPr>
                <w:color w:val="000000" w:themeColor="text1"/>
              </w:rPr>
              <w:t>2/ 55 (3.64)</w:t>
            </w:r>
          </w:p>
        </w:tc>
        <w:tc>
          <w:tcPr>
            <w:tcW w:w="1239" w:type="pct"/>
          </w:tcPr>
          <w:p w14:paraId="77ED236C" w14:textId="77777777" w:rsidR="00E67C3D" w:rsidRPr="00211C8B" w:rsidRDefault="00E67C3D" w:rsidP="00306CE0">
            <w:pPr>
              <w:pStyle w:val="TableText0"/>
            </w:pPr>
            <w:r w:rsidRPr="00211C8B">
              <w:rPr>
                <w:color w:val="000000" w:themeColor="text1"/>
              </w:rPr>
              <w:t>0/ 55 (0.00)</w:t>
            </w:r>
          </w:p>
        </w:tc>
        <w:tc>
          <w:tcPr>
            <w:tcW w:w="1232" w:type="pct"/>
          </w:tcPr>
          <w:p w14:paraId="5F74D31B" w14:textId="77777777" w:rsidR="00E67C3D" w:rsidRPr="00211C8B" w:rsidRDefault="00E67C3D" w:rsidP="00306CE0">
            <w:pPr>
              <w:pStyle w:val="TableText0"/>
            </w:pPr>
            <w:r w:rsidRPr="00211C8B">
              <w:t>0.20 (0.01, 4.07)</w:t>
            </w:r>
          </w:p>
        </w:tc>
      </w:tr>
      <w:tr w:rsidR="00E67C3D" w:rsidRPr="00211C8B" w14:paraId="2F252451" w14:textId="77777777" w:rsidTr="006E0426">
        <w:trPr>
          <w:cantSplit/>
        </w:trPr>
        <w:tc>
          <w:tcPr>
            <w:tcW w:w="1292" w:type="pct"/>
          </w:tcPr>
          <w:p w14:paraId="115A52E5" w14:textId="77777777" w:rsidR="00E67C3D" w:rsidRPr="00211C8B" w:rsidRDefault="00E67C3D" w:rsidP="00306CE0">
            <w:pPr>
              <w:pStyle w:val="TableText0"/>
            </w:pPr>
            <w:r w:rsidRPr="00211C8B">
              <w:t>Spontaneous miscarriage</w:t>
            </w:r>
          </w:p>
        </w:tc>
        <w:tc>
          <w:tcPr>
            <w:tcW w:w="1237" w:type="pct"/>
          </w:tcPr>
          <w:p w14:paraId="512AD15D" w14:textId="77777777" w:rsidR="00E67C3D" w:rsidRPr="00211C8B" w:rsidRDefault="00E67C3D" w:rsidP="00306CE0">
            <w:pPr>
              <w:pStyle w:val="TableText0"/>
            </w:pPr>
            <w:r w:rsidRPr="00211C8B">
              <w:t>2/55 (3.64)</w:t>
            </w:r>
          </w:p>
        </w:tc>
        <w:tc>
          <w:tcPr>
            <w:tcW w:w="1239" w:type="pct"/>
          </w:tcPr>
          <w:p w14:paraId="72AEC322" w14:textId="77777777" w:rsidR="00E67C3D" w:rsidRPr="00211C8B" w:rsidRDefault="00E67C3D" w:rsidP="00306CE0">
            <w:pPr>
              <w:pStyle w:val="TableText0"/>
            </w:pPr>
            <w:r w:rsidRPr="00211C8B">
              <w:t>0/55(0.00)</w:t>
            </w:r>
          </w:p>
        </w:tc>
        <w:tc>
          <w:tcPr>
            <w:tcW w:w="1232" w:type="pct"/>
          </w:tcPr>
          <w:p w14:paraId="3580F433" w14:textId="77777777" w:rsidR="00E67C3D" w:rsidRPr="00211C8B" w:rsidRDefault="00E67C3D" w:rsidP="00306CE0">
            <w:pPr>
              <w:pStyle w:val="TableText0"/>
            </w:pPr>
            <w:r w:rsidRPr="00211C8B">
              <w:t>0.20 (0.01, 4.07)</w:t>
            </w:r>
          </w:p>
        </w:tc>
      </w:tr>
      <w:tr w:rsidR="00E67C3D" w:rsidRPr="00211C8B" w14:paraId="71A4AFD5" w14:textId="77777777" w:rsidTr="006E0426">
        <w:trPr>
          <w:cantSplit/>
        </w:trPr>
        <w:tc>
          <w:tcPr>
            <w:tcW w:w="5000" w:type="pct"/>
            <w:gridSpan w:val="4"/>
          </w:tcPr>
          <w:p w14:paraId="3EEEFE75" w14:textId="77777777" w:rsidR="00E67C3D" w:rsidRPr="00211C8B" w:rsidRDefault="00907340" w:rsidP="00306CE0">
            <w:pPr>
              <w:pStyle w:val="TableText0"/>
              <w:rPr>
                <w:b/>
                <w:bCs w:val="0"/>
              </w:rPr>
            </w:pPr>
            <w:r w:rsidRPr="00211C8B">
              <w:rPr>
                <w:b/>
                <w:bCs w:val="0"/>
              </w:rPr>
              <w:t>Gonal-f</w:t>
            </w:r>
            <w:r w:rsidR="005F7683" w:rsidRPr="00211C8B">
              <w:rPr>
                <w:b/>
              </w:rPr>
              <w:t xml:space="preserve"> vs Follitrope (</w:t>
            </w:r>
            <w:r w:rsidR="00E67C3D" w:rsidRPr="00211C8B">
              <w:rPr>
                <w:b/>
                <w:bCs w:val="0"/>
              </w:rPr>
              <w:t>NCT03506243</w:t>
            </w:r>
            <w:r w:rsidR="005F7683" w:rsidRPr="00211C8B">
              <w:rPr>
                <w:b/>
                <w:bCs w:val="0"/>
              </w:rPr>
              <w:t>)</w:t>
            </w:r>
          </w:p>
        </w:tc>
      </w:tr>
      <w:tr w:rsidR="00E67C3D" w:rsidRPr="00211C8B" w14:paraId="10C73187" w14:textId="77777777" w:rsidTr="006E0426">
        <w:trPr>
          <w:cantSplit/>
        </w:trPr>
        <w:tc>
          <w:tcPr>
            <w:tcW w:w="1292" w:type="pct"/>
          </w:tcPr>
          <w:p w14:paraId="55FA7CB5" w14:textId="77777777" w:rsidR="00E67C3D" w:rsidRPr="00211C8B" w:rsidRDefault="00E67C3D" w:rsidP="00306CE0">
            <w:pPr>
              <w:pStyle w:val="TableText0"/>
            </w:pPr>
            <w:r w:rsidRPr="00211C8B">
              <w:t>Ovarian hyperstimulation syndrome</w:t>
            </w:r>
          </w:p>
        </w:tc>
        <w:tc>
          <w:tcPr>
            <w:tcW w:w="1237" w:type="pct"/>
          </w:tcPr>
          <w:p w14:paraId="058F0F30" w14:textId="77777777" w:rsidR="00E67C3D" w:rsidRPr="00211C8B" w:rsidRDefault="00E67C3D" w:rsidP="00306CE0">
            <w:pPr>
              <w:pStyle w:val="TableText0"/>
            </w:pPr>
            <w:r w:rsidRPr="00211C8B">
              <w:rPr>
                <w:color w:val="000000" w:themeColor="text1"/>
              </w:rPr>
              <w:t>5/112 (4.46)</w:t>
            </w:r>
          </w:p>
        </w:tc>
        <w:tc>
          <w:tcPr>
            <w:tcW w:w="1239" w:type="pct"/>
          </w:tcPr>
          <w:p w14:paraId="5C465956" w14:textId="77777777" w:rsidR="00E67C3D" w:rsidRPr="00211C8B" w:rsidRDefault="00E67C3D" w:rsidP="00306CE0">
            <w:pPr>
              <w:pStyle w:val="TableText0"/>
            </w:pPr>
            <w:r w:rsidRPr="00211C8B">
              <w:rPr>
                <w:color w:val="000000" w:themeColor="text1"/>
              </w:rPr>
              <w:t>4/ 339 (1.18)</w:t>
            </w:r>
          </w:p>
        </w:tc>
        <w:tc>
          <w:tcPr>
            <w:tcW w:w="1232" w:type="pct"/>
          </w:tcPr>
          <w:p w14:paraId="11DE1B3A" w14:textId="77777777" w:rsidR="00E67C3D" w:rsidRPr="00211C8B" w:rsidRDefault="00E67C3D" w:rsidP="00306CE0">
            <w:pPr>
              <w:pStyle w:val="TableText0"/>
            </w:pPr>
            <w:r w:rsidRPr="00211C8B">
              <w:rPr>
                <w:color w:val="000000" w:themeColor="text1"/>
              </w:rPr>
              <w:t>0.26 (0.07, 0.97)</w:t>
            </w:r>
          </w:p>
        </w:tc>
      </w:tr>
    </w:tbl>
    <w:p w14:paraId="44C3B706" w14:textId="77777777" w:rsidR="005F7683" w:rsidRPr="00211C8B" w:rsidRDefault="005F7683" w:rsidP="009D4C0F">
      <w:pPr>
        <w:pStyle w:val="TableFigureFooter"/>
        <w:rPr>
          <w:rFonts w:eastAsia="Calibri"/>
        </w:rPr>
      </w:pPr>
      <w:r w:rsidRPr="00211C8B">
        <w:t xml:space="preserve">Source: </w:t>
      </w:r>
      <w:r w:rsidR="00444B08" w:rsidRPr="00211C8B">
        <w:t>C</w:t>
      </w:r>
      <w:r w:rsidRPr="00211C8B">
        <w:t>ompiled during evaluation using supplementary Table 4 of Chua et al. 2021 meta-analysis and the five RCT papers</w:t>
      </w:r>
    </w:p>
    <w:p w14:paraId="235136C0" w14:textId="77777777" w:rsidR="009D4C0F" w:rsidRPr="00211C8B" w:rsidRDefault="00E67C3D" w:rsidP="009D4C0F">
      <w:pPr>
        <w:pStyle w:val="TableFigureFooter"/>
      </w:pPr>
      <w:r w:rsidRPr="00211C8B">
        <w:rPr>
          <w:rFonts w:eastAsia="Calibri"/>
        </w:rPr>
        <w:t xml:space="preserve">CI = confidence interval; </w:t>
      </w:r>
      <w:r w:rsidR="005F7683" w:rsidRPr="00211C8B">
        <w:rPr>
          <w:rFonts w:eastAsia="Calibri"/>
        </w:rPr>
        <w:t xml:space="preserve">RCT = randomised controlled trial; </w:t>
      </w:r>
      <w:r w:rsidRPr="00211C8B">
        <w:rPr>
          <w:rFonts w:eastAsia="Calibri"/>
        </w:rPr>
        <w:t>RD = risk difference; RR = relative risk</w:t>
      </w:r>
    </w:p>
    <w:p w14:paraId="7DAE27DB" w14:textId="77777777" w:rsidR="006E0426" w:rsidRPr="00211C8B" w:rsidRDefault="006E0426">
      <w:pPr>
        <w:jc w:val="left"/>
        <w:rPr>
          <w:rFonts w:asciiTheme="minorHAnsi" w:eastAsiaTheme="majorEastAsia" w:hAnsiTheme="minorHAnsi" w:cstheme="majorBidi"/>
          <w:b/>
          <w:spacing w:val="5"/>
          <w:kern w:val="28"/>
          <w:sz w:val="28"/>
          <w:szCs w:val="36"/>
        </w:rPr>
      </w:pPr>
      <w:bookmarkStart w:id="33" w:name="_Toc79702744"/>
      <w:r w:rsidRPr="00211C8B">
        <w:br w:type="page"/>
      </w:r>
    </w:p>
    <w:p w14:paraId="1D3C0109" w14:textId="77777777" w:rsidR="00444B08" w:rsidRPr="00211C8B" w:rsidRDefault="009D4C0F" w:rsidP="0079458F">
      <w:pPr>
        <w:pStyle w:val="4-SubsectionHeading"/>
      </w:pPr>
      <w:bookmarkStart w:id="34" w:name="_Toc82610362"/>
      <w:r w:rsidRPr="00211C8B">
        <w:t>Benefits/harms</w:t>
      </w:r>
      <w:bookmarkEnd w:id="33"/>
      <w:bookmarkEnd w:id="34"/>
    </w:p>
    <w:p w14:paraId="22006F24" w14:textId="77777777" w:rsidR="00CD4AAF" w:rsidRDefault="00CD4AAF" w:rsidP="00D31A3E">
      <w:pPr>
        <w:pStyle w:val="TableFigureHeading"/>
      </w:pPr>
      <w:r>
        <w:t xml:space="preserve">Table </w:t>
      </w:r>
      <w:r w:rsidR="00360359">
        <w:rPr>
          <w:noProof/>
        </w:rPr>
        <w:t>9</w:t>
      </w:r>
      <w:r>
        <w:t xml:space="preserve">: </w:t>
      </w:r>
      <w:r w:rsidRPr="009A58D4">
        <w:t>Summary of comparative benefits and harms for Gonal-f and biosimilar preparations of follitropin alfa</w:t>
      </w:r>
    </w:p>
    <w:tbl>
      <w:tblPr>
        <w:tblW w:w="5000" w:type="pct"/>
        <w:tblLayout w:type="fixed"/>
        <w:tblCellMar>
          <w:left w:w="28" w:type="dxa"/>
          <w:right w:w="28" w:type="dxa"/>
        </w:tblCellMar>
        <w:tblLook w:val="04A0" w:firstRow="1" w:lastRow="0" w:firstColumn="1" w:lastColumn="0" w:noHBand="0" w:noVBand="1"/>
        <w:tblCaption w:val="Summary of comparative benefits and harms for Gonal-f and biosimilar preparations of follitropin alfa"/>
        <w:tblDescription w:val="Summary of comparative benefits and harms for Gonal-f and biosimilar preparations of follitropin alfa"/>
      </w:tblPr>
      <w:tblGrid>
        <w:gridCol w:w="1144"/>
        <w:gridCol w:w="8"/>
        <w:gridCol w:w="8"/>
        <w:gridCol w:w="1136"/>
        <w:gridCol w:w="7"/>
        <w:gridCol w:w="1275"/>
        <w:gridCol w:w="7"/>
        <w:gridCol w:w="1547"/>
        <w:gridCol w:w="9"/>
        <w:gridCol w:w="1125"/>
        <w:gridCol w:w="7"/>
        <w:gridCol w:w="83"/>
        <w:gridCol w:w="1127"/>
        <w:gridCol w:w="144"/>
        <w:gridCol w:w="7"/>
        <w:gridCol w:w="1383"/>
      </w:tblGrid>
      <w:tr w:rsidR="005F7683" w:rsidRPr="00211C8B" w14:paraId="29E637E0" w14:textId="77777777" w:rsidTr="00D31A3E">
        <w:trPr>
          <w:trHeight w:val="150"/>
          <w:tblHeader/>
        </w:trPr>
        <w:tc>
          <w:tcPr>
            <w:tcW w:w="63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B48CC0" w14:textId="77777777" w:rsidR="005F7683" w:rsidRPr="00211C8B" w:rsidRDefault="005F7683" w:rsidP="00444B08">
            <w:pPr>
              <w:rPr>
                <w:b/>
                <w:bCs/>
              </w:rPr>
            </w:pPr>
            <w:r w:rsidRPr="00211C8B">
              <w:rPr>
                <w:b/>
                <w:bCs/>
              </w:rPr>
              <w:t>Trial</w:t>
            </w:r>
          </w:p>
        </w:tc>
        <w:tc>
          <w:tcPr>
            <w:tcW w:w="638" w:type="pct"/>
            <w:gridSpan w:val="3"/>
            <w:vMerge w:val="restart"/>
            <w:tcBorders>
              <w:top w:val="single" w:sz="4" w:space="0" w:color="auto"/>
              <w:left w:val="single" w:sz="4" w:space="0" w:color="auto"/>
              <w:bottom w:val="single" w:sz="4" w:space="0" w:color="auto"/>
              <w:right w:val="single" w:sz="4" w:space="0" w:color="auto"/>
            </w:tcBorders>
            <w:vAlign w:val="center"/>
          </w:tcPr>
          <w:p w14:paraId="7A885EF7" w14:textId="77777777" w:rsidR="005F7683" w:rsidRPr="00211C8B" w:rsidRDefault="00907340" w:rsidP="00444B08">
            <w:pPr>
              <w:pStyle w:val="In-tableHeading"/>
              <w:keepNext w:val="0"/>
              <w:jc w:val="center"/>
              <w:rPr>
                <w:lang w:val="en-AU"/>
              </w:rPr>
            </w:pPr>
            <w:r w:rsidRPr="00211C8B">
              <w:rPr>
                <w:lang w:val="en-AU"/>
              </w:rPr>
              <w:t>Gonal-f</w:t>
            </w:r>
          </w:p>
          <w:p w14:paraId="5CB012EE" w14:textId="77777777" w:rsidR="005F7683" w:rsidRPr="00211C8B" w:rsidRDefault="005F7683" w:rsidP="00444B08">
            <w:pPr>
              <w:pStyle w:val="In-tableHeading"/>
              <w:keepNext w:val="0"/>
              <w:jc w:val="center"/>
              <w:rPr>
                <w:lang w:val="en-AU"/>
              </w:rPr>
            </w:pPr>
            <w:r w:rsidRPr="00211C8B">
              <w:rPr>
                <w:lang w:val="en-AU"/>
              </w:rPr>
              <w:t>n/N</w:t>
            </w:r>
          </w:p>
        </w:tc>
        <w:tc>
          <w:tcPr>
            <w:tcW w:w="711" w:type="pct"/>
            <w:gridSpan w:val="2"/>
            <w:vMerge w:val="restart"/>
            <w:tcBorders>
              <w:top w:val="single" w:sz="4" w:space="0" w:color="auto"/>
              <w:left w:val="single" w:sz="4" w:space="0" w:color="auto"/>
              <w:bottom w:val="single" w:sz="4" w:space="0" w:color="auto"/>
              <w:right w:val="single" w:sz="4" w:space="0" w:color="auto"/>
            </w:tcBorders>
            <w:vAlign w:val="center"/>
          </w:tcPr>
          <w:p w14:paraId="69D30F32" w14:textId="77777777" w:rsidR="005F7683" w:rsidRPr="00211C8B" w:rsidRDefault="005F7683" w:rsidP="00444B08">
            <w:pPr>
              <w:pStyle w:val="In-tableHeading"/>
              <w:keepNext w:val="0"/>
              <w:jc w:val="center"/>
              <w:rPr>
                <w:lang w:val="en-AU"/>
              </w:rPr>
            </w:pPr>
            <w:r w:rsidRPr="00211C8B">
              <w:rPr>
                <w:lang w:val="en-AU"/>
              </w:rPr>
              <w:t>Biosimilar preparations</w:t>
            </w:r>
          </w:p>
          <w:p w14:paraId="60FAF017" w14:textId="77777777" w:rsidR="005F7683" w:rsidRPr="00211C8B" w:rsidRDefault="005F7683" w:rsidP="00444B08">
            <w:pPr>
              <w:pStyle w:val="In-tableHeading"/>
              <w:keepNext w:val="0"/>
              <w:jc w:val="center"/>
              <w:rPr>
                <w:lang w:val="en-AU"/>
              </w:rPr>
            </w:pPr>
            <w:r w:rsidRPr="00211C8B">
              <w:rPr>
                <w:lang w:val="en-AU"/>
              </w:rPr>
              <w:t>n/N</w:t>
            </w:r>
          </w:p>
        </w:tc>
        <w:tc>
          <w:tcPr>
            <w:tcW w:w="862" w:type="pct"/>
            <w:gridSpan w:val="2"/>
            <w:vMerge w:val="restart"/>
            <w:tcBorders>
              <w:top w:val="single" w:sz="4" w:space="0" w:color="auto"/>
              <w:left w:val="single" w:sz="4" w:space="0" w:color="auto"/>
              <w:bottom w:val="single" w:sz="4" w:space="0" w:color="auto"/>
              <w:right w:val="single" w:sz="4" w:space="0" w:color="auto"/>
            </w:tcBorders>
            <w:vAlign w:val="center"/>
          </w:tcPr>
          <w:p w14:paraId="15D99706" w14:textId="77777777" w:rsidR="005F7683" w:rsidRPr="00211C8B" w:rsidRDefault="005F7683" w:rsidP="00444B08">
            <w:pPr>
              <w:pStyle w:val="In-tableHeading"/>
              <w:keepNext w:val="0"/>
              <w:jc w:val="center"/>
              <w:rPr>
                <w:lang w:val="en-AU"/>
              </w:rPr>
            </w:pPr>
            <w:r w:rsidRPr="00211C8B">
              <w:rPr>
                <w:lang w:val="en-AU"/>
              </w:rPr>
              <w:t>RR</w:t>
            </w:r>
          </w:p>
          <w:p w14:paraId="57836D89" w14:textId="77777777" w:rsidR="005F7683" w:rsidRPr="00211C8B" w:rsidRDefault="005F7683" w:rsidP="00444B08">
            <w:pPr>
              <w:pStyle w:val="In-tableHeading"/>
              <w:keepNext w:val="0"/>
              <w:jc w:val="center"/>
              <w:rPr>
                <w:lang w:val="en-AU"/>
              </w:rPr>
            </w:pPr>
            <w:r w:rsidRPr="00211C8B">
              <w:rPr>
                <w:lang w:val="en-AU"/>
              </w:rPr>
              <w:t>(95% CI)</w:t>
            </w:r>
          </w:p>
        </w:tc>
        <w:tc>
          <w:tcPr>
            <w:tcW w:w="1304" w:type="pct"/>
            <w:gridSpan w:val="5"/>
            <w:tcBorders>
              <w:top w:val="single" w:sz="4" w:space="0" w:color="auto"/>
              <w:left w:val="single" w:sz="4" w:space="0" w:color="auto"/>
              <w:bottom w:val="single" w:sz="4" w:space="0" w:color="auto"/>
              <w:right w:val="single" w:sz="4" w:space="0" w:color="auto"/>
            </w:tcBorders>
            <w:vAlign w:val="center"/>
          </w:tcPr>
          <w:p w14:paraId="680E0EFD" w14:textId="77777777" w:rsidR="005F7683" w:rsidRPr="00211C8B" w:rsidRDefault="005F7683" w:rsidP="00444B08">
            <w:pPr>
              <w:pStyle w:val="In-tableHeading"/>
              <w:keepNext w:val="0"/>
              <w:jc w:val="center"/>
              <w:rPr>
                <w:lang w:val="en-AU"/>
              </w:rPr>
            </w:pPr>
            <w:r w:rsidRPr="00211C8B">
              <w:rPr>
                <w:lang w:val="en-AU"/>
              </w:rPr>
              <w:t>Event rate/100 patients*</w:t>
            </w:r>
          </w:p>
        </w:tc>
        <w:tc>
          <w:tcPr>
            <w:tcW w:w="852" w:type="pct"/>
            <w:gridSpan w:val="3"/>
            <w:vMerge w:val="restart"/>
            <w:tcBorders>
              <w:top w:val="single" w:sz="4" w:space="0" w:color="auto"/>
              <w:left w:val="single" w:sz="4" w:space="0" w:color="auto"/>
              <w:bottom w:val="single" w:sz="4" w:space="0" w:color="auto"/>
              <w:right w:val="single" w:sz="4" w:space="0" w:color="auto"/>
            </w:tcBorders>
            <w:vAlign w:val="center"/>
          </w:tcPr>
          <w:p w14:paraId="7E61E12A" w14:textId="77777777" w:rsidR="005F7683" w:rsidRPr="00211C8B" w:rsidRDefault="005F7683" w:rsidP="00444B08">
            <w:pPr>
              <w:pStyle w:val="In-tableHeading"/>
              <w:keepNext w:val="0"/>
              <w:jc w:val="center"/>
              <w:rPr>
                <w:lang w:val="en-AU"/>
              </w:rPr>
            </w:pPr>
            <w:r w:rsidRPr="00211C8B">
              <w:rPr>
                <w:lang w:val="en-AU"/>
              </w:rPr>
              <w:t>RD</w:t>
            </w:r>
          </w:p>
          <w:p w14:paraId="0C07FF9F" w14:textId="77777777" w:rsidR="005F7683" w:rsidRPr="00211C8B" w:rsidRDefault="005F7683" w:rsidP="00444B08">
            <w:pPr>
              <w:pStyle w:val="In-tableHeading"/>
              <w:keepNext w:val="0"/>
              <w:jc w:val="center"/>
              <w:rPr>
                <w:lang w:val="en-AU"/>
              </w:rPr>
            </w:pPr>
            <w:r w:rsidRPr="00211C8B">
              <w:rPr>
                <w:lang w:val="en-AU"/>
              </w:rPr>
              <w:t>(95% CI)</w:t>
            </w:r>
          </w:p>
        </w:tc>
      </w:tr>
      <w:tr w:rsidR="005F7683" w:rsidRPr="00211C8B" w14:paraId="6FB7FEB5" w14:textId="77777777" w:rsidTr="00D31A3E">
        <w:trPr>
          <w:trHeight w:val="315"/>
        </w:trPr>
        <w:tc>
          <w:tcPr>
            <w:tcW w:w="63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FFA604B" w14:textId="77777777" w:rsidR="005F7683" w:rsidRPr="00211C8B" w:rsidRDefault="005F7683" w:rsidP="00444B08">
            <w:pPr>
              <w:pStyle w:val="In-tableHeading"/>
              <w:keepNext w:val="0"/>
              <w:jc w:val="center"/>
              <w:rPr>
                <w:lang w:val="en-AU"/>
              </w:rPr>
            </w:pPr>
          </w:p>
        </w:tc>
        <w:tc>
          <w:tcPr>
            <w:tcW w:w="638" w:type="pct"/>
            <w:gridSpan w:val="3"/>
            <w:vMerge/>
            <w:tcBorders>
              <w:top w:val="single" w:sz="4" w:space="0" w:color="auto"/>
              <w:left w:val="single" w:sz="4" w:space="0" w:color="auto"/>
              <w:bottom w:val="single" w:sz="4" w:space="0" w:color="auto"/>
              <w:right w:val="single" w:sz="4" w:space="0" w:color="auto"/>
            </w:tcBorders>
            <w:vAlign w:val="center"/>
          </w:tcPr>
          <w:p w14:paraId="434D07DF" w14:textId="77777777" w:rsidR="005F7683" w:rsidRPr="00211C8B" w:rsidRDefault="005F7683" w:rsidP="00444B08">
            <w:pPr>
              <w:pStyle w:val="In-tableHeading"/>
              <w:keepNext w:val="0"/>
              <w:jc w:val="center"/>
              <w:rPr>
                <w:lang w:val="en-AU"/>
              </w:rPr>
            </w:pPr>
          </w:p>
        </w:tc>
        <w:tc>
          <w:tcPr>
            <w:tcW w:w="711" w:type="pct"/>
            <w:gridSpan w:val="2"/>
            <w:vMerge/>
            <w:tcBorders>
              <w:top w:val="single" w:sz="4" w:space="0" w:color="auto"/>
              <w:left w:val="single" w:sz="4" w:space="0" w:color="auto"/>
              <w:bottom w:val="single" w:sz="4" w:space="0" w:color="auto"/>
              <w:right w:val="single" w:sz="4" w:space="0" w:color="auto"/>
            </w:tcBorders>
            <w:vAlign w:val="center"/>
          </w:tcPr>
          <w:p w14:paraId="7D33BBC4" w14:textId="77777777" w:rsidR="005F7683" w:rsidRPr="00211C8B" w:rsidRDefault="005F7683" w:rsidP="00444B08">
            <w:pPr>
              <w:pStyle w:val="In-tableHeading"/>
              <w:keepNext w:val="0"/>
              <w:jc w:val="center"/>
              <w:rPr>
                <w:lang w:val="en-AU"/>
              </w:rPr>
            </w:pPr>
          </w:p>
        </w:tc>
        <w:tc>
          <w:tcPr>
            <w:tcW w:w="862" w:type="pct"/>
            <w:gridSpan w:val="2"/>
            <w:vMerge/>
            <w:tcBorders>
              <w:top w:val="single" w:sz="4" w:space="0" w:color="auto"/>
              <w:left w:val="single" w:sz="4" w:space="0" w:color="auto"/>
              <w:bottom w:val="single" w:sz="4" w:space="0" w:color="auto"/>
              <w:right w:val="single" w:sz="4" w:space="0" w:color="auto"/>
            </w:tcBorders>
            <w:vAlign w:val="center"/>
          </w:tcPr>
          <w:p w14:paraId="44B75287" w14:textId="77777777" w:rsidR="005F7683" w:rsidRPr="00211C8B" w:rsidRDefault="005F7683" w:rsidP="00444B08">
            <w:pPr>
              <w:pStyle w:val="In-tableHeading"/>
              <w:keepNext w:val="0"/>
              <w:jc w:val="center"/>
              <w:rPr>
                <w:lang w:val="en-AU"/>
              </w:rPr>
            </w:pPr>
          </w:p>
        </w:tc>
        <w:tc>
          <w:tcPr>
            <w:tcW w:w="679" w:type="pct"/>
            <w:gridSpan w:val="4"/>
            <w:tcBorders>
              <w:top w:val="single" w:sz="4" w:space="0" w:color="auto"/>
              <w:left w:val="single" w:sz="4" w:space="0" w:color="auto"/>
              <w:bottom w:val="single" w:sz="4" w:space="0" w:color="auto"/>
              <w:right w:val="single" w:sz="4" w:space="0" w:color="auto"/>
            </w:tcBorders>
            <w:vAlign w:val="center"/>
          </w:tcPr>
          <w:p w14:paraId="47E5D67D" w14:textId="77777777" w:rsidR="005F7683" w:rsidRPr="00211C8B" w:rsidRDefault="00907340" w:rsidP="00444B08">
            <w:pPr>
              <w:pStyle w:val="In-tableHeading"/>
              <w:keepNext w:val="0"/>
              <w:jc w:val="center"/>
              <w:rPr>
                <w:lang w:val="en-AU"/>
              </w:rPr>
            </w:pPr>
            <w:r w:rsidRPr="00211C8B">
              <w:rPr>
                <w:lang w:val="en-AU"/>
              </w:rPr>
              <w:t>Gonal-f</w:t>
            </w:r>
          </w:p>
          <w:p w14:paraId="57626442" w14:textId="77777777" w:rsidR="005F7683" w:rsidRPr="00211C8B" w:rsidRDefault="005F7683" w:rsidP="00444B08">
            <w:pPr>
              <w:pStyle w:val="In-tableHeading"/>
              <w:keepNext w:val="0"/>
              <w:jc w:val="center"/>
              <w:rPr>
                <w:lang w:val="en-AU"/>
              </w:rPr>
            </w:pPr>
            <w:r w:rsidRPr="00211C8B">
              <w:rPr>
                <w:lang w:val="en-AU"/>
              </w:rPr>
              <w:t>n/N (%)</w:t>
            </w:r>
          </w:p>
        </w:tc>
        <w:tc>
          <w:tcPr>
            <w:tcW w:w="625" w:type="pct"/>
            <w:tcBorders>
              <w:top w:val="single" w:sz="4" w:space="0" w:color="auto"/>
              <w:left w:val="single" w:sz="4" w:space="0" w:color="auto"/>
              <w:bottom w:val="single" w:sz="4" w:space="0" w:color="auto"/>
              <w:right w:val="single" w:sz="4" w:space="0" w:color="auto"/>
            </w:tcBorders>
            <w:vAlign w:val="center"/>
          </w:tcPr>
          <w:p w14:paraId="74AD1290" w14:textId="77777777" w:rsidR="005F7683" w:rsidRPr="00211C8B" w:rsidRDefault="005F7683" w:rsidP="00444B08">
            <w:pPr>
              <w:pStyle w:val="In-tableHeading"/>
              <w:keepNext w:val="0"/>
              <w:jc w:val="center"/>
              <w:rPr>
                <w:lang w:val="en-AU"/>
              </w:rPr>
            </w:pPr>
            <w:r w:rsidRPr="00211C8B">
              <w:rPr>
                <w:lang w:val="en-AU"/>
              </w:rPr>
              <w:t>Biosimilar preparations</w:t>
            </w:r>
          </w:p>
          <w:p w14:paraId="2EAE0F4E" w14:textId="77777777" w:rsidR="005F7683" w:rsidRPr="00211C8B" w:rsidRDefault="005F7683" w:rsidP="00444B08">
            <w:pPr>
              <w:pStyle w:val="In-tableHeading"/>
              <w:keepNext w:val="0"/>
              <w:jc w:val="center"/>
              <w:rPr>
                <w:lang w:val="en-AU"/>
              </w:rPr>
            </w:pPr>
            <w:r w:rsidRPr="00211C8B">
              <w:rPr>
                <w:lang w:val="en-AU"/>
              </w:rPr>
              <w:t>n/N (%)</w:t>
            </w:r>
          </w:p>
        </w:tc>
        <w:tc>
          <w:tcPr>
            <w:tcW w:w="852" w:type="pct"/>
            <w:gridSpan w:val="3"/>
            <w:vMerge/>
            <w:tcBorders>
              <w:top w:val="single" w:sz="4" w:space="0" w:color="auto"/>
              <w:left w:val="single" w:sz="4" w:space="0" w:color="auto"/>
              <w:bottom w:val="single" w:sz="4" w:space="0" w:color="auto"/>
              <w:right w:val="single" w:sz="4" w:space="0" w:color="auto"/>
            </w:tcBorders>
            <w:vAlign w:val="center"/>
          </w:tcPr>
          <w:p w14:paraId="668DF9E0" w14:textId="77777777" w:rsidR="005F7683" w:rsidRPr="00211C8B" w:rsidRDefault="005F7683" w:rsidP="00444B08">
            <w:pPr>
              <w:pStyle w:val="In-tableHeading"/>
              <w:keepNext w:val="0"/>
              <w:jc w:val="center"/>
              <w:rPr>
                <w:lang w:val="en-AU"/>
              </w:rPr>
            </w:pPr>
          </w:p>
        </w:tc>
      </w:tr>
      <w:tr w:rsidR="005F7683" w:rsidRPr="00211C8B" w14:paraId="7BB78CA1" w14:textId="77777777" w:rsidTr="00D31A3E">
        <w:tc>
          <w:tcPr>
            <w:tcW w:w="5000" w:type="pct"/>
            <w:gridSpan w:val="16"/>
            <w:tcBorders>
              <w:top w:val="single" w:sz="4" w:space="0" w:color="auto"/>
              <w:left w:val="single" w:sz="4" w:space="0" w:color="auto"/>
              <w:bottom w:val="double" w:sz="4" w:space="0" w:color="auto"/>
              <w:right w:val="single" w:sz="4" w:space="0" w:color="auto"/>
            </w:tcBorders>
            <w:shd w:val="clear" w:color="auto" w:fill="auto"/>
            <w:vAlign w:val="center"/>
          </w:tcPr>
          <w:p w14:paraId="00B35B05" w14:textId="77777777" w:rsidR="005F7683" w:rsidRPr="00211C8B" w:rsidRDefault="005F7683" w:rsidP="00444B08">
            <w:pPr>
              <w:pStyle w:val="In-tableHeading"/>
              <w:keepNext w:val="0"/>
              <w:rPr>
                <w:lang w:val="en-AU"/>
              </w:rPr>
            </w:pPr>
            <w:r w:rsidRPr="00211C8B">
              <w:rPr>
                <w:lang w:val="en-AU"/>
              </w:rPr>
              <w:t>Benefits</w:t>
            </w:r>
          </w:p>
        </w:tc>
      </w:tr>
      <w:tr w:rsidR="005F7683" w:rsidRPr="00211C8B" w14:paraId="13055937" w14:textId="77777777" w:rsidTr="00D31A3E">
        <w:tc>
          <w:tcPr>
            <w:tcW w:w="5000" w:type="pct"/>
            <w:gridSpan w:val="16"/>
            <w:tcBorders>
              <w:top w:val="double" w:sz="4" w:space="0" w:color="auto"/>
              <w:left w:val="single" w:sz="4" w:space="0" w:color="auto"/>
              <w:bottom w:val="single" w:sz="4" w:space="0" w:color="auto"/>
              <w:right w:val="single" w:sz="4" w:space="0" w:color="auto"/>
            </w:tcBorders>
            <w:shd w:val="clear" w:color="auto" w:fill="auto"/>
            <w:vAlign w:val="center"/>
          </w:tcPr>
          <w:p w14:paraId="4B9AF712" w14:textId="77777777" w:rsidR="005F7683" w:rsidRPr="00211C8B" w:rsidRDefault="005F7683" w:rsidP="00444B08">
            <w:pPr>
              <w:pStyle w:val="In-tableHeading"/>
              <w:keepNext w:val="0"/>
              <w:rPr>
                <w:lang w:val="en-AU"/>
              </w:rPr>
            </w:pPr>
            <w:r w:rsidRPr="00211C8B">
              <w:rPr>
                <w:lang w:val="en-AU"/>
              </w:rPr>
              <w:t>Live birth rate (after 1 cycle)</w:t>
            </w:r>
          </w:p>
        </w:tc>
      </w:tr>
      <w:tr w:rsidR="005F7683" w:rsidRPr="00211C8B" w14:paraId="0EAD2451" w14:textId="77777777" w:rsidTr="00D31A3E">
        <w:tc>
          <w:tcPr>
            <w:tcW w:w="634" w:type="pct"/>
            <w:tcBorders>
              <w:top w:val="single" w:sz="4" w:space="0" w:color="auto"/>
              <w:left w:val="single" w:sz="4" w:space="0" w:color="auto"/>
              <w:bottom w:val="single" w:sz="4" w:space="0" w:color="auto"/>
              <w:right w:val="single" w:sz="4" w:space="0" w:color="auto"/>
            </w:tcBorders>
            <w:shd w:val="clear" w:color="auto" w:fill="auto"/>
          </w:tcPr>
          <w:p w14:paraId="4F3C4721" w14:textId="77777777" w:rsidR="005F7683" w:rsidRPr="00211C8B" w:rsidRDefault="005F7683" w:rsidP="00444B08">
            <w:pPr>
              <w:pStyle w:val="TableText0"/>
              <w:keepNext w:val="0"/>
            </w:pPr>
            <w:r w:rsidRPr="00211C8B">
              <w:rPr>
                <w:color w:val="000000" w:themeColor="text1"/>
                <w:szCs w:val="20"/>
                <w:lang w:eastAsia="zh-CN"/>
              </w:rPr>
              <w:t>NCT01121666</w:t>
            </w:r>
          </w:p>
        </w:tc>
        <w:tc>
          <w:tcPr>
            <w:tcW w:w="638" w:type="pct"/>
            <w:gridSpan w:val="3"/>
            <w:tcBorders>
              <w:top w:val="single" w:sz="4" w:space="0" w:color="auto"/>
              <w:left w:val="single" w:sz="4" w:space="0" w:color="auto"/>
              <w:bottom w:val="single" w:sz="4" w:space="0" w:color="auto"/>
              <w:right w:val="single" w:sz="4" w:space="0" w:color="auto"/>
            </w:tcBorders>
            <w:vAlign w:val="center"/>
          </w:tcPr>
          <w:p w14:paraId="5681A703" w14:textId="77777777" w:rsidR="005F7683" w:rsidRPr="00211C8B" w:rsidRDefault="005F7683" w:rsidP="00444B08">
            <w:pPr>
              <w:pStyle w:val="TableText0"/>
              <w:keepNext w:val="0"/>
              <w:jc w:val="center"/>
            </w:pPr>
            <w:r w:rsidRPr="00211C8B">
              <w:rPr>
                <w:color w:val="000000" w:themeColor="text1"/>
              </w:rPr>
              <w:t>50/123</w:t>
            </w:r>
          </w:p>
        </w:tc>
        <w:tc>
          <w:tcPr>
            <w:tcW w:w="711" w:type="pct"/>
            <w:gridSpan w:val="2"/>
            <w:tcBorders>
              <w:top w:val="single" w:sz="4" w:space="0" w:color="auto"/>
              <w:left w:val="single" w:sz="4" w:space="0" w:color="auto"/>
              <w:bottom w:val="single" w:sz="4" w:space="0" w:color="auto"/>
              <w:right w:val="single" w:sz="4" w:space="0" w:color="auto"/>
            </w:tcBorders>
            <w:vAlign w:val="center"/>
          </w:tcPr>
          <w:p w14:paraId="46F0F8C1" w14:textId="77777777" w:rsidR="005F7683" w:rsidRPr="00211C8B" w:rsidRDefault="005F7683" w:rsidP="00444B08">
            <w:pPr>
              <w:pStyle w:val="TableText0"/>
              <w:keepNext w:val="0"/>
              <w:jc w:val="center"/>
            </w:pPr>
            <w:r w:rsidRPr="00211C8B">
              <w:rPr>
                <w:color w:val="000000" w:themeColor="text1"/>
              </w:rPr>
              <w:t>80/249</w:t>
            </w:r>
          </w:p>
        </w:tc>
        <w:tc>
          <w:tcPr>
            <w:tcW w:w="862" w:type="pct"/>
            <w:gridSpan w:val="2"/>
            <w:tcBorders>
              <w:top w:val="single" w:sz="4" w:space="0" w:color="auto"/>
              <w:left w:val="single" w:sz="4" w:space="0" w:color="auto"/>
              <w:bottom w:val="single" w:sz="4" w:space="0" w:color="auto"/>
              <w:right w:val="single" w:sz="4" w:space="0" w:color="auto"/>
            </w:tcBorders>
            <w:vAlign w:val="center"/>
          </w:tcPr>
          <w:p w14:paraId="2583D5B6" w14:textId="77777777" w:rsidR="005F7683" w:rsidRPr="00211C8B" w:rsidRDefault="005F7683" w:rsidP="00444B08">
            <w:pPr>
              <w:pStyle w:val="TableText0"/>
              <w:keepNext w:val="0"/>
              <w:jc w:val="center"/>
            </w:pPr>
            <w:r w:rsidRPr="00211C8B">
              <w:rPr>
                <w:color w:val="000000" w:themeColor="text1"/>
              </w:rPr>
              <w:t>0.79 (0.60, 1.0</w:t>
            </w:r>
            <w:r w:rsidR="00A41237" w:rsidRPr="00211C8B">
              <w:rPr>
                <w:color w:val="000000" w:themeColor="text1"/>
              </w:rPr>
              <w:t>5</w:t>
            </w:r>
            <w:r w:rsidRPr="00211C8B">
              <w:rPr>
                <w:color w:val="000000" w:themeColor="text1"/>
              </w:rPr>
              <w:t>)</w:t>
            </w:r>
          </w:p>
        </w:tc>
        <w:tc>
          <w:tcPr>
            <w:tcW w:w="679" w:type="pct"/>
            <w:gridSpan w:val="4"/>
            <w:tcBorders>
              <w:top w:val="single" w:sz="4" w:space="0" w:color="auto"/>
              <w:left w:val="single" w:sz="4" w:space="0" w:color="auto"/>
              <w:bottom w:val="single" w:sz="4" w:space="0" w:color="auto"/>
              <w:right w:val="single" w:sz="4" w:space="0" w:color="auto"/>
            </w:tcBorders>
            <w:vAlign w:val="center"/>
          </w:tcPr>
          <w:p w14:paraId="4DAA798A" w14:textId="77777777" w:rsidR="005F7683" w:rsidRPr="00211C8B" w:rsidRDefault="005F7683" w:rsidP="00444B08">
            <w:pPr>
              <w:pStyle w:val="TableText0"/>
              <w:keepNext w:val="0"/>
              <w:jc w:val="center"/>
            </w:pPr>
            <w:r w:rsidRPr="00211C8B">
              <w:t>40.7</w:t>
            </w:r>
          </w:p>
        </w:tc>
        <w:tc>
          <w:tcPr>
            <w:tcW w:w="625" w:type="pct"/>
            <w:tcBorders>
              <w:top w:val="single" w:sz="4" w:space="0" w:color="auto"/>
              <w:left w:val="single" w:sz="4" w:space="0" w:color="auto"/>
              <w:bottom w:val="single" w:sz="4" w:space="0" w:color="auto"/>
              <w:right w:val="single" w:sz="4" w:space="0" w:color="auto"/>
            </w:tcBorders>
            <w:vAlign w:val="center"/>
          </w:tcPr>
          <w:p w14:paraId="2005757B" w14:textId="77777777" w:rsidR="005F7683" w:rsidRPr="00211C8B" w:rsidRDefault="005F7683" w:rsidP="00444B08">
            <w:pPr>
              <w:pStyle w:val="TableText0"/>
              <w:keepNext w:val="0"/>
              <w:jc w:val="center"/>
            </w:pPr>
            <w:r w:rsidRPr="00211C8B">
              <w:t>32.1</w:t>
            </w:r>
          </w:p>
        </w:tc>
        <w:tc>
          <w:tcPr>
            <w:tcW w:w="852" w:type="pct"/>
            <w:gridSpan w:val="3"/>
            <w:tcBorders>
              <w:top w:val="single" w:sz="4" w:space="0" w:color="auto"/>
              <w:left w:val="single" w:sz="4" w:space="0" w:color="auto"/>
              <w:bottom w:val="single" w:sz="4" w:space="0" w:color="auto"/>
              <w:right w:val="single" w:sz="4" w:space="0" w:color="auto"/>
            </w:tcBorders>
            <w:vAlign w:val="center"/>
          </w:tcPr>
          <w:p w14:paraId="0C78BB11" w14:textId="77777777" w:rsidR="005F7683" w:rsidRPr="00211C8B" w:rsidRDefault="00FF3308" w:rsidP="00444B08">
            <w:pPr>
              <w:pStyle w:val="TableText0"/>
              <w:keepNext w:val="0"/>
              <w:jc w:val="center"/>
            </w:pPr>
            <w:r w:rsidRPr="00211C8B">
              <w:t>-0.09 (-0.19,0.02)</w:t>
            </w:r>
          </w:p>
        </w:tc>
      </w:tr>
      <w:tr w:rsidR="005F7683" w:rsidRPr="00211C8B" w14:paraId="1A99738F" w14:textId="77777777" w:rsidTr="00D31A3E">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2356E030" w14:textId="77777777" w:rsidR="005F7683" w:rsidRPr="00211C8B" w:rsidRDefault="005F7683" w:rsidP="00444B08">
            <w:pPr>
              <w:pStyle w:val="TableText0"/>
              <w:keepNext w:val="0"/>
            </w:pPr>
            <w:r w:rsidRPr="00211C8B">
              <w:rPr>
                <w:color w:val="000000" w:themeColor="text1"/>
                <w:szCs w:val="20"/>
                <w:lang w:eastAsia="zh-CN"/>
              </w:rPr>
              <w:t>NCT01687712</w:t>
            </w:r>
          </w:p>
        </w:tc>
        <w:tc>
          <w:tcPr>
            <w:tcW w:w="638" w:type="pct"/>
            <w:gridSpan w:val="3"/>
            <w:tcBorders>
              <w:top w:val="single" w:sz="4" w:space="0" w:color="auto"/>
              <w:left w:val="single" w:sz="4" w:space="0" w:color="auto"/>
              <w:bottom w:val="single" w:sz="4" w:space="0" w:color="auto"/>
              <w:right w:val="single" w:sz="4" w:space="0" w:color="auto"/>
            </w:tcBorders>
            <w:vAlign w:val="center"/>
          </w:tcPr>
          <w:p w14:paraId="56E36415" w14:textId="77777777" w:rsidR="005F7683" w:rsidRPr="00211C8B" w:rsidRDefault="005F7683" w:rsidP="00444B08">
            <w:pPr>
              <w:pStyle w:val="TableText0"/>
              <w:keepNext w:val="0"/>
              <w:jc w:val="center"/>
            </w:pPr>
            <w:r w:rsidRPr="00211C8B">
              <w:rPr>
                <w:color w:val="000000" w:themeColor="text1"/>
              </w:rPr>
              <w:t>122/551</w:t>
            </w:r>
          </w:p>
        </w:tc>
        <w:tc>
          <w:tcPr>
            <w:tcW w:w="711" w:type="pct"/>
            <w:gridSpan w:val="2"/>
            <w:tcBorders>
              <w:top w:val="single" w:sz="4" w:space="0" w:color="auto"/>
              <w:left w:val="single" w:sz="4" w:space="0" w:color="auto"/>
              <w:bottom w:val="single" w:sz="4" w:space="0" w:color="auto"/>
              <w:right w:val="single" w:sz="4" w:space="0" w:color="auto"/>
            </w:tcBorders>
            <w:vAlign w:val="center"/>
          </w:tcPr>
          <w:p w14:paraId="6C8360E1" w14:textId="77777777" w:rsidR="005F7683" w:rsidRPr="00211C8B" w:rsidRDefault="005F7683" w:rsidP="00444B08">
            <w:pPr>
              <w:pStyle w:val="TableText0"/>
              <w:keepNext w:val="0"/>
              <w:jc w:val="center"/>
            </w:pPr>
            <w:r w:rsidRPr="00211C8B">
              <w:rPr>
                <w:color w:val="000000" w:themeColor="text1"/>
              </w:rPr>
              <w:t>101/549</w:t>
            </w:r>
          </w:p>
        </w:tc>
        <w:tc>
          <w:tcPr>
            <w:tcW w:w="862" w:type="pct"/>
            <w:gridSpan w:val="2"/>
            <w:tcBorders>
              <w:top w:val="single" w:sz="4" w:space="0" w:color="auto"/>
              <w:left w:val="single" w:sz="4" w:space="0" w:color="auto"/>
              <w:bottom w:val="single" w:sz="4" w:space="0" w:color="auto"/>
              <w:right w:val="single" w:sz="4" w:space="0" w:color="auto"/>
            </w:tcBorders>
            <w:vAlign w:val="center"/>
          </w:tcPr>
          <w:p w14:paraId="07287D1F" w14:textId="77777777" w:rsidR="005F7683" w:rsidRPr="00211C8B" w:rsidRDefault="005F7683" w:rsidP="00444B08">
            <w:pPr>
              <w:pStyle w:val="TableText0"/>
              <w:keepNext w:val="0"/>
              <w:jc w:val="center"/>
            </w:pPr>
            <w:r w:rsidRPr="00211C8B">
              <w:rPr>
                <w:color w:val="000000" w:themeColor="text1"/>
              </w:rPr>
              <w:t>0.83 (0.66, 1.05)</w:t>
            </w:r>
          </w:p>
        </w:tc>
        <w:tc>
          <w:tcPr>
            <w:tcW w:w="679" w:type="pct"/>
            <w:gridSpan w:val="4"/>
            <w:tcBorders>
              <w:top w:val="single" w:sz="4" w:space="0" w:color="auto"/>
              <w:left w:val="single" w:sz="4" w:space="0" w:color="auto"/>
              <w:bottom w:val="single" w:sz="4" w:space="0" w:color="auto"/>
              <w:right w:val="single" w:sz="4" w:space="0" w:color="auto"/>
            </w:tcBorders>
            <w:vAlign w:val="center"/>
          </w:tcPr>
          <w:p w14:paraId="3754B899" w14:textId="77777777" w:rsidR="005F7683" w:rsidRPr="00211C8B" w:rsidRDefault="005F7683" w:rsidP="00444B08">
            <w:pPr>
              <w:pStyle w:val="TableText0"/>
              <w:keepNext w:val="0"/>
              <w:jc w:val="center"/>
            </w:pPr>
            <w:r w:rsidRPr="00211C8B">
              <w:t>22.1</w:t>
            </w:r>
          </w:p>
        </w:tc>
        <w:tc>
          <w:tcPr>
            <w:tcW w:w="625" w:type="pct"/>
            <w:tcBorders>
              <w:top w:val="single" w:sz="4" w:space="0" w:color="auto"/>
              <w:left w:val="single" w:sz="4" w:space="0" w:color="auto"/>
              <w:bottom w:val="single" w:sz="4" w:space="0" w:color="auto"/>
              <w:right w:val="single" w:sz="4" w:space="0" w:color="auto"/>
            </w:tcBorders>
            <w:vAlign w:val="center"/>
          </w:tcPr>
          <w:p w14:paraId="483A911C" w14:textId="77777777" w:rsidR="005F7683" w:rsidRPr="00211C8B" w:rsidRDefault="005F7683" w:rsidP="00444B08">
            <w:pPr>
              <w:pStyle w:val="TableText0"/>
              <w:keepNext w:val="0"/>
              <w:jc w:val="center"/>
            </w:pPr>
            <w:r w:rsidRPr="00211C8B">
              <w:t>18.4</w:t>
            </w:r>
          </w:p>
        </w:tc>
        <w:tc>
          <w:tcPr>
            <w:tcW w:w="852" w:type="pct"/>
            <w:gridSpan w:val="3"/>
            <w:tcBorders>
              <w:top w:val="single" w:sz="4" w:space="0" w:color="auto"/>
              <w:left w:val="single" w:sz="4" w:space="0" w:color="auto"/>
              <w:bottom w:val="single" w:sz="4" w:space="0" w:color="auto"/>
              <w:right w:val="single" w:sz="4" w:space="0" w:color="auto"/>
            </w:tcBorders>
            <w:vAlign w:val="center"/>
          </w:tcPr>
          <w:p w14:paraId="09DDBC9C" w14:textId="77777777" w:rsidR="005F7683" w:rsidRPr="00211C8B" w:rsidRDefault="00FF3308" w:rsidP="00444B08">
            <w:pPr>
              <w:pStyle w:val="TableText0"/>
              <w:keepNext w:val="0"/>
              <w:jc w:val="center"/>
            </w:pPr>
            <w:r w:rsidRPr="00211C8B">
              <w:t>-0.04 (-0.08, 0.01)</w:t>
            </w:r>
          </w:p>
        </w:tc>
      </w:tr>
      <w:tr w:rsidR="005F7683" w:rsidRPr="00211C8B" w14:paraId="4573A154" w14:textId="77777777" w:rsidTr="00D31A3E">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0BF2E1FC" w14:textId="77777777" w:rsidR="005F7683" w:rsidRPr="00211C8B" w:rsidRDefault="005F7683" w:rsidP="00444B08">
            <w:pPr>
              <w:pStyle w:val="TableText0"/>
              <w:keepNext w:val="0"/>
            </w:pPr>
            <w:r w:rsidRPr="00211C8B">
              <w:rPr>
                <w:color w:val="000000" w:themeColor="text1"/>
                <w:szCs w:val="20"/>
                <w:lang w:eastAsia="zh-CN"/>
              </w:rPr>
              <w:t>ISRCTN74772901</w:t>
            </w:r>
          </w:p>
        </w:tc>
        <w:tc>
          <w:tcPr>
            <w:tcW w:w="638" w:type="pct"/>
            <w:gridSpan w:val="3"/>
            <w:tcBorders>
              <w:top w:val="single" w:sz="4" w:space="0" w:color="auto"/>
              <w:left w:val="single" w:sz="4" w:space="0" w:color="auto"/>
              <w:bottom w:val="single" w:sz="4" w:space="0" w:color="auto"/>
              <w:right w:val="single" w:sz="4" w:space="0" w:color="auto"/>
            </w:tcBorders>
            <w:vAlign w:val="center"/>
          </w:tcPr>
          <w:p w14:paraId="7FD43A63" w14:textId="77777777" w:rsidR="005F7683" w:rsidRPr="00211C8B" w:rsidRDefault="005F7683" w:rsidP="00444B08">
            <w:pPr>
              <w:pStyle w:val="TableText0"/>
              <w:keepNext w:val="0"/>
              <w:jc w:val="center"/>
            </w:pPr>
            <w:r w:rsidRPr="00211C8B">
              <w:rPr>
                <w:color w:val="000000" w:themeColor="text1"/>
              </w:rPr>
              <w:t>47/146</w:t>
            </w:r>
          </w:p>
        </w:tc>
        <w:tc>
          <w:tcPr>
            <w:tcW w:w="711" w:type="pct"/>
            <w:gridSpan w:val="2"/>
            <w:tcBorders>
              <w:top w:val="single" w:sz="4" w:space="0" w:color="auto"/>
              <w:left w:val="single" w:sz="4" w:space="0" w:color="auto"/>
              <w:bottom w:val="single" w:sz="4" w:space="0" w:color="auto"/>
              <w:right w:val="single" w:sz="4" w:space="0" w:color="auto"/>
            </w:tcBorders>
            <w:vAlign w:val="center"/>
          </w:tcPr>
          <w:p w14:paraId="0BD0F0DD" w14:textId="77777777" w:rsidR="005F7683" w:rsidRPr="00211C8B" w:rsidRDefault="005F7683" w:rsidP="00444B08">
            <w:pPr>
              <w:pStyle w:val="TableText0"/>
              <w:keepNext w:val="0"/>
              <w:jc w:val="center"/>
            </w:pPr>
            <w:r w:rsidRPr="00211C8B">
              <w:rPr>
                <w:color w:val="000000" w:themeColor="text1"/>
              </w:rPr>
              <w:t>41/153</w:t>
            </w:r>
          </w:p>
        </w:tc>
        <w:tc>
          <w:tcPr>
            <w:tcW w:w="862" w:type="pct"/>
            <w:gridSpan w:val="2"/>
            <w:tcBorders>
              <w:top w:val="single" w:sz="4" w:space="0" w:color="auto"/>
              <w:left w:val="single" w:sz="4" w:space="0" w:color="auto"/>
              <w:bottom w:val="single" w:sz="4" w:space="0" w:color="auto"/>
              <w:right w:val="single" w:sz="4" w:space="0" w:color="auto"/>
            </w:tcBorders>
            <w:vAlign w:val="center"/>
          </w:tcPr>
          <w:p w14:paraId="69B4FC5D" w14:textId="77777777" w:rsidR="005F7683" w:rsidRPr="00211C8B" w:rsidRDefault="005F7683" w:rsidP="00444B08">
            <w:pPr>
              <w:pStyle w:val="TableText0"/>
              <w:keepNext w:val="0"/>
              <w:jc w:val="center"/>
            </w:pPr>
            <w:r w:rsidRPr="00211C8B">
              <w:rPr>
                <w:color w:val="000000" w:themeColor="text1"/>
              </w:rPr>
              <w:t>0.83 (0.58, 1.18)</w:t>
            </w:r>
          </w:p>
        </w:tc>
        <w:tc>
          <w:tcPr>
            <w:tcW w:w="679" w:type="pct"/>
            <w:gridSpan w:val="4"/>
            <w:tcBorders>
              <w:top w:val="single" w:sz="4" w:space="0" w:color="auto"/>
              <w:left w:val="single" w:sz="4" w:space="0" w:color="auto"/>
              <w:bottom w:val="single" w:sz="4" w:space="0" w:color="auto"/>
              <w:right w:val="single" w:sz="4" w:space="0" w:color="auto"/>
            </w:tcBorders>
            <w:vAlign w:val="center"/>
          </w:tcPr>
          <w:p w14:paraId="5F4270D2" w14:textId="77777777" w:rsidR="005F7683" w:rsidRPr="00211C8B" w:rsidRDefault="005F7683" w:rsidP="00444B08">
            <w:pPr>
              <w:pStyle w:val="TableText0"/>
              <w:keepNext w:val="0"/>
              <w:jc w:val="center"/>
            </w:pPr>
            <w:r w:rsidRPr="00211C8B">
              <w:rPr>
                <w:color w:val="000000" w:themeColor="text1"/>
              </w:rPr>
              <w:t>32.2</w:t>
            </w:r>
          </w:p>
        </w:tc>
        <w:tc>
          <w:tcPr>
            <w:tcW w:w="625" w:type="pct"/>
            <w:tcBorders>
              <w:top w:val="single" w:sz="4" w:space="0" w:color="auto"/>
              <w:left w:val="single" w:sz="4" w:space="0" w:color="auto"/>
              <w:bottom w:val="single" w:sz="4" w:space="0" w:color="auto"/>
              <w:right w:val="single" w:sz="4" w:space="0" w:color="auto"/>
            </w:tcBorders>
            <w:vAlign w:val="center"/>
          </w:tcPr>
          <w:p w14:paraId="12EF1DDB" w14:textId="77777777" w:rsidR="005F7683" w:rsidRPr="00211C8B" w:rsidRDefault="005F7683" w:rsidP="00444B08">
            <w:pPr>
              <w:pStyle w:val="TableText0"/>
              <w:keepNext w:val="0"/>
              <w:jc w:val="center"/>
            </w:pPr>
            <w:r w:rsidRPr="00211C8B">
              <w:rPr>
                <w:color w:val="000000" w:themeColor="text1"/>
              </w:rPr>
              <w:t>26.8</w:t>
            </w:r>
          </w:p>
        </w:tc>
        <w:tc>
          <w:tcPr>
            <w:tcW w:w="852" w:type="pct"/>
            <w:gridSpan w:val="3"/>
            <w:tcBorders>
              <w:top w:val="single" w:sz="4" w:space="0" w:color="auto"/>
              <w:left w:val="single" w:sz="4" w:space="0" w:color="auto"/>
              <w:bottom w:val="single" w:sz="4" w:space="0" w:color="auto"/>
              <w:right w:val="single" w:sz="4" w:space="0" w:color="auto"/>
            </w:tcBorders>
            <w:vAlign w:val="center"/>
          </w:tcPr>
          <w:p w14:paraId="7A590DCE" w14:textId="77777777" w:rsidR="005F7683" w:rsidRPr="00211C8B" w:rsidRDefault="00FF3308" w:rsidP="00444B08">
            <w:pPr>
              <w:pStyle w:val="TableText0"/>
              <w:keepNext w:val="0"/>
              <w:jc w:val="center"/>
            </w:pPr>
            <w:r w:rsidRPr="00211C8B">
              <w:t>-0.05 (-0.16, 0.05)</w:t>
            </w:r>
          </w:p>
        </w:tc>
      </w:tr>
      <w:tr w:rsidR="00E90BD7" w:rsidRPr="00211C8B" w14:paraId="17CA71FC" w14:textId="77777777" w:rsidTr="00D31A3E">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0000F959" w14:textId="77777777" w:rsidR="00E90BD7" w:rsidRPr="00211C8B" w:rsidRDefault="00E90BD7" w:rsidP="00444B08">
            <w:pPr>
              <w:pStyle w:val="TableText0"/>
              <w:keepNext w:val="0"/>
              <w:rPr>
                <w:color w:val="000000" w:themeColor="text1"/>
                <w:szCs w:val="20"/>
                <w:lang w:eastAsia="zh-CN"/>
              </w:rPr>
            </w:pPr>
            <w:r w:rsidRPr="00211C8B">
              <w:rPr>
                <w:color w:val="000000" w:themeColor="text1"/>
                <w:szCs w:val="20"/>
                <w:lang w:eastAsia="zh-CN"/>
              </w:rPr>
              <w:t>NCT03088137</w:t>
            </w:r>
          </w:p>
        </w:tc>
        <w:tc>
          <w:tcPr>
            <w:tcW w:w="638" w:type="pct"/>
            <w:gridSpan w:val="3"/>
            <w:tcBorders>
              <w:top w:val="single" w:sz="4" w:space="0" w:color="auto"/>
              <w:left w:val="single" w:sz="4" w:space="0" w:color="auto"/>
              <w:bottom w:val="single" w:sz="4" w:space="0" w:color="auto"/>
              <w:right w:val="single" w:sz="4" w:space="0" w:color="auto"/>
            </w:tcBorders>
            <w:vAlign w:val="center"/>
          </w:tcPr>
          <w:p w14:paraId="406A790A" w14:textId="77777777" w:rsidR="00E90BD7" w:rsidRPr="00211C8B" w:rsidRDefault="00E90BD7" w:rsidP="00444B08">
            <w:pPr>
              <w:pStyle w:val="TableText0"/>
              <w:keepNext w:val="0"/>
              <w:jc w:val="center"/>
              <w:rPr>
                <w:color w:val="000000" w:themeColor="text1"/>
              </w:rPr>
            </w:pPr>
            <w:r w:rsidRPr="00211C8B">
              <w:rPr>
                <w:color w:val="000000" w:themeColor="text1"/>
              </w:rPr>
              <w:t>12/55</w:t>
            </w:r>
          </w:p>
        </w:tc>
        <w:tc>
          <w:tcPr>
            <w:tcW w:w="711" w:type="pct"/>
            <w:gridSpan w:val="2"/>
            <w:tcBorders>
              <w:top w:val="single" w:sz="4" w:space="0" w:color="auto"/>
              <w:left w:val="single" w:sz="4" w:space="0" w:color="auto"/>
              <w:bottom w:val="single" w:sz="4" w:space="0" w:color="auto"/>
              <w:right w:val="single" w:sz="4" w:space="0" w:color="auto"/>
            </w:tcBorders>
            <w:vAlign w:val="center"/>
          </w:tcPr>
          <w:p w14:paraId="4FB246D4" w14:textId="77777777" w:rsidR="00E90BD7" w:rsidRPr="00211C8B" w:rsidRDefault="00E90BD7" w:rsidP="00444B08">
            <w:pPr>
              <w:pStyle w:val="TableText0"/>
              <w:keepNext w:val="0"/>
              <w:jc w:val="center"/>
              <w:rPr>
                <w:color w:val="000000" w:themeColor="text1"/>
              </w:rPr>
            </w:pPr>
            <w:r w:rsidRPr="00211C8B">
              <w:rPr>
                <w:color w:val="000000" w:themeColor="text1"/>
              </w:rPr>
              <w:t>13/55</w:t>
            </w:r>
          </w:p>
        </w:tc>
        <w:tc>
          <w:tcPr>
            <w:tcW w:w="862" w:type="pct"/>
            <w:gridSpan w:val="2"/>
            <w:tcBorders>
              <w:top w:val="single" w:sz="4" w:space="0" w:color="auto"/>
              <w:left w:val="single" w:sz="4" w:space="0" w:color="auto"/>
              <w:bottom w:val="single" w:sz="4" w:space="0" w:color="auto"/>
              <w:right w:val="single" w:sz="4" w:space="0" w:color="auto"/>
            </w:tcBorders>
            <w:vAlign w:val="center"/>
          </w:tcPr>
          <w:p w14:paraId="055424B0" w14:textId="77777777" w:rsidR="00E90BD7" w:rsidRPr="00211C8B" w:rsidRDefault="00E90BD7" w:rsidP="00444B08">
            <w:pPr>
              <w:pStyle w:val="TableText0"/>
              <w:keepNext w:val="0"/>
              <w:jc w:val="center"/>
              <w:rPr>
                <w:color w:val="000000" w:themeColor="text1"/>
              </w:rPr>
            </w:pPr>
            <w:r w:rsidRPr="00211C8B">
              <w:rPr>
                <w:color w:val="000000" w:themeColor="text1"/>
              </w:rPr>
              <w:t>1.08 (0.54, 2.16)</w:t>
            </w:r>
          </w:p>
        </w:tc>
        <w:tc>
          <w:tcPr>
            <w:tcW w:w="679" w:type="pct"/>
            <w:gridSpan w:val="4"/>
            <w:tcBorders>
              <w:top w:val="single" w:sz="4" w:space="0" w:color="auto"/>
              <w:left w:val="single" w:sz="4" w:space="0" w:color="auto"/>
              <w:bottom w:val="single" w:sz="4" w:space="0" w:color="auto"/>
              <w:right w:val="single" w:sz="4" w:space="0" w:color="auto"/>
            </w:tcBorders>
            <w:vAlign w:val="center"/>
          </w:tcPr>
          <w:p w14:paraId="0810161C" w14:textId="77777777" w:rsidR="00E90BD7" w:rsidRPr="00211C8B" w:rsidRDefault="00E90BD7" w:rsidP="00444B08">
            <w:pPr>
              <w:pStyle w:val="TableText0"/>
              <w:keepNext w:val="0"/>
              <w:jc w:val="center"/>
              <w:rPr>
                <w:color w:val="000000" w:themeColor="text1"/>
              </w:rPr>
            </w:pPr>
            <w:r w:rsidRPr="00211C8B">
              <w:rPr>
                <w:color w:val="000000" w:themeColor="text1"/>
              </w:rPr>
              <w:t>21.8</w:t>
            </w:r>
          </w:p>
        </w:tc>
        <w:tc>
          <w:tcPr>
            <w:tcW w:w="625" w:type="pct"/>
            <w:tcBorders>
              <w:top w:val="single" w:sz="4" w:space="0" w:color="auto"/>
              <w:left w:val="single" w:sz="4" w:space="0" w:color="auto"/>
              <w:bottom w:val="single" w:sz="4" w:space="0" w:color="auto"/>
              <w:right w:val="single" w:sz="4" w:space="0" w:color="auto"/>
            </w:tcBorders>
            <w:vAlign w:val="center"/>
          </w:tcPr>
          <w:p w14:paraId="6C2CDD0D" w14:textId="77777777" w:rsidR="00E90BD7" w:rsidRPr="00211C8B" w:rsidRDefault="00E90BD7" w:rsidP="00444B08">
            <w:pPr>
              <w:pStyle w:val="TableText0"/>
              <w:keepNext w:val="0"/>
              <w:jc w:val="center"/>
              <w:rPr>
                <w:color w:val="000000" w:themeColor="text1"/>
              </w:rPr>
            </w:pPr>
            <w:r w:rsidRPr="00211C8B">
              <w:rPr>
                <w:color w:val="000000" w:themeColor="text1"/>
              </w:rPr>
              <w:t>23.6</w:t>
            </w:r>
          </w:p>
        </w:tc>
        <w:tc>
          <w:tcPr>
            <w:tcW w:w="852" w:type="pct"/>
            <w:gridSpan w:val="3"/>
            <w:tcBorders>
              <w:top w:val="single" w:sz="4" w:space="0" w:color="auto"/>
              <w:left w:val="single" w:sz="4" w:space="0" w:color="auto"/>
              <w:bottom w:val="single" w:sz="4" w:space="0" w:color="auto"/>
              <w:right w:val="single" w:sz="4" w:space="0" w:color="auto"/>
            </w:tcBorders>
            <w:vAlign w:val="center"/>
          </w:tcPr>
          <w:p w14:paraId="1029345C" w14:textId="77777777" w:rsidR="00E90BD7" w:rsidRPr="00211C8B" w:rsidRDefault="00FF3308" w:rsidP="00444B08">
            <w:pPr>
              <w:pStyle w:val="TableText0"/>
              <w:keepNext w:val="0"/>
              <w:jc w:val="center"/>
              <w:rPr>
                <w:color w:val="000000" w:themeColor="text1"/>
              </w:rPr>
            </w:pPr>
            <w:r w:rsidRPr="00211C8B">
              <w:rPr>
                <w:color w:val="000000" w:themeColor="text1"/>
              </w:rPr>
              <w:t>0.00 (-0.15, 0.15)</w:t>
            </w:r>
          </w:p>
        </w:tc>
      </w:tr>
      <w:tr w:rsidR="00E90BD7" w:rsidRPr="00211C8B" w14:paraId="67CA8B64" w14:textId="77777777" w:rsidTr="00D31A3E">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4C838BBD" w14:textId="77777777" w:rsidR="00E90BD7" w:rsidRPr="00211C8B" w:rsidRDefault="00CE636A" w:rsidP="00444B08">
            <w:pPr>
              <w:pStyle w:val="TableText0"/>
              <w:keepNext w:val="0"/>
              <w:rPr>
                <w:color w:val="000000" w:themeColor="text1"/>
                <w:szCs w:val="20"/>
                <w:lang w:eastAsia="zh-CN"/>
              </w:rPr>
            </w:pPr>
            <w:r w:rsidRPr="00211C8B">
              <w:rPr>
                <w:color w:val="000000" w:themeColor="text1"/>
                <w:szCs w:val="20"/>
                <w:lang w:eastAsia="zh-CN"/>
              </w:rPr>
              <w:t>Meta-analysis</w:t>
            </w:r>
          </w:p>
        </w:tc>
        <w:tc>
          <w:tcPr>
            <w:tcW w:w="638" w:type="pct"/>
            <w:gridSpan w:val="3"/>
            <w:tcBorders>
              <w:top w:val="single" w:sz="4" w:space="0" w:color="auto"/>
              <w:left w:val="single" w:sz="4" w:space="0" w:color="auto"/>
              <w:bottom w:val="single" w:sz="4" w:space="0" w:color="auto"/>
              <w:right w:val="single" w:sz="4" w:space="0" w:color="auto"/>
            </w:tcBorders>
            <w:vAlign w:val="center"/>
          </w:tcPr>
          <w:p w14:paraId="6D94BE87" w14:textId="77777777" w:rsidR="00E90BD7" w:rsidRPr="00211C8B" w:rsidRDefault="00A41237" w:rsidP="00444B08">
            <w:pPr>
              <w:pStyle w:val="TableText0"/>
              <w:keepNext w:val="0"/>
              <w:jc w:val="center"/>
              <w:rPr>
                <w:color w:val="000000" w:themeColor="text1"/>
              </w:rPr>
            </w:pPr>
            <w:r w:rsidRPr="00211C8B">
              <w:rPr>
                <w:color w:val="000000" w:themeColor="text1"/>
              </w:rPr>
              <w:t>231/875</w:t>
            </w:r>
          </w:p>
        </w:tc>
        <w:tc>
          <w:tcPr>
            <w:tcW w:w="711" w:type="pct"/>
            <w:gridSpan w:val="2"/>
            <w:tcBorders>
              <w:top w:val="single" w:sz="4" w:space="0" w:color="auto"/>
              <w:left w:val="single" w:sz="4" w:space="0" w:color="auto"/>
              <w:bottom w:val="single" w:sz="4" w:space="0" w:color="auto"/>
              <w:right w:val="single" w:sz="4" w:space="0" w:color="auto"/>
            </w:tcBorders>
            <w:vAlign w:val="center"/>
          </w:tcPr>
          <w:p w14:paraId="7E5E3E52" w14:textId="77777777" w:rsidR="00E90BD7" w:rsidRPr="00211C8B" w:rsidRDefault="00A41237" w:rsidP="00444B08">
            <w:pPr>
              <w:pStyle w:val="TableText0"/>
              <w:keepNext w:val="0"/>
              <w:jc w:val="center"/>
              <w:rPr>
                <w:color w:val="000000" w:themeColor="text1"/>
              </w:rPr>
            </w:pPr>
            <w:r w:rsidRPr="00211C8B">
              <w:rPr>
                <w:color w:val="000000" w:themeColor="text1"/>
              </w:rPr>
              <w:t>234/1006</w:t>
            </w:r>
          </w:p>
        </w:tc>
        <w:tc>
          <w:tcPr>
            <w:tcW w:w="862" w:type="pct"/>
            <w:gridSpan w:val="2"/>
            <w:tcBorders>
              <w:top w:val="single" w:sz="4" w:space="0" w:color="auto"/>
              <w:left w:val="single" w:sz="4" w:space="0" w:color="auto"/>
              <w:bottom w:val="single" w:sz="4" w:space="0" w:color="auto"/>
              <w:right w:val="single" w:sz="4" w:space="0" w:color="auto"/>
            </w:tcBorders>
            <w:vAlign w:val="center"/>
          </w:tcPr>
          <w:p w14:paraId="0089C49B" w14:textId="77777777" w:rsidR="00E90BD7" w:rsidRPr="00211C8B" w:rsidRDefault="00505A70" w:rsidP="00444B08">
            <w:pPr>
              <w:pStyle w:val="TableText0"/>
              <w:keepNext w:val="0"/>
              <w:jc w:val="center"/>
              <w:rPr>
                <w:color w:val="000000" w:themeColor="text1"/>
              </w:rPr>
            </w:pPr>
            <w:r w:rsidRPr="00211C8B">
              <w:rPr>
                <w:color w:val="000000" w:themeColor="text1"/>
              </w:rPr>
              <w:t>0.83 (0.71, 0.97)</w:t>
            </w:r>
          </w:p>
        </w:tc>
        <w:tc>
          <w:tcPr>
            <w:tcW w:w="679" w:type="pct"/>
            <w:gridSpan w:val="4"/>
            <w:tcBorders>
              <w:top w:val="single" w:sz="4" w:space="0" w:color="auto"/>
              <w:left w:val="single" w:sz="4" w:space="0" w:color="auto"/>
              <w:bottom w:val="single" w:sz="4" w:space="0" w:color="auto"/>
              <w:right w:val="single" w:sz="4" w:space="0" w:color="auto"/>
            </w:tcBorders>
            <w:vAlign w:val="center"/>
          </w:tcPr>
          <w:p w14:paraId="404828AE" w14:textId="77777777" w:rsidR="00E90BD7" w:rsidRPr="00211C8B" w:rsidRDefault="00505A70" w:rsidP="00444B08">
            <w:pPr>
              <w:pStyle w:val="TableText0"/>
              <w:keepNext w:val="0"/>
              <w:jc w:val="center"/>
              <w:rPr>
                <w:color w:val="000000" w:themeColor="text1"/>
              </w:rPr>
            </w:pPr>
            <w:r w:rsidRPr="00211C8B">
              <w:rPr>
                <w:color w:val="000000" w:themeColor="text1"/>
              </w:rPr>
              <w:t>26.4</w:t>
            </w:r>
          </w:p>
        </w:tc>
        <w:tc>
          <w:tcPr>
            <w:tcW w:w="625" w:type="pct"/>
            <w:tcBorders>
              <w:top w:val="single" w:sz="4" w:space="0" w:color="auto"/>
              <w:left w:val="single" w:sz="4" w:space="0" w:color="auto"/>
              <w:bottom w:val="single" w:sz="4" w:space="0" w:color="auto"/>
              <w:right w:val="single" w:sz="4" w:space="0" w:color="auto"/>
            </w:tcBorders>
            <w:vAlign w:val="center"/>
          </w:tcPr>
          <w:p w14:paraId="2B4D61CC" w14:textId="77777777" w:rsidR="00E90BD7" w:rsidRPr="00211C8B" w:rsidRDefault="00505A70" w:rsidP="00444B08">
            <w:pPr>
              <w:pStyle w:val="TableText0"/>
              <w:keepNext w:val="0"/>
              <w:jc w:val="center"/>
              <w:rPr>
                <w:color w:val="000000" w:themeColor="text1"/>
              </w:rPr>
            </w:pPr>
            <w:r w:rsidRPr="00211C8B">
              <w:rPr>
                <w:color w:val="000000" w:themeColor="text1"/>
              </w:rPr>
              <w:t>23.3</w:t>
            </w:r>
          </w:p>
        </w:tc>
        <w:tc>
          <w:tcPr>
            <w:tcW w:w="852" w:type="pct"/>
            <w:gridSpan w:val="3"/>
            <w:tcBorders>
              <w:top w:val="single" w:sz="4" w:space="0" w:color="auto"/>
              <w:left w:val="single" w:sz="4" w:space="0" w:color="auto"/>
              <w:bottom w:val="single" w:sz="4" w:space="0" w:color="auto"/>
              <w:right w:val="single" w:sz="4" w:space="0" w:color="auto"/>
            </w:tcBorders>
            <w:vAlign w:val="center"/>
          </w:tcPr>
          <w:p w14:paraId="52AD9218" w14:textId="77777777" w:rsidR="00E90BD7" w:rsidRPr="00211C8B" w:rsidRDefault="00505A70" w:rsidP="00444B08">
            <w:pPr>
              <w:pStyle w:val="TableText0"/>
              <w:keepNext w:val="0"/>
              <w:jc w:val="center"/>
              <w:rPr>
                <w:color w:val="000000" w:themeColor="text1"/>
              </w:rPr>
            </w:pPr>
            <w:r w:rsidRPr="00211C8B">
              <w:rPr>
                <w:color w:val="000000" w:themeColor="text1"/>
              </w:rPr>
              <w:t>-0.05 (-0.09, -0.01)</w:t>
            </w:r>
          </w:p>
        </w:tc>
      </w:tr>
      <w:tr w:rsidR="00E90BD7" w:rsidRPr="00211C8B" w14:paraId="55ECD280" w14:textId="77777777" w:rsidTr="00D31A3E">
        <w:trPr>
          <w:trHeight w:val="321"/>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60527203" w14:textId="77777777" w:rsidR="00E90BD7" w:rsidRPr="00211C8B" w:rsidRDefault="00E90BD7" w:rsidP="00444B08">
            <w:pPr>
              <w:pStyle w:val="TableText0"/>
              <w:rPr>
                <w:b/>
                <w:bCs w:val="0"/>
              </w:rPr>
            </w:pPr>
            <w:r w:rsidRPr="00211C8B">
              <w:rPr>
                <w:b/>
                <w:bCs w:val="0"/>
              </w:rPr>
              <w:t>Ongoing pregnancy rate (after 1 cycle)</w:t>
            </w:r>
          </w:p>
        </w:tc>
      </w:tr>
      <w:tr w:rsidR="00505A70" w:rsidRPr="00211C8B" w14:paraId="6AF1389C" w14:textId="77777777" w:rsidTr="00D31A3E">
        <w:tc>
          <w:tcPr>
            <w:tcW w:w="634" w:type="pct"/>
            <w:tcBorders>
              <w:top w:val="single" w:sz="4" w:space="0" w:color="auto"/>
              <w:left w:val="single" w:sz="4" w:space="0" w:color="auto"/>
              <w:bottom w:val="single" w:sz="4" w:space="0" w:color="auto"/>
              <w:right w:val="single" w:sz="4" w:space="0" w:color="auto"/>
            </w:tcBorders>
            <w:shd w:val="clear" w:color="auto" w:fill="auto"/>
          </w:tcPr>
          <w:p w14:paraId="79546A8A" w14:textId="77777777" w:rsidR="00505A70" w:rsidRPr="00211C8B" w:rsidRDefault="00505A70" w:rsidP="00505A70">
            <w:pPr>
              <w:pStyle w:val="TableText0"/>
            </w:pPr>
            <w:r w:rsidRPr="00211C8B">
              <w:rPr>
                <w:color w:val="000000" w:themeColor="text1"/>
                <w:szCs w:val="20"/>
                <w:lang w:eastAsia="zh-CN"/>
              </w:rPr>
              <w:t>NCT01121666</w:t>
            </w:r>
          </w:p>
        </w:tc>
        <w:tc>
          <w:tcPr>
            <w:tcW w:w="638" w:type="pct"/>
            <w:gridSpan w:val="3"/>
            <w:tcBorders>
              <w:top w:val="single" w:sz="4" w:space="0" w:color="auto"/>
              <w:left w:val="single" w:sz="4" w:space="0" w:color="auto"/>
              <w:bottom w:val="single" w:sz="4" w:space="0" w:color="auto"/>
              <w:right w:val="single" w:sz="4" w:space="0" w:color="auto"/>
            </w:tcBorders>
            <w:vAlign w:val="center"/>
          </w:tcPr>
          <w:p w14:paraId="36881B82" w14:textId="77777777" w:rsidR="00505A70" w:rsidRPr="00211C8B" w:rsidRDefault="00505A70" w:rsidP="00505A70">
            <w:pPr>
              <w:pStyle w:val="TableText0"/>
              <w:jc w:val="center"/>
            </w:pPr>
            <w:r w:rsidRPr="00211C8B">
              <w:rPr>
                <w:color w:val="000000" w:themeColor="text1"/>
              </w:rPr>
              <w:t>55/123</w:t>
            </w:r>
          </w:p>
        </w:tc>
        <w:tc>
          <w:tcPr>
            <w:tcW w:w="711" w:type="pct"/>
            <w:gridSpan w:val="2"/>
            <w:tcBorders>
              <w:top w:val="single" w:sz="4" w:space="0" w:color="auto"/>
              <w:left w:val="single" w:sz="4" w:space="0" w:color="auto"/>
              <w:bottom w:val="single" w:sz="4" w:space="0" w:color="auto"/>
              <w:right w:val="single" w:sz="4" w:space="0" w:color="auto"/>
            </w:tcBorders>
            <w:vAlign w:val="center"/>
          </w:tcPr>
          <w:p w14:paraId="1E9408F2" w14:textId="77777777" w:rsidR="00505A70" w:rsidRPr="00211C8B" w:rsidRDefault="00505A70" w:rsidP="00505A70">
            <w:pPr>
              <w:pStyle w:val="TableText0"/>
              <w:jc w:val="center"/>
            </w:pPr>
            <w:r w:rsidRPr="00211C8B">
              <w:rPr>
                <w:color w:val="000000" w:themeColor="text1"/>
              </w:rPr>
              <w:t>90/249</w:t>
            </w:r>
          </w:p>
        </w:tc>
        <w:tc>
          <w:tcPr>
            <w:tcW w:w="862" w:type="pct"/>
            <w:gridSpan w:val="2"/>
            <w:tcBorders>
              <w:top w:val="single" w:sz="4" w:space="0" w:color="auto"/>
              <w:left w:val="single" w:sz="4" w:space="0" w:color="auto"/>
              <w:bottom w:val="single" w:sz="4" w:space="0" w:color="auto"/>
              <w:right w:val="single" w:sz="4" w:space="0" w:color="auto"/>
            </w:tcBorders>
            <w:vAlign w:val="center"/>
          </w:tcPr>
          <w:p w14:paraId="3027E0AA" w14:textId="77777777" w:rsidR="00505A70" w:rsidRPr="00211C8B" w:rsidRDefault="00505A70" w:rsidP="00505A70">
            <w:pPr>
              <w:pStyle w:val="TableText0"/>
              <w:jc w:val="center"/>
            </w:pPr>
            <w:r w:rsidRPr="00211C8B">
              <w:rPr>
                <w:color w:val="000000" w:themeColor="text1"/>
              </w:rPr>
              <w:t>0.81 (0.63, 1.04)</w:t>
            </w:r>
          </w:p>
        </w:tc>
        <w:tc>
          <w:tcPr>
            <w:tcW w:w="679" w:type="pct"/>
            <w:gridSpan w:val="4"/>
            <w:tcBorders>
              <w:top w:val="single" w:sz="4" w:space="0" w:color="auto"/>
              <w:left w:val="single" w:sz="4" w:space="0" w:color="auto"/>
              <w:bottom w:val="single" w:sz="4" w:space="0" w:color="auto"/>
              <w:right w:val="single" w:sz="4" w:space="0" w:color="auto"/>
            </w:tcBorders>
            <w:vAlign w:val="center"/>
          </w:tcPr>
          <w:p w14:paraId="04E2AECE" w14:textId="77777777" w:rsidR="00505A70" w:rsidRPr="00211C8B" w:rsidRDefault="00505A70" w:rsidP="00505A70">
            <w:pPr>
              <w:pStyle w:val="TableText0"/>
              <w:jc w:val="center"/>
            </w:pPr>
            <w:r w:rsidRPr="00211C8B">
              <w:rPr>
                <w:color w:val="000000" w:themeColor="text1"/>
              </w:rPr>
              <w:t>44.7</w:t>
            </w:r>
          </w:p>
        </w:tc>
        <w:tc>
          <w:tcPr>
            <w:tcW w:w="625" w:type="pct"/>
            <w:tcBorders>
              <w:top w:val="single" w:sz="4" w:space="0" w:color="auto"/>
              <w:left w:val="single" w:sz="4" w:space="0" w:color="auto"/>
              <w:bottom w:val="single" w:sz="4" w:space="0" w:color="auto"/>
              <w:right w:val="single" w:sz="4" w:space="0" w:color="auto"/>
            </w:tcBorders>
            <w:vAlign w:val="center"/>
          </w:tcPr>
          <w:p w14:paraId="0758CE89" w14:textId="77777777" w:rsidR="00505A70" w:rsidRPr="00211C8B" w:rsidRDefault="00505A70" w:rsidP="00505A70">
            <w:pPr>
              <w:pStyle w:val="TableText0"/>
              <w:jc w:val="center"/>
            </w:pPr>
            <w:r w:rsidRPr="00211C8B">
              <w:rPr>
                <w:color w:val="000000" w:themeColor="text1"/>
              </w:rPr>
              <w:t>36.1</w:t>
            </w:r>
          </w:p>
        </w:tc>
        <w:tc>
          <w:tcPr>
            <w:tcW w:w="852" w:type="pct"/>
            <w:gridSpan w:val="3"/>
            <w:tcBorders>
              <w:top w:val="single" w:sz="4" w:space="0" w:color="auto"/>
              <w:left w:val="single" w:sz="4" w:space="0" w:color="auto"/>
              <w:bottom w:val="single" w:sz="4" w:space="0" w:color="auto"/>
              <w:right w:val="single" w:sz="4" w:space="0" w:color="auto"/>
            </w:tcBorders>
            <w:vAlign w:val="center"/>
          </w:tcPr>
          <w:p w14:paraId="74F80BFF" w14:textId="77777777" w:rsidR="00505A70" w:rsidRPr="00211C8B" w:rsidRDefault="00505A70" w:rsidP="00505A70">
            <w:pPr>
              <w:pStyle w:val="TableText0"/>
              <w:jc w:val="center"/>
            </w:pPr>
            <w:r w:rsidRPr="00211C8B">
              <w:t>-0.09 (-0.19, 0.02)</w:t>
            </w:r>
          </w:p>
        </w:tc>
      </w:tr>
      <w:tr w:rsidR="00E90BD7" w:rsidRPr="00211C8B" w14:paraId="766BFF4F" w14:textId="77777777" w:rsidTr="00D31A3E">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4315A5FE" w14:textId="77777777" w:rsidR="00E90BD7" w:rsidRPr="00211C8B" w:rsidRDefault="00E90BD7" w:rsidP="00444B08">
            <w:pPr>
              <w:pStyle w:val="TableText0"/>
              <w:keepNext w:val="0"/>
            </w:pPr>
            <w:r w:rsidRPr="00211C8B">
              <w:rPr>
                <w:color w:val="000000" w:themeColor="text1"/>
                <w:szCs w:val="20"/>
                <w:lang w:eastAsia="zh-CN"/>
              </w:rPr>
              <w:t>ISRCTN74772901</w:t>
            </w:r>
          </w:p>
        </w:tc>
        <w:tc>
          <w:tcPr>
            <w:tcW w:w="638" w:type="pct"/>
            <w:gridSpan w:val="3"/>
            <w:tcBorders>
              <w:top w:val="single" w:sz="4" w:space="0" w:color="auto"/>
              <w:left w:val="single" w:sz="4" w:space="0" w:color="auto"/>
              <w:bottom w:val="single" w:sz="4" w:space="0" w:color="auto"/>
              <w:right w:val="single" w:sz="4" w:space="0" w:color="auto"/>
            </w:tcBorders>
            <w:vAlign w:val="center"/>
          </w:tcPr>
          <w:p w14:paraId="308DDBB7" w14:textId="77777777" w:rsidR="00E90BD7" w:rsidRPr="00211C8B" w:rsidRDefault="00E90BD7" w:rsidP="00444B08">
            <w:pPr>
              <w:pStyle w:val="TableText0"/>
              <w:keepNext w:val="0"/>
              <w:jc w:val="center"/>
            </w:pPr>
            <w:r w:rsidRPr="00211C8B">
              <w:rPr>
                <w:color w:val="000000" w:themeColor="text1"/>
              </w:rPr>
              <w:t>4</w:t>
            </w:r>
            <w:r w:rsidR="00505A70" w:rsidRPr="00211C8B">
              <w:rPr>
                <w:color w:val="000000" w:themeColor="text1"/>
              </w:rPr>
              <w:t>9</w:t>
            </w:r>
            <w:r w:rsidRPr="00211C8B">
              <w:rPr>
                <w:color w:val="000000" w:themeColor="text1"/>
              </w:rPr>
              <w:t>/146</w:t>
            </w:r>
          </w:p>
        </w:tc>
        <w:tc>
          <w:tcPr>
            <w:tcW w:w="711" w:type="pct"/>
            <w:gridSpan w:val="2"/>
            <w:tcBorders>
              <w:top w:val="single" w:sz="4" w:space="0" w:color="auto"/>
              <w:left w:val="single" w:sz="4" w:space="0" w:color="auto"/>
              <w:bottom w:val="single" w:sz="4" w:space="0" w:color="auto"/>
              <w:right w:val="single" w:sz="4" w:space="0" w:color="auto"/>
            </w:tcBorders>
            <w:vAlign w:val="center"/>
          </w:tcPr>
          <w:p w14:paraId="4D32B82C" w14:textId="77777777" w:rsidR="00E90BD7" w:rsidRPr="00211C8B" w:rsidRDefault="00E90BD7" w:rsidP="00444B08">
            <w:pPr>
              <w:pStyle w:val="TableText0"/>
              <w:keepNext w:val="0"/>
              <w:jc w:val="center"/>
            </w:pPr>
            <w:r w:rsidRPr="00211C8B">
              <w:rPr>
                <w:color w:val="000000" w:themeColor="text1"/>
              </w:rPr>
              <w:t>4</w:t>
            </w:r>
            <w:r w:rsidR="00505A70" w:rsidRPr="00211C8B">
              <w:rPr>
                <w:color w:val="000000" w:themeColor="text1"/>
              </w:rPr>
              <w:t>2</w:t>
            </w:r>
            <w:r w:rsidRPr="00211C8B">
              <w:rPr>
                <w:color w:val="000000" w:themeColor="text1"/>
              </w:rPr>
              <w:t>/153</w:t>
            </w:r>
          </w:p>
        </w:tc>
        <w:tc>
          <w:tcPr>
            <w:tcW w:w="862" w:type="pct"/>
            <w:gridSpan w:val="2"/>
            <w:tcBorders>
              <w:top w:val="single" w:sz="4" w:space="0" w:color="auto"/>
              <w:left w:val="single" w:sz="4" w:space="0" w:color="auto"/>
              <w:bottom w:val="single" w:sz="4" w:space="0" w:color="auto"/>
              <w:right w:val="single" w:sz="4" w:space="0" w:color="auto"/>
            </w:tcBorders>
            <w:vAlign w:val="center"/>
          </w:tcPr>
          <w:p w14:paraId="2DD04EC5" w14:textId="77777777" w:rsidR="00E90BD7" w:rsidRPr="00211C8B" w:rsidRDefault="00505A70" w:rsidP="00444B08">
            <w:pPr>
              <w:pStyle w:val="TableText0"/>
              <w:keepNext w:val="0"/>
              <w:jc w:val="center"/>
            </w:pPr>
            <w:r w:rsidRPr="00211C8B">
              <w:rPr>
                <w:color w:val="000000" w:themeColor="text1"/>
              </w:rPr>
              <w:t>0.82 (0.58, 1.15)</w:t>
            </w:r>
          </w:p>
        </w:tc>
        <w:tc>
          <w:tcPr>
            <w:tcW w:w="679" w:type="pct"/>
            <w:gridSpan w:val="4"/>
            <w:tcBorders>
              <w:top w:val="single" w:sz="4" w:space="0" w:color="auto"/>
              <w:left w:val="single" w:sz="4" w:space="0" w:color="auto"/>
              <w:bottom w:val="single" w:sz="4" w:space="0" w:color="auto"/>
              <w:right w:val="single" w:sz="4" w:space="0" w:color="auto"/>
            </w:tcBorders>
            <w:vAlign w:val="center"/>
          </w:tcPr>
          <w:p w14:paraId="2B6AACCA" w14:textId="77777777" w:rsidR="00E90BD7" w:rsidRPr="00211C8B" w:rsidRDefault="00505A70" w:rsidP="00444B08">
            <w:pPr>
              <w:pStyle w:val="TableText0"/>
              <w:keepNext w:val="0"/>
              <w:jc w:val="center"/>
            </w:pPr>
            <w:r w:rsidRPr="00211C8B">
              <w:t>33.6</w:t>
            </w:r>
          </w:p>
        </w:tc>
        <w:tc>
          <w:tcPr>
            <w:tcW w:w="625" w:type="pct"/>
            <w:tcBorders>
              <w:top w:val="single" w:sz="4" w:space="0" w:color="auto"/>
              <w:left w:val="single" w:sz="4" w:space="0" w:color="auto"/>
              <w:bottom w:val="single" w:sz="4" w:space="0" w:color="auto"/>
              <w:right w:val="single" w:sz="4" w:space="0" w:color="auto"/>
            </w:tcBorders>
            <w:vAlign w:val="center"/>
          </w:tcPr>
          <w:p w14:paraId="36739754" w14:textId="77777777" w:rsidR="00E90BD7" w:rsidRPr="00211C8B" w:rsidRDefault="00505A70" w:rsidP="00444B08">
            <w:pPr>
              <w:pStyle w:val="TableText0"/>
              <w:keepNext w:val="0"/>
              <w:jc w:val="center"/>
            </w:pPr>
            <w:r w:rsidRPr="00211C8B">
              <w:rPr>
                <w:color w:val="000000" w:themeColor="text1"/>
              </w:rPr>
              <w:t>27.5</w:t>
            </w:r>
          </w:p>
        </w:tc>
        <w:tc>
          <w:tcPr>
            <w:tcW w:w="852" w:type="pct"/>
            <w:gridSpan w:val="3"/>
            <w:tcBorders>
              <w:top w:val="single" w:sz="4" w:space="0" w:color="auto"/>
              <w:left w:val="single" w:sz="4" w:space="0" w:color="auto"/>
              <w:bottom w:val="single" w:sz="4" w:space="0" w:color="auto"/>
              <w:right w:val="single" w:sz="4" w:space="0" w:color="auto"/>
            </w:tcBorders>
            <w:vAlign w:val="center"/>
          </w:tcPr>
          <w:p w14:paraId="0B81321B" w14:textId="77777777" w:rsidR="00E90BD7" w:rsidRPr="00211C8B" w:rsidRDefault="00FF3308" w:rsidP="00444B08">
            <w:pPr>
              <w:pStyle w:val="TableText0"/>
              <w:keepNext w:val="0"/>
              <w:jc w:val="center"/>
            </w:pPr>
            <w:r w:rsidRPr="00211C8B">
              <w:t>-0.06 (-0.17, 0.04)</w:t>
            </w:r>
          </w:p>
        </w:tc>
      </w:tr>
      <w:tr w:rsidR="00FF3308" w:rsidRPr="00211C8B" w14:paraId="526495DC" w14:textId="77777777" w:rsidTr="00D31A3E">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282E812C" w14:textId="77777777" w:rsidR="00FF3308" w:rsidRPr="00211C8B" w:rsidRDefault="00FF3308" w:rsidP="00444B08">
            <w:pPr>
              <w:pStyle w:val="TableText0"/>
              <w:keepNext w:val="0"/>
              <w:rPr>
                <w:color w:val="000000" w:themeColor="text1"/>
                <w:szCs w:val="20"/>
                <w:lang w:eastAsia="zh-CN"/>
              </w:rPr>
            </w:pPr>
            <w:r w:rsidRPr="00211C8B">
              <w:rPr>
                <w:color w:val="000000" w:themeColor="text1"/>
                <w:szCs w:val="20"/>
                <w:lang w:eastAsia="zh-CN"/>
              </w:rPr>
              <w:t>NCT03088137</w:t>
            </w:r>
          </w:p>
        </w:tc>
        <w:tc>
          <w:tcPr>
            <w:tcW w:w="638" w:type="pct"/>
            <w:gridSpan w:val="3"/>
            <w:tcBorders>
              <w:top w:val="single" w:sz="4" w:space="0" w:color="auto"/>
              <w:left w:val="single" w:sz="4" w:space="0" w:color="auto"/>
              <w:bottom w:val="single" w:sz="4" w:space="0" w:color="auto"/>
              <w:right w:val="single" w:sz="4" w:space="0" w:color="auto"/>
            </w:tcBorders>
            <w:vAlign w:val="center"/>
          </w:tcPr>
          <w:p w14:paraId="1B1E380C" w14:textId="77777777" w:rsidR="00FF3308" w:rsidRPr="00211C8B" w:rsidRDefault="00FF3308" w:rsidP="00444B08">
            <w:pPr>
              <w:pStyle w:val="TableText0"/>
              <w:keepNext w:val="0"/>
              <w:jc w:val="center"/>
              <w:rPr>
                <w:color w:val="000000" w:themeColor="text1"/>
              </w:rPr>
            </w:pPr>
            <w:r w:rsidRPr="00211C8B">
              <w:rPr>
                <w:color w:val="000000" w:themeColor="text1"/>
              </w:rPr>
              <w:t>1</w:t>
            </w:r>
            <w:r w:rsidR="00292D91" w:rsidRPr="00211C8B">
              <w:rPr>
                <w:color w:val="000000" w:themeColor="text1"/>
              </w:rPr>
              <w:t>6</w:t>
            </w:r>
            <w:r w:rsidRPr="00211C8B">
              <w:rPr>
                <w:color w:val="000000" w:themeColor="text1"/>
              </w:rPr>
              <w:t>/55</w:t>
            </w:r>
          </w:p>
        </w:tc>
        <w:tc>
          <w:tcPr>
            <w:tcW w:w="711" w:type="pct"/>
            <w:gridSpan w:val="2"/>
            <w:tcBorders>
              <w:top w:val="single" w:sz="4" w:space="0" w:color="auto"/>
              <w:left w:val="single" w:sz="4" w:space="0" w:color="auto"/>
              <w:bottom w:val="single" w:sz="4" w:space="0" w:color="auto"/>
              <w:right w:val="single" w:sz="4" w:space="0" w:color="auto"/>
            </w:tcBorders>
            <w:vAlign w:val="center"/>
          </w:tcPr>
          <w:p w14:paraId="7158EDA3" w14:textId="77777777" w:rsidR="00FF3308" w:rsidRPr="00211C8B" w:rsidRDefault="00292D91" w:rsidP="00444B08">
            <w:pPr>
              <w:pStyle w:val="TableText0"/>
              <w:keepNext w:val="0"/>
              <w:jc w:val="center"/>
              <w:rPr>
                <w:color w:val="000000" w:themeColor="text1"/>
              </w:rPr>
            </w:pPr>
            <w:r w:rsidRPr="00211C8B">
              <w:rPr>
                <w:color w:val="000000" w:themeColor="text1"/>
              </w:rPr>
              <w:t>13</w:t>
            </w:r>
            <w:r w:rsidR="00FF3308" w:rsidRPr="00211C8B">
              <w:rPr>
                <w:color w:val="000000" w:themeColor="text1"/>
              </w:rPr>
              <w:t>/55</w:t>
            </w:r>
          </w:p>
        </w:tc>
        <w:tc>
          <w:tcPr>
            <w:tcW w:w="862" w:type="pct"/>
            <w:gridSpan w:val="2"/>
            <w:tcBorders>
              <w:top w:val="single" w:sz="4" w:space="0" w:color="auto"/>
              <w:left w:val="single" w:sz="4" w:space="0" w:color="auto"/>
              <w:bottom w:val="single" w:sz="4" w:space="0" w:color="auto"/>
              <w:right w:val="single" w:sz="4" w:space="0" w:color="auto"/>
            </w:tcBorders>
            <w:vAlign w:val="center"/>
          </w:tcPr>
          <w:p w14:paraId="7BA178C7" w14:textId="77777777" w:rsidR="00FF3308" w:rsidRPr="00211C8B" w:rsidRDefault="0022523C" w:rsidP="00444B08">
            <w:pPr>
              <w:pStyle w:val="TableText0"/>
              <w:keepNext w:val="0"/>
              <w:jc w:val="center"/>
              <w:rPr>
                <w:color w:val="000000" w:themeColor="text1"/>
              </w:rPr>
            </w:pPr>
            <w:r w:rsidRPr="00211C8B">
              <w:rPr>
                <w:color w:val="000000" w:themeColor="text1"/>
              </w:rPr>
              <w:t>0.81 (0.43, 1.52)</w:t>
            </w:r>
          </w:p>
        </w:tc>
        <w:tc>
          <w:tcPr>
            <w:tcW w:w="679" w:type="pct"/>
            <w:gridSpan w:val="4"/>
            <w:tcBorders>
              <w:top w:val="single" w:sz="4" w:space="0" w:color="auto"/>
              <w:left w:val="single" w:sz="4" w:space="0" w:color="auto"/>
              <w:bottom w:val="single" w:sz="4" w:space="0" w:color="auto"/>
              <w:right w:val="single" w:sz="4" w:space="0" w:color="auto"/>
            </w:tcBorders>
            <w:vAlign w:val="center"/>
          </w:tcPr>
          <w:p w14:paraId="7CA36027" w14:textId="77777777" w:rsidR="00FF3308" w:rsidRPr="00211C8B" w:rsidRDefault="0022523C" w:rsidP="00444B08">
            <w:pPr>
              <w:pStyle w:val="TableText0"/>
              <w:keepNext w:val="0"/>
              <w:jc w:val="center"/>
              <w:rPr>
                <w:color w:val="000000" w:themeColor="text1"/>
              </w:rPr>
            </w:pPr>
            <w:r w:rsidRPr="00211C8B">
              <w:rPr>
                <w:color w:val="000000" w:themeColor="text1"/>
              </w:rPr>
              <w:t>29.1</w:t>
            </w:r>
          </w:p>
        </w:tc>
        <w:tc>
          <w:tcPr>
            <w:tcW w:w="625" w:type="pct"/>
            <w:tcBorders>
              <w:top w:val="single" w:sz="4" w:space="0" w:color="auto"/>
              <w:left w:val="single" w:sz="4" w:space="0" w:color="auto"/>
              <w:bottom w:val="single" w:sz="4" w:space="0" w:color="auto"/>
              <w:right w:val="single" w:sz="4" w:space="0" w:color="auto"/>
            </w:tcBorders>
            <w:vAlign w:val="center"/>
          </w:tcPr>
          <w:p w14:paraId="22ACADBC" w14:textId="77777777" w:rsidR="00FF3308" w:rsidRPr="00211C8B" w:rsidRDefault="0022523C" w:rsidP="00444B08">
            <w:pPr>
              <w:pStyle w:val="TableText0"/>
              <w:keepNext w:val="0"/>
              <w:jc w:val="center"/>
              <w:rPr>
                <w:color w:val="000000" w:themeColor="text1"/>
              </w:rPr>
            </w:pPr>
            <w:r w:rsidRPr="00211C8B">
              <w:rPr>
                <w:color w:val="000000" w:themeColor="text1"/>
              </w:rPr>
              <w:t>23.6</w:t>
            </w:r>
          </w:p>
        </w:tc>
        <w:tc>
          <w:tcPr>
            <w:tcW w:w="852" w:type="pct"/>
            <w:gridSpan w:val="3"/>
            <w:tcBorders>
              <w:top w:val="single" w:sz="4" w:space="0" w:color="auto"/>
              <w:left w:val="single" w:sz="4" w:space="0" w:color="auto"/>
              <w:bottom w:val="single" w:sz="4" w:space="0" w:color="auto"/>
              <w:right w:val="single" w:sz="4" w:space="0" w:color="auto"/>
            </w:tcBorders>
            <w:vAlign w:val="center"/>
          </w:tcPr>
          <w:p w14:paraId="5591B89F" w14:textId="77777777" w:rsidR="00FF3308" w:rsidRPr="00211C8B" w:rsidRDefault="00FF3308" w:rsidP="00444B08">
            <w:pPr>
              <w:pStyle w:val="TableText0"/>
              <w:keepNext w:val="0"/>
              <w:jc w:val="center"/>
            </w:pPr>
            <w:r w:rsidRPr="00211C8B">
              <w:t>0.05 (-0.11, 0.22)</w:t>
            </w:r>
          </w:p>
        </w:tc>
      </w:tr>
      <w:tr w:rsidR="00FF3308" w:rsidRPr="00211C8B" w14:paraId="60120A37" w14:textId="77777777" w:rsidTr="00D31A3E">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77D5FA8D" w14:textId="77777777" w:rsidR="00FF3308" w:rsidRPr="00211C8B" w:rsidRDefault="00FF3308" w:rsidP="00444B08">
            <w:pPr>
              <w:pStyle w:val="TableText0"/>
              <w:keepNext w:val="0"/>
              <w:rPr>
                <w:color w:val="000000" w:themeColor="text1"/>
                <w:szCs w:val="20"/>
                <w:lang w:eastAsia="zh-CN"/>
              </w:rPr>
            </w:pPr>
            <w:r w:rsidRPr="00211C8B">
              <w:rPr>
                <w:color w:val="000000" w:themeColor="text1"/>
                <w:szCs w:val="20"/>
                <w:lang w:eastAsia="zh-CN"/>
              </w:rPr>
              <w:t>NCT03506243</w:t>
            </w:r>
          </w:p>
        </w:tc>
        <w:tc>
          <w:tcPr>
            <w:tcW w:w="638" w:type="pct"/>
            <w:gridSpan w:val="3"/>
            <w:tcBorders>
              <w:top w:val="single" w:sz="4" w:space="0" w:color="auto"/>
              <w:left w:val="single" w:sz="4" w:space="0" w:color="auto"/>
              <w:bottom w:val="single" w:sz="4" w:space="0" w:color="auto"/>
              <w:right w:val="single" w:sz="4" w:space="0" w:color="auto"/>
            </w:tcBorders>
            <w:vAlign w:val="center"/>
          </w:tcPr>
          <w:p w14:paraId="66F9E70F" w14:textId="77777777" w:rsidR="00FF3308" w:rsidRPr="00211C8B" w:rsidRDefault="00292D91" w:rsidP="00444B08">
            <w:pPr>
              <w:pStyle w:val="TableText0"/>
              <w:keepNext w:val="0"/>
              <w:jc w:val="center"/>
              <w:rPr>
                <w:color w:val="000000" w:themeColor="text1"/>
              </w:rPr>
            </w:pPr>
            <w:r w:rsidRPr="00211C8B">
              <w:rPr>
                <w:color w:val="000000" w:themeColor="text1"/>
              </w:rPr>
              <w:t>34</w:t>
            </w:r>
            <w:r w:rsidR="0026518F" w:rsidRPr="00211C8B">
              <w:rPr>
                <w:color w:val="000000" w:themeColor="text1"/>
              </w:rPr>
              <w:t>/</w:t>
            </w:r>
            <w:r w:rsidRPr="00211C8B">
              <w:rPr>
                <w:color w:val="000000" w:themeColor="text1"/>
              </w:rPr>
              <w:t>112</w:t>
            </w:r>
          </w:p>
        </w:tc>
        <w:tc>
          <w:tcPr>
            <w:tcW w:w="711" w:type="pct"/>
            <w:gridSpan w:val="2"/>
            <w:tcBorders>
              <w:top w:val="single" w:sz="4" w:space="0" w:color="auto"/>
              <w:left w:val="single" w:sz="4" w:space="0" w:color="auto"/>
              <w:bottom w:val="single" w:sz="4" w:space="0" w:color="auto"/>
              <w:right w:val="single" w:sz="4" w:space="0" w:color="auto"/>
            </w:tcBorders>
            <w:vAlign w:val="center"/>
          </w:tcPr>
          <w:p w14:paraId="1C2223C3" w14:textId="77777777" w:rsidR="00FF3308" w:rsidRPr="00211C8B" w:rsidRDefault="00292D91" w:rsidP="00444B08">
            <w:pPr>
              <w:pStyle w:val="TableText0"/>
              <w:keepNext w:val="0"/>
              <w:jc w:val="center"/>
              <w:rPr>
                <w:color w:val="000000" w:themeColor="text1"/>
              </w:rPr>
            </w:pPr>
            <w:r w:rsidRPr="00211C8B">
              <w:rPr>
                <w:color w:val="000000" w:themeColor="text1"/>
              </w:rPr>
              <w:t>82</w:t>
            </w:r>
            <w:r w:rsidR="0026518F" w:rsidRPr="00211C8B">
              <w:rPr>
                <w:color w:val="000000" w:themeColor="text1"/>
              </w:rPr>
              <w:t>/</w:t>
            </w:r>
            <w:r w:rsidRPr="00211C8B">
              <w:rPr>
                <w:color w:val="000000" w:themeColor="text1"/>
              </w:rPr>
              <w:t>339</w:t>
            </w:r>
          </w:p>
        </w:tc>
        <w:tc>
          <w:tcPr>
            <w:tcW w:w="862" w:type="pct"/>
            <w:gridSpan w:val="2"/>
            <w:tcBorders>
              <w:top w:val="single" w:sz="4" w:space="0" w:color="auto"/>
              <w:left w:val="single" w:sz="4" w:space="0" w:color="auto"/>
              <w:bottom w:val="single" w:sz="4" w:space="0" w:color="auto"/>
              <w:right w:val="single" w:sz="4" w:space="0" w:color="auto"/>
            </w:tcBorders>
            <w:vAlign w:val="center"/>
          </w:tcPr>
          <w:p w14:paraId="64C2A63C" w14:textId="77777777" w:rsidR="00FF3308" w:rsidRPr="00211C8B" w:rsidRDefault="0022523C" w:rsidP="00444B08">
            <w:pPr>
              <w:pStyle w:val="TableText0"/>
              <w:keepNext w:val="0"/>
              <w:jc w:val="center"/>
              <w:rPr>
                <w:color w:val="000000" w:themeColor="text1"/>
              </w:rPr>
            </w:pPr>
            <w:r w:rsidRPr="00211C8B">
              <w:rPr>
                <w:color w:val="000000" w:themeColor="text1"/>
              </w:rPr>
              <w:t>0.80 (0.57, 1.12)</w:t>
            </w:r>
          </w:p>
        </w:tc>
        <w:tc>
          <w:tcPr>
            <w:tcW w:w="679" w:type="pct"/>
            <w:gridSpan w:val="4"/>
            <w:tcBorders>
              <w:top w:val="single" w:sz="4" w:space="0" w:color="auto"/>
              <w:left w:val="single" w:sz="4" w:space="0" w:color="auto"/>
              <w:bottom w:val="single" w:sz="4" w:space="0" w:color="auto"/>
              <w:right w:val="single" w:sz="4" w:space="0" w:color="auto"/>
            </w:tcBorders>
            <w:vAlign w:val="center"/>
          </w:tcPr>
          <w:p w14:paraId="1A70470E" w14:textId="77777777" w:rsidR="00FF3308" w:rsidRPr="00211C8B" w:rsidRDefault="0022523C" w:rsidP="00444B08">
            <w:pPr>
              <w:pStyle w:val="TableText0"/>
              <w:keepNext w:val="0"/>
              <w:jc w:val="center"/>
              <w:rPr>
                <w:color w:val="000000" w:themeColor="text1"/>
              </w:rPr>
            </w:pPr>
            <w:r w:rsidRPr="00211C8B">
              <w:rPr>
                <w:color w:val="000000" w:themeColor="text1"/>
              </w:rPr>
              <w:t>30.4</w:t>
            </w:r>
          </w:p>
        </w:tc>
        <w:tc>
          <w:tcPr>
            <w:tcW w:w="625" w:type="pct"/>
            <w:tcBorders>
              <w:top w:val="single" w:sz="4" w:space="0" w:color="auto"/>
              <w:left w:val="single" w:sz="4" w:space="0" w:color="auto"/>
              <w:bottom w:val="single" w:sz="4" w:space="0" w:color="auto"/>
              <w:right w:val="single" w:sz="4" w:space="0" w:color="auto"/>
            </w:tcBorders>
            <w:vAlign w:val="center"/>
          </w:tcPr>
          <w:p w14:paraId="6062B635" w14:textId="77777777" w:rsidR="00FF3308" w:rsidRPr="00211C8B" w:rsidRDefault="0022523C" w:rsidP="00444B08">
            <w:pPr>
              <w:pStyle w:val="TableText0"/>
              <w:keepNext w:val="0"/>
              <w:jc w:val="center"/>
              <w:rPr>
                <w:color w:val="000000" w:themeColor="text1"/>
              </w:rPr>
            </w:pPr>
            <w:r w:rsidRPr="00211C8B">
              <w:rPr>
                <w:color w:val="000000" w:themeColor="text1"/>
              </w:rPr>
              <w:t>24.2</w:t>
            </w:r>
          </w:p>
        </w:tc>
        <w:tc>
          <w:tcPr>
            <w:tcW w:w="852" w:type="pct"/>
            <w:gridSpan w:val="3"/>
            <w:tcBorders>
              <w:top w:val="single" w:sz="4" w:space="0" w:color="auto"/>
              <w:left w:val="single" w:sz="4" w:space="0" w:color="auto"/>
              <w:bottom w:val="single" w:sz="4" w:space="0" w:color="auto"/>
              <w:right w:val="single" w:sz="4" w:space="0" w:color="auto"/>
            </w:tcBorders>
            <w:vAlign w:val="center"/>
          </w:tcPr>
          <w:p w14:paraId="45F4EC17" w14:textId="77777777" w:rsidR="00FF3308" w:rsidRPr="00211C8B" w:rsidRDefault="00FF3308" w:rsidP="00444B08">
            <w:pPr>
              <w:pStyle w:val="TableText0"/>
              <w:keepNext w:val="0"/>
              <w:jc w:val="center"/>
            </w:pPr>
            <w:r w:rsidRPr="00211C8B">
              <w:t>0.06 (-0.03, 0.16)</w:t>
            </w:r>
          </w:p>
        </w:tc>
      </w:tr>
      <w:tr w:rsidR="00FF3308" w:rsidRPr="00211C8B" w14:paraId="097A586A" w14:textId="77777777" w:rsidTr="00D31A3E">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2F1ED458" w14:textId="77777777" w:rsidR="00FF3308" w:rsidRPr="00211C8B" w:rsidRDefault="00FF3308" w:rsidP="00444B08">
            <w:pPr>
              <w:pStyle w:val="TableText0"/>
              <w:keepNext w:val="0"/>
              <w:rPr>
                <w:color w:val="000000" w:themeColor="text1"/>
                <w:szCs w:val="20"/>
                <w:lang w:eastAsia="zh-CN"/>
              </w:rPr>
            </w:pPr>
            <w:r w:rsidRPr="00211C8B">
              <w:rPr>
                <w:color w:val="000000" w:themeColor="text1"/>
                <w:szCs w:val="20"/>
                <w:lang w:eastAsia="zh-CN"/>
              </w:rPr>
              <w:t>Meta-analysis</w:t>
            </w:r>
          </w:p>
        </w:tc>
        <w:tc>
          <w:tcPr>
            <w:tcW w:w="638" w:type="pct"/>
            <w:gridSpan w:val="3"/>
            <w:tcBorders>
              <w:top w:val="single" w:sz="4" w:space="0" w:color="auto"/>
              <w:left w:val="single" w:sz="4" w:space="0" w:color="auto"/>
              <w:bottom w:val="single" w:sz="4" w:space="0" w:color="auto"/>
              <w:right w:val="single" w:sz="4" w:space="0" w:color="auto"/>
            </w:tcBorders>
            <w:vAlign w:val="center"/>
          </w:tcPr>
          <w:p w14:paraId="4CC5112E" w14:textId="77777777" w:rsidR="00FF3308" w:rsidRPr="00211C8B" w:rsidRDefault="00292D91" w:rsidP="00444B08">
            <w:pPr>
              <w:pStyle w:val="TableText0"/>
              <w:keepNext w:val="0"/>
              <w:jc w:val="center"/>
              <w:rPr>
                <w:color w:val="000000" w:themeColor="text1"/>
              </w:rPr>
            </w:pPr>
            <w:r w:rsidRPr="00211C8B">
              <w:rPr>
                <w:color w:val="000000" w:themeColor="text1"/>
              </w:rPr>
              <w:t>154/436</w:t>
            </w:r>
          </w:p>
        </w:tc>
        <w:tc>
          <w:tcPr>
            <w:tcW w:w="711" w:type="pct"/>
            <w:gridSpan w:val="2"/>
            <w:tcBorders>
              <w:top w:val="single" w:sz="4" w:space="0" w:color="auto"/>
              <w:left w:val="single" w:sz="4" w:space="0" w:color="auto"/>
              <w:bottom w:val="single" w:sz="4" w:space="0" w:color="auto"/>
              <w:right w:val="single" w:sz="4" w:space="0" w:color="auto"/>
            </w:tcBorders>
            <w:vAlign w:val="center"/>
          </w:tcPr>
          <w:p w14:paraId="3F30EA0D" w14:textId="77777777" w:rsidR="00FF3308" w:rsidRPr="00211C8B" w:rsidRDefault="00292D91" w:rsidP="00444B08">
            <w:pPr>
              <w:pStyle w:val="TableText0"/>
              <w:keepNext w:val="0"/>
              <w:jc w:val="center"/>
              <w:rPr>
                <w:color w:val="000000" w:themeColor="text1"/>
              </w:rPr>
            </w:pPr>
            <w:r w:rsidRPr="00211C8B">
              <w:rPr>
                <w:color w:val="000000" w:themeColor="text1"/>
              </w:rPr>
              <w:t>227/796</w:t>
            </w:r>
          </w:p>
        </w:tc>
        <w:tc>
          <w:tcPr>
            <w:tcW w:w="862" w:type="pct"/>
            <w:gridSpan w:val="2"/>
            <w:tcBorders>
              <w:top w:val="single" w:sz="4" w:space="0" w:color="auto"/>
              <w:left w:val="single" w:sz="4" w:space="0" w:color="auto"/>
              <w:bottom w:val="single" w:sz="4" w:space="0" w:color="auto"/>
              <w:right w:val="single" w:sz="4" w:space="0" w:color="auto"/>
            </w:tcBorders>
            <w:vAlign w:val="center"/>
          </w:tcPr>
          <w:p w14:paraId="528FD47B" w14:textId="77777777" w:rsidR="00FF3308" w:rsidRPr="00211C8B" w:rsidRDefault="0022523C" w:rsidP="00444B08">
            <w:pPr>
              <w:pStyle w:val="TableText0"/>
              <w:keepNext w:val="0"/>
              <w:jc w:val="center"/>
              <w:rPr>
                <w:color w:val="000000" w:themeColor="text1"/>
              </w:rPr>
            </w:pPr>
            <w:r w:rsidRPr="00211C8B">
              <w:rPr>
                <w:color w:val="000000" w:themeColor="text1"/>
              </w:rPr>
              <w:t>0.81 (0.68, 0.96)</w:t>
            </w:r>
          </w:p>
        </w:tc>
        <w:tc>
          <w:tcPr>
            <w:tcW w:w="679" w:type="pct"/>
            <w:gridSpan w:val="4"/>
            <w:tcBorders>
              <w:top w:val="single" w:sz="4" w:space="0" w:color="auto"/>
              <w:left w:val="single" w:sz="4" w:space="0" w:color="auto"/>
              <w:bottom w:val="single" w:sz="4" w:space="0" w:color="auto"/>
              <w:right w:val="single" w:sz="4" w:space="0" w:color="auto"/>
            </w:tcBorders>
            <w:vAlign w:val="center"/>
          </w:tcPr>
          <w:p w14:paraId="72D751C4" w14:textId="77777777" w:rsidR="00FF3308" w:rsidRPr="00211C8B" w:rsidRDefault="0026518F" w:rsidP="00444B08">
            <w:pPr>
              <w:pStyle w:val="TableText0"/>
              <w:keepNext w:val="0"/>
              <w:jc w:val="center"/>
              <w:rPr>
                <w:color w:val="000000" w:themeColor="text1"/>
              </w:rPr>
            </w:pPr>
            <w:r w:rsidRPr="00211C8B">
              <w:rPr>
                <w:color w:val="000000" w:themeColor="text1"/>
              </w:rPr>
              <w:t>26.2</w:t>
            </w:r>
          </w:p>
        </w:tc>
        <w:tc>
          <w:tcPr>
            <w:tcW w:w="625" w:type="pct"/>
            <w:tcBorders>
              <w:top w:val="single" w:sz="4" w:space="0" w:color="auto"/>
              <w:left w:val="single" w:sz="4" w:space="0" w:color="auto"/>
              <w:bottom w:val="single" w:sz="4" w:space="0" w:color="auto"/>
              <w:right w:val="single" w:sz="4" w:space="0" w:color="auto"/>
            </w:tcBorders>
            <w:vAlign w:val="center"/>
          </w:tcPr>
          <w:p w14:paraId="4968B94C" w14:textId="77777777" w:rsidR="00FF3308" w:rsidRPr="00211C8B" w:rsidRDefault="0026518F" w:rsidP="00444B08">
            <w:pPr>
              <w:pStyle w:val="TableText0"/>
              <w:keepNext w:val="0"/>
              <w:jc w:val="center"/>
              <w:rPr>
                <w:color w:val="000000" w:themeColor="text1"/>
              </w:rPr>
            </w:pPr>
            <w:r w:rsidRPr="00211C8B">
              <w:rPr>
                <w:color w:val="000000" w:themeColor="text1"/>
              </w:rPr>
              <w:t>24.8</w:t>
            </w:r>
          </w:p>
        </w:tc>
        <w:tc>
          <w:tcPr>
            <w:tcW w:w="852" w:type="pct"/>
            <w:gridSpan w:val="3"/>
            <w:tcBorders>
              <w:top w:val="single" w:sz="4" w:space="0" w:color="auto"/>
              <w:left w:val="single" w:sz="4" w:space="0" w:color="auto"/>
              <w:bottom w:val="single" w:sz="4" w:space="0" w:color="auto"/>
              <w:right w:val="single" w:sz="4" w:space="0" w:color="auto"/>
            </w:tcBorders>
            <w:vAlign w:val="center"/>
          </w:tcPr>
          <w:p w14:paraId="5199846E" w14:textId="77777777" w:rsidR="00FF3308" w:rsidRPr="00211C8B" w:rsidRDefault="0022523C" w:rsidP="00444B08">
            <w:pPr>
              <w:pStyle w:val="TableText0"/>
              <w:keepNext w:val="0"/>
              <w:jc w:val="center"/>
            </w:pPr>
            <w:r w:rsidRPr="00211C8B">
              <w:t>-0.07 (-0.12, -0.01)</w:t>
            </w:r>
          </w:p>
        </w:tc>
      </w:tr>
      <w:tr w:rsidR="00FF3308" w:rsidRPr="00211C8B" w14:paraId="1FEA8083" w14:textId="77777777" w:rsidTr="00D31A3E">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359E95ED" w14:textId="77777777" w:rsidR="00FF3308" w:rsidRPr="00211C8B" w:rsidRDefault="00FF3308" w:rsidP="00444B08">
            <w:pPr>
              <w:pStyle w:val="TableText0"/>
              <w:keepNext w:val="0"/>
              <w:rPr>
                <w:b/>
                <w:bCs w:val="0"/>
              </w:rPr>
            </w:pPr>
            <w:r w:rsidRPr="00211C8B">
              <w:rPr>
                <w:b/>
                <w:bCs w:val="0"/>
              </w:rPr>
              <w:t>Clinical pregnancy rate (after 1 cycle)</w:t>
            </w:r>
          </w:p>
        </w:tc>
      </w:tr>
      <w:tr w:rsidR="00FF3308" w:rsidRPr="00211C8B" w14:paraId="7F903965" w14:textId="77777777" w:rsidTr="00D31A3E">
        <w:tc>
          <w:tcPr>
            <w:tcW w:w="634" w:type="pct"/>
            <w:tcBorders>
              <w:top w:val="single" w:sz="4" w:space="0" w:color="auto"/>
              <w:left w:val="single" w:sz="4" w:space="0" w:color="auto"/>
              <w:bottom w:val="single" w:sz="4" w:space="0" w:color="auto"/>
              <w:right w:val="single" w:sz="4" w:space="0" w:color="auto"/>
            </w:tcBorders>
            <w:shd w:val="clear" w:color="auto" w:fill="auto"/>
          </w:tcPr>
          <w:p w14:paraId="0250EC26" w14:textId="77777777" w:rsidR="00FF3308" w:rsidRPr="00211C8B" w:rsidRDefault="00FF3308" w:rsidP="00444B08">
            <w:pPr>
              <w:pStyle w:val="TableText0"/>
              <w:keepNext w:val="0"/>
            </w:pPr>
            <w:r w:rsidRPr="00211C8B">
              <w:rPr>
                <w:color w:val="000000" w:themeColor="text1"/>
                <w:szCs w:val="20"/>
                <w:lang w:eastAsia="zh-CN"/>
              </w:rPr>
              <w:t>NCT01121666</w:t>
            </w:r>
          </w:p>
        </w:tc>
        <w:tc>
          <w:tcPr>
            <w:tcW w:w="638" w:type="pct"/>
            <w:gridSpan w:val="3"/>
            <w:tcBorders>
              <w:top w:val="single" w:sz="4" w:space="0" w:color="auto"/>
              <w:left w:val="single" w:sz="4" w:space="0" w:color="auto"/>
              <w:bottom w:val="single" w:sz="4" w:space="0" w:color="auto"/>
              <w:right w:val="single" w:sz="4" w:space="0" w:color="auto"/>
            </w:tcBorders>
            <w:vAlign w:val="center"/>
          </w:tcPr>
          <w:p w14:paraId="75801703" w14:textId="77777777" w:rsidR="00FF3308" w:rsidRPr="00211C8B" w:rsidRDefault="00FF3308" w:rsidP="00444B08">
            <w:pPr>
              <w:pStyle w:val="TableText0"/>
              <w:keepNext w:val="0"/>
              <w:jc w:val="center"/>
            </w:pPr>
            <w:r w:rsidRPr="00211C8B">
              <w:rPr>
                <w:color w:val="000000" w:themeColor="text1"/>
              </w:rPr>
              <w:t>55/123</w:t>
            </w:r>
          </w:p>
        </w:tc>
        <w:tc>
          <w:tcPr>
            <w:tcW w:w="711" w:type="pct"/>
            <w:gridSpan w:val="2"/>
            <w:tcBorders>
              <w:top w:val="single" w:sz="4" w:space="0" w:color="auto"/>
              <w:left w:val="single" w:sz="4" w:space="0" w:color="auto"/>
              <w:bottom w:val="single" w:sz="4" w:space="0" w:color="auto"/>
              <w:right w:val="single" w:sz="4" w:space="0" w:color="auto"/>
            </w:tcBorders>
            <w:vAlign w:val="center"/>
          </w:tcPr>
          <w:p w14:paraId="4DFFCA8C" w14:textId="77777777" w:rsidR="00FF3308" w:rsidRPr="00211C8B" w:rsidRDefault="00FF3308" w:rsidP="00444B08">
            <w:pPr>
              <w:pStyle w:val="TableText0"/>
              <w:keepNext w:val="0"/>
              <w:jc w:val="center"/>
            </w:pPr>
            <w:r w:rsidRPr="00211C8B">
              <w:rPr>
                <w:color w:val="000000" w:themeColor="text1"/>
              </w:rPr>
              <w:t>90/249</w:t>
            </w:r>
          </w:p>
        </w:tc>
        <w:tc>
          <w:tcPr>
            <w:tcW w:w="862" w:type="pct"/>
            <w:gridSpan w:val="2"/>
            <w:tcBorders>
              <w:top w:val="single" w:sz="4" w:space="0" w:color="auto"/>
              <w:left w:val="single" w:sz="4" w:space="0" w:color="auto"/>
              <w:bottom w:val="single" w:sz="4" w:space="0" w:color="auto"/>
              <w:right w:val="single" w:sz="4" w:space="0" w:color="auto"/>
            </w:tcBorders>
            <w:vAlign w:val="center"/>
          </w:tcPr>
          <w:p w14:paraId="690A4263" w14:textId="77777777" w:rsidR="00FF3308" w:rsidRPr="00211C8B" w:rsidRDefault="00FF3308" w:rsidP="00444B08">
            <w:pPr>
              <w:pStyle w:val="TableText0"/>
              <w:keepNext w:val="0"/>
              <w:jc w:val="center"/>
            </w:pPr>
            <w:r w:rsidRPr="00211C8B">
              <w:rPr>
                <w:color w:val="000000" w:themeColor="text1"/>
              </w:rPr>
              <w:t>0.81 (0.62, 1.04)</w:t>
            </w:r>
          </w:p>
        </w:tc>
        <w:tc>
          <w:tcPr>
            <w:tcW w:w="679" w:type="pct"/>
            <w:gridSpan w:val="4"/>
            <w:tcBorders>
              <w:top w:val="single" w:sz="4" w:space="0" w:color="auto"/>
              <w:left w:val="single" w:sz="4" w:space="0" w:color="auto"/>
              <w:bottom w:val="single" w:sz="4" w:space="0" w:color="auto"/>
              <w:right w:val="single" w:sz="4" w:space="0" w:color="auto"/>
            </w:tcBorders>
            <w:vAlign w:val="center"/>
          </w:tcPr>
          <w:p w14:paraId="49A1AE86" w14:textId="77777777" w:rsidR="00FF3308" w:rsidRPr="00211C8B" w:rsidRDefault="00FF3308" w:rsidP="00444B08">
            <w:pPr>
              <w:pStyle w:val="TableText0"/>
              <w:keepNext w:val="0"/>
              <w:jc w:val="center"/>
            </w:pPr>
            <w:r w:rsidRPr="00211C8B">
              <w:rPr>
                <w:color w:val="000000" w:themeColor="text1"/>
              </w:rPr>
              <w:t>44.7</w:t>
            </w:r>
          </w:p>
        </w:tc>
        <w:tc>
          <w:tcPr>
            <w:tcW w:w="625" w:type="pct"/>
            <w:tcBorders>
              <w:top w:val="single" w:sz="4" w:space="0" w:color="auto"/>
              <w:left w:val="single" w:sz="4" w:space="0" w:color="auto"/>
              <w:bottom w:val="single" w:sz="4" w:space="0" w:color="auto"/>
              <w:right w:val="single" w:sz="4" w:space="0" w:color="auto"/>
            </w:tcBorders>
            <w:vAlign w:val="center"/>
          </w:tcPr>
          <w:p w14:paraId="5AB12D5C" w14:textId="77777777" w:rsidR="00FF3308" w:rsidRPr="00211C8B" w:rsidRDefault="00FF3308" w:rsidP="00444B08">
            <w:pPr>
              <w:pStyle w:val="TableText0"/>
              <w:keepNext w:val="0"/>
              <w:jc w:val="center"/>
            </w:pPr>
            <w:r w:rsidRPr="00211C8B">
              <w:rPr>
                <w:color w:val="000000" w:themeColor="text1"/>
              </w:rPr>
              <w:t>36.1</w:t>
            </w:r>
          </w:p>
        </w:tc>
        <w:tc>
          <w:tcPr>
            <w:tcW w:w="852" w:type="pct"/>
            <w:gridSpan w:val="3"/>
            <w:tcBorders>
              <w:top w:val="single" w:sz="4" w:space="0" w:color="auto"/>
              <w:left w:val="single" w:sz="4" w:space="0" w:color="auto"/>
              <w:bottom w:val="single" w:sz="4" w:space="0" w:color="auto"/>
              <w:right w:val="single" w:sz="4" w:space="0" w:color="auto"/>
            </w:tcBorders>
            <w:vAlign w:val="center"/>
          </w:tcPr>
          <w:p w14:paraId="5A2604BA" w14:textId="77777777" w:rsidR="00FF3308" w:rsidRPr="00211C8B" w:rsidRDefault="00112CA4" w:rsidP="00444B08">
            <w:pPr>
              <w:pStyle w:val="TableText0"/>
              <w:keepNext w:val="0"/>
              <w:jc w:val="center"/>
            </w:pPr>
            <w:r w:rsidRPr="00211C8B">
              <w:t>-0.09 (-0.19, 0.02)</w:t>
            </w:r>
          </w:p>
        </w:tc>
      </w:tr>
      <w:tr w:rsidR="00FF3308" w:rsidRPr="00211C8B" w14:paraId="023483B9" w14:textId="77777777" w:rsidTr="00D31A3E">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5AF6D21F" w14:textId="77777777" w:rsidR="00FF3308" w:rsidRPr="00211C8B" w:rsidRDefault="00FF3308" w:rsidP="00444B08">
            <w:pPr>
              <w:pStyle w:val="TableText0"/>
              <w:keepNext w:val="0"/>
            </w:pPr>
            <w:r w:rsidRPr="00211C8B">
              <w:rPr>
                <w:color w:val="000000" w:themeColor="text1"/>
                <w:szCs w:val="20"/>
                <w:lang w:eastAsia="zh-CN"/>
              </w:rPr>
              <w:t>NCT01687712</w:t>
            </w:r>
          </w:p>
        </w:tc>
        <w:tc>
          <w:tcPr>
            <w:tcW w:w="638" w:type="pct"/>
            <w:gridSpan w:val="3"/>
            <w:tcBorders>
              <w:top w:val="single" w:sz="4" w:space="0" w:color="auto"/>
              <w:left w:val="single" w:sz="4" w:space="0" w:color="auto"/>
              <w:bottom w:val="single" w:sz="4" w:space="0" w:color="auto"/>
              <w:right w:val="single" w:sz="4" w:space="0" w:color="auto"/>
            </w:tcBorders>
            <w:vAlign w:val="center"/>
          </w:tcPr>
          <w:p w14:paraId="49E7E7F9" w14:textId="77777777" w:rsidR="00FF3308" w:rsidRPr="00211C8B" w:rsidRDefault="00FF3308" w:rsidP="00444B08">
            <w:pPr>
              <w:pStyle w:val="TableText0"/>
              <w:keepNext w:val="0"/>
              <w:jc w:val="center"/>
            </w:pPr>
            <w:r w:rsidRPr="00211C8B">
              <w:rPr>
                <w:color w:val="000000" w:themeColor="text1"/>
              </w:rPr>
              <w:t>138/ 551</w:t>
            </w:r>
          </w:p>
        </w:tc>
        <w:tc>
          <w:tcPr>
            <w:tcW w:w="711" w:type="pct"/>
            <w:gridSpan w:val="2"/>
            <w:tcBorders>
              <w:top w:val="single" w:sz="4" w:space="0" w:color="auto"/>
              <w:left w:val="single" w:sz="4" w:space="0" w:color="auto"/>
              <w:bottom w:val="single" w:sz="4" w:space="0" w:color="auto"/>
              <w:right w:val="single" w:sz="4" w:space="0" w:color="auto"/>
            </w:tcBorders>
            <w:vAlign w:val="center"/>
          </w:tcPr>
          <w:p w14:paraId="60BB06D5" w14:textId="77777777" w:rsidR="00FF3308" w:rsidRPr="00211C8B" w:rsidRDefault="00FF3308" w:rsidP="00444B08">
            <w:pPr>
              <w:pStyle w:val="TableText0"/>
              <w:keepNext w:val="0"/>
              <w:jc w:val="center"/>
            </w:pPr>
            <w:r w:rsidRPr="00211C8B">
              <w:rPr>
                <w:color w:val="000000" w:themeColor="text1"/>
              </w:rPr>
              <w:t>114/549</w:t>
            </w:r>
          </w:p>
        </w:tc>
        <w:tc>
          <w:tcPr>
            <w:tcW w:w="862" w:type="pct"/>
            <w:gridSpan w:val="2"/>
            <w:tcBorders>
              <w:top w:val="single" w:sz="4" w:space="0" w:color="auto"/>
              <w:left w:val="single" w:sz="4" w:space="0" w:color="auto"/>
              <w:bottom w:val="single" w:sz="4" w:space="0" w:color="auto"/>
              <w:right w:val="single" w:sz="4" w:space="0" w:color="auto"/>
            </w:tcBorders>
            <w:vAlign w:val="center"/>
          </w:tcPr>
          <w:p w14:paraId="02020F3F" w14:textId="77777777" w:rsidR="00FF3308" w:rsidRPr="00211C8B" w:rsidRDefault="00FF3308" w:rsidP="00444B08">
            <w:pPr>
              <w:pStyle w:val="TableText0"/>
              <w:keepNext w:val="0"/>
              <w:jc w:val="center"/>
            </w:pPr>
            <w:r w:rsidRPr="00211C8B">
              <w:rPr>
                <w:color w:val="000000" w:themeColor="text1"/>
              </w:rPr>
              <w:t>0.83 (0.67, 1.03)</w:t>
            </w:r>
          </w:p>
        </w:tc>
        <w:tc>
          <w:tcPr>
            <w:tcW w:w="679" w:type="pct"/>
            <w:gridSpan w:val="4"/>
            <w:tcBorders>
              <w:top w:val="single" w:sz="4" w:space="0" w:color="auto"/>
              <w:left w:val="single" w:sz="4" w:space="0" w:color="auto"/>
              <w:bottom w:val="single" w:sz="4" w:space="0" w:color="auto"/>
              <w:right w:val="single" w:sz="4" w:space="0" w:color="auto"/>
            </w:tcBorders>
            <w:vAlign w:val="center"/>
          </w:tcPr>
          <w:p w14:paraId="240F8CA6" w14:textId="77777777" w:rsidR="00FF3308" w:rsidRPr="00211C8B" w:rsidRDefault="00FF3308" w:rsidP="00444B08">
            <w:pPr>
              <w:pStyle w:val="TableText0"/>
              <w:keepNext w:val="0"/>
              <w:jc w:val="center"/>
            </w:pPr>
            <w:r w:rsidRPr="00211C8B">
              <w:rPr>
                <w:color w:val="000000" w:themeColor="text1"/>
              </w:rPr>
              <w:t>25.0</w:t>
            </w:r>
          </w:p>
        </w:tc>
        <w:tc>
          <w:tcPr>
            <w:tcW w:w="625" w:type="pct"/>
            <w:tcBorders>
              <w:top w:val="single" w:sz="4" w:space="0" w:color="auto"/>
              <w:left w:val="single" w:sz="4" w:space="0" w:color="auto"/>
              <w:bottom w:val="single" w:sz="4" w:space="0" w:color="auto"/>
              <w:right w:val="single" w:sz="4" w:space="0" w:color="auto"/>
            </w:tcBorders>
            <w:vAlign w:val="center"/>
          </w:tcPr>
          <w:p w14:paraId="03938EF5" w14:textId="77777777" w:rsidR="00FF3308" w:rsidRPr="00211C8B" w:rsidRDefault="00FF3308" w:rsidP="00444B08">
            <w:pPr>
              <w:pStyle w:val="TableText0"/>
              <w:keepNext w:val="0"/>
              <w:jc w:val="center"/>
            </w:pPr>
            <w:r w:rsidRPr="00211C8B">
              <w:rPr>
                <w:color w:val="000000" w:themeColor="text1"/>
              </w:rPr>
              <w:t>20.8</w:t>
            </w:r>
          </w:p>
        </w:tc>
        <w:tc>
          <w:tcPr>
            <w:tcW w:w="852" w:type="pct"/>
            <w:gridSpan w:val="3"/>
            <w:tcBorders>
              <w:top w:val="single" w:sz="4" w:space="0" w:color="auto"/>
              <w:left w:val="single" w:sz="4" w:space="0" w:color="auto"/>
              <w:bottom w:val="single" w:sz="4" w:space="0" w:color="auto"/>
              <w:right w:val="single" w:sz="4" w:space="0" w:color="auto"/>
            </w:tcBorders>
            <w:vAlign w:val="center"/>
          </w:tcPr>
          <w:p w14:paraId="4EDFFE88" w14:textId="77777777" w:rsidR="00FF3308" w:rsidRPr="00211C8B" w:rsidRDefault="00112CA4" w:rsidP="00444B08">
            <w:pPr>
              <w:pStyle w:val="TableText0"/>
              <w:keepNext w:val="0"/>
              <w:jc w:val="center"/>
            </w:pPr>
            <w:r w:rsidRPr="00211C8B">
              <w:t>-0.04 (-0.09, 0.01)</w:t>
            </w:r>
          </w:p>
        </w:tc>
      </w:tr>
      <w:tr w:rsidR="00FF3308" w:rsidRPr="00211C8B" w14:paraId="24A010A7" w14:textId="77777777" w:rsidTr="00D31A3E">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33ADFB4B" w14:textId="77777777" w:rsidR="00FF3308" w:rsidRPr="00211C8B" w:rsidRDefault="00FF3308" w:rsidP="00444B08">
            <w:pPr>
              <w:pStyle w:val="TableText0"/>
              <w:keepNext w:val="0"/>
            </w:pPr>
            <w:r w:rsidRPr="00211C8B">
              <w:rPr>
                <w:color w:val="000000" w:themeColor="text1"/>
                <w:szCs w:val="20"/>
                <w:lang w:eastAsia="zh-CN"/>
              </w:rPr>
              <w:t>ISRCTN74772901</w:t>
            </w:r>
          </w:p>
        </w:tc>
        <w:tc>
          <w:tcPr>
            <w:tcW w:w="638" w:type="pct"/>
            <w:gridSpan w:val="3"/>
            <w:tcBorders>
              <w:top w:val="single" w:sz="4" w:space="0" w:color="auto"/>
              <w:left w:val="single" w:sz="4" w:space="0" w:color="auto"/>
              <w:bottom w:val="single" w:sz="4" w:space="0" w:color="auto"/>
              <w:right w:val="single" w:sz="4" w:space="0" w:color="auto"/>
            </w:tcBorders>
            <w:vAlign w:val="center"/>
          </w:tcPr>
          <w:p w14:paraId="348E30BC" w14:textId="77777777" w:rsidR="00FF3308" w:rsidRPr="00211C8B" w:rsidRDefault="00FF3308" w:rsidP="00444B08">
            <w:pPr>
              <w:pStyle w:val="TableText0"/>
              <w:keepNext w:val="0"/>
              <w:jc w:val="center"/>
            </w:pPr>
            <w:r w:rsidRPr="00211C8B">
              <w:rPr>
                <w:color w:val="000000" w:themeColor="text1"/>
              </w:rPr>
              <w:t>52/146</w:t>
            </w:r>
          </w:p>
        </w:tc>
        <w:tc>
          <w:tcPr>
            <w:tcW w:w="711" w:type="pct"/>
            <w:gridSpan w:val="2"/>
            <w:tcBorders>
              <w:top w:val="single" w:sz="4" w:space="0" w:color="auto"/>
              <w:left w:val="single" w:sz="4" w:space="0" w:color="auto"/>
              <w:bottom w:val="single" w:sz="4" w:space="0" w:color="auto"/>
              <w:right w:val="single" w:sz="4" w:space="0" w:color="auto"/>
            </w:tcBorders>
            <w:vAlign w:val="center"/>
          </w:tcPr>
          <w:p w14:paraId="4DF06786" w14:textId="77777777" w:rsidR="00FF3308" w:rsidRPr="00211C8B" w:rsidRDefault="00FF3308" w:rsidP="00444B08">
            <w:pPr>
              <w:pStyle w:val="TableText0"/>
              <w:keepNext w:val="0"/>
              <w:jc w:val="center"/>
            </w:pPr>
            <w:r w:rsidRPr="00211C8B">
              <w:rPr>
                <w:color w:val="000000" w:themeColor="text1"/>
              </w:rPr>
              <w:t>43/153</w:t>
            </w:r>
          </w:p>
        </w:tc>
        <w:tc>
          <w:tcPr>
            <w:tcW w:w="862" w:type="pct"/>
            <w:gridSpan w:val="2"/>
            <w:tcBorders>
              <w:top w:val="single" w:sz="4" w:space="0" w:color="auto"/>
              <w:left w:val="single" w:sz="4" w:space="0" w:color="auto"/>
              <w:bottom w:val="single" w:sz="4" w:space="0" w:color="auto"/>
              <w:right w:val="single" w:sz="4" w:space="0" w:color="auto"/>
            </w:tcBorders>
            <w:vAlign w:val="center"/>
          </w:tcPr>
          <w:p w14:paraId="1AC0679C" w14:textId="77777777" w:rsidR="00FF3308" w:rsidRPr="00211C8B" w:rsidRDefault="00FF3308" w:rsidP="00444B08">
            <w:pPr>
              <w:pStyle w:val="TableText0"/>
              <w:keepNext w:val="0"/>
              <w:jc w:val="center"/>
            </w:pPr>
            <w:r w:rsidRPr="00211C8B">
              <w:rPr>
                <w:color w:val="000000" w:themeColor="text1"/>
              </w:rPr>
              <w:t>0.79 (0.56, 1.10)</w:t>
            </w:r>
          </w:p>
        </w:tc>
        <w:tc>
          <w:tcPr>
            <w:tcW w:w="679" w:type="pct"/>
            <w:gridSpan w:val="4"/>
            <w:tcBorders>
              <w:top w:val="single" w:sz="4" w:space="0" w:color="auto"/>
              <w:left w:val="single" w:sz="4" w:space="0" w:color="auto"/>
              <w:bottom w:val="single" w:sz="4" w:space="0" w:color="auto"/>
              <w:right w:val="single" w:sz="4" w:space="0" w:color="auto"/>
            </w:tcBorders>
            <w:vAlign w:val="center"/>
          </w:tcPr>
          <w:p w14:paraId="62537CAC" w14:textId="77777777" w:rsidR="00FF3308" w:rsidRPr="00211C8B" w:rsidRDefault="00FF3308" w:rsidP="00444B08">
            <w:pPr>
              <w:pStyle w:val="TableText0"/>
              <w:keepNext w:val="0"/>
              <w:jc w:val="center"/>
            </w:pPr>
            <w:r w:rsidRPr="00211C8B">
              <w:rPr>
                <w:color w:val="000000" w:themeColor="text1"/>
              </w:rPr>
              <w:t>35.6</w:t>
            </w:r>
          </w:p>
        </w:tc>
        <w:tc>
          <w:tcPr>
            <w:tcW w:w="625" w:type="pct"/>
            <w:tcBorders>
              <w:top w:val="single" w:sz="4" w:space="0" w:color="auto"/>
              <w:left w:val="single" w:sz="4" w:space="0" w:color="auto"/>
              <w:bottom w:val="single" w:sz="4" w:space="0" w:color="auto"/>
              <w:right w:val="single" w:sz="4" w:space="0" w:color="auto"/>
            </w:tcBorders>
            <w:vAlign w:val="center"/>
          </w:tcPr>
          <w:p w14:paraId="37E2CABF" w14:textId="77777777" w:rsidR="00FF3308" w:rsidRPr="00211C8B" w:rsidRDefault="00FF3308" w:rsidP="00444B08">
            <w:pPr>
              <w:pStyle w:val="TableText0"/>
              <w:keepNext w:val="0"/>
              <w:jc w:val="center"/>
            </w:pPr>
            <w:r w:rsidRPr="00211C8B">
              <w:rPr>
                <w:color w:val="000000" w:themeColor="text1"/>
              </w:rPr>
              <w:t>28.1</w:t>
            </w:r>
          </w:p>
        </w:tc>
        <w:tc>
          <w:tcPr>
            <w:tcW w:w="852" w:type="pct"/>
            <w:gridSpan w:val="3"/>
            <w:tcBorders>
              <w:top w:val="single" w:sz="4" w:space="0" w:color="auto"/>
              <w:left w:val="single" w:sz="4" w:space="0" w:color="auto"/>
              <w:bottom w:val="single" w:sz="4" w:space="0" w:color="auto"/>
              <w:right w:val="single" w:sz="4" w:space="0" w:color="auto"/>
            </w:tcBorders>
            <w:vAlign w:val="center"/>
          </w:tcPr>
          <w:p w14:paraId="1288C952" w14:textId="77777777" w:rsidR="00FF3308" w:rsidRPr="00211C8B" w:rsidRDefault="00112CA4" w:rsidP="00444B08">
            <w:pPr>
              <w:pStyle w:val="TableText0"/>
              <w:keepNext w:val="0"/>
              <w:jc w:val="center"/>
            </w:pPr>
            <w:r w:rsidRPr="00211C8B">
              <w:t>-0.08 (-0.18, 0.03)</w:t>
            </w:r>
          </w:p>
        </w:tc>
      </w:tr>
      <w:tr w:rsidR="0026518F" w:rsidRPr="00211C8B" w14:paraId="43E5EA60" w14:textId="77777777" w:rsidTr="00D31A3E">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2BABA38C" w14:textId="77777777" w:rsidR="0026518F" w:rsidRPr="00211C8B" w:rsidRDefault="0026518F" w:rsidP="00444B08">
            <w:pPr>
              <w:pStyle w:val="TableText0"/>
              <w:keepNext w:val="0"/>
              <w:rPr>
                <w:color w:val="000000" w:themeColor="text1"/>
                <w:szCs w:val="20"/>
                <w:lang w:eastAsia="zh-CN"/>
              </w:rPr>
            </w:pPr>
            <w:r w:rsidRPr="00211C8B">
              <w:rPr>
                <w:color w:val="000000" w:themeColor="text1"/>
                <w:szCs w:val="20"/>
                <w:lang w:eastAsia="zh-CN"/>
              </w:rPr>
              <w:t>NCT03506243</w:t>
            </w:r>
          </w:p>
        </w:tc>
        <w:tc>
          <w:tcPr>
            <w:tcW w:w="638" w:type="pct"/>
            <w:gridSpan w:val="3"/>
            <w:tcBorders>
              <w:top w:val="single" w:sz="4" w:space="0" w:color="auto"/>
              <w:left w:val="single" w:sz="4" w:space="0" w:color="auto"/>
              <w:bottom w:val="single" w:sz="4" w:space="0" w:color="auto"/>
              <w:right w:val="single" w:sz="4" w:space="0" w:color="auto"/>
            </w:tcBorders>
            <w:vAlign w:val="center"/>
          </w:tcPr>
          <w:p w14:paraId="72ADF345" w14:textId="77777777" w:rsidR="0026518F" w:rsidRPr="00211C8B" w:rsidRDefault="0026518F" w:rsidP="00444B08">
            <w:pPr>
              <w:pStyle w:val="TableText0"/>
              <w:keepNext w:val="0"/>
              <w:jc w:val="center"/>
              <w:rPr>
                <w:color w:val="000000" w:themeColor="text1"/>
              </w:rPr>
            </w:pPr>
            <w:r w:rsidRPr="00211C8B">
              <w:rPr>
                <w:color w:val="000000" w:themeColor="text1"/>
              </w:rPr>
              <w:t>41/112</w:t>
            </w:r>
          </w:p>
        </w:tc>
        <w:tc>
          <w:tcPr>
            <w:tcW w:w="711" w:type="pct"/>
            <w:gridSpan w:val="2"/>
            <w:tcBorders>
              <w:top w:val="single" w:sz="4" w:space="0" w:color="auto"/>
              <w:left w:val="single" w:sz="4" w:space="0" w:color="auto"/>
              <w:bottom w:val="single" w:sz="4" w:space="0" w:color="auto"/>
              <w:right w:val="single" w:sz="4" w:space="0" w:color="auto"/>
            </w:tcBorders>
            <w:vAlign w:val="center"/>
          </w:tcPr>
          <w:p w14:paraId="165A8DDD" w14:textId="77777777" w:rsidR="0026518F" w:rsidRPr="00211C8B" w:rsidRDefault="00875901" w:rsidP="00444B08">
            <w:pPr>
              <w:pStyle w:val="TableText0"/>
              <w:keepNext w:val="0"/>
              <w:jc w:val="center"/>
              <w:rPr>
                <w:color w:val="000000" w:themeColor="text1"/>
              </w:rPr>
            </w:pPr>
            <w:r w:rsidRPr="00211C8B">
              <w:rPr>
                <w:color w:val="000000" w:themeColor="text1"/>
              </w:rPr>
              <w:t>103/339</w:t>
            </w:r>
          </w:p>
        </w:tc>
        <w:tc>
          <w:tcPr>
            <w:tcW w:w="862" w:type="pct"/>
            <w:gridSpan w:val="2"/>
            <w:tcBorders>
              <w:top w:val="single" w:sz="4" w:space="0" w:color="auto"/>
              <w:left w:val="single" w:sz="4" w:space="0" w:color="auto"/>
              <w:bottom w:val="single" w:sz="4" w:space="0" w:color="auto"/>
              <w:right w:val="single" w:sz="4" w:space="0" w:color="auto"/>
            </w:tcBorders>
            <w:vAlign w:val="center"/>
          </w:tcPr>
          <w:p w14:paraId="2B010B10" w14:textId="77777777" w:rsidR="0026518F" w:rsidRPr="00211C8B" w:rsidRDefault="00875901" w:rsidP="00444B08">
            <w:pPr>
              <w:pStyle w:val="TableText0"/>
              <w:keepNext w:val="0"/>
              <w:jc w:val="center"/>
              <w:rPr>
                <w:color w:val="000000" w:themeColor="text1"/>
              </w:rPr>
            </w:pPr>
            <w:r w:rsidRPr="00211C8B">
              <w:rPr>
                <w:color w:val="000000" w:themeColor="text1"/>
              </w:rPr>
              <w:t>0.83 (0.62, 1.11)</w:t>
            </w:r>
          </w:p>
        </w:tc>
        <w:tc>
          <w:tcPr>
            <w:tcW w:w="679" w:type="pct"/>
            <w:gridSpan w:val="4"/>
            <w:tcBorders>
              <w:top w:val="single" w:sz="4" w:space="0" w:color="auto"/>
              <w:left w:val="single" w:sz="4" w:space="0" w:color="auto"/>
              <w:bottom w:val="single" w:sz="4" w:space="0" w:color="auto"/>
              <w:right w:val="single" w:sz="4" w:space="0" w:color="auto"/>
            </w:tcBorders>
            <w:vAlign w:val="center"/>
          </w:tcPr>
          <w:p w14:paraId="62122BFE" w14:textId="77777777" w:rsidR="0026518F" w:rsidRPr="00211C8B" w:rsidRDefault="00875901" w:rsidP="00444B08">
            <w:pPr>
              <w:pStyle w:val="TableText0"/>
              <w:keepNext w:val="0"/>
              <w:jc w:val="center"/>
              <w:rPr>
                <w:color w:val="000000" w:themeColor="text1"/>
              </w:rPr>
            </w:pPr>
            <w:r w:rsidRPr="00211C8B">
              <w:rPr>
                <w:color w:val="000000" w:themeColor="text1"/>
              </w:rPr>
              <w:t>36.6</w:t>
            </w:r>
          </w:p>
        </w:tc>
        <w:tc>
          <w:tcPr>
            <w:tcW w:w="625" w:type="pct"/>
            <w:tcBorders>
              <w:top w:val="single" w:sz="4" w:space="0" w:color="auto"/>
              <w:left w:val="single" w:sz="4" w:space="0" w:color="auto"/>
              <w:bottom w:val="single" w:sz="4" w:space="0" w:color="auto"/>
              <w:right w:val="single" w:sz="4" w:space="0" w:color="auto"/>
            </w:tcBorders>
            <w:vAlign w:val="center"/>
          </w:tcPr>
          <w:p w14:paraId="6E2E9E8A" w14:textId="77777777" w:rsidR="0026518F" w:rsidRPr="00211C8B" w:rsidRDefault="00875901" w:rsidP="00444B08">
            <w:pPr>
              <w:pStyle w:val="TableText0"/>
              <w:keepNext w:val="0"/>
              <w:jc w:val="center"/>
              <w:rPr>
                <w:color w:val="000000" w:themeColor="text1"/>
              </w:rPr>
            </w:pPr>
            <w:r w:rsidRPr="00211C8B">
              <w:rPr>
                <w:color w:val="000000" w:themeColor="text1"/>
              </w:rPr>
              <w:t>30.4</w:t>
            </w:r>
          </w:p>
        </w:tc>
        <w:tc>
          <w:tcPr>
            <w:tcW w:w="852" w:type="pct"/>
            <w:gridSpan w:val="3"/>
            <w:tcBorders>
              <w:top w:val="single" w:sz="4" w:space="0" w:color="auto"/>
              <w:left w:val="single" w:sz="4" w:space="0" w:color="auto"/>
              <w:bottom w:val="single" w:sz="4" w:space="0" w:color="auto"/>
              <w:right w:val="single" w:sz="4" w:space="0" w:color="auto"/>
            </w:tcBorders>
            <w:vAlign w:val="center"/>
          </w:tcPr>
          <w:p w14:paraId="0D850A39" w14:textId="77777777" w:rsidR="0026518F" w:rsidRPr="00211C8B" w:rsidRDefault="00875901" w:rsidP="00444B08">
            <w:pPr>
              <w:pStyle w:val="TableText0"/>
              <w:keepNext w:val="0"/>
              <w:jc w:val="center"/>
            </w:pPr>
            <w:r w:rsidRPr="00211C8B">
              <w:t>-0.06 (-0.16, 0.04)</w:t>
            </w:r>
          </w:p>
        </w:tc>
      </w:tr>
      <w:tr w:rsidR="0026518F" w:rsidRPr="00211C8B" w14:paraId="2CC1CEB1" w14:textId="77777777" w:rsidTr="00D31A3E">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665D2B28" w14:textId="77777777" w:rsidR="0026518F" w:rsidRPr="00211C8B" w:rsidRDefault="0026518F" w:rsidP="00444B08">
            <w:pPr>
              <w:pStyle w:val="TableText0"/>
              <w:keepNext w:val="0"/>
              <w:rPr>
                <w:color w:val="000000" w:themeColor="text1"/>
                <w:szCs w:val="20"/>
                <w:lang w:eastAsia="zh-CN"/>
              </w:rPr>
            </w:pPr>
            <w:r w:rsidRPr="00211C8B">
              <w:rPr>
                <w:color w:val="000000" w:themeColor="text1"/>
                <w:szCs w:val="20"/>
                <w:lang w:eastAsia="zh-CN"/>
              </w:rPr>
              <w:t>Meta-analysis</w:t>
            </w:r>
          </w:p>
        </w:tc>
        <w:tc>
          <w:tcPr>
            <w:tcW w:w="638" w:type="pct"/>
            <w:gridSpan w:val="3"/>
            <w:tcBorders>
              <w:top w:val="single" w:sz="4" w:space="0" w:color="auto"/>
              <w:left w:val="single" w:sz="4" w:space="0" w:color="auto"/>
              <w:bottom w:val="single" w:sz="4" w:space="0" w:color="auto"/>
              <w:right w:val="single" w:sz="4" w:space="0" w:color="auto"/>
            </w:tcBorders>
            <w:vAlign w:val="center"/>
          </w:tcPr>
          <w:p w14:paraId="1F4D85E9" w14:textId="77777777" w:rsidR="0026518F" w:rsidRPr="00211C8B" w:rsidRDefault="00292D91" w:rsidP="00444B08">
            <w:pPr>
              <w:pStyle w:val="TableText0"/>
              <w:keepNext w:val="0"/>
              <w:jc w:val="center"/>
              <w:rPr>
                <w:color w:val="000000" w:themeColor="text1"/>
              </w:rPr>
            </w:pPr>
            <w:r w:rsidRPr="00211C8B">
              <w:rPr>
                <w:color w:val="000000" w:themeColor="text1"/>
              </w:rPr>
              <w:t>286/932</w:t>
            </w:r>
          </w:p>
        </w:tc>
        <w:tc>
          <w:tcPr>
            <w:tcW w:w="711" w:type="pct"/>
            <w:gridSpan w:val="2"/>
            <w:tcBorders>
              <w:top w:val="single" w:sz="4" w:space="0" w:color="auto"/>
              <w:left w:val="single" w:sz="4" w:space="0" w:color="auto"/>
              <w:bottom w:val="single" w:sz="4" w:space="0" w:color="auto"/>
              <w:right w:val="single" w:sz="4" w:space="0" w:color="auto"/>
            </w:tcBorders>
            <w:vAlign w:val="center"/>
          </w:tcPr>
          <w:p w14:paraId="7C16F017" w14:textId="77777777" w:rsidR="0026518F" w:rsidRPr="00211C8B" w:rsidRDefault="00292D91" w:rsidP="00444B08">
            <w:pPr>
              <w:pStyle w:val="TableText0"/>
              <w:keepNext w:val="0"/>
              <w:jc w:val="center"/>
              <w:rPr>
                <w:color w:val="000000" w:themeColor="text1"/>
              </w:rPr>
            </w:pPr>
            <w:r w:rsidRPr="00211C8B">
              <w:rPr>
                <w:color w:val="000000" w:themeColor="text1"/>
              </w:rPr>
              <w:t>350/1290</w:t>
            </w:r>
          </w:p>
        </w:tc>
        <w:tc>
          <w:tcPr>
            <w:tcW w:w="862" w:type="pct"/>
            <w:gridSpan w:val="2"/>
            <w:tcBorders>
              <w:top w:val="single" w:sz="4" w:space="0" w:color="auto"/>
              <w:left w:val="single" w:sz="4" w:space="0" w:color="auto"/>
              <w:bottom w:val="single" w:sz="4" w:space="0" w:color="auto"/>
              <w:right w:val="single" w:sz="4" w:space="0" w:color="auto"/>
            </w:tcBorders>
            <w:vAlign w:val="center"/>
          </w:tcPr>
          <w:p w14:paraId="1705A841" w14:textId="77777777" w:rsidR="0026518F" w:rsidRPr="00211C8B" w:rsidRDefault="00875901" w:rsidP="00444B08">
            <w:pPr>
              <w:pStyle w:val="TableText0"/>
              <w:keepNext w:val="0"/>
              <w:jc w:val="center"/>
              <w:rPr>
                <w:color w:val="000000" w:themeColor="text1"/>
              </w:rPr>
            </w:pPr>
            <w:r w:rsidRPr="00211C8B">
              <w:rPr>
                <w:color w:val="000000" w:themeColor="text1"/>
              </w:rPr>
              <w:t>0.8</w:t>
            </w:r>
            <w:r w:rsidR="00292D91" w:rsidRPr="00211C8B">
              <w:rPr>
                <w:color w:val="000000" w:themeColor="text1"/>
              </w:rPr>
              <w:t>2</w:t>
            </w:r>
            <w:r w:rsidRPr="00211C8B">
              <w:rPr>
                <w:color w:val="000000" w:themeColor="text1"/>
              </w:rPr>
              <w:t xml:space="preserve"> (0.7</w:t>
            </w:r>
            <w:r w:rsidR="00292D91" w:rsidRPr="00211C8B">
              <w:rPr>
                <w:color w:val="000000" w:themeColor="text1"/>
              </w:rPr>
              <w:t>2</w:t>
            </w:r>
            <w:r w:rsidRPr="00211C8B">
              <w:rPr>
                <w:color w:val="000000" w:themeColor="text1"/>
              </w:rPr>
              <w:t>, 0.94)</w:t>
            </w:r>
          </w:p>
        </w:tc>
        <w:tc>
          <w:tcPr>
            <w:tcW w:w="679" w:type="pct"/>
            <w:gridSpan w:val="4"/>
            <w:tcBorders>
              <w:top w:val="single" w:sz="4" w:space="0" w:color="auto"/>
              <w:left w:val="single" w:sz="4" w:space="0" w:color="auto"/>
              <w:bottom w:val="single" w:sz="4" w:space="0" w:color="auto"/>
              <w:right w:val="single" w:sz="4" w:space="0" w:color="auto"/>
            </w:tcBorders>
            <w:vAlign w:val="center"/>
          </w:tcPr>
          <w:p w14:paraId="4F148FDE" w14:textId="77777777" w:rsidR="0026518F" w:rsidRPr="00211C8B" w:rsidRDefault="00875901" w:rsidP="00444B08">
            <w:pPr>
              <w:pStyle w:val="TableText0"/>
              <w:keepNext w:val="0"/>
              <w:jc w:val="center"/>
              <w:rPr>
                <w:color w:val="000000" w:themeColor="text1"/>
              </w:rPr>
            </w:pPr>
            <w:r w:rsidRPr="00211C8B">
              <w:rPr>
                <w:color w:val="000000" w:themeColor="text1"/>
              </w:rPr>
              <w:t>30.8</w:t>
            </w:r>
          </w:p>
        </w:tc>
        <w:tc>
          <w:tcPr>
            <w:tcW w:w="625" w:type="pct"/>
            <w:tcBorders>
              <w:top w:val="single" w:sz="4" w:space="0" w:color="auto"/>
              <w:left w:val="single" w:sz="4" w:space="0" w:color="auto"/>
              <w:bottom w:val="single" w:sz="4" w:space="0" w:color="auto"/>
              <w:right w:val="single" w:sz="4" w:space="0" w:color="auto"/>
            </w:tcBorders>
            <w:vAlign w:val="center"/>
          </w:tcPr>
          <w:p w14:paraId="62E011B6" w14:textId="77777777" w:rsidR="0026518F" w:rsidRPr="00211C8B" w:rsidRDefault="00875901" w:rsidP="00444B08">
            <w:pPr>
              <w:pStyle w:val="TableText0"/>
              <w:keepNext w:val="0"/>
              <w:jc w:val="center"/>
              <w:rPr>
                <w:color w:val="000000" w:themeColor="text1"/>
              </w:rPr>
            </w:pPr>
            <w:r w:rsidRPr="00211C8B">
              <w:rPr>
                <w:color w:val="000000" w:themeColor="text1"/>
              </w:rPr>
              <w:t>27.3</w:t>
            </w:r>
          </w:p>
        </w:tc>
        <w:tc>
          <w:tcPr>
            <w:tcW w:w="852" w:type="pct"/>
            <w:gridSpan w:val="3"/>
            <w:tcBorders>
              <w:top w:val="single" w:sz="4" w:space="0" w:color="auto"/>
              <w:left w:val="single" w:sz="4" w:space="0" w:color="auto"/>
              <w:bottom w:val="single" w:sz="4" w:space="0" w:color="auto"/>
              <w:right w:val="single" w:sz="4" w:space="0" w:color="auto"/>
            </w:tcBorders>
            <w:vAlign w:val="center"/>
          </w:tcPr>
          <w:p w14:paraId="491459B2" w14:textId="77777777" w:rsidR="0026518F" w:rsidRPr="00211C8B" w:rsidRDefault="00875901" w:rsidP="00444B08">
            <w:pPr>
              <w:pStyle w:val="TableText0"/>
              <w:keepNext w:val="0"/>
              <w:jc w:val="center"/>
            </w:pPr>
            <w:r w:rsidRPr="00211C8B">
              <w:t>-0.0</w:t>
            </w:r>
            <w:r w:rsidR="005D385B" w:rsidRPr="00211C8B">
              <w:t>6</w:t>
            </w:r>
            <w:r w:rsidRPr="00211C8B">
              <w:t xml:space="preserve"> (-0.</w:t>
            </w:r>
            <w:r w:rsidR="005D385B" w:rsidRPr="00211C8B">
              <w:t>10</w:t>
            </w:r>
            <w:r w:rsidRPr="00211C8B">
              <w:t>, -0.02)</w:t>
            </w:r>
          </w:p>
        </w:tc>
      </w:tr>
      <w:tr w:rsidR="005D385B" w:rsidRPr="00211C8B" w14:paraId="3A4E66DB" w14:textId="77777777" w:rsidTr="00D31A3E">
        <w:tc>
          <w:tcPr>
            <w:tcW w:w="5000" w:type="pct"/>
            <w:gridSpan w:val="16"/>
            <w:tcBorders>
              <w:top w:val="double" w:sz="4" w:space="0" w:color="auto"/>
              <w:left w:val="single" w:sz="4" w:space="0" w:color="auto"/>
              <w:bottom w:val="single" w:sz="4" w:space="0" w:color="auto"/>
              <w:right w:val="single" w:sz="4" w:space="0" w:color="auto"/>
            </w:tcBorders>
            <w:shd w:val="clear" w:color="auto" w:fill="auto"/>
            <w:vAlign w:val="center"/>
          </w:tcPr>
          <w:p w14:paraId="22232BA7" w14:textId="77777777" w:rsidR="005D385B" w:rsidRPr="00211C8B" w:rsidRDefault="005D385B" w:rsidP="005D385B">
            <w:pPr>
              <w:pStyle w:val="In-tableHeading"/>
              <w:keepNext w:val="0"/>
              <w:rPr>
                <w:lang w:val="en-AU"/>
              </w:rPr>
            </w:pPr>
            <w:r w:rsidRPr="00211C8B">
              <w:rPr>
                <w:lang w:val="en-AU"/>
              </w:rPr>
              <w:t xml:space="preserve">Harms </w:t>
            </w:r>
          </w:p>
        </w:tc>
      </w:tr>
      <w:tr w:rsidR="005D385B" w:rsidRPr="00211C8B" w14:paraId="5082D98A" w14:textId="77777777" w:rsidTr="00D31A3E">
        <w:trPr>
          <w:trHeight w:val="70"/>
        </w:trPr>
        <w:tc>
          <w:tcPr>
            <w:tcW w:w="63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CCBA72" w14:textId="77777777" w:rsidR="005D385B" w:rsidRPr="00211C8B" w:rsidRDefault="005D385B" w:rsidP="005D385B">
            <w:pPr>
              <w:pStyle w:val="In-tableHeading"/>
              <w:keepNext w:val="0"/>
              <w:rPr>
                <w:lang w:val="en-AU"/>
              </w:rPr>
            </w:pPr>
          </w:p>
        </w:tc>
        <w:tc>
          <w:tcPr>
            <w:tcW w:w="634" w:type="pct"/>
            <w:gridSpan w:val="2"/>
            <w:vMerge w:val="restart"/>
            <w:tcBorders>
              <w:top w:val="single" w:sz="4" w:space="0" w:color="auto"/>
              <w:left w:val="single" w:sz="4" w:space="0" w:color="auto"/>
              <w:bottom w:val="single" w:sz="4" w:space="0" w:color="auto"/>
              <w:right w:val="single" w:sz="4" w:space="0" w:color="auto"/>
            </w:tcBorders>
            <w:vAlign w:val="center"/>
          </w:tcPr>
          <w:p w14:paraId="05198DEB" w14:textId="77777777" w:rsidR="005D385B" w:rsidRPr="00211C8B" w:rsidRDefault="00907340" w:rsidP="005D385B">
            <w:pPr>
              <w:pStyle w:val="In-tableHeading"/>
              <w:keepNext w:val="0"/>
              <w:jc w:val="center"/>
              <w:rPr>
                <w:lang w:val="en-AU"/>
              </w:rPr>
            </w:pPr>
            <w:r w:rsidRPr="00211C8B">
              <w:rPr>
                <w:lang w:val="en-AU"/>
              </w:rPr>
              <w:t>Gonal-f</w:t>
            </w:r>
          </w:p>
          <w:p w14:paraId="4066366E" w14:textId="77777777" w:rsidR="005D385B" w:rsidRPr="00211C8B" w:rsidRDefault="005D385B" w:rsidP="005D385B">
            <w:pPr>
              <w:pStyle w:val="In-tableHeading"/>
              <w:keepNext w:val="0"/>
              <w:jc w:val="center"/>
              <w:rPr>
                <w:lang w:val="en-AU"/>
              </w:rPr>
            </w:pPr>
            <w:r w:rsidRPr="00211C8B">
              <w:rPr>
                <w:lang w:val="en-AU"/>
              </w:rPr>
              <w:t>n/N</w:t>
            </w:r>
          </w:p>
        </w:tc>
        <w:tc>
          <w:tcPr>
            <w:tcW w:w="711" w:type="pct"/>
            <w:gridSpan w:val="2"/>
            <w:vMerge w:val="restart"/>
            <w:tcBorders>
              <w:top w:val="single" w:sz="4" w:space="0" w:color="auto"/>
              <w:left w:val="single" w:sz="4" w:space="0" w:color="auto"/>
              <w:bottom w:val="single" w:sz="4" w:space="0" w:color="auto"/>
              <w:right w:val="single" w:sz="4" w:space="0" w:color="auto"/>
            </w:tcBorders>
            <w:vAlign w:val="center"/>
          </w:tcPr>
          <w:p w14:paraId="2C42ED6F" w14:textId="77777777" w:rsidR="005D385B" w:rsidRPr="00211C8B" w:rsidRDefault="005D385B" w:rsidP="005D385B">
            <w:pPr>
              <w:pStyle w:val="In-tableHeading"/>
              <w:keepNext w:val="0"/>
              <w:jc w:val="center"/>
              <w:rPr>
                <w:lang w:val="en-AU"/>
              </w:rPr>
            </w:pPr>
            <w:r w:rsidRPr="00211C8B">
              <w:rPr>
                <w:lang w:val="en-AU"/>
              </w:rPr>
              <w:t>Biosimilar preparations</w:t>
            </w:r>
          </w:p>
          <w:p w14:paraId="1E9B7C24" w14:textId="77777777" w:rsidR="005D385B" w:rsidRPr="00211C8B" w:rsidRDefault="005D385B" w:rsidP="005D385B">
            <w:pPr>
              <w:pStyle w:val="In-tableHeading"/>
              <w:keepNext w:val="0"/>
              <w:jc w:val="center"/>
              <w:rPr>
                <w:lang w:val="en-AU"/>
              </w:rPr>
            </w:pPr>
            <w:r w:rsidRPr="00211C8B">
              <w:rPr>
                <w:lang w:val="en-AU"/>
              </w:rPr>
              <w:t>n/N</w:t>
            </w:r>
          </w:p>
        </w:tc>
        <w:tc>
          <w:tcPr>
            <w:tcW w:w="862" w:type="pct"/>
            <w:gridSpan w:val="2"/>
            <w:vMerge w:val="restart"/>
            <w:tcBorders>
              <w:top w:val="single" w:sz="4" w:space="0" w:color="auto"/>
              <w:left w:val="single" w:sz="4" w:space="0" w:color="auto"/>
              <w:bottom w:val="single" w:sz="4" w:space="0" w:color="auto"/>
              <w:right w:val="single" w:sz="4" w:space="0" w:color="auto"/>
            </w:tcBorders>
            <w:vAlign w:val="center"/>
          </w:tcPr>
          <w:p w14:paraId="4DF62920" w14:textId="77777777" w:rsidR="005D385B" w:rsidRPr="00211C8B" w:rsidRDefault="005D385B" w:rsidP="005D385B">
            <w:pPr>
              <w:pStyle w:val="In-tableHeading"/>
              <w:keepNext w:val="0"/>
              <w:jc w:val="center"/>
              <w:rPr>
                <w:lang w:val="en-AU"/>
              </w:rPr>
            </w:pPr>
            <w:r w:rsidRPr="00211C8B">
              <w:rPr>
                <w:lang w:val="en-AU"/>
              </w:rPr>
              <w:t>RR</w:t>
            </w:r>
          </w:p>
          <w:p w14:paraId="7794855E" w14:textId="77777777" w:rsidR="005D385B" w:rsidRPr="00211C8B" w:rsidRDefault="005D385B" w:rsidP="005D385B">
            <w:pPr>
              <w:pStyle w:val="In-tableHeading"/>
              <w:keepNext w:val="0"/>
              <w:jc w:val="center"/>
              <w:rPr>
                <w:lang w:val="en-AU"/>
              </w:rPr>
            </w:pPr>
            <w:r w:rsidRPr="00211C8B">
              <w:rPr>
                <w:lang w:val="en-AU"/>
              </w:rPr>
              <w:t>(95% CI)</w:t>
            </w:r>
          </w:p>
        </w:tc>
        <w:tc>
          <w:tcPr>
            <w:tcW w:w="1383" w:type="pct"/>
            <w:gridSpan w:val="6"/>
            <w:tcBorders>
              <w:top w:val="single" w:sz="4" w:space="0" w:color="auto"/>
              <w:left w:val="single" w:sz="4" w:space="0" w:color="auto"/>
              <w:bottom w:val="single" w:sz="4" w:space="0" w:color="auto"/>
              <w:right w:val="single" w:sz="4" w:space="0" w:color="auto"/>
            </w:tcBorders>
            <w:vAlign w:val="center"/>
          </w:tcPr>
          <w:p w14:paraId="17CD51B3" w14:textId="77777777" w:rsidR="005D385B" w:rsidRPr="00211C8B" w:rsidRDefault="005D385B" w:rsidP="005D385B">
            <w:pPr>
              <w:pStyle w:val="In-tableHeading"/>
              <w:keepNext w:val="0"/>
              <w:jc w:val="center"/>
              <w:rPr>
                <w:lang w:val="en-AU"/>
              </w:rPr>
            </w:pPr>
            <w:r w:rsidRPr="00211C8B">
              <w:rPr>
                <w:lang w:val="en-AU"/>
              </w:rPr>
              <w:t>Event rate/100 patients*</w:t>
            </w:r>
          </w:p>
        </w:tc>
        <w:tc>
          <w:tcPr>
            <w:tcW w:w="772" w:type="pct"/>
            <w:gridSpan w:val="2"/>
            <w:vMerge w:val="restart"/>
            <w:tcBorders>
              <w:top w:val="single" w:sz="4" w:space="0" w:color="auto"/>
              <w:left w:val="single" w:sz="4" w:space="0" w:color="auto"/>
              <w:bottom w:val="single" w:sz="4" w:space="0" w:color="auto"/>
              <w:right w:val="single" w:sz="4" w:space="0" w:color="auto"/>
            </w:tcBorders>
            <w:vAlign w:val="center"/>
          </w:tcPr>
          <w:p w14:paraId="3AC3FEE5" w14:textId="77777777" w:rsidR="005D385B" w:rsidRPr="00211C8B" w:rsidRDefault="005D385B" w:rsidP="005D385B">
            <w:pPr>
              <w:pStyle w:val="In-tableHeading"/>
              <w:keepNext w:val="0"/>
              <w:jc w:val="center"/>
              <w:rPr>
                <w:lang w:val="en-AU"/>
              </w:rPr>
            </w:pPr>
            <w:r w:rsidRPr="00211C8B">
              <w:rPr>
                <w:lang w:val="en-AU"/>
              </w:rPr>
              <w:t>RD</w:t>
            </w:r>
          </w:p>
          <w:p w14:paraId="0C1659E2" w14:textId="77777777" w:rsidR="005D385B" w:rsidRPr="00211C8B" w:rsidRDefault="005D385B" w:rsidP="005D385B">
            <w:pPr>
              <w:pStyle w:val="In-tableHeading"/>
              <w:keepNext w:val="0"/>
              <w:jc w:val="center"/>
              <w:rPr>
                <w:lang w:val="en-AU"/>
              </w:rPr>
            </w:pPr>
            <w:r w:rsidRPr="00211C8B">
              <w:rPr>
                <w:lang w:val="en-AU"/>
              </w:rPr>
              <w:t>(95% CI)</w:t>
            </w:r>
          </w:p>
        </w:tc>
      </w:tr>
      <w:tr w:rsidR="005D385B" w:rsidRPr="00211C8B" w14:paraId="0E400326" w14:textId="77777777" w:rsidTr="00D31A3E">
        <w:trPr>
          <w:trHeight w:val="390"/>
        </w:trPr>
        <w:tc>
          <w:tcPr>
            <w:tcW w:w="638"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6E063F1" w14:textId="77777777" w:rsidR="005D385B" w:rsidRPr="00211C8B" w:rsidRDefault="005D385B" w:rsidP="005D385B">
            <w:pPr>
              <w:pStyle w:val="In-tableHeading"/>
              <w:keepNext w:val="0"/>
              <w:rPr>
                <w:lang w:val="en-AU"/>
              </w:rPr>
            </w:pPr>
          </w:p>
        </w:tc>
        <w:tc>
          <w:tcPr>
            <w:tcW w:w="634" w:type="pct"/>
            <w:gridSpan w:val="2"/>
            <w:vMerge/>
            <w:tcBorders>
              <w:top w:val="single" w:sz="4" w:space="0" w:color="auto"/>
              <w:left w:val="single" w:sz="4" w:space="0" w:color="auto"/>
              <w:bottom w:val="single" w:sz="4" w:space="0" w:color="auto"/>
              <w:right w:val="single" w:sz="4" w:space="0" w:color="auto"/>
            </w:tcBorders>
            <w:vAlign w:val="center"/>
          </w:tcPr>
          <w:p w14:paraId="2966E21A" w14:textId="77777777" w:rsidR="005D385B" w:rsidRPr="00211C8B" w:rsidRDefault="005D385B" w:rsidP="005D385B">
            <w:pPr>
              <w:pStyle w:val="In-tableHeading"/>
              <w:keepNext w:val="0"/>
              <w:rPr>
                <w:lang w:val="en-AU"/>
              </w:rPr>
            </w:pPr>
          </w:p>
        </w:tc>
        <w:tc>
          <w:tcPr>
            <w:tcW w:w="711" w:type="pct"/>
            <w:gridSpan w:val="2"/>
            <w:vMerge/>
            <w:tcBorders>
              <w:top w:val="single" w:sz="4" w:space="0" w:color="auto"/>
              <w:left w:val="single" w:sz="4" w:space="0" w:color="auto"/>
              <w:bottom w:val="single" w:sz="4" w:space="0" w:color="auto"/>
              <w:right w:val="single" w:sz="4" w:space="0" w:color="auto"/>
            </w:tcBorders>
            <w:vAlign w:val="center"/>
          </w:tcPr>
          <w:p w14:paraId="6AFCD935" w14:textId="77777777" w:rsidR="005D385B" w:rsidRPr="00211C8B" w:rsidRDefault="005D385B" w:rsidP="005D385B">
            <w:pPr>
              <w:pStyle w:val="In-tableHeading"/>
              <w:keepNext w:val="0"/>
              <w:rPr>
                <w:lang w:val="en-AU"/>
              </w:rPr>
            </w:pPr>
          </w:p>
        </w:tc>
        <w:tc>
          <w:tcPr>
            <w:tcW w:w="862" w:type="pct"/>
            <w:gridSpan w:val="2"/>
            <w:vMerge/>
            <w:tcBorders>
              <w:top w:val="single" w:sz="4" w:space="0" w:color="auto"/>
              <w:left w:val="single" w:sz="4" w:space="0" w:color="auto"/>
              <w:bottom w:val="single" w:sz="4" w:space="0" w:color="auto"/>
              <w:right w:val="single" w:sz="4" w:space="0" w:color="auto"/>
            </w:tcBorders>
            <w:vAlign w:val="center"/>
          </w:tcPr>
          <w:p w14:paraId="0125B753" w14:textId="77777777" w:rsidR="005D385B" w:rsidRPr="00211C8B" w:rsidRDefault="005D385B" w:rsidP="005D385B">
            <w:pPr>
              <w:pStyle w:val="In-tableHeading"/>
              <w:keepNext w:val="0"/>
              <w:rPr>
                <w:lang w:val="en-AU"/>
              </w:rPr>
            </w:pPr>
          </w:p>
        </w:tc>
        <w:tc>
          <w:tcPr>
            <w:tcW w:w="629" w:type="pct"/>
            <w:gridSpan w:val="2"/>
            <w:tcBorders>
              <w:top w:val="single" w:sz="4" w:space="0" w:color="auto"/>
              <w:left w:val="single" w:sz="4" w:space="0" w:color="auto"/>
              <w:bottom w:val="single" w:sz="4" w:space="0" w:color="auto"/>
              <w:right w:val="single" w:sz="4" w:space="0" w:color="auto"/>
            </w:tcBorders>
            <w:vAlign w:val="center"/>
          </w:tcPr>
          <w:p w14:paraId="1EF6A260" w14:textId="77777777" w:rsidR="005D385B" w:rsidRPr="00211C8B" w:rsidRDefault="00907340" w:rsidP="005D385B">
            <w:pPr>
              <w:pStyle w:val="In-tableHeading"/>
              <w:keepNext w:val="0"/>
              <w:jc w:val="center"/>
              <w:rPr>
                <w:lang w:val="en-AU"/>
              </w:rPr>
            </w:pPr>
            <w:r w:rsidRPr="00211C8B">
              <w:rPr>
                <w:lang w:val="en-AU"/>
              </w:rPr>
              <w:t>Gonal-f</w:t>
            </w:r>
          </w:p>
        </w:tc>
        <w:tc>
          <w:tcPr>
            <w:tcW w:w="755" w:type="pct"/>
            <w:gridSpan w:val="4"/>
            <w:tcBorders>
              <w:top w:val="single" w:sz="4" w:space="0" w:color="auto"/>
              <w:left w:val="single" w:sz="4" w:space="0" w:color="auto"/>
              <w:bottom w:val="single" w:sz="4" w:space="0" w:color="auto"/>
              <w:right w:val="single" w:sz="4" w:space="0" w:color="auto"/>
            </w:tcBorders>
            <w:vAlign w:val="center"/>
          </w:tcPr>
          <w:p w14:paraId="76C011B1" w14:textId="77777777" w:rsidR="005D385B" w:rsidRPr="00211C8B" w:rsidRDefault="005D385B" w:rsidP="005D385B">
            <w:pPr>
              <w:pStyle w:val="In-tableHeading"/>
              <w:keepNext w:val="0"/>
              <w:jc w:val="center"/>
              <w:rPr>
                <w:lang w:val="en-AU"/>
              </w:rPr>
            </w:pPr>
            <w:r w:rsidRPr="00211C8B">
              <w:rPr>
                <w:lang w:val="en-AU"/>
              </w:rPr>
              <w:t>Biosimilar preparations</w:t>
            </w:r>
          </w:p>
        </w:tc>
        <w:tc>
          <w:tcPr>
            <w:tcW w:w="772" w:type="pct"/>
            <w:gridSpan w:val="2"/>
            <w:vMerge/>
            <w:tcBorders>
              <w:top w:val="single" w:sz="4" w:space="0" w:color="auto"/>
              <w:left w:val="single" w:sz="4" w:space="0" w:color="auto"/>
              <w:bottom w:val="single" w:sz="4" w:space="0" w:color="auto"/>
              <w:right w:val="single" w:sz="4" w:space="0" w:color="auto"/>
            </w:tcBorders>
            <w:vAlign w:val="center"/>
          </w:tcPr>
          <w:p w14:paraId="4173B052" w14:textId="77777777" w:rsidR="005D385B" w:rsidRPr="00211C8B" w:rsidRDefault="005D385B" w:rsidP="005D385B">
            <w:pPr>
              <w:pStyle w:val="In-tableHeading"/>
              <w:keepNext w:val="0"/>
              <w:rPr>
                <w:lang w:val="en-AU"/>
              </w:rPr>
            </w:pPr>
          </w:p>
        </w:tc>
      </w:tr>
      <w:tr w:rsidR="005D385B" w:rsidRPr="00211C8B" w14:paraId="5A3DD356" w14:textId="77777777" w:rsidTr="00D31A3E">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8C5759D" w14:textId="77777777" w:rsidR="005D385B" w:rsidRPr="00211C8B" w:rsidRDefault="005D385B" w:rsidP="005D385B">
            <w:pPr>
              <w:pStyle w:val="In-tableHeading"/>
              <w:keepNext w:val="0"/>
              <w:jc w:val="both"/>
              <w:rPr>
                <w:lang w:val="en-AU"/>
              </w:rPr>
            </w:pPr>
            <w:r w:rsidRPr="00211C8B">
              <w:rPr>
                <w:lang w:val="en-AU"/>
              </w:rPr>
              <w:t>Ovarian hyperstimulation syndrome (after cycle 1)</w:t>
            </w:r>
          </w:p>
        </w:tc>
      </w:tr>
      <w:tr w:rsidR="005D385B" w:rsidRPr="00211C8B" w14:paraId="1604AD86" w14:textId="77777777" w:rsidTr="00D31A3E">
        <w:tc>
          <w:tcPr>
            <w:tcW w:w="64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E17924" w14:textId="77777777" w:rsidR="005D385B" w:rsidRPr="00211C8B" w:rsidRDefault="005D385B" w:rsidP="005D385B">
            <w:pPr>
              <w:pStyle w:val="TableText0"/>
              <w:keepNext w:val="0"/>
            </w:pPr>
            <w:r w:rsidRPr="00211C8B">
              <w:rPr>
                <w:iCs/>
              </w:rPr>
              <w:t>NCT01121666</w:t>
            </w:r>
          </w:p>
        </w:tc>
        <w:tc>
          <w:tcPr>
            <w:tcW w:w="630" w:type="pct"/>
            <w:tcBorders>
              <w:top w:val="single" w:sz="4" w:space="0" w:color="auto"/>
              <w:left w:val="single" w:sz="4" w:space="0" w:color="auto"/>
              <w:bottom w:val="single" w:sz="4" w:space="0" w:color="auto"/>
              <w:right w:val="single" w:sz="4" w:space="0" w:color="auto"/>
            </w:tcBorders>
            <w:vAlign w:val="center"/>
          </w:tcPr>
          <w:p w14:paraId="34F106F6" w14:textId="77777777" w:rsidR="005D385B" w:rsidRPr="00211C8B" w:rsidRDefault="005D385B" w:rsidP="005D385B">
            <w:pPr>
              <w:pStyle w:val="TableText0"/>
              <w:keepNext w:val="0"/>
              <w:jc w:val="center"/>
            </w:pPr>
            <w:r w:rsidRPr="00211C8B">
              <w:rPr>
                <w:iCs/>
                <w:color w:val="000000" w:themeColor="text1"/>
              </w:rPr>
              <w:t>6/123</w:t>
            </w:r>
          </w:p>
        </w:tc>
        <w:tc>
          <w:tcPr>
            <w:tcW w:w="711" w:type="pct"/>
            <w:gridSpan w:val="2"/>
            <w:tcBorders>
              <w:top w:val="single" w:sz="4" w:space="0" w:color="auto"/>
              <w:left w:val="single" w:sz="4" w:space="0" w:color="auto"/>
              <w:bottom w:val="single" w:sz="4" w:space="0" w:color="auto"/>
              <w:right w:val="single" w:sz="4" w:space="0" w:color="auto"/>
            </w:tcBorders>
            <w:vAlign w:val="center"/>
          </w:tcPr>
          <w:p w14:paraId="1DA4DDA4" w14:textId="77777777" w:rsidR="005D385B" w:rsidRPr="00211C8B" w:rsidRDefault="005D385B" w:rsidP="005D385B">
            <w:pPr>
              <w:pStyle w:val="TableText0"/>
              <w:keepNext w:val="0"/>
              <w:jc w:val="center"/>
            </w:pPr>
            <w:r w:rsidRPr="00211C8B">
              <w:rPr>
                <w:iCs/>
                <w:color w:val="000000" w:themeColor="text1"/>
              </w:rPr>
              <w:t>24/ 249</w:t>
            </w:r>
          </w:p>
        </w:tc>
        <w:tc>
          <w:tcPr>
            <w:tcW w:w="862" w:type="pct"/>
            <w:gridSpan w:val="2"/>
            <w:tcBorders>
              <w:top w:val="single" w:sz="4" w:space="0" w:color="auto"/>
              <w:left w:val="single" w:sz="4" w:space="0" w:color="auto"/>
              <w:bottom w:val="single" w:sz="4" w:space="0" w:color="auto"/>
              <w:right w:val="single" w:sz="4" w:space="0" w:color="auto"/>
            </w:tcBorders>
            <w:vAlign w:val="center"/>
          </w:tcPr>
          <w:p w14:paraId="58D7A0FD" w14:textId="77777777" w:rsidR="005D385B" w:rsidRPr="00211C8B" w:rsidRDefault="005D385B" w:rsidP="005D385B">
            <w:pPr>
              <w:pStyle w:val="TableText0"/>
              <w:keepNext w:val="0"/>
              <w:jc w:val="center"/>
            </w:pPr>
            <w:r w:rsidRPr="00211C8B">
              <w:rPr>
                <w:color w:val="000000" w:themeColor="text1"/>
              </w:rPr>
              <w:t>1.</w:t>
            </w:r>
            <w:r w:rsidRPr="00211C8B">
              <w:rPr>
                <w:iCs/>
                <w:color w:val="000000" w:themeColor="text1"/>
              </w:rPr>
              <w:t>98 (0.83, 4.71</w:t>
            </w:r>
            <w:r w:rsidRPr="00211C8B">
              <w:rPr>
                <w:color w:val="000000" w:themeColor="text1"/>
              </w:rPr>
              <w:t>)</w:t>
            </w:r>
          </w:p>
        </w:tc>
        <w:tc>
          <w:tcPr>
            <w:tcW w:w="629" w:type="pct"/>
            <w:gridSpan w:val="2"/>
            <w:tcBorders>
              <w:top w:val="single" w:sz="4" w:space="0" w:color="auto"/>
              <w:left w:val="single" w:sz="4" w:space="0" w:color="auto"/>
              <w:bottom w:val="single" w:sz="4" w:space="0" w:color="auto"/>
              <w:right w:val="single" w:sz="4" w:space="0" w:color="auto"/>
            </w:tcBorders>
            <w:vAlign w:val="center"/>
          </w:tcPr>
          <w:p w14:paraId="6347DD87" w14:textId="77777777" w:rsidR="005D385B" w:rsidRPr="00211C8B" w:rsidRDefault="005D385B" w:rsidP="005D385B">
            <w:pPr>
              <w:pStyle w:val="TableText0"/>
              <w:keepNext w:val="0"/>
              <w:jc w:val="center"/>
            </w:pPr>
            <w:r w:rsidRPr="00211C8B">
              <w:rPr>
                <w:iCs/>
                <w:color w:val="000000" w:themeColor="text1"/>
              </w:rPr>
              <w:t>4.</w:t>
            </w:r>
            <w:r w:rsidR="00E30717" w:rsidRPr="00211C8B">
              <w:rPr>
                <w:iCs/>
                <w:color w:val="000000" w:themeColor="text1"/>
              </w:rPr>
              <w:t>9</w:t>
            </w:r>
          </w:p>
        </w:tc>
        <w:tc>
          <w:tcPr>
            <w:tcW w:w="755" w:type="pct"/>
            <w:gridSpan w:val="4"/>
            <w:tcBorders>
              <w:top w:val="single" w:sz="4" w:space="0" w:color="auto"/>
              <w:left w:val="single" w:sz="4" w:space="0" w:color="auto"/>
              <w:bottom w:val="single" w:sz="4" w:space="0" w:color="auto"/>
              <w:right w:val="single" w:sz="4" w:space="0" w:color="auto"/>
            </w:tcBorders>
            <w:vAlign w:val="center"/>
          </w:tcPr>
          <w:p w14:paraId="570A7928" w14:textId="77777777" w:rsidR="005D385B" w:rsidRPr="00211C8B" w:rsidRDefault="005D385B" w:rsidP="005D385B">
            <w:pPr>
              <w:pStyle w:val="TableText0"/>
              <w:keepNext w:val="0"/>
              <w:jc w:val="center"/>
            </w:pPr>
            <w:r w:rsidRPr="00211C8B">
              <w:rPr>
                <w:iCs/>
                <w:color w:val="000000" w:themeColor="text1"/>
              </w:rPr>
              <w:t>9.6</w:t>
            </w:r>
          </w:p>
        </w:tc>
        <w:tc>
          <w:tcPr>
            <w:tcW w:w="772" w:type="pct"/>
            <w:gridSpan w:val="2"/>
            <w:tcBorders>
              <w:top w:val="single" w:sz="4" w:space="0" w:color="auto"/>
              <w:left w:val="single" w:sz="4" w:space="0" w:color="auto"/>
              <w:bottom w:val="single" w:sz="4" w:space="0" w:color="auto"/>
              <w:right w:val="single" w:sz="4" w:space="0" w:color="auto"/>
            </w:tcBorders>
            <w:vAlign w:val="center"/>
          </w:tcPr>
          <w:p w14:paraId="47D6C9B3" w14:textId="77777777" w:rsidR="005D385B" w:rsidRPr="00211C8B" w:rsidRDefault="00E30717" w:rsidP="005D385B">
            <w:pPr>
              <w:pStyle w:val="TableText0"/>
              <w:keepNext w:val="0"/>
              <w:jc w:val="center"/>
            </w:pPr>
            <w:r w:rsidRPr="00211C8B">
              <w:t>0.05 (-0.01, 0.10)</w:t>
            </w:r>
            <w:r w:rsidR="005D385B" w:rsidRPr="00211C8B">
              <w:t xml:space="preserve"> </w:t>
            </w:r>
          </w:p>
        </w:tc>
      </w:tr>
      <w:tr w:rsidR="005D385B" w:rsidRPr="00211C8B" w14:paraId="7033E0C4" w14:textId="77777777" w:rsidTr="00D31A3E">
        <w:tc>
          <w:tcPr>
            <w:tcW w:w="64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81AAD2" w14:textId="77777777" w:rsidR="005D385B" w:rsidRPr="00211C8B" w:rsidRDefault="005D385B" w:rsidP="005D385B">
            <w:pPr>
              <w:pStyle w:val="TableText0"/>
              <w:keepNext w:val="0"/>
            </w:pPr>
            <w:r w:rsidRPr="00211C8B">
              <w:rPr>
                <w:iCs/>
              </w:rPr>
              <w:t>NCT01687712</w:t>
            </w:r>
          </w:p>
        </w:tc>
        <w:tc>
          <w:tcPr>
            <w:tcW w:w="630" w:type="pct"/>
            <w:tcBorders>
              <w:top w:val="single" w:sz="4" w:space="0" w:color="auto"/>
              <w:left w:val="single" w:sz="4" w:space="0" w:color="auto"/>
              <w:bottom w:val="single" w:sz="4" w:space="0" w:color="auto"/>
              <w:right w:val="single" w:sz="4" w:space="0" w:color="auto"/>
            </w:tcBorders>
            <w:vAlign w:val="center"/>
          </w:tcPr>
          <w:p w14:paraId="25831C86" w14:textId="77777777" w:rsidR="005D385B" w:rsidRPr="00211C8B" w:rsidRDefault="005D385B" w:rsidP="005D385B">
            <w:pPr>
              <w:pStyle w:val="TableText0"/>
              <w:keepNext w:val="0"/>
              <w:jc w:val="center"/>
            </w:pPr>
            <w:r w:rsidRPr="00211C8B">
              <w:rPr>
                <w:iCs/>
                <w:color w:val="000000" w:themeColor="text1"/>
              </w:rPr>
              <w:t>8/551</w:t>
            </w:r>
          </w:p>
        </w:tc>
        <w:tc>
          <w:tcPr>
            <w:tcW w:w="711" w:type="pct"/>
            <w:gridSpan w:val="2"/>
            <w:tcBorders>
              <w:top w:val="single" w:sz="4" w:space="0" w:color="auto"/>
              <w:left w:val="single" w:sz="4" w:space="0" w:color="auto"/>
              <w:bottom w:val="single" w:sz="4" w:space="0" w:color="auto"/>
              <w:right w:val="single" w:sz="4" w:space="0" w:color="auto"/>
            </w:tcBorders>
            <w:vAlign w:val="center"/>
          </w:tcPr>
          <w:p w14:paraId="31E9F92D" w14:textId="77777777" w:rsidR="005D385B" w:rsidRPr="00211C8B" w:rsidRDefault="005D385B" w:rsidP="005D385B">
            <w:pPr>
              <w:pStyle w:val="TableText0"/>
              <w:keepNext w:val="0"/>
              <w:jc w:val="center"/>
            </w:pPr>
            <w:r w:rsidRPr="00211C8B">
              <w:rPr>
                <w:iCs/>
                <w:color w:val="000000" w:themeColor="text1"/>
              </w:rPr>
              <w:t>7/549</w:t>
            </w:r>
          </w:p>
        </w:tc>
        <w:tc>
          <w:tcPr>
            <w:tcW w:w="862" w:type="pct"/>
            <w:gridSpan w:val="2"/>
            <w:tcBorders>
              <w:top w:val="single" w:sz="4" w:space="0" w:color="auto"/>
              <w:left w:val="single" w:sz="4" w:space="0" w:color="auto"/>
              <w:bottom w:val="single" w:sz="4" w:space="0" w:color="auto"/>
              <w:right w:val="single" w:sz="4" w:space="0" w:color="auto"/>
            </w:tcBorders>
            <w:vAlign w:val="center"/>
          </w:tcPr>
          <w:p w14:paraId="78090B89" w14:textId="77777777" w:rsidR="005D385B" w:rsidRPr="00211C8B" w:rsidRDefault="005D385B" w:rsidP="005D385B">
            <w:pPr>
              <w:pStyle w:val="TableText0"/>
              <w:keepNext w:val="0"/>
              <w:jc w:val="center"/>
            </w:pPr>
            <w:r w:rsidRPr="00211C8B">
              <w:rPr>
                <w:color w:val="000000" w:themeColor="text1"/>
              </w:rPr>
              <w:t>0.</w:t>
            </w:r>
            <w:r w:rsidRPr="00211C8B">
              <w:rPr>
                <w:iCs/>
                <w:color w:val="000000" w:themeColor="text1"/>
              </w:rPr>
              <w:t>88 (0.32, 2.4</w:t>
            </w:r>
            <w:r w:rsidR="00E30717" w:rsidRPr="00211C8B">
              <w:rPr>
                <w:iCs/>
                <w:color w:val="000000" w:themeColor="text1"/>
              </w:rPr>
              <w:t>1</w:t>
            </w:r>
            <w:r w:rsidRPr="00211C8B">
              <w:rPr>
                <w:color w:val="000000" w:themeColor="text1"/>
              </w:rPr>
              <w:t>)</w:t>
            </w:r>
          </w:p>
        </w:tc>
        <w:tc>
          <w:tcPr>
            <w:tcW w:w="629" w:type="pct"/>
            <w:gridSpan w:val="2"/>
            <w:tcBorders>
              <w:top w:val="single" w:sz="4" w:space="0" w:color="auto"/>
              <w:left w:val="single" w:sz="4" w:space="0" w:color="auto"/>
              <w:bottom w:val="single" w:sz="4" w:space="0" w:color="auto"/>
              <w:right w:val="single" w:sz="4" w:space="0" w:color="auto"/>
            </w:tcBorders>
            <w:vAlign w:val="center"/>
          </w:tcPr>
          <w:p w14:paraId="0E0C7EF5" w14:textId="77777777" w:rsidR="005D385B" w:rsidRPr="00211C8B" w:rsidRDefault="005D385B" w:rsidP="005D385B">
            <w:pPr>
              <w:pStyle w:val="TableText0"/>
              <w:keepNext w:val="0"/>
              <w:jc w:val="center"/>
            </w:pPr>
            <w:r w:rsidRPr="00211C8B">
              <w:rPr>
                <w:iCs/>
                <w:color w:val="000000" w:themeColor="text1"/>
              </w:rPr>
              <w:t>1.</w:t>
            </w:r>
            <w:r w:rsidR="00E30717" w:rsidRPr="00211C8B">
              <w:rPr>
                <w:iCs/>
                <w:color w:val="000000" w:themeColor="text1"/>
              </w:rPr>
              <w:t>5</w:t>
            </w:r>
          </w:p>
        </w:tc>
        <w:tc>
          <w:tcPr>
            <w:tcW w:w="755" w:type="pct"/>
            <w:gridSpan w:val="4"/>
            <w:tcBorders>
              <w:top w:val="single" w:sz="4" w:space="0" w:color="auto"/>
              <w:left w:val="single" w:sz="4" w:space="0" w:color="auto"/>
              <w:bottom w:val="single" w:sz="4" w:space="0" w:color="auto"/>
              <w:right w:val="single" w:sz="4" w:space="0" w:color="auto"/>
            </w:tcBorders>
            <w:vAlign w:val="center"/>
          </w:tcPr>
          <w:p w14:paraId="106F3DF8" w14:textId="77777777" w:rsidR="005D385B" w:rsidRPr="00211C8B" w:rsidRDefault="005D385B" w:rsidP="005D385B">
            <w:pPr>
              <w:pStyle w:val="TableText0"/>
              <w:keepNext w:val="0"/>
              <w:jc w:val="center"/>
            </w:pPr>
            <w:r w:rsidRPr="00211C8B">
              <w:rPr>
                <w:iCs/>
                <w:color w:val="000000" w:themeColor="text1"/>
              </w:rPr>
              <w:t>1.</w:t>
            </w:r>
            <w:r w:rsidR="00E30717" w:rsidRPr="00211C8B">
              <w:rPr>
                <w:iCs/>
                <w:color w:val="000000" w:themeColor="text1"/>
              </w:rPr>
              <w:t>3</w:t>
            </w:r>
          </w:p>
        </w:tc>
        <w:tc>
          <w:tcPr>
            <w:tcW w:w="772" w:type="pct"/>
            <w:gridSpan w:val="2"/>
            <w:tcBorders>
              <w:top w:val="single" w:sz="4" w:space="0" w:color="auto"/>
              <w:left w:val="single" w:sz="4" w:space="0" w:color="auto"/>
              <w:bottom w:val="single" w:sz="4" w:space="0" w:color="auto"/>
              <w:right w:val="single" w:sz="4" w:space="0" w:color="auto"/>
            </w:tcBorders>
            <w:vAlign w:val="center"/>
          </w:tcPr>
          <w:p w14:paraId="16A91914" w14:textId="77777777" w:rsidR="005D385B" w:rsidRPr="00211C8B" w:rsidRDefault="00E30717" w:rsidP="005D385B">
            <w:pPr>
              <w:pStyle w:val="TableText0"/>
              <w:keepNext w:val="0"/>
              <w:jc w:val="center"/>
            </w:pPr>
            <w:r w:rsidRPr="00211C8B">
              <w:t>-0.00</w:t>
            </w:r>
            <w:r w:rsidR="005D385B" w:rsidRPr="00211C8B">
              <w:t xml:space="preserve"> (</w:t>
            </w:r>
            <w:r w:rsidRPr="00211C8B">
              <w:t>-0.02</w:t>
            </w:r>
            <w:r w:rsidR="005D385B" w:rsidRPr="00211C8B">
              <w:t xml:space="preserve">, </w:t>
            </w:r>
            <w:r w:rsidRPr="00211C8B">
              <w:t>0.01</w:t>
            </w:r>
            <w:r w:rsidR="005D385B" w:rsidRPr="00211C8B">
              <w:t>)</w:t>
            </w:r>
          </w:p>
        </w:tc>
      </w:tr>
      <w:tr w:rsidR="005D385B" w:rsidRPr="00211C8B" w14:paraId="6B65838A" w14:textId="77777777" w:rsidTr="00D31A3E">
        <w:tc>
          <w:tcPr>
            <w:tcW w:w="64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42AA81" w14:textId="77777777" w:rsidR="005D385B" w:rsidRPr="00211C8B" w:rsidRDefault="005D385B" w:rsidP="005D385B">
            <w:pPr>
              <w:pStyle w:val="TableText0"/>
              <w:keepNext w:val="0"/>
              <w:rPr>
                <w:iCs/>
              </w:rPr>
            </w:pPr>
            <w:r w:rsidRPr="00211C8B">
              <w:rPr>
                <w:iCs/>
              </w:rPr>
              <w:t>ISRCTN74772901</w:t>
            </w:r>
          </w:p>
        </w:tc>
        <w:tc>
          <w:tcPr>
            <w:tcW w:w="630" w:type="pct"/>
            <w:tcBorders>
              <w:top w:val="single" w:sz="4" w:space="0" w:color="auto"/>
              <w:left w:val="single" w:sz="4" w:space="0" w:color="auto"/>
              <w:bottom w:val="single" w:sz="4" w:space="0" w:color="auto"/>
              <w:right w:val="single" w:sz="4" w:space="0" w:color="auto"/>
            </w:tcBorders>
            <w:vAlign w:val="center"/>
          </w:tcPr>
          <w:p w14:paraId="4593CE89" w14:textId="77777777" w:rsidR="005D385B" w:rsidRPr="00211C8B" w:rsidRDefault="005D385B" w:rsidP="005D385B">
            <w:pPr>
              <w:pStyle w:val="TableText0"/>
              <w:keepNext w:val="0"/>
              <w:jc w:val="center"/>
            </w:pPr>
            <w:r w:rsidRPr="00211C8B">
              <w:rPr>
                <w:iCs/>
                <w:color w:val="000000" w:themeColor="text1"/>
              </w:rPr>
              <w:t>2/146</w:t>
            </w:r>
          </w:p>
        </w:tc>
        <w:tc>
          <w:tcPr>
            <w:tcW w:w="711" w:type="pct"/>
            <w:gridSpan w:val="2"/>
            <w:tcBorders>
              <w:top w:val="single" w:sz="4" w:space="0" w:color="auto"/>
              <w:left w:val="single" w:sz="4" w:space="0" w:color="auto"/>
              <w:bottom w:val="single" w:sz="4" w:space="0" w:color="auto"/>
              <w:right w:val="single" w:sz="4" w:space="0" w:color="auto"/>
            </w:tcBorders>
            <w:vAlign w:val="center"/>
          </w:tcPr>
          <w:p w14:paraId="52673609" w14:textId="77777777" w:rsidR="005D385B" w:rsidRPr="00211C8B" w:rsidRDefault="005D385B" w:rsidP="005D385B">
            <w:pPr>
              <w:pStyle w:val="TableText0"/>
              <w:keepNext w:val="0"/>
              <w:jc w:val="center"/>
            </w:pPr>
            <w:r w:rsidRPr="00211C8B">
              <w:rPr>
                <w:iCs/>
                <w:color w:val="000000" w:themeColor="text1"/>
              </w:rPr>
              <w:t>4/153</w:t>
            </w:r>
          </w:p>
        </w:tc>
        <w:tc>
          <w:tcPr>
            <w:tcW w:w="862" w:type="pct"/>
            <w:gridSpan w:val="2"/>
            <w:tcBorders>
              <w:top w:val="single" w:sz="4" w:space="0" w:color="auto"/>
              <w:left w:val="single" w:sz="4" w:space="0" w:color="auto"/>
              <w:bottom w:val="single" w:sz="4" w:space="0" w:color="auto"/>
              <w:right w:val="single" w:sz="4" w:space="0" w:color="auto"/>
            </w:tcBorders>
            <w:vAlign w:val="center"/>
          </w:tcPr>
          <w:p w14:paraId="5C90D00F" w14:textId="77777777" w:rsidR="005D385B" w:rsidRPr="00211C8B" w:rsidRDefault="005D385B" w:rsidP="005D385B">
            <w:pPr>
              <w:pStyle w:val="TableText0"/>
              <w:keepNext w:val="0"/>
              <w:jc w:val="center"/>
            </w:pPr>
            <w:r w:rsidRPr="00211C8B">
              <w:rPr>
                <w:color w:val="000000" w:themeColor="text1"/>
              </w:rPr>
              <w:t>1.</w:t>
            </w:r>
            <w:r w:rsidRPr="00211C8B">
              <w:rPr>
                <w:iCs/>
                <w:color w:val="000000" w:themeColor="text1"/>
              </w:rPr>
              <w:t xml:space="preserve">91 </w:t>
            </w:r>
            <w:r w:rsidRPr="00211C8B">
              <w:rPr>
                <w:color w:val="000000" w:themeColor="text1"/>
              </w:rPr>
              <w:t>(0.</w:t>
            </w:r>
            <w:r w:rsidRPr="00211C8B">
              <w:rPr>
                <w:iCs/>
                <w:color w:val="000000" w:themeColor="text1"/>
              </w:rPr>
              <w:t>35, 10.26</w:t>
            </w:r>
            <w:r w:rsidRPr="00211C8B">
              <w:rPr>
                <w:color w:val="000000" w:themeColor="text1"/>
              </w:rPr>
              <w:t>)</w:t>
            </w:r>
          </w:p>
        </w:tc>
        <w:tc>
          <w:tcPr>
            <w:tcW w:w="629" w:type="pct"/>
            <w:gridSpan w:val="2"/>
            <w:tcBorders>
              <w:top w:val="single" w:sz="4" w:space="0" w:color="auto"/>
              <w:left w:val="single" w:sz="4" w:space="0" w:color="auto"/>
              <w:bottom w:val="single" w:sz="4" w:space="0" w:color="auto"/>
              <w:right w:val="single" w:sz="4" w:space="0" w:color="auto"/>
            </w:tcBorders>
            <w:vAlign w:val="center"/>
          </w:tcPr>
          <w:p w14:paraId="3A8AB2A8" w14:textId="77777777" w:rsidR="005D385B" w:rsidRPr="00211C8B" w:rsidRDefault="005D385B" w:rsidP="005D385B">
            <w:pPr>
              <w:pStyle w:val="TableText0"/>
              <w:keepNext w:val="0"/>
              <w:jc w:val="center"/>
            </w:pPr>
            <w:r w:rsidRPr="00211C8B">
              <w:rPr>
                <w:color w:val="000000" w:themeColor="text1"/>
              </w:rPr>
              <w:t>1</w:t>
            </w:r>
            <w:r w:rsidRPr="00211C8B">
              <w:rPr>
                <w:iCs/>
                <w:color w:val="000000" w:themeColor="text1"/>
              </w:rPr>
              <w:t>.</w:t>
            </w:r>
            <w:r w:rsidR="00E30717" w:rsidRPr="00211C8B">
              <w:rPr>
                <w:iCs/>
                <w:color w:val="000000" w:themeColor="text1"/>
              </w:rPr>
              <w:t>4</w:t>
            </w:r>
          </w:p>
        </w:tc>
        <w:tc>
          <w:tcPr>
            <w:tcW w:w="755" w:type="pct"/>
            <w:gridSpan w:val="4"/>
            <w:tcBorders>
              <w:top w:val="single" w:sz="4" w:space="0" w:color="auto"/>
              <w:left w:val="single" w:sz="4" w:space="0" w:color="auto"/>
              <w:bottom w:val="single" w:sz="4" w:space="0" w:color="auto"/>
              <w:right w:val="single" w:sz="4" w:space="0" w:color="auto"/>
            </w:tcBorders>
            <w:vAlign w:val="center"/>
          </w:tcPr>
          <w:p w14:paraId="75F49D63" w14:textId="77777777" w:rsidR="005D385B" w:rsidRPr="00211C8B" w:rsidRDefault="005D385B" w:rsidP="005D385B">
            <w:pPr>
              <w:pStyle w:val="TableText0"/>
              <w:keepNext w:val="0"/>
              <w:jc w:val="center"/>
            </w:pPr>
            <w:r w:rsidRPr="00211C8B">
              <w:rPr>
                <w:iCs/>
                <w:color w:val="000000" w:themeColor="text1"/>
              </w:rPr>
              <w:t>2.6</w:t>
            </w:r>
          </w:p>
        </w:tc>
        <w:tc>
          <w:tcPr>
            <w:tcW w:w="772" w:type="pct"/>
            <w:gridSpan w:val="2"/>
            <w:tcBorders>
              <w:top w:val="single" w:sz="4" w:space="0" w:color="auto"/>
              <w:left w:val="single" w:sz="4" w:space="0" w:color="auto"/>
              <w:bottom w:val="single" w:sz="4" w:space="0" w:color="auto"/>
              <w:right w:val="single" w:sz="4" w:space="0" w:color="auto"/>
            </w:tcBorders>
            <w:vAlign w:val="center"/>
          </w:tcPr>
          <w:p w14:paraId="4446CE4F" w14:textId="77777777" w:rsidR="005D385B" w:rsidRPr="00211C8B" w:rsidRDefault="00112CA4" w:rsidP="005D385B">
            <w:pPr>
              <w:pStyle w:val="TableText0"/>
              <w:keepNext w:val="0"/>
              <w:jc w:val="center"/>
            </w:pPr>
            <w:r w:rsidRPr="00211C8B">
              <w:t>0.01</w:t>
            </w:r>
            <w:r w:rsidR="005D385B" w:rsidRPr="00211C8B">
              <w:t xml:space="preserve"> (</w:t>
            </w:r>
            <w:r w:rsidRPr="00211C8B">
              <w:t>-0.02</w:t>
            </w:r>
            <w:r w:rsidR="005D385B" w:rsidRPr="00211C8B">
              <w:t xml:space="preserve">, </w:t>
            </w:r>
            <w:r w:rsidRPr="00211C8B">
              <w:t>0.04</w:t>
            </w:r>
            <w:r w:rsidR="005D385B" w:rsidRPr="00211C8B">
              <w:t>)</w:t>
            </w:r>
          </w:p>
        </w:tc>
      </w:tr>
      <w:tr w:rsidR="005D385B" w:rsidRPr="00211C8B" w14:paraId="74D485BF" w14:textId="77777777" w:rsidTr="00D31A3E">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307432FB" w14:textId="77777777" w:rsidR="005D385B" w:rsidRPr="00211C8B" w:rsidRDefault="005D385B" w:rsidP="005D385B">
            <w:pPr>
              <w:pStyle w:val="In-tableHeading"/>
              <w:keepNext w:val="0"/>
              <w:rPr>
                <w:highlight w:val="yellow"/>
                <w:lang w:val="en-AU"/>
              </w:rPr>
            </w:pPr>
            <w:r w:rsidRPr="00211C8B">
              <w:rPr>
                <w:lang w:val="en-AU"/>
              </w:rPr>
              <w:t>Ectopic pregnancy</w:t>
            </w:r>
          </w:p>
        </w:tc>
      </w:tr>
      <w:tr w:rsidR="005D385B" w:rsidRPr="00211C8B" w14:paraId="110D6229" w14:textId="77777777" w:rsidTr="00D31A3E">
        <w:tc>
          <w:tcPr>
            <w:tcW w:w="64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1BE3EE" w14:textId="77777777" w:rsidR="005D385B" w:rsidRPr="00211C8B" w:rsidRDefault="005D385B" w:rsidP="005D385B">
            <w:pPr>
              <w:pStyle w:val="TableText0"/>
              <w:keepNext w:val="0"/>
              <w:rPr>
                <w:highlight w:val="yellow"/>
              </w:rPr>
            </w:pPr>
            <w:r w:rsidRPr="00211C8B">
              <w:t>NCT01687712</w:t>
            </w:r>
          </w:p>
        </w:tc>
        <w:tc>
          <w:tcPr>
            <w:tcW w:w="634" w:type="pct"/>
            <w:gridSpan w:val="2"/>
            <w:tcBorders>
              <w:top w:val="single" w:sz="4" w:space="0" w:color="auto"/>
              <w:left w:val="single" w:sz="4" w:space="0" w:color="auto"/>
              <w:bottom w:val="single" w:sz="4" w:space="0" w:color="auto"/>
              <w:right w:val="single" w:sz="4" w:space="0" w:color="auto"/>
            </w:tcBorders>
          </w:tcPr>
          <w:p w14:paraId="0103D88A" w14:textId="77777777" w:rsidR="005D385B" w:rsidRPr="00211C8B" w:rsidRDefault="005D385B" w:rsidP="005D385B">
            <w:pPr>
              <w:pStyle w:val="TableText0"/>
              <w:keepNext w:val="0"/>
              <w:jc w:val="center"/>
              <w:rPr>
                <w:iCs/>
                <w:color w:val="000000" w:themeColor="text1"/>
              </w:rPr>
            </w:pPr>
            <w:r w:rsidRPr="00211C8B">
              <w:rPr>
                <w:iCs/>
                <w:color w:val="000000" w:themeColor="text1"/>
              </w:rPr>
              <w:t>1/551</w:t>
            </w:r>
          </w:p>
        </w:tc>
        <w:tc>
          <w:tcPr>
            <w:tcW w:w="711" w:type="pct"/>
            <w:gridSpan w:val="2"/>
            <w:tcBorders>
              <w:top w:val="single" w:sz="4" w:space="0" w:color="auto"/>
              <w:left w:val="single" w:sz="4" w:space="0" w:color="auto"/>
              <w:bottom w:val="single" w:sz="4" w:space="0" w:color="auto"/>
              <w:right w:val="single" w:sz="4" w:space="0" w:color="auto"/>
            </w:tcBorders>
          </w:tcPr>
          <w:p w14:paraId="0B96C6A8" w14:textId="77777777" w:rsidR="005D385B" w:rsidRPr="00211C8B" w:rsidRDefault="005D385B" w:rsidP="005D385B">
            <w:pPr>
              <w:pStyle w:val="TableText0"/>
              <w:keepNext w:val="0"/>
              <w:jc w:val="center"/>
              <w:rPr>
                <w:iCs/>
                <w:color w:val="000000" w:themeColor="text1"/>
              </w:rPr>
            </w:pPr>
            <w:r w:rsidRPr="00211C8B">
              <w:rPr>
                <w:iCs/>
                <w:color w:val="000000" w:themeColor="text1"/>
              </w:rPr>
              <w:t>2/549</w:t>
            </w:r>
          </w:p>
        </w:tc>
        <w:tc>
          <w:tcPr>
            <w:tcW w:w="863" w:type="pct"/>
            <w:gridSpan w:val="2"/>
            <w:tcBorders>
              <w:top w:val="single" w:sz="4" w:space="0" w:color="auto"/>
              <w:left w:val="single" w:sz="4" w:space="0" w:color="auto"/>
              <w:bottom w:val="single" w:sz="4" w:space="0" w:color="auto"/>
              <w:right w:val="single" w:sz="4" w:space="0" w:color="auto"/>
            </w:tcBorders>
          </w:tcPr>
          <w:p w14:paraId="324FC811" w14:textId="77777777" w:rsidR="005D385B" w:rsidRPr="00211C8B" w:rsidRDefault="005D385B" w:rsidP="005D385B">
            <w:pPr>
              <w:pStyle w:val="TableText0"/>
              <w:keepNext w:val="0"/>
              <w:jc w:val="center"/>
              <w:rPr>
                <w:iCs/>
                <w:color w:val="000000" w:themeColor="text1"/>
              </w:rPr>
            </w:pPr>
            <w:r w:rsidRPr="00211C8B">
              <w:rPr>
                <w:iCs/>
                <w:color w:val="000000" w:themeColor="text1"/>
              </w:rPr>
              <w:t>2.01 (0.18, 22.07)</w:t>
            </w:r>
          </w:p>
        </w:tc>
        <w:tc>
          <w:tcPr>
            <w:tcW w:w="628" w:type="pct"/>
            <w:gridSpan w:val="2"/>
            <w:tcBorders>
              <w:top w:val="single" w:sz="4" w:space="0" w:color="auto"/>
              <w:left w:val="single" w:sz="4" w:space="0" w:color="auto"/>
              <w:bottom w:val="single" w:sz="4" w:space="0" w:color="auto"/>
              <w:right w:val="single" w:sz="4" w:space="0" w:color="auto"/>
            </w:tcBorders>
            <w:vAlign w:val="center"/>
          </w:tcPr>
          <w:p w14:paraId="39BAF986" w14:textId="77777777" w:rsidR="005D385B" w:rsidRPr="00211C8B" w:rsidRDefault="005D385B" w:rsidP="005D385B">
            <w:pPr>
              <w:pStyle w:val="TableText0"/>
              <w:keepNext w:val="0"/>
              <w:jc w:val="center"/>
              <w:rPr>
                <w:iCs/>
                <w:color w:val="000000" w:themeColor="text1"/>
              </w:rPr>
            </w:pPr>
            <w:r w:rsidRPr="00211C8B">
              <w:rPr>
                <w:iCs/>
                <w:color w:val="000000" w:themeColor="text1"/>
              </w:rPr>
              <w:t>0.</w:t>
            </w:r>
            <w:r w:rsidR="00112CA4" w:rsidRPr="00211C8B">
              <w:rPr>
                <w:iCs/>
                <w:color w:val="000000" w:themeColor="text1"/>
              </w:rPr>
              <w:t>2</w:t>
            </w:r>
          </w:p>
        </w:tc>
        <w:tc>
          <w:tcPr>
            <w:tcW w:w="755" w:type="pct"/>
            <w:gridSpan w:val="4"/>
            <w:tcBorders>
              <w:top w:val="single" w:sz="4" w:space="0" w:color="auto"/>
              <w:left w:val="single" w:sz="4" w:space="0" w:color="auto"/>
              <w:bottom w:val="single" w:sz="4" w:space="0" w:color="auto"/>
              <w:right w:val="single" w:sz="4" w:space="0" w:color="auto"/>
            </w:tcBorders>
            <w:vAlign w:val="center"/>
          </w:tcPr>
          <w:p w14:paraId="5503547F" w14:textId="77777777" w:rsidR="005D385B" w:rsidRPr="00211C8B" w:rsidRDefault="005D385B" w:rsidP="005D385B">
            <w:pPr>
              <w:pStyle w:val="TableText0"/>
              <w:keepNext w:val="0"/>
              <w:jc w:val="center"/>
              <w:rPr>
                <w:iCs/>
                <w:color w:val="000000" w:themeColor="text1"/>
              </w:rPr>
            </w:pPr>
            <w:r w:rsidRPr="00211C8B">
              <w:rPr>
                <w:iCs/>
                <w:color w:val="000000" w:themeColor="text1"/>
              </w:rPr>
              <w:t>0.</w:t>
            </w:r>
            <w:r w:rsidR="00112CA4" w:rsidRPr="00211C8B">
              <w:rPr>
                <w:iCs/>
                <w:color w:val="000000" w:themeColor="text1"/>
              </w:rPr>
              <w:t>4</w:t>
            </w:r>
          </w:p>
        </w:tc>
        <w:tc>
          <w:tcPr>
            <w:tcW w:w="768" w:type="pct"/>
            <w:tcBorders>
              <w:top w:val="single" w:sz="4" w:space="0" w:color="auto"/>
              <w:left w:val="single" w:sz="4" w:space="0" w:color="auto"/>
              <w:bottom w:val="single" w:sz="4" w:space="0" w:color="auto"/>
              <w:right w:val="single" w:sz="4" w:space="0" w:color="auto"/>
            </w:tcBorders>
            <w:vAlign w:val="center"/>
          </w:tcPr>
          <w:p w14:paraId="7BCD60F4" w14:textId="77777777" w:rsidR="005D385B" w:rsidRPr="00211C8B" w:rsidRDefault="00112CA4" w:rsidP="005D385B">
            <w:pPr>
              <w:pStyle w:val="TableText0"/>
              <w:keepNext w:val="0"/>
              <w:jc w:val="center"/>
              <w:rPr>
                <w:iCs/>
                <w:color w:val="000000" w:themeColor="text1"/>
              </w:rPr>
            </w:pPr>
            <w:r w:rsidRPr="00211C8B">
              <w:rPr>
                <w:iCs/>
                <w:color w:val="000000" w:themeColor="text1"/>
              </w:rPr>
              <w:t>0.00</w:t>
            </w:r>
            <w:r w:rsidR="005D385B" w:rsidRPr="00211C8B">
              <w:rPr>
                <w:iCs/>
                <w:color w:val="000000" w:themeColor="text1"/>
              </w:rPr>
              <w:t xml:space="preserve"> (-0.</w:t>
            </w:r>
            <w:r w:rsidRPr="00211C8B">
              <w:rPr>
                <w:iCs/>
                <w:color w:val="000000" w:themeColor="text1"/>
              </w:rPr>
              <w:t>00</w:t>
            </w:r>
            <w:r w:rsidR="005D385B" w:rsidRPr="00211C8B">
              <w:rPr>
                <w:iCs/>
                <w:color w:val="000000" w:themeColor="text1"/>
              </w:rPr>
              <w:t>, 0.</w:t>
            </w:r>
            <w:r w:rsidRPr="00211C8B">
              <w:rPr>
                <w:iCs/>
                <w:color w:val="000000" w:themeColor="text1"/>
              </w:rPr>
              <w:t>01</w:t>
            </w:r>
            <w:r w:rsidR="005D385B" w:rsidRPr="00211C8B">
              <w:rPr>
                <w:iCs/>
                <w:color w:val="000000" w:themeColor="text1"/>
              </w:rPr>
              <w:t>)</w:t>
            </w:r>
          </w:p>
        </w:tc>
      </w:tr>
      <w:tr w:rsidR="005D385B" w:rsidRPr="00211C8B" w14:paraId="05BCB8D2" w14:textId="77777777" w:rsidTr="00D31A3E">
        <w:tc>
          <w:tcPr>
            <w:tcW w:w="64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7B7990" w14:textId="77777777" w:rsidR="005D385B" w:rsidRPr="00211C8B" w:rsidRDefault="005D385B" w:rsidP="005D385B">
            <w:pPr>
              <w:pStyle w:val="TableText0"/>
              <w:keepNext w:val="0"/>
            </w:pPr>
            <w:r w:rsidRPr="00211C8B">
              <w:t>ISRCTN74772901</w:t>
            </w:r>
          </w:p>
        </w:tc>
        <w:tc>
          <w:tcPr>
            <w:tcW w:w="634" w:type="pct"/>
            <w:gridSpan w:val="2"/>
            <w:tcBorders>
              <w:top w:val="single" w:sz="4" w:space="0" w:color="auto"/>
              <w:left w:val="single" w:sz="4" w:space="0" w:color="auto"/>
              <w:bottom w:val="single" w:sz="4" w:space="0" w:color="auto"/>
              <w:right w:val="single" w:sz="4" w:space="0" w:color="auto"/>
            </w:tcBorders>
            <w:vAlign w:val="center"/>
          </w:tcPr>
          <w:p w14:paraId="20F36BC5" w14:textId="77777777" w:rsidR="005D385B" w:rsidRPr="00211C8B" w:rsidRDefault="005D385B" w:rsidP="00112CA4">
            <w:pPr>
              <w:pStyle w:val="TableText0"/>
              <w:keepNext w:val="0"/>
              <w:jc w:val="center"/>
              <w:rPr>
                <w:highlight w:val="yellow"/>
              </w:rPr>
            </w:pPr>
            <w:r w:rsidRPr="00211C8B">
              <w:t>1/146</w:t>
            </w:r>
          </w:p>
        </w:tc>
        <w:tc>
          <w:tcPr>
            <w:tcW w:w="711" w:type="pct"/>
            <w:gridSpan w:val="2"/>
            <w:tcBorders>
              <w:top w:val="single" w:sz="4" w:space="0" w:color="auto"/>
              <w:left w:val="single" w:sz="4" w:space="0" w:color="auto"/>
              <w:bottom w:val="single" w:sz="4" w:space="0" w:color="auto"/>
              <w:right w:val="single" w:sz="4" w:space="0" w:color="auto"/>
            </w:tcBorders>
            <w:vAlign w:val="center"/>
          </w:tcPr>
          <w:p w14:paraId="357A31F8" w14:textId="77777777" w:rsidR="005D385B" w:rsidRPr="00211C8B" w:rsidRDefault="005D385B" w:rsidP="00112CA4">
            <w:pPr>
              <w:pStyle w:val="TableText0"/>
              <w:keepNext w:val="0"/>
              <w:jc w:val="center"/>
              <w:rPr>
                <w:highlight w:val="yellow"/>
              </w:rPr>
            </w:pPr>
            <w:r w:rsidRPr="00211C8B">
              <w:t>2/153</w:t>
            </w:r>
          </w:p>
        </w:tc>
        <w:tc>
          <w:tcPr>
            <w:tcW w:w="863" w:type="pct"/>
            <w:gridSpan w:val="2"/>
            <w:tcBorders>
              <w:top w:val="single" w:sz="4" w:space="0" w:color="auto"/>
              <w:left w:val="single" w:sz="4" w:space="0" w:color="auto"/>
              <w:bottom w:val="single" w:sz="4" w:space="0" w:color="auto"/>
              <w:right w:val="single" w:sz="4" w:space="0" w:color="auto"/>
            </w:tcBorders>
            <w:vAlign w:val="center"/>
          </w:tcPr>
          <w:p w14:paraId="2BDBC2EC" w14:textId="77777777" w:rsidR="005D385B" w:rsidRPr="00211C8B" w:rsidRDefault="005D385B" w:rsidP="00112CA4">
            <w:pPr>
              <w:pStyle w:val="TableText0"/>
              <w:keepNext w:val="0"/>
              <w:jc w:val="center"/>
              <w:rPr>
                <w:highlight w:val="yellow"/>
              </w:rPr>
            </w:pPr>
            <w:r w:rsidRPr="00211C8B">
              <w:t>1.91 (0.17, 20.82)</w:t>
            </w:r>
          </w:p>
        </w:tc>
        <w:tc>
          <w:tcPr>
            <w:tcW w:w="628" w:type="pct"/>
            <w:gridSpan w:val="2"/>
            <w:tcBorders>
              <w:top w:val="single" w:sz="4" w:space="0" w:color="auto"/>
              <w:left w:val="single" w:sz="4" w:space="0" w:color="auto"/>
              <w:bottom w:val="single" w:sz="4" w:space="0" w:color="auto"/>
              <w:right w:val="single" w:sz="4" w:space="0" w:color="auto"/>
            </w:tcBorders>
            <w:vAlign w:val="center"/>
          </w:tcPr>
          <w:p w14:paraId="28D1AAAF" w14:textId="77777777" w:rsidR="005D385B" w:rsidRPr="00211C8B" w:rsidRDefault="005D385B" w:rsidP="00112CA4">
            <w:pPr>
              <w:pStyle w:val="TableText0"/>
              <w:keepNext w:val="0"/>
              <w:jc w:val="center"/>
            </w:pPr>
            <w:r w:rsidRPr="00211C8B">
              <w:t>0.7</w:t>
            </w:r>
          </w:p>
        </w:tc>
        <w:tc>
          <w:tcPr>
            <w:tcW w:w="755" w:type="pct"/>
            <w:gridSpan w:val="4"/>
            <w:tcBorders>
              <w:top w:val="single" w:sz="4" w:space="0" w:color="auto"/>
              <w:left w:val="single" w:sz="4" w:space="0" w:color="auto"/>
              <w:bottom w:val="single" w:sz="4" w:space="0" w:color="auto"/>
              <w:right w:val="single" w:sz="4" w:space="0" w:color="auto"/>
            </w:tcBorders>
            <w:vAlign w:val="center"/>
          </w:tcPr>
          <w:p w14:paraId="0E8DB1FA" w14:textId="77777777" w:rsidR="005D385B" w:rsidRPr="00211C8B" w:rsidRDefault="005D385B" w:rsidP="00112CA4">
            <w:pPr>
              <w:pStyle w:val="TableText0"/>
              <w:keepNext w:val="0"/>
              <w:jc w:val="center"/>
            </w:pPr>
            <w:r w:rsidRPr="00211C8B">
              <w:t>1.3</w:t>
            </w:r>
          </w:p>
        </w:tc>
        <w:tc>
          <w:tcPr>
            <w:tcW w:w="768" w:type="pct"/>
            <w:tcBorders>
              <w:top w:val="single" w:sz="4" w:space="0" w:color="auto"/>
              <w:left w:val="single" w:sz="4" w:space="0" w:color="auto"/>
              <w:bottom w:val="single" w:sz="4" w:space="0" w:color="auto"/>
              <w:right w:val="single" w:sz="4" w:space="0" w:color="auto"/>
            </w:tcBorders>
            <w:vAlign w:val="center"/>
          </w:tcPr>
          <w:p w14:paraId="6CF17259" w14:textId="77777777" w:rsidR="005D385B" w:rsidRPr="00211C8B" w:rsidRDefault="00112CA4" w:rsidP="00112CA4">
            <w:pPr>
              <w:pStyle w:val="TableText0"/>
              <w:keepNext w:val="0"/>
              <w:jc w:val="center"/>
            </w:pPr>
            <w:r w:rsidRPr="00211C8B">
              <w:t>0.01</w:t>
            </w:r>
            <w:r w:rsidR="005D385B" w:rsidRPr="00211C8B">
              <w:t xml:space="preserve"> (</w:t>
            </w:r>
            <w:r w:rsidRPr="00211C8B">
              <w:t>-0.02</w:t>
            </w:r>
            <w:r w:rsidR="005D385B" w:rsidRPr="00211C8B">
              <w:t xml:space="preserve">, </w:t>
            </w:r>
            <w:r w:rsidRPr="00211C8B">
              <w:t>0.03</w:t>
            </w:r>
            <w:r w:rsidR="005D385B" w:rsidRPr="00211C8B">
              <w:t>)</w:t>
            </w:r>
          </w:p>
        </w:tc>
      </w:tr>
    </w:tbl>
    <w:p w14:paraId="340B06C3" w14:textId="77777777" w:rsidR="00760B4E" w:rsidRPr="00211C8B" w:rsidRDefault="005F7683" w:rsidP="00444B08">
      <w:pPr>
        <w:pStyle w:val="TableFigureFooter"/>
      </w:pPr>
      <w:r w:rsidRPr="00211C8B">
        <w:t xml:space="preserve">Source: </w:t>
      </w:r>
      <w:r w:rsidR="00444B08" w:rsidRPr="00211C8B">
        <w:t>Compiled during evaluation using supplementary Table 4 of Chua et al. 2021 meta-analysis and the five RCT papers</w:t>
      </w:r>
      <w:r w:rsidR="00F5492B" w:rsidRPr="00211C8B">
        <w:t xml:space="preserve"> </w:t>
      </w:r>
    </w:p>
    <w:p w14:paraId="260F42B4" w14:textId="77777777" w:rsidR="005F7683" w:rsidRPr="00211C8B" w:rsidRDefault="005F7683" w:rsidP="00444B08">
      <w:pPr>
        <w:pStyle w:val="TableFigureFooter"/>
        <w:rPr>
          <w:rFonts w:eastAsia="Calibri"/>
        </w:rPr>
      </w:pPr>
      <w:r w:rsidRPr="00211C8B">
        <w:t>HR = hazard ratio; PBO = placebo; RD = risk difference; RR = risk ratio</w:t>
      </w:r>
    </w:p>
    <w:p w14:paraId="327EC164" w14:textId="77777777" w:rsidR="009D4C0F" w:rsidRPr="00211C8B" w:rsidRDefault="000D7BDE" w:rsidP="00943FFD">
      <w:pPr>
        <w:pStyle w:val="3-BodyText"/>
      </w:pPr>
      <w:r w:rsidRPr="00211C8B">
        <w:t>Based on</w:t>
      </w:r>
      <w:r w:rsidR="009D4C0F" w:rsidRPr="00211C8B">
        <w:t xml:space="preserve"> direct evidence presented by the submission, for every 100 patients treated with </w:t>
      </w:r>
      <w:r w:rsidR="00907340" w:rsidRPr="00211C8B">
        <w:t>Gonal-f</w:t>
      </w:r>
      <w:r w:rsidR="009D4C0F" w:rsidRPr="00211C8B">
        <w:t xml:space="preserve"> in comparison with </w:t>
      </w:r>
      <w:r w:rsidR="003E6820" w:rsidRPr="00211C8B">
        <w:t>Bem</w:t>
      </w:r>
      <w:r w:rsidR="00134E59" w:rsidRPr="00211C8B">
        <w:t>fola</w:t>
      </w:r>
      <w:r w:rsidR="00626C20" w:rsidRPr="00211C8B">
        <w:t xml:space="preserve"> for cycle </w:t>
      </w:r>
      <w:r w:rsidR="0099524E" w:rsidRPr="00211C8B">
        <w:t xml:space="preserve">1 </w:t>
      </w:r>
      <w:r w:rsidR="00626C20" w:rsidRPr="00211C8B">
        <w:t xml:space="preserve">of </w:t>
      </w:r>
      <w:r w:rsidR="00C06090" w:rsidRPr="00211C8B">
        <w:t>treatment:</w:t>
      </w:r>
    </w:p>
    <w:p w14:paraId="43CDF68A" w14:textId="77777777" w:rsidR="0074192B" w:rsidRPr="00211C8B" w:rsidRDefault="0074192B" w:rsidP="00231FB2">
      <w:pPr>
        <w:pStyle w:val="ListParagraph"/>
      </w:pPr>
      <w:r w:rsidRPr="00211C8B">
        <w:t xml:space="preserve">Approximately </w:t>
      </w:r>
      <w:r w:rsidR="00661A29" w:rsidRPr="00211C8B">
        <w:t>3.0</w:t>
      </w:r>
      <w:r w:rsidRPr="00211C8B">
        <w:t xml:space="preserve"> additional patients would have </w:t>
      </w:r>
      <w:r w:rsidR="00661A29" w:rsidRPr="00211C8B">
        <w:t>clinical pregnancies</w:t>
      </w:r>
      <w:r w:rsidRPr="00211C8B">
        <w:t>.</w:t>
      </w:r>
    </w:p>
    <w:p w14:paraId="4F77E479" w14:textId="77777777" w:rsidR="004E4010" w:rsidRPr="00211C8B" w:rsidRDefault="004E4010" w:rsidP="00231FB2">
      <w:pPr>
        <w:pStyle w:val="ListParagraph"/>
      </w:pPr>
      <w:r w:rsidRPr="00211C8B">
        <w:t>Approximately 2.</w:t>
      </w:r>
      <w:r w:rsidR="008C3AFE" w:rsidRPr="00211C8B">
        <w:t>6</w:t>
      </w:r>
      <w:r w:rsidRPr="00211C8B">
        <w:t xml:space="preserve"> additional patients would have </w:t>
      </w:r>
      <w:r w:rsidR="008C3AFE" w:rsidRPr="00211C8B">
        <w:t>ongoing pregnancies.</w:t>
      </w:r>
    </w:p>
    <w:p w14:paraId="4584D5B7" w14:textId="77777777" w:rsidR="0074192B" w:rsidRPr="00211C8B" w:rsidRDefault="0074192B" w:rsidP="00231FB2">
      <w:pPr>
        <w:pStyle w:val="ListParagraph"/>
      </w:pPr>
      <w:r w:rsidRPr="00211C8B">
        <w:t>Approximately 2.8 additional patients would have live births.</w:t>
      </w:r>
    </w:p>
    <w:p w14:paraId="1407AC91" w14:textId="77777777" w:rsidR="008B4882" w:rsidRPr="00D31A3E" w:rsidRDefault="00BD02B1" w:rsidP="00231FB2">
      <w:pPr>
        <w:pStyle w:val="ListParagraph"/>
        <w:rPr>
          <w:rFonts w:eastAsiaTheme="majorEastAsia" w:cstheme="majorBidi"/>
          <w:b/>
          <w:i/>
          <w:snapToGrid/>
          <w:spacing w:val="5"/>
          <w:kern w:val="28"/>
          <w:sz w:val="28"/>
          <w:szCs w:val="36"/>
          <w:lang w:eastAsia="en-US"/>
        </w:rPr>
      </w:pPr>
      <w:r w:rsidRPr="00D31A3E">
        <w:t xml:space="preserve">The evaluation calculated </w:t>
      </w:r>
      <w:r w:rsidRPr="00B91E15">
        <w:t>n</w:t>
      </w:r>
      <w:r w:rsidR="008B4882" w:rsidRPr="00B91E15">
        <w:t xml:space="preserve">o significant difference in </w:t>
      </w:r>
      <w:r w:rsidR="009F7006" w:rsidRPr="00A45624">
        <w:t xml:space="preserve">the </w:t>
      </w:r>
      <w:r w:rsidR="008B4882" w:rsidRPr="00A45624">
        <w:t>number of oocytes retrieved.</w:t>
      </w:r>
    </w:p>
    <w:p w14:paraId="0573FD69" w14:textId="77777777" w:rsidR="009D4C0F" w:rsidRPr="00211C8B" w:rsidRDefault="009D4C0F" w:rsidP="009D4C0F">
      <w:pPr>
        <w:pStyle w:val="4-SubsectionHeading"/>
      </w:pPr>
      <w:bookmarkStart w:id="35" w:name="_Toc79702745"/>
      <w:bookmarkStart w:id="36" w:name="_Toc82610363"/>
      <w:r w:rsidRPr="00211C8B">
        <w:t>Clinical claim</w:t>
      </w:r>
      <w:bookmarkEnd w:id="35"/>
      <w:bookmarkEnd w:id="36"/>
    </w:p>
    <w:p w14:paraId="4DCD6A9A" w14:textId="77777777" w:rsidR="003C708A" w:rsidRPr="00211C8B" w:rsidRDefault="009D4C0F" w:rsidP="00943FFD">
      <w:pPr>
        <w:pStyle w:val="3-BodyText"/>
      </w:pPr>
      <w:r w:rsidRPr="00211C8B">
        <w:t xml:space="preserve">The submission described </w:t>
      </w:r>
      <w:r w:rsidR="00907340" w:rsidRPr="00211C8B">
        <w:t>Gonal-f</w:t>
      </w:r>
      <w:r w:rsidRPr="00211C8B">
        <w:t xml:space="preserve"> as superior in terms of effectiveness for fertility treatment compared with biosimilar preparations of follitropin alfa</w:t>
      </w:r>
      <w:r w:rsidR="009F7006" w:rsidRPr="00211C8B">
        <w:t>,</w:t>
      </w:r>
      <w:r w:rsidRPr="00211C8B">
        <w:t xml:space="preserve"> and non-inferior in terms of safety compared to the biosimilars. More specifically, the submission stated that </w:t>
      </w:r>
      <w:r w:rsidR="00907340" w:rsidRPr="00211C8B">
        <w:t>Gonal-f</w:t>
      </w:r>
      <w:r w:rsidRPr="00211C8B">
        <w:t xml:space="preserve"> resulted in significantly greater </w:t>
      </w:r>
      <w:r w:rsidR="002339AF" w:rsidRPr="00211C8B">
        <w:t xml:space="preserve">rates of </w:t>
      </w:r>
      <w:r w:rsidRPr="00211C8B">
        <w:t xml:space="preserve">clinical pregnancy, ongoing pregnancy and live birth compared with the biosimilar preparations of follitropin alfa. </w:t>
      </w:r>
      <w:bookmarkStart w:id="37" w:name="_Hlk79423735"/>
      <w:r w:rsidR="00233FB8" w:rsidRPr="00211C8B">
        <w:rPr>
          <w:rFonts w:eastAsia="Calibri"/>
        </w:rPr>
        <w:t>The submission described Gonal-f as non-inferior in terms of safety compared to the biosimilar preparations of follitropin alfa.</w:t>
      </w:r>
    </w:p>
    <w:p w14:paraId="5C7F7E65" w14:textId="77777777" w:rsidR="00E411D0" w:rsidRPr="00211C8B" w:rsidRDefault="00C32884" w:rsidP="00943FFD">
      <w:pPr>
        <w:pStyle w:val="3-BodyText"/>
      </w:pPr>
      <w:r w:rsidRPr="00211C8B">
        <w:rPr>
          <w:color w:val="000000" w:themeColor="text1"/>
        </w:rPr>
        <w:t>The</w:t>
      </w:r>
      <w:r w:rsidR="00BD02B1" w:rsidRPr="00211C8B">
        <w:rPr>
          <w:color w:val="000000" w:themeColor="text1"/>
        </w:rPr>
        <w:t xml:space="preserve"> </w:t>
      </w:r>
      <w:r w:rsidR="00A45624">
        <w:rPr>
          <w:color w:val="000000" w:themeColor="text1"/>
        </w:rPr>
        <w:t>PBAC</w:t>
      </w:r>
      <w:r w:rsidR="00A45624" w:rsidRPr="00A45624">
        <w:rPr>
          <w:color w:val="000000" w:themeColor="text1"/>
        </w:rPr>
        <w:t xml:space="preserve"> </w:t>
      </w:r>
      <w:r w:rsidR="00BD02B1" w:rsidRPr="00A45624">
        <w:rPr>
          <w:color w:val="000000" w:themeColor="text1"/>
        </w:rPr>
        <w:t>considered that</w:t>
      </w:r>
      <w:r w:rsidR="00C179F2" w:rsidRPr="00A45624">
        <w:rPr>
          <w:color w:val="000000" w:themeColor="text1"/>
        </w:rPr>
        <w:t xml:space="preserve"> the</w:t>
      </w:r>
      <w:r w:rsidRPr="00A45624">
        <w:rPr>
          <w:color w:val="000000" w:themeColor="text1"/>
        </w:rPr>
        <w:t xml:space="preserve"> therapeutic conclusion presented in the submission </w:t>
      </w:r>
      <w:r w:rsidR="005445D9" w:rsidRPr="00BD3AB8">
        <w:t>was not supported</w:t>
      </w:r>
      <w:r w:rsidR="00533AF8" w:rsidRPr="00211C8B">
        <w:t xml:space="preserve"> because the </w:t>
      </w:r>
      <w:r w:rsidR="00A45624">
        <w:t>submission</w:t>
      </w:r>
      <w:r w:rsidR="00A45624" w:rsidRPr="00A45624">
        <w:t xml:space="preserve"> </w:t>
      </w:r>
      <w:r w:rsidR="00533AF8" w:rsidRPr="00A45624">
        <w:t xml:space="preserve">did not </w:t>
      </w:r>
      <w:r w:rsidR="00A45624">
        <w:t>present</w:t>
      </w:r>
      <w:r w:rsidR="00A45624" w:rsidRPr="00A45624">
        <w:t xml:space="preserve"> </w:t>
      </w:r>
      <w:r w:rsidR="00533AF8" w:rsidRPr="00A45624">
        <w:t xml:space="preserve">the necessary information on the in-vitro characterisation of the biosimilars in their </w:t>
      </w:r>
      <w:r w:rsidRPr="00A45624">
        <w:rPr>
          <w:color w:val="000000" w:themeColor="text1"/>
        </w:rPr>
        <w:t>submission</w:t>
      </w:r>
      <w:r w:rsidR="005C76DD" w:rsidRPr="00A45624">
        <w:rPr>
          <w:color w:val="000000" w:themeColor="text1"/>
        </w:rPr>
        <w:t>.</w:t>
      </w:r>
      <w:r w:rsidRPr="00A45624">
        <w:rPr>
          <w:color w:val="000000" w:themeColor="text1"/>
        </w:rPr>
        <w:t xml:space="preserve"> </w:t>
      </w:r>
      <w:r w:rsidR="00E411D0" w:rsidRPr="00BD3AB8">
        <w:rPr>
          <w:color w:val="000000" w:themeColor="text1"/>
        </w:rPr>
        <w:t>Although</w:t>
      </w:r>
      <w:r w:rsidR="00E411D0" w:rsidRPr="00211C8B">
        <w:rPr>
          <w:color w:val="000000" w:themeColor="text1"/>
        </w:rPr>
        <w:t xml:space="preserve"> t</w:t>
      </w:r>
      <w:r w:rsidR="00104814">
        <w:t>he PSCR</w:t>
      </w:r>
      <w:r w:rsidR="00E411D0" w:rsidRPr="00D31A3E">
        <w:rPr>
          <w:color w:val="FF0000"/>
        </w:rPr>
        <w:t xml:space="preserve"> </w:t>
      </w:r>
      <w:r w:rsidR="00E411D0" w:rsidRPr="00211C8B">
        <w:t>noted that the evidence provided in the submission was considered acceptable to support the registration of follitropin alfa biosimilars internationally, a</w:t>
      </w:r>
      <w:r w:rsidR="005C76DD" w:rsidRPr="00211C8B">
        <w:t>s noted in paragraph 3.3</w:t>
      </w:r>
      <w:r w:rsidR="00E411D0" w:rsidRPr="00211C8B">
        <w:t xml:space="preserve"> above</w:t>
      </w:r>
      <w:r w:rsidR="005C76DD" w:rsidRPr="00211C8B">
        <w:t xml:space="preserve">, the </w:t>
      </w:r>
      <w:r w:rsidR="00A45624">
        <w:t>PBAC</w:t>
      </w:r>
      <w:r w:rsidR="00A45624" w:rsidRPr="00A45624">
        <w:t xml:space="preserve"> </w:t>
      </w:r>
      <w:r w:rsidR="005C76DD" w:rsidRPr="00A45624">
        <w:t xml:space="preserve">considered that </w:t>
      </w:r>
      <w:r w:rsidR="00A45624">
        <w:t>even if</w:t>
      </w:r>
      <w:r w:rsidR="00A45624" w:rsidRPr="00A45624">
        <w:t xml:space="preserve"> </w:t>
      </w:r>
      <w:r w:rsidR="005C76DD" w:rsidRPr="00A45624">
        <w:t xml:space="preserve">the Chua et al. (2021) </w:t>
      </w:r>
      <w:r w:rsidR="00A45624">
        <w:t>meta-analysis</w:t>
      </w:r>
      <w:r w:rsidR="005C76DD" w:rsidRPr="00A45624">
        <w:t xml:space="preserve"> </w:t>
      </w:r>
      <w:r w:rsidR="00A45624">
        <w:t>was</w:t>
      </w:r>
      <w:r w:rsidR="005C76DD" w:rsidRPr="00A45624">
        <w:t xml:space="preserve"> supportive of the submission’s clinical claim,</w:t>
      </w:r>
      <w:r w:rsidR="005C76DD" w:rsidRPr="00A45624">
        <w:rPr>
          <w:color w:val="000000" w:themeColor="text1"/>
        </w:rPr>
        <w:t xml:space="preserve"> it would not be appropriate to consider in isolation the randomised clinical endpoint </w:t>
      </w:r>
      <w:r w:rsidR="00C4230B">
        <w:rPr>
          <w:color w:val="000000" w:themeColor="text1"/>
        </w:rPr>
        <w:t>trials</w:t>
      </w:r>
      <w:r w:rsidR="005C76DD" w:rsidRPr="00A45624">
        <w:rPr>
          <w:color w:val="000000" w:themeColor="text1"/>
        </w:rPr>
        <w:t xml:space="preserve"> such as those in the Chua et al. </w:t>
      </w:r>
      <w:r w:rsidR="00C2752D" w:rsidRPr="00BD3AB8">
        <w:rPr>
          <w:color w:val="000000" w:themeColor="text1"/>
        </w:rPr>
        <w:t xml:space="preserve">(2021) </w:t>
      </w:r>
      <w:r w:rsidR="005C76DD" w:rsidRPr="00BD3AB8">
        <w:rPr>
          <w:color w:val="000000" w:themeColor="text1"/>
        </w:rPr>
        <w:t>meta-analysis</w:t>
      </w:r>
      <w:r w:rsidR="00E411D0" w:rsidRPr="00211C8B">
        <w:rPr>
          <w:color w:val="000000" w:themeColor="text1"/>
        </w:rPr>
        <w:t>.</w:t>
      </w:r>
    </w:p>
    <w:p w14:paraId="2220CA7A" w14:textId="77777777" w:rsidR="009D4C0F" w:rsidRPr="00BD3AB8" w:rsidRDefault="00E411D0" w:rsidP="00286BF1">
      <w:pPr>
        <w:pStyle w:val="3-BodyText"/>
      </w:pPr>
      <w:r w:rsidRPr="00D31A3E">
        <w:rPr>
          <w:iCs/>
          <w:color w:val="000000" w:themeColor="text1"/>
        </w:rPr>
        <w:t xml:space="preserve">The </w:t>
      </w:r>
      <w:r w:rsidR="00BD3AB8">
        <w:rPr>
          <w:iCs/>
          <w:color w:val="000000" w:themeColor="text1"/>
        </w:rPr>
        <w:t>PBAC</w:t>
      </w:r>
      <w:r w:rsidR="00BD3AB8" w:rsidRPr="00D31A3E">
        <w:rPr>
          <w:iCs/>
          <w:color w:val="000000" w:themeColor="text1"/>
        </w:rPr>
        <w:t xml:space="preserve"> </w:t>
      </w:r>
      <w:r w:rsidR="00233FB8" w:rsidRPr="00D31A3E">
        <w:rPr>
          <w:iCs/>
          <w:color w:val="000000" w:themeColor="text1"/>
        </w:rPr>
        <w:t>noted</w:t>
      </w:r>
      <w:r w:rsidRPr="00BD3AB8">
        <w:rPr>
          <w:color w:val="000000" w:themeColor="text1"/>
        </w:rPr>
        <w:t xml:space="preserve"> </w:t>
      </w:r>
      <w:r w:rsidRPr="00BD3AB8">
        <w:t>o</w:t>
      </w:r>
      <w:r w:rsidR="00C32884" w:rsidRPr="00BD3AB8">
        <w:t xml:space="preserve">ther </w:t>
      </w:r>
      <w:r w:rsidR="009D4C0F" w:rsidRPr="00BD3AB8">
        <w:t xml:space="preserve">key issues </w:t>
      </w:r>
      <w:r w:rsidR="00BD3AB8" w:rsidRPr="00BD3AB8">
        <w:t>includ</w:t>
      </w:r>
      <w:r w:rsidR="00BD3AB8">
        <w:t>ing</w:t>
      </w:r>
      <w:r w:rsidR="009D4C0F" w:rsidRPr="00BD3AB8">
        <w:t xml:space="preserve">: </w:t>
      </w:r>
    </w:p>
    <w:bookmarkEnd w:id="37"/>
    <w:p w14:paraId="5F045F5E" w14:textId="77777777" w:rsidR="009D4C0F" w:rsidRPr="00BD3AB8" w:rsidRDefault="009D4C0F" w:rsidP="00286BF1">
      <w:pPr>
        <w:pStyle w:val="ListParagraph"/>
        <w:jc w:val="both"/>
        <w:rPr>
          <w:iCs/>
        </w:rPr>
      </w:pPr>
      <w:r w:rsidRPr="00BD3AB8">
        <w:rPr>
          <w:iCs/>
        </w:rPr>
        <w:t xml:space="preserve">The findings of the systematic review </w:t>
      </w:r>
      <w:r w:rsidR="00CB2A40">
        <w:rPr>
          <w:iCs/>
        </w:rPr>
        <w:t xml:space="preserve">might be </w:t>
      </w:r>
      <w:r w:rsidRPr="00BD3AB8">
        <w:rPr>
          <w:iCs/>
        </w:rPr>
        <w:t xml:space="preserve">subject to publication bias that may favour </w:t>
      </w:r>
      <w:r w:rsidR="00907340" w:rsidRPr="00BD3AB8">
        <w:rPr>
          <w:iCs/>
        </w:rPr>
        <w:t>Gonal-f</w:t>
      </w:r>
      <w:r w:rsidRPr="00BD3AB8">
        <w:rPr>
          <w:iCs/>
        </w:rPr>
        <w:t xml:space="preserve"> compared with the biosimilar comparators (as acknowledged by Chua et al. </w:t>
      </w:r>
      <w:r w:rsidR="005C76DD" w:rsidRPr="00BD3AB8">
        <w:rPr>
          <w:iCs/>
        </w:rPr>
        <w:t>(</w:t>
      </w:r>
      <w:r w:rsidRPr="00BD3AB8">
        <w:rPr>
          <w:iCs/>
        </w:rPr>
        <w:t>2021</w:t>
      </w:r>
      <w:r w:rsidR="005C76DD" w:rsidRPr="00BD3AB8">
        <w:rPr>
          <w:iCs/>
        </w:rPr>
        <w:t>)</w:t>
      </w:r>
      <w:r w:rsidRPr="00BD3AB8">
        <w:rPr>
          <w:iCs/>
        </w:rPr>
        <w:t>).</w:t>
      </w:r>
    </w:p>
    <w:p w14:paraId="45CB8A11" w14:textId="77777777" w:rsidR="00533AF8" w:rsidRPr="00211C8B" w:rsidRDefault="00533AF8" w:rsidP="00286BF1">
      <w:pPr>
        <w:pStyle w:val="ListParagraph"/>
        <w:jc w:val="both"/>
      </w:pPr>
      <w:r w:rsidRPr="00BD3AB8">
        <w:t>the validity of the meta-analysis was unclear because:</w:t>
      </w:r>
    </w:p>
    <w:p w14:paraId="2C7C7DC0" w14:textId="77777777" w:rsidR="00533AF8" w:rsidRPr="00211C8B" w:rsidRDefault="00533AF8" w:rsidP="00AF4651">
      <w:pPr>
        <w:pStyle w:val="ListParagraph"/>
        <w:numPr>
          <w:ilvl w:val="1"/>
          <w:numId w:val="6"/>
        </w:numPr>
        <w:ind w:left="1843"/>
        <w:jc w:val="both"/>
      </w:pPr>
      <w:r w:rsidRPr="00211C8B">
        <w:t xml:space="preserve">possibility of post-randomisation confounding with the endpoint of livebirths was not considered </w:t>
      </w:r>
    </w:p>
    <w:p w14:paraId="3EF104D8" w14:textId="77777777" w:rsidR="00533AF8" w:rsidRPr="00211C8B" w:rsidRDefault="00CB2A40" w:rsidP="00AF4651">
      <w:pPr>
        <w:pStyle w:val="ListParagraph"/>
        <w:numPr>
          <w:ilvl w:val="1"/>
          <w:numId w:val="6"/>
        </w:numPr>
        <w:ind w:left="1843"/>
        <w:jc w:val="both"/>
      </w:pPr>
      <w:r>
        <w:t xml:space="preserve">related to the above point, </w:t>
      </w:r>
      <w:r w:rsidR="00533AF8" w:rsidRPr="00211C8B">
        <w:t>treatment-centre interactions could affect the livebirth endpoint and should be considered</w:t>
      </w:r>
    </w:p>
    <w:p w14:paraId="3F53A0FE" w14:textId="77777777" w:rsidR="00943FFD" w:rsidRPr="00211C8B" w:rsidRDefault="00533AF8" w:rsidP="00AF4651">
      <w:pPr>
        <w:pStyle w:val="ListParagraph"/>
        <w:numPr>
          <w:ilvl w:val="1"/>
          <w:numId w:val="6"/>
        </w:numPr>
        <w:ind w:left="1843"/>
        <w:jc w:val="both"/>
      </w:pPr>
      <w:r w:rsidRPr="00211C8B">
        <w:t xml:space="preserve">all clinical endpoint </w:t>
      </w:r>
      <w:r w:rsidR="00CB2A40">
        <w:t>studies</w:t>
      </w:r>
      <w:r w:rsidRPr="00211C8B">
        <w:t xml:space="preserve">, including non-randomised </w:t>
      </w:r>
      <w:r w:rsidR="00CB2A40">
        <w:t>studies</w:t>
      </w:r>
      <w:r w:rsidRPr="00211C8B">
        <w:t xml:space="preserve">, should </w:t>
      </w:r>
      <w:r w:rsidR="003B7233" w:rsidRPr="00211C8B">
        <w:t xml:space="preserve">have </w:t>
      </w:r>
      <w:r w:rsidRPr="00211C8B">
        <w:t>be</w:t>
      </w:r>
      <w:r w:rsidR="003B7233" w:rsidRPr="00211C8B">
        <w:t>en</w:t>
      </w:r>
      <w:r w:rsidRPr="00211C8B">
        <w:t xml:space="preserve"> identified and considered for inclusion in the meta-analysis</w:t>
      </w:r>
      <w:r w:rsidR="003B7233" w:rsidRPr="00211C8B">
        <w:t xml:space="preserve">. Even if these </w:t>
      </w:r>
      <w:r w:rsidR="00CB2A40">
        <w:t>studies</w:t>
      </w:r>
      <w:r w:rsidR="00CB2A40" w:rsidRPr="00211C8B">
        <w:t xml:space="preserve"> </w:t>
      </w:r>
      <w:r w:rsidR="003B7233" w:rsidRPr="00211C8B">
        <w:t xml:space="preserve">could not be </w:t>
      </w:r>
      <w:r w:rsidR="00CB2A40">
        <w:t>combined</w:t>
      </w:r>
      <w:r w:rsidR="00CB2A40" w:rsidRPr="00211C8B">
        <w:t xml:space="preserve"> </w:t>
      </w:r>
      <w:r w:rsidR="003B7233" w:rsidRPr="00211C8B">
        <w:t xml:space="preserve">in </w:t>
      </w:r>
      <w:r w:rsidR="00CB2A40">
        <w:t>a</w:t>
      </w:r>
      <w:r w:rsidR="00CB2A40" w:rsidRPr="00211C8B">
        <w:t xml:space="preserve"> </w:t>
      </w:r>
      <w:r w:rsidR="003B7233" w:rsidRPr="00211C8B">
        <w:t xml:space="preserve">meta-analysis, the results of </w:t>
      </w:r>
      <w:r w:rsidR="00CB2A40">
        <w:t xml:space="preserve">any </w:t>
      </w:r>
      <w:r w:rsidR="003B7233" w:rsidRPr="00211C8B">
        <w:t>non-randomised</w:t>
      </w:r>
      <w:r w:rsidR="00CB2A40">
        <w:t xml:space="preserve"> studies</w:t>
      </w:r>
      <w:r w:rsidR="00434294">
        <w:t xml:space="preserve"> </w:t>
      </w:r>
      <w:r w:rsidR="003B7233" w:rsidRPr="00211C8B">
        <w:t>would be informative</w:t>
      </w:r>
    </w:p>
    <w:p w14:paraId="065417E7" w14:textId="77777777" w:rsidR="00533AF8" w:rsidRPr="00BD3AB8" w:rsidRDefault="00533AF8" w:rsidP="00AF4651">
      <w:pPr>
        <w:pStyle w:val="ListParagraph"/>
        <w:numPr>
          <w:ilvl w:val="1"/>
          <w:numId w:val="6"/>
        </w:numPr>
        <w:ind w:left="1843"/>
        <w:jc w:val="both"/>
      </w:pPr>
      <w:r w:rsidRPr="00211C8B">
        <w:t>statistical multiplicity should be considered and discussed</w:t>
      </w:r>
      <w:r w:rsidR="00445C87" w:rsidRPr="00211C8B">
        <w:t xml:space="preserve"> by the sponsor</w:t>
      </w:r>
      <w:r w:rsidR="003B7233" w:rsidRPr="00211C8B">
        <w:t xml:space="preserve"> given live births was a secondary endpoint in all the individual </w:t>
      </w:r>
      <w:r w:rsidR="00C4230B">
        <w:t>trials</w:t>
      </w:r>
      <w:r w:rsidR="003B7233" w:rsidRPr="00211C8B">
        <w:t xml:space="preserve"> included in the meta-analysis; whereas number-of-oocytes was the primary endpoint in the individual </w:t>
      </w:r>
      <w:r w:rsidR="00C4230B">
        <w:t>trials</w:t>
      </w:r>
      <w:r w:rsidR="003B7233" w:rsidRPr="00211C8B">
        <w:t xml:space="preserve"> and showed non-inferiority in the meta-analysis.</w:t>
      </w:r>
    </w:p>
    <w:p w14:paraId="6325B469" w14:textId="77777777" w:rsidR="008972D5" w:rsidRPr="00211C8B" w:rsidRDefault="008972D5" w:rsidP="008972D5">
      <w:pPr>
        <w:pStyle w:val="3-BodyText"/>
      </w:pPr>
      <w:r w:rsidRPr="00211C8B">
        <w:t xml:space="preserve">The PBAC considered that the claim of the superior comparative effectiveness of Gonal-f was </w:t>
      </w:r>
      <w:r w:rsidRPr="00C14F16">
        <w:t>not adequately</w:t>
      </w:r>
      <w:r w:rsidRPr="00211C8B">
        <w:t xml:space="preserve"> supported by the data.</w:t>
      </w:r>
    </w:p>
    <w:p w14:paraId="38870287" w14:textId="77777777" w:rsidR="008972D5" w:rsidRPr="00F10F43" w:rsidRDefault="00407D78" w:rsidP="008972D5">
      <w:pPr>
        <w:pStyle w:val="3-BodyText"/>
      </w:pPr>
      <w:r w:rsidRPr="009B38D8">
        <w:t>The PBAC considered that the claim of non-inferior comparative safety was reasonably supported by the data.</w:t>
      </w:r>
    </w:p>
    <w:p w14:paraId="2E78BB7A" w14:textId="77777777" w:rsidR="00CB79D5" w:rsidRPr="00BD3AB8" w:rsidRDefault="00CB79D5">
      <w:pPr>
        <w:pStyle w:val="4-SubsectionHeading"/>
      </w:pPr>
      <w:bookmarkStart w:id="38" w:name="_Toc22897645"/>
      <w:bookmarkStart w:id="39" w:name="_Toc79577807"/>
      <w:bookmarkStart w:id="40" w:name="_Toc82610364"/>
      <w:bookmarkStart w:id="41" w:name="_Toc79702751"/>
      <w:r w:rsidRPr="00BD3AB8">
        <w:t>Economic analysis</w:t>
      </w:r>
      <w:bookmarkEnd w:id="38"/>
      <w:bookmarkEnd w:id="39"/>
      <w:bookmarkEnd w:id="40"/>
      <w:r w:rsidRPr="00BD3AB8">
        <w:t xml:space="preserve"> </w:t>
      </w:r>
    </w:p>
    <w:p w14:paraId="68BD0744" w14:textId="77777777" w:rsidR="0060727E" w:rsidRPr="00211C8B" w:rsidRDefault="00CB79D5" w:rsidP="00943FFD">
      <w:pPr>
        <w:pStyle w:val="3-BodyText"/>
        <w:rPr>
          <w:iCs/>
        </w:rPr>
      </w:pPr>
      <w:bookmarkStart w:id="42" w:name="_Hlk79837973"/>
      <w:r w:rsidRPr="00211C8B">
        <w:t xml:space="preserve">The type of economic evaluation presented was a cost-effectiveness analysis, of </w:t>
      </w:r>
      <w:r w:rsidR="00907340" w:rsidRPr="00211C8B">
        <w:t>Gonal-f</w:t>
      </w:r>
      <w:r w:rsidRPr="00211C8B">
        <w:t xml:space="preserve"> versus the biosimilars for ovarian stimulation. Bemfola </w:t>
      </w:r>
      <w:r w:rsidR="00763013" w:rsidRPr="00211C8B">
        <w:t>was</w:t>
      </w:r>
      <w:r w:rsidRPr="00211C8B">
        <w:t xml:space="preserve"> used as a proxy for all </w:t>
      </w:r>
      <w:r w:rsidR="00CD4AAF">
        <w:t xml:space="preserve">the </w:t>
      </w:r>
      <w:r w:rsidRPr="00211C8B">
        <w:t>biosimilars.</w:t>
      </w:r>
      <w:r w:rsidRPr="00211C8B">
        <w:rPr>
          <w:iCs/>
        </w:rPr>
        <w:t xml:space="preserve"> </w:t>
      </w:r>
      <w:r w:rsidR="00763013" w:rsidRPr="00211C8B">
        <w:rPr>
          <w:iCs/>
        </w:rPr>
        <w:t>T</w:t>
      </w:r>
      <w:r w:rsidR="00AC5D0F" w:rsidRPr="00211C8B">
        <w:rPr>
          <w:iCs/>
        </w:rPr>
        <w:t xml:space="preserve">he evaluation </w:t>
      </w:r>
      <w:r w:rsidR="00763013" w:rsidRPr="00211C8B">
        <w:rPr>
          <w:iCs/>
        </w:rPr>
        <w:t>considered</w:t>
      </w:r>
      <w:r w:rsidR="002F5379" w:rsidRPr="00211C8B">
        <w:rPr>
          <w:iCs/>
        </w:rPr>
        <w:t xml:space="preserve"> </w:t>
      </w:r>
      <w:r w:rsidR="00F567CD" w:rsidRPr="00211C8B">
        <w:rPr>
          <w:iCs/>
        </w:rPr>
        <w:t xml:space="preserve">that </w:t>
      </w:r>
      <w:r w:rsidRPr="00211C8B">
        <w:rPr>
          <w:iCs/>
        </w:rPr>
        <w:t>the use of Bemfola solely as the proxy for all biosimilars might not be appropriate</w:t>
      </w:r>
      <w:r w:rsidR="003C708A" w:rsidRPr="00211C8B">
        <w:rPr>
          <w:iCs/>
        </w:rPr>
        <w:t>.</w:t>
      </w:r>
      <w:r w:rsidR="00C32884" w:rsidRPr="00211C8B">
        <w:rPr>
          <w:iCs/>
        </w:rPr>
        <w:t xml:space="preserve"> </w:t>
      </w:r>
      <w:r w:rsidR="00FA4390" w:rsidRPr="00211C8B">
        <w:rPr>
          <w:iCs/>
        </w:rPr>
        <w:t>T</w:t>
      </w:r>
      <w:r w:rsidR="00C32884" w:rsidRPr="00211C8B">
        <w:rPr>
          <w:iCs/>
        </w:rPr>
        <w:t xml:space="preserve">he </w:t>
      </w:r>
      <w:r w:rsidR="00C32884" w:rsidRPr="00211C8B">
        <w:rPr>
          <w:color w:val="000000" w:themeColor="text1"/>
        </w:rPr>
        <w:t xml:space="preserve">submission </w:t>
      </w:r>
      <w:r w:rsidR="00FA4390" w:rsidRPr="00211C8B">
        <w:rPr>
          <w:color w:val="000000" w:themeColor="text1"/>
        </w:rPr>
        <w:t xml:space="preserve">first </w:t>
      </w:r>
      <w:r w:rsidR="00C32884" w:rsidRPr="00211C8B">
        <w:rPr>
          <w:color w:val="000000" w:themeColor="text1"/>
        </w:rPr>
        <w:t>argued that Gonal-f is therapeutically distinct from other follitropin alfa biosimilars</w:t>
      </w:r>
      <w:r w:rsidR="00FA4390" w:rsidRPr="00211C8B">
        <w:rPr>
          <w:color w:val="000000" w:themeColor="text1"/>
        </w:rPr>
        <w:t xml:space="preserve">, then </w:t>
      </w:r>
      <w:r w:rsidR="00C32884" w:rsidRPr="00211C8B">
        <w:rPr>
          <w:color w:val="000000" w:themeColor="text1"/>
        </w:rPr>
        <w:t xml:space="preserve">assumed, without providing justification, that </w:t>
      </w:r>
      <w:r w:rsidR="00FA4390" w:rsidRPr="00211C8B">
        <w:rPr>
          <w:color w:val="000000" w:themeColor="text1"/>
        </w:rPr>
        <w:t xml:space="preserve">all </w:t>
      </w:r>
      <w:r w:rsidR="00C32884" w:rsidRPr="00211C8B">
        <w:rPr>
          <w:color w:val="000000" w:themeColor="text1"/>
        </w:rPr>
        <w:t xml:space="preserve">biosimilars </w:t>
      </w:r>
      <w:r w:rsidR="00FA4390" w:rsidRPr="00211C8B">
        <w:rPr>
          <w:color w:val="000000" w:themeColor="text1"/>
        </w:rPr>
        <w:t>(</w:t>
      </w:r>
      <w:r w:rsidR="00C32884" w:rsidRPr="00211C8B">
        <w:rPr>
          <w:color w:val="000000" w:themeColor="text1"/>
        </w:rPr>
        <w:t>other than Gonal-f</w:t>
      </w:r>
      <w:r w:rsidR="00FA4390" w:rsidRPr="00211C8B">
        <w:rPr>
          <w:color w:val="000000" w:themeColor="text1"/>
        </w:rPr>
        <w:t>)</w:t>
      </w:r>
      <w:r w:rsidR="00C32884" w:rsidRPr="00211C8B">
        <w:rPr>
          <w:color w:val="000000" w:themeColor="text1"/>
        </w:rPr>
        <w:t xml:space="preserve"> are clinically interchangeable</w:t>
      </w:r>
      <w:r w:rsidR="00FA4390" w:rsidRPr="00211C8B">
        <w:rPr>
          <w:iCs/>
        </w:rPr>
        <w:t>.</w:t>
      </w:r>
    </w:p>
    <w:p w14:paraId="36CCB4A3" w14:textId="77777777" w:rsidR="00CB79D5" w:rsidRPr="00211C8B" w:rsidRDefault="00FA4390" w:rsidP="00943FFD">
      <w:pPr>
        <w:pStyle w:val="3-BodyText"/>
      </w:pPr>
      <w:r w:rsidRPr="00211C8B">
        <w:t>T</w:t>
      </w:r>
      <w:r w:rsidR="00763013" w:rsidRPr="00211C8B">
        <w:t xml:space="preserve">he </w:t>
      </w:r>
      <w:r w:rsidR="00CD4AAF" w:rsidRPr="00AB2FB9">
        <w:rPr>
          <w:iCs/>
        </w:rPr>
        <w:t>PBAC</w:t>
      </w:r>
      <w:r w:rsidR="00CD4AAF" w:rsidRPr="00211C8B">
        <w:t xml:space="preserve"> </w:t>
      </w:r>
      <w:r w:rsidR="00763013" w:rsidRPr="00211C8B">
        <w:t xml:space="preserve">considered </w:t>
      </w:r>
      <w:r w:rsidR="0060727E" w:rsidRPr="00211C8B">
        <w:t xml:space="preserve">that the </w:t>
      </w:r>
      <w:r w:rsidR="00F567CD" w:rsidRPr="00211C8B">
        <w:t xml:space="preserve">submission’s </w:t>
      </w:r>
      <w:r w:rsidR="0060727E" w:rsidRPr="00211C8B">
        <w:t xml:space="preserve">clinical evidence did not support the </w:t>
      </w:r>
      <w:r w:rsidR="00763013" w:rsidRPr="00211C8B">
        <w:t>cost-effectiveness analysis</w:t>
      </w:r>
      <w:r w:rsidR="0060727E" w:rsidRPr="00211C8B">
        <w:t xml:space="preserve">, because there </w:t>
      </w:r>
      <w:r w:rsidR="00F567CD" w:rsidRPr="00211C8B">
        <w:t xml:space="preserve">was </w:t>
      </w:r>
      <w:r w:rsidR="0060727E" w:rsidRPr="00211C8B">
        <w:t>insufficient evidence to conclude that Gonal-f is superior in</w:t>
      </w:r>
      <w:r w:rsidR="008B4882" w:rsidRPr="00211C8B">
        <w:t xml:space="preserve"> terms of comparative</w:t>
      </w:r>
      <w:r w:rsidR="0060727E" w:rsidRPr="00211C8B">
        <w:t xml:space="preserve"> effectiveness</w:t>
      </w:r>
      <w:r w:rsidR="00762CD6" w:rsidRPr="00211C8B">
        <w:t xml:space="preserve"> </w:t>
      </w:r>
      <w:r w:rsidR="0060727E" w:rsidRPr="00211C8B">
        <w:t>to biosimilar</w:t>
      </w:r>
      <w:r w:rsidR="008B4882" w:rsidRPr="00211C8B">
        <w:t xml:space="preserve"> preparation</w:t>
      </w:r>
      <w:r w:rsidR="0060727E" w:rsidRPr="00211C8B">
        <w:t>s</w:t>
      </w:r>
      <w:r w:rsidR="008B4882" w:rsidRPr="00211C8B">
        <w:t xml:space="preserve"> of follitropin-alfa</w:t>
      </w:r>
      <w:r w:rsidR="0060727E" w:rsidRPr="00211C8B">
        <w:t>.</w:t>
      </w:r>
    </w:p>
    <w:p w14:paraId="663AB17F" w14:textId="77777777" w:rsidR="00CB79D5" w:rsidRPr="00211C8B" w:rsidRDefault="00CB79D5" w:rsidP="00943FFD">
      <w:pPr>
        <w:pStyle w:val="3-BodyText"/>
      </w:pPr>
      <w:r w:rsidRPr="00211C8B">
        <w:t xml:space="preserve">The submission presented a stepped economic evaluation; the steps are summarised in Table </w:t>
      </w:r>
      <w:r w:rsidR="00CD7E9A" w:rsidRPr="00211C8B">
        <w:t>1</w:t>
      </w:r>
      <w:r w:rsidR="00642627" w:rsidRPr="00211C8B">
        <w:t>0</w:t>
      </w:r>
      <w:r w:rsidRPr="00211C8B">
        <w:t xml:space="preserve">. Table </w:t>
      </w:r>
      <w:r w:rsidR="00642627" w:rsidRPr="00211C8B">
        <w:t>11</w:t>
      </w:r>
      <w:r w:rsidRPr="00211C8B">
        <w:t xml:space="preserve"> provides key components of the economic evaluation.</w:t>
      </w:r>
    </w:p>
    <w:bookmarkEnd w:id="42"/>
    <w:p w14:paraId="74B83EA2" w14:textId="77777777" w:rsidR="00CD4AAF" w:rsidRDefault="00CD4AAF" w:rsidP="00AB2FB9">
      <w:pPr>
        <w:pStyle w:val="TableFigureHeading"/>
      </w:pPr>
      <w:r>
        <w:t xml:space="preserve">Table </w:t>
      </w:r>
      <w:r w:rsidR="00360359">
        <w:rPr>
          <w:noProof/>
        </w:rPr>
        <w:t>10</w:t>
      </w:r>
      <w:r>
        <w:t xml:space="preserve">: </w:t>
      </w:r>
      <w:r w:rsidRPr="00CF6A62">
        <w:t>Steps in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Steps in the economic evaluation"/>
        <w:tblDescription w:val="Steps in the economic evaluation"/>
      </w:tblPr>
      <w:tblGrid>
        <w:gridCol w:w="2267"/>
        <w:gridCol w:w="6750"/>
      </w:tblGrid>
      <w:tr w:rsidR="00CB79D5" w:rsidRPr="00211C8B" w14:paraId="23D7D0BC" w14:textId="77777777" w:rsidTr="00A713BB">
        <w:trPr>
          <w:tblHeader/>
        </w:trPr>
        <w:tc>
          <w:tcPr>
            <w:tcW w:w="1257" w:type="pct"/>
            <w:vAlign w:val="center"/>
          </w:tcPr>
          <w:p w14:paraId="5B47C376" w14:textId="77777777" w:rsidR="00CB79D5" w:rsidRPr="00211C8B" w:rsidRDefault="00CB79D5" w:rsidP="00A713BB">
            <w:pPr>
              <w:pStyle w:val="In-tableHeading"/>
              <w:rPr>
                <w:lang w:val="en-AU"/>
              </w:rPr>
            </w:pPr>
            <w:r w:rsidRPr="00211C8B">
              <w:rPr>
                <w:lang w:val="en-AU"/>
              </w:rPr>
              <w:t>Step</w:t>
            </w:r>
          </w:p>
        </w:tc>
        <w:tc>
          <w:tcPr>
            <w:tcW w:w="3743" w:type="pct"/>
          </w:tcPr>
          <w:p w14:paraId="6B227462" w14:textId="77777777" w:rsidR="00CB79D5" w:rsidRPr="00211C8B" w:rsidRDefault="00CB79D5" w:rsidP="00A713BB">
            <w:pPr>
              <w:pStyle w:val="In-tableHeading"/>
              <w:rPr>
                <w:lang w:val="en-AU"/>
              </w:rPr>
            </w:pPr>
            <w:r w:rsidRPr="00211C8B">
              <w:rPr>
                <w:lang w:val="en-AU"/>
              </w:rPr>
              <w:t>Description</w:t>
            </w:r>
          </w:p>
        </w:tc>
      </w:tr>
      <w:tr w:rsidR="00CB79D5" w:rsidRPr="00211C8B" w14:paraId="449B4A4A" w14:textId="77777777" w:rsidTr="00A713BB">
        <w:tc>
          <w:tcPr>
            <w:tcW w:w="1257" w:type="pct"/>
            <w:vAlign w:val="center"/>
          </w:tcPr>
          <w:p w14:paraId="296F7CF6" w14:textId="77777777" w:rsidR="00CB79D5" w:rsidRPr="00211C8B" w:rsidRDefault="00CB79D5" w:rsidP="00A713BB">
            <w:pPr>
              <w:pStyle w:val="TableText0"/>
            </w:pPr>
            <w:r w:rsidRPr="00211C8B">
              <w:t>Step 1</w:t>
            </w:r>
          </w:p>
        </w:tc>
        <w:tc>
          <w:tcPr>
            <w:tcW w:w="3743" w:type="pct"/>
          </w:tcPr>
          <w:p w14:paraId="3519B9D7" w14:textId="77777777" w:rsidR="00CB79D5" w:rsidRPr="00211C8B" w:rsidRDefault="00CB79D5" w:rsidP="00A713BB">
            <w:pPr>
              <w:pStyle w:val="TableText0"/>
            </w:pPr>
            <w:r w:rsidRPr="00211C8B">
              <w:t xml:space="preserve">One-cycle, trial-based. </w:t>
            </w:r>
          </w:p>
          <w:p w14:paraId="36FB4A18" w14:textId="77777777" w:rsidR="00CB79D5" w:rsidRPr="00211C8B" w:rsidRDefault="00CB79D5" w:rsidP="00A713BB">
            <w:pPr>
              <w:pStyle w:val="TableText0"/>
            </w:pPr>
            <w:r w:rsidRPr="00211C8B">
              <w:t xml:space="preserve">Cost = MBS and PBS costs for an IVF cycle </w:t>
            </w:r>
          </w:p>
          <w:p w14:paraId="61563E27" w14:textId="77777777" w:rsidR="00CB79D5" w:rsidRPr="00211C8B" w:rsidRDefault="00CB79D5" w:rsidP="00A713BB">
            <w:pPr>
              <w:pStyle w:val="TableText0"/>
            </w:pPr>
            <w:r w:rsidRPr="00211C8B">
              <w:t xml:space="preserve">Outcome = incremental cost per additional clinical pregnancy </w:t>
            </w:r>
          </w:p>
        </w:tc>
      </w:tr>
      <w:tr w:rsidR="00CB79D5" w:rsidRPr="00211C8B" w14:paraId="73040C06" w14:textId="77777777" w:rsidTr="00A713BB">
        <w:tc>
          <w:tcPr>
            <w:tcW w:w="1257" w:type="pct"/>
            <w:vAlign w:val="center"/>
          </w:tcPr>
          <w:p w14:paraId="147DD6D9" w14:textId="77777777" w:rsidR="00CB79D5" w:rsidRPr="00211C8B" w:rsidRDefault="00CB79D5" w:rsidP="00A713BB">
            <w:pPr>
              <w:pStyle w:val="TableText0"/>
            </w:pPr>
            <w:r w:rsidRPr="00211C8B">
              <w:t>Step 2</w:t>
            </w:r>
          </w:p>
        </w:tc>
        <w:tc>
          <w:tcPr>
            <w:tcW w:w="3743" w:type="pct"/>
          </w:tcPr>
          <w:p w14:paraId="3AA7EDC4" w14:textId="77777777" w:rsidR="00CB79D5" w:rsidRPr="00211C8B" w:rsidRDefault="00CB79D5" w:rsidP="00A713BB">
            <w:pPr>
              <w:pStyle w:val="TableText0"/>
            </w:pPr>
            <w:r w:rsidRPr="00211C8B">
              <w:t xml:space="preserve">One-cycle, trial-based. </w:t>
            </w:r>
          </w:p>
          <w:p w14:paraId="5759551D" w14:textId="77777777" w:rsidR="00CB79D5" w:rsidRPr="00211C8B" w:rsidRDefault="00CB79D5" w:rsidP="00A713BB">
            <w:pPr>
              <w:pStyle w:val="TableText0"/>
            </w:pPr>
            <w:r w:rsidRPr="00211C8B">
              <w:t xml:space="preserve">Cost = MBS and PBS costs for an IVF cycle + costs of miscarriage </w:t>
            </w:r>
          </w:p>
          <w:p w14:paraId="19231C5E" w14:textId="77777777" w:rsidR="00CB79D5" w:rsidRPr="00211C8B" w:rsidRDefault="00CB79D5" w:rsidP="00A713BB">
            <w:pPr>
              <w:pStyle w:val="TableText0"/>
            </w:pPr>
            <w:r w:rsidRPr="00211C8B">
              <w:t xml:space="preserve">Outcome = incremental cost per additional live birth </w:t>
            </w:r>
          </w:p>
        </w:tc>
      </w:tr>
      <w:tr w:rsidR="00CB79D5" w:rsidRPr="00211C8B" w14:paraId="542AB93F" w14:textId="77777777" w:rsidTr="00A713BB">
        <w:tc>
          <w:tcPr>
            <w:tcW w:w="1257" w:type="pct"/>
            <w:vAlign w:val="center"/>
          </w:tcPr>
          <w:p w14:paraId="7D4E4620" w14:textId="77777777" w:rsidR="00CB79D5" w:rsidRPr="00211C8B" w:rsidRDefault="00CB79D5" w:rsidP="00A713BB">
            <w:pPr>
              <w:pStyle w:val="TableText0"/>
            </w:pPr>
            <w:r w:rsidRPr="00211C8B">
              <w:t>Step 3</w:t>
            </w:r>
          </w:p>
        </w:tc>
        <w:tc>
          <w:tcPr>
            <w:tcW w:w="3743" w:type="pct"/>
          </w:tcPr>
          <w:p w14:paraId="3EE534E2" w14:textId="77777777" w:rsidR="00CB79D5" w:rsidRPr="00211C8B" w:rsidRDefault="00CB79D5" w:rsidP="00A713BB">
            <w:pPr>
              <w:pStyle w:val="TableText0"/>
            </w:pPr>
            <w:r w:rsidRPr="00211C8B">
              <w:t xml:space="preserve">Multiple cycle (maximum of 8 cycles), model-based </w:t>
            </w:r>
          </w:p>
          <w:p w14:paraId="7A2A944B" w14:textId="77777777" w:rsidR="00CB79D5" w:rsidRPr="00211C8B" w:rsidRDefault="00CB79D5" w:rsidP="00A713BB">
            <w:pPr>
              <w:pStyle w:val="TableText0"/>
            </w:pPr>
            <w:r w:rsidRPr="00211C8B">
              <w:t xml:space="preserve">Cost = MBS and PBS costs for an IVF cycle + costs of miscarriage </w:t>
            </w:r>
          </w:p>
          <w:p w14:paraId="4E880B6A" w14:textId="77777777" w:rsidR="00CB79D5" w:rsidRPr="00211C8B" w:rsidRDefault="00CB79D5" w:rsidP="00A713BB">
            <w:pPr>
              <w:pStyle w:val="TableText0"/>
            </w:pPr>
            <w:r w:rsidRPr="00211C8B">
              <w:t>Outcome = incremental cost per additional live birth</w:t>
            </w:r>
          </w:p>
        </w:tc>
      </w:tr>
    </w:tbl>
    <w:p w14:paraId="06119AA1" w14:textId="77777777" w:rsidR="00CB79D5" w:rsidRPr="00211C8B" w:rsidRDefault="00CB79D5" w:rsidP="00CB79D5">
      <w:pPr>
        <w:pStyle w:val="TableFigureFooter"/>
        <w:rPr>
          <w:sz w:val="20"/>
        </w:rPr>
      </w:pPr>
      <w:r w:rsidRPr="00211C8B">
        <w:t>Source: Table 6, p32 of the submission.</w:t>
      </w:r>
    </w:p>
    <w:p w14:paraId="6C65C5D0" w14:textId="77777777" w:rsidR="00F60873" w:rsidRDefault="00F60873" w:rsidP="00AB2FB9">
      <w:pPr>
        <w:pStyle w:val="TableFigureHeading"/>
      </w:pPr>
      <w:r>
        <w:t xml:space="preserve">Table </w:t>
      </w:r>
      <w:r w:rsidR="00360359">
        <w:rPr>
          <w:noProof/>
        </w:rPr>
        <w:t>11</w:t>
      </w:r>
      <w:r>
        <w:t xml:space="preserve">: </w:t>
      </w:r>
      <w:r w:rsidRPr="004833CF">
        <w:t xml:space="preserve">Summary of model structure, key </w:t>
      </w:r>
      <w:r w:rsidR="000D7BDE" w:rsidRPr="004833CF">
        <w:t>inputs,</w:t>
      </w:r>
      <w:r w:rsidRPr="004833CF">
        <w:t xml:space="preserv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Summary of model structure, key inputs and rationale"/>
        <w:tblDescription w:val="Summary of model structure, key inputs and rationale"/>
      </w:tblPr>
      <w:tblGrid>
        <w:gridCol w:w="2518"/>
        <w:gridCol w:w="6499"/>
      </w:tblGrid>
      <w:tr w:rsidR="00CB79D5" w:rsidRPr="00211C8B" w14:paraId="2ECF7105" w14:textId="77777777" w:rsidTr="00A713BB">
        <w:trPr>
          <w:tblHeader/>
        </w:trPr>
        <w:tc>
          <w:tcPr>
            <w:tcW w:w="1396" w:type="pct"/>
            <w:shd w:val="clear" w:color="auto" w:fill="auto"/>
            <w:vAlign w:val="center"/>
          </w:tcPr>
          <w:p w14:paraId="1762A6AA" w14:textId="77777777" w:rsidR="00CB79D5" w:rsidRPr="00211C8B" w:rsidRDefault="00CB79D5" w:rsidP="00A713BB">
            <w:pPr>
              <w:pStyle w:val="In-tableHeading"/>
              <w:rPr>
                <w:lang w:val="en-AU"/>
              </w:rPr>
            </w:pPr>
            <w:r w:rsidRPr="00211C8B">
              <w:rPr>
                <w:lang w:val="en-AU"/>
              </w:rPr>
              <w:t>Component</w:t>
            </w:r>
          </w:p>
        </w:tc>
        <w:tc>
          <w:tcPr>
            <w:tcW w:w="3604" w:type="pct"/>
            <w:shd w:val="clear" w:color="auto" w:fill="auto"/>
            <w:vAlign w:val="center"/>
          </w:tcPr>
          <w:p w14:paraId="3EA08307" w14:textId="77777777" w:rsidR="00CB79D5" w:rsidRPr="00211C8B" w:rsidRDefault="00CB79D5" w:rsidP="00A713BB">
            <w:pPr>
              <w:pStyle w:val="In-tableHeading"/>
              <w:rPr>
                <w:lang w:val="en-AU"/>
              </w:rPr>
            </w:pPr>
            <w:r w:rsidRPr="00211C8B">
              <w:rPr>
                <w:lang w:val="en-AU"/>
              </w:rPr>
              <w:t>Summary</w:t>
            </w:r>
          </w:p>
        </w:tc>
      </w:tr>
      <w:tr w:rsidR="00CB79D5" w:rsidRPr="00211C8B" w14:paraId="29C58D0F" w14:textId="77777777" w:rsidTr="00A713BB">
        <w:tc>
          <w:tcPr>
            <w:tcW w:w="1396" w:type="pct"/>
            <w:shd w:val="clear" w:color="auto" w:fill="auto"/>
            <w:vAlign w:val="center"/>
          </w:tcPr>
          <w:p w14:paraId="672F9F9C" w14:textId="77777777" w:rsidR="00CB79D5" w:rsidRPr="00211C8B" w:rsidRDefault="00CB79D5" w:rsidP="00A713BB">
            <w:pPr>
              <w:pStyle w:val="TableText0"/>
            </w:pPr>
            <w:r w:rsidRPr="00211C8B">
              <w:t>Treatments</w:t>
            </w:r>
          </w:p>
        </w:tc>
        <w:tc>
          <w:tcPr>
            <w:tcW w:w="3604" w:type="pct"/>
            <w:shd w:val="clear" w:color="auto" w:fill="auto"/>
            <w:vAlign w:val="center"/>
          </w:tcPr>
          <w:p w14:paraId="290B18DD" w14:textId="77777777" w:rsidR="00CB79D5" w:rsidRPr="00211C8B" w:rsidRDefault="00907340" w:rsidP="00A713BB">
            <w:pPr>
              <w:pStyle w:val="TableText0"/>
            </w:pPr>
            <w:r w:rsidRPr="00211C8B">
              <w:t>Gonal-f</w:t>
            </w:r>
            <w:r w:rsidR="00CB79D5" w:rsidRPr="00211C8B">
              <w:t xml:space="preserve"> vs Bemfola (as a proxy for all biosimilar preparations of follitropin alfa)</w:t>
            </w:r>
          </w:p>
        </w:tc>
      </w:tr>
      <w:tr w:rsidR="00CB79D5" w:rsidRPr="00211C8B" w14:paraId="3A8C4022" w14:textId="77777777" w:rsidTr="00A713BB">
        <w:tc>
          <w:tcPr>
            <w:tcW w:w="1396" w:type="pct"/>
            <w:shd w:val="clear" w:color="auto" w:fill="auto"/>
            <w:vAlign w:val="center"/>
          </w:tcPr>
          <w:p w14:paraId="1AC149D3" w14:textId="77777777" w:rsidR="00CB79D5" w:rsidRPr="00211C8B" w:rsidRDefault="00CB79D5" w:rsidP="00A713BB">
            <w:pPr>
              <w:pStyle w:val="TableText0"/>
            </w:pPr>
            <w:r w:rsidRPr="00211C8B">
              <w:t>Time horizon</w:t>
            </w:r>
          </w:p>
        </w:tc>
        <w:tc>
          <w:tcPr>
            <w:tcW w:w="3604" w:type="pct"/>
            <w:shd w:val="clear" w:color="auto" w:fill="auto"/>
            <w:vAlign w:val="center"/>
          </w:tcPr>
          <w:p w14:paraId="0439E12C" w14:textId="77777777" w:rsidR="00CB79D5" w:rsidRPr="00211C8B" w:rsidRDefault="00CB79D5" w:rsidP="00A713BB">
            <w:pPr>
              <w:pStyle w:val="TableText0"/>
              <w:keepNext w:val="0"/>
              <w:widowControl w:val="0"/>
            </w:pPr>
            <w:r w:rsidRPr="00211C8B">
              <w:t xml:space="preserve">Steps 1 and 2: one IVF cycle </w:t>
            </w:r>
          </w:p>
          <w:p w14:paraId="3B800D55" w14:textId="77777777" w:rsidR="00CB79D5" w:rsidRPr="00211C8B" w:rsidRDefault="00CB79D5" w:rsidP="00A713BB">
            <w:pPr>
              <w:pStyle w:val="TableText0"/>
            </w:pPr>
            <w:r w:rsidRPr="00211C8B">
              <w:t>Step 3: multiple IVF cycles, maximum of 8</w:t>
            </w:r>
          </w:p>
        </w:tc>
      </w:tr>
      <w:tr w:rsidR="00CB79D5" w:rsidRPr="00211C8B" w14:paraId="11456F2B" w14:textId="77777777" w:rsidTr="00A713BB">
        <w:tc>
          <w:tcPr>
            <w:tcW w:w="1396" w:type="pct"/>
            <w:shd w:val="clear" w:color="auto" w:fill="auto"/>
            <w:vAlign w:val="center"/>
          </w:tcPr>
          <w:p w14:paraId="3185326B" w14:textId="77777777" w:rsidR="00CB79D5" w:rsidRPr="00211C8B" w:rsidRDefault="00CB79D5" w:rsidP="00A713BB">
            <w:pPr>
              <w:pStyle w:val="TableText0"/>
            </w:pPr>
            <w:r w:rsidRPr="00211C8B">
              <w:t>Outcomes</w:t>
            </w:r>
          </w:p>
        </w:tc>
        <w:tc>
          <w:tcPr>
            <w:tcW w:w="3604" w:type="pct"/>
            <w:shd w:val="clear" w:color="auto" w:fill="auto"/>
            <w:vAlign w:val="center"/>
          </w:tcPr>
          <w:p w14:paraId="5DEBF315" w14:textId="77777777" w:rsidR="00CB79D5" w:rsidRPr="00211C8B" w:rsidRDefault="00CB79D5" w:rsidP="00A713BB">
            <w:pPr>
              <w:pStyle w:val="TableText0"/>
              <w:keepNext w:val="0"/>
              <w:widowControl w:val="0"/>
            </w:pPr>
            <w:r w:rsidRPr="00211C8B">
              <w:t xml:space="preserve">Step 1: clinical pregnancy </w:t>
            </w:r>
          </w:p>
          <w:p w14:paraId="3FD96005" w14:textId="77777777" w:rsidR="00CB79D5" w:rsidRPr="00211C8B" w:rsidRDefault="00CB79D5" w:rsidP="00A713BB">
            <w:pPr>
              <w:pStyle w:val="TableText0"/>
            </w:pPr>
            <w:r w:rsidRPr="00211C8B">
              <w:t>Steps 2 and 3: live births</w:t>
            </w:r>
          </w:p>
        </w:tc>
      </w:tr>
      <w:tr w:rsidR="00CB79D5" w:rsidRPr="00211C8B" w14:paraId="4B4FFF7E" w14:textId="77777777" w:rsidTr="00A713BB">
        <w:tc>
          <w:tcPr>
            <w:tcW w:w="1396" w:type="pct"/>
            <w:shd w:val="clear" w:color="auto" w:fill="auto"/>
            <w:vAlign w:val="center"/>
          </w:tcPr>
          <w:p w14:paraId="2FC685CF" w14:textId="77777777" w:rsidR="00CB79D5" w:rsidRPr="00211C8B" w:rsidRDefault="00CB79D5" w:rsidP="00A713BB">
            <w:pPr>
              <w:pStyle w:val="TableText0"/>
            </w:pPr>
            <w:r w:rsidRPr="00211C8B">
              <w:t>Methods used to generate results</w:t>
            </w:r>
          </w:p>
        </w:tc>
        <w:tc>
          <w:tcPr>
            <w:tcW w:w="3604" w:type="pct"/>
            <w:shd w:val="clear" w:color="auto" w:fill="auto"/>
            <w:vAlign w:val="center"/>
          </w:tcPr>
          <w:p w14:paraId="6E083116" w14:textId="77777777" w:rsidR="00CB79D5" w:rsidRPr="00211C8B" w:rsidRDefault="00CB79D5" w:rsidP="00A713BB">
            <w:pPr>
              <w:pStyle w:val="TableText0"/>
            </w:pPr>
            <w:r w:rsidRPr="00211C8B">
              <w:t xml:space="preserve">Markov cohort </w:t>
            </w:r>
          </w:p>
        </w:tc>
      </w:tr>
      <w:tr w:rsidR="00CB79D5" w:rsidRPr="00211C8B" w14:paraId="13635408" w14:textId="77777777" w:rsidTr="00A713BB">
        <w:tc>
          <w:tcPr>
            <w:tcW w:w="1396" w:type="pct"/>
            <w:shd w:val="clear" w:color="auto" w:fill="auto"/>
            <w:vAlign w:val="center"/>
          </w:tcPr>
          <w:p w14:paraId="57097132" w14:textId="77777777" w:rsidR="00CB79D5" w:rsidRPr="00211C8B" w:rsidRDefault="00CB79D5" w:rsidP="00A713BB">
            <w:pPr>
              <w:pStyle w:val="TableText0"/>
            </w:pPr>
            <w:r w:rsidRPr="00211C8B">
              <w:t>Health states</w:t>
            </w:r>
          </w:p>
        </w:tc>
        <w:tc>
          <w:tcPr>
            <w:tcW w:w="3604" w:type="pct"/>
            <w:shd w:val="clear" w:color="auto" w:fill="auto"/>
            <w:vAlign w:val="center"/>
          </w:tcPr>
          <w:p w14:paraId="20485EA3" w14:textId="77777777" w:rsidR="00CB79D5" w:rsidRPr="00211C8B" w:rsidRDefault="00CB79D5" w:rsidP="00A713BB">
            <w:pPr>
              <w:pStyle w:val="TableText0"/>
            </w:pPr>
            <w:r w:rsidRPr="00211C8B">
              <w:t>Start fresh cycle, live birth, discontinue IVF</w:t>
            </w:r>
            <w:r w:rsidRPr="00211C8B" w:rsidDel="008B6433">
              <w:t xml:space="preserve"> </w:t>
            </w:r>
          </w:p>
        </w:tc>
      </w:tr>
      <w:tr w:rsidR="00CB79D5" w:rsidRPr="00211C8B" w14:paraId="214AA927" w14:textId="77777777" w:rsidTr="00A713BB">
        <w:tc>
          <w:tcPr>
            <w:tcW w:w="1396" w:type="pct"/>
            <w:shd w:val="clear" w:color="auto" w:fill="auto"/>
            <w:vAlign w:val="center"/>
          </w:tcPr>
          <w:p w14:paraId="649B6EF3" w14:textId="77777777" w:rsidR="00CB79D5" w:rsidRPr="00211C8B" w:rsidRDefault="00CB79D5" w:rsidP="00A713BB">
            <w:pPr>
              <w:pStyle w:val="TableText0"/>
            </w:pPr>
            <w:r w:rsidRPr="00211C8B">
              <w:t>Cycle length</w:t>
            </w:r>
          </w:p>
        </w:tc>
        <w:tc>
          <w:tcPr>
            <w:tcW w:w="3604" w:type="pct"/>
            <w:shd w:val="clear" w:color="auto" w:fill="auto"/>
            <w:vAlign w:val="center"/>
          </w:tcPr>
          <w:p w14:paraId="39FC5B63" w14:textId="77777777" w:rsidR="00CB79D5" w:rsidRPr="00211C8B" w:rsidRDefault="00CB79D5" w:rsidP="00A713BB">
            <w:pPr>
              <w:pStyle w:val="TableText0"/>
            </w:pPr>
            <w:r w:rsidRPr="00211C8B">
              <w:t xml:space="preserve">Unspecified and variable (as one IVF cycle) </w:t>
            </w:r>
          </w:p>
        </w:tc>
      </w:tr>
      <w:tr w:rsidR="00CB79D5" w:rsidRPr="00211C8B" w14:paraId="4E440F66" w14:textId="77777777" w:rsidTr="00A713BB">
        <w:tc>
          <w:tcPr>
            <w:tcW w:w="1396" w:type="pct"/>
            <w:shd w:val="clear" w:color="auto" w:fill="auto"/>
            <w:vAlign w:val="center"/>
          </w:tcPr>
          <w:p w14:paraId="4847FBE2" w14:textId="77777777" w:rsidR="00CB79D5" w:rsidRPr="00211C8B" w:rsidRDefault="00CB79D5" w:rsidP="00A713BB">
            <w:pPr>
              <w:pStyle w:val="TableText0"/>
            </w:pPr>
            <w:r w:rsidRPr="00211C8B">
              <w:t>Transition probabilities or</w:t>
            </w:r>
          </w:p>
          <w:p w14:paraId="0C96E838" w14:textId="77777777" w:rsidR="00CB79D5" w:rsidRPr="00211C8B" w:rsidRDefault="00CB79D5" w:rsidP="00A713BB">
            <w:pPr>
              <w:pStyle w:val="TableText0"/>
            </w:pPr>
            <w:r w:rsidRPr="00211C8B">
              <w:t>Allocation to health states (if partitioned survival model)</w:t>
            </w:r>
          </w:p>
        </w:tc>
        <w:tc>
          <w:tcPr>
            <w:tcW w:w="3604" w:type="pct"/>
            <w:shd w:val="clear" w:color="auto" w:fill="auto"/>
            <w:vAlign w:val="center"/>
          </w:tcPr>
          <w:p w14:paraId="14575B07" w14:textId="77777777" w:rsidR="00CB79D5" w:rsidRPr="00211C8B" w:rsidRDefault="00CB79D5" w:rsidP="00A713BB">
            <w:pPr>
              <w:pStyle w:val="TableText0"/>
            </w:pPr>
            <w:r w:rsidRPr="00211C8B">
              <w:t xml:space="preserve">Probability of clinical pregnancy, </w:t>
            </w:r>
          </w:p>
          <w:p w14:paraId="764BD53C" w14:textId="77777777" w:rsidR="00CB79D5" w:rsidRPr="00211C8B" w:rsidRDefault="00CB79D5" w:rsidP="00A713BB">
            <w:pPr>
              <w:pStyle w:val="TableText0"/>
            </w:pPr>
            <w:r w:rsidRPr="00211C8B">
              <w:t xml:space="preserve">Probability of live birth from pregnancy, </w:t>
            </w:r>
          </w:p>
          <w:p w14:paraId="564059C1" w14:textId="77777777" w:rsidR="00CB79D5" w:rsidRPr="00211C8B" w:rsidRDefault="00CB79D5" w:rsidP="00A713BB">
            <w:pPr>
              <w:pStyle w:val="TableText0"/>
            </w:pPr>
            <w:r w:rsidRPr="00211C8B">
              <w:t>Probability of miscarriage</w:t>
            </w:r>
          </w:p>
          <w:p w14:paraId="7DC01DCC" w14:textId="77777777" w:rsidR="00CB79D5" w:rsidRPr="00211C8B" w:rsidRDefault="00CB79D5" w:rsidP="00A713BB">
            <w:pPr>
              <w:pStyle w:val="TableText0"/>
            </w:pPr>
            <w:r w:rsidRPr="00211C8B">
              <w:t xml:space="preserve">Probability of starting a fresh IVF cycle </w:t>
            </w:r>
          </w:p>
        </w:tc>
      </w:tr>
      <w:tr w:rsidR="00CB79D5" w:rsidRPr="00211C8B" w14:paraId="61060757" w14:textId="77777777" w:rsidTr="00A713BB">
        <w:tc>
          <w:tcPr>
            <w:tcW w:w="1396" w:type="pct"/>
            <w:shd w:val="clear" w:color="auto" w:fill="auto"/>
            <w:vAlign w:val="center"/>
          </w:tcPr>
          <w:p w14:paraId="240F924D" w14:textId="77777777" w:rsidR="00CB79D5" w:rsidRPr="00211C8B" w:rsidRDefault="00CB79D5" w:rsidP="00A713BB">
            <w:pPr>
              <w:pStyle w:val="TableText0"/>
            </w:pPr>
            <w:r w:rsidRPr="00211C8B">
              <w:t>Extrapolation method</w:t>
            </w:r>
          </w:p>
        </w:tc>
        <w:tc>
          <w:tcPr>
            <w:tcW w:w="3604" w:type="pct"/>
            <w:shd w:val="clear" w:color="auto" w:fill="auto"/>
            <w:vAlign w:val="center"/>
          </w:tcPr>
          <w:p w14:paraId="046C4A13" w14:textId="77777777" w:rsidR="00CB79D5" w:rsidRPr="00211C8B" w:rsidRDefault="00CB79D5" w:rsidP="00A713BB">
            <w:pPr>
              <w:pStyle w:val="TableText0"/>
            </w:pPr>
            <w:r w:rsidRPr="00211C8B">
              <w:t xml:space="preserve">Constant risk ratio of clinical pregnancy rate for 8 cycles </w:t>
            </w:r>
          </w:p>
          <w:p w14:paraId="496273EC" w14:textId="77777777" w:rsidR="00CB79D5" w:rsidRPr="00211C8B" w:rsidRDefault="00CB79D5" w:rsidP="00A713BB">
            <w:pPr>
              <w:pStyle w:val="TableText0"/>
            </w:pPr>
            <w:r w:rsidRPr="00211C8B">
              <w:t>Probability of clinical pregnancy = risk ratio * cycle-specific delivery rates (UNSW ART in ANZ 2018)</w:t>
            </w:r>
          </w:p>
        </w:tc>
      </w:tr>
    </w:tbl>
    <w:p w14:paraId="3F546FF2" w14:textId="77777777" w:rsidR="00CB79D5" w:rsidRPr="00211C8B" w:rsidRDefault="00CB79D5" w:rsidP="00CB79D5">
      <w:pPr>
        <w:pStyle w:val="TableFigureFooter"/>
      </w:pPr>
      <w:r w:rsidRPr="00211C8B">
        <w:t>Source: Compiled during the evaluation</w:t>
      </w:r>
      <w:r w:rsidR="007E7894" w:rsidRPr="00211C8B">
        <w:t xml:space="preserve"> using pp34-51 of the submission</w:t>
      </w:r>
    </w:p>
    <w:p w14:paraId="25575A80" w14:textId="77777777" w:rsidR="00CB79D5" w:rsidRPr="00211C8B" w:rsidRDefault="00CB79D5" w:rsidP="00943FFD">
      <w:pPr>
        <w:pStyle w:val="3-BodyText"/>
        <w:rPr>
          <w:i/>
          <w:iCs/>
        </w:rPr>
      </w:pPr>
      <w:r w:rsidRPr="00211C8B">
        <w:t xml:space="preserve">The economic model </w:t>
      </w:r>
      <w:r w:rsidR="001F1084" w:rsidRPr="00211C8B">
        <w:t>presented in the submission wa</w:t>
      </w:r>
      <w:r w:rsidRPr="00211C8B">
        <w:t>s a Markov cohort, with two arms (</w:t>
      </w:r>
      <w:r w:rsidR="00907340" w:rsidRPr="00211C8B">
        <w:t>Gonal-f</w:t>
      </w:r>
      <w:r w:rsidRPr="00211C8B">
        <w:t xml:space="preserve"> vs Biosimilar), each of which </w:t>
      </w:r>
      <w:r w:rsidR="001F1084" w:rsidRPr="00211C8B">
        <w:t xml:space="preserve">had </w:t>
      </w:r>
      <w:r w:rsidRPr="00211C8B">
        <w:t>three states: (1) New IVF cycle, from which an individual could either achieve clinical pregnancy, leading to either</w:t>
      </w:r>
      <w:r w:rsidR="004F5E3A" w:rsidRPr="00211C8B">
        <w:t xml:space="preserve"> a</w:t>
      </w:r>
      <w:r w:rsidRPr="00211C8B">
        <w:t xml:space="preserve"> </w:t>
      </w:r>
      <w:r w:rsidR="00F567CD" w:rsidRPr="00211C8B">
        <w:t xml:space="preserve">live </w:t>
      </w:r>
      <w:r w:rsidRPr="00211C8B">
        <w:t xml:space="preserve">birth or miscarriage that results </w:t>
      </w:r>
      <w:r w:rsidR="004F5E3A" w:rsidRPr="00211C8B">
        <w:t xml:space="preserve">in </w:t>
      </w:r>
      <w:r w:rsidRPr="00211C8B">
        <w:t>start</w:t>
      </w:r>
      <w:r w:rsidR="004F5E3A" w:rsidRPr="00211C8B">
        <w:t>ing</w:t>
      </w:r>
      <w:r w:rsidRPr="00211C8B">
        <w:t xml:space="preserve"> a fresh cycle</w:t>
      </w:r>
      <w:r w:rsidR="004F5E3A" w:rsidRPr="00211C8B">
        <w:t>,</w:t>
      </w:r>
      <w:r w:rsidRPr="00211C8B">
        <w:t xml:space="preserve"> stop</w:t>
      </w:r>
      <w:r w:rsidR="004F5E3A" w:rsidRPr="00211C8B">
        <w:t>ping</w:t>
      </w:r>
      <w:r w:rsidRPr="00211C8B">
        <w:t xml:space="preserve"> IVF, or fail</w:t>
      </w:r>
      <w:r w:rsidR="004F5E3A" w:rsidRPr="00211C8B">
        <w:t>ing</w:t>
      </w:r>
      <w:r w:rsidRPr="00211C8B">
        <w:t xml:space="preserve"> to have a pregnancy that leads to either start a fresh cycle or stop IVF</w:t>
      </w:r>
      <w:r w:rsidR="004F5E3A" w:rsidRPr="00211C8B">
        <w:t xml:space="preserve">, </w:t>
      </w:r>
      <w:r w:rsidRPr="00211C8B">
        <w:t>(2) Live birth (terminal/absorbing state) and (</w:t>
      </w:r>
      <w:r w:rsidR="00F315B3" w:rsidRPr="00211C8B">
        <w:t>3</w:t>
      </w:r>
      <w:r w:rsidRPr="00211C8B">
        <w:t xml:space="preserve">) Discontinue IVF (terminal/absorbing state). </w:t>
      </w:r>
    </w:p>
    <w:p w14:paraId="2337B432" w14:textId="77777777" w:rsidR="00CB79D5" w:rsidRPr="00AB2FB9" w:rsidRDefault="00CB79D5" w:rsidP="00CB79D5">
      <w:pPr>
        <w:pStyle w:val="TableFigureHeading"/>
        <w:rPr>
          <w:rStyle w:val="CommentReference"/>
          <w:b/>
          <w:bCs w:val="0"/>
          <w:szCs w:val="24"/>
        </w:rPr>
      </w:pPr>
      <w:r w:rsidRPr="00211C8B">
        <w:rPr>
          <w:rStyle w:val="CommentReference"/>
          <w:b/>
          <w:bCs w:val="0"/>
          <w:szCs w:val="24"/>
        </w:rPr>
        <w:t>Figure 1: Model structure</w:t>
      </w:r>
    </w:p>
    <w:p w14:paraId="18F1EC2D" w14:textId="77777777" w:rsidR="003578FF" w:rsidRDefault="00CB79D5" w:rsidP="00CB79D5">
      <w:pPr>
        <w:pStyle w:val="TableFigureFooter"/>
      </w:pPr>
      <w:r w:rsidRPr="00CD4AAF">
        <w:rPr>
          <w:noProof/>
        </w:rPr>
        <w:drawing>
          <wp:inline distT="0" distB="0" distL="0" distR="0" wp14:anchorId="22BEEB77" wp14:editId="3F706FDC">
            <wp:extent cx="5255848" cy="2562225"/>
            <wp:effectExtent l="0" t="0" r="254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111978" name="Picture 879111978"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55848" cy="2562225"/>
                    </a:xfrm>
                    <a:prstGeom prst="rect">
                      <a:avLst/>
                    </a:prstGeom>
                  </pic:spPr>
                </pic:pic>
              </a:graphicData>
            </a:graphic>
          </wp:inline>
        </w:drawing>
      </w:r>
    </w:p>
    <w:p w14:paraId="2B08B7E2" w14:textId="22405462" w:rsidR="00CB79D5" w:rsidRPr="0010090F" w:rsidRDefault="00CB79D5" w:rsidP="00CB79D5">
      <w:pPr>
        <w:pStyle w:val="TableFigureFooter"/>
      </w:pPr>
      <w:r w:rsidRPr="00211C8B">
        <w:t>Source: Figure 12, p37 of the submission.</w:t>
      </w:r>
    </w:p>
    <w:p w14:paraId="08832B27" w14:textId="77777777" w:rsidR="00CB79D5" w:rsidRPr="00211C8B" w:rsidRDefault="00CB79D5" w:rsidP="00943FFD">
      <w:pPr>
        <w:pStyle w:val="3-BodyText"/>
      </w:pPr>
      <w:r w:rsidRPr="009B38D8">
        <w:t xml:space="preserve">The submission did not provide </w:t>
      </w:r>
      <w:r w:rsidR="00F315B3" w:rsidRPr="009B38D8">
        <w:t xml:space="preserve">adequate </w:t>
      </w:r>
      <w:r w:rsidRPr="00F10F43">
        <w:t>detail of the population in the model other than stating “the populati</w:t>
      </w:r>
      <w:r w:rsidRPr="00BD3AB8">
        <w:t xml:space="preserve">on receiving </w:t>
      </w:r>
      <w:r w:rsidR="00907340" w:rsidRPr="00BD3AB8">
        <w:t>Gonal-f</w:t>
      </w:r>
      <w:r w:rsidRPr="00BD3AB8">
        <w:t xml:space="preserve"> in Australian clinical practice”.</w:t>
      </w:r>
      <w:r w:rsidR="00F624B7" w:rsidRPr="00211C8B">
        <w:t xml:space="preserve"> The model did not account for any potential differences in age at the first IVF cycle with respect to clinical pregnancy rates, probabilities of having a </w:t>
      </w:r>
      <w:r w:rsidR="00F567CD" w:rsidRPr="00211C8B">
        <w:t xml:space="preserve">live </w:t>
      </w:r>
      <w:r w:rsidR="00F624B7" w:rsidRPr="00211C8B">
        <w:t>birth</w:t>
      </w:r>
      <w:r w:rsidR="004F5E3A" w:rsidRPr="00211C8B">
        <w:t>,</w:t>
      </w:r>
      <w:r w:rsidR="00F624B7" w:rsidRPr="00211C8B">
        <w:t xml:space="preserve"> and restarting IVF cycles following a miscarriage.</w:t>
      </w:r>
      <w:r w:rsidR="007B286F" w:rsidRPr="00211C8B">
        <w:t xml:space="preserve"> </w:t>
      </w:r>
      <w:r w:rsidRPr="00211C8B">
        <w:t>Th</w:t>
      </w:r>
      <w:r w:rsidR="00F60873">
        <w:t>e evaluation stated that th</w:t>
      </w:r>
      <w:r w:rsidRPr="00211C8B">
        <w:t>is hinder</w:t>
      </w:r>
      <w:r w:rsidR="0092596C" w:rsidRPr="00211C8B">
        <w:t>ed</w:t>
      </w:r>
      <w:r w:rsidRPr="00211C8B">
        <w:t xml:space="preserve"> the assessment of the extent to which the modelled population reflects the target Australian population. T</w:t>
      </w:r>
      <w:r w:rsidR="00F60873">
        <w:t>he PBAC considered that t</w:t>
      </w:r>
      <w:r w:rsidRPr="00211C8B">
        <w:t xml:space="preserve">here are important differences between the population included in most of the clinical </w:t>
      </w:r>
      <w:r w:rsidR="00C4230B">
        <w:t>trials</w:t>
      </w:r>
      <w:r w:rsidRPr="00211C8B">
        <w:t xml:space="preserve"> and the population used in the economic model.</w:t>
      </w:r>
      <w:r w:rsidR="005C66CA" w:rsidRPr="00211C8B">
        <w:t xml:space="preserve"> </w:t>
      </w:r>
      <w:r w:rsidR="006A1CD5" w:rsidRPr="00211C8B">
        <w:t>As discussed in paragraph 6.</w:t>
      </w:r>
      <w:r w:rsidR="002339AF" w:rsidRPr="00211C8B">
        <w:t>7</w:t>
      </w:r>
      <w:r w:rsidR="00BA74D1" w:rsidRPr="00211C8B">
        <w:t xml:space="preserve">, the effectiveness of Gonal-f for the Australian population may be lower than what was observed in the </w:t>
      </w:r>
      <w:r w:rsidR="00C4230B">
        <w:t>trials</w:t>
      </w:r>
      <w:r w:rsidR="006A1CD5" w:rsidRPr="00211C8B">
        <w:t xml:space="preserve"> based on the difference in age between the Australian population and the </w:t>
      </w:r>
      <w:r w:rsidR="00C4230B">
        <w:t>trials</w:t>
      </w:r>
      <w:r w:rsidR="00BA74D1" w:rsidRPr="00211C8B">
        <w:t>.</w:t>
      </w:r>
    </w:p>
    <w:p w14:paraId="2B1B26AD" w14:textId="77777777" w:rsidR="00CB79D5" w:rsidRPr="00211C8B" w:rsidRDefault="00CB79D5" w:rsidP="00943FFD">
      <w:pPr>
        <w:pStyle w:val="3-BodyText"/>
      </w:pPr>
      <w:r w:rsidRPr="00211C8B">
        <w:t xml:space="preserve">The time horizon was not specified in the economic model. </w:t>
      </w:r>
      <w:r w:rsidR="00F5492B" w:rsidRPr="00211C8B">
        <w:t>Instead, t</w:t>
      </w:r>
      <w:r w:rsidRPr="00211C8B">
        <w:t>he model was based on IVF cycle</w:t>
      </w:r>
      <w:r w:rsidR="00F5492B" w:rsidRPr="00211C8B">
        <w:t>s</w:t>
      </w:r>
      <w:r w:rsidR="00C176EA">
        <w:t>. The PBAC considered this</w:t>
      </w:r>
      <w:r w:rsidRPr="00211C8B">
        <w:rPr>
          <w:iCs/>
        </w:rPr>
        <w:t xml:space="preserve"> appropriate.</w:t>
      </w:r>
      <w:r w:rsidRPr="00211C8B">
        <w:t xml:space="preserve"> Steps 1 and 2 of the economic evaluation consisted of one IVF cycle and step 3 – the base-case model </w:t>
      </w:r>
      <w:r w:rsidR="00C176EA">
        <w:t>–</w:t>
      </w:r>
      <w:r w:rsidRPr="00211C8B">
        <w:t xml:space="preserve"> consisted of </w:t>
      </w:r>
      <w:r w:rsidR="00C176EA">
        <w:t xml:space="preserve">a </w:t>
      </w:r>
      <w:r w:rsidRPr="00211C8B">
        <w:t xml:space="preserve">maximum </w:t>
      </w:r>
      <w:r w:rsidR="00C176EA">
        <w:t xml:space="preserve">of </w:t>
      </w:r>
      <w:r w:rsidR="00F5492B" w:rsidRPr="00211C8B">
        <w:t>8</w:t>
      </w:r>
      <w:r w:rsidRPr="00211C8B">
        <w:t xml:space="preserve"> cycles.</w:t>
      </w:r>
      <w:r w:rsidR="005B209C" w:rsidRPr="00211C8B">
        <w:t xml:space="preserve"> </w:t>
      </w:r>
    </w:p>
    <w:p w14:paraId="4BA77478" w14:textId="08EC085F" w:rsidR="00CB79D5" w:rsidRPr="00211C8B" w:rsidRDefault="00CB79D5" w:rsidP="00943FFD">
      <w:pPr>
        <w:pStyle w:val="3-BodyText"/>
        <w:rPr>
          <w:iCs/>
        </w:rPr>
      </w:pPr>
      <w:r w:rsidRPr="00211C8B">
        <w:t>The submission</w:t>
      </w:r>
      <w:r w:rsidR="00D75D17">
        <w:t xml:space="preserve"> </w:t>
      </w:r>
      <w:r w:rsidR="00AB2FB9">
        <w:t>rationalised</w:t>
      </w:r>
      <w:r w:rsidRPr="00211C8B">
        <w:t xml:space="preserve"> </w:t>
      </w:r>
      <w:r w:rsidR="00582983" w:rsidRPr="00211C8B">
        <w:t xml:space="preserve">using a </w:t>
      </w:r>
      <w:r w:rsidRPr="00211C8B">
        <w:t>maximum</w:t>
      </w:r>
      <w:r w:rsidR="00582983" w:rsidRPr="00211C8B">
        <w:t xml:space="preserve"> of</w:t>
      </w:r>
      <w:r w:rsidRPr="00211C8B">
        <w:t xml:space="preserve"> 8 cycles </w:t>
      </w:r>
      <w:r w:rsidR="00AB2FB9">
        <w:t xml:space="preserve">while </w:t>
      </w:r>
      <w:r w:rsidRPr="00211C8B">
        <w:t xml:space="preserve">other models in the literature </w:t>
      </w:r>
      <w:r w:rsidR="00D75D17">
        <w:t>used a maximum of</w:t>
      </w:r>
      <w:r w:rsidR="00D75D17" w:rsidRPr="00211C8B">
        <w:t xml:space="preserve"> </w:t>
      </w:r>
      <w:r w:rsidRPr="00211C8B">
        <w:t xml:space="preserve">2-3 cycles, </w:t>
      </w:r>
      <w:r w:rsidR="00AB2FB9">
        <w:t>because</w:t>
      </w:r>
      <w:r w:rsidRPr="00211C8B">
        <w:t xml:space="preserve"> an unlimited number of cycles</w:t>
      </w:r>
      <w:r w:rsidR="00AB2FB9">
        <w:t xml:space="preserve"> is funded in Australia</w:t>
      </w:r>
      <w:r w:rsidRPr="00211C8B">
        <w:t xml:space="preserve">. </w:t>
      </w:r>
      <w:r w:rsidR="00582983" w:rsidRPr="00211C8B">
        <w:t>The University of New South Wales ART in Australia and New Zealand (</w:t>
      </w:r>
      <w:r w:rsidRPr="00211C8B">
        <w:rPr>
          <w:iCs/>
        </w:rPr>
        <w:t>UNSW ART in ANZ</w:t>
      </w:r>
      <w:r w:rsidR="00582983" w:rsidRPr="00211C8B">
        <w:rPr>
          <w:iCs/>
        </w:rPr>
        <w:t>)</w:t>
      </w:r>
      <w:r w:rsidRPr="00211C8B">
        <w:rPr>
          <w:iCs/>
        </w:rPr>
        <w:t xml:space="preserve"> report (2018) reported li</w:t>
      </w:r>
      <w:r w:rsidR="00B47E48" w:rsidRPr="00211C8B">
        <w:rPr>
          <w:iCs/>
        </w:rPr>
        <w:t>v</w:t>
      </w:r>
      <w:r w:rsidRPr="00211C8B">
        <w:rPr>
          <w:iCs/>
        </w:rPr>
        <w:t>e birth rates</w:t>
      </w:r>
      <w:r w:rsidR="00D75D17">
        <w:rPr>
          <w:iCs/>
        </w:rPr>
        <w:t xml:space="preserve"> from</w:t>
      </w:r>
      <w:r w:rsidRPr="00211C8B">
        <w:rPr>
          <w:iCs/>
        </w:rPr>
        <w:t xml:space="preserve"> up to 10</w:t>
      </w:r>
      <w:r w:rsidR="00634363">
        <w:rPr>
          <w:iCs/>
        </w:rPr>
        <w:t> </w:t>
      </w:r>
      <w:r w:rsidRPr="00211C8B">
        <w:rPr>
          <w:iCs/>
        </w:rPr>
        <w:t>cycle</w:t>
      </w:r>
      <w:r w:rsidR="00587B0E" w:rsidRPr="00211C8B">
        <w:rPr>
          <w:iCs/>
        </w:rPr>
        <w:t xml:space="preserve">s, and the </w:t>
      </w:r>
      <w:r w:rsidRPr="00211C8B">
        <w:rPr>
          <w:iCs/>
        </w:rPr>
        <w:t xml:space="preserve">submission’s input data was also prepared for a model </w:t>
      </w:r>
      <w:r w:rsidR="00D75D17">
        <w:rPr>
          <w:iCs/>
        </w:rPr>
        <w:t>with a</w:t>
      </w:r>
      <w:r w:rsidR="00D75D17" w:rsidRPr="00211C8B">
        <w:rPr>
          <w:iCs/>
        </w:rPr>
        <w:t xml:space="preserve"> </w:t>
      </w:r>
      <w:r w:rsidR="00587B0E" w:rsidRPr="00211C8B">
        <w:rPr>
          <w:iCs/>
        </w:rPr>
        <w:t xml:space="preserve">maximum </w:t>
      </w:r>
      <w:r w:rsidR="00D75D17">
        <w:rPr>
          <w:iCs/>
        </w:rPr>
        <w:t xml:space="preserve">of </w:t>
      </w:r>
      <w:r w:rsidRPr="00211C8B">
        <w:rPr>
          <w:iCs/>
        </w:rPr>
        <w:t xml:space="preserve">10 cycles. </w:t>
      </w:r>
      <w:r w:rsidRPr="00211C8B">
        <w:t xml:space="preserve">From the submission’s base-case model with </w:t>
      </w:r>
      <w:r w:rsidR="00D57A99" w:rsidRPr="00211C8B">
        <w:t xml:space="preserve">an </w:t>
      </w:r>
      <w:r w:rsidR="00D661E8" w:rsidRPr="00211C8B">
        <w:t>8-cycle</w:t>
      </w:r>
      <w:r w:rsidRPr="00211C8B">
        <w:t xml:space="preserve"> maximum, the average number of cycles estimated for the </w:t>
      </w:r>
      <w:r w:rsidR="00907340" w:rsidRPr="00211C8B">
        <w:t>Gonal-f</w:t>
      </w:r>
      <w:r w:rsidRPr="00211C8B">
        <w:t xml:space="preserve"> arm was 2.39 and for the Biosimilar was 2.57.</w:t>
      </w:r>
      <w:r w:rsidRPr="00211C8B">
        <w:rPr>
          <w:iCs/>
        </w:rPr>
        <w:t xml:space="preserve"> If the maximum number of IVF cycles was 10, the average number of cycles would be 2.42 and 2.61 for </w:t>
      </w:r>
      <w:r w:rsidR="00AB2FB9">
        <w:rPr>
          <w:iCs/>
        </w:rPr>
        <w:t xml:space="preserve">the </w:t>
      </w:r>
      <w:r w:rsidR="00907340" w:rsidRPr="00211C8B">
        <w:rPr>
          <w:iCs/>
        </w:rPr>
        <w:t>Gonal-f</w:t>
      </w:r>
      <w:r w:rsidRPr="00211C8B">
        <w:rPr>
          <w:iCs/>
        </w:rPr>
        <w:t xml:space="preserve"> and </w:t>
      </w:r>
      <w:r w:rsidR="00D75D17">
        <w:rPr>
          <w:iCs/>
        </w:rPr>
        <w:t>b</w:t>
      </w:r>
      <w:r w:rsidRPr="00211C8B">
        <w:rPr>
          <w:iCs/>
        </w:rPr>
        <w:t>iosimilar</w:t>
      </w:r>
      <w:r w:rsidR="00D75D17">
        <w:rPr>
          <w:iCs/>
        </w:rPr>
        <w:t xml:space="preserve"> arm</w:t>
      </w:r>
      <w:r w:rsidRPr="00211C8B">
        <w:rPr>
          <w:iCs/>
        </w:rPr>
        <w:t xml:space="preserve">s, respectively. </w:t>
      </w:r>
      <w:r w:rsidR="00D75D17">
        <w:rPr>
          <w:iCs/>
        </w:rPr>
        <w:t>The evaluation noted that t</w:t>
      </w:r>
      <w:r w:rsidRPr="00211C8B">
        <w:rPr>
          <w:iCs/>
        </w:rPr>
        <w:t xml:space="preserve">hese estimates are closer to the value reported in the UNSW ART in ANZ report (2018) </w:t>
      </w:r>
      <w:r w:rsidR="00D75D17">
        <w:rPr>
          <w:iCs/>
        </w:rPr>
        <w:t>(</w:t>
      </w:r>
      <w:r w:rsidRPr="00211C8B">
        <w:rPr>
          <w:iCs/>
        </w:rPr>
        <w:t>2.61 cycles</w:t>
      </w:r>
      <w:r w:rsidR="00D75D17">
        <w:rPr>
          <w:iCs/>
        </w:rPr>
        <w:t>)</w:t>
      </w:r>
      <w:r w:rsidR="00D75D17" w:rsidRPr="00211C8B">
        <w:rPr>
          <w:iCs/>
        </w:rPr>
        <w:t xml:space="preserve">. </w:t>
      </w:r>
      <w:r w:rsidR="00D75D17">
        <w:rPr>
          <w:iCs/>
        </w:rPr>
        <w:t>The PBAC agreed with the evaluation and considered that</w:t>
      </w:r>
      <w:r w:rsidRPr="00211C8B">
        <w:rPr>
          <w:iCs/>
        </w:rPr>
        <w:t xml:space="preserve"> the rationale for</w:t>
      </w:r>
      <w:r w:rsidR="00D75D17">
        <w:rPr>
          <w:iCs/>
        </w:rPr>
        <w:t xml:space="preserve"> a</w:t>
      </w:r>
      <w:r w:rsidRPr="00211C8B">
        <w:rPr>
          <w:iCs/>
        </w:rPr>
        <w:t xml:space="preserve"> maximum </w:t>
      </w:r>
      <w:r w:rsidR="00D75D17">
        <w:rPr>
          <w:iCs/>
        </w:rPr>
        <w:t xml:space="preserve">of </w:t>
      </w:r>
      <w:r w:rsidRPr="00211C8B">
        <w:rPr>
          <w:iCs/>
        </w:rPr>
        <w:t xml:space="preserve">8 IVF cycles was not well supported. </w:t>
      </w:r>
    </w:p>
    <w:p w14:paraId="722BED37" w14:textId="4E8B5AC4" w:rsidR="00CB79D5" w:rsidRPr="00211C8B" w:rsidRDefault="00CB79D5" w:rsidP="00943FFD">
      <w:pPr>
        <w:pStyle w:val="3-BodyText"/>
      </w:pPr>
      <w:r w:rsidRPr="00211C8B">
        <w:t xml:space="preserve">The model assumed </w:t>
      </w:r>
      <w:r w:rsidR="00D75D17">
        <w:t xml:space="preserve">a </w:t>
      </w:r>
      <w:r w:rsidRPr="00211C8B">
        <w:t>constant risk ratio for all cycles. Th</w:t>
      </w:r>
      <w:r w:rsidR="00D75D17">
        <w:t xml:space="preserve">e PBAC considered this </w:t>
      </w:r>
      <w:r w:rsidR="0083017F" w:rsidRPr="00211C8B">
        <w:t>was</w:t>
      </w:r>
      <w:r w:rsidR="00D75D17">
        <w:t xml:space="preserve"> </w:t>
      </w:r>
      <w:r w:rsidRPr="00211C8B">
        <w:t xml:space="preserve">inappropriate </w:t>
      </w:r>
      <w:r w:rsidR="00D75D17" w:rsidRPr="00211C8B">
        <w:t>a</w:t>
      </w:r>
      <w:r w:rsidR="00D75D17">
        <w:t>s it</w:t>
      </w:r>
      <w:r w:rsidR="00D75D17" w:rsidRPr="00211C8B">
        <w:t xml:space="preserve"> </w:t>
      </w:r>
      <w:r w:rsidRPr="00211C8B">
        <w:t xml:space="preserve">did not reflect the </w:t>
      </w:r>
      <w:r w:rsidR="00F5492B" w:rsidRPr="00211C8B">
        <w:t xml:space="preserve">different </w:t>
      </w:r>
      <w:r w:rsidRPr="00211C8B">
        <w:t>treatment efficacy from cycle</w:t>
      </w:r>
      <w:r w:rsidR="00634363">
        <w:t> </w:t>
      </w:r>
      <w:r w:rsidRPr="00211C8B">
        <w:t>2</w:t>
      </w:r>
      <w:r w:rsidR="00634363">
        <w:t> </w:t>
      </w:r>
      <w:r w:rsidRPr="00211C8B">
        <w:t>onward</w:t>
      </w:r>
      <w:r w:rsidR="00D75D17">
        <w:t>s</w:t>
      </w:r>
      <w:r w:rsidRPr="00211C8B">
        <w:t>.</w:t>
      </w:r>
    </w:p>
    <w:p w14:paraId="1A385E14" w14:textId="77777777" w:rsidR="00A36961" w:rsidRPr="00211C8B" w:rsidRDefault="00F624B7" w:rsidP="00943FFD">
      <w:pPr>
        <w:pStyle w:val="3-BodyText"/>
        <w:rPr>
          <w:iCs/>
        </w:rPr>
      </w:pPr>
      <w:r w:rsidRPr="00211C8B">
        <w:t xml:space="preserve">The model estimated that patients in the Gonal-f arm, on average, received 2.39 IVF cycles while patients in the biosimilar arm received 2.56 IVF cycles. The submission then stated that these estimates are closely aligned with the </w:t>
      </w:r>
      <w:r w:rsidR="00927844" w:rsidRPr="00211C8B">
        <w:t>Australian and New Zealand Assisted Reproduction Database (</w:t>
      </w:r>
      <w:r w:rsidRPr="00211C8B">
        <w:t>ANZAR</w:t>
      </w:r>
      <w:r w:rsidR="00927844" w:rsidRPr="00211C8B">
        <w:t>D)</w:t>
      </w:r>
      <w:r w:rsidRPr="00211C8B">
        <w:t xml:space="preserve"> 2018 report, therefore the economic model was validated. </w:t>
      </w:r>
      <w:r w:rsidRPr="00211C8B">
        <w:rPr>
          <w:iCs/>
        </w:rPr>
        <w:t>Th</w:t>
      </w:r>
      <w:r w:rsidR="006972C0">
        <w:rPr>
          <w:iCs/>
        </w:rPr>
        <w:t xml:space="preserve">e evaluation considered that </w:t>
      </w:r>
      <w:r w:rsidR="005B2768">
        <w:rPr>
          <w:iCs/>
        </w:rPr>
        <w:t xml:space="preserve">it is inappropriate to validate the modelled estimates of </w:t>
      </w:r>
      <w:r w:rsidR="005B2768" w:rsidRPr="00211C8B">
        <w:rPr>
          <w:iCs/>
        </w:rPr>
        <w:t>live birth rates and average numbers of IVF cycles</w:t>
      </w:r>
      <w:r w:rsidR="005B2768">
        <w:rPr>
          <w:iCs/>
        </w:rPr>
        <w:t xml:space="preserve"> with the same source used to derive the transition probabilities behind the modelled estimates.  </w:t>
      </w:r>
    </w:p>
    <w:p w14:paraId="7F7DEBEB" w14:textId="432ECEA0" w:rsidR="00CB79D5" w:rsidRPr="00211C8B" w:rsidRDefault="00CB79D5" w:rsidP="00943FFD">
      <w:pPr>
        <w:pStyle w:val="3-BodyText"/>
        <w:rPr>
          <w:iCs/>
        </w:rPr>
      </w:pPr>
      <w:r w:rsidRPr="00211C8B">
        <w:t>The submission included PBS and MBS costs associated with the products (</w:t>
      </w:r>
      <w:r w:rsidR="00907340" w:rsidRPr="00211C8B">
        <w:t>Gonal-f</w:t>
      </w:r>
      <w:r w:rsidRPr="00211C8B">
        <w:t xml:space="preserve"> and Bemfola, as the proxy for all biosimilars) and IVF cycles, including the cost of miscarriage. </w:t>
      </w:r>
      <w:r w:rsidRPr="00211C8B">
        <w:rPr>
          <w:iCs/>
        </w:rPr>
        <w:t xml:space="preserve">However, </w:t>
      </w:r>
      <w:r w:rsidR="00C062A1" w:rsidRPr="00211C8B">
        <w:rPr>
          <w:iCs/>
        </w:rPr>
        <w:t xml:space="preserve">the </w:t>
      </w:r>
      <w:r w:rsidRPr="00211C8B">
        <w:rPr>
          <w:iCs/>
        </w:rPr>
        <w:t xml:space="preserve">cost of delivery (including potential complications) was </w:t>
      </w:r>
      <w:r w:rsidR="003C6224">
        <w:rPr>
          <w:iCs/>
        </w:rPr>
        <w:t>omitted</w:t>
      </w:r>
      <w:r w:rsidR="001B74C4">
        <w:rPr>
          <w:iCs/>
        </w:rPr>
        <w:t>.</w:t>
      </w:r>
    </w:p>
    <w:p w14:paraId="1CD0A197" w14:textId="77777777" w:rsidR="00CB79D5" w:rsidRPr="00211C8B" w:rsidRDefault="00CB79D5" w:rsidP="00943FFD">
      <w:pPr>
        <w:pStyle w:val="3-BodyText"/>
      </w:pPr>
      <w:r w:rsidRPr="00211C8B">
        <w:t>The key outcome of step 1 was</w:t>
      </w:r>
      <w:r w:rsidR="005903EA">
        <w:t xml:space="preserve"> the</w:t>
      </w:r>
      <w:r w:rsidRPr="00211C8B">
        <w:t xml:space="preserve"> cost per clinical pregnancy, and that of steps 2 and 3 was</w:t>
      </w:r>
      <w:r w:rsidR="005903EA">
        <w:t xml:space="preserve"> the</w:t>
      </w:r>
      <w:r w:rsidRPr="00211C8B">
        <w:t xml:space="preserve"> cost per live birth. The results presented in the submission are shown in Table </w:t>
      </w:r>
      <w:r w:rsidR="00CD7E9A" w:rsidRPr="00211C8B">
        <w:t>1</w:t>
      </w:r>
      <w:r w:rsidR="00642627" w:rsidRPr="00211C8B">
        <w:t>2</w:t>
      </w:r>
      <w:r w:rsidRPr="00211C8B">
        <w:t xml:space="preserve">. The submission concluded that </w:t>
      </w:r>
      <w:r w:rsidR="00907340" w:rsidRPr="00211C8B">
        <w:t>Gonal-f</w:t>
      </w:r>
      <w:r w:rsidRPr="00211C8B">
        <w:t>, at the proposed price, is cost effective with an ICER of $</w:t>
      </w:r>
      <w:r w:rsidR="002775FA">
        <w:t>0 to &lt; $5,000</w:t>
      </w:r>
      <w:r w:rsidRPr="00211C8B">
        <w:t xml:space="preserve"> per live birth, compared to the biosimilar preparations of follitropin alfa (proxied by Bemfola). </w:t>
      </w:r>
      <w:r w:rsidR="00C736FE">
        <w:t xml:space="preserve">The PBAC considered that </w:t>
      </w:r>
      <w:r w:rsidR="00C736FE">
        <w:rPr>
          <w:iCs/>
        </w:rPr>
        <w:t>t</w:t>
      </w:r>
      <w:r w:rsidRPr="00211C8B">
        <w:rPr>
          <w:iCs/>
        </w:rPr>
        <w:t xml:space="preserve">he ICER is highly uncertain and likely to favour </w:t>
      </w:r>
      <w:r w:rsidR="00907340" w:rsidRPr="00211C8B">
        <w:rPr>
          <w:iCs/>
        </w:rPr>
        <w:t>Gonal-f</w:t>
      </w:r>
      <w:r w:rsidRPr="00211C8B">
        <w:rPr>
          <w:iCs/>
        </w:rPr>
        <w:t>.</w:t>
      </w:r>
    </w:p>
    <w:p w14:paraId="0AD3E437" w14:textId="77777777" w:rsidR="005903EA" w:rsidRDefault="005903EA" w:rsidP="005B2768">
      <w:pPr>
        <w:pStyle w:val="TableFigureHeading"/>
      </w:pPr>
      <w:r>
        <w:t xml:space="preserve">Table </w:t>
      </w:r>
      <w:r w:rsidR="00360359">
        <w:rPr>
          <w:noProof/>
        </w:rPr>
        <w:t>12</w:t>
      </w:r>
      <w:r>
        <w:t xml:space="preserve">: </w:t>
      </w:r>
      <w:r w:rsidRPr="00FD49D2">
        <w:t>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Results of the stepped economic evaluation"/>
        <w:tblDescription w:val="Results of the stepped economic evaluation"/>
      </w:tblPr>
      <w:tblGrid>
        <w:gridCol w:w="2757"/>
        <w:gridCol w:w="2451"/>
        <w:gridCol w:w="2298"/>
        <w:gridCol w:w="1511"/>
      </w:tblGrid>
      <w:tr w:rsidR="00CB79D5" w:rsidRPr="00211C8B" w14:paraId="00E57304" w14:textId="77777777" w:rsidTr="00A713BB">
        <w:trPr>
          <w:tblHeader/>
        </w:trPr>
        <w:tc>
          <w:tcPr>
            <w:tcW w:w="1529" w:type="pct"/>
            <w:vAlign w:val="center"/>
          </w:tcPr>
          <w:p w14:paraId="7DE6DAF5" w14:textId="77777777" w:rsidR="00CB79D5" w:rsidRPr="00211C8B" w:rsidRDefault="00CB79D5" w:rsidP="00A713BB">
            <w:pPr>
              <w:pStyle w:val="In-tableHeading"/>
              <w:rPr>
                <w:lang w:val="en-AU"/>
              </w:rPr>
            </w:pPr>
            <w:r w:rsidRPr="00211C8B">
              <w:rPr>
                <w:lang w:val="en-AU"/>
              </w:rPr>
              <w:t>Step and component</w:t>
            </w:r>
          </w:p>
        </w:tc>
        <w:tc>
          <w:tcPr>
            <w:tcW w:w="1359" w:type="pct"/>
            <w:vAlign w:val="center"/>
          </w:tcPr>
          <w:p w14:paraId="1C6AE610" w14:textId="77777777" w:rsidR="00CB79D5" w:rsidRPr="00211C8B" w:rsidRDefault="00CB79D5" w:rsidP="00A713BB">
            <w:pPr>
              <w:pStyle w:val="In-tableHeading"/>
              <w:jc w:val="center"/>
              <w:rPr>
                <w:lang w:val="en-AU"/>
              </w:rPr>
            </w:pPr>
            <w:r w:rsidRPr="00211C8B">
              <w:rPr>
                <w:lang w:val="en-AU"/>
              </w:rPr>
              <w:t>Proposed medicine (</w:t>
            </w:r>
            <w:r w:rsidR="00907340" w:rsidRPr="00211C8B">
              <w:rPr>
                <w:lang w:val="en-AU"/>
              </w:rPr>
              <w:t>Gonal-f</w:t>
            </w:r>
            <w:r w:rsidRPr="00211C8B">
              <w:rPr>
                <w:lang w:val="en-AU"/>
              </w:rPr>
              <w:t>)</w:t>
            </w:r>
          </w:p>
        </w:tc>
        <w:tc>
          <w:tcPr>
            <w:tcW w:w="1274" w:type="pct"/>
            <w:vAlign w:val="center"/>
          </w:tcPr>
          <w:p w14:paraId="4C08AD6F" w14:textId="77777777" w:rsidR="00CB79D5" w:rsidRPr="00211C8B" w:rsidRDefault="00CB79D5" w:rsidP="00A713BB">
            <w:pPr>
              <w:pStyle w:val="In-tableHeading"/>
              <w:jc w:val="center"/>
              <w:rPr>
                <w:lang w:val="en-AU"/>
              </w:rPr>
            </w:pPr>
            <w:r w:rsidRPr="00211C8B">
              <w:rPr>
                <w:lang w:val="en-AU"/>
              </w:rPr>
              <w:t>Comparator (Bemfola)</w:t>
            </w:r>
          </w:p>
        </w:tc>
        <w:tc>
          <w:tcPr>
            <w:tcW w:w="838" w:type="pct"/>
            <w:vAlign w:val="center"/>
          </w:tcPr>
          <w:p w14:paraId="03F248F4" w14:textId="77777777" w:rsidR="00CB79D5" w:rsidRPr="00211C8B" w:rsidRDefault="00CB79D5" w:rsidP="00A713BB">
            <w:pPr>
              <w:pStyle w:val="In-tableHeading"/>
              <w:jc w:val="center"/>
              <w:rPr>
                <w:lang w:val="en-AU"/>
              </w:rPr>
            </w:pPr>
            <w:r w:rsidRPr="00211C8B">
              <w:rPr>
                <w:lang w:val="en-AU"/>
              </w:rPr>
              <w:t>Increment</w:t>
            </w:r>
          </w:p>
        </w:tc>
      </w:tr>
      <w:tr w:rsidR="00CB79D5" w:rsidRPr="00211C8B" w14:paraId="4C78A45F" w14:textId="77777777" w:rsidTr="00A713BB">
        <w:tc>
          <w:tcPr>
            <w:tcW w:w="5000" w:type="pct"/>
            <w:gridSpan w:val="4"/>
            <w:vAlign w:val="center"/>
          </w:tcPr>
          <w:p w14:paraId="7D7A00AB" w14:textId="77777777" w:rsidR="00CB79D5" w:rsidRPr="00211C8B" w:rsidRDefault="00CB79D5" w:rsidP="00A713BB">
            <w:pPr>
              <w:pStyle w:val="TableText0"/>
              <w:rPr>
                <w:b/>
                <w:bCs w:val="0"/>
              </w:rPr>
            </w:pPr>
            <w:r w:rsidRPr="00211C8B">
              <w:rPr>
                <w:b/>
                <w:bCs w:val="0"/>
              </w:rPr>
              <w:t>Step 1: trial-based evaluation (cost/clinical pregnancy)</w:t>
            </w:r>
          </w:p>
        </w:tc>
      </w:tr>
      <w:tr w:rsidR="00CB79D5" w:rsidRPr="00211C8B" w14:paraId="1326B8DC" w14:textId="77777777" w:rsidTr="00A713BB">
        <w:tc>
          <w:tcPr>
            <w:tcW w:w="1529" w:type="pct"/>
            <w:vAlign w:val="center"/>
          </w:tcPr>
          <w:p w14:paraId="4B46A674" w14:textId="77777777" w:rsidR="00CB79D5" w:rsidRPr="00211C8B" w:rsidRDefault="00CB79D5" w:rsidP="00A713BB">
            <w:pPr>
              <w:pStyle w:val="TableText0"/>
              <w:rPr>
                <w:rFonts w:ascii="Times" w:hAnsi="Times"/>
              </w:rPr>
            </w:pPr>
            <w:r w:rsidRPr="00211C8B">
              <w:t>Costs</w:t>
            </w:r>
            <w:r w:rsidR="00FD040F">
              <w:t xml:space="preserve"> ($)</w:t>
            </w:r>
          </w:p>
        </w:tc>
        <w:tc>
          <w:tcPr>
            <w:tcW w:w="1359" w:type="pct"/>
            <w:vAlign w:val="center"/>
          </w:tcPr>
          <w:p w14:paraId="706C9717" w14:textId="77777777" w:rsidR="00CB79D5" w:rsidRPr="00E70F00" w:rsidRDefault="00E70F00" w:rsidP="00A713BB">
            <w:pPr>
              <w:pStyle w:val="TableText0"/>
              <w:jc w:val="center"/>
              <w:rPr>
                <w:rFonts w:ascii="Times" w:hAnsi="Times"/>
                <w:highlight w:val="black"/>
              </w:rPr>
            </w:pPr>
            <w:r>
              <w:rPr>
                <w:noProof/>
                <w:color w:val="000000"/>
                <w:highlight w:val="black"/>
              </w:rPr>
              <w:t>''''''''''''''''</w:t>
            </w:r>
          </w:p>
        </w:tc>
        <w:tc>
          <w:tcPr>
            <w:tcW w:w="1274" w:type="pct"/>
            <w:vAlign w:val="center"/>
          </w:tcPr>
          <w:p w14:paraId="10ED3D3A" w14:textId="77777777" w:rsidR="00CB79D5" w:rsidRPr="00211C8B" w:rsidRDefault="00CB79D5" w:rsidP="00A713BB">
            <w:pPr>
              <w:pStyle w:val="TableText0"/>
              <w:jc w:val="center"/>
              <w:rPr>
                <w:rFonts w:ascii="Times" w:hAnsi="Times"/>
              </w:rPr>
            </w:pPr>
            <w:r w:rsidRPr="00211C8B">
              <w:t>$</w:t>
            </w:r>
            <w:r w:rsidRPr="00FD040F">
              <w:t>5,775</w:t>
            </w:r>
          </w:p>
        </w:tc>
        <w:tc>
          <w:tcPr>
            <w:tcW w:w="838" w:type="pct"/>
            <w:vAlign w:val="center"/>
          </w:tcPr>
          <w:p w14:paraId="785294E3" w14:textId="77777777" w:rsidR="00CB79D5" w:rsidRPr="00E70F00" w:rsidRDefault="00E70F00" w:rsidP="00A713BB">
            <w:pPr>
              <w:pStyle w:val="TableText0"/>
              <w:jc w:val="center"/>
              <w:rPr>
                <w:rFonts w:ascii="Times" w:hAnsi="Times"/>
                <w:highlight w:val="black"/>
              </w:rPr>
            </w:pPr>
            <w:r>
              <w:rPr>
                <w:noProof/>
                <w:color w:val="000000"/>
                <w:highlight w:val="black"/>
              </w:rPr>
              <w:t>''''''''''''</w:t>
            </w:r>
          </w:p>
        </w:tc>
      </w:tr>
      <w:tr w:rsidR="00CB79D5" w:rsidRPr="00211C8B" w14:paraId="36922A0E" w14:textId="77777777" w:rsidTr="00A713BB">
        <w:tc>
          <w:tcPr>
            <w:tcW w:w="1529" w:type="pct"/>
            <w:vAlign w:val="center"/>
          </w:tcPr>
          <w:p w14:paraId="4F8E9514" w14:textId="77777777" w:rsidR="00CB79D5" w:rsidRPr="00211C8B" w:rsidRDefault="00CB79D5" w:rsidP="00A713BB">
            <w:pPr>
              <w:pStyle w:val="TableText0"/>
              <w:rPr>
                <w:rFonts w:ascii="Times" w:hAnsi="Times"/>
              </w:rPr>
            </w:pPr>
            <w:r w:rsidRPr="00211C8B">
              <w:t>Clinical pregnancy</w:t>
            </w:r>
          </w:p>
        </w:tc>
        <w:tc>
          <w:tcPr>
            <w:tcW w:w="1359" w:type="pct"/>
            <w:vAlign w:val="center"/>
          </w:tcPr>
          <w:p w14:paraId="2BFA1335" w14:textId="77777777" w:rsidR="00CB79D5" w:rsidRPr="00211C8B" w:rsidRDefault="00CB79D5" w:rsidP="00A713BB">
            <w:pPr>
              <w:pStyle w:val="TableText0"/>
              <w:jc w:val="center"/>
              <w:rPr>
                <w:rFonts w:ascii="Times" w:hAnsi="Times"/>
              </w:rPr>
            </w:pPr>
            <w:r w:rsidRPr="00211C8B">
              <w:t>0.2988</w:t>
            </w:r>
          </w:p>
        </w:tc>
        <w:tc>
          <w:tcPr>
            <w:tcW w:w="1274" w:type="pct"/>
            <w:vAlign w:val="center"/>
          </w:tcPr>
          <w:p w14:paraId="33BFA428" w14:textId="77777777" w:rsidR="00CB79D5" w:rsidRPr="00211C8B" w:rsidRDefault="00CB79D5" w:rsidP="00A713BB">
            <w:pPr>
              <w:pStyle w:val="TableText0"/>
              <w:jc w:val="center"/>
              <w:rPr>
                <w:rFonts w:ascii="Times" w:hAnsi="Times"/>
              </w:rPr>
            </w:pPr>
            <w:r w:rsidRPr="00211C8B">
              <w:t>0.245</w:t>
            </w:r>
          </w:p>
        </w:tc>
        <w:tc>
          <w:tcPr>
            <w:tcW w:w="838" w:type="pct"/>
            <w:vAlign w:val="center"/>
          </w:tcPr>
          <w:p w14:paraId="5A096C72" w14:textId="77777777" w:rsidR="00CB79D5" w:rsidRPr="00211C8B" w:rsidRDefault="00CB79D5" w:rsidP="00A713BB">
            <w:pPr>
              <w:pStyle w:val="TableText0"/>
              <w:jc w:val="center"/>
            </w:pPr>
            <w:r w:rsidRPr="00211C8B">
              <w:t>0.05</w:t>
            </w:r>
          </w:p>
        </w:tc>
      </w:tr>
      <w:tr w:rsidR="00CB79D5" w:rsidRPr="00211C8B" w14:paraId="16A0D8A1" w14:textId="77777777" w:rsidTr="00A713BB">
        <w:tc>
          <w:tcPr>
            <w:tcW w:w="4162" w:type="pct"/>
            <w:gridSpan w:val="3"/>
            <w:vAlign w:val="center"/>
          </w:tcPr>
          <w:p w14:paraId="2064305B" w14:textId="77777777" w:rsidR="00CB79D5" w:rsidRPr="00211C8B" w:rsidRDefault="00CB79D5" w:rsidP="00A713BB">
            <w:pPr>
              <w:pStyle w:val="TableText0"/>
              <w:rPr>
                <w:rFonts w:ascii="Times" w:hAnsi="Times"/>
              </w:rPr>
            </w:pPr>
            <w:r w:rsidRPr="00211C8B">
              <w:t>Incremental cost/extra clinical pregnancy</w:t>
            </w:r>
          </w:p>
        </w:tc>
        <w:tc>
          <w:tcPr>
            <w:tcW w:w="838" w:type="pct"/>
            <w:vAlign w:val="center"/>
          </w:tcPr>
          <w:p w14:paraId="3E9FE1A9" w14:textId="77777777" w:rsidR="00CB79D5" w:rsidRPr="002775FA" w:rsidRDefault="00E70F00" w:rsidP="00A713BB">
            <w:pPr>
              <w:pStyle w:val="TableText0"/>
              <w:jc w:val="center"/>
              <w:rPr>
                <w:rFonts w:ascii="Times" w:hAnsi="Times"/>
              </w:rPr>
            </w:pPr>
            <w:r>
              <w:rPr>
                <w:noProof/>
                <w:color w:val="000000"/>
                <w:highlight w:val="black"/>
              </w:rPr>
              <w:t>'''''''''''''''</w:t>
            </w:r>
            <w:r w:rsidR="002775FA" w:rsidRPr="00587176">
              <w:rPr>
                <w:vertAlign w:val="superscript"/>
              </w:rPr>
              <w:t>1</w:t>
            </w:r>
          </w:p>
        </w:tc>
      </w:tr>
      <w:tr w:rsidR="00CB79D5" w:rsidRPr="00211C8B" w14:paraId="1B3B8DAE" w14:textId="77777777" w:rsidTr="00A713BB">
        <w:tc>
          <w:tcPr>
            <w:tcW w:w="5000" w:type="pct"/>
            <w:gridSpan w:val="4"/>
            <w:vAlign w:val="center"/>
          </w:tcPr>
          <w:p w14:paraId="33A34FDD" w14:textId="77777777" w:rsidR="00CB79D5" w:rsidRPr="00211C8B" w:rsidRDefault="00CB79D5" w:rsidP="00A713BB">
            <w:pPr>
              <w:pStyle w:val="In-tableHeading"/>
              <w:rPr>
                <w:lang w:val="en-AU"/>
              </w:rPr>
            </w:pPr>
            <w:r w:rsidRPr="00211C8B">
              <w:rPr>
                <w:lang w:val="en-AU"/>
              </w:rPr>
              <w:t>Step 2: trial-based evaluation (cost/live birth)</w:t>
            </w:r>
          </w:p>
        </w:tc>
      </w:tr>
      <w:tr w:rsidR="00CB79D5" w:rsidRPr="00211C8B" w14:paraId="30082B8D" w14:textId="77777777" w:rsidTr="00A713BB">
        <w:tc>
          <w:tcPr>
            <w:tcW w:w="1529" w:type="pct"/>
            <w:vAlign w:val="center"/>
          </w:tcPr>
          <w:p w14:paraId="56B70F1F" w14:textId="77777777" w:rsidR="00CB79D5" w:rsidRPr="00211C8B" w:rsidRDefault="00CB79D5" w:rsidP="00A713BB">
            <w:pPr>
              <w:pStyle w:val="TableText0"/>
              <w:rPr>
                <w:rFonts w:ascii="Times" w:hAnsi="Times"/>
              </w:rPr>
            </w:pPr>
            <w:r w:rsidRPr="00211C8B">
              <w:t>Costs</w:t>
            </w:r>
            <w:r w:rsidR="00FD040F">
              <w:t xml:space="preserve"> ($)</w:t>
            </w:r>
          </w:p>
        </w:tc>
        <w:tc>
          <w:tcPr>
            <w:tcW w:w="1359" w:type="pct"/>
            <w:vAlign w:val="center"/>
          </w:tcPr>
          <w:p w14:paraId="47CBF9F8" w14:textId="77777777" w:rsidR="00CB79D5" w:rsidRPr="00E70F00" w:rsidRDefault="00E70F00" w:rsidP="00A713BB">
            <w:pPr>
              <w:pStyle w:val="TableText0"/>
              <w:jc w:val="center"/>
              <w:rPr>
                <w:rFonts w:ascii="Times" w:hAnsi="Times"/>
                <w:highlight w:val="black"/>
              </w:rPr>
            </w:pPr>
            <w:r>
              <w:rPr>
                <w:noProof/>
                <w:color w:val="000000"/>
                <w:highlight w:val="black"/>
              </w:rPr>
              <w:t>''''''''''''''''</w:t>
            </w:r>
          </w:p>
        </w:tc>
        <w:tc>
          <w:tcPr>
            <w:tcW w:w="1274" w:type="pct"/>
            <w:vAlign w:val="center"/>
          </w:tcPr>
          <w:p w14:paraId="77417389" w14:textId="77777777" w:rsidR="00CB79D5" w:rsidRPr="00211C8B" w:rsidRDefault="00CB79D5" w:rsidP="00A713BB">
            <w:pPr>
              <w:pStyle w:val="TableText0"/>
              <w:jc w:val="center"/>
              <w:rPr>
                <w:rFonts w:ascii="Times" w:hAnsi="Times"/>
              </w:rPr>
            </w:pPr>
            <w:r w:rsidRPr="00211C8B">
              <w:t>$</w:t>
            </w:r>
            <w:r w:rsidRPr="00FD040F">
              <w:t>5925</w:t>
            </w:r>
          </w:p>
        </w:tc>
        <w:tc>
          <w:tcPr>
            <w:tcW w:w="838" w:type="pct"/>
            <w:vAlign w:val="center"/>
          </w:tcPr>
          <w:p w14:paraId="24FA43CF" w14:textId="77777777" w:rsidR="00CB79D5" w:rsidRPr="00E70F00" w:rsidRDefault="00E70F00" w:rsidP="00A713BB">
            <w:pPr>
              <w:pStyle w:val="TableText0"/>
              <w:jc w:val="center"/>
              <w:rPr>
                <w:rFonts w:ascii="Times" w:hAnsi="Times"/>
                <w:highlight w:val="black"/>
              </w:rPr>
            </w:pPr>
            <w:r>
              <w:rPr>
                <w:noProof/>
                <w:color w:val="000000"/>
                <w:highlight w:val="black"/>
              </w:rPr>
              <w:t>''''''''''''</w:t>
            </w:r>
          </w:p>
        </w:tc>
      </w:tr>
      <w:tr w:rsidR="00CB79D5" w:rsidRPr="00211C8B" w14:paraId="0984BD5D" w14:textId="77777777" w:rsidTr="00A713BB">
        <w:tc>
          <w:tcPr>
            <w:tcW w:w="1529" w:type="pct"/>
            <w:vAlign w:val="center"/>
          </w:tcPr>
          <w:p w14:paraId="447B8169" w14:textId="77777777" w:rsidR="00CB79D5" w:rsidRPr="00211C8B" w:rsidRDefault="00CB79D5" w:rsidP="00A713BB">
            <w:pPr>
              <w:pStyle w:val="TableText0"/>
              <w:rPr>
                <w:rFonts w:ascii="Times" w:hAnsi="Times"/>
              </w:rPr>
            </w:pPr>
            <w:r w:rsidRPr="00211C8B">
              <w:t>Live birth</w:t>
            </w:r>
          </w:p>
        </w:tc>
        <w:tc>
          <w:tcPr>
            <w:tcW w:w="1359" w:type="pct"/>
            <w:vAlign w:val="center"/>
          </w:tcPr>
          <w:p w14:paraId="51207408" w14:textId="77777777" w:rsidR="00CB79D5" w:rsidRPr="00211C8B" w:rsidRDefault="00CB79D5" w:rsidP="00A713BB">
            <w:pPr>
              <w:pStyle w:val="TableText0"/>
              <w:jc w:val="center"/>
              <w:rPr>
                <w:rFonts w:ascii="Times" w:hAnsi="Times"/>
              </w:rPr>
            </w:pPr>
            <w:r w:rsidRPr="00211C8B">
              <w:t>0.23</w:t>
            </w:r>
          </w:p>
        </w:tc>
        <w:tc>
          <w:tcPr>
            <w:tcW w:w="1274" w:type="pct"/>
            <w:vAlign w:val="center"/>
          </w:tcPr>
          <w:p w14:paraId="65103D68" w14:textId="77777777" w:rsidR="00CB79D5" w:rsidRPr="00211C8B" w:rsidRDefault="00CB79D5" w:rsidP="00A713BB">
            <w:pPr>
              <w:pStyle w:val="TableText0"/>
              <w:jc w:val="center"/>
              <w:rPr>
                <w:rFonts w:ascii="Times" w:hAnsi="Times"/>
              </w:rPr>
            </w:pPr>
            <w:r w:rsidRPr="00211C8B">
              <w:t>0.19</w:t>
            </w:r>
          </w:p>
        </w:tc>
        <w:tc>
          <w:tcPr>
            <w:tcW w:w="838" w:type="pct"/>
            <w:vAlign w:val="center"/>
          </w:tcPr>
          <w:p w14:paraId="3B10AB34" w14:textId="77777777" w:rsidR="00CB79D5" w:rsidRPr="00211C8B" w:rsidRDefault="00CB79D5" w:rsidP="00A713BB">
            <w:pPr>
              <w:pStyle w:val="TableText0"/>
              <w:jc w:val="center"/>
            </w:pPr>
            <w:r w:rsidRPr="00211C8B">
              <w:t>0.04</w:t>
            </w:r>
          </w:p>
        </w:tc>
      </w:tr>
      <w:tr w:rsidR="00CB79D5" w:rsidRPr="00211C8B" w14:paraId="3D798505" w14:textId="77777777" w:rsidTr="00A713BB">
        <w:tc>
          <w:tcPr>
            <w:tcW w:w="4162" w:type="pct"/>
            <w:gridSpan w:val="3"/>
            <w:vAlign w:val="center"/>
          </w:tcPr>
          <w:p w14:paraId="44615999" w14:textId="77777777" w:rsidR="00CB79D5" w:rsidRPr="00211C8B" w:rsidRDefault="00CB79D5" w:rsidP="00A713BB">
            <w:pPr>
              <w:pStyle w:val="TableText0"/>
              <w:rPr>
                <w:rFonts w:ascii="Times" w:hAnsi="Times"/>
              </w:rPr>
            </w:pPr>
            <w:r w:rsidRPr="00211C8B">
              <w:t>Incremental cost/extra live birth</w:t>
            </w:r>
          </w:p>
        </w:tc>
        <w:tc>
          <w:tcPr>
            <w:tcW w:w="838" w:type="pct"/>
            <w:vAlign w:val="center"/>
          </w:tcPr>
          <w:p w14:paraId="65B720FD" w14:textId="77777777" w:rsidR="00CB79D5" w:rsidRPr="00211C8B" w:rsidRDefault="00E70F00" w:rsidP="00A713BB">
            <w:pPr>
              <w:pStyle w:val="TableText0"/>
              <w:jc w:val="center"/>
              <w:rPr>
                <w:rFonts w:ascii="Times" w:hAnsi="Times"/>
              </w:rPr>
            </w:pPr>
            <w:r>
              <w:rPr>
                <w:noProof/>
                <w:color w:val="000000"/>
                <w:highlight w:val="black"/>
              </w:rPr>
              <w:t>'''''''''''''''''''''</w:t>
            </w:r>
            <w:r w:rsidR="002775FA" w:rsidRPr="005A4091">
              <w:rPr>
                <w:vertAlign w:val="superscript"/>
              </w:rPr>
              <w:t>1</w:t>
            </w:r>
          </w:p>
        </w:tc>
      </w:tr>
      <w:tr w:rsidR="00CB79D5" w:rsidRPr="00211C8B" w14:paraId="27284615" w14:textId="77777777" w:rsidTr="00A713BB">
        <w:tc>
          <w:tcPr>
            <w:tcW w:w="5000" w:type="pct"/>
            <w:gridSpan w:val="4"/>
            <w:vAlign w:val="center"/>
          </w:tcPr>
          <w:p w14:paraId="79F0D4FF" w14:textId="77777777" w:rsidR="00CB79D5" w:rsidRPr="00211C8B" w:rsidRDefault="00CB79D5" w:rsidP="00A713BB">
            <w:pPr>
              <w:pStyle w:val="In-tableHeading"/>
              <w:rPr>
                <w:lang w:val="en-AU"/>
              </w:rPr>
            </w:pPr>
            <w:r w:rsidRPr="00211C8B">
              <w:rPr>
                <w:lang w:val="en-AU"/>
              </w:rPr>
              <w:t>Step 3: base-case modelled (up</w:t>
            </w:r>
            <w:r w:rsidR="006F2B7F" w:rsidRPr="00211C8B">
              <w:rPr>
                <w:lang w:val="en-AU"/>
              </w:rPr>
              <w:t xml:space="preserve"> </w:t>
            </w:r>
            <w:r w:rsidRPr="00211C8B">
              <w:rPr>
                <w:lang w:val="en-AU"/>
              </w:rPr>
              <w:t>to eight IVF cycles)</w:t>
            </w:r>
          </w:p>
        </w:tc>
      </w:tr>
      <w:tr w:rsidR="00CB79D5" w:rsidRPr="00211C8B" w14:paraId="30813D54" w14:textId="77777777" w:rsidTr="00A713BB">
        <w:tc>
          <w:tcPr>
            <w:tcW w:w="1529" w:type="pct"/>
            <w:vAlign w:val="center"/>
          </w:tcPr>
          <w:p w14:paraId="4F154874" w14:textId="77777777" w:rsidR="00CB79D5" w:rsidRPr="00211C8B" w:rsidRDefault="00CB79D5" w:rsidP="00A713BB">
            <w:pPr>
              <w:pStyle w:val="TableText0"/>
              <w:rPr>
                <w:rFonts w:ascii="Times" w:hAnsi="Times"/>
              </w:rPr>
            </w:pPr>
            <w:r w:rsidRPr="00211C8B">
              <w:t>Costs</w:t>
            </w:r>
            <w:r w:rsidR="00FD040F">
              <w:t xml:space="preserve"> ($)</w:t>
            </w:r>
          </w:p>
        </w:tc>
        <w:tc>
          <w:tcPr>
            <w:tcW w:w="1359" w:type="pct"/>
            <w:vAlign w:val="center"/>
          </w:tcPr>
          <w:p w14:paraId="7E896626" w14:textId="77777777" w:rsidR="00CB79D5" w:rsidRPr="00E70F00" w:rsidRDefault="00E70F00" w:rsidP="00A713BB">
            <w:pPr>
              <w:pStyle w:val="TableText0"/>
              <w:jc w:val="center"/>
              <w:rPr>
                <w:rFonts w:ascii="Times" w:hAnsi="Times"/>
                <w:highlight w:val="black"/>
              </w:rPr>
            </w:pPr>
            <w:r>
              <w:rPr>
                <w:noProof/>
                <w:color w:val="000000"/>
                <w:highlight w:val="black"/>
              </w:rPr>
              <w:t>'''''''''''''''''''''</w:t>
            </w:r>
          </w:p>
        </w:tc>
        <w:tc>
          <w:tcPr>
            <w:tcW w:w="1274" w:type="pct"/>
            <w:vAlign w:val="center"/>
          </w:tcPr>
          <w:p w14:paraId="7820C21A" w14:textId="77777777" w:rsidR="00CB79D5" w:rsidRPr="00211C8B" w:rsidRDefault="00CB79D5" w:rsidP="00A713BB">
            <w:pPr>
              <w:pStyle w:val="TableText0"/>
              <w:jc w:val="center"/>
              <w:rPr>
                <w:rFonts w:ascii="Times" w:hAnsi="Times"/>
              </w:rPr>
            </w:pPr>
            <w:r w:rsidRPr="00211C8B">
              <w:t>$</w:t>
            </w:r>
            <w:r w:rsidRPr="00FD040F">
              <w:t>15,171</w:t>
            </w:r>
          </w:p>
        </w:tc>
        <w:tc>
          <w:tcPr>
            <w:tcW w:w="838" w:type="pct"/>
            <w:vAlign w:val="center"/>
          </w:tcPr>
          <w:p w14:paraId="1BC35ADB" w14:textId="77777777" w:rsidR="00CB79D5" w:rsidRPr="00E70F00" w:rsidRDefault="00E70F00" w:rsidP="00A713BB">
            <w:pPr>
              <w:pStyle w:val="TableText0"/>
              <w:jc w:val="center"/>
              <w:rPr>
                <w:rFonts w:ascii="Times" w:hAnsi="Times"/>
                <w:highlight w:val="black"/>
              </w:rPr>
            </w:pPr>
            <w:r>
              <w:rPr>
                <w:noProof/>
                <w:color w:val="000000"/>
                <w:highlight w:val="black"/>
              </w:rPr>
              <w:t>''''''''''</w:t>
            </w:r>
          </w:p>
        </w:tc>
      </w:tr>
      <w:tr w:rsidR="00CB79D5" w:rsidRPr="00211C8B" w14:paraId="1C12787B" w14:textId="77777777" w:rsidTr="00A713BB">
        <w:tc>
          <w:tcPr>
            <w:tcW w:w="1529" w:type="pct"/>
            <w:vAlign w:val="center"/>
          </w:tcPr>
          <w:p w14:paraId="691A9B13" w14:textId="77777777" w:rsidR="00CB79D5" w:rsidRPr="00211C8B" w:rsidRDefault="00CB79D5" w:rsidP="00A713BB">
            <w:pPr>
              <w:pStyle w:val="TableText0"/>
              <w:rPr>
                <w:rFonts w:ascii="Times" w:hAnsi="Times"/>
              </w:rPr>
            </w:pPr>
            <w:r w:rsidRPr="00211C8B">
              <w:t>Live birth</w:t>
            </w:r>
          </w:p>
        </w:tc>
        <w:tc>
          <w:tcPr>
            <w:tcW w:w="1359" w:type="pct"/>
            <w:vAlign w:val="center"/>
          </w:tcPr>
          <w:p w14:paraId="3CBC26C2" w14:textId="77777777" w:rsidR="00CB79D5" w:rsidRPr="00211C8B" w:rsidRDefault="00CB79D5" w:rsidP="00A713BB">
            <w:pPr>
              <w:pStyle w:val="TableText0"/>
              <w:jc w:val="center"/>
              <w:rPr>
                <w:rFonts w:ascii="Times" w:hAnsi="Times"/>
              </w:rPr>
            </w:pPr>
            <w:r w:rsidRPr="00211C8B">
              <w:t>0.53</w:t>
            </w:r>
          </w:p>
        </w:tc>
        <w:tc>
          <w:tcPr>
            <w:tcW w:w="1274" w:type="pct"/>
            <w:vAlign w:val="center"/>
          </w:tcPr>
          <w:p w14:paraId="1927A7D0" w14:textId="77777777" w:rsidR="00CB79D5" w:rsidRPr="00211C8B" w:rsidRDefault="00CB79D5" w:rsidP="00A713BB">
            <w:pPr>
              <w:pStyle w:val="TableText0"/>
              <w:jc w:val="center"/>
              <w:rPr>
                <w:rFonts w:ascii="Times" w:hAnsi="Times"/>
              </w:rPr>
            </w:pPr>
            <w:r w:rsidRPr="00211C8B">
              <w:t>0.46</w:t>
            </w:r>
          </w:p>
        </w:tc>
        <w:tc>
          <w:tcPr>
            <w:tcW w:w="838" w:type="pct"/>
            <w:vAlign w:val="center"/>
          </w:tcPr>
          <w:p w14:paraId="215D870B" w14:textId="77777777" w:rsidR="00CB79D5" w:rsidRPr="00211C8B" w:rsidRDefault="00CB79D5" w:rsidP="00A713BB">
            <w:pPr>
              <w:pStyle w:val="TableText0"/>
              <w:jc w:val="center"/>
            </w:pPr>
            <w:r w:rsidRPr="00211C8B">
              <w:t>0.07</w:t>
            </w:r>
          </w:p>
        </w:tc>
      </w:tr>
      <w:tr w:rsidR="00CB79D5" w:rsidRPr="00211C8B" w14:paraId="2D5A601B" w14:textId="77777777" w:rsidTr="00A713BB">
        <w:tc>
          <w:tcPr>
            <w:tcW w:w="4162" w:type="pct"/>
            <w:gridSpan w:val="3"/>
            <w:vAlign w:val="center"/>
          </w:tcPr>
          <w:p w14:paraId="0BA4C51A" w14:textId="77777777" w:rsidR="00CB79D5" w:rsidRPr="00211C8B" w:rsidRDefault="00CB79D5" w:rsidP="00A713BB">
            <w:pPr>
              <w:pStyle w:val="TableText0"/>
              <w:rPr>
                <w:rFonts w:ascii="Times" w:hAnsi="Times"/>
              </w:rPr>
            </w:pPr>
            <w:r w:rsidRPr="00211C8B">
              <w:t xml:space="preserve">Incremental cost/ live birth </w:t>
            </w:r>
          </w:p>
        </w:tc>
        <w:tc>
          <w:tcPr>
            <w:tcW w:w="838" w:type="pct"/>
            <w:vAlign w:val="center"/>
          </w:tcPr>
          <w:p w14:paraId="4B2A35AF" w14:textId="77777777" w:rsidR="00CB79D5" w:rsidRPr="00211C8B" w:rsidRDefault="00E70F00" w:rsidP="00A713BB">
            <w:pPr>
              <w:pStyle w:val="TableText0"/>
              <w:jc w:val="center"/>
              <w:rPr>
                <w:rFonts w:ascii="Times" w:hAnsi="Times"/>
              </w:rPr>
            </w:pPr>
            <w:r>
              <w:rPr>
                <w:noProof/>
                <w:color w:val="000000"/>
                <w:highlight w:val="black"/>
              </w:rPr>
              <w:t>'''''''''''''''''''</w:t>
            </w:r>
            <w:r w:rsidR="002775FA">
              <w:rPr>
                <w:vertAlign w:val="superscript"/>
              </w:rPr>
              <w:t>2</w:t>
            </w:r>
          </w:p>
        </w:tc>
      </w:tr>
    </w:tbl>
    <w:p w14:paraId="7F25A400" w14:textId="77777777" w:rsidR="00B87AE2" w:rsidRDefault="00CB79D5" w:rsidP="00CB79D5">
      <w:pPr>
        <w:pStyle w:val="TableFigureFooter"/>
      </w:pPr>
      <w:r w:rsidRPr="00211C8B">
        <w:t>Source: Tables 15, 16, and 17, pp47-48 of the submission</w:t>
      </w:r>
    </w:p>
    <w:p w14:paraId="62119D0B" w14:textId="77777777" w:rsidR="002775FA" w:rsidRPr="00587176" w:rsidRDefault="002775FA" w:rsidP="00CB79D5">
      <w:pPr>
        <w:pStyle w:val="TableFigureFooter"/>
        <w:rPr>
          <w:i/>
        </w:rPr>
      </w:pPr>
      <w:r w:rsidRPr="00587176">
        <w:rPr>
          <w:i/>
        </w:rPr>
        <w:t>The redacted values correspond to the following ranges:</w:t>
      </w:r>
    </w:p>
    <w:p w14:paraId="58C29160" w14:textId="77777777" w:rsidR="002775FA" w:rsidRPr="00587176" w:rsidRDefault="002775FA" w:rsidP="00CB79D5">
      <w:pPr>
        <w:pStyle w:val="TableFigureFooter"/>
        <w:rPr>
          <w:i/>
        </w:rPr>
      </w:pPr>
      <w:r w:rsidRPr="00587176">
        <w:rPr>
          <w:i/>
          <w:vertAlign w:val="superscript"/>
        </w:rPr>
        <w:t>1</w:t>
      </w:r>
      <w:r w:rsidRPr="00587176">
        <w:rPr>
          <w:i/>
        </w:rPr>
        <w:t xml:space="preserve"> $5,000 to &lt; $15,000</w:t>
      </w:r>
    </w:p>
    <w:p w14:paraId="3B4FFCAC" w14:textId="77777777" w:rsidR="002775FA" w:rsidRPr="00587176" w:rsidRDefault="002775FA" w:rsidP="00CB79D5">
      <w:pPr>
        <w:pStyle w:val="TableFigureFooter"/>
        <w:rPr>
          <w:i/>
        </w:rPr>
      </w:pPr>
      <w:r w:rsidRPr="00587176">
        <w:rPr>
          <w:i/>
          <w:vertAlign w:val="superscript"/>
        </w:rPr>
        <w:t>2</w:t>
      </w:r>
      <w:r w:rsidRPr="00587176">
        <w:rPr>
          <w:i/>
        </w:rPr>
        <w:t xml:space="preserve"> $0 to &lt; $5,000</w:t>
      </w:r>
    </w:p>
    <w:p w14:paraId="069D2270" w14:textId="0823BBE3" w:rsidR="00AF4651" w:rsidRPr="00AF4651" w:rsidRDefault="00CB79D5" w:rsidP="00AF4651">
      <w:pPr>
        <w:pStyle w:val="3-BodyText"/>
        <w:rPr>
          <w:rFonts w:ascii="Arial Narrow" w:eastAsiaTheme="majorEastAsia" w:hAnsi="Arial Narrow" w:cstheme="majorBidi"/>
          <w:b/>
          <w:sz w:val="20"/>
          <w:szCs w:val="24"/>
        </w:rPr>
      </w:pPr>
      <w:r w:rsidRPr="00211C8B">
        <w:t>The submission presented five one-way sensitivity analyses</w:t>
      </w:r>
      <w:r w:rsidR="005D1020" w:rsidRPr="00211C8B">
        <w:t>, two of which</w:t>
      </w:r>
      <w:r w:rsidR="000C3DCA" w:rsidRPr="00211C8B">
        <w:t xml:space="preserve"> reflect the ICER </w:t>
      </w:r>
      <w:r w:rsidR="005D1020" w:rsidRPr="00211C8B">
        <w:t xml:space="preserve">changes with respect to the key driver of the model – the risk ratio of </w:t>
      </w:r>
      <w:r w:rsidR="000C3DCA" w:rsidRPr="00211C8B">
        <w:t>clinical pregnancy rate</w:t>
      </w:r>
      <w:r w:rsidR="005D1020" w:rsidRPr="00211C8B">
        <w:t>s</w:t>
      </w:r>
      <w:r w:rsidR="00472453" w:rsidRPr="00211C8B">
        <w:t xml:space="preserve"> </w:t>
      </w:r>
      <w:r w:rsidR="005D1020" w:rsidRPr="00211C8B">
        <w:t xml:space="preserve">between Gonal-f and Bemfola. </w:t>
      </w:r>
      <w:r w:rsidR="002F528C" w:rsidRPr="00AF4651">
        <w:rPr>
          <w:iCs/>
        </w:rPr>
        <w:t xml:space="preserve">However, the submission did not </w:t>
      </w:r>
      <w:r w:rsidR="00AD488B" w:rsidRPr="00AF4651">
        <w:rPr>
          <w:iCs/>
        </w:rPr>
        <w:t xml:space="preserve">consider </w:t>
      </w:r>
      <w:r w:rsidR="000A52A0" w:rsidRPr="00AF4651">
        <w:rPr>
          <w:iCs/>
        </w:rPr>
        <w:t xml:space="preserve">the </w:t>
      </w:r>
      <w:r w:rsidR="00AD488B" w:rsidRPr="00AF4651">
        <w:rPr>
          <w:iCs/>
        </w:rPr>
        <w:t xml:space="preserve">key assumption of constant </w:t>
      </w:r>
      <w:r w:rsidR="005D1020" w:rsidRPr="00AF4651">
        <w:rPr>
          <w:iCs/>
        </w:rPr>
        <w:t xml:space="preserve">risk ratio between Gonal-f and Bemfola. </w:t>
      </w:r>
      <w:r w:rsidR="000A52A0" w:rsidRPr="00AF4651">
        <w:rPr>
          <w:iCs/>
        </w:rPr>
        <w:t>Only cycle 1’s risk ratio was used in the model and</w:t>
      </w:r>
      <w:r w:rsidR="00C736FE" w:rsidRPr="00AF4651">
        <w:rPr>
          <w:iCs/>
        </w:rPr>
        <w:t xml:space="preserve"> was</w:t>
      </w:r>
      <w:r w:rsidR="000A52A0" w:rsidRPr="00AF4651">
        <w:rPr>
          <w:iCs/>
        </w:rPr>
        <w:t xml:space="preserve"> assumed to be constant for all 8</w:t>
      </w:r>
      <w:r w:rsidR="00634363">
        <w:rPr>
          <w:iCs/>
        </w:rPr>
        <w:t> </w:t>
      </w:r>
      <w:r w:rsidR="000A52A0" w:rsidRPr="00AF4651">
        <w:rPr>
          <w:iCs/>
        </w:rPr>
        <w:t xml:space="preserve">cycles. </w:t>
      </w:r>
      <w:r w:rsidR="00237EFA" w:rsidRPr="00AF4651">
        <w:rPr>
          <w:iCs/>
        </w:rPr>
        <w:t xml:space="preserve">An additional meta-analysis conducted during the evaluation showed that the risk ratio of cycle 2 substantially differed from that of cycle 1. </w:t>
      </w:r>
      <w:r w:rsidR="007F3C05" w:rsidRPr="00AF4651">
        <w:rPr>
          <w:iCs/>
        </w:rPr>
        <w:t>Thus, the</w:t>
      </w:r>
      <w:r w:rsidR="00C736FE" w:rsidRPr="00AF4651">
        <w:rPr>
          <w:iCs/>
        </w:rPr>
        <w:t xml:space="preserve"> evaluation considered that</w:t>
      </w:r>
      <w:r w:rsidR="007F3C05" w:rsidRPr="00AF4651">
        <w:rPr>
          <w:iCs/>
        </w:rPr>
        <w:t xml:space="preserve"> </w:t>
      </w:r>
      <w:r w:rsidR="00C736FE" w:rsidRPr="00AF4651">
        <w:rPr>
          <w:iCs/>
        </w:rPr>
        <w:t xml:space="preserve">the </w:t>
      </w:r>
      <w:r w:rsidR="007F3C05" w:rsidRPr="00AF4651">
        <w:rPr>
          <w:iCs/>
        </w:rPr>
        <w:t xml:space="preserve">constant risk ratio assumption was not </w:t>
      </w:r>
      <w:r w:rsidR="00C736FE" w:rsidRPr="00AF4651">
        <w:rPr>
          <w:iCs/>
        </w:rPr>
        <w:t xml:space="preserve">adequately </w:t>
      </w:r>
      <w:r w:rsidR="007F3C05" w:rsidRPr="00AF4651">
        <w:rPr>
          <w:iCs/>
        </w:rPr>
        <w:t>supported.</w:t>
      </w:r>
      <w:r w:rsidR="00425C7F" w:rsidRPr="00AF4651">
        <w:rPr>
          <w:iCs/>
        </w:rPr>
        <w:t xml:space="preserve"> </w:t>
      </w:r>
      <w:r w:rsidR="00425C7F" w:rsidRPr="005B2768">
        <w:t xml:space="preserve">The PSCR acknowledged the use of a constant risk ratio potentially overestimates </w:t>
      </w:r>
      <w:r w:rsidR="00C736FE">
        <w:t xml:space="preserve">the </w:t>
      </w:r>
      <w:r w:rsidR="00425C7F" w:rsidRPr="005B2768">
        <w:t>long-term benefit</w:t>
      </w:r>
      <w:r w:rsidR="00C736FE">
        <w:t xml:space="preserve">, and presented </w:t>
      </w:r>
      <w:r w:rsidR="00425C7F" w:rsidRPr="005B2768">
        <w:t>a revised base-case for the model in which the incremental treatment effect for clinical pregnancy diminishes over time until cycle</w:t>
      </w:r>
      <w:r w:rsidR="00634363">
        <w:t> </w:t>
      </w:r>
      <w:r w:rsidR="00425C7F" w:rsidRPr="005B2768">
        <w:t>3</w:t>
      </w:r>
      <w:r w:rsidR="00634363">
        <w:t> </w:t>
      </w:r>
      <w:r w:rsidR="00425C7F" w:rsidRPr="005B2768">
        <w:t>and assumes no incremental benefit from cycle 4 onwards. This increased the base case ICER of $</w:t>
      </w:r>
      <w:r w:rsidR="009A36E0">
        <w:t>0 to &lt; $5,000</w:t>
      </w:r>
      <w:r w:rsidR="00425C7F" w:rsidRPr="005B2768">
        <w:t xml:space="preserve"> per live birth (clinical pregnancy RR of 0.82 used in all cycles) to $</w:t>
      </w:r>
      <w:r w:rsidR="009A36E0">
        <w:t>5,000 to &lt; $15,000</w:t>
      </w:r>
      <w:r w:rsidR="00425C7F" w:rsidRPr="005B2768">
        <w:t xml:space="preserve"> per live birth.</w:t>
      </w:r>
    </w:p>
    <w:p w14:paraId="553ECEE5" w14:textId="77777777" w:rsidR="00522BAE" w:rsidRPr="00AF4651" w:rsidRDefault="00CB79D5" w:rsidP="00AF4651">
      <w:pPr>
        <w:pStyle w:val="3-BodyText"/>
        <w:rPr>
          <w:rStyle w:val="CommentReference"/>
          <w:rFonts w:eastAsiaTheme="majorEastAsia" w:cstheme="majorBidi"/>
          <w:szCs w:val="24"/>
        </w:rPr>
      </w:pPr>
      <w:r w:rsidRPr="005B2768">
        <w:t xml:space="preserve">During the evaluation, additional sensitivity analyses were conducted, and the additional analyses confirmed that the cost effectiveness results </w:t>
      </w:r>
      <w:r w:rsidR="00024D92" w:rsidRPr="00211C8B">
        <w:t xml:space="preserve">were </w:t>
      </w:r>
      <w:r w:rsidRPr="00211C8B">
        <w:t xml:space="preserve">highly sensitive to the estimated risk ratio of clinical pregnancy rate between Bemfola and </w:t>
      </w:r>
      <w:r w:rsidR="00907340" w:rsidRPr="00211C8B">
        <w:t>Gonal-f</w:t>
      </w:r>
      <w:r w:rsidR="007452CA" w:rsidRPr="00211C8B">
        <w:t>.</w:t>
      </w:r>
      <w:r w:rsidRPr="00211C8B">
        <w:t xml:space="preserve"> This risk ratio was calculated for the clinical pregnancy rate in cycle 1 for biosimilar versus </w:t>
      </w:r>
      <w:r w:rsidR="00907340" w:rsidRPr="00211C8B">
        <w:t>Gonal-f</w:t>
      </w:r>
      <w:r w:rsidRPr="00211C8B">
        <w:t xml:space="preserve">, and </w:t>
      </w:r>
      <w:r w:rsidR="00C736FE">
        <w:t xml:space="preserve">the PBAC considered that this </w:t>
      </w:r>
      <w:r w:rsidR="00F83041">
        <w:t>wa</w:t>
      </w:r>
      <w:r w:rsidR="00C736FE">
        <w:t xml:space="preserve">s </w:t>
      </w:r>
      <w:r w:rsidRPr="00211C8B">
        <w:t xml:space="preserve">not applicable </w:t>
      </w:r>
      <w:r w:rsidR="00C736FE">
        <w:t>to the</w:t>
      </w:r>
      <w:r w:rsidRPr="00211C8B">
        <w:t xml:space="preserve"> other IVF cycles.</w:t>
      </w:r>
    </w:p>
    <w:p w14:paraId="65940779" w14:textId="77777777" w:rsidR="006C4D67" w:rsidRDefault="006C4D67">
      <w:pPr>
        <w:jc w:val="left"/>
        <w:rPr>
          <w:rFonts w:ascii="Arial Narrow" w:eastAsiaTheme="majorEastAsia" w:hAnsi="Arial Narrow" w:cstheme="majorBidi"/>
          <w:b/>
          <w:bCs/>
          <w:sz w:val="20"/>
        </w:rPr>
      </w:pPr>
      <w:r>
        <w:br w:type="page"/>
      </w:r>
    </w:p>
    <w:p w14:paraId="7AEF9674" w14:textId="77777777" w:rsidR="004650A7" w:rsidRDefault="004650A7" w:rsidP="005B2768">
      <w:pPr>
        <w:pStyle w:val="TableFigureHeading"/>
      </w:pPr>
      <w:r>
        <w:t xml:space="preserve">Table </w:t>
      </w:r>
      <w:r w:rsidR="00360359">
        <w:rPr>
          <w:noProof/>
        </w:rPr>
        <w:t>13</w:t>
      </w:r>
      <w:r>
        <w:t xml:space="preserve">: </w:t>
      </w:r>
      <w:r w:rsidRPr="008556A0">
        <w:t>Results of sensitivity analyses</w:t>
      </w:r>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sults of sensitivity analyses"/>
        <w:tblDescription w:val="Results of sensitivity analyses"/>
      </w:tblPr>
      <w:tblGrid>
        <w:gridCol w:w="4248"/>
        <w:gridCol w:w="1559"/>
        <w:gridCol w:w="1985"/>
        <w:gridCol w:w="1257"/>
      </w:tblGrid>
      <w:tr w:rsidR="00CB79D5" w:rsidRPr="00211C8B" w14:paraId="1D8A7F84" w14:textId="77777777" w:rsidTr="00A713BB">
        <w:trPr>
          <w:tblHeader/>
        </w:trPr>
        <w:tc>
          <w:tcPr>
            <w:tcW w:w="4248" w:type="dxa"/>
          </w:tcPr>
          <w:p w14:paraId="546BD6C0" w14:textId="77777777" w:rsidR="00CB79D5" w:rsidRPr="00211C8B" w:rsidRDefault="00CB79D5" w:rsidP="00CB79D5">
            <w:pPr>
              <w:pStyle w:val="In-tableHeading"/>
              <w:widowControl w:val="0"/>
              <w:rPr>
                <w:lang w:val="en-AU"/>
              </w:rPr>
            </w:pPr>
            <w:r w:rsidRPr="00211C8B">
              <w:rPr>
                <w:lang w:val="en-AU"/>
              </w:rPr>
              <w:t>Analyses</w:t>
            </w:r>
          </w:p>
        </w:tc>
        <w:tc>
          <w:tcPr>
            <w:tcW w:w="1559" w:type="dxa"/>
          </w:tcPr>
          <w:p w14:paraId="481A7245" w14:textId="77777777" w:rsidR="00CB79D5" w:rsidRPr="00211C8B" w:rsidRDefault="00CB79D5" w:rsidP="00CB79D5">
            <w:pPr>
              <w:pStyle w:val="In-tableHeading"/>
              <w:widowControl w:val="0"/>
              <w:jc w:val="center"/>
              <w:rPr>
                <w:lang w:val="en-AU"/>
              </w:rPr>
            </w:pPr>
            <w:r w:rsidRPr="00211C8B">
              <w:rPr>
                <w:lang w:val="en-AU"/>
              </w:rPr>
              <w:t>Incremental cost</w:t>
            </w:r>
            <w:r w:rsidR="003E1B15">
              <w:rPr>
                <w:lang w:val="en-AU"/>
              </w:rPr>
              <w:t xml:space="preserve"> ($)</w:t>
            </w:r>
          </w:p>
        </w:tc>
        <w:tc>
          <w:tcPr>
            <w:tcW w:w="1985" w:type="dxa"/>
          </w:tcPr>
          <w:p w14:paraId="399E97D6" w14:textId="77777777" w:rsidR="00CB79D5" w:rsidRPr="00211C8B" w:rsidRDefault="00CB79D5" w:rsidP="00CB79D5">
            <w:pPr>
              <w:pStyle w:val="In-tableHeading"/>
              <w:widowControl w:val="0"/>
              <w:jc w:val="center"/>
              <w:rPr>
                <w:lang w:val="en-AU"/>
              </w:rPr>
            </w:pPr>
            <w:r w:rsidRPr="00211C8B">
              <w:rPr>
                <w:lang w:val="en-AU"/>
              </w:rPr>
              <w:t>Incremental live birth</w:t>
            </w:r>
          </w:p>
        </w:tc>
        <w:tc>
          <w:tcPr>
            <w:tcW w:w="1257" w:type="dxa"/>
          </w:tcPr>
          <w:p w14:paraId="1433AD42" w14:textId="77777777" w:rsidR="00CB79D5" w:rsidRPr="00211C8B" w:rsidRDefault="00CB79D5" w:rsidP="00CB79D5">
            <w:pPr>
              <w:pStyle w:val="In-tableHeading"/>
              <w:widowControl w:val="0"/>
              <w:jc w:val="center"/>
              <w:rPr>
                <w:lang w:val="en-AU"/>
              </w:rPr>
            </w:pPr>
            <w:r w:rsidRPr="00211C8B">
              <w:rPr>
                <w:lang w:val="en-AU"/>
              </w:rPr>
              <w:t>ICER</w:t>
            </w:r>
          </w:p>
        </w:tc>
      </w:tr>
      <w:tr w:rsidR="00CB79D5" w:rsidRPr="00211C8B" w14:paraId="1C40A877" w14:textId="77777777" w:rsidTr="00A713BB">
        <w:tc>
          <w:tcPr>
            <w:tcW w:w="4248" w:type="dxa"/>
          </w:tcPr>
          <w:p w14:paraId="654AA9D1" w14:textId="77777777" w:rsidR="00CB79D5" w:rsidRPr="00211C8B" w:rsidRDefault="00CB79D5" w:rsidP="00CB79D5">
            <w:pPr>
              <w:pStyle w:val="In-tableHeading"/>
              <w:widowControl w:val="0"/>
              <w:rPr>
                <w:b w:val="0"/>
                <w:bCs/>
                <w:lang w:val="en-AU"/>
              </w:rPr>
            </w:pPr>
            <w:r w:rsidRPr="00211C8B">
              <w:rPr>
                <w:b w:val="0"/>
                <w:bCs/>
                <w:lang w:val="en-AU"/>
              </w:rPr>
              <w:t xml:space="preserve">Base case, 8 IVF cycle </w:t>
            </w:r>
          </w:p>
        </w:tc>
        <w:tc>
          <w:tcPr>
            <w:tcW w:w="1559" w:type="dxa"/>
          </w:tcPr>
          <w:p w14:paraId="7C619FF9" w14:textId="77777777" w:rsidR="00CB79D5" w:rsidRPr="00E70F00" w:rsidRDefault="00E70F00" w:rsidP="00CB79D5">
            <w:pPr>
              <w:pStyle w:val="In-tableHeading"/>
              <w:widowControl w:val="0"/>
              <w:rPr>
                <w:b w:val="0"/>
                <w:bCs/>
                <w:highlight w:val="black"/>
                <w:lang w:val="en-AU"/>
              </w:rPr>
            </w:pPr>
            <w:r>
              <w:rPr>
                <w:b w:val="0"/>
                <w:bCs/>
                <w:noProof/>
                <w:color w:val="000000"/>
                <w:highlight w:val="black"/>
                <w:lang w:val="en-AU"/>
              </w:rPr>
              <w:t>''''''''</w:t>
            </w:r>
          </w:p>
        </w:tc>
        <w:tc>
          <w:tcPr>
            <w:tcW w:w="1985" w:type="dxa"/>
          </w:tcPr>
          <w:p w14:paraId="4843069F" w14:textId="77777777" w:rsidR="00CB79D5" w:rsidRPr="00211C8B" w:rsidRDefault="00CB79D5" w:rsidP="00CB79D5">
            <w:pPr>
              <w:pStyle w:val="In-tableHeading"/>
              <w:widowControl w:val="0"/>
              <w:rPr>
                <w:b w:val="0"/>
                <w:bCs/>
                <w:lang w:val="en-AU"/>
              </w:rPr>
            </w:pPr>
            <w:r w:rsidRPr="00211C8B">
              <w:rPr>
                <w:b w:val="0"/>
                <w:bCs/>
                <w:lang w:val="en-AU"/>
              </w:rPr>
              <w:t>0.07</w:t>
            </w:r>
          </w:p>
        </w:tc>
        <w:tc>
          <w:tcPr>
            <w:tcW w:w="1257" w:type="dxa"/>
          </w:tcPr>
          <w:p w14:paraId="4E61E2A5" w14:textId="77777777" w:rsidR="00CB79D5" w:rsidRPr="00A54384" w:rsidRDefault="00E70F00" w:rsidP="00CB79D5">
            <w:pPr>
              <w:pStyle w:val="In-tableHeading"/>
              <w:widowControl w:val="0"/>
              <w:rPr>
                <w:b w:val="0"/>
                <w:bCs/>
                <w:lang w:val="en-AU"/>
              </w:rPr>
            </w:pPr>
            <w:r>
              <w:rPr>
                <w:b w:val="0"/>
                <w:bCs/>
                <w:noProof/>
                <w:color w:val="000000"/>
                <w:highlight w:val="black"/>
                <w:lang w:val="en-AU"/>
              </w:rPr>
              <w:t>'''''''''''''''''''''</w:t>
            </w:r>
            <w:r w:rsidR="00A54384" w:rsidRPr="00587176">
              <w:rPr>
                <w:b w:val="0"/>
                <w:bCs/>
                <w:vertAlign w:val="superscript"/>
                <w:lang w:val="en-AU"/>
              </w:rPr>
              <w:t>1</w:t>
            </w:r>
          </w:p>
        </w:tc>
      </w:tr>
      <w:tr w:rsidR="00CB79D5" w:rsidRPr="00211C8B" w14:paraId="3F9A48AB" w14:textId="77777777" w:rsidTr="00A713BB">
        <w:tc>
          <w:tcPr>
            <w:tcW w:w="9049" w:type="dxa"/>
            <w:gridSpan w:val="4"/>
          </w:tcPr>
          <w:p w14:paraId="778B8C82" w14:textId="77777777" w:rsidR="00CB79D5" w:rsidRPr="00211C8B" w:rsidRDefault="00CB79D5" w:rsidP="00A713BB">
            <w:pPr>
              <w:pStyle w:val="In-tableHeading"/>
              <w:keepNext w:val="0"/>
              <w:widowControl w:val="0"/>
              <w:rPr>
                <w:lang w:val="en-AU"/>
              </w:rPr>
            </w:pPr>
            <w:r w:rsidRPr="00211C8B">
              <w:rPr>
                <w:lang w:val="en-AU"/>
              </w:rPr>
              <w:t xml:space="preserve">Sensitivity analyses presented in the submission </w:t>
            </w:r>
          </w:p>
        </w:tc>
      </w:tr>
      <w:tr w:rsidR="00CB79D5" w:rsidRPr="00211C8B" w14:paraId="48C7E002" w14:textId="77777777" w:rsidTr="00A713BB">
        <w:tc>
          <w:tcPr>
            <w:tcW w:w="4248" w:type="dxa"/>
            <w:vAlign w:val="center"/>
          </w:tcPr>
          <w:p w14:paraId="1CE2A243" w14:textId="77777777" w:rsidR="00CB79D5" w:rsidRPr="00211C8B" w:rsidRDefault="00CB79D5" w:rsidP="00A713BB">
            <w:pPr>
              <w:pStyle w:val="In-tableHeading"/>
              <w:keepNext w:val="0"/>
              <w:widowControl w:val="0"/>
              <w:rPr>
                <w:b w:val="0"/>
                <w:bCs/>
                <w:lang w:val="en-AU"/>
              </w:rPr>
            </w:pPr>
            <w:r w:rsidRPr="00211C8B">
              <w:rPr>
                <w:b w:val="0"/>
                <w:bCs/>
                <w:lang w:val="en-AU"/>
              </w:rPr>
              <w:t>Chua et al 2021 lower 95% CI around clinical pregnancy rate = 0.7</w:t>
            </w:r>
            <w:r w:rsidR="007452CA" w:rsidRPr="00211C8B">
              <w:rPr>
                <w:b w:val="0"/>
                <w:bCs/>
                <w:lang w:val="en-AU"/>
              </w:rPr>
              <w:t xml:space="preserve"> (base case = 0.82)</w:t>
            </w:r>
          </w:p>
        </w:tc>
        <w:tc>
          <w:tcPr>
            <w:tcW w:w="1559" w:type="dxa"/>
            <w:vAlign w:val="center"/>
          </w:tcPr>
          <w:p w14:paraId="3D77AB86" w14:textId="77777777" w:rsidR="00CB79D5" w:rsidRPr="00211C8B" w:rsidRDefault="00CB79D5" w:rsidP="00A713BB">
            <w:pPr>
              <w:pStyle w:val="In-tableHeading"/>
              <w:keepNext w:val="0"/>
              <w:widowControl w:val="0"/>
              <w:rPr>
                <w:b w:val="0"/>
                <w:bCs/>
                <w:lang w:val="en-AU"/>
              </w:rPr>
            </w:pPr>
            <w:r w:rsidRPr="00211C8B">
              <w:rPr>
                <w:b w:val="0"/>
                <w:bCs/>
                <w:lang w:val="en-AU"/>
              </w:rPr>
              <w:t>Not reported</w:t>
            </w:r>
          </w:p>
        </w:tc>
        <w:tc>
          <w:tcPr>
            <w:tcW w:w="1985" w:type="dxa"/>
            <w:vAlign w:val="center"/>
          </w:tcPr>
          <w:p w14:paraId="32FBFC96" w14:textId="77777777" w:rsidR="00CB79D5" w:rsidRPr="00211C8B" w:rsidRDefault="00CB79D5" w:rsidP="00A713BB">
            <w:pPr>
              <w:pStyle w:val="In-tableHeading"/>
              <w:keepNext w:val="0"/>
              <w:widowControl w:val="0"/>
              <w:rPr>
                <w:b w:val="0"/>
                <w:bCs/>
                <w:lang w:val="en-AU"/>
              </w:rPr>
            </w:pPr>
            <w:r w:rsidRPr="00211C8B">
              <w:rPr>
                <w:b w:val="0"/>
                <w:bCs/>
                <w:lang w:val="en-AU"/>
              </w:rPr>
              <w:t>Not reported</w:t>
            </w:r>
          </w:p>
        </w:tc>
        <w:tc>
          <w:tcPr>
            <w:tcW w:w="1257" w:type="dxa"/>
            <w:vAlign w:val="center"/>
          </w:tcPr>
          <w:p w14:paraId="0815D638" w14:textId="77777777" w:rsidR="00CB79D5" w:rsidRPr="00211C8B" w:rsidRDefault="00CB79D5" w:rsidP="00A713BB">
            <w:pPr>
              <w:pStyle w:val="In-tableHeading"/>
              <w:keepNext w:val="0"/>
              <w:widowControl w:val="0"/>
              <w:rPr>
                <w:b w:val="0"/>
                <w:bCs/>
                <w:lang w:val="en-AU"/>
              </w:rPr>
            </w:pPr>
            <w:r w:rsidRPr="00211C8B">
              <w:rPr>
                <w:b w:val="0"/>
                <w:bCs/>
                <w:lang w:val="en-AU"/>
              </w:rPr>
              <w:t>Dominates</w:t>
            </w:r>
          </w:p>
        </w:tc>
      </w:tr>
      <w:tr w:rsidR="00CB79D5" w:rsidRPr="00211C8B" w14:paraId="76319EC2" w14:textId="77777777" w:rsidTr="00A713BB">
        <w:tc>
          <w:tcPr>
            <w:tcW w:w="4248" w:type="dxa"/>
            <w:vAlign w:val="center"/>
          </w:tcPr>
          <w:p w14:paraId="36E99960" w14:textId="77777777" w:rsidR="00CB79D5" w:rsidRPr="00211C8B" w:rsidRDefault="00CB79D5" w:rsidP="00A713BB">
            <w:pPr>
              <w:pStyle w:val="In-tableHeading"/>
              <w:keepNext w:val="0"/>
              <w:widowControl w:val="0"/>
              <w:rPr>
                <w:b w:val="0"/>
                <w:bCs/>
                <w:lang w:val="en-AU"/>
              </w:rPr>
            </w:pPr>
            <w:r w:rsidRPr="00211C8B">
              <w:rPr>
                <w:b w:val="0"/>
                <w:bCs/>
                <w:lang w:val="en-AU"/>
              </w:rPr>
              <w:t xml:space="preserve">Chua et al 2021 upper 95% CI around clinical pregnancy rate = 0.95 </w:t>
            </w:r>
            <w:r w:rsidR="007452CA" w:rsidRPr="00211C8B">
              <w:rPr>
                <w:b w:val="0"/>
                <w:bCs/>
                <w:lang w:val="en-AU"/>
              </w:rPr>
              <w:t>(base case = 0.82)</w:t>
            </w:r>
          </w:p>
        </w:tc>
        <w:tc>
          <w:tcPr>
            <w:tcW w:w="1559" w:type="dxa"/>
            <w:vAlign w:val="center"/>
          </w:tcPr>
          <w:p w14:paraId="3AADB9E3" w14:textId="77777777" w:rsidR="00CB79D5" w:rsidRPr="00211C8B" w:rsidRDefault="00CB79D5" w:rsidP="00A713BB">
            <w:pPr>
              <w:pStyle w:val="In-tableHeading"/>
              <w:keepNext w:val="0"/>
              <w:widowControl w:val="0"/>
              <w:rPr>
                <w:b w:val="0"/>
                <w:bCs/>
                <w:lang w:val="en-AU"/>
              </w:rPr>
            </w:pPr>
            <w:r w:rsidRPr="00211C8B">
              <w:rPr>
                <w:b w:val="0"/>
                <w:bCs/>
                <w:lang w:val="en-AU"/>
              </w:rPr>
              <w:t>Not reported</w:t>
            </w:r>
          </w:p>
        </w:tc>
        <w:tc>
          <w:tcPr>
            <w:tcW w:w="1985" w:type="dxa"/>
            <w:vAlign w:val="center"/>
          </w:tcPr>
          <w:p w14:paraId="35C11447" w14:textId="77777777" w:rsidR="00CB79D5" w:rsidRPr="00211C8B" w:rsidRDefault="00CB79D5" w:rsidP="00A713BB">
            <w:pPr>
              <w:pStyle w:val="In-tableHeading"/>
              <w:keepNext w:val="0"/>
              <w:widowControl w:val="0"/>
              <w:rPr>
                <w:b w:val="0"/>
                <w:bCs/>
                <w:lang w:val="en-AU"/>
              </w:rPr>
            </w:pPr>
            <w:r w:rsidRPr="00211C8B">
              <w:rPr>
                <w:b w:val="0"/>
                <w:bCs/>
                <w:lang w:val="en-AU"/>
              </w:rPr>
              <w:t>Not reported</w:t>
            </w:r>
          </w:p>
        </w:tc>
        <w:tc>
          <w:tcPr>
            <w:tcW w:w="1257" w:type="dxa"/>
            <w:vAlign w:val="center"/>
          </w:tcPr>
          <w:p w14:paraId="4B33C754" w14:textId="77777777" w:rsidR="00CB79D5" w:rsidRPr="00211C8B" w:rsidRDefault="00CB79D5" w:rsidP="00A713BB">
            <w:pPr>
              <w:pStyle w:val="In-tableHeading"/>
              <w:keepNext w:val="0"/>
              <w:widowControl w:val="0"/>
              <w:rPr>
                <w:b w:val="0"/>
                <w:bCs/>
                <w:lang w:val="en-AU"/>
              </w:rPr>
            </w:pPr>
          </w:p>
          <w:p w14:paraId="1C72ABB2" w14:textId="77777777" w:rsidR="00CB79D5" w:rsidRPr="00211C8B" w:rsidRDefault="00E70F00" w:rsidP="00A713BB">
            <w:pPr>
              <w:pStyle w:val="In-tableHeading"/>
              <w:keepNext w:val="0"/>
              <w:widowControl w:val="0"/>
              <w:rPr>
                <w:b w:val="0"/>
                <w:bCs/>
                <w:lang w:val="en-AU"/>
              </w:rPr>
            </w:pPr>
            <w:r>
              <w:rPr>
                <w:b w:val="0"/>
                <w:bCs/>
                <w:noProof/>
                <w:color w:val="000000"/>
                <w:highlight w:val="black"/>
                <w:lang w:val="en-AU"/>
              </w:rPr>
              <w:t>'''''''''''''''''''''</w:t>
            </w:r>
            <w:r w:rsidR="00A54384" w:rsidRPr="00587176">
              <w:rPr>
                <w:b w:val="0"/>
                <w:vertAlign w:val="superscript"/>
              </w:rPr>
              <w:t>2</w:t>
            </w:r>
          </w:p>
        </w:tc>
      </w:tr>
      <w:tr w:rsidR="00CB79D5" w:rsidRPr="00211C8B" w14:paraId="099763DB" w14:textId="77777777" w:rsidTr="00A713BB">
        <w:tc>
          <w:tcPr>
            <w:tcW w:w="4248" w:type="dxa"/>
            <w:vAlign w:val="center"/>
          </w:tcPr>
          <w:p w14:paraId="68A4632C" w14:textId="77777777" w:rsidR="00CB79D5" w:rsidRPr="00211C8B" w:rsidRDefault="00CB79D5" w:rsidP="00A713BB">
            <w:pPr>
              <w:pStyle w:val="In-tableHeading"/>
              <w:keepNext w:val="0"/>
              <w:widowControl w:val="0"/>
              <w:rPr>
                <w:b w:val="0"/>
                <w:bCs/>
                <w:lang w:val="en-AU"/>
              </w:rPr>
            </w:pPr>
            <w:r w:rsidRPr="00211C8B">
              <w:rPr>
                <w:b w:val="0"/>
                <w:bCs/>
                <w:lang w:val="en-AU"/>
              </w:rPr>
              <w:t>Discontinuation rate increases in subsequent cycles (by 1% per cycle)</w:t>
            </w:r>
          </w:p>
        </w:tc>
        <w:tc>
          <w:tcPr>
            <w:tcW w:w="1559" w:type="dxa"/>
            <w:vAlign w:val="center"/>
          </w:tcPr>
          <w:p w14:paraId="057D8201" w14:textId="77777777" w:rsidR="00CB79D5" w:rsidRPr="00211C8B" w:rsidRDefault="00CB79D5" w:rsidP="00A713BB">
            <w:pPr>
              <w:pStyle w:val="In-tableHeading"/>
              <w:keepNext w:val="0"/>
              <w:widowControl w:val="0"/>
              <w:rPr>
                <w:b w:val="0"/>
                <w:bCs/>
                <w:lang w:val="en-AU"/>
              </w:rPr>
            </w:pPr>
            <w:r w:rsidRPr="00211C8B">
              <w:rPr>
                <w:b w:val="0"/>
                <w:bCs/>
                <w:lang w:val="en-AU"/>
              </w:rPr>
              <w:t>Not reported</w:t>
            </w:r>
          </w:p>
        </w:tc>
        <w:tc>
          <w:tcPr>
            <w:tcW w:w="1985" w:type="dxa"/>
            <w:vAlign w:val="center"/>
          </w:tcPr>
          <w:p w14:paraId="3AF10CDF" w14:textId="77777777" w:rsidR="00CB79D5" w:rsidRPr="00211C8B" w:rsidRDefault="00CB79D5" w:rsidP="00A713BB">
            <w:pPr>
              <w:pStyle w:val="In-tableHeading"/>
              <w:keepNext w:val="0"/>
              <w:widowControl w:val="0"/>
              <w:rPr>
                <w:b w:val="0"/>
                <w:bCs/>
                <w:lang w:val="en-AU"/>
              </w:rPr>
            </w:pPr>
            <w:r w:rsidRPr="00211C8B">
              <w:rPr>
                <w:b w:val="0"/>
                <w:bCs/>
                <w:lang w:val="en-AU"/>
              </w:rPr>
              <w:t>Not reported</w:t>
            </w:r>
          </w:p>
        </w:tc>
        <w:tc>
          <w:tcPr>
            <w:tcW w:w="1257" w:type="dxa"/>
            <w:vAlign w:val="center"/>
          </w:tcPr>
          <w:p w14:paraId="4C879CCE" w14:textId="77777777" w:rsidR="00CB79D5" w:rsidRPr="00211C8B" w:rsidRDefault="00E70F00" w:rsidP="00A713BB">
            <w:pPr>
              <w:pStyle w:val="In-tableHeading"/>
              <w:keepNext w:val="0"/>
              <w:widowControl w:val="0"/>
              <w:rPr>
                <w:b w:val="0"/>
                <w:bCs/>
                <w:lang w:val="en-AU"/>
              </w:rPr>
            </w:pPr>
            <w:r>
              <w:rPr>
                <w:b w:val="0"/>
                <w:bCs/>
                <w:noProof/>
                <w:color w:val="000000"/>
                <w:highlight w:val="black"/>
                <w:lang w:val="en-AU"/>
              </w:rPr>
              <w:t>''''''''''''''''</w:t>
            </w:r>
            <w:r w:rsidR="00A54384" w:rsidRPr="005A4091">
              <w:rPr>
                <w:b w:val="0"/>
                <w:bCs/>
                <w:vertAlign w:val="superscript"/>
                <w:lang w:val="en-AU"/>
              </w:rPr>
              <w:t>1</w:t>
            </w:r>
          </w:p>
        </w:tc>
      </w:tr>
      <w:tr w:rsidR="00CB79D5" w:rsidRPr="00211C8B" w14:paraId="2AA45532" w14:textId="77777777" w:rsidTr="00A713BB">
        <w:tc>
          <w:tcPr>
            <w:tcW w:w="4248" w:type="dxa"/>
            <w:vAlign w:val="center"/>
          </w:tcPr>
          <w:p w14:paraId="0FDE73F2" w14:textId="77777777" w:rsidR="00CB79D5" w:rsidRPr="00211C8B" w:rsidRDefault="00CB79D5" w:rsidP="00A713BB">
            <w:pPr>
              <w:pStyle w:val="In-tableHeading"/>
              <w:keepNext w:val="0"/>
              <w:widowControl w:val="0"/>
              <w:rPr>
                <w:b w:val="0"/>
                <w:bCs/>
                <w:lang w:val="en-AU"/>
              </w:rPr>
            </w:pPr>
            <w:r w:rsidRPr="00211C8B">
              <w:rPr>
                <w:b w:val="0"/>
                <w:bCs/>
                <w:lang w:val="en-AU"/>
              </w:rPr>
              <w:t xml:space="preserve">Clinical pregnancy rate does not diminish in subsequent cycles </w:t>
            </w:r>
          </w:p>
        </w:tc>
        <w:tc>
          <w:tcPr>
            <w:tcW w:w="1559" w:type="dxa"/>
            <w:vAlign w:val="center"/>
          </w:tcPr>
          <w:p w14:paraId="6412C4E8" w14:textId="77777777" w:rsidR="00CB79D5" w:rsidRPr="00211C8B" w:rsidRDefault="00CB79D5" w:rsidP="00A713BB">
            <w:pPr>
              <w:pStyle w:val="In-tableHeading"/>
              <w:keepNext w:val="0"/>
              <w:widowControl w:val="0"/>
              <w:rPr>
                <w:b w:val="0"/>
                <w:bCs/>
                <w:lang w:val="en-AU"/>
              </w:rPr>
            </w:pPr>
            <w:r w:rsidRPr="00211C8B">
              <w:rPr>
                <w:b w:val="0"/>
                <w:bCs/>
                <w:lang w:val="en-AU"/>
              </w:rPr>
              <w:t>Not reported</w:t>
            </w:r>
          </w:p>
        </w:tc>
        <w:tc>
          <w:tcPr>
            <w:tcW w:w="1985" w:type="dxa"/>
            <w:vAlign w:val="center"/>
          </w:tcPr>
          <w:p w14:paraId="3F18E8C0" w14:textId="77777777" w:rsidR="00CB79D5" w:rsidRPr="00211C8B" w:rsidRDefault="00CB79D5" w:rsidP="00A713BB">
            <w:pPr>
              <w:pStyle w:val="In-tableHeading"/>
              <w:keepNext w:val="0"/>
              <w:widowControl w:val="0"/>
              <w:rPr>
                <w:b w:val="0"/>
                <w:bCs/>
                <w:lang w:val="en-AU"/>
              </w:rPr>
            </w:pPr>
            <w:r w:rsidRPr="00211C8B">
              <w:rPr>
                <w:b w:val="0"/>
                <w:bCs/>
                <w:lang w:val="en-AU"/>
              </w:rPr>
              <w:t>Not reported</w:t>
            </w:r>
          </w:p>
        </w:tc>
        <w:tc>
          <w:tcPr>
            <w:tcW w:w="1257" w:type="dxa"/>
            <w:vAlign w:val="center"/>
          </w:tcPr>
          <w:p w14:paraId="39A5D9E1" w14:textId="77777777" w:rsidR="00CB79D5" w:rsidRPr="00211C8B" w:rsidRDefault="00E70F00" w:rsidP="00A713BB">
            <w:pPr>
              <w:pStyle w:val="In-tableHeading"/>
              <w:keepNext w:val="0"/>
              <w:widowControl w:val="0"/>
              <w:rPr>
                <w:b w:val="0"/>
                <w:bCs/>
                <w:lang w:val="en-AU"/>
              </w:rPr>
            </w:pPr>
            <w:r>
              <w:rPr>
                <w:b w:val="0"/>
                <w:bCs/>
                <w:noProof/>
                <w:color w:val="000000"/>
                <w:highlight w:val="black"/>
                <w:lang w:val="en-AU"/>
              </w:rPr>
              <w:t>'''''''''''</w:t>
            </w:r>
            <w:r w:rsidR="00A54384" w:rsidRPr="005A4091">
              <w:rPr>
                <w:b w:val="0"/>
                <w:bCs/>
                <w:vertAlign w:val="superscript"/>
                <w:lang w:val="en-AU"/>
              </w:rPr>
              <w:t>1</w:t>
            </w:r>
          </w:p>
        </w:tc>
      </w:tr>
      <w:tr w:rsidR="00CB79D5" w:rsidRPr="00211C8B" w14:paraId="3115639E" w14:textId="77777777" w:rsidTr="00A713BB">
        <w:tc>
          <w:tcPr>
            <w:tcW w:w="4248" w:type="dxa"/>
            <w:vAlign w:val="center"/>
          </w:tcPr>
          <w:p w14:paraId="7D652B70" w14:textId="77777777" w:rsidR="00CB79D5" w:rsidRPr="00211C8B" w:rsidRDefault="00CB79D5" w:rsidP="00A713BB">
            <w:pPr>
              <w:pStyle w:val="In-tableHeading"/>
              <w:keepNext w:val="0"/>
              <w:widowControl w:val="0"/>
              <w:rPr>
                <w:b w:val="0"/>
                <w:bCs/>
                <w:lang w:val="en-AU"/>
              </w:rPr>
            </w:pPr>
            <w:r w:rsidRPr="00211C8B">
              <w:rPr>
                <w:b w:val="0"/>
                <w:bCs/>
                <w:lang w:val="en-AU"/>
              </w:rPr>
              <w:t>89% of patients with clinical pregnancy achieve live birth (Chua et al. (2021))</w:t>
            </w:r>
          </w:p>
        </w:tc>
        <w:tc>
          <w:tcPr>
            <w:tcW w:w="1559" w:type="dxa"/>
            <w:vAlign w:val="center"/>
          </w:tcPr>
          <w:p w14:paraId="2D406472" w14:textId="77777777" w:rsidR="00CB79D5" w:rsidRPr="00211C8B" w:rsidRDefault="00CB79D5" w:rsidP="00A713BB">
            <w:pPr>
              <w:pStyle w:val="In-tableHeading"/>
              <w:keepNext w:val="0"/>
              <w:widowControl w:val="0"/>
              <w:rPr>
                <w:b w:val="0"/>
                <w:bCs/>
                <w:lang w:val="en-AU"/>
              </w:rPr>
            </w:pPr>
            <w:r w:rsidRPr="00211C8B">
              <w:rPr>
                <w:b w:val="0"/>
                <w:bCs/>
                <w:lang w:val="en-AU"/>
              </w:rPr>
              <w:t>Not reported</w:t>
            </w:r>
          </w:p>
        </w:tc>
        <w:tc>
          <w:tcPr>
            <w:tcW w:w="1985" w:type="dxa"/>
            <w:vAlign w:val="center"/>
          </w:tcPr>
          <w:p w14:paraId="1A5A2D87" w14:textId="77777777" w:rsidR="00CB79D5" w:rsidRPr="00211C8B" w:rsidRDefault="00CB79D5" w:rsidP="00A713BB">
            <w:pPr>
              <w:pStyle w:val="In-tableHeading"/>
              <w:keepNext w:val="0"/>
              <w:widowControl w:val="0"/>
              <w:rPr>
                <w:b w:val="0"/>
                <w:bCs/>
                <w:lang w:val="en-AU"/>
              </w:rPr>
            </w:pPr>
            <w:r w:rsidRPr="00211C8B">
              <w:rPr>
                <w:b w:val="0"/>
                <w:bCs/>
                <w:lang w:val="en-AU"/>
              </w:rPr>
              <w:t>Not reported</w:t>
            </w:r>
          </w:p>
        </w:tc>
        <w:tc>
          <w:tcPr>
            <w:tcW w:w="1257" w:type="dxa"/>
            <w:vAlign w:val="center"/>
          </w:tcPr>
          <w:p w14:paraId="10914BCB" w14:textId="77777777" w:rsidR="00CB79D5" w:rsidRPr="00211C8B" w:rsidRDefault="00CB79D5" w:rsidP="00A713BB">
            <w:pPr>
              <w:pStyle w:val="In-tableHeading"/>
              <w:keepNext w:val="0"/>
              <w:widowControl w:val="0"/>
              <w:rPr>
                <w:b w:val="0"/>
                <w:bCs/>
                <w:lang w:val="en-AU"/>
              </w:rPr>
            </w:pPr>
            <w:r w:rsidRPr="00211C8B">
              <w:rPr>
                <w:b w:val="0"/>
                <w:bCs/>
                <w:lang w:val="en-AU"/>
              </w:rPr>
              <w:t>Dominates</w:t>
            </w:r>
          </w:p>
        </w:tc>
      </w:tr>
      <w:tr w:rsidR="00CB79D5" w:rsidRPr="00211C8B" w14:paraId="5FD6DD09" w14:textId="77777777" w:rsidTr="00A713BB">
        <w:tc>
          <w:tcPr>
            <w:tcW w:w="4248" w:type="dxa"/>
            <w:vAlign w:val="center"/>
          </w:tcPr>
          <w:p w14:paraId="1C9B7912" w14:textId="77777777" w:rsidR="00CB79D5" w:rsidRPr="00211C8B" w:rsidRDefault="00CB79D5" w:rsidP="00A713BB">
            <w:pPr>
              <w:pStyle w:val="In-tableHeading"/>
              <w:keepNext w:val="0"/>
              <w:widowControl w:val="0"/>
              <w:rPr>
                <w:b w:val="0"/>
                <w:bCs/>
                <w:lang w:val="en-AU"/>
              </w:rPr>
            </w:pPr>
            <w:r w:rsidRPr="00211C8B">
              <w:rPr>
                <w:b w:val="0"/>
                <w:bCs/>
                <w:lang w:val="en-AU"/>
              </w:rPr>
              <w:t>All strengths of Bemfola are used (accept the 75 IU)</w:t>
            </w:r>
          </w:p>
        </w:tc>
        <w:tc>
          <w:tcPr>
            <w:tcW w:w="1559" w:type="dxa"/>
            <w:vAlign w:val="center"/>
          </w:tcPr>
          <w:p w14:paraId="138064C2" w14:textId="77777777" w:rsidR="00CB79D5" w:rsidRPr="00211C8B" w:rsidRDefault="00CB79D5" w:rsidP="00A713BB">
            <w:pPr>
              <w:pStyle w:val="In-tableHeading"/>
              <w:keepNext w:val="0"/>
              <w:widowControl w:val="0"/>
              <w:rPr>
                <w:b w:val="0"/>
                <w:bCs/>
                <w:lang w:val="en-AU"/>
              </w:rPr>
            </w:pPr>
            <w:r w:rsidRPr="00211C8B">
              <w:rPr>
                <w:b w:val="0"/>
                <w:bCs/>
                <w:lang w:val="en-AU"/>
              </w:rPr>
              <w:t>Not reported</w:t>
            </w:r>
          </w:p>
        </w:tc>
        <w:tc>
          <w:tcPr>
            <w:tcW w:w="1985" w:type="dxa"/>
            <w:vAlign w:val="center"/>
          </w:tcPr>
          <w:p w14:paraId="3FA62950" w14:textId="77777777" w:rsidR="00CB79D5" w:rsidRPr="00211C8B" w:rsidRDefault="00CB79D5" w:rsidP="00A713BB">
            <w:pPr>
              <w:pStyle w:val="In-tableHeading"/>
              <w:keepNext w:val="0"/>
              <w:widowControl w:val="0"/>
              <w:rPr>
                <w:b w:val="0"/>
                <w:bCs/>
                <w:lang w:val="en-AU"/>
              </w:rPr>
            </w:pPr>
            <w:r w:rsidRPr="00211C8B">
              <w:rPr>
                <w:b w:val="0"/>
                <w:bCs/>
                <w:lang w:val="en-AU"/>
              </w:rPr>
              <w:t>Not reported</w:t>
            </w:r>
          </w:p>
        </w:tc>
        <w:tc>
          <w:tcPr>
            <w:tcW w:w="1257" w:type="dxa"/>
            <w:vAlign w:val="center"/>
          </w:tcPr>
          <w:p w14:paraId="648BBCCC" w14:textId="77777777" w:rsidR="00CB79D5" w:rsidRPr="00211C8B" w:rsidRDefault="00CB79D5" w:rsidP="00A713BB">
            <w:pPr>
              <w:pStyle w:val="In-tableHeading"/>
              <w:keepNext w:val="0"/>
              <w:widowControl w:val="0"/>
              <w:rPr>
                <w:b w:val="0"/>
                <w:bCs/>
                <w:lang w:val="en-AU"/>
              </w:rPr>
            </w:pPr>
            <w:r w:rsidRPr="00211C8B">
              <w:rPr>
                <w:b w:val="0"/>
                <w:bCs/>
                <w:lang w:val="en-AU"/>
              </w:rPr>
              <w:t>Dominates</w:t>
            </w:r>
          </w:p>
        </w:tc>
      </w:tr>
      <w:tr w:rsidR="00CB79D5" w:rsidRPr="00211C8B" w14:paraId="52AD218B" w14:textId="77777777" w:rsidTr="00A713BB">
        <w:tc>
          <w:tcPr>
            <w:tcW w:w="9049" w:type="dxa"/>
            <w:gridSpan w:val="4"/>
            <w:vAlign w:val="center"/>
          </w:tcPr>
          <w:p w14:paraId="50EA96EF" w14:textId="77777777" w:rsidR="00CB79D5" w:rsidRPr="00211C8B" w:rsidRDefault="00CB79D5" w:rsidP="00A713BB">
            <w:pPr>
              <w:pStyle w:val="In-tableHeading"/>
              <w:keepNext w:val="0"/>
              <w:widowControl w:val="0"/>
              <w:rPr>
                <w:iCs/>
                <w:lang w:val="en-AU"/>
              </w:rPr>
            </w:pPr>
            <w:r w:rsidRPr="00211C8B">
              <w:rPr>
                <w:iCs/>
                <w:lang w:val="en-AU"/>
              </w:rPr>
              <w:t xml:space="preserve">Additional sensitivity analyses during the evaluation </w:t>
            </w:r>
          </w:p>
        </w:tc>
      </w:tr>
      <w:tr w:rsidR="00CB79D5" w:rsidRPr="00211C8B" w14:paraId="01209E48" w14:textId="77777777" w:rsidTr="00A713BB">
        <w:tc>
          <w:tcPr>
            <w:tcW w:w="4248" w:type="dxa"/>
            <w:vAlign w:val="center"/>
          </w:tcPr>
          <w:p w14:paraId="56ECBFB7" w14:textId="77777777" w:rsidR="00CB79D5" w:rsidRPr="00211C8B" w:rsidRDefault="00CB79D5" w:rsidP="00A713BB">
            <w:pPr>
              <w:pStyle w:val="In-tableHeading"/>
              <w:keepNext w:val="0"/>
              <w:widowControl w:val="0"/>
              <w:rPr>
                <w:b w:val="0"/>
                <w:bCs/>
                <w:iCs/>
                <w:lang w:val="en-AU"/>
              </w:rPr>
            </w:pPr>
            <w:r w:rsidRPr="00211C8B">
              <w:rPr>
                <w:b w:val="0"/>
                <w:bCs/>
                <w:iCs/>
                <w:lang w:val="en-AU"/>
              </w:rPr>
              <w:t xml:space="preserve">Risk ratio of 0.82 for cycle 1, subsequent cycles have constant risk ratio of 1 (no differences between </w:t>
            </w:r>
            <w:r w:rsidR="00907340" w:rsidRPr="00211C8B">
              <w:rPr>
                <w:b w:val="0"/>
                <w:bCs/>
                <w:iCs/>
                <w:lang w:val="en-AU"/>
              </w:rPr>
              <w:t>Gonal-f</w:t>
            </w:r>
            <w:r w:rsidRPr="00211C8B">
              <w:rPr>
                <w:b w:val="0"/>
                <w:bCs/>
                <w:iCs/>
                <w:lang w:val="en-AU"/>
              </w:rPr>
              <w:t xml:space="preserve"> and biosimilar clinical pregnancy rate in cycles 2+) </w:t>
            </w:r>
          </w:p>
        </w:tc>
        <w:tc>
          <w:tcPr>
            <w:tcW w:w="1559" w:type="dxa"/>
            <w:vAlign w:val="center"/>
          </w:tcPr>
          <w:p w14:paraId="5383B0BD" w14:textId="77777777" w:rsidR="00CB79D5" w:rsidRPr="00E70F00" w:rsidRDefault="00E70F00" w:rsidP="00A713BB">
            <w:pPr>
              <w:pStyle w:val="In-tableHeading"/>
              <w:keepNext w:val="0"/>
              <w:widowControl w:val="0"/>
              <w:rPr>
                <w:b w:val="0"/>
                <w:bCs/>
                <w:iCs/>
                <w:highlight w:val="black"/>
                <w:lang w:val="en-AU"/>
              </w:rPr>
            </w:pPr>
            <w:r>
              <w:rPr>
                <w:b w:val="0"/>
                <w:bCs/>
                <w:iCs/>
                <w:noProof/>
                <w:color w:val="000000"/>
                <w:highlight w:val="black"/>
                <w:lang w:val="en-AU"/>
              </w:rPr>
              <w:t>'''''''''''''''''</w:t>
            </w:r>
          </w:p>
        </w:tc>
        <w:tc>
          <w:tcPr>
            <w:tcW w:w="1985" w:type="dxa"/>
            <w:vAlign w:val="center"/>
          </w:tcPr>
          <w:p w14:paraId="7E2013A7" w14:textId="77777777" w:rsidR="00CB79D5" w:rsidRPr="00211C8B" w:rsidRDefault="00CB79D5" w:rsidP="00A713BB">
            <w:pPr>
              <w:pStyle w:val="In-tableHeading"/>
              <w:keepNext w:val="0"/>
              <w:widowControl w:val="0"/>
              <w:rPr>
                <w:b w:val="0"/>
                <w:bCs/>
                <w:iCs/>
                <w:lang w:val="en-AU"/>
              </w:rPr>
            </w:pPr>
            <w:r w:rsidRPr="00211C8B">
              <w:rPr>
                <w:b w:val="0"/>
                <w:bCs/>
                <w:iCs/>
                <w:lang w:val="en-AU"/>
              </w:rPr>
              <w:t>0.0457</w:t>
            </w:r>
          </w:p>
        </w:tc>
        <w:tc>
          <w:tcPr>
            <w:tcW w:w="1257" w:type="dxa"/>
            <w:vAlign w:val="center"/>
          </w:tcPr>
          <w:p w14:paraId="2F9EFB6F" w14:textId="77777777" w:rsidR="00CB79D5" w:rsidRPr="00211C8B" w:rsidRDefault="00CB79D5" w:rsidP="00A713BB">
            <w:pPr>
              <w:pStyle w:val="In-tableHeading"/>
              <w:keepNext w:val="0"/>
              <w:widowControl w:val="0"/>
              <w:rPr>
                <w:b w:val="0"/>
                <w:bCs/>
                <w:iCs/>
                <w:lang w:val="en-AU"/>
              </w:rPr>
            </w:pPr>
            <w:r w:rsidRPr="00211C8B">
              <w:rPr>
                <w:b w:val="0"/>
                <w:bCs/>
                <w:iCs/>
                <w:lang w:val="en-AU"/>
              </w:rPr>
              <w:t xml:space="preserve"> </w:t>
            </w:r>
            <w:r w:rsidR="00E70F00">
              <w:rPr>
                <w:b w:val="0"/>
                <w:bCs/>
                <w:iCs/>
                <w:noProof/>
                <w:color w:val="000000"/>
                <w:highlight w:val="black"/>
                <w:lang w:val="en-AU"/>
              </w:rPr>
              <w:t>''''''''''''''''''''''''''</w:t>
            </w:r>
            <w:r w:rsidR="00A54384" w:rsidRPr="00587176">
              <w:rPr>
                <w:b w:val="0"/>
                <w:vertAlign w:val="superscript"/>
              </w:rPr>
              <w:t>3</w:t>
            </w:r>
            <w:r w:rsidRPr="00A54384">
              <w:rPr>
                <w:b w:val="0"/>
                <w:bCs/>
                <w:iCs/>
                <w:lang w:val="en-AU"/>
              </w:rPr>
              <w:t xml:space="preserve"> </w:t>
            </w:r>
          </w:p>
        </w:tc>
      </w:tr>
      <w:tr w:rsidR="00CB79D5" w:rsidRPr="00211C8B" w14:paraId="2A399841" w14:textId="77777777" w:rsidTr="00A713BB">
        <w:tc>
          <w:tcPr>
            <w:tcW w:w="4248" w:type="dxa"/>
            <w:vAlign w:val="center"/>
          </w:tcPr>
          <w:p w14:paraId="5B64D22C" w14:textId="77777777" w:rsidR="00CB79D5" w:rsidRPr="00211C8B" w:rsidRDefault="00CB79D5" w:rsidP="00A713BB">
            <w:pPr>
              <w:pStyle w:val="In-tableHeading"/>
              <w:keepNext w:val="0"/>
              <w:widowControl w:val="0"/>
              <w:rPr>
                <w:b w:val="0"/>
                <w:bCs/>
                <w:iCs/>
                <w:lang w:val="en-AU"/>
              </w:rPr>
            </w:pPr>
            <w:r w:rsidRPr="00211C8B">
              <w:rPr>
                <w:b w:val="0"/>
                <w:bCs/>
                <w:iCs/>
                <w:lang w:val="en-AU"/>
              </w:rPr>
              <w:t xml:space="preserve">Upper 95% CI around the risk ratio of clinical pregnancy rate of Bemfola (only) versus </w:t>
            </w:r>
            <w:r w:rsidR="00907340" w:rsidRPr="00211C8B">
              <w:rPr>
                <w:b w:val="0"/>
                <w:bCs/>
                <w:iCs/>
                <w:lang w:val="en-AU"/>
              </w:rPr>
              <w:t>Gonal-f</w:t>
            </w:r>
            <w:r w:rsidRPr="00211C8B">
              <w:rPr>
                <w:b w:val="0"/>
                <w:bCs/>
                <w:iCs/>
                <w:lang w:val="en-AU"/>
              </w:rPr>
              <w:t xml:space="preserve"> = 0.97 </w:t>
            </w:r>
            <w:r w:rsidR="00C00F5B" w:rsidRPr="00211C8B">
              <w:rPr>
                <w:b w:val="0"/>
                <w:bCs/>
                <w:lang w:val="en-AU"/>
              </w:rPr>
              <w:t>(base case = 0.82)</w:t>
            </w:r>
          </w:p>
        </w:tc>
        <w:tc>
          <w:tcPr>
            <w:tcW w:w="1559" w:type="dxa"/>
            <w:vAlign w:val="center"/>
          </w:tcPr>
          <w:p w14:paraId="45DFCDA8" w14:textId="77777777" w:rsidR="00CB79D5" w:rsidRPr="00E70F00" w:rsidRDefault="00E70F00" w:rsidP="00A713BB">
            <w:pPr>
              <w:pStyle w:val="In-tableHeading"/>
              <w:keepNext w:val="0"/>
              <w:widowControl w:val="0"/>
              <w:rPr>
                <w:b w:val="0"/>
                <w:bCs/>
                <w:iCs/>
                <w:highlight w:val="black"/>
                <w:lang w:val="en-AU"/>
              </w:rPr>
            </w:pPr>
            <w:r>
              <w:rPr>
                <w:b w:val="0"/>
                <w:bCs/>
                <w:iCs/>
                <w:noProof/>
                <w:color w:val="000000"/>
                <w:highlight w:val="black"/>
                <w:lang w:val="en-AU"/>
              </w:rPr>
              <w:t>'''''''''''''''''</w:t>
            </w:r>
          </w:p>
        </w:tc>
        <w:tc>
          <w:tcPr>
            <w:tcW w:w="1985" w:type="dxa"/>
            <w:vAlign w:val="center"/>
          </w:tcPr>
          <w:p w14:paraId="35E18C02" w14:textId="77777777" w:rsidR="00CB79D5" w:rsidRPr="00211C8B" w:rsidRDefault="00CB79D5" w:rsidP="00A713BB">
            <w:pPr>
              <w:pStyle w:val="In-tableHeading"/>
              <w:keepNext w:val="0"/>
              <w:widowControl w:val="0"/>
              <w:rPr>
                <w:b w:val="0"/>
                <w:bCs/>
                <w:iCs/>
                <w:lang w:val="en-AU"/>
              </w:rPr>
            </w:pPr>
            <w:r w:rsidRPr="00211C8B">
              <w:rPr>
                <w:b w:val="0"/>
                <w:bCs/>
                <w:iCs/>
                <w:lang w:val="en-AU"/>
              </w:rPr>
              <w:t>0.0104</w:t>
            </w:r>
          </w:p>
        </w:tc>
        <w:tc>
          <w:tcPr>
            <w:tcW w:w="1257" w:type="dxa"/>
            <w:vAlign w:val="center"/>
          </w:tcPr>
          <w:p w14:paraId="28C50ABC" w14:textId="77777777" w:rsidR="00CB79D5" w:rsidRPr="00211C8B" w:rsidRDefault="00CB79D5" w:rsidP="00A713BB">
            <w:pPr>
              <w:pStyle w:val="In-tableHeading"/>
              <w:keepNext w:val="0"/>
              <w:widowControl w:val="0"/>
              <w:rPr>
                <w:b w:val="0"/>
                <w:bCs/>
                <w:iCs/>
                <w:lang w:val="en-AU"/>
              </w:rPr>
            </w:pPr>
            <w:r w:rsidRPr="00211C8B">
              <w:rPr>
                <w:b w:val="0"/>
                <w:bCs/>
                <w:iCs/>
                <w:lang w:val="en-AU"/>
              </w:rPr>
              <w:t xml:space="preserve"> </w:t>
            </w:r>
            <w:r w:rsidR="00E70F00">
              <w:rPr>
                <w:b w:val="0"/>
                <w:bCs/>
                <w:iCs/>
                <w:noProof/>
                <w:color w:val="000000"/>
                <w:highlight w:val="black"/>
                <w:lang w:val="en-AU"/>
              </w:rPr>
              <w:t>'''''''''''''''''''''''''''''</w:t>
            </w:r>
            <w:r w:rsidR="00A54384" w:rsidRPr="00587176">
              <w:rPr>
                <w:b w:val="0"/>
                <w:bCs/>
                <w:iCs/>
                <w:vertAlign w:val="superscript"/>
                <w:lang w:val="en-AU"/>
              </w:rPr>
              <w:t>4</w:t>
            </w:r>
            <w:r w:rsidRPr="00211C8B">
              <w:rPr>
                <w:b w:val="0"/>
                <w:bCs/>
                <w:iCs/>
                <w:lang w:val="en-AU"/>
              </w:rPr>
              <w:t xml:space="preserve"> </w:t>
            </w:r>
          </w:p>
        </w:tc>
      </w:tr>
    </w:tbl>
    <w:p w14:paraId="7E92B3CD" w14:textId="77777777" w:rsidR="00CB79D5" w:rsidRDefault="00CB79D5" w:rsidP="00CB79D5">
      <w:pPr>
        <w:pStyle w:val="TableFigureFooter"/>
      </w:pPr>
      <w:r w:rsidRPr="00211C8B">
        <w:t xml:space="preserve">Source: Table 18, p51 of the submission, and conducted during the evaluation </w:t>
      </w:r>
    </w:p>
    <w:p w14:paraId="5D08B688" w14:textId="77777777" w:rsidR="0077085E" w:rsidRPr="00587176" w:rsidRDefault="0077085E" w:rsidP="00CB79D5">
      <w:pPr>
        <w:pStyle w:val="TableFigureFooter"/>
        <w:rPr>
          <w:i/>
        </w:rPr>
      </w:pPr>
      <w:r w:rsidRPr="00587176">
        <w:rPr>
          <w:i/>
        </w:rPr>
        <w:t>The redacted values correspond to the following ranges:</w:t>
      </w:r>
    </w:p>
    <w:p w14:paraId="324F7160" w14:textId="77777777" w:rsidR="0077085E" w:rsidRPr="00587176" w:rsidRDefault="0077085E" w:rsidP="00CB79D5">
      <w:pPr>
        <w:pStyle w:val="TableFigureFooter"/>
        <w:rPr>
          <w:i/>
        </w:rPr>
      </w:pPr>
      <w:r w:rsidRPr="00587176">
        <w:rPr>
          <w:i/>
          <w:vertAlign w:val="superscript"/>
        </w:rPr>
        <w:t>1</w:t>
      </w:r>
      <w:r w:rsidRPr="00587176">
        <w:rPr>
          <w:i/>
        </w:rPr>
        <w:t xml:space="preserve"> $0 to &lt; $5,000</w:t>
      </w:r>
    </w:p>
    <w:p w14:paraId="2CBD2DEB" w14:textId="77777777" w:rsidR="0077085E" w:rsidRPr="00587176" w:rsidRDefault="0077085E" w:rsidP="00CB79D5">
      <w:pPr>
        <w:pStyle w:val="TableFigureFooter"/>
        <w:rPr>
          <w:i/>
        </w:rPr>
      </w:pPr>
      <w:r w:rsidRPr="00587176">
        <w:rPr>
          <w:i/>
          <w:vertAlign w:val="superscript"/>
        </w:rPr>
        <w:t>2</w:t>
      </w:r>
      <w:r w:rsidRPr="00587176">
        <w:rPr>
          <w:i/>
        </w:rPr>
        <w:t xml:space="preserve"> $35,000 to &lt; $45,000</w:t>
      </w:r>
    </w:p>
    <w:p w14:paraId="70975321" w14:textId="77777777" w:rsidR="00A54384" w:rsidRPr="00587176" w:rsidRDefault="00A54384" w:rsidP="00CB79D5">
      <w:pPr>
        <w:pStyle w:val="TableFigureFooter"/>
        <w:rPr>
          <w:i/>
        </w:rPr>
      </w:pPr>
      <w:r w:rsidRPr="00587176">
        <w:rPr>
          <w:i/>
          <w:vertAlign w:val="superscript"/>
        </w:rPr>
        <w:t>3</w:t>
      </w:r>
      <w:r w:rsidRPr="00587176">
        <w:rPr>
          <w:i/>
        </w:rPr>
        <w:t xml:space="preserve"> $5,000 to &lt; $15,000</w:t>
      </w:r>
    </w:p>
    <w:p w14:paraId="785D131E" w14:textId="77777777" w:rsidR="00A54384" w:rsidRPr="00587176" w:rsidRDefault="00A54384" w:rsidP="00CB79D5">
      <w:pPr>
        <w:pStyle w:val="TableFigureFooter"/>
        <w:rPr>
          <w:i/>
        </w:rPr>
      </w:pPr>
      <w:r w:rsidRPr="00587176">
        <w:rPr>
          <w:i/>
          <w:vertAlign w:val="superscript"/>
        </w:rPr>
        <w:t>4</w:t>
      </w:r>
      <w:r w:rsidRPr="00587176">
        <w:rPr>
          <w:i/>
        </w:rPr>
        <w:t xml:space="preserve"> $75,000 to &lt; $95,000</w:t>
      </w:r>
    </w:p>
    <w:p w14:paraId="6BF76532" w14:textId="77777777" w:rsidR="008368CD" w:rsidRDefault="008368CD">
      <w:pPr>
        <w:jc w:val="left"/>
        <w:rPr>
          <w:rFonts w:ascii="Arial Narrow" w:eastAsiaTheme="majorEastAsia" w:hAnsi="Arial Narrow" w:cstheme="majorBidi"/>
          <w:b/>
          <w:bCs/>
          <w:sz w:val="20"/>
        </w:rPr>
      </w:pPr>
      <w:r>
        <w:br w:type="page"/>
      </w:r>
    </w:p>
    <w:p w14:paraId="25B3691A" w14:textId="69473634" w:rsidR="0043611D" w:rsidRDefault="0043611D" w:rsidP="005B2768">
      <w:pPr>
        <w:pStyle w:val="TableFigureHeading"/>
      </w:pPr>
      <w:bookmarkStart w:id="43" w:name="_GoBack"/>
      <w:bookmarkEnd w:id="43"/>
      <w:r>
        <w:t xml:space="preserve">Table </w:t>
      </w:r>
      <w:r w:rsidR="00360359">
        <w:rPr>
          <w:noProof/>
        </w:rPr>
        <w:t>14</w:t>
      </w:r>
      <w:r>
        <w:t xml:space="preserve">: </w:t>
      </w:r>
      <w:r w:rsidRPr="005D034A">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Key drivers of the model"/>
        <w:tblDescription w:val="Key drivers of the model"/>
      </w:tblPr>
      <w:tblGrid>
        <w:gridCol w:w="1123"/>
        <w:gridCol w:w="2819"/>
        <w:gridCol w:w="5075"/>
      </w:tblGrid>
      <w:tr w:rsidR="00EF60BA" w:rsidRPr="00211C8B" w14:paraId="3640B27C" w14:textId="77777777" w:rsidTr="00EF60BA">
        <w:trPr>
          <w:tblHeader/>
        </w:trPr>
        <w:tc>
          <w:tcPr>
            <w:tcW w:w="623" w:type="pct"/>
            <w:shd w:val="clear" w:color="auto" w:fill="auto"/>
            <w:vAlign w:val="center"/>
          </w:tcPr>
          <w:p w14:paraId="6ED3C004" w14:textId="77777777" w:rsidR="00CB79D5" w:rsidRPr="00211C8B" w:rsidRDefault="00CB79D5" w:rsidP="00A713BB">
            <w:pPr>
              <w:pStyle w:val="In-tableHeading"/>
              <w:jc w:val="center"/>
              <w:rPr>
                <w:lang w:val="en-AU"/>
              </w:rPr>
            </w:pPr>
            <w:r w:rsidRPr="00211C8B">
              <w:rPr>
                <w:lang w:val="en-AU"/>
              </w:rPr>
              <w:t>Description</w:t>
            </w:r>
          </w:p>
        </w:tc>
        <w:tc>
          <w:tcPr>
            <w:tcW w:w="1563" w:type="pct"/>
            <w:shd w:val="clear" w:color="auto" w:fill="auto"/>
            <w:vAlign w:val="center"/>
          </w:tcPr>
          <w:p w14:paraId="4C7A54C9" w14:textId="77777777" w:rsidR="00CB79D5" w:rsidRPr="00211C8B" w:rsidRDefault="00CB79D5" w:rsidP="00A713BB">
            <w:pPr>
              <w:pStyle w:val="In-tableHeading"/>
              <w:jc w:val="center"/>
              <w:rPr>
                <w:lang w:val="en-AU"/>
              </w:rPr>
            </w:pPr>
            <w:r w:rsidRPr="00211C8B">
              <w:rPr>
                <w:lang w:val="en-AU"/>
              </w:rPr>
              <w:t>Method/Value</w:t>
            </w:r>
          </w:p>
        </w:tc>
        <w:tc>
          <w:tcPr>
            <w:tcW w:w="2814" w:type="pct"/>
            <w:shd w:val="clear" w:color="auto" w:fill="auto"/>
            <w:vAlign w:val="center"/>
          </w:tcPr>
          <w:p w14:paraId="0C137C43" w14:textId="77777777" w:rsidR="00CB79D5" w:rsidRPr="00211C8B" w:rsidRDefault="00CB79D5" w:rsidP="00A713BB">
            <w:pPr>
              <w:pStyle w:val="In-tableHeading"/>
              <w:jc w:val="center"/>
              <w:rPr>
                <w:lang w:val="en-AU"/>
              </w:rPr>
            </w:pPr>
            <w:r w:rsidRPr="00211C8B">
              <w:rPr>
                <w:lang w:val="en-AU"/>
              </w:rPr>
              <w:t>Impact</w:t>
            </w:r>
          </w:p>
          <w:p w14:paraId="6292D6A0" w14:textId="77777777" w:rsidR="00CB79D5" w:rsidRPr="00211C8B" w:rsidRDefault="00CB79D5" w:rsidP="00A713BB">
            <w:pPr>
              <w:pStyle w:val="In-tableHeading"/>
              <w:jc w:val="center"/>
              <w:rPr>
                <w:lang w:val="en-AU"/>
              </w:rPr>
            </w:pPr>
            <w:r w:rsidRPr="00211C8B">
              <w:rPr>
                <w:rFonts w:cs="Arial"/>
                <w:szCs w:val="20"/>
                <w:lang w:val="en-AU"/>
              </w:rPr>
              <w:t>Base case: $</w:t>
            </w:r>
            <w:r w:rsidR="00E70F00">
              <w:rPr>
                <w:rFonts w:cs="Arial"/>
                <w:noProof/>
                <w:color w:val="000000"/>
                <w:szCs w:val="20"/>
                <w:highlight w:val="black"/>
                <w:lang w:val="en-AU"/>
              </w:rPr>
              <w:t>''''''''''''''</w:t>
            </w:r>
            <w:r w:rsidR="00166D1D">
              <w:rPr>
                <w:vertAlign w:val="superscript"/>
              </w:rPr>
              <w:t>1</w:t>
            </w:r>
            <w:r w:rsidRPr="00211C8B">
              <w:rPr>
                <w:rFonts w:cs="Arial"/>
                <w:szCs w:val="20"/>
                <w:lang w:val="en-AU"/>
              </w:rPr>
              <w:t xml:space="preserve"> per live birth</w:t>
            </w:r>
          </w:p>
        </w:tc>
      </w:tr>
      <w:tr w:rsidR="00EF60BA" w:rsidRPr="00211C8B" w14:paraId="65B8EEA3" w14:textId="77777777" w:rsidTr="00EF60BA">
        <w:trPr>
          <w:trHeight w:val="349"/>
        </w:trPr>
        <w:tc>
          <w:tcPr>
            <w:tcW w:w="623" w:type="pct"/>
            <w:shd w:val="clear" w:color="auto" w:fill="auto"/>
            <w:vAlign w:val="center"/>
          </w:tcPr>
          <w:p w14:paraId="6B0C0A46" w14:textId="77777777" w:rsidR="00CB79D5" w:rsidRPr="00211C8B" w:rsidRDefault="00CB79D5" w:rsidP="00A713BB">
            <w:pPr>
              <w:pStyle w:val="TableText0"/>
              <w:jc w:val="center"/>
            </w:pPr>
            <w:r w:rsidRPr="00211C8B">
              <w:t>Extrapolation</w:t>
            </w:r>
          </w:p>
        </w:tc>
        <w:tc>
          <w:tcPr>
            <w:tcW w:w="1563" w:type="pct"/>
            <w:shd w:val="clear" w:color="auto" w:fill="auto"/>
            <w:vAlign w:val="center"/>
          </w:tcPr>
          <w:p w14:paraId="47F3075B" w14:textId="77777777" w:rsidR="00CB79D5" w:rsidRPr="00211C8B" w:rsidRDefault="00CB79D5" w:rsidP="00A713BB">
            <w:pPr>
              <w:pStyle w:val="TableText0"/>
            </w:pPr>
            <w:r w:rsidRPr="00211C8B">
              <w:t xml:space="preserve">Risk ratio of </w:t>
            </w:r>
            <w:r w:rsidR="00F5492B" w:rsidRPr="00211C8B">
              <w:t xml:space="preserve">0.82 </w:t>
            </w:r>
            <w:r w:rsidRPr="00211C8B">
              <w:t xml:space="preserve">clinical pregnancy rates for </w:t>
            </w:r>
            <w:r w:rsidR="00907340" w:rsidRPr="00211C8B">
              <w:t>Gonal-f</w:t>
            </w:r>
            <w:r w:rsidRPr="00211C8B">
              <w:t xml:space="preserve"> versus biosimilars in cycle 1 was used for all 8 cycl</w:t>
            </w:r>
            <w:r w:rsidR="00F5492B" w:rsidRPr="00211C8B">
              <w:t>es</w:t>
            </w:r>
          </w:p>
        </w:tc>
        <w:tc>
          <w:tcPr>
            <w:tcW w:w="2814" w:type="pct"/>
            <w:shd w:val="clear" w:color="auto" w:fill="auto"/>
            <w:vAlign w:val="center"/>
          </w:tcPr>
          <w:p w14:paraId="516E0580" w14:textId="77777777" w:rsidR="00F35A77" w:rsidRPr="00B46AF1" w:rsidRDefault="00CB79D5" w:rsidP="00EF60BA">
            <w:pPr>
              <w:pStyle w:val="TableText0"/>
              <w:ind w:left="136" w:right="209"/>
            </w:pPr>
            <w:r w:rsidRPr="00B46AF1">
              <w:t>High</w:t>
            </w:r>
          </w:p>
          <w:p w14:paraId="04D5D85E" w14:textId="77777777" w:rsidR="00CB79D5" w:rsidRPr="00B46AF1" w:rsidRDefault="00CB79D5" w:rsidP="00A713BB">
            <w:pPr>
              <w:pStyle w:val="TableText0"/>
            </w:pPr>
            <w:r w:rsidRPr="00B46AF1">
              <w:t xml:space="preserve"> </w:t>
            </w:r>
          </w:p>
          <w:p w14:paraId="1ADA51F6" w14:textId="77777777" w:rsidR="00415688" w:rsidRPr="00B46AF1" w:rsidRDefault="00835305" w:rsidP="00EF60BA">
            <w:pPr>
              <w:pStyle w:val="TableText0"/>
              <w:ind w:left="136" w:right="67"/>
              <w:rPr>
                <w:iCs/>
              </w:rPr>
            </w:pPr>
            <w:r w:rsidRPr="00B46AF1">
              <w:t xml:space="preserve">A small change in the risk ratio led to a very large change in the ICER estimates because </w:t>
            </w:r>
            <w:r w:rsidR="00415688" w:rsidRPr="00B46AF1">
              <w:t>a higher chance of clinical pregnancy resulted to higher ongoing pregnancy and live birth rates</w:t>
            </w:r>
            <w:r w:rsidR="00403A6F" w:rsidRPr="00B46AF1">
              <w:t xml:space="preserve"> (while the miscarriage and </w:t>
            </w:r>
            <w:r w:rsidR="00EF60BA" w:rsidRPr="00B46AF1">
              <w:t xml:space="preserve">IVF discontinuation rates rated were identical for both treatment arms). </w:t>
            </w:r>
          </w:p>
          <w:p w14:paraId="44870C9B" w14:textId="77777777" w:rsidR="00415688" w:rsidRPr="00B46AF1" w:rsidRDefault="00415688" w:rsidP="00EF60BA">
            <w:pPr>
              <w:pStyle w:val="TableText0"/>
              <w:ind w:left="136" w:right="67"/>
            </w:pPr>
          </w:p>
          <w:p w14:paraId="0BFB5FAB" w14:textId="77777777" w:rsidR="00100750" w:rsidRPr="00B46AF1" w:rsidRDefault="00415688" w:rsidP="00EF60BA">
            <w:pPr>
              <w:pStyle w:val="TableText0"/>
              <w:ind w:left="136" w:right="67"/>
            </w:pPr>
            <w:r w:rsidRPr="00B46AF1">
              <w:t>T</w:t>
            </w:r>
            <w:r w:rsidR="00835305" w:rsidRPr="00B46AF1">
              <w:t>he</w:t>
            </w:r>
            <w:r w:rsidRPr="00B46AF1">
              <w:t xml:space="preserve"> </w:t>
            </w:r>
            <w:r w:rsidR="00EF60BA" w:rsidRPr="00B46AF1">
              <w:t xml:space="preserve">constant </w:t>
            </w:r>
            <w:r w:rsidRPr="00B46AF1">
              <w:t>risk</w:t>
            </w:r>
            <w:r w:rsidR="00835305" w:rsidRPr="00B46AF1">
              <w:t xml:space="preserve"> ratio </w:t>
            </w:r>
            <w:r w:rsidR="004F658F" w:rsidRPr="00B46AF1">
              <w:t xml:space="preserve">favouring Gonal-f </w:t>
            </w:r>
            <w:r w:rsidR="00835305" w:rsidRPr="00B46AF1">
              <w:t>was applied for</w:t>
            </w:r>
            <w:r w:rsidR="00DA6149" w:rsidRPr="00B46AF1">
              <w:t xml:space="preserve"> all eight </w:t>
            </w:r>
            <w:r w:rsidR="00835305" w:rsidRPr="00B46AF1">
              <w:t>cycles</w:t>
            </w:r>
            <w:r w:rsidR="004F658F" w:rsidRPr="00B46AF1">
              <w:t xml:space="preserve">, </w:t>
            </w:r>
            <w:r w:rsidRPr="00B46AF1">
              <w:t xml:space="preserve">leading to </w:t>
            </w:r>
            <w:r w:rsidR="004F658F" w:rsidRPr="00B46AF1">
              <w:t>the compounded effect</w:t>
            </w:r>
            <w:r w:rsidR="00EF60BA" w:rsidRPr="00B46AF1">
              <w:t xml:space="preserve"> of effectiveness</w:t>
            </w:r>
          </w:p>
          <w:p w14:paraId="4591CFEE" w14:textId="77777777" w:rsidR="00100750" w:rsidRPr="00B46AF1" w:rsidRDefault="00100750" w:rsidP="00EF60BA">
            <w:pPr>
              <w:pStyle w:val="TableText0"/>
              <w:ind w:left="136" w:right="67"/>
            </w:pPr>
          </w:p>
          <w:p w14:paraId="05E2A8C5" w14:textId="77777777" w:rsidR="00100750" w:rsidRPr="00B46AF1" w:rsidRDefault="00100750">
            <w:pPr>
              <w:pStyle w:val="TableText0"/>
              <w:ind w:left="136" w:right="67"/>
              <w:rPr>
                <w:rFonts w:eastAsia="Calibri" w:cstheme="minorHAnsi"/>
              </w:rPr>
            </w:pPr>
            <w:r w:rsidRPr="00B46AF1">
              <w:rPr>
                <w:rFonts w:eastAsia="Calibri" w:cstheme="minorHAnsi"/>
                <w:iCs/>
              </w:rPr>
              <w:t>The PSCR presented a</w:t>
            </w:r>
            <w:r w:rsidRPr="00B46AF1">
              <w:rPr>
                <w:rFonts w:eastAsia="Calibri" w:cstheme="minorHAnsi"/>
              </w:rPr>
              <w:t xml:space="preserve"> revised base-case for the model where the incremental treatment effect for clinical pregnancy diminishes over time until cycle 3 and assumes no incremental benefit from cycle 4 onwards:</w:t>
            </w:r>
          </w:p>
          <w:p w14:paraId="63712FBB" w14:textId="77777777" w:rsidR="00100750" w:rsidRPr="00B46AF1" w:rsidRDefault="00100750" w:rsidP="0065525C">
            <w:pPr>
              <w:pStyle w:val="TableText0"/>
              <w:ind w:left="136" w:right="67"/>
              <w:rPr>
                <w:b/>
                <w:bCs w:val="0"/>
                <w:iCs/>
              </w:rPr>
            </w:pPr>
            <w:r w:rsidRPr="00B46AF1">
              <w:rPr>
                <w:bCs w:val="0"/>
                <w:iCs/>
              </w:rPr>
              <w:t>Risk ratio cycle 1 = 0.82</w:t>
            </w:r>
          </w:p>
          <w:p w14:paraId="0841128C" w14:textId="77777777" w:rsidR="00100750" w:rsidRPr="00B46AF1" w:rsidRDefault="00100750" w:rsidP="0065525C">
            <w:pPr>
              <w:pStyle w:val="TableText0"/>
              <w:ind w:left="136" w:right="67"/>
              <w:rPr>
                <w:b/>
                <w:bCs w:val="0"/>
                <w:iCs/>
              </w:rPr>
            </w:pPr>
            <w:r w:rsidRPr="00B46AF1">
              <w:rPr>
                <w:bCs w:val="0"/>
                <w:iCs/>
              </w:rPr>
              <w:t xml:space="preserve">Risk ratio cycle 2 = 0.93 </w:t>
            </w:r>
          </w:p>
          <w:p w14:paraId="437130C4" w14:textId="77777777" w:rsidR="00100750" w:rsidRPr="00B46AF1" w:rsidRDefault="00100750" w:rsidP="0065525C">
            <w:pPr>
              <w:pStyle w:val="TableText0"/>
              <w:ind w:left="136" w:right="67"/>
              <w:rPr>
                <w:b/>
                <w:bCs w:val="0"/>
                <w:iCs/>
              </w:rPr>
            </w:pPr>
            <w:r w:rsidRPr="00B46AF1">
              <w:rPr>
                <w:bCs w:val="0"/>
                <w:iCs/>
              </w:rPr>
              <w:t>Risk ratio cycle 3 = 0.965 (midpoint between 0.93 and 1)</w:t>
            </w:r>
          </w:p>
          <w:p w14:paraId="6868B9F9" w14:textId="77777777" w:rsidR="00100750" w:rsidRPr="00B46AF1" w:rsidRDefault="00100750">
            <w:pPr>
              <w:pStyle w:val="TableText0"/>
              <w:ind w:left="136" w:right="67"/>
              <w:rPr>
                <w:rFonts w:eastAsia="Calibri" w:cstheme="minorHAnsi"/>
              </w:rPr>
            </w:pPr>
            <w:r w:rsidRPr="00B46AF1">
              <w:rPr>
                <w:bCs w:val="0"/>
                <w:iCs/>
              </w:rPr>
              <w:t>Risk ratio cycle 4+ = 1 (constant and equal for both) treatment arms)</w:t>
            </w:r>
          </w:p>
          <w:p w14:paraId="14B37F71" w14:textId="77777777" w:rsidR="00100750" w:rsidRPr="00B46AF1" w:rsidRDefault="00100750">
            <w:pPr>
              <w:pStyle w:val="TableText0"/>
              <w:ind w:left="136" w:right="67"/>
              <w:rPr>
                <w:rFonts w:eastAsia="Calibri" w:cstheme="minorHAnsi"/>
              </w:rPr>
            </w:pPr>
          </w:p>
          <w:p w14:paraId="452CE0CD" w14:textId="77777777" w:rsidR="00CB79D5" w:rsidRPr="00B46AF1" w:rsidRDefault="00100750">
            <w:pPr>
              <w:pStyle w:val="TableText0"/>
              <w:ind w:left="136" w:right="67"/>
            </w:pPr>
            <w:r w:rsidRPr="00B46AF1">
              <w:rPr>
                <w:rFonts w:eastAsia="Calibri" w:cstheme="minorHAnsi"/>
              </w:rPr>
              <w:t>This increased the ICER to $</w:t>
            </w:r>
            <w:r w:rsidR="00E70F00">
              <w:rPr>
                <w:rFonts w:eastAsia="Calibri" w:cstheme="minorHAnsi"/>
                <w:noProof/>
                <w:color w:val="000000"/>
                <w:highlight w:val="black"/>
              </w:rPr>
              <w:t>'''''''''''''</w:t>
            </w:r>
            <w:r w:rsidR="00166D1D">
              <w:rPr>
                <w:vertAlign w:val="superscript"/>
              </w:rPr>
              <w:t>2</w:t>
            </w:r>
            <w:r w:rsidRPr="00B46AF1">
              <w:rPr>
                <w:rFonts w:eastAsia="Calibri" w:cstheme="minorHAnsi"/>
              </w:rPr>
              <w:t xml:space="preserve"> per live birth.</w:t>
            </w:r>
          </w:p>
        </w:tc>
      </w:tr>
    </w:tbl>
    <w:p w14:paraId="02A7DF13" w14:textId="77777777" w:rsidR="00CB79D5" w:rsidRDefault="00CB79D5" w:rsidP="00CB79D5">
      <w:pPr>
        <w:pStyle w:val="TableFigureFooter"/>
      </w:pPr>
      <w:r w:rsidRPr="00211C8B">
        <w:t xml:space="preserve">Source: </w:t>
      </w:r>
      <w:r w:rsidR="00C00F5B" w:rsidRPr="00211C8B">
        <w:rPr>
          <w:iCs/>
        </w:rPr>
        <w:t>Additional sensitivity analyses during</w:t>
      </w:r>
      <w:r w:rsidR="00C00F5B" w:rsidRPr="00211C8B">
        <w:t xml:space="preserve"> the </w:t>
      </w:r>
      <w:r w:rsidR="00C00F5B" w:rsidRPr="00211C8B">
        <w:rPr>
          <w:iCs/>
        </w:rPr>
        <w:t>evaluation</w:t>
      </w:r>
      <w:r w:rsidRPr="00211C8B">
        <w:t>.</w:t>
      </w:r>
    </w:p>
    <w:p w14:paraId="7D25990A" w14:textId="77777777" w:rsidR="00166D1D" w:rsidRPr="00587176" w:rsidRDefault="00166D1D" w:rsidP="00CB79D5">
      <w:pPr>
        <w:pStyle w:val="TableFigureFooter"/>
        <w:rPr>
          <w:i/>
        </w:rPr>
      </w:pPr>
      <w:r w:rsidRPr="00587176">
        <w:rPr>
          <w:i/>
        </w:rPr>
        <w:t>The redacted values correspond to the following ranges:</w:t>
      </w:r>
    </w:p>
    <w:p w14:paraId="266D1D3B" w14:textId="77777777" w:rsidR="00166D1D" w:rsidRPr="00587176" w:rsidRDefault="00166D1D" w:rsidP="00CB79D5">
      <w:pPr>
        <w:pStyle w:val="TableFigureFooter"/>
        <w:rPr>
          <w:i/>
        </w:rPr>
      </w:pPr>
      <w:r w:rsidRPr="00587176">
        <w:rPr>
          <w:i/>
          <w:vertAlign w:val="superscript"/>
        </w:rPr>
        <w:t>1</w:t>
      </w:r>
      <w:r w:rsidRPr="00587176">
        <w:rPr>
          <w:i/>
        </w:rPr>
        <w:t xml:space="preserve"> $0 to &lt; $5,000</w:t>
      </w:r>
    </w:p>
    <w:p w14:paraId="43072FEF" w14:textId="77777777" w:rsidR="00166D1D" w:rsidRPr="00587176" w:rsidRDefault="00166D1D" w:rsidP="00CB79D5">
      <w:pPr>
        <w:pStyle w:val="TableFigureFooter"/>
        <w:rPr>
          <w:i/>
        </w:rPr>
      </w:pPr>
      <w:r w:rsidRPr="00587176">
        <w:rPr>
          <w:i/>
          <w:vertAlign w:val="superscript"/>
        </w:rPr>
        <w:t>2</w:t>
      </w:r>
      <w:r w:rsidRPr="00587176">
        <w:rPr>
          <w:i/>
        </w:rPr>
        <w:t xml:space="preserve"> $5,000 to &lt; $15,000</w:t>
      </w:r>
    </w:p>
    <w:p w14:paraId="05C6B2F4" w14:textId="77777777" w:rsidR="00166D1D" w:rsidRPr="00211C8B" w:rsidRDefault="00166D1D" w:rsidP="00CB79D5">
      <w:pPr>
        <w:pStyle w:val="TableFigureFooter"/>
      </w:pPr>
    </w:p>
    <w:p w14:paraId="32CBE6ED" w14:textId="77777777" w:rsidR="00CB79D5" w:rsidRPr="00211C8B" w:rsidRDefault="00CB79D5" w:rsidP="00CB79D5">
      <w:pPr>
        <w:pStyle w:val="4-SubsectionHeading"/>
      </w:pPr>
      <w:bookmarkStart w:id="44" w:name="_Toc22897647"/>
      <w:bookmarkStart w:id="45" w:name="_Toc79577808"/>
      <w:bookmarkStart w:id="46" w:name="_Toc82610365"/>
      <w:r w:rsidRPr="00211C8B">
        <w:t>Estimated PBS usage &amp; financial implications</w:t>
      </w:r>
      <w:bookmarkEnd w:id="44"/>
      <w:bookmarkEnd w:id="45"/>
      <w:bookmarkEnd w:id="46"/>
    </w:p>
    <w:p w14:paraId="5366D2FC" w14:textId="77777777" w:rsidR="00CB79D5" w:rsidRPr="00211C8B" w:rsidRDefault="00CB79D5" w:rsidP="00943FFD">
      <w:pPr>
        <w:pStyle w:val="3-BodyText"/>
      </w:pPr>
      <w:bookmarkStart w:id="47" w:name="_Hlk79996079"/>
      <w:r w:rsidRPr="00211C8B">
        <w:t xml:space="preserve">This submission </w:t>
      </w:r>
      <w:r w:rsidR="000F771F" w:rsidRPr="00211C8B">
        <w:t xml:space="preserve">was </w:t>
      </w:r>
      <w:r w:rsidRPr="00211C8B">
        <w:t xml:space="preserve">not considered by </w:t>
      </w:r>
      <w:r w:rsidR="00DC6B6B" w:rsidRPr="00211C8B">
        <w:t xml:space="preserve">the </w:t>
      </w:r>
      <w:r w:rsidRPr="00211C8B">
        <w:t>DUSC.</w:t>
      </w:r>
    </w:p>
    <w:bookmarkEnd w:id="47"/>
    <w:p w14:paraId="2AB8F2ED" w14:textId="77777777" w:rsidR="00CB79D5" w:rsidRPr="00211C8B" w:rsidRDefault="00CB79D5" w:rsidP="00943FFD">
      <w:pPr>
        <w:pStyle w:val="3-BodyText"/>
      </w:pPr>
      <w:r w:rsidRPr="00211C8B">
        <w:t xml:space="preserve">The submission applied a market share approach (based on the number </w:t>
      </w:r>
      <w:r w:rsidR="00DC6B6B" w:rsidRPr="00211C8B">
        <w:t xml:space="preserve">of </w:t>
      </w:r>
      <w:r w:rsidRPr="00211C8B">
        <w:t xml:space="preserve">IVF cycles) to estimate the impact of </w:t>
      </w:r>
      <w:r w:rsidR="00907340" w:rsidRPr="00211C8B">
        <w:t>Gonal-f</w:t>
      </w:r>
      <w:r w:rsidRPr="00211C8B">
        <w:t xml:space="preserve"> use on the PBS and MBS budget. </w:t>
      </w:r>
      <w:r w:rsidR="00907340" w:rsidRPr="00211C8B">
        <w:t>Gonal-f</w:t>
      </w:r>
      <w:r w:rsidRPr="00211C8B">
        <w:t xml:space="preserve"> is a direct subst</w:t>
      </w:r>
      <w:r w:rsidR="006A06D2" w:rsidRPr="00211C8B">
        <w:t>itu</w:t>
      </w:r>
      <w:r w:rsidRPr="00211C8B">
        <w:t>tion of the currently listed</w:t>
      </w:r>
      <w:r w:rsidR="00DC6B6B" w:rsidRPr="00211C8B">
        <w:t xml:space="preserve"> recombinant human follicle stimulating hormone (</w:t>
      </w:r>
      <w:r w:rsidRPr="00211C8B">
        <w:t>r-hFSH</w:t>
      </w:r>
      <w:r w:rsidR="00DC6B6B" w:rsidRPr="00211C8B">
        <w:t>)</w:t>
      </w:r>
      <w:r w:rsidRPr="00211C8B">
        <w:t xml:space="preserve"> therap</w:t>
      </w:r>
      <w:r w:rsidR="006A06D2" w:rsidRPr="00211C8B">
        <w:t>y</w:t>
      </w:r>
      <w:r w:rsidRPr="00211C8B">
        <w:t xml:space="preserve"> (Bemfola), thus the current Bemfola market share was used in the analysis.</w:t>
      </w:r>
    </w:p>
    <w:p w14:paraId="144C3EB9" w14:textId="77777777" w:rsidR="00DC6B6B" w:rsidRPr="00211C8B" w:rsidRDefault="00CB79D5" w:rsidP="00943FFD">
      <w:pPr>
        <w:pStyle w:val="3-BodyText"/>
      </w:pPr>
      <w:r w:rsidRPr="00211C8B">
        <w:t>Four main data sources were used in the financial estimation:</w:t>
      </w:r>
    </w:p>
    <w:p w14:paraId="4C0F03C4" w14:textId="77777777" w:rsidR="00DC6B6B" w:rsidRPr="00211C8B" w:rsidRDefault="00CB79D5" w:rsidP="00231FB2">
      <w:pPr>
        <w:pStyle w:val="ListParagraph"/>
        <w:rPr>
          <w:rFonts w:eastAsia="Calibri"/>
        </w:rPr>
      </w:pPr>
      <w:r w:rsidRPr="00211C8B">
        <w:rPr>
          <w:rFonts w:eastAsia="Calibri"/>
        </w:rPr>
        <w:t>the MBS data for the total number of IVF cycle</w:t>
      </w:r>
      <w:r w:rsidR="006669C0" w:rsidRPr="00211C8B">
        <w:rPr>
          <w:rFonts w:eastAsia="Calibri"/>
        </w:rPr>
        <w:t>s and the services used for IVF</w:t>
      </w:r>
    </w:p>
    <w:p w14:paraId="771057C2" w14:textId="77777777" w:rsidR="00DC6B6B" w:rsidRPr="00211C8B" w:rsidRDefault="00CB79D5" w:rsidP="00231FB2">
      <w:pPr>
        <w:pStyle w:val="ListParagraph"/>
        <w:rPr>
          <w:rFonts w:eastAsia="Calibri"/>
        </w:rPr>
      </w:pPr>
      <w:r w:rsidRPr="00211C8B">
        <w:rPr>
          <w:rFonts w:eastAsia="Calibri"/>
        </w:rPr>
        <w:t xml:space="preserve">the PBS data for all the products required for IVF treatment (including </w:t>
      </w:r>
      <w:r w:rsidR="00907340" w:rsidRPr="00211C8B">
        <w:rPr>
          <w:rFonts w:eastAsia="Calibri"/>
        </w:rPr>
        <w:t>Gonal-f</w:t>
      </w:r>
      <w:r w:rsidR="006669C0" w:rsidRPr="00211C8B">
        <w:rPr>
          <w:rFonts w:eastAsia="Calibri"/>
        </w:rPr>
        <w:t xml:space="preserve"> and Bemfola)</w:t>
      </w:r>
    </w:p>
    <w:p w14:paraId="49039A59" w14:textId="77777777" w:rsidR="00DC6B6B" w:rsidRPr="00211C8B" w:rsidRDefault="00CB79D5" w:rsidP="00231FB2">
      <w:pPr>
        <w:pStyle w:val="ListParagraph"/>
        <w:rPr>
          <w:rFonts w:eastAsia="Calibri"/>
        </w:rPr>
      </w:pPr>
      <w:r w:rsidRPr="00211C8B">
        <w:rPr>
          <w:rFonts w:eastAsia="Calibri"/>
        </w:rPr>
        <w:t xml:space="preserve">the UNSW ART in ANZ 2018 </w:t>
      </w:r>
      <w:r w:rsidR="00DC6B6B" w:rsidRPr="00211C8B">
        <w:rPr>
          <w:rFonts w:eastAsia="Calibri"/>
        </w:rPr>
        <w:t xml:space="preserve">report </w:t>
      </w:r>
      <w:r w:rsidRPr="00211C8B">
        <w:rPr>
          <w:rFonts w:eastAsia="Calibri"/>
        </w:rPr>
        <w:t>for the tra</w:t>
      </w:r>
      <w:r w:rsidR="006669C0" w:rsidRPr="00211C8B">
        <w:rPr>
          <w:rFonts w:eastAsia="Calibri"/>
        </w:rPr>
        <w:t>nsition probability calculation</w:t>
      </w:r>
    </w:p>
    <w:p w14:paraId="2A451F53" w14:textId="77777777" w:rsidR="00DC6B6B" w:rsidRPr="00211C8B" w:rsidRDefault="00CB79D5" w:rsidP="00231FB2">
      <w:pPr>
        <w:pStyle w:val="ListParagraph"/>
        <w:rPr>
          <w:rFonts w:eastAsia="Calibri"/>
        </w:rPr>
      </w:pPr>
      <w:r w:rsidRPr="00211C8B">
        <w:rPr>
          <w:rFonts w:eastAsia="Calibri"/>
        </w:rPr>
        <w:t>and the economic model for the estimated average number of IV</w:t>
      </w:r>
      <w:r w:rsidR="006669C0" w:rsidRPr="00211C8B">
        <w:rPr>
          <w:rFonts w:eastAsia="Calibri"/>
        </w:rPr>
        <w:t>F cycles for each treatment arm</w:t>
      </w:r>
    </w:p>
    <w:p w14:paraId="38CF8892" w14:textId="77777777" w:rsidR="00CB79D5" w:rsidRPr="00211C8B" w:rsidRDefault="00CB79D5" w:rsidP="00231FB2">
      <w:pPr>
        <w:pStyle w:val="3-BodyText"/>
        <w:numPr>
          <w:ilvl w:val="0"/>
          <w:numId w:val="0"/>
        </w:numPr>
        <w:ind w:left="720"/>
      </w:pPr>
      <w:r w:rsidRPr="00211C8B">
        <w:t xml:space="preserve">Detailed evaluation of each input is shown in Table </w:t>
      </w:r>
      <w:r w:rsidR="00CD7E9A" w:rsidRPr="00211C8B">
        <w:t>1</w:t>
      </w:r>
      <w:r w:rsidR="00642627" w:rsidRPr="00211C8B">
        <w:t>5</w:t>
      </w:r>
      <w:r w:rsidRPr="00211C8B">
        <w:t>.</w:t>
      </w:r>
    </w:p>
    <w:p w14:paraId="0CB72594" w14:textId="77777777" w:rsidR="0043611D" w:rsidRDefault="0043611D" w:rsidP="005B2768">
      <w:pPr>
        <w:pStyle w:val="TableFigureHeading"/>
      </w:pPr>
      <w:r>
        <w:t xml:space="preserve">Table </w:t>
      </w:r>
      <w:r w:rsidR="00360359">
        <w:rPr>
          <w:noProof/>
        </w:rPr>
        <w:t>15</w:t>
      </w:r>
      <w:r>
        <w:t xml:space="preserve">: </w:t>
      </w:r>
      <w:r w:rsidRPr="003C5CF9">
        <w:t>Data sources applied in the utilisation and financial estimates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ata sources applied in the utilisation and financial estimates"/>
        <w:tblDescription w:val="Data sources applied in the utilisation and financial estimates"/>
      </w:tblPr>
      <w:tblGrid>
        <w:gridCol w:w="1526"/>
        <w:gridCol w:w="3289"/>
        <w:gridCol w:w="4252"/>
      </w:tblGrid>
      <w:tr w:rsidR="00CB79D5" w:rsidRPr="00211C8B" w14:paraId="041E98AD" w14:textId="77777777" w:rsidTr="00A713BB">
        <w:trPr>
          <w:cantSplit/>
          <w:tblHeader/>
        </w:trPr>
        <w:tc>
          <w:tcPr>
            <w:tcW w:w="1526" w:type="dxa"/>
            <w:tcMar>
              <w:left w:w="57" w:type="dxa"/>
              <w:right w:w="57" w:type="dxa"/>
            </w:tcMar>
            <w:vAlign w:val="center"/>
          </w:tcPr>
          <w:p w14:paraId="69295EC1" w14:textId="77777777" w:rsidR="00CB79D5" w:rsidRPr="00211C8B" w:rsidRDefault="00CB79D5" w:rsidP="00A713BB">
            <w:pPr>
              <w:pStyle w:val="In-tableHeading"/>
              <w:keepLines/>
              <w:widowControl w:val="0"/>
              <w:jc w:val="center"/>
              <w:rPr>
                <w:lang w:val="en-AU"/>
              </w:rPr>
            </w:pPr>
            <w:r w:rsidRPr="00211C8B">
              <w:rPr>
                <w:lang w:val="en-AU"/>
              </w:rPr>
              <w:t>Data</w:t>
            </w:r>
          </w:p>
        </w:tc>
        <w:tc>
          <w:tcPr>
            <w:tcW w:w="3289" w:type="dxa"/>
            <w:tcMar>
              <w:left w:w="57" w:type="dxa"/>
              <w:right w:w="57" w:type="dxa"/>
            </w:tcMar>
            <w:vAlign w:val="center"/>
          </w:tcPr>
          <w:p w14:paraId="7324F098" w14:textId="77777777" w:rsidR="00CB79D5" w:rsidRPr="00211C8B" w:rsidRDefault="00CB79D5" w:rsidP="00A713BB">
            <w:pPr>
              <w:pStyle w:val="In-tableHeading"/>
              <w:keepLines/>
              <w:widowControl w:val="0"/>
              <w:jc w:val="center"/>
              <w:rPr>
                <w:lang w:val="en-AU"/>
              </w:rPr>
            </w:pPr>
            <w:r w:rsidRPr="00211C8B">
              <w:rPr>
                <w:lang w:val="en-AU"/>
              </w:rPr>
              <w:t>Source</w:t>
            </w:r>
          </w:p>
        </w:tc>
        <w:tc>
          <w:tcPr>
            <w:tcW w:w="4252" w:type="dxa"/>
            <w:tcMar>
              <w:left w:w="57" w:type="dxa"/>
              <w:right w:w="57" w:type="dxa"/>
            </w:tcMar>
            <w:vAlign w:val="center"/>
          </w:tcPr>
          <w:p w14:paraId="6B2EF94B" w14:textId="77777777" w:rsidR="00CB79D5" w:rsidRPr="00211C8B" w:rsidRDefault="00CB79D5" w:rsidP="00A713BB">
            <w:pPr>
              <w:pStyle w:val="In-tableHeading"/>
              <w:keepLines/>
              <w:widowControl w:val="0"/>
              <w:jc w:val="center"/>
              <w:rPr>
                <w:lang w:val="en-AU"/>
              </w:rPr>
            </w:pPr>
            <w:r w:rsidRPr="00211C8B">
              <w:rPr>
                <w:lang w:val="en-AU"/>
              </w:rPr>
              <w:t>Comment</w:t>
            </w:r>
          </w:p>
        </w:tc>
      </w:tr>
      <w:tr w:rsidR="00CB79D5" w:rsidRPr="00211C8B" w14:paraId="26EF8E09" w14:textId="77777777" w:rsidTr="00A713BB">
        <w:trPr>
          <w:cantSplit/>
        </w:trPr>
        <w:tc>
          <w:tcPr>
            <w:tcW w:w="1526" w:type="dxa"/>
            <w:tcMar>
              <w:left w:w="57" w:type="dxa"/>
              <w:right w:w="57" w:type="dxa"/>
            </w:tcMar>
            <w:vAlign w:val="center"/>
          </w:tcPr>
          <w:p w14:paraId="24D3E404" w14:textId="77777777" w:rsidR="00CB79D5" w:rsidRPr="00211C8B" w:rsidRDefault="00CB79D5" w:rsidP="00A713BB">
            <w:pPr>
              <w:pStyle w:val="TableText0"/>
              <w:keepLines/>
              <w:widowControl w:val="0"/>
            </w:pPr>
            <w:r w:rsidRPr="00211C8B">
              <w:t xml:space="preserve">Total number of IVF cycles (whole market for follitropin </w:t>
            </w:r>
            <w:r w:rsidR="00DC5946">
              <w:t>alfa</w:t>
            </w:r>
            <w:r w:rsidRPr="00211C8B">
              <w:t xml:space="preserve"> and beta)</w:t>
            </w:r>
          </w:p>
        </w:tc>
        <w:tc>
          <w:tcPr>
            <w:tcW w:w="3289" w:type="dxa"/>
            <w:tcMar>
              <w:left w:w="57" w:type="dxa"/>
              <w:right w:w="57" w:type="dxa"/>
            </w:tcMar>
            <w:vAlign w:val="center"/>
          </w:tcPr>
          <w:p w14:paraId="6FDF25A6" w14:textId="77777777" w:rsidR="00CB79D5" w:rsidRPr="00211C8B" w:rsidRDefault="00CB79D5" w:rsidP="00A713BB">
            <w:pPr>
              <w:pStyle w:val="TableText0"/>
              <w:keepLines/>
              <w:widowControl w:val="0"/>
            </w:pPr>
            <w:r w:rsidRPr="00211C8B">
              <w:t xml:space="preserve">Projection from MBS data: estimated growth rate of 2.3% per annum, from historical data (actual IVF cycles 2015 – 2020). </w:t>
            </w:r>
          </w:p>
          <w:p w14:paraId="5EB433FC" w14:textId="77777777" w:rsidR="00CB79D5" w:rsidRPr="00211C8B" w:rsidRDefault="00CB79D5" w:rsidP="00A713BB">
            <w:pPr>
              <w:pStyle w:val="TableText0"/>
              <w:keepLines/>
              <w:widowControl w:val="0"/>
              <w:rPr>
                <w:iCs/>
              </w:rPr>
            </w:pPr>
            <w:r w:rsidRPr="00211C8B">
              <w:rPr>
                <w:iCs/>
              </w:rPr>
              <w:t xml:space="preserve">Estimated numbers were not presented in the submission but in the </w:t>
            </w:r>
            <w:r w:rsidR="002D2111" w:rsidRPr="00211C8B">
              <w:rPr>
                <w:iCs/>
              </w:rPr>
              <w:t>Section 4 Workbook</w:t>
            </w:r>
            <w:r w:rsidRPr="00211C8B">
              <w:rPr>
                <w:iCs/>
              </w:rPr>
              <w:t xml:space="preserve">. </w:t>
            </w:r>
          </w:p>
        </w:tc>
        <w:tc>
          <w:tcPr>
            <w:tcW w:w="4252" w:type="dxa"/>
            <w:tcMar>
              <w:left w:w="57" w:type="dxa"/>
              <w:right w:w="57" w:type="dxa"/>
            </w:tcMar>
            <w:vAlign w:val="center"/>
          </w:tcPr>
          <w:p w14:paraId="423B2CEE" w14:textId="77777777" w:rsidR="00CB79D5" w:rsidRPr="00211C8B" w:rsidRDefault="00CB79D5" w:rsidP="00A713BB">
            <w:pPr>
              <w:pStyle w:val="TableText0"/>
              <w:keepLines/>
              <w:widowControl w:val="0"/>
              <w:rPr>
                <w:iCs/>
              </w:rPr>
            </w:pPr>
            <w:r w:rsidRPr="00211C8B">
              <w:rPr>
                <w:iCs/>
              </w:rPr>
              <w:t xml:space="preserve">Highly uncertain. </w:t>
            </w:r>
          </w:p>
          <w:p w14:paraId="73376CE4" w14:textId="77777777" w:rsidR="00CB79D5" w:rsidRPr="00211C8B" w:rsidRDefault="00CB79D5" w:rsidP="00A713BB">
            <w:pPr>
              <w:pStyle w:val="TableText0"/>
              <w:keepLines/>
              <w:widowControl w:val="0"/>
              <w:rPr>
                <w:iCs/>
              </w:rPr>
            </w:pPr>
          </w:p>
          <w:p w14:paraId="30595D24" w14:textId="77777777" w:rsidR="00CB79D5" w:rsidRPr="00211C8B" w:rsidRDefault="00CB79D5" w:rsidP="00A713BB">
            <w:pPr>
              <w:pStyle w:val="TableText0"/>
              <w:keepLines/>
              <w:widowControl w:val="0"/>
              <w:rPr>
                <w:iCs/>
              </w:rPr>
            </w:pPr>
            <w:r w:rsidRPr="00211C8B">
              <w:rPr>
                <w:iCs/>
              </w:rPr>
              <w:t>The historical data implied a much higher growth rate with wide fluctuations. Between 2018-2020, the growth rate was progressively higher, from 3.4% to 7.4% and 9%, respectively. The prior period consisted of both negative and positive growth.</w:t>
            </w:r>
          </w:p>
          <w:p w14:paraId="6F5700B9" w14:textId="77777777" w:rsidR="00BE5D11" w:rsidRPr="00211C8B" w:rsidRDefault="00BE5D11" w:rsidP="00A713BB">
            <w:pPr>
              <w:pStyle w:val="TableText0"/>
              <w:keepLines/>
              <w:widowControl w:val="0"/>
              <w:rPr>
                <w:iCs/>
              </w:rPr>
            </w:pPr>
          </w:p>
          <w:p w14:paraId="77C3A075" w14:textId="77777777" w:rsidR="00BE5D11" w:rsidRPr="00211C8B" w:rsidRDefault="00BE5D11" w:rsidP="00A713BB">
            <w:pPr>
              <w:pStyle w:val="TableText0"/>
              <w:keepLines/>
              <w:widowControl w:val="0"/>
              <w:rPr>
                <w:iCs/>
              </w:rPr>
            </w:pPr>
            <w:r w:rsidRPr="00211C8B">
              <w:rPr>
                <w:iCs/>
              </w:rPr>
              <w:t xml:space="preserve">It </w:t>
            </w:r>
            <w:r w:rsidR="006B220A" w:rsidRPr="00211C8B">
              <w:rPr>
                <w:iCs/>
              </w:rPr>
              <w:t>might be more appropriate to use the PBS market data for the projection because the PBS data would have accounted for wastage.</w:t>
            </w:r>
          </w:p>
        </w:tc>
      </w:tr>
      <w:tr w:rsidR="00CB79D5" w:rsidRPr="00211C8B" w14:paraId="1CE9B328" w14:textId="77777777" w:rsidTr="00A713BB">
        <w:trPr>
          <w:cantSplit/>
        </w:trPr>
        <w:tc>
          <w:tcPr>
            <w:tcW w:w="1526" w:type="dxa"/>
            <w:tcMar>
              <w:left w:w="57" w:type="dxa"/>
              <w:right w:w="57" w:type="dxa"/>
            </w:tcMar>
            <w:vAlign w:val="center"/>
          </w:tcPr>
          <w:p w14:paraId="4F28A78A" w14:textId="77777777" w:rsidR="00CB79D5" w:rsidRPr="00211C8B" w:rsidRDefault="00CB79D5" w:rsidP="00A713BB">
            <w:pPr>
              <w:pStyle w:val="TableText0"/>
              <w:keepNext w:val="0"/>
              <w:widowControl w:val="0"/>
            </w:pPr>
            <w:r w:rsidRPr="00211C8B">
              <w:t xml:space="preserve">% Use of follitropin </w:t>
            </w:r>
            <w:r w:rsidR="00DC5946">
              <w:t>alfa</w:t>
            </w:r>
            <w:r w:rsidRPr="00211C8B">
              <w:t xml:space="preserve"> per IVF cycle</w:t>
            </w:r>
          </w:p>
        </w:tc>
        <w:tc>
          <w:tcPr>
            <w:tcW w:w="3289" w:type="dxa"/>
            <w:tcMar>
              <w:left w:w="57" w:type="dxa"/>
              <w:right w:w="57" w:type="dxa"/>
            </w:tcMar>
            <w:vAlign w:val="center"/>
          </w:tcPr>
          <w:p w14:paraId="65B042C8" w14:textId="77777777" w:rsidR="00CB79D5" w:rsidRPr="00211C8B" w:rsidRDefault="00CB79D5" w:rsidP="00A713BB">
            <w:pPr>
              <w:pStyle w:val="TableText0"/>
              <w:keepNext w:val="0"/>
              <w:widowControl w:val="0"/>
            </w:pPr>
            <w:r w:rsidRPr="00211C8B">
              <w:t xml:space="preserve">Calculated from PBS data May 2020 to April 2021: </w:t>
            </w:r>
            <w:r w:rsidR="00DC5946">
              <w:t xml:space="preserve">market </w:t>
            </w:r>
            <w:r w:rsidRPr="00211C8B">
              <w:t xml:space="preserve">share of follitropin </w:t>
            </w:r>
            <w:r w:rsidR="00DC5946">
              <w:t>alfa</w:t>
            </w:r>
            <w:r w:rsidRPr="00211C8B">
              <w:t xml:space="preserve"> (Bemfola + </w:t>
            </w:r>
            <w:r w:rsidR="00907340" w:rsidRPr="00211C8B">
              <w:t>Gonal-f</w:t>
            </w:r>
            <w:r w:rsidRPr="00211C8B">
              <w:t>) use for IVF</w:t>
            </w:r>
            <w:r w:rsidR="00DC5946">
              <w:t>.</w:t>
            </w:r>
          </w:p>
          <w:p w14:paraId="35FED0D8" w14:textId="77777777" w:rsidR="00CB79D5" w:rsidRPr="00211C8B" w:rsidRDefault="00CB79D5" w:rsidP="00A713BB">
            <w:pPr>
              <w:pStyle w:val="TableText0"/>
              <w:keepNext w:val="0"/>
              <w:widowControl w:val="0"/>
            </w:pPr>
          </w:p>
          <w:p w14:paraId="0B9EAE50" w14:textId="77777777" w:rsidR="00CB79D5" w:rsidRPr="00211C8B" w:rsidRDefault="00907340" w:rsidP="00A713BB">
            <w:pPr>
              <w:pStyle w:val="TableText0"/>
              <w:keepNext w:val="0"/>
              <w:widowControl w:val="0"/>
            </w:pPr>
            <w:r w:rsidRPr="00211C8B">
              <w:t>Gonal-f</w:t>
            </w:r>
            <w:r w:rsidR="00CB79D5" w:rsidRPr="00211C8B">
              <w:t xml:space="preserve"> accounted for 47.3% and Bemfola 13.2% (total 60.6%)</w:t>
            </w:r>
            <w:r w:rsidR="00DC5946">
              <w:t xml:space="preserve"> of all IVF MBS items.</w:t>
            </w:r>
            <w:r w:rsidR="00CB79D5" w:rsidRPr="00211C8B">
              <w:t xml:space="preserve"> </w:t>
            </w:r>
          </w:p>
        </w:tc>
        <w:tc>
          <w:tcPr>
            <w:tcW w:w="4252" w:type="dxa"/>
            <w:tcMar>
              <w:left w:w="57" w:type="dxa"/>
              <w:right w:w="57" w:type="dxa"/>
            </w:tcMar>
            <w:vAlign w:val="center"/>
          </w:tcPr>
          <w:p w14:paraId="6191DD3F" w14:textId="77777777" w:rsidR="00CB79D5" w:rsidRPr="00211C8B" w:rsidRDefault="00CB79D5" w:rsidP="00A713BB">
            <w:pPr>
              <w:pStyle w:val="TableText0"/>
              <w:keepNext w:val="0"/>
              <w:widowControl w:val="0"/>
              <w:rPr>
                <w:iCs/>
              </w:rPr>
            </w:pPr>
            <w:r w:rsidRPr="00211C8B">
              <w:rPr>
                <w:iCs/>
              </w:rPr>
              <w:t>The assumption is reasonable.</w:t>
            </w:r>
          </w:p>
          <w:p w14:paraId="33E19DD8" w14:textId="77777777" w:rsidR="00CB79D5" w:rsidRPr="00211C8B" w:rsidRDefault="00CB79D5" w:rsidP="00A713BB">
            <w:pPr>
              <w:pStyle w:val="TableText0"/>
              <w:keepNext w:val="0"/>
              <w:widowControl w:val="0"/>
              <w:rPr>
                <w:iCs/>
              </w:rPr>
            </w:pPr>
          </w:p>
          <w:p w14:paraId="717126C8" w14:textId="77777777" w:rsidR="00CB79D5" w:rsidRPr="00211C8B" w:rsidRDefault="00CB79D5" w:rsidP="00A713BB">
            <w:pPr>
              <w:pStyle w:val="TableText0"/>
              <w:keepNext w:val="0"/>
              <w:widowControl w:val="0"/>
              <w:rPr>
                <w:iCs/>
              </w:rPr>
            </w:pPr>
            <w:r w:rsidRPr="00211C8B">
              <w:rPr>
                <w:iCs/>
              </w:rPr>
              <w:t xml:space="preserve">The submission stated that the market share of follitropin </w:t>
            </w:r>
            <w:r w:rsidR="00DC5946">
              <w:rPr>
                <w:iCs/>
              </w:rPr>
              <w:t>alfa</w:t>
            </w:r>
            <w:r w:rsidRPr="00211C8B">
              <w:rPr>
                <w:iCs/>
              </w:rPr>
              <w:t xml:space="preserve"> is expected to rise to </w:t>
            </w:r>
            <w:r w:rsidR="00E70F00">
              <w:rPr>
                <w:iCs/>
                <w:noProof/>
                <w:color w:val="000000"/>
                <w:highlight w:val="black"/>
              </w:rPr>
              <w:t>''''''</w:t>
            </w:r>
            <w:r w:rsidRPr="00B235C6">
              <w:rPr>
                <w:iCs/>
              </w:rPr>
              <w:t xml:space="preserve">% in 2027 (Yr 6). However, the calculation in the excel spreadsheet was based on </w:t>
            </w:r>
            <w:r w:rsidR="008B0719" w:rsidRPr="00B235C6">
              <w:rPr>
                <w:iCs/>
              </w:rPr>
              <w:t xml:space="preserve">a </w:t>
            </w:r>
            <w:r w:rsidRPr="00B235C6">
              <w:rPr>
                <w:iCs/>
              </w:rPr>
              <w:t xml:space="preserve">constant </w:t>
            </w:r>
            <w:r w:rsidR="00E70F00">
              <w:rPr>
                <w:iCs/>
                <w:noProof/>
                <w:color w:val="000000"/>
                <w:highlight w:val="black"/>
              </w:rPr>
              <w:t>''''''</w:t>
            </w:r>
            <w:r w:rsidRPr="00B235C6">
              <w:rPr>
                <w:iCs/>
              </w:rPr>
              <w:t>% from 2022-2027. Therefore</w:t>
            </w:r>
            <w:r w:rsidRPr="00211C8B">
              <w:rPr>
                <w:iCs/>
              </w:rPr>
              <w:t xml:space="preserve">, the estimated numbers presented in the submission differed from the numbers calculated in the </w:t>
            </w:r>
            <w:r w:rsidR="002D2111" w:rsidRPr="00211C8B">
              <w:rPr>
                <w:iCs/>
              </w:rPr>
              <w:t>Section 4 Workbook</w:t>
            </w:r>
            <w:r w:rsidRPr="00211C8B">
              <w:rPr>
                <w:iCs/>
              </w:rPr>
              <w:t>.</w:t>
            </w:r>
          </w:p>
        </w:tc>
      </w:tr>
      <w:tr w:rsidR="00CB79D5" w:rsidRPr="00211C8B" w14:paraId="1FEC9753" w14:textId="77777777" w:rsidTr="00A713BB">
        <w:trPr>
          <w:cantSplit/>
        </w:trPr>
        <w:tc>
          <w:tcPr>
            <w:tcW w:w="1526" w:type="dxa"/>
            <w:tcMar>
              <w:left w:w="57" w:type="dxa"/>
              <w:right w:w="57" w:type="dxa"/>
            </w:tcMar>
            <w:vAlign w:val="center"/>
          </w:tcPr>
          <w:p w14:paraId="4C8AB99B" w14:textId="77777777" w:rsidR="00CB79D5" w:rsidRPr="00211C8B" w:rsidRDefault="00CB79D5" w:rsidP="00A713BB">
            <w:pPr>
              <w:pStyle w:val="TableText0"/>
              <w:keepNext w:val="0"/>
              <w:widowControl w:val="0"/>
            </w:pPr>
            <w:r w:rsidRPr="00211C8B">
              <w:t xml:space="preserve">% </w:t>
            </w:r>
            <w:r w:rsidR="00907340" w:rsidRPr="00211C8B">
              <w:t>Gonal-f</w:t>
            </w:r>
            <w:r w:rsidRPr="00211C8B">
              <w:t xml:space="preserve"> within follitropin </w:t>
            </w:r>
            <w:r w:rsidR="00DC5946">
              <w:t>alfa</w:t>
            </w:r>
            <w:r w:rsidRPr="00211C8B">
              <w:t xml:space="preserve"> market, </w:t>
            </w:r>
            <w:r w:rsidRPr="00211C8B">
              <w:rPr>
                <w:b/>
                <w:bCs w:val="0"/>
              </w:rPr>
              <w:t>without</w:t>
            </w:r>
            <w:r w:rsidRPr="00211C8B">
              <w:t xml:space="preserve"> Chua et al 2021</w:t>
            </w:r>
          </w:p>
        </w:tc>
        <w:tc>
          <w:tcPr>
            <w:tcW w:w="3289" w:type="dxa"/>
            <w:tcMar>
              <w:left w:w="57" w:type="dxa"/>
              <w:right w:w="57" w:type="dxa"/>
            </w:tcMar>
            <w:vAlign w:val="center"/>
          </w:tcPr>
          <w:p w14:paraId="00FF525E" w14:textId="77777777" w:rsidR="00CB79D5" w:rsidRPr="00211C8B" w:rsidRDefault="00CB79D5" w:rsidP="00A713BB">
            <w:pPr>
              <w:pStyle w:val="TableText0"/>
              <w:keepNext w:val="0"/>
              <w:widowControl w:val="0"/>
            </w:pPr>
            <w:r w:rsidRPr="00211C8B">
              <w:t xml:space="preserve">No source cited in the submission </w:t>
            </w:r>
          </w:p>
          <w:p w14:paraId="5E079891" w14:textId="77777777" w:rsidR="00CB79D5" w:rsidRPr="00211C8B" w:rsidRDefault="00CB79D5" w:rsidP="00A713BB">
            <w:pPr>
              <w:pStyle w:val="TableText0"/>
              <w:keepNext w:val="0"/>
              <w:widowControl w:val="0"/>
              <w:rPr>
                <w:iCs/>
              </w:rPr>
            </w:pPr>
            <w:r w:rsidRPr="00211C8B">
              <w:rPr>
                <w:iCs/>
              </w:rPr>
              <w:t>(</w:t>
            </w:r>
            <w:r w:rsidR="008B0719">
              <w:rPr>
                <w:iCs/>
              </w:rPr>
              <w:t>i</w:t>
            </w:r>
            <w:r w:rsidRPr="00211C8B">
              <w:rPr>
                <w:iCs/>
              </w:rPr>
              <w:t xml:space="preserve">nformation not shown in the submission, but in the </w:t>
            </w:r>
            <w:r w:rsidR="0079620E" w:rsidRPr="00211C8B">
              <w:rPr>
                <w:iCs/>
              </w:rPr>
              <w:t>Section 4 Workbook</w:t>
            </w:r>
            <w:r w:rsidRPr="00211C8B">
              <w:rPr>
                <w:iCs/>
              </w:rPr>
              <w:t>)</w:t>
            </w:r>
            <w:r w:rsidR="00DC5946">
              <w:rPr>
                <w:iCs/>
              </w:rPr>
              <w:t>.</w:t>
            </w:r>
          </w:p>
        </w:tc>
        <w:tc>
          <w:tcPr>
            <w:tcW w:w="4252" w:type="dxa"/>
            <w:tcMar>
              <w:left w:w="57" w:type="dxa"/>
              <w:right w:w="57" w:type="dxa"/>
            </w:tcMar>
            <w:vAlign w:val="center"/>
          </w:tcPr>
          <w:p w14:paraId="6474EA43" w14:textId="77777777" w:rsidR="00CB79D5" w:rsidRPr="00211C8B" w:rsidRDefault="008B0719" w:rsidP="00A713BB">
            <w:pPr>
              <w:pStyle w:val="TableText0"/>
              <w:keepNext w:val="0"/>
              <w:widowControl w:val="0"/>
              <w:rPr>
                <w:iCs/>
              </w:rPr>
            </w:pPr>
            <w:r>
              <w:rPr>
                <w:iCs/>
              </w:rPr>
              <w:t>An i</w:t>
            </w:r>
            <w:r w:rsidRPr="00211C8B">
              <w:rPr>
                <w:iCs/>
              </w:rPr>
              <w:t xml:space="preserve">nsufficient </w:t>
            </w:r>
            <w:r w:rsidR="00CB79D5" w:rsidRPr="00211C8B">
              <w:rPr>
                <w:iCs/>
              </w:rPr>
              <w:t>PBS time series</w:t>
            </w:r>
            <w:r>
              <w:rPr>
                <w:iCs/>
              </w:rPr>
              <w:t xml:space="preserve"> was</w:t>
            </w:r>
            <w:r w:rsidR="00CB79D5" w:rsidRPr="00211C8B">
              <w:rPr>
                <w:iCs/>
              </w:rPr>
              <w:t xml:space="preserve"> presented in the submission to verify the claim of downward trending (status quo).</w:t>
            </w:r>
          </w:p>
          <w:p w14:paraId="744BEDBE" w14:textId="77777777" w:rsidR="00CB79D5" w:rsidRPr="00211C8B" w:rsidRDefault="00CB79D5" w:rsidP="00A713BB">
            <w:pPr>
              <w:pStyle w:val="TableText0"/>
              <w:keepNext w:val="0"/>
              <w:widowControl w:val="0"/>
              <w:rPr>
                <w:iCs/>
              </w:rPr>
            </w:pPr>
            <w:r w:rsidRPr="00211C8B">
              <w:rPr>
                <w:iCs/>
              </w:rPr>
              <w:t xml:space="preserve">An independent analysis (during the evaluation) of the PBS scripts by months (May 2020 – April 2021) showed that </w:t>
            </w:r>
            <w:r w:rsidR="008B0719">
              <w:rPr>
                <w:iCs/>
              </w:rPr>
              <w:t xml:space="preserve">the </w:t>
            </w:r>
            <w:r w:rsidR="00907340" w:rsidRPr="00211C8B">
              <w:rPr>
                <w:iCs/>
              </w:rPr>
              <w:t>Gonal-f</w:t>
            </w:r>
            <w:r w:rsidRPr="00211C8B">
              <w:rPr>
                <w:iCs/>
              </w:rPr>
              <w:t xml:space="preserve"> market share fluctuated, mostly around 78%-80% without a clear downward trend.</w:t>
            </w:r>
          </w:p>
        </w:tc>
      </w:tr>
      <w:tr w:rsidR="00CB79D5" w:rsidRPr="00211C8B" w14:paraId="2B60CBF8" w14:textId="77777777" w:rsidTr="00A713BB">
        <w:trPr>
          <w:cantSplit/>
        </w:trPr>
        <w:tc>
          <w:tcPr>
            <w:tcW w:w="1526" w:type="dxa"/>
            <w:tcMar>
              <w:left w:w="57" w:type="dxa"/>
              <w:right w:w="57" w:type="dxa"/>
            </w:tcMar>
            <w:vAlign w:val="center"/>
          </w:tcPr>
          <w:p w14:paraId="52760406" w14:textId="77777777" w:rsidR="00CB79D5" w:rsidRPr="00211C8B" w:rsidRDefault="00CB79D5" w:rsidP="00A713BB">
            <w:pPr>
              <w:pStyle w:val="TableText0"/>
              <w:keepNext w:val="0"/>
              <w:widowControl w:val="0"/>
            </w:pPr>
            <w:r w:rsidRPr="00211C8B">
              <w:t xml:space="preserve">% </w:t>
            </w:r>
            <w:r w:rsidR="00907340" w:rsidRPr="00211C8B">
              <w:t>Gonal-f</w:t>
            </w:r>
            <w:r w:rsidRPr="00211C8B">
              <w:t xml:space="preserve"> within follitropin </w:t>
            </w:r>
            <w:r w:rsidR="00DC5946">
              <w:t>alfa</w:t>
            </w:r>
            <w:r w:rsidRPr="00211C8B">
              <w:t xml:space="preserve"> market, </w:t>
            </w:r>
            <w:r w:rsidRPr="00211C8B">
              <w:rPr>
                <w:b/>
                <w:bCs w:val="0"/>
              </w:rPr>
              <w:t>with</w:t>
            </w:r>
            <w:r w:rsidRPr="00211C8B">
              <w:t xml:space="preserve"> Chua et al 2021</w:t>
            </w:r>
          </w:p>
        </w:tc>
        <w:tc>
          <w:tcPr>
            <w:tcW w:w="3289" w:type="dxa"/>
            <w:tcMar>
              <w:left w:w="57" w:type="dxa"/>
              <w:right w:w="57" w:type="dxa"/>
            </w:tcMar>
            <w:vAlign w:val="center"/>
          </w:tcPr>
          <w:p w14:paraId="14852EDA" w14:textId="77777777" w:rsidR="00CB79D5" w:rsidRPr="00211C8B" w:rsidRDefault="00CB79D5" w:rsidP="00A713BB">
            <w:pPr>
              <w:pStyle w:val="TableText0"/>
              <w:keepNext w:val="0"/>
              <w:widowControl w:val="0"/>
            </w:pPr>
            <w:r w:rsidRPr="00211C8B">
              <w:t xml:space="preserve">Assumption: </w:t>
            </w:r>
            <w:r w:rsidR="00907340" w:rsidRPr="00211C8B">
              <w:t>Gonal-f</w:t>
            </w:r>
            <w:r w:rsidRPr="00211C8B">
              <w:t xml:space="preserve"> had better live birth outcomes compared to biosimilar.</w:t>
            </w:r>
          </w:p>
          <w:p w14:paraId="54631E69" w14:textId="77777777" w:rsidR="00CB79D5" w:rsidRPr="00211C8B" w:rsidRDefault="00CB79D5" w:rsidP="00A713BB">
            <w:pPr>
              <w:pStyle w:val="TableText0"/>
              <w:keepNext w:val="0"/>
              <w:widowControl w:val="0"/>
            </w:pPr>
          </w:p>
          <w:p w14:paraId="79928B57" w14:textId="77777777" w:rsidR="00CB79D5" w:rsidRPr="00211C8B" w:rsidRDefault="00CB79D5" w:rsidP="00A713BB">
            <w:pPr>
              <w:pStyle w:val="TableText0"/>
              <w:keepNext w:val="0"/>
              <w:widowControl w:val="0"/>
            </w:pPr>
            <w:r w:rsidRPr="00211C8B">
              <w:t xml:space="preserve">The submissions stated that </w:t>
            </w:r>
            <w:r w:rsidR="008B0719">
              <w:t xml:space="preserve">the </w:t>
            </w:r>
            <w:r w:rsidRPr="00211C8B">
              <w:t>clinical results from Chua et al (2021) would reduce biosimilar</w:t>
            </w:r>
            <w:r w:rsidR="008B0719">
              <w:t xml:space="preserve"> usage</w:t>
            </w:r>
            <w:r w:rsidRPr="00211C8B">
              <w:t xml:space="preserve"> by ~1% per year and increase </w:t>
            </w:r>
            <w:r w:rsidR="00907340" w:rsidRPr="00211C8B">
              <w:t>Gonal-f</w:t>
            </w:r>
            <w:r w:rsidRPr="00211C8B">
              <w:t>’s market share by ~1% (</w:t>
            </w:r>
            <w:r w:rsidR="008B0719">
              <w:t>i.e.</w:t>
            </w:r>
            <w:r w:rsidR="008B0719" w:rsidRPr="00211C8B">
              <w:t xml:space="preserve"> </w:t>
            </w:r>
            <w:r w:rsidRPr="00211C8B">
              <w:t>offset each other</w:t>
            </w:r>
            <w:r w:rsidR="008B0719">
              <w:t xml:space="preserve"> 1:1</w:t>
            </w:r>
            <w:r w:rsidRPr="00211C8B">
              <w:t>).</w:t>
            </w:r>
          </w:p>
        </w:tc>
        <w:tc>
          <w:tcPr>
            <w:tcW w:w="4252" w:type="dxa"/>
            <w:tcMar>
              <w:left w:w="57" w:type="dxa"/>
              <w:right w:w="57" w:type="dxa"/>
            </w:tcMar>
            <w:vAlign w:val="center"/>
          </w:tcPr>
          <w:p w14:paraId="05F889B6" w14:textId="77777777" w:rsidR="00CB79D5" w:rsidRPr="00211C8B" w:rsidRDefault="00CB79D5" w:rsidP="00A713BB">
            <w:pPr>
              <w:pStyle w:val="TableText0"/>
              <w:keepNext w:val="0"/>
              <w:widowControl w:val="0"/>
              <w:rPr>
                <w:iCs/>
              </w:rPr>
            </w:pPr>
            <w:r w:rsidRPr="00211C8B">
              <w:rPr>
                <w:iCs/>
              </w:rPr>
              <w:t xml:space="preserve">Uncertain. </w:t>
            </w:r>
          </w:p>
          <w:p w14:paraId="2AC7BD65" w14:textId="77777777" w:rsidR="00CB79D5" w:rsidRPr="00211C8B" w:rsidRDefault="00CB79D5" w:rsidP="00A713BB">
            <w:pPr>
              <w:pStyle w:val="TableText0"/>
              <w:keepNext w:val="0"/>
              <w:widowControl w:val="0"/>
              <w:rPr>
                <w:iCs/>
              </w:rPr>
            </w:pPr>
          </w:p>
          <w:p w14:paraId="4BB9A0F6" w14:textId="77777777" w:rsidR="00CB79D5" w:rsidRPr="00211C8B" w:rsidRDefault="008B0719" w:rsidP="004A5E5B">
            <w:pPr>
              <w:pStyle w:val="TableText0"/>
              <w:keepNext w:val="0"/>
              <w:widowControl w:val="0"/>
              <w:rPr>
                <w:iCs/>
              </w:rPr>
            </w:pPr>
            <w:r>
              <w:rPr>
                <w:iCs/>
              </w:rPr>
              <w:t>The c</w:t>
            </w:r>
            <w:r w:rsidR="00CB79D5" w:rsidRPr="00211C8B">
              <w:rPr>
                <w:iCs/>
              </w:rPr>
              <w:t xml:space="preserve">linical evidence presented in the submission was not sufficient to conclude that </w:t>
            </w:r>
            <w:r w:rsidR="00907340" w:rsidRPr="00211C8B">
              <w:rPr>
                <w:iCs/>
              </w:rPr>
              <w:t>Gonal-f</w:t>
            </w:r>
            <w:r w:rsidR="00CB79D5" w:rsidRPr="00211C8B">
              <w:rPr>
                <w:iCs/>
              </w:rPr>
              <w:t xml:space="preserve"> had better live birth outcomes, across all cycles, compared to </w:t>
            </w:r>
            <w:r>
              <w:rPr>
                <w:iCs/>
              </w:rPr>
              <w:t xml:space="preserve">the </w:t>
            </w:r>
            <w:r w:rsidR="00CB79D5" w:rsidRPr="00211C8B">
              <w:rPr>
                <w:iCs/>
              </w:rPr>
              <w:t xml:space="preserve">biosimilars. </w:t>
            </w:r>
          </w:p>
        </w:tc>
      </w:tr>
      <w:tr w:rsidR="00CB79D5" w:rsidRPr="00211C8B" w14:paraId="495107DB" w14:textId="77777777" w:rsidTr="00A713BB">
        <w:trPr>
          <w:cantSplit/>
        </w:trPr>
        <w:tc>
          <w:tcPr>
            <w:tcW w:w="1526" w:type="dxa"/>
            <w:tcMar>
              <w:left w:w="57" w:type="dxa"/>
              <w:right w:w="57" w:type="dxa"/>
            </w:tcMar>
            <w:vAlign w:val="center"/>
          </w:tcPr>
          <w:p w14:paraId="3B7DB153" w14:textId="77777777" w:rsidR="00CB79D5" w:rsidRPr="00211C8B" w:rsidRDefault="00CB79D5" w:rsidP="00A713BB">
            <w:pPr>
              <w:pStyle w:val="TableText0"/>
              <w:keepNext w:val="0"/>
              <w:widowControl w:val="0"/>
            </w:pPr>
            <w:r w:rsidRPr="00211C8B">
              <w:t xml:space="preserve">Change of </w:t>
            </w:r>
            <w:r w:rsidR="00907340" w:rsidRPr="00211C8B">
              <w:t>Gonal-f</w:t>
            </w:r>
            <w:r w:rsidRPr="00211C8B">
              <w:t xml:space="preserve"> units dispensed</w:t>
            </w:r>
          </w:p>
        </w:tc>
        <w:tc>
          <w:tcPr>
            <w:tcW w:w="3289" w:type="dxa"/>
            <w:tcMar>
              <w:left w:w="57" w:type="dxa"/>
              <w:right w:w="57" w:type="dxa"/>
            </w:tcMar>
            <w:vAlign w:val="center"/>
          </w:tcPr>
          <w:p w14:paraId="60089AE3" w14:textId="77777777" w:rsidR="00CB79D5" w:rsidRPr="00211C8B" w:rsidRDefault="00CB79D5" w:rsidP="00A713BB">
            <w:pPr>
              <w:pStyle w:val="TableText0"/>
              <w:keepNext w:val="0"/>
              <w:widowControl w:val="0"/>
            </w:pPr>
            <w:r w:rsidRPr="00211C8B">
              <w:t xml:space="preserve">Calculated. </w:t>
            </w:r>
          </w:p>
          <w:p w14:paraId="452AD938" w14:textId="77777777" w:rsidR="00CB79D5" w:rsidRPr="00211C8B" w:rsidRDefault="00CB79D5" w:rsidP="00A713BB">
            <w:pPr>
              <w:pStyle w:val="TableText0"/>
              <w:keepNext w:val="0"/>
              <w:widowControl w:val="0"/>
            </w:pPr>
          </w:p>
          <w:p w14:paraId="17DC229F" w14:textId="77777777" w:rsidR="00CB79D5" w:rsidRPr="00211C8B" w:rsidRDefault="00CB79D5" w:rsidP="00A713BB">
            <w:pPr>
              <w:pStyle w:val="TableText0"/>
              <w:keepNext w:val="0"/>
              <w:widowControl w:val="0"/>
            </w:pPr>
            <w:r w:rsidRPr="00211C8B">
              <w:t xml:space="preserve">Total number of IVF cycles * % use of follitropin </w:t>
            </w:r>
            <w:r w:rsidR="00DC5946">
              <w:t>alfa</w:t>
            </w:r>
            <w:r w:rsidRPr="00211C8B">
              <w:t xml:space="preserve"> per IVF cycles * (% </w:t>
            </w:r>
            <w:r w:rsidR="00907340" w:rsidRPr="00211C8B">
              <w:t>Gonal-f</w:t>
            </w:r>
            <w:r w:rsidRPr="00211C8B">
              <w:t xml:space="preserve"> share with Chua et al 2021 - % </w:t>
            </w:r>
            <w:r w:rsidR="00907340" w:rsidRPr="00211C8B">
              <w:t>Gonal-f</w:t>
            </w:r>
            <w:r w:rsidRPr="00211C8B">
              <w:t xml:space="preserve"> share without Chua et al 2021)</w:t>
            </w:r>
            <w:r w:rsidR="008B0719">
              <w:t>.</w:t>
            </w:r>
          </w:p>
        </w:tc>
        <w:tc>
          <w:tcPr>
            <w:tcW w:w="4252" w:type="dxa"/>
            <w:tcMar>
              <w:left w:w="57" w:type="dxa"/>
              <w:right w:w="57" w:type="dxa"/>
            </w:tcMar>
            <w:vAlign w:val="center"/>
          </w:tcPr>
          <w:p w14:paraId="7328E91A" w14:textId="77777777" w:rsidR="00CB79D5" w:rsidRPr="00211C8B" w:rsidRDefault="00CB79D5" w:rsidP="00A713BB">
            <w:pPr>
              <w:pStyle w:val="TableText0"/>
              <w:keepNext w:val="0"/>
              <w:widowControl w:val="0"/>
            </w:pPr>
            <w:r w:rsidRPr="00211C8B">
              <w:t xml:space="preserve">The increase in </w:t>
            </w:r>
            <w:r w:rsidR="00907340" w:rsidRPr="00211C8B">
              <w:t>Gonal-f</w:t>
            </w:r>
            <w:r w:rsidRPr="00211C8B">
              <w:t xml:space="preserve"> scripts </w:t>
            </w:r>
            <w:r w:rsidR="0079620E" w:rsidRPr="00211C8B">
              <w:t xml:space="preserve">was </w:t>
            </w:r>
            <w:r w:rsidRPr="00211C8B">
              <w:t xml:space="preserve">completely offset by the reduction in Bemfola scripts. </w:t>
            </w:r>
          </w:p>
          <w:p w14:paraId="03838542" w14:textId="77777777" w:rsidR="00CB79D5" w:rsidRPr="00211C8B" w:rsidRDefault="00CB79D5" w:rsidP="00A713BB">
            <w:pPr>
              <w:pStyle w:val="TableText0"/>
              <w:keepNext w:val="0"/>
              <w:widowControl w:val="0"/>
            </w:pPr>
          </w:p>
          <w:p w14:paraId="679BDD5C" w14:textId="77777777" w:rsidR="00CB79D5" w:rsidRPr="00211C8B" w:rsidRDefault="00CB79D5" w:rsidP="00A713BB">
            <w:pPr>
              <w:pStyle w:val="TableText0"/>
              <w:keepNext w:val="0"/>
              <w:widowControl w:val="0"/>
              <w:rPr>
                <w:iCs/>
              </w:rPr>
            </w:pPr>
            <w:r w:rsidRPr="00211C8B">
              <w:rPr>
                <w:iCs/>
              </w:rPr>
              <w:t xml:space="preserve">The estimated number presented in the submission was not consistent with the </w:t>
            </w:r>
            <w:r w:rsidR="0079620E" w:rsidRPr="00211C8B">
              <w:rPr>
                <w:iCs/>
              </w:rPr>
              <w:t>Section 4 Workbook</w:t>
            </w:r>
            <w:r w:rsidRPr="00211C8B">
              <w:rPr>
                <w:iCs/>
              </w:rPr>
              <w:t>. The differences, however, are small.</w:t>
            </w:r>
          </w:p>
          <w:p w14:paraId="61880EF3" w14:textId="77777777" w:rsidR="008B0719" w:rsidRDefault="008B0719" w:rsidP="00A713BB">
            <w:pPr>
              <w:pStyle w:val="TableText0"/>
              <w:keepNext w:val="0"/>
              <w:widowControl w:val="0"/>
              <w:rPr>
                <w:iCs/>
              </w:rPr>
            </w:pPr>
          </w:p>
          <w:p w14:paraId="3BB27C22" w14:textId="77777777" w:rsidR="00CB79D5" w:rsidRPr="00211C8B" w:rsidRDefault="00CB79D5" w:rsidP="00A713BB">
            <w:pPr>
              <w:pStyle w:val="TableText0"/>
              <w:keepNext w:val="0"/>
              <w:widowControl w:val="0"/>
              <w:rPr>
                <w:iCs/>
              </w:rPr>
            </w:pPr>
            <w:r w:rsidRPr="00211C8B">
              <w:rPr>
                <w:iCs/>
              </w:rPr>
              <w:t xml:space="preserve">This calculation is not consistent with the assumption that the submission used to calculate the number of IVF cycles reduced if </w:t>
            </w:r>
            <w:r w:rsidR="00907340" w:rsidRPr="00211C8B">
              <w:rPr>
                <w:iCs/>
              </w:rPr>
              <w:t>Gonal-f</w:t>
            </w:r>
            <w:r w:rsidRPr="00211C8B">
              <w:rPr>
                <w:iCs/>
              </w:rPr>
              <w:t xml:space="preserve"> is used, due to better live birth outcomes (see below)</w:t>
            </w:r>
            <w:r w:rsidR="008B0719">
              <w:rPr>
                <w:iCs/>
              </w:rPr>
              <w:t>.</w:t>
            </w:r>
          </w:p>
        </w:tc>
      </w:tr>
      <w:tr w:rsidR="00CB79D5" w:rsidRPr="00211C8B" w14:paraId="6D8499A3" w14:textId="77777777" w:rsidTr="00A713BB">
        <w:trPr>
          <w:cantSplit/>
        </w:trPr>
        <w:tc>
          <w:tcPr>
            <w:tcW w:w="1526" w:type="dxa"/>
            <w:tcMar>
              <w:left w:w="57" w:type="dxa"/>
              <w:right w:w="57" w:type="dxa"/>
            </w:tcMar>
            <w:vAlign w:val="center"/>
          </w:tcPr>
          <w:p w14:paraId="44A73ECA" w14:textId="77777777" w:rsidR="00CB79D5" w:rsidRPr="00211C8B" w:rsidRDefault="00CB79D5" w:rsidP="00A713BB">
            <w:pPr>
              <w:pStyle w:val="TableText0"/>
              <w:keepNext w:val="0"/>
              <w:widowControl w:val="0"/>
            </w:pPr>
            <w:r w:rsidRPr="00211C8B">
              <w:t>Number of IVF cycles avoidable per patient</w:t>
            </w:r>
          </w:p>
        </w:tc>
        <w:tc>
          <w:tcPr>
            <w:tcW w:w="3289" w:type="dxa"/>
            <w:tcMar>
              <w:left w:w="57" w:type="dxa"/>
              <w:right w:w="57" w:type="dxa"/>
            </w:tcMar>
            <w:vAlign w:val="center"/>
          </w:tcPr>
          <w:p w14:paraId="5F20AA3E" w14:textId="77777777" w:rsidR="00CB79D5" w:rsidRPr="00211C8B" w:rsidRDefault="00CB79D5" w:rsidP="00A713BB">
            <w:pPr>
              <w:pStyle w:val="TableText0"/>
              <w:keepNext w:val="0"/>
              <w:widowControl w:val="0"/>
            </w:pPr>
            <w:r w:rsidRPr="00211C8B">
              <w:t xml:space="preserve">Avoided cycle per patient was estimated from the economic model in Section 3 (based on Chua et al 2021 risk ratio of live birth outcome for cycle 1 of </w:t>
            </w:r>
            <w:r w:rsidR="00907340" w:rsidRPr="00211C8B">
              <w:t>Gonal-f</w:t>
            </w:r>
            <w:r w:rsidRPr="00211C8B">
              <w:t xml:space="preserve"> versus biosimilars)</w:t>
            </w:r>
            <w:r w:rsidR="008B0719">
              <w:t>.</w:t>
            </w:r>
          </w:p>
          <w:p w14:paraId="032FE4B8" w14:textId="77777777" w:rsidR="00CB79D5" w:rsidRPr="00211C8B" w:rsidRDefault="00CB79D5" w:rsidP="00A713BB">
            <w:pPr>
              <w:pStyle w:val="TableText0"/>
              <w:keepNext w:val="0"/>
              <w:widowControl w:val="0"/>
            </w:pPr>
          </w:p>
          <w:p w14:paraId="5F66124D" w14:textId="77777777" w:rsidR="00CB79D5" w:rsidRPr="00211C8B" w:rsidRDefault="00CB79D5" w:rsidP="00A713BB">
            <w:pPr>
              <w:pStyle w:val="TableText0"/>
              <w:keepNext w:val="0"/>
              <w:widowControl w:val="0"/>
            </w:pPr>
            <w:r w:rsidRPr="00211C8B">
              <w:t xml:space="preserve">Average IVF cycles per patient in </w:t>
            </w:r>
            <w:r w:rsidR="008B0719">
              <w:t xml:space="preserve">the </w:t>
            </w:r>
            <w:r w:rsidR="00907340" w:rsidRPr="00211C8B">
              <w:t>Gonal-f</w:t>
            </w:r>
            <w:r w:rsidRPr="00211C8B">
              <w:t xml:space="preserve"> arm: 2.388 </w:t>
            </w:r>
          </w:p>
          <w:p w14:paraId="69D8FB4D" w14:textId="77777777" w:rsidR="00CB79D5" w:rsidRPr="00211C8B" w:rsidRDefault="00CB79D5" w:rsidP="00A713BB">
            <w:pPr>
              <w:pStyle w:val="TableText0"/>
              <w:keepNext w:val="0"/>
              <w:widowControl w:val="0"/>
            </w:pPr>
            <w:r w:rsidRPr="00211C8B">
              <w:t>Average IVF cycles per patient in</w:t>
            </w:r>
            <w:r w:rsidR="008B0719">
              <w:t xml:space="preserve"> the</w:t>
            </w:r>
            <w:r w:rsidRPr="00211C8B">
              <w:t xml:space="preserve"> Bemfola arm: 2.566</w:t>
            </w:r>
          </w:p>
          <w:p w14:paraId="442D95F5" w14:textId="77777777" w:rsidR="00CB79D5" w:rsidRPr="00211C8B" w:rsidRDefault="00CB79D5" w:rsidP="00A713BB">
            <w:pPr>
              <w:pStyle w:val="TableText0"/>
              <w:keepNext w:val="0"/>
              <w:widowControl w:val="0"/>
            </w:pPr>
          </w:p>
          <w:p w14:paraId="23DEC1CE" w14:textId="77777777" w:rsidR="00CB79D5" w:rsidRPr="00211C8B" w:rsidRDefault="00CB79D5" w:rsidP="00A713BB">
            <w:pPr>
              <w:pStyle w:val="TableText0"/>
              <w:keepNext w:val="0"/>
              <w:widowControl w:val="0"/>
            </w:pPr>
            <w:r w:rsidRPr="00211C8B">
              <w:t>Avoid IVF cycles per patient in</w:t>
            </w:r>
            <w:r w:rsidR="008B0719">
              <w:t xml:space="preserve"> the</w:t>
            </w:r>
            <w:r w:rsidRPr="00211C8B">
              <w:t xml:space="preserve"> </w:t>
            </w:r>
            <w:r w:rsidR="00907340" w:rsidRPr="00211C8B">
              <w:t>Gonal-f</w:t>
            </w:r>
            <w:r w:rsidR="008B0719">
              <w:t xml:space="preserve"> arm</w:t>
            </w:r>
            <w:r w:rsidRPr="00211C8B">
              <w:t xml:space="preserve"> = 2.566 – 2.388 = 0.176</w:t>
            </w:r>
          </w:p>
        </w:tc>
        <w:tc>
          <w:tcPr>
            <w:tcW w:w="4252" w:type="dxa"/>
            <w:tcMar>
              <w:left w:w="57" w:type="dxa"/>
              <w:right w:w="57" w:type="dxa"/>
            </w:tcMar>
            <w:vAlign w:val="center"/>
          </w:tcPr>
          <w:p w14:paraId="33BDC198" w14:textId="77777777" w:rsidR="00CB79D5" w:rsidRPr="00211C8B" w:rsidRDefault="00CB79D5" w:rsidP="00A713BB">
            <w:pPr>
              <w:pStyle w:val="TableText0"/>
              <w:keepNext w:val="0"/>
              <w:widowControl w:val="0"/>
              <w:rPr>
                <w:iCs/>
              </w:rPr>
            </w:pPr>
            <w:r w:rsidRPr="00211C8B">
              <w:t xml:space="preserve">The submission stated that Chua et al 2021 found that </w:t>
            </w:r>
            <w:r w:rsidR="00907340" w:rsidRPr="00211C8B">
              <w:t>Gonal-f</w:t>
            </w:r>
            <w:r w:rsidRPr="00211C8B">
              <w:t xml:space="preserve"> results </w:t>
            </w:r>
            <w:r w:rsidR="006A06D2" w:rsidRPr="00211C8B">
              <w:t>in</w:t>
            </w:r>
            <w:r w:rsidRPr="00211C8B">
              <w:t xml:space="preserve"> better li</w:t>
            </w:r>
            <w:r w:rsidR="0079620E" w:rsidRPr="00211C8B">
              <w:t>v</w:t>
            </w:r>
            <w:r w:rsidRPr="00211C8B">
              <w:t xml:space="preserve">e birth outcomes, therefore, the use of </w:t>
            </w:r>
            <w:r w:rsidR="00907340" w:rsidRPr="00211C8B">
              <w:t>Gonal-f</w:t>
            </w:r>
            <w:r w:rsidRPr="00211C8B">
              <w:t xml:space="preserve"> would lead to a reduction in the average IVF cycles per patient, compared to the biosimilars (Section 3, economic evidence). </w:t>
            </w:r>
            <w:r w:rsidRPr="00211C8B">
              <w:rPr>
                <w:iCs/>
              </w:rPr>
              <w:t xml:space="preserve">The application of </w:t>
            </w:r>
            <w:r w:rsidR="00A97693">
              <w:rPr>
                <w:iCs/>
              </w:rPr>
              <w:t xml:space="preserve">the </w:t>
            </w:r>
            <w:r w:rsidRPr="00211C8B">
              <w:rPr>
                <w:iCs/>
              </w:rPr>
              <w:t>Chua et al result</w:t>
            </w:r>
            <w:r w:rsidR="00A97693">
              <w:rPr>
                <w:iCs/>
              </w:rPr>
              <w:t>s</w:t>
            </w:r>
            <w:r w:rsidRPr="00211C8B">
              <w:rPr>
                <w:iCs/>
              </w:rPr>
              <w:t xml:space="preserve"> </w:t>
            </w:r>
            <w:r w:rsidR="00A97693" w:rsidRPr="00211C8B">
              <w:rPr>
                <w:iCs/>
              </w:rPr>
              <w:t>w</w:t>
            </w:r>
            <w:r w:rsidR="00A97693">
              <w:rPr>
                <w:iCs/>
              </w:rPr>
              <w:t>ere</w:t>
            </w:r>
            <w:r w:rsidR="00A97693" w:rsidRPr="00211C8B">
              <w:rPr>
                <w:iCs/>
              </w:rPr>
              <w:t xml:space="preserve"> </w:t>
            </w:r>
            <w:r w:rsidRPr="00211C8B">
              <w:rPr>
                <w:iCs/>
              </w:rPr>
              <w:t>not appropriate</w:t>
            </w:r>
            <w:r w:rsidR="00A97693">
              <w:rPr>
                <w:iCs/>
              </w:rPr>
              <w:t xml:space="preserve"> as</w:t>
            </w:r>
            <w:r w:rsidRPr="00211C8B">
              <w:rPr>
                <w:iCs/>
              </w:rPr>
              <w:t xml:space="preserve"> the average number of cycle differences were entirely driven by the risk ratio of </w:t>
            </w:r>
            <w:r w:rsidR="00907340" w:rsidRPr="00211C8B">
              <w:rPr>
                <w:iCs/>
              </w:rPr>
              <w:t>Gonal-f</w:t>
            </w:r>
            <w:r w:rsidRPr="00211C8B">
              <w:rPr>
                <w:iCs/>
              </w:rPr>
              <w:t xml:space="preserve"> versus biosimilars in cycle 1 </w:t>
            </w:r>
            <w:r w:rsidR="00A97693">
              <w:rPr>
                <w:iCs/>
              </w:rPr>
              <w:t xml:space="preserve">and </w:t>
            </w:r>
            <w:r w:rsidRPr="00211C8B">
              <w:rPr>
                <w:iCs/>
              </w:rPr>
              <w:t xml:space="preserve">extrapolated to 8 cycles. </w:t>
            </w:r>
          </w:p>
          <w:p w14:paraId="11B8C22F" w14:textId="77777777" w:rsidR="00CB79D5" w:rsidRPr="00211C8B" w:rsidRDefault="00CB79D5" w:rsidP="00A713BB">
            <w:pPr>
              <w:pStyle w:val="TableText0"/>
              <w:keepNext w:val="0"/>
              <w:widowControl w:val="0"/>
            </w:pPr>
          </w:p>
          <w:p w14:paraId="77FE3001" w14:textId="77777777" w:rsidR="00CB79D5" w:rsidRPr="00211C8B" w:rsidRDefault="00CB79D5" w:rsidP="00A713BB">
            <w:pPr>
              <w:pStyle w:val="TableText0"/>
              <w:keepNext w:val="0"/>
              <w:widowControl w:val="0"/>
              <w:rPr>
                <w:iCs/>
              </w:rPr>
            </w:pPr>
            <w:r w:rsidRPr="00211C8B">
              <w:rPr>
                <w:iCs/>
              </w:rPr>
              <w:t xml:space="preserve">Additionally, the calculation of “avoidable” cycle per patient should they switch from </w:t>
            </w:r>
            <w:r w:rsidR="00A97693">
              <w:rPr>
                <w:iCs/>
              </w:rPr>
              <w:t xml:space="preserve">a </w:t>
            </w:r>
            <w:r w:rsidRPr="00211C8B">
              <w:rPr>
                <w:iCs/>
              </w:rPr>
              <w:t xml:space="preserve">biosimilar to </w:t>
            </w:r>
            <w:r w:rsidR="00907340" w:rsidRPr="00211C8B">
              <w:rPr>
                <w:iCs/>
              </w:rPr>
              <w:t>Gonal-f</w:t>
            </w:r>
            <w:r w:rsidRPr="00211C8B">
              <w:rPr>
                <w:iCs/>
              </w:rPr>
              <w:t xml:space="preserve"> was used solely for the MBS calculation, and not accounted for in the script calculation. If switching to </w:t>
            </w:r>
            <w:r w:rsidR="00907340" w:rsidRPr="00211C8B">
              <w:rPr>
                <w:iCs/>
              </w:rPr>
              <w:t>Gonal-f</w:t>
            </w:r>
            <w:r w:rsidRPr="00211C8B">
              <w:rPr>
                <w:iCs/>
              </w:rPr>
              <w:t xml:space="preserve"> reduced the number of total IVF cycles, then both PBS scripts of </w:t>
            </w:r>
            <w:r w:rsidR="00907340" w:rsidRPr="00211C8B">
              <w:rPr>
                <w:iCs/>
              </w:rPr>
              <w:t>Gonal-f</w:t>
            </w:r>
            <w:r w:rsidRPr="00211C8B">
              <w:rPr>
                <w:iCs/>
              </w:rPr>
              <w:t xml:space="preserve"> and MBS services used for IVF cycles would be affected.</w:t>
            </w:r>
          </w:p>
        </w:tc>
      </w:tr>
      <w:tr w:rsidR="00CB79D5" w:rsidRPr="00211C8B" w14:paraId="1A6709FB" w14:textId="77777777" w:rsidTr="00A713BB">
        <w:trPr>
          <w:cantSplit/>
        </w:trPr>
        <w:tc>
          <w:tcPr>
            <w:tcW w:w="1526" w:type="dxa"/>
            <w:tcMar>
              <w:left w:w="57" w:type="dxa"/>
              <w:right w:w="57" w:type="dxa"/>
            </w:tcMar>
            <w:vAlign w:val="center"/>
          </w:tcPr>
          <w:p w14:paraId="1306E50C" w14:textId="77777777" w:rsidR="00CB79D5" w:rsidRPr="00211C8B" w:rsidRDefault="00CB79D5" w:rsidP="00A713BB">
            <w:pPr>
              <w:pStyle w:val="TableText0"/>
              <w:keepNext w:val="0"/>
              <w:widowControl w:val="0"/>
            </w:pPr>
            <w:r w:rsidRPr="00211C8B">
              <w:t>Scripts dispensed</w:t>
            </w:r>
          </w:p>
        </w:tc>
        <w:tc>
          <w:tcPr>
            <w:tcW w:w="3289" w:type="dxa"/>
            <w:tcMar>
              <w:left w:w="57" w:type="dxa"/>
              <w:right w:w="57" w:type="dxa"/>
            </w:tcMar>
            <w:vAlign w:val="center"/>
          </w:tcPr>
          <w:p w14:paraId="0A8DC751" w14:textId="77777777" w:rsidR="00CB79D5" w:rsidRPr="00211C8B" w:rsidRDefault="00CB79D5" w:rsidP="00A713BB">
            <w:pPr>
              <w:pStyle w:val="TableText0"/>
              <w:keepNext w:val="0"/>
              <w:widowControl w:val="0"/>
            </w:pPr>
            <w:r w:rsidRPr="00211C8B">
              <w:t xml:space="preserve">Assumption: one script per IVF cycle, therefore </w:t>
            </w:r>
            <w:r w:rsidR="00A97693">
              <w:t xml:space="preserve">the </w:t>
            </w:r>
            <w:r w:rsidRPr="00211C8B">
              <w:t>number of IVF cycles for each product =</w:t>
            </w:r>
            <w:r w:rsidR="00A97693">
              <w:t xml:space="preserve"> the</w:t>
            </w:r>
            <w:r w:rsidRPr="00211C8B">
              <w:t xml:space="preserve"> number of scripts for the respective product</w:t>
            </w:r>
            <w:r w:rsidR="00A97693">
              <w:t>.</w:t>
            </w:r>
          </w:p>
        </w:tc>
        <w:tc>
          <w:tcPr>
            <w:tcW w:w="4252" w:type="dxa"/>
            <w:tcMar>
              <w:left w:w="57" w:type="dxa"/>
              <w:right w:w="57" w:type="dxa"/>
            </w:tcMar>
            <w:vAlign w:val="center"/>
          </w:tcPr>
          <w:p w14:paraId="7C242C9D" w14:textId="77777777" w:rsidR="00430325" w:rsidRDefault="00430325" w:rsidP="00A713BB">
            <w:pPr>
              <w:pStyle w:val="TableText0"/>
              <w:keepNext w:val="0"/>
              <w:widowControl w:val="0"/>
              <w:rPr>
                <w:iCs/>
              </w:rPr>
            </w:pPr>
            <w:r>
              <w:rPr>
                <w:iCs/>
              </w:rPr>
              <w:t>Uncertain.</w:t>
            </w:r>
          </w:p>
          <w:p w14:paraId="12D07A19" w14:textId="77777777" w:rsidR="00430325" w:rsidRDefault="00430325" w:rsidP="00A713BB">
            <w:pPr>
              <w:pStyle w:val="TableText0"/>
              <w:keepNext w:val="0"/>
              <w:widowControl w:val="0"/>
              <w:rPr>
                <w:iCs/>
              </w:rPr>
            </w:pPr>
          </w:p>
          <w:p w14:paraId="62E8DCAF" w14:textId="77777777" w:rsidR="00CB79D5" w:rsidRPr="00211C8B" w:rsidRDefault="00CB79D5" w:rsidP="00A713BB">
            <w:pPr>
              <w:pStyle w:val="TableText0"/>
              <w:keepNext w:val="0"/>
              <w:widowControl w:val="0"/>
              <w:rPr>
                <w:iCs/>
              </w:rPr>
            </w:pPr>
            <w:r w:rsidRPr="00211C8B">
              <w:rPr>
                <w:iCs/>
              </w:rPr>
              <w:t xml:space="preserve">The assumption of </w:t>
            </w:r>
            <w:r w:rsidR="00A97693">
              <w:rPr>
                <w:iCs/>
              </w:rPr>
              <w:t xml:space="preserve">a </w:t>
            </w:r>
            <w:r w:rsidRPr="00211C8B">
              <w:rPr>
                <w:iCs/>
              </w:rPr>
              <w:t>1:1 ratio of IVF cycle:</w:t>
            </w:r>
            <w:r w:rsidR="00991E02">
              <w:rPr>
                <w:iCs/>
              </w:rPr>
              <w:t xml:space="preserve"> </w:t>
            </w:r>
            <w:r w:rsidRPr="00211C8B">
              <w:rPr>
                <w:iCs/>
              </w:rPr>
              <w:t>script did not account for wastage. However, the wastage might be small.</w:t>
            </w:r>
          </w:p>
        </w:tc>
      </w:tr>
      <w:tr w:rsidR="00CB79D5" w:rsidRPr="00211C8B" w14:paraId="58C6F9AC" w14:textId="77777777" w:rsidTr="00A713BB">
        <w:trPr>
          <w:cantSplit/>
        </w:trPr>
        <w:tc>
          <w:tcPr>
            <w:tcW w:w="1526" w:type="dxa"/>
            <w:tcMar>
              <w:left w:w="57" w:type="dxa"/>
              <w:right w:w="57" w:type="dxa"/>
            </w:tcMar>
            <w:vAlign w:val="center"/>
          </w:tcPr>
          <w:p w14:paraId="7DF6A4F1" w14:textId="77777777" w:rsidR="00CB79D5" w:rsidRPr="00211C8B" w:rsidRDefault="00CB79D5" w:rsidP="00A713BB">
            <w:pPr>
              <w:pStyle w:val="TableText0"/>
              <w:keepNext w:val="0"/>
              <w:widowControl w:val="0"/>
            </w:pPr>
            <w:r w:rsidRPr="00211C8B">
              <w:t>Proposed medicine</w:t>
            </w:r>
          </w:p>
        </w:tc>
        <w:tc>
          <w:tcPr>
            <w:tcW w:w="3289" w:type="dxa"/>
            <w:tcMar>
              <w:left w:w="57" w:type="dxa"/>
              <w:right w:w="57" w:type="dxa"/>
            </w:tcMar>
            <w:vAlign w:val="center"/>
          </w:tcPr>
          <w:p w14:paraId="7A22ABAE" w14:textId="77777777" w:rsidR="00CB79D5" w:rsidRPr="00211C8B" w:rsidRDefault="00CB79D5" w:rsidP="00A713BB">
            <w:pPr>
              <w:pStyle w:val="TableText0"/>
              <w:keepNext w:val="0"/>
              <w:widowControl w:val="0"/>
            </w:pPr>
            <w:r w:rsidRPr="00211C8B">
              <w:t xml:space="preserve">Requested price; PBS item number: 6433N </w:t>
            </w:r>
          </w:p>
          <w:p w14:paraId="1F21356A" w14:textId="77777777" w:rsidR="00CB79D5" w:rsidRPr="00211C8B" w:rsidRDefault="00CB79D5" w:rsidP="00A713BB">
            <w:pPr>
              <w:pStyle w:val="TableText0"/>
              <w:keepNext w:val="0"/>
              <w:widowControl w:val="0"/>
            </w:pPr>
          </w:p>
          <w:p w14:paraId="580AD915" w14:textId="77777777" w:rsidR="00CB79D5" w:rsidRPr="00211C8B" w:rsidRDefault="00CB79D5" w:rsidP="00A713BB">
            <w:pPr>
              <w:pStyle w:val="TableText0"/>
              <w:keepNext w:val="0"/>
              <w:widowControl w:val="0"/>
            </w:pPr>
            <w:r w:rsidRPr="00211C8B">
              <w:t xml:space="preserve">The </w:t>
            </w:r>
            <w:r w:rsidRPr="00B235C6">
              <w:t>requested price ($</w:t>
            </w:r>
            <w:r w:rsidR="00E70F00">
              <w:rPr>
                <w:noProof/>
                <w:color w:val="000000"/>
                <w:highlight w:val="black"/>
              </w:rPr>
              <w:t>''''''''''''''''''''</w:t>
            </w:r>
            <w:r w:rsidRPr="00B235C6">
              <w:t>) is the reverse of the 16% reduction of price introduced when biosimilars entered the market. Current DMPQ</w:t>
            </w:r>
            <w:r w:rsidRPr="00211C8B">
              <w:t xml:space="preserve"> = $1,685.14</w:t>
            </w:r>
          </w:p>
        </w:tc>
        <w:tc>
          <w:tcPr>
            <w:tcW w:w="4252" w:type="dxa"/>
            <w:tcMar>
              <w:left w:w="57" w:type="dxa"/>
              <w:right w:w="57" w:type="dxa"/>
            </w:tcMar>
            <w:vAlign w:val="center"/>
          </w:tcPr>
          <w:p w14:paraId="3336CF99" w14:textId="77777777" w:rsidR="00CB79D5" w:rsidRPr="00211C8B" w:rsidRDefault="00ED45BB" w:rsidP="00A713BB">
            <w:pPr>
              <w:pStyle w:val="TableText0"/>
              <w:keepNext w:val="0"/>
              <w:widowControl w:val="0"/>
              <w:rPr>
                <w:iCs/>
              </w:rPr>
            </w:pPr>
            <w:r w:rsidRPr="00211C8B">
              <w:rPr>
                <w:iCs/>
              </w:rPr>
              <w:t>Reasonable</w:t>
            </w:r>
            <w:r w:rsidR="00360359">
              <w:rPr>
                <w:iCs/>
              </w:rPr>
              <w:t>.</w:t>
            </w:r>
          </w:p>
        </w:tc>
      </w:tr>
      <w:tr w:rsidR="00CB79D5" w:rsidRPr="00211C8B" w14:paraId="0ABFCB2F" w14:textId="77777777" w:rsidTr="00A713BB">
        <w:trPr>
          <w:cantSplit/>
        </w:trPr>
        <w:tc>
          <w:tcPr>
            <w:tcW w:w="1526" w:type="dxa"/>
            <w:tcMar>
              <w:left w:w="57" w:type="dxa"/>
              <w:right w:w="57" w:type="dxa"/>
            </w:tcMar>
            <w:vAlign w:val="center"/>
          </w:tcPr>
          <w:p w14:paraId="64651433" w14:textId="77777777" w:rsidR="00CB79D5" w:rsidRPr="00211C8B" w:rsidRDefault="00CB79D5" w:rsidP="00A713BB">
            <w:pPr>
              <w:pStyle w:val="TableText0"/>
              <w:keepNext w:val="0"/>
              <w:widowControl w:val="0"/>
            </w:pPr>
            <w:r w:rsidRPr="00211C8B">
              <w:t>Comparator</w:t>
            </w:r>
          </w:p>
        </w:tc>
        <w:tc>
          <w:tcPr>
            <w:tcW w:w="3289" w:type="dxa"/>
            <w:tcMar>
              <w:left w:w="57" w:type="dxa"/>
              <w:right w:w="57" w:type="dxa"/>
            </w:tcMar>
            <w:vAlign w:val="center"/>
          </w:tcPr>
          <w:p w14:paraId="14C4C4C4" w14:textId="77777777" w:rsidR="00CB79D5" w:rsidRPr="00211C8B" w:rsidRDefault="00CB79D5" w:rsidP="00A713BB">
            <w:pPr>
              <w:pStyle w:val="TableText0"/>
              <w:keepNext w:val="0"/>
              <w:widowControl w:val="0"/>
            </w:pPr>
            <w:r w:rsidRPr="00211C8B">
              <w:t>PBS item number: 10866X</w:t>
            </w:r>
          </w:p>
        </w:tc>
        <w:tc>
          <w:tcPr>
            <w:tcW w:w="4252" w:type="dxa"/>
            <w:tcMar>
              <w:left w:w="57" w:type="dxa"/>
              <w:right w:w="57" w:type="dxa"/>
            </w:tcMar>
            <w:vAlign w:val="center"/>
          </w:tcPr>
          <w:p w14:paraId="5BBD5DAE" w14:textId="77777777" w:rsidR="00CB79D5" w:rsidRPr="00211C8B" w:rsidRDefault="00CB79D5" w:rsidP="00A713BB">
            <w:pPr>
              <w:pStyle w:val="TableText0"/>
              <w:keepNext w:val="0"/>
              <w:widowControl w:val="0"/>
              <w:rPr>
                <w:iCs/>
              </w:rPr>
            </w:pPr>
            <w:r w:rsidRPr="00211C8B">
              <w:rPr>
                <w:iCs/>
              </w:rPr>
              <w:t>Reasonable</w:t>
            </w:r>
            <w:r w:rsidR="00360359">
              <w:rPr>
                <w:iCs/>
              </w:rPr>
              <w:t>.</w:t>
            </w:r>
          </w:p>
        </w:tc>
      </w:tr>
      <w:tr w:rsidR="00CB79D5" w:rsidRPr="00211C8B" w14:paraId="5667483D" w14:textId="77777777" w:rsidTr="00A713BB">
        <w:trPr>
          <w:cantSplit/>
        </w:trPr>
        <w:tc>
          <w:tcPr>
            <w:tcW w:w="1526" w:type="dxa"/>
            <w:tcMar>
              <w:left w:w="57" w:type="dxa"/>
              <w:right w:w="57" w:type="dxa"/>
            </w:tcMar>
            <w:vAlign w:val="center"/>
          </w:tcPr>
          <w:p w14:paraId="7AE27DEC" w14:textId="77777777" w:rsidR="00CB79D5" w:rsidRPr="00211C8B" w:rsidRDefault="00CB79D5" w:rsidP="00A713BB">
            <w:pPr>
              <w:pStyle w:val="TableText0"/>
              <w:keepNext w:val="0"/>
              <w:widowControl w:val="0"/>
            </w:pPr>
            <w:r w:rsidRPr="00211C8B">
              <w:t>Patient co-payment</w:t>
            </w:r>
          </w:p>
        </w:tc>
        <w:tc>
          <w:tcPr>
            <w:tcW w:w="3289" w:type="dxa"/>
            <w:tcMar>
              <w:left w:w="57" w:type="dxa"/>
              <w:right w:w="57" w:type="dxa"/>
            </w:tcMar>
            <w:vAlign w:val="center"/>
          </w:tcPr>
          <w:p w14:paraId="5E05BB3F" w14:textId="77777777" w:rsidR="00CB79D5" w:rsidRPr="00211C8B" w:rsidRDefault="00CB79D5" w:rsidP="00A713BB">
            <w:pPr>
              <w:pStyle w:val="TableText0"/>
              <w:keepNext w:val="0"/>
              <w:widowControl w:val="0"/>
            </w:pPr>
            <w:r w:rsidRPr="00211C8B">
              <w:t>PBS statistics: percentage of patients by beneficiary split</w:t>
            </w:r>
            <w:r w:rsidR="00430325">
              <w:t>.</w:t>
            </w:r>
          </w:p>
        </w:tc>
        <w:tc>
          <w:tcPr>
            <w:tcW w:w="4252" w:type="dxa"/>
            <w:tcMar>
              <w:left w:w="57" w:type="dxa"/>
              <w:right w:w="57" w:type="dxa"/>
            </w:tcMar>
            <w:vAlign w:val="center"/>
          </w:tcPr>
          <w:p w14:paraId="1CED4B1D" w14:textId="77777777" w:rsidR="00CB79D5" w:rsidRPr="00211C8B" w:rsidRDefault="00CB79D5" w:rsidP="00A713BB">
            <w:pPr>
              <w:pStyle w:val="TableText0"/>
              <w:keepNext w:val="0"/>
              <w:widowControl w:val="0"/>
              <w:rPr>
                <w:iCs/>
              </w:rPr>
            </w:pPr>
            <w:r w:rsidRPr="00211C8B">
              <w:rPr>
                <w:iCs/>
              </w:rPr>
              <w:t>Reasonable</w:t>
            </w:r>
            <w:r w:rsidR="00360359">
              <w:rPr>
                <w:iCs/>
              </w:rPr>
              <w:t>.</w:t>
            </w:r>
          </w:p>
        </w:tc>
      </w:tr>
      <w:tr w:rsidR="00CB79D5" w:rsidRPr="00211C8B" w14:paraId="46328C8D" w14:textId="77777777" w:rsidTr="00A713BB">
        <w:trPr>
          <w:cantSplit/>
        </w:trPr>
        <w:tc>
          <w:tcPr>
            <w:tcW w:w="1526" w:type="dxa"/>
            <w:tcMar>
              <w:left w:w="57" w:type="dxa"/>
              <w:right w:w="57" w:type="dxa"/>
            </w:tcMar>
            <w:vAlign w:val="center"/>
          </w:tcPr>
          <w:p w14:paraId="534B288C" w14:textId="77777777" w:rsidR="00CB79D5" w:rsidRPr="00211C8B" w:rsidRDefault="00CB79D5" w:rsidP="00A713BB">
            <w:pPr>
              <w:pStyle w:val="TableText0"/>
              <w:keepNext w:val="0"/>
              <w:widowControl w:val="0"/>
            </w:pPr>
            <w:r w:rsidRPr="00211C8B">
              <w:t>MBS costs</w:t>
            </w:r>
          </w:p>
        </w:tc>
        <w:tc>
          <w:tcPr>
            <w:tcW w:w="3289" w:type="dxa"/>
            <w:tcMar>
              <w:left w:w="57" w:type="dxa"/>
              <w:right w:w="57" w:type="dxa"/>
            </w:tcMar>
            <w:vAlign w:val="center"/>
          </w:tcPr>
          <w:p w14:paraId="055F5B47" w14:textId="77777777" w:rsidR="00CB79D5" w:rsidRPr="00211C8B" w:rsidRDefault="00CB79D5" w:rsidP="00A713BB">
            <w:pPr>
              <w:pStyle w:val="TableText0"/>
              <w:widowControl w:val="0"/>
            </w:pPr>
            <w:r w:rsidRPr="00211C8B">
              <w:t>MBS items 13201, 13202, 13203, 13209, 13212, 13215, 13251</w:t>
            </w:r>
          </w:p>
          <w:p w14:paraId="363D7328" w14:textId="77777777" w:rsidR="00430325" w:rsidRDefault="00430325" w:rsidP="00A713BB">
            <w:pPr>
              <w:pStyle w:val="TableText0"/>
              <w:widowControl w:val="0"/>
            </w:pPr>
          </w:p>
          <w:p w14:paraId="6E77A07E" w14:textId="77777777" w:rsidR="00CB79D5" w:rsidRPr="00211C8B" w:rsidRDefault="00CB79D5" w:rsidP="00A713BB">
            <w:pPr>
              <w:pStyle w:val="TableText0"/>
              <w:widowControl w:val="0"/>
            </w:pPr>
            <w:r w:rsidRPr="00211C8B">
              <w:t>% of patients associated with each MBS item.</w:t>
            </w:r>
          </w:p>
          <w:p w14:paraId="7E54EF3D" w14:textId="77777777" w:rsidR="00430325" w:rsidRDefault="00430325" w:rsidP="00A713BB">
            <w:pPr>
              <w:pStyle w:val="TableText0"/>
              <w:widowControl w:val="0"/>
            </w:pPr>
          </w:p>
          <w:p w14:paraId="1B6B05E7" w14:textId="77777777" w:rsidR="00CB79D5" w:rsidRPr="00211C8B" w:rsidRDefault="00CB79D5" w:rsidP="00A713BB">
            <w:pPr>
              <w:pStyle w:val="TableText0"/>
              <w:widowControl w:val="0"/>
            </w:pPr>
            <w:r w:rsidRPr="00211C8B">
              <w:t xml:space="preserve">The average MBS costs per IVF cycle = </w:t>
            </w:r>
            <w:r w:rsidR="00430325">
              <w:t xml:space="preserve">the </w:t>
            </w:r>
            <w:r w:rsidRPr="00211C8B">
              <w:t xml:space="preserve">sum product of </w:t>
            </w:r>
            <w:r w:rsidR="00430325">
              <w:t xml:space="preserve">the </w:t>
            </w:r>
            <w:r w:rsidRPr="00211C8B">
              <w:t xml:space="preserve">MBS item </w:t>
            </w:r>
            <w:r w:rsidR="000D7BDE" w:rsidRPr="00211C8B">
              <w:t>costs,</w:t>
            </w:r>
            <w:r w:rsidRPr="00211C8B">
              <w:t xml:space="preserve"> and</w:t>
            </w:r>
            <w:r w:rsidR="00430325">
              <w:t xml:space="preserve"> the</w:t>
            </w:r>
            <w:r w:rsidRPr="00211C8B">
              <w:t xml:space="preserve"> % </w:t>
            </w:r>
            <w:r w:rsidR="00430325">
              <w:t xml:space="preserve">of </w:t>
            </w:r>
            <w:r w:rsidRPr="00211C8B">
              <w:t>patients associated with the MBS items</w:t>
            </w:r>
            <w:r w:rsidR="00360359">
              <w:t>.</w:t>
            </w:r>
          </w:p>
        </w:tc>
        <w:tc>
          <w:tcPr>
            <w:tcW w:w="4252" w:type="dxa"/>
            <w:tcMar>
              <w:left w:w="57" w:type="dxa"/>
              <w:right w:w="57" w:type="dxa"/>
            </w:tcMar>
            <w:vAlign w:val="center"/>
          </w:tcPr>
          <w:p w14:paraId="73CE2371" w14:textId="77777777" w:rsidR="00CB79D5" w:rsidRPr="00211C8B" w:rsidRDefault="00CB79D5" w:rsidP="00A713BB">
            <w:pPr>
              <w:pStyle w:val="TableText0"/>
              <w:keepNext w:val="0"/>
              <w:widowControl w:val="0"/>
              <w:rPr>
                <w:iCs/>
              </w:rPr>
            </w:pPr>
            <w:r w:rsidRPr="00211C8B">
              <w:rPr>
                <w:iCs/>
              </w:rPr>
              <w:t>Reasonable</w:t>
            </w:r>
            <w:r w:rsidR="006B1EB7" w:rsidRPr="00211C8B">
              <w:rPr>
                <w:iCs/>
              </w:rPr>
              <w:t>,</w:t>
            </w:r>
            <w:r w:rsidRPr="00211C8B">
              <w:rPr>
                <w:iCs/>
              </w:rPr>
              <w:t xml:space="preserve"> </w:t>
            </w:r>
            <w:r w:rsidR="006B1EB7" w:rsidRPr="00211C8B">
              <w:rPr>
                <w:iCs/>
              </w:rPr>
              <w:t>however the submission did not apply the 85% reimbursement</w:t>
            </w:r>
            <w:r w:rsidR="00430325">
              <w:rPr>
                <w:iCs/>
              </w:rPr>
              <w:t>, but</w:t>
            </w:r>
            <w:r w:rsidR="006B1EB7" w:rsidRPr="00211C8B">
              <w:rPr>
                <w:iCs/>
              </w:rPr>
              <w:t xml:space="preserve"> instead </w:t>
            </w:r>
            <w:r w:rsidR="00430325">
              <w:rPr>
                <w:iCs/>
              </w:rPr>
              <w:t>applied</w:t>
            </w:r>
            <w:r w:rsidR="00430325" w:rsidRPr="00211C8B">
              <w:rPr>
                <w:iCs/>
              </w:rPr>
              <w:t xml:space="preserve"> </w:t>
            </w:r>
            <w:r w:rsidR="006B1EB7" w:rsidRPr="00211C8B">
              <w:rPr>
                <w:iCs/>
              </w:rPr>
              <w:t>100% to calculate</w:t>
            </w:r>
            <w:r w:rsidR="00430325">
              <w:rPr>
                <w:iCs/>
              </w:rPr>
              <w:t xml:space="preserve"> the</w:t>
            </w:r>
            <w:r w:rsidR="006B1EB7" w:rsidRPr="00211C8B">
              <w:rPr>
                <w:iCs/>
              </w:rPr>
              <w:t xml:space="preserve"> cost offsets.</w:t>
            </w:r>
          </w:p>
        </w:tc>
      </w:tr>
    </w:tbl>
    <w:p w14:paraId="1C46E9A5" w14:textId="77777777" w:rsidR="00CB79D5" w:rsidRPr="00211C8B" w:rsidRDefault="00CB79D5" w:rsidP="00CB79D5">
      <w:pPr>
        <w:pStyle w:val="TableFigureFooter"/>
      </w:pPr>
      <w:bookmarkStart w:id="48" w:name="_Hlk79996135"/>
      <w:r w:rsidRPr="00211C8B">
        <w:t xml:space="preserve">Source: </w:t>
      </w:r>
      <w:r w:rsidR="006B1EB7" w:rsidRPr="00211C8B">
        <w:t>compiled during the evaluation</w:t>
      </w:r>
    </w:p>
    <w:bookmarkEnd w:id="48"/>
    <w:p w14:paraId="677E3269" w14:textId="77777777" w:rsidR="00CB79D5" w:rsidRPr="00211C8B" w:rsidRDefault="00CB79D5" w:rsidP="00943FFD">
      <w:pPr>
        <w:pStyle w:val="3-BodyText"/>
        <w:rPr>
          <w:color w:val="0066FF"/>
        </w:rPr>
      </w:pPr>
      <w:r w:rsidRPr="00211C8B">
        <w:t xml:space="preserve">The submission </w:t>
      </w:r>
      <w:r w:rsidR="00360359">
        <w:t>estima</w:t>
      </w:r>
      <w:r w:rsidRPr="00211C8B">
        <w:t>ted:</w:t>
      </w:r>
    </w:p>
    <w:p w14:paraId="6F60CD51" w14:textId="77777777" w:rsidR="006F736E" w:rsidRPr="00211C8B" w:rsidRDefault="006F736E" w:rsidP="00AF4651">
      <w:pPr>
        <w:pStyle w:val="3-BodyText"/>
        <w:numPr>
          <w:ilvl w:val="0"/>
          <w:numId w:val="5"/>
        </w:numPr>
        <w:rPr>
          <w:color w:val="0066FF"/>
        </w:rPr>
      </w:pPr>
      <w:r w:rsidRPr="00211C8B">
        <w:t xml:space="preserve">An increase in </w:t>
      </w:r>
      <w:r w:rsidR="00173956">
        <w:t xml:space="preserve">the </w:t>
      </w:r>
      <w:r w:rsidRPr="00211C8B">
        <w:t xml:space="preserve">use of </w:t>
      </w:r>
      <w:r w:rsidR="00907340" w:rsidRPr="00211C8B">
        <w:t>Gonal-f</w:t>
      </w:r>
      <w:r w:rsidRPr="00211C8B">
        <w:t xml:space="preserve"> scripts, driven by both the IVF market growth and patients choosing </w:t>
      </w:r>
      <w:r w:rsidR="00907340" w:rsidRPr="00211C8B">
        <w:t>Gonal-f</w:t>
      </w:r>
      <w:r w:rsidRPr="00211C8B">
        <w:t xml:space="preserve"> over other biosimilars; and the associated fall in biosimilar scripts. </w:t>
      </w:r>
      <w:r w:rsidRPr="00211C8B">
        <w:rPr>
          <w:iCs/>
        </w:rPr>
        <w:t xml:space="preserve">The submission did not account for </w:t>
      </w:r>
      <w:r w:rsidR="00173956">
        <w:rPr>
          <w:iCs/>
        </w:rPr>
        <w:t>a</w:t>
      </w:r>
      <w:r w:rsidR="00173956" w:rsidRPr="00211C8B">
        <w:rPr>
          <w:iCs/>
        </w:rPr>
        <w:t xml:space="preserve"> </w:t>
      </w:r>
      <w:r w:rsidRPr="00211C8B">
        <w:rPr>
          <w:iCs/>
        </w:rPr>
        <w:t xml:space="preserve">reduction in the number of </w:t>
      </w:r>
      <w:r w:rsidR="00907340" w:rsidRPr="00211C8B">
        <w:rPr>
          <w:iCs/>
        </w:rPr>
        <w:t>Gonal-f</w:t>
      </w:r>
      <w:r w:rsidRPr="00211C8B">
        <w:rPr>
          <w:iCs/>
        </w:rPr>
        <w:t xml:space="preserve"> scripts used due to the avoided IVF cycles in patients who used </w:t>
      </w:r>
      <w:r w:rsidR="00907340" w:rsidRPr="00211C8B">
        <w:rPr>
          <w:iCs/>
        </w:rPr>
        <w:t>Gonal-f</w:t>
      </w:r>
      <w:r w:rsidRPr="00211C8B">
        <w:rPr>
          <w:iCs/>
        </w:rPr>
        <w:t>, which was used to calculate the MBS savings.</w:t>
      </w:r>
    </w:p>
    <w:p w14:paraId="6FB1A132" w14:textId="77777777" w:rsidR="006F736E" w:rsidRPr="00211C8B" w:rsidRDefault="006F736E" w:rsidP="00AF4651">
      <w:pPr>
        <w:pStyle w:val="3-BodyText"/>
        <w:numPr>
          <w:ilvl w:val="0"/>
          <w:numId w:val="5"/>
        </w:numPr>
        <w:rPr>
          <w:color w:val="0066FF"/>
        </w:rPr>
      </w:pPr>
      <w:r w:rsidRPr="00211C8B">
        <w:t xml:space="preserve">An increase in the PBS net cost of </w:t>
      </w:r>
      <w:r w:rsidR="00907340" w:rsidRPr="00211C8B">
        <w:t>Gonal-f</w:t>
      </w:r>
      <w:r w:rsidRPr="00211C8B">
        <w:t xml:space="preserve">, driven by both more </w:t>
      </w:r>
      <w:r w:rsidR="00907340" w:rsidRPr="00211C8B">
        <w:t>Gonal-f</w:t>
      </w:r>
      <w:r w:rsidRPr="00211C8B">
        <w:t xml:space="preserve"> script use and </w:t>
      </w:r>
      <w:r w:rsidR="00173956">
        <w:t xml:space="preserve">a </w:t>
      </w:r>
      <w:r w:rsidRPr="00211C8B">
        <w:t xml:space="preserve">higher (proposed) price. </w:t>
      </w:r>
      <w:r w:rsidRPr="00211C8B">
        <w:rPr>
          <w:iCs/>
        </w:rPr>
        <w:t>The submission underestimated the PBS net cost (by about $</w:t>
      </w:r>
      <w:r w:rsidR="002A4C2D">
        <w:rPr>
          <w:iCs/>
        </w:rPr>
        <w:t xml:space="preserve">30M &lt; $40M </w:t>
      </w:r>
      <w:r w:rsidRPr="00211C8B">
        <w:rPr>
          <w:iCs/>
        </w:rPr>
        <w:t xml:space="preserve">over the six-year period) due to a calculation error, where the incorrect number of scripts </w:t>
      </w:r>
      <w:r w:rsidR="0079620E" w:rsidRPr="00211C8B">
        <w:rPr>
          <w:iCs/>
        </w:rPr>
        <w:t xml:space="preserve">was </w:t>
      </w:r>
      <w:r w:rsidRPr="00211C8B">
        <w:rPr>
          <w:iCs/>
        </w:rPr>
        <w:t xml:space="preserve">used to calculate the total PBS cost for </w:t>
      </w:r>
      <w:r w:rsidR="00907340" w:rsidRPr="00211C8B">
        <w:rPr>
          <w:iCs/>
        </w:rPr>
        <w:t>Gonal-f</w:t>
      </w:r>
      <w:r w:rsidRPr="00211C8B">
        <w:rPr>
          <w:iCs/>
        </w:rPr>
        <w:t>.</w:t>
      </w:r>
    </w:p>
    <w:p w14:paraId="0C81F646" w14:textId="77777777" w:rsidR="006F736E" w:rsidRPr="00211C8B" w:rsidRDefault="006F736E" w:rsidP="00AF4651">
      <w:pPr>
        <w:pStyle w:val="3-BodyText"/>
        <w:numPr>
          <w:ilvl w:val="0"/>
          <w:numId w:val="5"/>
        </w:numPr>
        <w:rPr>
          <w:color w:val="0066FF"/>
        </w:rPr>
      </w:pPr>
      <w:r w:rsidRPr="00211C8B">
        <w:t xml:space="preserve">MBS </w:t>
      </w:r>
      <w:r w:rsidR="0079620E" w:rsidRPr="00211C8B">
        <w:t xml:space="preserve">savings </w:t>
      </w:r>
      <w:r w:rsidRPr="00211C8B">
        <w:t xml:space="preserve">induced by avoided IVF cycles in patients who use </w:t>
      </w:r>
      <w:r w:rsidR="00907340" w:rsidRPr="00211C8B">
        <w:t>Gonal-f</w:t>
      </w:r>
      <w:r w:rsidRPr="00211C8B">
        <w:t xml:space="preserve">, based on the estimated difference in the average number of IVF cycles per patient between </w:t>
      </w:r>
      <w:r w:rsidR="00907340" w:rsidRPr="00211C8B">
        <w:t>Gonal-f</w:t>
      </w:r>
      <w:r w:rsidRPr="00211C8B">
        <w:t xml:space="preserve"> and biosimilar from the economic model. </w:t>
      </w:r>
      <w:r w:rsidRPr="00211C8B">
        <w:rPr>
          <w:iCs/>
        </w:rPr>
        <w:t xml:space="preserve">The difference in </w:t>
      </w:r>
      <w:r w:rsidR="00173956">
        <w:rPr>
          <w:iCs/>
        </w:rPr>
        <w:t xml:space="preserve">the </w:t>
      </w:r>
      <w:r w:rsidRPr="00211C8B">
        <w:rPr>
          <w:iCs/>
        </w:rPr>
        <w:t xml:space="preserve">average number of IVF cycles of </w:t>
      </w:r>
      <w:r w:rsidR="0058724D" w:rsidRPr="00211C8B">
        <w:rPr>
          <w:iCs/>
        </w:rPr>
        <w:t xml:space="preserve">the </w:t>
      </w:r>
      <w:r w:rsidRPr="00211C8B">
        <w:rPr>
          <w:iCs/>
        </w:rPr>
        <w:t xml:space="preserve">two treatment arms was driven entirely by the risk ratio of clinical pregnancy rates in cycle 1 (in favour of </w:t>
      </w:r>
      <w:r w:rsidR="00907340" w:rsidRPr="00211C8B">
        <w:rPr>
          <w:iCs/>
        </w:rPr>
        <w:t>Gonal-f</w:t>
      </w:r>
      <w:r w:rsidRPr="00211C8B">
        <w:rPr>
          <w:iCs/>
        </w:rPr>
        <w:t xml:space="preserve">), which was not well supported by </w:t>
      </w:r>
      <w:r w:rsidR="00173956">
        <w:rPr>
          <w:iCs/>
        </w:rPr>
        <w:t xml:space="preserve">the </w:t>
      </w:r>
      <w:r w:rsidRPr="00211C8B">
        <w:rPr>
          <w:iCs/>
        </w:rPr>
        <w:t xml:space="preserve">clinical data. This difference, </w:t>
      </w:r>
      <w:r w:rsidR="0079620E" w:rsidRPr="00211C8B">
        <w:rPr>
          <w:iCs/>
        </w:rPr>
        <w:t xml:space="preserve">and </w:t>
      </w:r>
      <w:r w:rsidRPr="00211C8B">
        <w:rPr>
          <w:iCs/>
        </w:rPr>
        <w:t xml:space="preserve">thus </w:t>
      </w:r>
      <w:r w:rsidR="00173956">
        <w:rPr>
          <w:iCs/>
        </w:rPr>
        <w:t xml:space="preserve">the </w:t>
      </w:r>
      <w:r w:rsidRPr="00211C8B">
        <w:rPr>
          <w:iCs/>
        </w:rPr>
        <w:t xml:space="preserve">avoided IVF cycles in patients using </w:t>
      </w:r>
      <w:r w:rsidR="00907340" w:rsidRPr="00211C8B">
        <w:rPr>
          <w:iCs/>
        </w:rPr>
        <w:t>Gonal-f</w:t>
      </w:r>
      <w:r w:rsidRPr="00211C8B">
        <w:rPr>
          <w:iCs/>
        </w:rPr>
        <w:t xml:space="preserve">, is highly uncertain and unlikely to </w:t>
      </w:r>
      <w:r w:rsidR="00B008FE" w:rsidRPr="00211C8B">
        <w:rPr>
          <w:iCs/>
        </w:rPr>
        <w:t xml:space="preserve">be </w:t>
      </w:r>
      <w:r w:rsidRPr="00211C8B">
        <w:rPr>
          <w:iCs/>
        </w:rPr>
        <w:t>realise</w:t>
      </w:r>
      <w:r w:rsidR="00B008FE" w:rsidRPr="00211C8B">
        <w:rPr>
          <w:iCs/>
        </w:rPr>
        <w:t>d</w:t>
      </w:r>
      <w:r w:rsidRPr="00211C8B">
        <w:rPr>
          <w:iCs/>
        </w:rPr>
        <w:t xml:space="preserve">. The estimated MBS savings </w:t>
      </w:r>
      <w:r w:rsidR="0058724D" w:rsidRPr="00211C8B">
        <w:rPr>
          <w:iCs/>
        </w:rPr>
        <w:t>are</w:t>
      </w:r>
      <w:r w:rsidRPr="00211C8B">
        <w:rPr>
          <w:iCs/>
        </w:rPr>
        <w:t xml:space="preserve"> therefore unreasonable. Additionally, the submission used the full MBS costs for each </w:t>
      </w:r>
      <w:r w:rsidR="00173956">
        <w:rPr>
          <w:iCs/>
        </w:rPr>
        <w:t xml:space="preserve">of the </w:t>
      </w:r>
      <w:r w:rsidRPr="00211C8B">
        <w:rPr>
          <w:iCs/>
        </w:rPr>
        <w:t>service items instead of the 85% rate.</w:t>
      </w:r>
    </w:p>
    <w:p w14:paraId="70D19FB0" w14:textId="77777777" w:rsidR="006F736E" w:rsidRPr="00211C8B" w:rsidRDefault="006F736E" w:rsidP="00AF4651">
      <w:pPr>
        <w:pStyle w:val="3-BodyText"/>
        <w:numPr>
          <w:ilvl w:val="0"/>
          <w:numId w:val="5"/>
        </w:numPr>
        <w:rPr>
          <w:color w:val="0066FF"/>
        </w:rPr>
      </w:pPr>
      <w:r w:rsidRPr="00211C8B">
        <w:t>A PBS/MBS net cost of approximately $</w:t>
      </w:r>
      <w:r w:rsidR="002A4C2D">
        <w:t>0 to &lt; $10M</w:t>
      </w:r>
      <w:r w:rsidRPr="00211C8B">
        <w:t xml:space="preserve"> to the government in listing </w:t>
      </w:r>
      <w:r w:rsidR="00907340" w:rsidRPr="00211C8B">
        <w:t>Gonal-f</w:t>
      </w:r>
      <w:r w:rsidRPr="00211C8B">
        <w:t xml:space="preserve"> with the proposed price (DPMQ = $</w:t>
      </w:r>
      <w:r w:rsidR="00E70F00">
        <w:rPr>
          <w:noProof/>
          <w:color w:val="000000"/>
          <w:highlight w:val="black"/>
        </w:rPr>
        <w:t>''''''''''''''''</w:t>
      </w:r>
      <w:r w:rsidRPr="00211C8B">
        <w:t xml:space="preserve">) over the six-year period (2022-2027). </w:t>
      </w:r>
      <w:r w:rsidRPr="00211C8B">
        <w:rPr>
          <w:iCs/>
        </w:rPr>
        <w:t xml:space="preserve">This net cost was heavily underestimated. After correcting all errors made in the submission while keeping the presented assumptions (including the MBS savings), </w:t>
      </w:r>
      <w:r w:rsidRPr="00211C8B">
        <w:rPr>
          <w:bCs/>
          <w:iCs/>
        </w:rPr>
        <w:t xml:space="preserve">the PBS/MBS net cost was calculated </w:t>
      </w:r>
      <w:r w:rsidR="00294958" w:rsidRPr="000336F3">
        <w:rPr>
          <w:bCs/>
        </w:rPr>
        <w:t>by the evaluation to be</w:t>
      </w:r>
      <w:r w:rsidR="00294958" w:rsidRPr="00360359">
        <w:rPr>
          <w:bCs/>
        </w:rPr>
        <w:t xml:space="preserve"> </w:t>
      </w:r>
      <w:r w:rsidRPr="00360359">
        <w:rPr>
          <w:bCs/>
        </w:rPr>
        <w:t>$</w:t>
      </w:r>
      <w:r w:rsidR="002A4C2D">
        <w:rPr>
          <w:bCs/>
        </w:rPr>
        <w:t>40M to &lt; $50M</w:t>
      </w:r>
      <w:r w:rsidRPr="00360359">
        <w:rPr>
          <w:bCs/>
        </w:rPr>
        <w:t xml:space="preserve"> over the six-year period.</w:t>
      </w:r>
    </w:p>
    <w:p w14:paraId="34E80EFC" w14:textId="77777777" w:rsidR="00522BAE" w:rsidRPr="00653283" w:rsidRDefault="006F736E" w:rsidP="00587176">
      <w:pPr>
        <w:pStyle w:val="3-BodyText"/>
        <w:jc w:val="left"/>
        <w:rPr>
          <w:rStyle w:val="CommentReference"/>
          <w:rFonts w:eastAsiaTheme="majorEastAsia" w:cstheme="majorBidi"/>
          <w:bCs/>
          <w:szCs w:val="24"/>
        </w:rPr>
      </w:pPr>
      <w:r w:rsidRPr="00211C8B">
        <w:t xml:space="preserve">The estimated use and financial implications are summarized in Table </w:t>
      </w:r>
      <w:r w:rsidR="00642627" w:rsidRPr="00211C8B">
        <w:t>16</w:t>
      </w:r>
      <w:r w:rsidRPr="00211C8B">
        <w:t xml:space="preserve"> below. </w:t>
      </w:r>
      <w:r w:rsidRPr="00653283">
        <w:rPr>
          <w:iCs/>
        </w:rPr>
        <w:t xml:space="preserve">Only corrected estimates are shown. </w:t>
      </w:r>
      <w:r w:rsidR="00522BAE" w:rsidRPr="007645FE">
        <w:rPr>
          <w:rStyle w:val="CommentReference"/>
          <w:b w:val="0"/>
          <w:szCs w:val="24"/>
        </w:rPr>
        <w:br w:type="page"/>
      </w:r>
    </w:p>
    <w:p w14:paraId="4593B0B0" w14:textId="77777777" w:rsidR="00360359" w:rsidRDefault="00360359" w:rsidP="000336F3">
      <w:pPr>
        <w:pStyle w:val="TableFigureHeading"/>
      </w:pPr>
      <w:r>
        <w:t xml:space="preserve">Table </w:t>
      </w:r>
      <w:r>
        <w:rPr>
          <w:noProof/>
        </w:rPr>
        <w:t>16</w:t>
      </w:r>
      <w:r>
        <w:t xml:space="preserve">: </w:t>
      </w:r>
      <w:r w:rsidRPr="00F97227">
        <w:t>Estimated use and financial implications (estimates with correct formula and numbers, or numbers from the excel file – rather than from the submission)</w:t>
      </w:r>
    </w:p>
    <w:tbl>
      <w:tblPr>
        <w:tblStyle w:val="TableGrid"/>
        <w:tblW w:w="5000" w:type="pct"/>
        <w:tblLook w:val="04A0" w:firstRow="1" w:lastRow="0" w:firstColumn="1" w:lastColumn="0" w:noHBand="0" w:noVBand="1"/>
        <w:tblCaption w:val="Estimated use and financial implications (estimates with correct formula and numbers, or numbers from the excel file – rather than from the submission) "/>
        <w:tblDescription w:val="Estimated use and financial implications (estimates with correct formula and numbers, or numbers from the excel file – rather than from the submission) "/>
      </w:tblPr>
      <w:tblGrid>
        <w:gridCol w:w="1360"/>
        <w:gridCol w:w="1282"/>
        <w:gridCol w:w="1282"/>
        <w:gridCol w:w="1282"/>
        <w:gridCol w:w="1251"/>
        <w:gridCol w:w="1282"/>
        <w:gridCol w:w="1278"/>
      </w:tblGrid>
      <w:tr w:rsidR="006E0426" w:rsidRPr="00211C8B" w14:paraId="3CA4CCF7" w14:textId="77777777" w:rsidTr="006E0426">
        <w:trPr>
          <w:cantSplit/>
          <w:tblHeader/>
        </w:trPr>
        <w:tc>
          <w:tcPr>
            <w:tcW w:w="1047" w:type="pct"/>
            <w:vAlign w:val="center"/>
          </w:tcPr>
          <w:p w14:paraId="4DEE334B" w14:textId="77777777" w:rsidR="006E0426" w:rsidRPr="00211C8B" w:rsidRDefault="006E0426" w:rsidP="009569D5">
            <w:pPr>
              <w:rPr>
                <w:color w:val="3366FF"/>
              </w:rPr>
            </w:pPr>
          </w:p>
        </w:tc>
        <w:tc>
          <w:tcPr>
            <w:tcW w:w="726" w:type="pct"/>
            <w:shd w:val="clear" w:color="auto" w:fill="auto"/>
            <w:vAlign w:val="center"/>
          </w:tcPr>
          <w:p w14:paraId="4632988A" w14:textId="77777777" w:rsidR="006E0426" w:rsidRPr="00211C8B" w:rsidRDefault="006E0426" w:rsidP="000336F3">
            <w:pPr>
              <w:pStyle w:val="TableFigureHeading"/>
              <w:keepNext w:val="0"/>
              <w:jc w:val="center"/>
            </w:pPr>
            <w:r w:rsidRPr="00211C8B">
              <w:t>Year 1</w:t>
            </w:r>
          </w:p>
        </w:tc>
        <w:tc>
          <w:tcPr>
            <w:tcW w:w="646" w:type="pct"/>
            <w:shd w:val="clear" w:color="auto" w:fill="auto"/>
            <w:vAlign w:val="center"/>
          </w:tcPr>
          <w:p w14:paraId="1E12CD3D" w14:textId="77777777" w:rsidR="006E0426" w:rsidRPr="00211C8B" w:rsidRDefault="006E0426" w:rsidP="000336F3">
            <w:pPr>
              <w:pStyle w:val="TableFigureHeading"/>
              <w:keepNext w:val="0"/>
              <w:jc w:val="center"/>
            </w:pPr>
            <w:r w:rsidRPr="00211C8B">
              <w:t>Year 2</w:t>
            </w:r>
          </w:p>
        </w:tc>
        <w:tc>
          <w:tcPr>
            <w:tcW w:w="645" w:type="pct"/>
            <w:shd w:val="clear" w:color="auto" w:fill="auto"/>
            <w:vAlign w:val="center"/>
          </w:tcPr>
          <w:p w14:paraId="52584E3D" w14:textId="77777777" w:rsidR="006E0426" w:rsidRPr="00211C8B" w:rsidRDefault="006E0426" w:rsidP="000336F3">
            <w:pPr>
              <w:pStyle w:val="TableFigureHeading"/>
              <w:keepNext w:val="0"/>
              <w:jc w:val="center"/>
            </w:pPr>
            <w:r w:rsidRPr="00211C8B">
              <w:t>Year 3</w:t>
            </w:r>
          </w:p>
        </w:tc>
        <w:tc>
          <w:tcPr>
            <w:tcW w:w="645" w:type="pct"/>
            <w:shd w:val="clear" w:color="auto" w:fill="auto"/>
            <w:vAlign w:val="center"/>
          </w:tcPr>
          <w:p w14:paraId="20BE5307" w14:textId="77777777" w:rsidR="006E0426" w:rsidRPr="00211C8B" w:rsidRDefault="006E0426" w:rsidP="000336F3">
            <w:pPr>
              <w:pStyle w:val="TableFigureHeading"/>
              <w:keepNext w:val="0"/>
              <w:jc w:val="center"/>
            </w:pPr>
            <w:r w:rsidRPr="00211C8B">
              <w:t>Year 4</w:t>
            </w:r>
          </w:p>
        </w:tc>
        <w:tc>
          <w:tcPr>
            <w:tcW w:w="644" w:type="pct"/>
            <w:shd w:val="clear" w:color="auto" w:fill="auto"/>
            <w:vAlign w:val="center"/>
          </w:tcPr>
          <w:p w14:paraId="4083F75A" w14:textId="77777777" w:rsidR="006E0426" w:rsidRPr="00211C8B" w:rsidRDefault="006E0426" w:rsidP="000336F3">
            <w:pPr>
              <w:pStyle w:val="TableFigureHeading"/>
              <w:keepNext w:val="0"/>
              <w:jc w:val="center"/>
            </w:pPr>
            <w:r w:rsidRPr="00211C8B">
              <w:t>Year 5</w:t>
            </w:r>
          </w:p>
        </w:tc>
        <w:tc>
          <w:tcPr>
            <w:tcW w:w="647" w:type="pct"/>
            <w:shd w:val="clear" w:color="auto" w:fill="auto"/>
            <w:vAlign w:val="center"/>
          </w:tcPr>
          <w:p w14:paraId="21B5204C" w14:textId="77777777" w:rsidR="006E0426" w:rsidRPr="00211C8B" w:rsidRDefault="006E0426" w:rsidP="000336F3">
            <w:pPr>
              <w:pStyle w:val="TableFigureHeading"/>
              <w:keepNext w:val="0"/>
              <w:jc w:val="center"/>
            </w:pPr>
            <w:r w:rsidRPr="00211C8B">
              <w:t>Year 6</w:t>
            </w:r>
          </w:p>
        </w:tc>
      </w:tr>
      <w:tr w:rsidR="00AA74A1" w:rsidRPr="00211C8B" w14:paraId="5E0E5338" w14:textId="77777777" w:rsidTr="006E0426">
        <w:trPr>
          <w:cantSplit/>
        </w:trPr>
        <w:tc>
          <w:tcPr>
            <w:tcW w:w="5000" w:type="pct"/>
            <w:gridSpan w:val="7"/>
            <w:vAlign w:val="center"/>
          </w:tcPr>
          <w:p w14:paraId="1957F2E7" w14:textId="77777777" w:rsidR="00AA74A1" w:rsidRPr="00211C8B" w:rsidRDefault="00AA74A1" w:rsidP="009569D5">
            <w:pPr>
              <w:pStyle w:val="TableText0"/>
              <w:keepNext w:val="0"/>
              <w:rPr>
                <w:iCs/>
              </w:rPr>
            </w:pPr>
            <w:r w:rsidRPr="00211C8B">
              <w:rPr>
                <w:b/>
                <w:bCs w:val="0"/>
              </w:rPr>
              <w:t xml:space="preserve">Status quo scenario (no changes) </w:t>
            </w:r>
          </w:p>
        </w:tc>
      </w:tr>
      <w:tr w:rsidR="005D1F5A" w:rsidRPr="00211C8B" w14:paraId="256C4D2D" w14:textId="77777777" w:rsidTr="006E0426">
        <w:trPr>
          <w:cantSplit/>
        </w:trPr>
        <w:tc>
          <w:tcPr>
            <w:tcW w:w="1047" w:type="pct"/>
            <w:vAlign w:val="center"/>
          </w:tcPr>
          <w:p w14:paraId="669B7A3C" w14:textId="77777777" w:rsidR="00AA74A1" w:rsidRPr="00211C8B" w:rsidRDefault="00AA74A1" w:rsidP="009569D5">
            <w:pPr>
              <w:pStyle w:val="TableText0"/>
              <w:keepNext w:val="0"/>
            </w:pPr>
            <w:r w:rsidRPr="00211C8B">
              <w:t>Number of Bemfola units dispensed per year (without Chua et al 2021)</w:t>
            </w:r>
          </w:p>
        </w:tc>
        <w:tc>
          <w:tcPr>
            <w:tcW w:w="726" w:type="pct"/>
            <w:vAlign w:val="center"/>
          </w:tcPr>
          <w:p w14:paraId="75AD4967" w14:textId="77777777" w:rsidR="00AA74A1" w:rsidRPr="00E70F00" w:rsidRDefault="00E70F00" w:rsidP="000336F3">
            <w:pPr>
              <w:pStyle w:val="TableText0"/>
              <w:keepNext w:val="0"/>
              <w:jc w:val="center"/>
            </w:pPr>
            <w:r>
              <w:rPr>
                <w:noProof/>
                <w:color w:val="000000"/>
                <w:highlight w:val="black"/>
              </w:rPr>
              <w:t>''''''''''''''</w:t>
            </w:r>
            <w:r w:rsidR="007274DB">
              <w:rPr>
                <w:iCs/>
                <w:vertAlign w:val="superscript"/>
              </w:rPr>
              <w:t>1</w:t>
            </w:r>
          </w:p>
        </w:tc>
        <w:tc>
          <w:tcPr>
            <w:tcW w:w="646" w:type="pct"/>
            <w:vAlign w:val="center"/>
          </w:tcPr>
          <w:p w14:paraId="13E5ED0E" w14:textId="77777777" w:rsidR="00AA74A1" w:rsidRPr="00E70F00" w:rsidRDefault="00E70F00" w:rsidP="000336F3">
            <w:pPr>
              <w:pStyle w:val="TableText0"/>
              <w:keepNext w:val="0"/>
              <w:jc w:val="center"/>
            </w:pPr>
            <w:r>
              <w:rPr>
                <w:noProof/>
                <w:color w:val="000000"/>
                <w:highlight w:val="black"/>
              </w:rPr>
              <w:t>'''''''''''''</w:t>
            </w:r>
            <w:r w:rsidR="007274DB">
              <w:rPr>
                <w:iCs/>
                <w:vertAlign w:val="superscript"/>
              </w:rPr>
              <w:t>1</w:t>
            </w:r>
          </w:p>
        </w:tc>
        <w:tc>
          <w:tcPr>
            <w:tcW w:w="645" w:type="pct"/>
            <w:vAlign w:val="center"/>
          </w:tcPr>
          <w:p w14:paraId="76C3F6A4" w14:textId="77777777" w:rsidR="00AA74A1" w:rsidRPr="00E70F00" w:rsidRDefault="00E70F00" w:rsidP="000336F3">
            <w:pPr>
              <w:pStyle w:val="TableText0"/>
              <w:keepNext w:val="0"/>
              <w:jc w:val="center"/>
            </w:pPr>
            <w:r>
              <w:rPr>
                <w:noProof/>
                <w:color w:val="000000"/>
                <w:highlight w:val="black"/>
              </w:rPr>
              <w:t>'''''''''''''</w:t>
            </w:r>
            <w:r w:rsidR="007274DB">
              <w:rPr>
                <w:iCs/>
                <w:vertAlign w:val="superscript"/>
              </w:rPr>
              <w:t>1</w:t>
            </w:r>
          </w:p>
        </w:tc>
        <w:tc>
          <w:tcPr>
            <w:tcW w:w="645" w:type="pct"/>
            <w:vAlign w:val="center"/>
          </w:tcPr>
          <w:p w14:paraId="56D9F97F" w14:textId="77777777" w:rsidR="00AA74A1" w:rsidRPr="00E70F00" w:rsidRDefault="00E70F00" w:rsidP="000336F3">
            <w:pPr>
              <w:pStyle w:val="TableText0"/>
              <w:keepNext w:val="0"/>
              <w:jc w:val="center"/>
            </w:pPr>
            <w:r>
              <w:rPr>
                <w:noProof/>
                <w:color w:val="000000"/>
                <w:highlight w:val="black"/>
              </w:rPr>
              <w:t>'''''''''''''</w:t>
            </w:r>
            <w:r w:rsidR="007274DB">
              <w:rPr>
                <w:iCs/>
                <w:vertAlign w:val="superscript"/>
              </w:rPr>
              <w:t>1</w:t>
            </w:r>
          </w:p>
        </w:tc>
        <w:tc>
          <w:tcPr>
            <w:tcW w:w="644" w:type="pct"/>
            <w:vAlign w:val="center"/>
          </w:tcPr>
          <w:p w14:paraId="03456A29" w14:textId="77777777" w:rsidR="00AA74A1" w:rsidRPr="00E70F00" w:rsidRDefault="00E70F00" w:rsidP="000336F3">
            <w:pPr>
              <w:pStyle w:val="TableText0"/>
              <w:keepNext w:val="0"/>
              <w:jc w:val="center"/>
            </w:pPr>
            <w:r>
              <w:rPr>
                <w:noProof/>
                <w:color w:val="000000"/>
                <w:highlight w:val="black"/>
              </w:rPr>
              <w:t>''''''''''''''</w:t>
            </w:r>
            <w:r w:rsidR="007274DB">
              <w:rPr>
                <w:iCs/>
                <w:vertAlign w:val="superscript"/>
              </w:rPr>
              <w:t>1</w:t>
            </w:r>
          </w:p>
        </w:tc>
        <w:tc>
          <w:tcPr>
            <w:tcW w:w="647" w:type="pct"/>
            <w:vAlign w:val="center"/>
          </w:tcPr>
          <w:p w14:paraId="19066563" w14:textId="77777777" w:rsidR="00AA74A1" w:rsidRPr="00E70F00" w:rsidRDefault="00E70F00" w:rsidP="000336F3">
            <w:pPr>
              <w:pStyle w:val="TableText0"/>
              <w:keepNext w:val="0"/>
              <w:jc w:val="center"/>
            </w:pPr>
            <w:r>
              <w:rPr>
                <w:noProof/>
                <w:color w:val="000000"/>
                <w:highlight w:val="black"/>
              </w:rPr>
              <w:t>''''''''''''''</w:t>
            </w:r>
            <w:r w:rsidR="007274DB">
              <w:rPr>
                <w:iCs/>
                <w:vertAlign w:val="superscript"/>
              </w:rPr>
              <w:t>1</w:t>
            </w:r>
          </w:p>
        </w:tc>
      </w:tr>
      <w:tr w:rsidR="005D1F5A" w:rsidRPr="00211C8B" w14:paraId="1738A658" w14:textId="77777777" w:rsidTr="006E0426">
        <w:trPr>
          <w:cantSplit/>
        </w:trPr>
        <w:tc>
          <w:tcPr>
            <w:tcW w:w="1047" w:type="pct"/>
            <w:vAlign w:val="center"/>
          </w:tcPr>
          <w:p w14:paraId="46D98965" w14:textId="77777777" w:rsidR="00AA74A1" w:rsidRPr="00211C8B" w:rsidRDefault="00AA74A1" w:rsidP="009569D5">
            <w:pPr>
              <w:pStyle w:val="TableText0"/>
              <w:keepNext w:val="0"/>
            </w:pPr>
            <w:r w:rsidRPr="00211C8B">
              <w:t xml:space="preserve">Number of </w:t>
            </w:r>
            <w:r w:rsidR="00907340" w:rsidRPr="00211C8B">
              <w:t>Gonal-f</w:t>
            </w:r>
            <w:r w:rsidRPr="00211C8B">
              <w:t xml:space="preserve"> units dispensed per year (without Chua et al 2021)</w:t>
            </w:r>
          </w:p>
        </w:tc>
        <w:tc>
          <w:tcPr>
            <w:tcW w:w="726" w:type="pct"/>
            <w:vAlign w:val="center"/>
          </w:tcPr>
          <w:p w14:paraId="2278BD90" w14:textId="77777777" w:rsidR="00AA74A1" w:rsidRPr="00E70F00" w:rsidRDefault="00E70F00" w:rsidP="000336F3">
            <w:pPr>
              <w:pStyle w:val="TableText0"/>
              <w:keepNext w:val="0"/>
              <w:jc w:val="center"/>
            </w:pPr>
            <w:r>
              <w:rPr>
                <w:noProof/>
                <w:color w:val="000000"/>
                <w:highlight w:val="black"/>
              </w:rPr>
              <w:t>''''''''''''''''</w:t>
            </w:r>
            <w:r w:rsidR="007274DB">
              <w:rPr>
                <w:iCs/>
                <w:vertAlign w:val="superscript"/>
              </w:rPr>
              <w:t>2</w:t>
            </w:r>
          </w:p>
        </w:tc>
        <w:tc>
          <w:tcPr>
            <w:tcW w:w="646" w:type="pct"/>
            <w:vAlign w:val="center"/>
          </w:tcPr>
          <w:p w14:paraId="0D0CF6F0" w14:textId="77777777" w:rsidR="00AA74A1" w:rsidRPr="00E70F00" w:rsidRDefault="00E70F00" w:rsidP="000336F3">
            <w:pPr>
              <w:pStyle w:val="TableText0"/>
              <w:keepNext w:val="0"/>
              <w:jc w:val="center"/>
            </w:pPr>
            <w:r>
              <w:rPr>
                <w:noProof/>
                <w:color w:val="000000"/>
                <w:highlight w:val="black"/>
              </w:rPr>
              <w:t>'''''''''''''''</w:t>
            </w:r>
            <w:r w:rsidR="007274DB">
              <w:rPr>
                <w:iCs/>
                <w:vertAlign w:val="superscript"/>
              </w:rPr>
              <w:t>2</w:t>
            </w:r>
          </w:p>
        </w:tc>
        <w:tc>
          <w:tcPr>
            <w:tcW w:w="645" w:type="pct"/>
            <w:vAlign w:val="center"/>
          </w:tcPr>
          <w:p w14:paraId="4569FC73" w14:textId="77777777" w:rsidR="00AA74A1" w:rsidRPr="00E70F00" w:rsidRDefault="00E70F00" w:rsidP="000336F3">
            <w:pPr>
              <w:pStyle w:val="TableText0"/>
              <w:keepNext w:val="0"/>
              <w:jc w:val="center"/>
            </w:pPr>
            <w:r>
              <w:rPr>
                <w:noProof/>
                <w:color w:val="000000"/>
                <w:highlight w:val="black"/>
              </w:rPr>
              <w:t>''''''''''''''''''</w:t>
            </w:r>
            <w:r w:rsidR="007274DB">
              <w:rPr>
                <w:iCs/>
                <w:vertAlign w:val="superscript"/>
              </w:rPr>
              <w:t>2</w:t>
            </w:r>
          </w:p>
        </w:tc>
        <w:tc>
          <w:tcPr>
            <w:tcW w:w="645" w:type="pct"/>
            <w:vAlign w:val="center"/>
          </w:tcPr>
          <w:p w14:paraId="0E06A883" w14:textId="77777777" w:rsidR="00AA74A1" w:rsidRPr="00E70F00" w:rsidRDefault="00E70F00" w:rsidP="000336F3">
            <w:pPr>
              <w:pStyle w:val="TableText0"/>
              <w:keepNext w:val="0"/>
              <w:jc w:val="center"/>
            </w:pPr>
            <w:r>
              <w:rPr>
                <w:noProof/>
                <w:color w:val="000000"/>
                <w:highlight w:val="black"/>
              </w:rPr>
              <w:t>''''''''''''''''''</w:t>
            </w:r>
            <w:r w:rsidR="007274DB">
              <w:rPr>
                <w:iCs/>
                <w:vertAlign w:val="superscript"/>
              </w:rPr>
              <w:t>2</w:t>
            </w:r>
          </w:p>
        </w:tc>
        <w:tc>
          <w:tcPr>
            <w:tcW w:w="644" w:type="pct"/>
            <w:vAlign w:val="center"/>
          </w:tcPr>
          <w:p w14:paraId="307B702C" w14:textId="77777777" w:rsidR="00AA74A1" w:rsidRPr="00E70F00" w:rsidRDefault="00E70F00" w:rsidP="000336F3">
            <w:pPr>
              <w:pStyle w:val="TableText0"/>
              <w:keepNext w:val="0"/>
              <w:jc w:val="center"/>
            </w:pPr>
            <w:r>
              <w:rPr>
                <w:noProof/>
                <w:color w:val="000000"/>
                <w:highlight w:val="black"/>
              </w:rPr>
              <w:t>''''''''''''''''''</w:t>
            </w:r>
            <w:r w:rsidR="007274DB">
              <w:rPr>
                <w:iCs/>
                <w:vertAlign w:val="superscript"/>
              </w:rPr>
              <w:t>3</w:t>
            </w:r>
          </w:p>
        </w:tc>
        <w:tc>
          <w:tcPr>
            <w:tcW w:w="647" w:type="pct"/>
            <w:vAlign w:val="center"/>
          </w:tcPr>
          <w:p w14:paraId="0A8B25E0" w14:textId="77777777" w:rsidR="00AA74A1" w:rsidRPr="00E70F00" w:rsidRDefault="00E70F00" w:rsidP="000336F3">
            <w:pPr>
              <w:pStyle w:val="TableText0"/>
              <w:keepNext w:val="0"/>
              <w:jc w:val="center"/>
            </w:pPr>
            <w:r>
              <w:rPr>
                <w:noProof/>
                <w:color w:val="000000"/>
                <w:highlight w:val="black"/>
              </w:rPr>
              <w:t>''''''''''''''''''</w:t>
            </w:r>
            <w:r w:rsidR="007274DB">
              <w:rPr>
                <w:iCs/>
                <w:vertAlign w:val="superscript"/>
              </w:rPr>
              <w:t>3</w:t>
            </w:r>
          </w:p>
        </w:tc>
      </w:tr>
      <w:tr w:rsidR="005D1F5A" w:rsidRPr="00211C8B" w14:paraId="5E9DC830" w14:textId="77777777" w:rsidTr="006E0426">
        <w:trPr>
          <w:cantSplit/>
        </w:trPr>
        <w:tc>
          <w:tcPr>
            <w:tcW w:w="1047" w:type="pct"/>
            <w:vAlign w:val="center"/>
          </w:tcPr>
          <w:p w14:paraId="735238A3" w14:textId="77777777" w:rsidR="00AA74A1" w:rsidRPr="00211C8B" w:rsidRDefault="00AA74A1" w:rsidP="009569D5">
            <w:pPr>
              <w:pStyle w:val="TableText0"/>
              <w:keepNext w:val="0"/>
              <w:ind w:right="-14"/>
            </w:pPr>
            <w:r w:rsidRPr="00211C8B">
              <w:t>Total PBS cost of Bemfola, net co-payment</w:t>
            </w:r>
          </w:p>
        </w:tc>
        <w:tc>
          <w:tcPr>
            <w:tcW w:w="726" w:type="pct"/>
            <w:vAlign w:val="center"/>
          </w:tcPr>
          <w:p w14:paraId="3453A7AC" w14:textId="77777777" w:rsidR="00AA74A1" w:rsidRPr="00E70F00" w:rsidRDefault="00E70F00" w:rsidP="000336F3">
            <w:pPr>
              <w:pStyle w:val="TableText0"/>
              <w:keepNext w:val="0"/>
              <w:jc w:val="center"/>
            </w:pPr>
            <w:r>
              <w:rPr>
                <w:noProof/>
                <w:color w:val="000000"/>
                <w:highlight w:val="black"/>
              </w:rPr>
              <w:t>''''''''''''''''''''''''''''''''</w:t>
            </w:r>
            <w:r w:rsidR="00C8575D">
              <w:rPr>
                <w:iCs/>
                <w:vertAlign w:val="superscript"/>
              </w:rPr>
              <w:t>4</w:t>
            </w:r>
          </w:p>
        </w:tc>
        <w:tc>
          <w:tcPr>
            <w:tcW w:w="646" w:type="pct"/>
            <w:vAlign w:val="center"/>
          </w:tcPr>
          <w:p w14:paraId="08543F0A" w14:textId="77777777" w:rsidR="00AA74A1" w:rsidRPr="00E70F00" w:rsidRDefault="00E70F00" w:rsidP="000336F3">
            <w:pPr>
              <w:pStyle w:val="TableText0"/>
              <w:keepNext w:val="0"/>
              <w:jc w:val="center"/>
            </w:pPr>
            <w:r>
              <w:rPr>
                <w:noProof/>
                <w:color w:val="000000"/>
                <w:highlight w:val="black"/>
              </w:rPr>
              <w:t>''''''''''''''''''''''''''''''</w:t>
            </w:r>
            <w:r w:rsidR="00C8575D">
              <w:rPr>
                <w:iCs/>
                <w:vertAlign w:val="superscript"/>
              </w:rPr>
              <w:t>4</w:t>
            </w:r>
          </w:p>
        </w:tc>
        <w:tc>
          <w:tcPr>
            <w:tcW w:w="645" w:type="pct"/>
            <w:vAlign w:val="center"/>
          </w:tcPr>
          <w:p w14:paraId="23031609" w14:textId="77777777" w:rsidR="00AA74A1" w:rsidRPr="00E70F00" w:rsidRDefault="00E70F00" w:rsidP="000336F3">
            <w:pPr>
              <w:pStyle w:val="TableText0"/>
              <w:keepNext w:val="0"/>
              <w:jc w:val="center"/>
            </w:pPr>
            <w:r>
              <w:rPr>
                <w:noProof/>
                <w:color w:val="000000"/>
                <w:highlight w:val="black"/>
              </w:rPr>
              <w:t>'''''''''''''''''''''''''''</w:t>
            </w:r>
            <w:r w:rsidR="00C8575D">
              <w:rPr>
                <w:iCs/>
                <w:vertAlign w:val="superscript"/>
              </w:rPr>
              <w:t>4</w:t>
            </w:r>
          </w:p>
        </w:tc>
        <w:tc>
          <w:tcPr>
            <w:tcW w:w="645" w:type="pct"/>
            <w:vAlign w:val="center"/>
          </w:tcPr>
          <w:p w14:paraId="487121F9" w14:textId="77777777" w:rsidR="00AA74A1" w:rsidRPr="00E70F00" w:rsidRDefault="00E70F00" w:rsidP="000336F3">
            <w:pPr>
              <w:pStyle w:val="TableText0"/>
              <w:keepNext w:val="0"/>
              <w:jc w:val="center"/>
            </w:pPr>
            <w:r>
              <w:rPr>
                <w:noProof/>
                <w:color w:val="000000"/>
                <w:highlight w:val="black"/>
              </w:rPr>
              <w:t>'''''''''''''''''''''''''''''''</w:t>
            </w:r>
            <w:r w:rsidR="00C8575D">
              <w:rPr>
                <w:iCs/>
                <w:vertAlign w:val="superscript"/>
              </w:rPr>
              <w:t>4</w:t>
            </w:r>
          </w:p>
        </w:tc>
        <w:tc>
          <w:tcPr>
            <w:tcW w:w="644" w:type="pct"/>
            <w:vAlign w:val="center"/>
          </w:tcPr>
          <w:p w14:paraId="37312AF8" w14:textId="77777777" w:rsidR="00AA74A1" w:rsidRPr="00E70F00" w:rsidRDefault="00E70F00" w:rsidP="000336F3">
            <w:pPr>
              <w:pStyle w:val="TableText0"/>
              <w:keepNext w:val="0"/>
              <w:jc w:val="center"/>
            </w:pPr>
            <w:r>
              <w:rPr>
                <w:noProof/>
                <w:color w:val="000000"/>
                <w:highlight w:val="black"/>
              </w:rPr>
              <w:t>''''''''''''''''''''''''''''''''</w:t>
            </w:r>
            <w:r w:rsidR="00C8575D">
              <w:rPr>
                <w:iCs/>
                <w:vertAlign w:val="superscript"/>
              </w:rPr>
              <w:t>4</w:t>
            </w:r>
          </w:p>
        </w:tc>
        <w:tc>
          <w:tcPr>
            <w:tcW w:w="647" w:type="pct"/>
            <w:vAlign w:val="center"/>
          </w:tcPr>
          <w:p w14:paraId="744A39F1" w14:textId="77777777" w:rsidR="00AA74A1" w:rsidRPr="00E70F00" w:rsidRDefault="00E70F00" w:rsidP="000336F3">
            <w:pPr>
              <w:pStyle w:val="TableText0"/>
              <w:keepNext w:val="0"/>
              <w:jc w:val="center"/>
            </w:pPr>
            <w:r>
              <w:rPr>
                <w:noProof/>
                <w:color w:val="000000"/>
                <w:highlight w:val="black"/>
              </w:rPr>
              <w:t>'''''''''''''''''''''''''''''</w:t>
            </w:r>
            <w:r w:rsidR="00C8575D">
              <w:rPr>
                <w:iCs/>
                <w:vertAlign w:val="superscript"/>
              </w:rPr>
              <w:t>4</w:t>
            </w:r>
          </w:p>
        </w:tc>
      </w:tr>
      <w:tr w:rsidR="005D1F5A" w:rsidRPr="00211C8B" w14:paraId="682CF027" w14:textId="77777777" w:rsidTr="006E0426">
        <w:trPr>
          <w:cantSplit/>
        </w:trPr>
        <w:tc>
          <w:tcPr>
            <w:tcW w:w="1047" w:type="pct"/>
            <w:vAlign w:val="center"/>
          </w:tcPr>
          <w:p w14:paraId="6615BA2B" w14:textId="77777777" w:rsidR="00AA74A1" w:rsidRPr="00211C8B" w:rsidRDefault="00AA74A1" w:rsidP="009569D5">
            <w:pPr>
              <w:pStyle w:val="TableText0"/>
              <w:keepNext w:val="0"/>
            </w:pPr>
            <w:r w:rsidRPr="00211C8B">
              <w:t xml:space="preserve">Total PBS cost of </w:t>
            </w:r>
            <w:r w:rsidR="00907340" w:rsidRPr="00211C8B">
              <w:t>Gonal-f</w:t>
            </w:r>
            <w:r w:rsidRPr="00211C8B">
              <w:t>, net co-payment</w:t>
            </w:r>
          </w:p>
        </w:tc>
        <w:tc>
          <w:tcPr>
            <w:tcW w:w="726" w:type="pct"/>
            <w:vAlign w:val="center"/>
          </w:tcPr>
          <w:p w14:paraId="6A93F091" w14:textId="77777777" w:rsidR="00AA74A1" w:rsidRPr="00E70F00" w:rsidRDefault="00E70F00" w:rsidP="000336F3">
            <w:pPr>
              <w:pStyle w:val="TableText0"/>
              <w:keepNext w:val="0"/>
              <w:jc w:val="center"/>
            </w:pPr>
            <w:r>
              <w:rPr>
                <w:noProof/>
                <w:color w:val="000000"/>
                <w:highlight w:val="black"/>
              </w:rPr>
              <w:t>'''''''''''''''''''''''''''</w:t>
            </w:r>
            <w:r w:rsidR="00C8575D">
              <w:rPr>
                <w:iCs/>
                <w:vertAlign w:val="superscript"/>
              </w:rPr>
              <w:t>5</w:t>
            </w:r>
          </w:p>
        </w:tc>
        <w:tc>
          <w:tcPr>
            <w:tcW w:w="646" w:type="pct"/>
            <w:vAlign w:val="center"/>
          </w:tcPr>
          <w:p w14:paraId="4880C890" w14:textId="77777777" w:rsidR="00AA74A1" w:rsidRPr="00E70F00" w:rsidRDefault="00E70F00" w:rsidP="000336F3">
            <w:pPr>
              <w:pStyle w:val="TableText0"/>
              <w:keepNext w:val="0"/>
              <w:jc w:val="center"/>
            </w:pPr>
            <w:r>
              <w:rPr>
                <w:noProof/>
                <w:color w:val="000000"/>
                <w:highlight w:val="black"/>
              </w:rPr>
              <w:t>'''''''''''''''''''''''''''''''</w:t>
            </w:r>
            <w:r w:rsidR="00C8575D">
              <w:rPr>
                <w:iCs/>
                <w:vertAlign w:val="superscript"/>
              </w:rPr>
              <w:t>5</w:t>
            </w:r>
          </w:p>
        </w:tc>
        <w:tc>
          <w:tcPr>
            <w:tcW w:w="645" w:type="pct"/>
            <w:vAlign w:val="center"/>
          </w:tcPr>
          <w:p w14:paraId="0F9B06A5" w14:textId="77777777" w:rsidR="00AA74A1" w:rsidRPr="00E70F00" w:rsidRDefault="00E70F00" w:rsidP="000336F3">
            <w:pPr>
              <w:pStyle w:val="TableText0"/>
              <w:keepNext w:val="0"/>
              <w:jc w:val="center"/>
            </w:pPr>
            <w:r>
              <w:rPr>
                <w:noProof/>
                <w:color w:val="000000"/>
                <w:highlight w:val="black"/>
              </w:rPr>
              <w:t>'''''''''''''''''''''''''''''</w:t>
            </w:r>
            <w:r w:rsidR="00C8575D">
              <w:rPr>
                <w:iCs/>
                <w:vertAlign w:val="superscript"/>
              </w:rPr>
              <w:t>5</w:t>
            </w:r>
          </w:p>
        </w:tc>
        <w:tc>
          <w:tcPr>
            <w:tcW w:w="645" w:type="pct"/>
            <w:vAlign w:val="center"/>
          </w:tcPr>
          <w:p w14:paraId="495AA29C" w14:textId="77777777" w:rsidR="00AA74A1" w:rsidRPr="00E70F00" w:rsidRDefault="00E70F00" w:rsidP="000336F3">
            <w:pPr>
              <w:pStyle w:val="TableText0"/>
              <w:keepNext w:val="0"/>
              <w:jc w:val="center"/>
            </w:pPr>
            <w:r>
              <w:rPr>
                <w:noProof/>
                <w:color w:val="000000"/>
                <w:highlight w:val="black"/>
              </w:rPr>
              <w:t>''''''''''''''''''''''''''''''</w:t>
            </w:r>
            <w:r w:rsidR="00C8575D">
              <w:rPr>
                <w:iCs/>
                <w:vertAlign w:val="superscript"/>
              </w:rPr>
              <w:t>5</w:t>
            </w:r>
          </w:p>
        </w:tc>
        <w:tc>
          <w:tcPr>
            <w:tcW w:w="644" w:type="pct"/>
            <w:vAlign w:val="center"/>
          </w:tcPr>
          <w:p w14:paraId="351D1D21" w14:textId="77777777" w:rsidR="00AA74A1" w:rsidRPr="00E70F00" w:rsidRDefault="00E70F00" w:rsidP="000336F3">
            <w:pPr>
              <w:pStyle w:val="TableText0"/>
              <w:keepNext w:val="0"/>
              <w:jc w:val="center"/>
            </w:pPr>
            <w:r>
              <w:rPr>
                <w:noProof/>
                <w:color w:val="000000"/>
                <w:highlight w:val="black"/>
              </w:rPr>
              <w:t>''''''''''''''''''''''''''''''</w:t>
            </w:r>
            <w:r w:rsidR="00C8575D">
              <w:rPr>
                <w:iCs/>
                <w:vertAlign w:val="superscript"/>
              </w:rPr>
              <w:t>5</w:t>
            </w:r>
          </w:p>
        </w:tc>
        <w:tc>
          <w:tcPr>
            <w:tcW w:w="647" w:type="pct"/>
            <w:vAlign w:val="center"/>
          </w:tcPr>
          <w:p w14:paraId="38F34864" w14:textId="77777777" w:rsidR="00AA74A1" w:rsidRPr="00E70F00" w:rsidRDefault="00E70F00" w:rsidP="000336F3">
            <w:pPr>
              <w:pStyle w:val="TableText0"/>
              <w:keepNext w:val="0"/>
              <w:jc w:val="center"/>
            </w:pPr>
            <w:r>
              <w:rPr>
                <w:noProof/>
                <w:color w:val="000000"/>
                <w:highlight w:val="black"/>
              </w:rPr>
              <w:t>'''''''''''''''''''''''''''</w:t>
            </w:r>
            <w:r w:rsidR="00C8575D">
              <w:rPr>
                <w:iCs/>
                <w:vertAlign w:val="superscript"/>
              </w:rPr>
              <w:t>6</w:t>
            </w:r>
          </w:p>
        </w:tc>
      </w:tr>
      <w:tr w:rsidR="005D1F5A" w:rsidRPr="00211C8B" w14:paraId="2EE20946" w14:textId="77777777" w:rsidTr="006E0426">
        <w:trPr>
          <w:cantSplit/>
        </w:trPr>
        <w:tc>
          <w:tcPr>
            <w:tcW w:w="1047" w:type="pct"/>
            <w:vAlign w:val="center"/>
          </w:tcPr>
          <w:p w14:paraId="1F06017B" w14:textId="77777777" w:rsidR="00AA74A1" w:rsidRPr="00211C8B" w:rsidRDefault="00AA74A1" w:rsidP="009569D5">
            <w:pPr>
              <w:pStyle w:val="TableText0"/>
              <w:keepNext w:val="0"/>
            </w:pPr>
            <w:r w:rsidRPr="00211C8B">
              <w:t xml:space="preserve">Total PBS cost of </w:t>
            </w:r>
            <w:r w:rsidR="00907340" w:rsidRPr="00211C8B">
              <w:t>Gonal-f</w:t>
            </w:r>
            <w:r w:rsidRPr="00211C8B">
              <w:t xml:space="preserve"> and Bemfola (net co-payment)</w:t>
            </w:r>
          </w:p>
        </w:tc>
        <w:tc>
          <w:tcPr>
            <w:tcW w:w="726" w:type="pct"/>
            <w:vAlign w:val="center"/>
          </w:tcPr>
          <w:p w14:paraId="44738215" w14:textId="77777777" w:rsidR="00AA74A1" w:rsidRPr="00E70F00" w:rsidRDefault="00E70F00" w:rsidP="000336F3">
            <w:pPr>
              <w:pStyle w:val="TableText0"/>
              <w:keepNext w:val="0"/>
              <w:jc w:val="center"/>
            </w:pPr>
            <w:r>
              <w:rPr>
                <w:noProof/>
                <w:color w:val="000000"/>
                <w:highlight w:val="black"/>
              </w:rPr>
              <w:t>'''''''''''''''''''''''''''</w:t>
            </w:r>
            <w:r w:rsidR="00C8575D">
              <w:rPr>
                <w:iCs/>
                <w:vertAlign w:val="superscript"/>
              </w:rPr>
              <w:t>6</w:t>
            </w:r>
          </w:p>
        </w:tc>
        <w:tc>
          <w:tcPr>
            <w:tcW w:w="646" w:type="pct"/>
            <w:vAlign w:val="center"/>
          </w:tcPr>
          <w:p w14:paraId="1E523486" w14:textId="77777777" w:rsidR="00AA74A1" w:rsidRPr="00E70F00" w:rsidRDefault="00E70F00" w:rsidP="000336F3">
            <w:pPr>
              <w:pStyle w:val="TableText0"/>
              <w:keepNext w:val="0"/>
              <w:jc w:val="center"/>
            </w:pPr>
            <w:r>
              <w:rPr>
                <w:noProof/>
                <w:color w:val="000000"/>
                <w:highlight w:val="black"/>
              </w:rPr>
              <w:t>''''''''''''''''''''''''''''</w:t>
            </w:r>
            <w:r w:rsidR="00C8575D">
              <w:rPr>
                <w:iCs/>
                <w:vertAlign w:val="superscript"/>
              </w:rPr>
              <w:t>7</w:t>
            </w:r>
          </w:p>
        </w:tc>
        <w:tc>
          <w:tcPr>
            <w:tcW w:w="645" w:type="pct"/>
            <w:vAlign w:val="center"/>
          </w:tcPr>
          <w:p w14:paraId="52B5CACD" w14:textId="77777777" w:rsidR="00AA74A1" w:rsidRPr="00E70F00" w:rsidRDefault="00E70F00" w:rsidP="000336F3">
            <w:pPr>
              <w:pStyle w:val="TableText0"/>
              <w:keepNext w:val="0"/>
              <w:jc w:val="center"/>
            </w:pPr>
            <w:r>
              <w:rPr>
                <w:noProof/>
                <w:color w:val="000000"/>
                <w:highlight w:val="black"/>
              </w:rPr>
              <w:t>'''''''''''''''''''''''''''''''</w:t>
            </w:r>
            <w:r w:rsidR="00C8575D">
              <w:rPr>
                <w:iCs/>
                <w:vertAlign w:val="superscript"/>
              </w:rPr>
              <w:t>7</w:t>
            </w:r>
          </w:p>
        </w:tc>
        <w:tc>
          <w:tcPr>
            <w:tcW w:w="645" w:type="pct"/>
            <w:vAlign w:val="center"/>
          </w:tcPr>
          <w:p w14:paraId="2331F750" w14:textId="77777777" w:rsidR="00AA74A1" w:rsidRPr="00E70F00" w:rsidRDefault="00E70F00" w:rsidP="000336F3">
            <w:pPr>
              <w:pStyle w:val="TableText0"/>
              <w:keepNext w:val="0"/>
              <w:jc w:val="center"/>
            </w:pPr>
            <w:r>
              <w:rPr>
                <w:noProof/>
                <w:color w:val="000000"/>
                <w:highlight w:val="black"/>
              </w:rPr>
              <w:t>'''''''''''''''''''''''''''''</w:t>
            </w:r>
            <w:r w:rsidR="00C8575D">
              <w:rPr>
                <w:iCs/>
                <w:vertAlign w:val="superscript"/>
              </w:rPr>
              <w:t>7</w:t>
            </w:r>
          </w:p>
        </w:tc>
        <w:tc>
          <w:tcPr>
            <w:tcW w:w="644" w:type="pct"/>
            <w:vAlign w:val="center"/>
          </w:tcPr>
          <w:p w14:paraId="4EE96D90" w14:textId="77777777" w:rsidR="00AA74A1" w:rsidRPr="00E70F00" w:rsidRDefault="00E70F00" w:rsidP="000336F3">
            <w:pPr>
              <w:pStyle w:val="TableText0"/>
              <w:keepNext w:val="0"/>
              <w:jc w:val="center"/>
            </w:pPr>
            <w:r>
              <w:rPr>
                <w:noProof/>
                <w:color w:val="000000"/>
                <w:highlight w:val="black"/>
              </w:rPr>
              <w:t>'''''''''''''''''''''''''''''</w:t>
            </w:r>
            <w:r w:rsidR="00C8575D">
              <w:rPr>
                <w:iCs/>
                <w:vertAlign w:val="superscript"/>
              </w:rPr>
              <w:t>7</w:t>
            </w:r>
          </w:p>
        </w:tc>
        <w:tc>
          <w:tcPr>
            <w:tcW w:w="647" w:type="pct"/>
            <w:vAlign w:val="center"/>
          </w:tcPr>
          <w:p w14:paraId="6C1CFB4F" w14:textId="77777777" w:rsidR="00AA74A1" w:rsidRPr="00E70F00" w:rsidRDefault="00E70F00" w:rsidP="000336F3">
            <w:pPr>
              <w:pStyle w:val="TableText0"/>
              <w:keepNext w:val="0"/>
              <w:jc w:val="center"/>
            </w:pPr>
            <w:r>
              <w:rPr>
                <w:noProof/>
                <w:color w:val="000000"/>
                <w:highlight w:val="black"/>
              </w:rPr>
              <w:t>'''''''''''''''''''''''''''''</w:t>
            </w:r>
            <w:r w:rsidR="00C8575D">
              <w:rPr>
                <w:iCs/>
                <w:vertAlign w:val="superscript"/>
              </w:rPr>
              <w:t>7</w:t>
            </w:r>
          </w:p>
        </w:tc>
      </w:tr>
      <w:tr w:rsidR="00AA74A1" w:rsidRPr="00211C8B" w14:paraId="50605753" w14:textId="77777777" w:rsidTr="006E0426">
        <w:trPr>
          <w:cantSplit/>
        </w:trPr>
        <w:tc>
          <w:tcPr>
            <w:tcW w:w="5000" w:type="pct"/>
            <w:gridSpan w:val="7"/>
            <w:vAlign w:val="center"/>
          </w:tcPr>
          <w:p w14:paraId="308A9AC5" w14:textId="77777777" w:rsidR="00AA74A1" w:rsidRPr="00211C8B" w:rsidRDefault="00AA74A1" w:rsidP="009569D5">
            <w:pPr>
              <w:pStyle w:val="TableText0"/>
              <w:keepNext w:val="0"/>
              <w:rPr>
                <w:iCs/>
              </w:rPr>
            </w:pPr>
            <w:r w:rsidRPr="00211C8B">
              <w:rPr>
                <w:b/>
                <w:bCs w:val="0"/>
              </w:rPr>
              <w:t xml:space="preserve">Proposed scenario (revised DPMQ for </w:t>
            </w:r>
            <w:r w:rsidR="00907340" w:rsidRPr="00211C8B">
              <w:rPr>
                <w:b/>
                <w:bCs w:val="0"/>
              </w:rPr>
              <w:t>Gonal-f</w:t>
            </w:r>
            <w:r w:rsidRPr="00211C8B">
              <w:rPr>
                <w:b/>
                <w:bCs w:val="0"/>
              </w:rPr>
              <w:t>, impact of Chua et al 2021 on utilisation)</w:t>
            </w:r>
          </w:p>
        </w:tc>
      </w:tr>
      <w:tr w:rsidR="005D1F5A" w:rsidRPr="00211C8B" w14:paraId="2920A0F0" w14:textId="77777777" w:rsidTr="006E0426">
        <w:trPr>
          <w:cantSplit/>
        </w:trPr>
        <w:tc>
          <w:tcPr>
            <w:tcW w:w="1047" w:type="pct"/>
            <w:vAlign w:val="center"/>
          </w:tcPr>
          <w:p w14:paraId="1B02EA3D" w14:textId="77777777" w:rsidR="00AA74A1" w:rsidRPr="00211C8B" w:rsidRDefault="00AA74A1" w:rsidP="009569D5">
            <w:pPr>
              <w:pStyle w:val="TableText0"/>
              <w:keepNext w:val="0"/>
            </w:pPr>
            <w:r w:rsidRPr="00211C8B">
              <w:t>Number of Bemfola units dispensed per year (with Chua et al 2021)</w:t>
            </w:r>
          </w:p>
        </w:tc>
        <w:tc>
          <w:tcPr>
            <w:tcW w:w="726" w:type="pct"/>
            <w:vAlign w:val="center"/>
          </w:tcPr>
          <w:p w14:paraId="59E0ECE4" w14:textId="77777777" w:rsidR="00AA74A1" w:rsidRPr="00E70F00" w:rsidRDefault="00E70F00" w:rsidP="000336F3">
            <w:pPr>
              <w:pStyle w:val="TableText0"/>
              <w:keepNext w:val="0"/>
              <w:jc w:val="center"/>
            </w:pPr>
            <w:r>
              <w:rPr>
                <w:noProof/>
                <w:color w:val="000000"/>
                <w:highlight w:val="black"/>
              </w:rPr>
              <w:t>''''''''''''</w:t>
            </w:r>
            <w:r w:rsidR="00C8575D">
              <w:rPr>
                <w:iCs/>
                <w:vertAlign w:val="superscript"/>
              </w:rPr>
              <w:t>1</w:t>
            </w:r>
          </w:p>
        </w:tc>
        <w:tc>
          <w:tcPr>
            <w:tcW w:w="646" w:type="pct"/>
            <w:vAlign w:val="center"/>
          </w:tcPr>
          <w:p w14:paraId="24ECD2A7" w14:textId="77777777" w:rsidR="00AA74A1" w:rsidRPr="00E70F00" w:rsidRDefault="00E70F00" w:rsidP="000336F3">
            <w:pPr>
              <w:pStyle w:val="TableText0"/>
              <w:keepNext w:val="0"/>
              <w:jc w:val="center"/>
            </w:pPr>
            <w:r>
              <w:rPr>
                <w:noProof/>
                <w:color w:val="000000"/>
                <w:highlight w:val="black"/>
              </w:rPr>
              <w:t>''''''''''''</w:t>
            </w:r>
            <w:r w:rsidR="00C8575D">
              <w:rPr>
                <w:iCs/>
                <w:vertAlign w:val="superscript"/>
              </w:rPr>
              <w:t>1</w:t>
            </w:r>
          </w:p>
        </w:tc>
        <w:tc>
          <w:tcPr>
            <w:tcW w:w="645" w:type="pct"/>
            <w:vAlign w:val="center"/>
          </w:tcPr>
          <w:p w14:paraId="2C5A12C2" w14:textId="77777777" w:rsidR="00AA74A1" w:rsidRPr="00E70F00" w:rsidRDefault="00E70F00" w:rsidP="000336F3">
            <w:pPr>
              <w:pStyle w:val="TableText0"/>
              <w:keepNext w:val="0"/>
              <w:jc w:val="center"/>
            </w:pPr>
            <w:r>
              <w:rPr>
                <w:noProof/>
                <w:color w:val="000000"/>
                <w:highlight w:val="black"/>
              </w:rPr>
              <w:t>''''''''''''</w:t>
            </w:r>
            <w:r w:rsidR="00C8575D">
              <w:rPr>
                <w:iCs/>
                <w:vertAlign w:val="superscript"/>
              </w:rPr>
              <w:t>1</w:t>
            </w:r>
          </w:p>
        </w:tc>
        <w:tc>
          <w:tcPr>
            <w:tcW w:w="645" w:type="pct"/>
            <w:vAlign w:val="center"/>
          </w:tcPr>
          <w:p w14:paraId="168E57E6" w14:textId="77777777" w:rsidR="00AA74A1" w:rsidRPr="00E70F00" w:rsidRDefault="00E70F00" w:rsidP="000336F3">
            <w:pPr>
              <w:pStyle w:val="TableText0"/>
              <w:keepNext w:val="0"/>
              <w:jc w:val="center"/>
            </w:pPr>
            <w:r>
              <w:rPr>
                <w:noProof/>
                <w:color w:val="000000"/>
                <w:highlight w:val="black"/>
              </w:rPr>
              <w:t>''''''''''''</w:t>
            </w:r>
            <w:r w:rsidR="00C8575D">
              <w:rPr>
                <w:iCs/>
                <w:vertAlign w:val="superscript"/>
              </w:rPr>
              <w:t>1</w:t>
            </w:r>
          </w:p>
        </w:tc>
        <w:tc>
          <w:tcPr>
            <w:tcW w:w="644" w:type="pct"/>
            <w:vAlign w:val="center"/>
          </w:tcPr>
          <w:p w14:paraId="6DCEC79A" w14:textId="77777777" w:rsidR="00AA74A1" w:rsidRPr="00E70F00" w:rsidRDefault="00E70F00" w:rsidP="000336F3">
            <w:pPr>
              <w:pStyle w:val="TableText0"/>
              <w:keepNext w:val="0"/>
              <w:jc w:val="center"/>
            </w:pPr>
            <w:r>
              <w:rPr>
                <w:noProof/>
                <w:color w:val="000000"/>
                <w:highlight w:val="black"/>
              </w:rPr>
              <w:t>''''''''''''</w:t>
            </w:r>
            <w:r w:rsidR="00C8575D">
              <w:rPr>
                <w:iCs/>
                <w:vertAlign w:val="superscript"/>
              </w:rPr>
              <w:t>1</w:t>
            </w:r>
          </w:p>
        </w:tc>
        <w:tc>
          <w:tcPr>
            <w:tcW w:w="647" w:type="pct"/>
            <w:vAlign w:val="center"/>
          </w:tcPr>
          <w:p w14:paraId="30CC4FDD" w14:textId="77777777" w:rsidR="00AA74A1" w:rsidRPr="00E70F00" w:rsidRDefault="00E70F00" w:rsidP="000336F3">
            <w:pPr>
              <w:pStyle w:val="TableText0"/>
              <w:keepNext w:val="0"/>
              <w:jc w:val="center"/>
            </w:pPr>
            <w:r>
              <w:rPr>
                <w:noProof/>
                <w:color w:val="000000"/>
                <w:highlight w:val="black"/>
              </w:rPr>
              <w:t>''''''''''''''</w:t>
            </w:r>
            <w:r w:rsidR="00C8575D">
              <w:rPr>
                <w:iCs/>
                <w:vertAlign w:val="superscript"/>
              </w:rPr>
              <w:t>1</w:t>
            </w:r>
          </w:p>
        </w:tc>
      </w:tr>
      <w:tr w:rsidR="005D1F5A" w:rsidRPr="00211C8B" w14:paraId="4C0B9F3F" w14:textId="77777777" w:rsidTr="006E0426">
        <w:trPr>
          <w:cantSplit/>
        </w:trPr>
        <w:tc>
          <w:tcPr>
            <w:tcW w:w="1047" w:type="pct"/>
            <w:vAlign w:val="center"/>
          </w:tcPr>
          <w:p w14:paraId="63CACDE2" w14:textId="77777777" w:rsidR="00AA74A1" w:rsidRPr="00211C8B" w:rsidRDefault="00AA74A1" w:rsidP="009569D5">
            <w:pPr>
              <w:pStyle w:val="TableText0"/>
              <w:keepNext w:val="0"/>
            </w:pPr>
            <w:r w:rsidRPr="00211C8B">
              <w:t xml:space="preserve">Number of </w:t>
            </w:r>
            <w:r w:rsidR="00907340" w:rsidRPr="00211C8B">
              <w:t>Gonal-f</w:t>
            </w:r>
            <w:r w:rsidRPr="00211C8B">
              <w:t xml:space="preserve"> units dispensed per year (without Chua et al 2021)</w:t>
            </w:r>
          </w:p>
        </w:tc>
        <w:tc>
          <w:tcPr>
            <w:tcW w:w="726" w:type="pct"/>
            <w:vAlign w:val="center"/>
          </w:tcPr>
          <w:p w14:paraId="764947DE" w14:textId="77777777" w:rsidR="00AA74A1" w:rsidRPr="00E70F00" w:rsidRDefault="00E70F00" w:rsidP="000336F3">
            <w:pPr>
              <w:pStyle w:val="TableText0"/>
              <w:keepNext w:val="0"/>
              <w:jc w:val="center"/>
            </w:pPr>
            <w:r>
              <w:rPr>
                <w:noProof/>
                <w:color w:val="000000"/>
                <w:highlight w:val="black"/>
              </w:rPr>
              <w:t>'''''''''''''''</w:t>
            </w:r>
            <w:r w:rsidR="00C8575D">
              <w:rPr>
                <w:iCs/>
                <w:vertAlign w:val="superscript"/>
              </w:rPr>
              <w:t>2</w:t>
            </w:r>
          </w:p>
        </w:tc>
        <w:tc>
          <w:tcPr>
            <w:tcW w:w="646" w:type="pct"/>
            <w:vAlign w:val="center"/>
          </w:tcPr>
          <w:p w14:paraId="7456F7A5" w14:textId="77777777" w:rsidR="00AA74A1" w:rsidRPr="00E70F00" w:rsidRDefault="00E70F00" w:rsidP="000336F3">
            <w:pPr>
              <w:pStyle w:val="TableText0"/>
              <w:keepNext w:val="0"/>
              <w:jc w:val="center"/>
            </w:pPr>
            <w:r>
              <w:rPr>
                <w:noProof/>
                <w:color w:val="000000"/>
                <w:highlight w:val="black"/>
              </w:rPr>
              <w:t>''''''''''''''''''</w:t>
            </w:r>
            <w:r w:rsidR="00C8575D">
              <w:rPr>
                <w:iCs/>
                <w:vertAlign w:val="superscript"/>
              </w:rPr>
              <w:t>3</w:t>
            </w:r>
          </w:p>
        </w:tc>
        <w:tc>
          <w:tcPr>
            <w:tcW w:w="645" w:type="pct"/>
            <w:vAlign w:val="center"/>
          </w:tcPr>
          <w:p w14:paraId="476779A4" w14:textId="77777777" w:rsidR="00AA74A1" w:rsidRPr="00E70F00" w:rsidRDefault="00E70F00" w:rsidP="000336F3">
            <w:pPr>
              <w:pStyle w:val="TableText0"/>
              <w:keepNext w:val="0"/>
              <w:jc w:val="center"/>
            </w:pPr>
            <w:r>
              <w:rPr>
                <w:noProof/>
                <w:color w:val="000000"/>
                <w:highlight w:val="black"/>
              </w:rPr>
              <w:t>''''''''''''''''</w:t>
            </w:r>
            <w:r w:rsidR="00C8575D">
              <w:rPr>
                <w:iCs/>
                <w:vertAlign w:val="superscript"/>
              </w:rPr>
              <w:t>3</w:t>
            </w:r>
          </w:p>
        </w:tc>
        <w:tc>
          <w:tcPr>
            <w:tcW w:w="645" w:type="pct"/>
            <w:vAlign w:val="center"/>
          </w:tcPr>
          <w:p w14:paraId="67B2566D" w14:textId="77777777" w:rsidR="00AA74A1" w:rsidRPr="00E70F00" w:rsidRDefault="00E70F00" w:rsidP="000336F3">
            <w:pPr>
              <w:pStyle w:val="TableText0"/>
              <w:keepNext w:val="0"/>
              <w:jc w:val="center"/>
            </w:pPr>
            <w:r>
              <w:rPr>
                <w:noProof/>
                <w:color w:val="000000"/>
                <w:highlight w:val="black"/>
              </w:rPr>
              <w:t>''''''''''''''''</w:t>
            </w:r>
            <w:r w:rsidR="00C8575D">
              <w:rPr>
                <w:iCs/>
                <w:vertAlign w:val="superscript"/>
              </w:rPr>
              <w:t>3</w:t>
            </w:r>
          </w:p>
        </w:tc>
        <w:tc>
          <w:tcPr>
            <w:tcW w:w="644" w:type="pct"/>
            <w:vAlign w:val="center"/>
          </w:tcPr>
          <w:p w14:paraId="3FAA893C" w14:textId="77777777" w:rsidR="00AA74A1" w:rsidRPr="00E70F00" w:rsidRDefault="00E70F00" w:rsidP="000336F3">
            <w:pPr>
              <w:pStyle w:val="TableText0"/>
              <w:keepNext w:val="0"/>
              <w:jc w:val="center"/>
            </w:pPr>
            <w:r>
              <w:rPr>
                <w:noProof/>
                <w:color w:val="000000"/>
                <w:highlight w:val="black"/>
              </w:rPr>
              <w:t>'''''''''''''''</w:t>
            </w:r>
            <w:r w:rsidR="00C8575D">
              <w:rPr>
                <w:iCs/>
                <w:vertAlign w:val="superscript"/>
              </w:rPr>
              <w:t>3</w:t>
            </w:r>
          </w:p>
        </w:tc>
        <w:tc>
          <w:tcPr>
            <w:tcW w:w="647" w:type="pct"/>
            <w:vAlign w:val="center"/>
          </w:tcPr>
          <w:p w14:paraId="0C5FA362" w14:textId="77777777" w:rsidR="00AA74A1" w:rsidRPr="00E70F00" w:rsidRDefault="00E70F00" w:rsidP="000336F3">
            <w:pPr>
              <w:pStyle w:val="TableText0"/>
              <w:keepNext w:val="0"/>
              <w:jc w:val="center"/>
            </w:pPr>
            <w:r>
              <w:rPr>
                <w:noProof/>
                <w:color w:val="000000"/>
                <w:highlight w:val="black"/>
              </w:rPr>
              <w:t>'''''''''''''''</w:t>
            </w:r>
            <w:r w:rsidR="00C8575D">
              <w:rPr>
                <w:iCs/>
                <w:vertAlign w:val="superscript"/>
              </w:rPr>
              <w:t>3</w:t>
            </w:r>
          </w:p>
        </w:tc>
      </w:tr>
      <w:tr w:rsidR="005D1F5A" w:rsidRPr="00211C8B" w14:paraId="2A2200DE" w14:textId="77777777" w:rsidTr="006E0426">
        <w:trPr>
          <w:cantSplit/>
        </w:trPr>
        <w:tc>
          <w:tcPr>
            <w:tcW w:w="1047" w:type="pct"/>
            <w:vAlign w:val="center"/>
          </w:tcPr>
          <w:p w14:paraId="74E91A03" w14:textId="77777777" w:rsidR="00AA74A1" w:rsidRPr="00211C8B" w:rsidRDefault="00AA74A1" w:rsidP="009569D5">
            <w:pPr>
              <w:pStyle w:val="TableText0"/>
              <w:keepNext w:val="0"/>
            </w:pPr>
            <w:r w:rsidRPr="00211C8B">
              <w:t>Total PBS cost of Bemfola, net co-payment</w:t>
            </w:r>
          </w:p>
        </w:tc>
        <w:tc>
          <w:tcPr>
            <w:tcW w:w="726" w:type="pct"/>
            <w:vAlign w:val="center"/>
          </w:tcPr>
          <w:p w14:paraId="2D97D509" w14:textId="77777777" w:rsidR="00AA74A1" w:rsidRPr="00E70F00" w:rsidRDefault="00E70F00" w:rsidP="000336F3">
            <w:pPr>
              <w:pStyle w:val="TableText0"/>
              <w:keepNext w:val="0"/>
              <w:jc w:val="center"/>
            </w:pPr>
            <w:r>
              <w:rPr>
                <w:noProof/>
                <w:color w:val="000000"/>
                <w:highlight w:val="black"/>
              </w:rPr>
              <w:t>'''''''''''''''''''''''''''</w:t>
            </w:r>
            <w:r w:rsidR="00C8575D">
              <w:rPr>
                <w:iCs/>
                <w:vertAlign w:val="superscript"/>
              </w:rPr>
              <w:t>4</w:t>
            </w:r>
          </w:p>
        </w:tc>
        <w:tc>
          <w:tcPr>
            <w:tcW w:w="646" w:type="pct"/>
            <w:vAlign w:val="center"/>
          </w:tcPr>
          <w:p w14:paraId="34D47C22" w14:textId="77777777" w:rsidR="00AA74A1" w:rsidRPr="00E70F00" w:rsidRDefault="00E70F00" w:rsidP="000336F3">
            <w:pPr>
              <w:pStyle w:val="TableText0"/>
              <w:keepNext w:val="0"/>
              <w:jc w:val="center"/>
            </w:pPr>
            <w:r>
              <w:rPr>
                <w:noProof/>
                <w:color w:val="000000"/>
                <w:highlight w:val="black"/>
              </w:rPr>
              <w:t>''''''''''''''''''''''''''</w:t>
            </w:r>
            <w:r w:rsidR="00C8575D">
              <w:rPr>
                <w:iCs/>
                <w:vertAlign w:val="superscript"/>
              </w:rPr>
              <w:t>4</w:t>
            </w:r>
          </w:p>
        </w:tc>
        <w:tc>
          <w:tcPr>
            <w:tcW w:w="645" w:type="pct"/>
            <w:vAlign w:val="center"/>
          </w:tcPr>
          <w:p w14:paraId="56AAF13A" w14:textId="77777777" w:rsidR="00AA74A1" w:rsidRPr="00E70F00" w:rsidRDefault="00E70F00" w:rsidP="000336F3">
            <w:pPr>
              <w:pStyle w:val="TableText0"/>
              <w:keepNext w:val="0"/>
              <w:jc w:val="center"/>
            </w:pPr>
            <w:r>
              <w:rPr>
                <w:noProof/>
                <w:color w:val="000000"/>
                <w:highlight w:val="black"/>
              </w:rPr>
              <w:t>'''''''''''''''''''''''''''</w:t>
            </w:r>
            <w:r w:rsidR="00C8575D">
              <w:rPr>
                <w:iCs/>
                <w:vertAlign w:val="superscript"/>
              </w:rPr>
              <w:t>4</w:t>
            </w:r>
          </w:p>
        </w:tc>
        <w:tc>
          <w:tcPr>
            <w:tcW w:w="645" w:type="pct"/>
            <w:vAlign w:val="center"/>
          </w:tcPr>
          <w:p w14:paraId="76F525D8" w14:textId="77777777" w:rsidR="00AA74A1" w:rsidRPr="00E70F00" w:rsidRDefault="00E70F00" w:rsidP="000336F3">
            <w:pPr>
              <w:pStyle w:val="TableText0"/>
              <w:keepNext w:val="0"/>
              <w:jc w:val="center"/>
            </w:pPr>
            <w:r>
              <w:rPr>
                <w:noProof/>
                <w:color w:val="000000"/>
                <w:highlight w:val="black"/>
              </w:rPr>
              <w:t>'''''''''''''''''''''''''''</w:t>
            </w:r>
            <w:r w:rsidR="00C8575D">
              <w:rPr>
                <w:iCs/>
                <w:vertAlign w:val="superscript"/>
              </w:rPr>
              <w:t>4</w:t>
            </w:r>
          </w:p>
        </w:tc>
        <w:tc>
          <w:tcPr>
            <w:tcW w:w="644" w:type="pct"/>
            <w:vAlign w:val="center"/>
          </w:tcPr>
          <w:p w14:paraId="35B9BF43" w14:textId="77777777" w:rsidR="00AA74A1" w:rsidRPr="00E70F00" w:rsidRDefault="00E70F00" w:rsidP="000336F3">
            <w:pPr>
              <w:pStyle w:val="TableText0"/>
              <w:keepNext w:val="0"/>
              <w:jc w:val="center"/>
            </w:pPr>
            <w:r>
              <w:rPr>
                <w:noProof/>
                <w:color w:val="000000"/>
                <w:highlight w:val="black"/>
              </w:rPr>
              <w:t>'''''''''''''''''''''''''''</w:t>
            </w:r>
            <w:r w:rsidR="00C8575D">
              <w:rPr>
                <w:iCs/>
                <w:vertAlign w:val="superscript"/>
              </w:rPr>
              <w:t>8</w:t>
            </w:r>
          </w:p>
        </w:tc>
        <w:tc>
          <w:tcPr>
            <w:tcW w:w="647" w:type="pct"/>
            <w:vAlign w:val="center"/>
          </w:tcPr>
          <w:p w14:paraId="31EB477B" w14:textId="77777777" w:rsidR="00AA74A1" w:rsidRPr="00E70F00" w:rsidRDefault="00E70F00" w:rsidP="000336F3">
            <w:pPr>
              <w:pStyle w:val="TableText0"/>
              <w:keepNext w:val="0"/>
              <w:jc w:val="center"/>
            </w:pPr>
            <w:r>
              <w:rPr>
                <w:noProof/>
                <w:color w:val="000000"/>
                <w:highlight w:val="black"/>
              </w:rPr>
              <w:t>'''''''''''''''''''''''''''''''</w:t>
            </w:r>
            <w:r w:rsidR="00C8575D">
              <w:rPr>
                <w:iCs/>
                <w:vertAlign w:val="superscript"/>
              </w:rPr>
              <w:t>4</w:t>
            </w:r>
          </w:p>
        </w:tc>
      </w:tr>
      <w:tr w:rsidR="005D1F5A" w:rsidRPr="00211C8B" w14:paraId="0919BF9D" w14:textId="77777777" w:rsidTr="006E0426">
        <w:trPr>
          <w:cantSplit/>
        </w:trPr>
        <w:tc>
          <w:tcPr>
            <w:tcW w:w="1047" w:type="pct"/>
            <w:vAlign w:val="center"/>
          </w:tcPr>
          <w:p w14:paraId="75880D8D" w14:textId="77777777" w:rsidR="00AA74A1" w:rsidRPr="00211C8B" w:rsidRDefault="00AA74A1" w:rsidP="009569D5">
            <w:pPr>
              <w:pStyle w:val="TableText0"/>
              <w:keepNext w:val="0"/>
            </w:pPr>
            <w:r w:rsidRPr="00211C8B">
              <w:t xml:space="preserve">Total PBS cost of </w:t>
            </w:r>
            <w:r w:rsidR="00907340" w:rsidRPr="00211C8B">
              <w:t>Gonal-f</w:t>
            </w:r>
            <w:r w:rsidRPr="00211C8B">
              <w:t>, net co-payment</w:t>
            </w:r>
          </w:p>
        </w:tc>
        <w:tc>
          <w:tcPr>
            <w:tcW w:w="726" w:type="pct"/>
            <w:vAlign w:val="center"/>
          </w:tcPr>
          <w:p w14:paraId="7F7CD04E" w14:textId="77777777" w:rsidR="00AA74A1" w:rsidRPr="00E70F00" w:rsidRDefault="00E70F00" w:rsidP="000336F3">
            <w:pPr>
              <w:pStyle w:val="TableText0"/>
              <w:keepNext w:val="0"/>
              <w:jc w:val="center"/>
            </w:pPr>
            <w:r>
              <w:rPr>
                <w:noProof/>
                <w:color w:val="000000"/>
                <w:highlight w:val="black"/>
              </w:rPr>
              <w:t>'''''''''''''''''''''''''''''</w:t>
            </w:r>
            <w:r w:rsidR="00FC7FDF">
              <w:rPr>
                <w:iCs/>
                <w:vertAlign w:val="superscript"/>
              </w:rPr>
              <w:t>7</w:t>
            </w:r>
          </w:p>
        </w:tc>
        <w:tc>
          <w:tcPr>
            <w:tcW w:w="646" w:type="pct"/>
            <w:vAlign w:val="center"/>
          </w:tcPr>
          <w:p w14:paraId="72504ABA" w14:textId="77777777" w:rsidR="00AA74A1" w:rsidRPr="00E70F00" w:rsidRDefault="00E70F00" w:rsidP="000336F3">
            <w:pPr>
              <w:pStyle w:val="TableText0"/>
              <w:keepNext w:val="0"/>
              <w:jc w:val="center"/>
            </w:pPr>
            <w:r>
              <w:rPr>
                <w:noProof/>
                <w:color w:val="000000"/>
                <w:highlight w:val="black"/>
              </w:rPr>
              <w:t>''''''''''''''''''''''''''''''''</w:t>
            </w:r>
            <w:r w:rsidR="00FC7FDF">
              <w:rPr>
                <w:iCs/>
                <w:vertAlign w:val="superscript"/>
              </w:rPr>
              <w:t>7</w:t>
            </w:r>
          </w:p>
        </w:tc>
        <w:tc>
          <w:tcPr>
            <w:tcW w:w="645" w:type="pct"/>
            <w:vAlign w:val="center"/>
          </w:tcPr>
          <w:p w14:paraId="0D4FAE4B" w14:textId="77777777" w:rsidR="00AA74A1" w:rsidRPr="00E70F00" w:rsidRDefault="00E70F00" w:rsidP="000336F3">
            <w:pPr>
              <w:pStyle w:val="TableText0"/>
              <w:keepNext w:val="0"/>
              <w:jc w:val="center"/>
            </w:pPr>
            <w:r>
              <w:rPr>
                <w:noProof/>
                <w:color w:val="000000"/>
                <w:highlight w:val="black"/>
              </w:rPr>
              <w:t>''''''''''''''''''''''''''''''''</w:t>
            </w:r>
            <w:r w:rsidR="00FC7FDF">
              <w:rPr>
                <w:iCs/>
                <w:vertAlign w:val="superscript"/>
              </w:rPr>
              <w:t>7</w:t>
            </w:r>
          </w:p>
        </w:tc>
        <w:tc>
          <w:tcPr>
            <w:tcW w:w="645" w:type="pct"/>
            <w:vAlign w:val="center"/>
          </w:tcPr>
          <w:p w14:paraId="44DE3C4D" w14:textId="77777777" w:rsidR="00AA74A1" w:rsidRPr="00E70F00" w:rsidRDefault="00E70F00" w:rsidP="000336F3">
            <w:pPr>
              <w:pStyle w:val="TableText0"/>
              <w:keepNext w:val="0"/>
              <w:jc w:val="center"/>
            </w:pPr>
            <w:r>
              <w:rPr>
                <w:noProof/>
                <w:color w:val="000000"/>
                <w:highlight w:val="black"/>
              </w:rPr>
              <w:t>'''''''''''''''''''''''''''''''</w:t>
            </w:r>
            <w:r w:rsidR="00FC7FDF">
              <w:rPr>
                <w:iCs/>
                <w:vertAlign w:val="superscript"/>
              </w:rPr>
              <w:t>7</w:t>
            </w:r>
          </w:p>
        </w:tc>
        <w:tc>
          <w:tcPr>
            <w:tcW w:w="644" w:type="pct"/>
            <w:vAlign w:val="center"/>
          </w:tcPr>
          <w:p w14:paraId="1CBC33A3" w14:textId="77777777" w:rsidR="00AA74A1" w:rsidRPr="00E70F00" w:rsidRDefault="00E70F00" w:rsidP="000336F3">
            <w:pPr>
              <w:pStyle w:val="TableText0"/>
              <w:keepNext w:val="0"/>
              <w:jc w:val="center"/>
            </w:pPr>
            <w:r>
              <w:rPr>
                <w:noProof/>
                <w:color w:val="000000"/>
                <w:highlight w:val="black"/>
              </w:rPr>
              <w:t>''''''''''''''''''''''''''''</w:t>
            </w:r>
            <w:r w:rsidR="00FC7FDF">
              <w:rPr>
                <w:iCs/>
                <w:vertAlign w:val="superscript"/>
              </w:rPr>
              <w:t>9</w:t>
            </w:r>
          </w:p>
        </w:tc>
        <w:tc>
          <w:tcPr>
            <w:tcW w:w="647" w:type="pct"/>
            <w:vAlign w:val="center"/>
          </w:tcPr>
          <w:p w14:paraId="7B15A9A3" w14:textId="77777777" w:rsidR="00AA74A1" w:rsidRPr="00E70F00" w:rsidRDefault="00E70F00" w:rsidP="000336F3">
            <w:pPr>
              <w:pStyle w:val="TableText0"/>
              <w:keepNext w:val="0"/>
              <w:jc w:val="center"/>
            </w:pPr>
            <w:r>
              <w:rPr>
                <w:noProof/>
                <w:color w:val="000000"/>
                <w:highlight w:val="black"/>
              </w:rPr>
              <w:t>''''''''''''''''''''''''''''</w:t>
            </w:r>
            <w:r w:rsidR="00FC7FDF">
              <w:rPr>
                <w:iCs/>
                <w:vertAlign w:val="superscript"/>
              </w:rPr>
              <w:t>9</w:t>
            </w:r>
          </w:p>
        </w:tc>
      </w:tr>
      <w:tr w:rsidR="005D1F5A" w:rsidRPr="00211C8B" w14:paraId="228EE16F" w14:textId="77777777" w:rsidTr="006E0426">
        <w:trPr>
          <w:cantSplit/>
        </w:trPr>
        <w:tc>
          <w:tcPr>
            <w:tcW w:w="1047" w:type="pct"/>
            <w:vAlign w:val="center"/>
          </w:tcPr>
          <w:p w14:paraId="3BD8A501" w14:textId="77777777" w:rsidR="00AA74A1" w:rsidRPr="00211C8B" w:rsidRDefault="00AA74A1" w:rsidP="009569D5">
            <w:pPr>
              <w:pStyle w:val="TableText0"/>
              <w:keepNext w:val="0"/>
            </w:pPr>
            <w:r w:rsidRPr="00211C8B">
              <w:t xml:space="preserve">Total PBS cost of </w:t>
            </w:r>
            <w:r w:rsidR="00907340" w:rsidRPr="00211C8B">
              <w:t>Gonal-f</w:t>
            </w:r>
            <w:r w:rsidRPr="00211C8B">
              <w:t xml:space="preserve"> and Bemfola (net co-payment)</w:t>
            </w:r>
          </w:p>
        </w:tc>
        <w:tc>
          <w:tcPr>
            <w:tcW w:w="726" w:type="pct"/>
            <w:vAlign w:val="center"/>
          </w:tcPr>
          <w:p w14:paraId="013EEF55" w14:textId="77777777" w:rsidR="00AA74A1" w:rsidRPr="00E70F00" w:rsidRDefault="00E70F00" w:rsidP="000336F3">
            <w:pPr>
              <w:pStyle w:val="TableText0"/>
              <w:keepNext w:val="0"/>
              <w:jc w:val="center"/>
            </w:pPr>
            <w:r>
              <w:rPr>
                <w:noProof/>
                <w:color w:val="000000"/>
                <w:highlight w:val="black"/>
              </w:rPr>
              <w:t>'''''''''''''''''''''''''''''</w:t>
            </w:r>
            <w:r w:rsidR="00FC7FDF">
              <w:rPr>
                <w:iCs/>
                <w:vertAlign w:val="superscript"/>
              </w:rPr>
              <w:t>9</w:t>
            </w:r>
          </w:p>
        </w:tc>
        <w:tc>
          <w:tcPr>
            <w:tcW w:w="646" w:type="pct"/>
            <w:vAlign w:val="center"/>
          </w:tcPr>
          <w:p w14:paraId="66704CCB" w14:textId="77777777" w:rsidR="00AA74A1" w:rsidRPr="00E70F00" w:rsidRDefault="00E70F00" w:rsidP="000336F3">
            <w:pPr>
              <w:pStyle w:val="TableText0"/>
              <w:keepNext w:val="0"/>
              <w:jc w:val="center"/>
            </w:pPr>
            <w:r>
              <w:rPr>
                <w:noProof/>
                <w:color w:val="000000"/>
                <w:highlight w:val="black"/>
              </w:rPr>
              <w:t>''''''''''''''''''''''''''''</w:t>
            </w:r>
            <w:r w:rsidR="00FC7FDF">
              <w:rPr>
                <w:iCs/>
                <w:vertAlign w:val="superscript"/>
              </w:rPr>
              <w:t>9</w:t>
            </w:r>
          </w:p>
        </w:tc>
        <w:tc>
          <w:tcPr>
            <w:tcW w:w="645" w:type="pct"/>
            <w:vAlign w:val="center"/>
          </w:tcPr>
          <w:p w14:paraId="7D3EFB6F" w14:textId="77777777" w:rsidR="00AA74A1" w:rsidRPr="00E70F00" w:rsidRDefault="00E70F00" w:rsidP="000336F3">
            <w:pPr>
              <w:pStyle w:val="TableText0"/>
              <w:keepNext w:val="0"/>
              <w:jc w:val="center"/>
            </w:pPr>
            <w:r>
              <w:rPr>
                <w:noProof/>
                <w:color w:val="000000"/>
                <w:highlight w:val="black"/>
              </w:rPr>
              <w:t>'''''''''''''''''''''''''''</w:t>
            </w:r>
            <w:r w:rsidR="00FC7FDF">
              <w:rPr>
                <w:iCs/>
                <w:vertAlign w:val="superscript"/>
              </w:rPr>
              <w:t>9</w:t>
            </w:r>
          </w:p>
        </w:tc>
        <w:tc>
          <w:tcPr>
            <w:tcW w:w="645" w:type="pct"/>
            <w:vAlign w:val="center"/>
          </w:tcPr>
          <w:p w14:paraId="7440C802" w14:textId="77777777" w:rsidR="00AA74A1" w:rsidRPr="00E70F00" w:rsidRDefault="00E70F00" w:rsidP="000336F3">
            <w:pPr>
              <w:pStyle w:val="TableText0"/>
              <w:keepNext w:val="0"/>
              <w:jc w:val="center"/>
            </w:pPr>
            <w:r>
              <w:rPr>
                <w:noProof/>
                <w:color w:val="000000"/>
                <w:highlight w:val="black"/>
              </w:rPr>
              <w:t>'''''''''''''''''''''''''''</w:t>
            </w:r>
            <w:r w:rsidR="00FC7FDF">
              <w:rPr>
                <w:iCs/>
                <w:vertAlign w:val="superscript"/>
              </w:rPr>
              <w:t>9</w:t>
            </w:r>
          </w:p>
        </w:tc>
        <w:tc>
          <w:tcPr>
            <w:tcW w:w="644" w:type="pct"/>
            <w:vAlign w:val="center"/>
          </w:tcPr>
          <w:p w14:paraId="7445EA23" w14:textId="77777777" w:rsidR="00AA74A1" w:rsidRPr="00E70F00" w:rsidRDefault="00E70F00" w:rsidP="000336F3">
            <w:pPr>
              <w:pStyle w:val="TableText0"/>
              <w:keepNext w:val="0"/>
              <w:jc w:val="center"/>
            </w:pPr>
            <w:r>
              <w:rPr>
                <w:noProof/>
                <w:color w:val="000000"/>
                <w:highlight w:val="black"/>
              </w:rPr>
              <w:t>''''''''''''''''''''''''''''</w:t>
            </w:r>
            <w:r w:rsidR="00FC7FDF">
              <w:rPr>
                <w:iCs/>
                <w:vertAlign w:val="superscript"/>
              </w:rPr>
              <w:t>9</w:t>
            </w:r>
          </w:p>
        </w:tc>
        <w:tc>
          <w:tcPr>
            <w:tcW w:w="647" w:type="pct"/>
            <w:vAlign w:val="center"/>
          </w:tcPr>
          <w:p w14:paraId="393432D5" w14:textId="77777777" w:rsidR="00AA74A1" w:rsidRPr="00E70F00" w:rsidRDefault="00E70F00" w:rsidP="000336F3">
            <w:pPr>
              <w:pStyle w:val="TableText0"/>
              <w:keepNext w:val="0"/>
              <w:jc w:val="center"/>
            </w:pPr>
            <w:r>
              <w:rPr>
                <w:noProof/>
                <w:color w:val="000000"/>
                <w:highlight w:val="black"/>
              </w:rPr>
              <w:t>''''''''''''''''''''''''''''''</w:t>
            </w:r>
            <w:r w:rsidR="00FC7FDF">
              <w:rPr>
                <w:iCs/>
                <w:vertAlign w:val="superscript"/>
              </w:rPr>
              <w:t>10</w:t>
            </w:r>
          </w:p>
        </w:tc>
      </w:tr>
      <w:tr w:rsidR="005D1F5A" w:rsidRPr="00211C8B" w14:paraId="33794BD8" w14:textId="77777777" w:rsidTr="006E0426">
        <w:trPr>
          <w:cantSplit/>
        </w:trPr>
        <w:tc>
          <w:tcPr>
            <w:tcW w:w="1047" w:type="pct"/>
            <w:vAlign w:val="center"/>
          </w:tcPr>
          <w:p w14:paraId="5E6B20CF" w14:textId="77777777" w:rsidR="00AA74A1" w:rsidRPr="00211C8B" w:rsidRDefault="00AA74A1" w:rsidP="009569D5">
            <w:pPr>
              <w:pStyle w:val="TableText0"/>
              <w:keepNext w:val="0"/>
            </w:pPr>
            <w:r w:rsidRPr="00211C8B">
              <w:t xml:space="preserve">Avoided IVF cycles </w:t>
            </w:r>
          </w:p>
        </w:tc>
        <w:tc>
          <w:tcPr>
            <w:tcW w:w="726" w:type="pct"/>
          </w:tcPr>
          <w:p w14:paraId="4ED69BF6" w14:textId="77777777" w:rsidR="00AA74A1" w:rsidRPr="00E70F00" w:rsidRDefault="00E70F00" w:rsidP="000336F3">
            <w:pPr>
              <w:pStyle w:val="TableText0"/>
              <w:keepNext w:val="0"/>
              <w:jc w:val="center"/>
            </w:pPr>
            <w:r>
              <w:rPr>
                <w:noProof/>
                <w:color w:val="000000"/>
                <w:highlight w:val="black"/>
              </w:rPr>
              <w:t>''''''''''''</w:t>
            </w:r>
            <w:r w:rsidR="00FC7FDF">
              <w:rPr>
                <w:iCs/>
                <w:vertAlign w:val="superscript"/>
              </w:rPr>
              <w:t>11</w:t>
            </w:r>
          </w:p>
        </w:tc>
        <w:tc>
          <w:tcPr>
            <w:tcW w:w="646" w:type="pct"/>
          </w:tcPr>
          <w:p w14:paraId="1A2A0263" w14:textId="77777777" w:rsidR="00AA74A1" w:rsidRPr="00E70F00" w:rsidRDefault="00E70F00" w:rsidP="000336F3">
            <w:pPr>
              <w:pStyle w:val="TableText0"/>
              <w:keepNext w:val="0"/>
              <w:jc w:val="center"/>
            </w:pPr>
            <w:r>
              <w:rPr>
                <w:noProof/>
                <w:color w:val="000000"/>
                <w:highlight w:val="black"/>
              </w:rPr>
              <w:t>''''''''''''''</w:t>
            </w:r>
            <w:r w:rsidR="00FC7FDF">
              <w:rPr>
                <w:iCs/>
                <w:vertAlign w:val="superscript"/>
              </w:rPr>
              <w:t>11</w:t>
            </w:r>
          </w:p>
        </w:tc>
        <w:tc>
          <w:tcPr>
            <w:tcW w:w="645" w:type="pct"/>
          </w:tcPr>
          <w:p w14:paraId="58AA5785" w14:textId="77777777" w:rsidR="00AA74A1" w:rsidRPr="00E70F00" w:rsidRDefault="00E70F00" w:rsidP="000336F3">
            <w:pPr>
              <w:pStyle w:val="TableText0"/>
              <w:keepNext w:val="0"/>
              <w:jc w:val="center"/>
            </w:pPr>
            <w:r>
              <w:rPr>
                <w:noProof/>
                <w:color w:val="000000"/>
                <w:highlight w:val="black"/>
              </w:rPr>
              <w:t>'''''''''''''</w:t>
            </w:r>
            <w:r w:rsidR="00FC7FDF">
              <w:rPr>
                <w:iCs/>
                <w:vertAlign w:val="superscript"/>
              </w:rPr>
              <w:t>11</w:t>
            </w:r>
          </w:p>
        </w:tc>
        <w:tc>
          <w:tcPr>
            <w:tcW w:w="645" w:type="pct"/>
          </w:tcPr>
          <w:p w14:paraId="19EC7511" w14:textId="77777777" w:rsidR="00AA74A1" w:rsidRPr="00E70F00" w:rsidRDefault="00E70F00" w:rsidP="000336F3">
            <w:pPr>
              <w:pStyle w:val="TableText0"/>
              <w:keepNext w:val="0"/>
              <w:jc w:val="center"/>
            </w:pPr>
            <w:r>
              <w:rPr>
                <w:noProof/>
                <w:color w:val="000000"/>
                <w:highlight w:val="black"/>
              </w:rPr>
              <w:t>'''''''''''''</w:t>
            </w:r>
            <w:r w:rsidR="00FC7FDF">
              <w:rPr>
                <w:iCs/>
                <w:vertAlign w:val="superscript"/>
              </w:rPr>
              <w:t>11</w:t>
            </w:r>
          </w:p>
        </w:tc>
        <w:tc>
          <w:tcPr>
            <w:tcW w:w="644" w:type="pct"/>
          </w:tcPr>
          <w:p w14:paraId="1F53C84C" w14:textId="77777777" w:rsidR="00AA74A1" w:rsidRPr="00E70F00" w:rsidRDefault="00E70F00" w:rsidP="000336F3">
            <w:pPr>
              <w:pStyle w:val="TableText0"/>
              <w:keepNext w:val="0"/>
              <w:jc w:val="center"/>
            </w:pPr>
            <w:r>
              <w:rPr>
                <w:noProof/>
                <w:color w:val="000000"/>
                <w:highlight w:val="black"/>
              </w:rPr>
              <w:t>''''''''''''''</w:t>
            </w:r>
            <w:r w:rsidR="00FC7FDF">
              <w:rPr>
                <w:iCs/>
                <w:vertAlign w:val="superscript"/>
              </w:rPr>
              <w:t>11</w:t>
            </w:r>
          </w:p>
        </w:tc>
        <w:tc>
          <w:tcPr>
            <w:tcW w:w="647" w:type="pct"/>
          </w:tcPr>
          <w:p w14:paraId="6C37CB25" w14:textId="77777777" w:rsidR="00AA74A1" w:rsidRPr="00E70F00" w:rsidRDefault="00E70F00" w:rsidP="000336F3">
            <w:pPr>
              <w:pStyle w:val="TableText0"/>
              <w:keepNext w:val="0"/>
              <w:jc w:val="center"/>
            </w:pPr>
            <w:r>
              <w:rPr>
                <w:noProof/>
                <w:color w:val="000000"/>
                <w:highlight w:val="black"/>
              </w:rPr>
              <w:t>'''''''''''''</w:t>
            </w:r>
            <w:r w:rsidR="00FC7FDF">
              <w:rPr>
                <w:iCs/>
                <w:vertAlign w:val="superscript"/>
              </w:rPr>
              <w:t>11</w:t>
            </w:r>
          </w:p>
        </w:tc>
      </w:tr>
      <w:tr w:rsidR="005D1F5A" w:rsidRPr="00211C8B" w14:paraId="51CF61EC" w14:textId="77777777" w:rsidTr="006E0426">
        <w:trPr>
          <w:cantSplit/>
        </w:trPr>
        <w:tc>
          <w:tcPr>
            <w:tcW w:w="1047" w:type="pct"/>
            <w:vAlign w:val="center"/>
          </w:tcPr>
          <w:p w14:paraId="4F5F6B9E" w14:textId="77777777" w:rsidR="00AA74A1" w:rsidRPr="00211C8B" w:rsidRDefault="00AA74A1" w:rsidP="009569D5">
            <w:pPr>
              <w:pStyle w:val="TableText0"/>
              <w:keepNext w:val="0"/>
            </w:pPr>
            <w:r w:rsidRPr="00211C8B">
              <w:t xml:space="preserve">Implied MBS savings due to avoid IVF cycles (with 85%) </w:t>
            </w:r>
          </w:p>
        </w:tc>
        <w:tc>
          <w:tcPr>
            <w:tcW w:w="726" w:type="pct"/>
          </w:tcPr>
          <w:p w14:paraId="1AB0778C" w14:textId="77777777" w:rsidR="00AA74A1" w:rsidRPr="00E70F00" w:rsidRDefault="00E70F00" w:rsidP="000336F3">
            <w:pPr>
              <w:pStyle w:val="TableText0"/>
              <w:keepNext w:val="0"/>
              <w:jc w:val="center"/>
            </w:pPr>
            <w:r>
              <w:rPr>
                <w:noProof/>
                <w:color w:val="000000"/>
                <w:highlight w:val="black"/>
              </w:rPr>
              <w:t>'''''''''''''''''''''''''''</w:t>
            </w:r>
            <w:r w:rsidR="00C8575D">
              <w:rPr>
                <w:iCs/>
                <w:vertAlign w:val="superscript"/>
              </w:rPr>
              <w:t>8</w:t>
            </w:r>
          </w:p>
        </w:tc>
        <w:tc>
          <w:tcPr>
            <w:tcW w:w="646" w:type="pct"/>
          </w:tcPr>
          <w:p w14:paraId="7EE705F4" w14:textId="77777777" w:rsidR="00AA74A1" w:rsidRPr="00E70F00" w:rsidRDefault="00E70F00" w:rsidP="000336F3">
            <w:pPr>
              <w:pStyle w:val="TableText0"/>
              <w:keepNext w:val="0"/>
              <w:jc w:val="center"/>
            </w:pPr>
            <w:r>
              <w:rPr>
                <w:noProof/>
                <w:color w:val="000000"/>
                <w:highlight w:val="black"/>
              </w:rPr>
              <w:t>'''''''''''''''''''''''''''</w:t>
            </w:r>
            <w:r w:rsidR="00C8575D">
              <w:rPr>
                <w:iCs/>
                <w:vertAlign w:val="superscript"/>
              </w:rPr>
              <w:t>8</w:t>
            </w:r>
          </w:p>
        </w:tc>
        <w:tc>
          <w:tcPr>
            <w:tcW w:w="645" w:type="pct"/>
          </w:tcPr>
          <w:p w14:paraId="7FDC6882" w14:textId="77777777" w:rsidR="00AA74A1" w:rsidRPr="00E70F00" w:rsidRDefault="00E70F00" w:rsidP="000336F3">
            <w:pPr>
              <w:pStyle w:val="TableText0"/>
              <w:keepNext w:val="0"/>
              <w:jc w:val="center"/>
            </w:pPr>
            <w:r>
              <w:rPr>
                <w:noProof/>
                <w:color w:val="000000"/>
                <w:highlight w:val="black"/>
              </w:rPr>
              <w:t>''''''''''''''''''''''''''</w:t>
            </w:r>
            <w:r w:rsidR="00C8575D">
              <w:rPr>
                <w:iCs/>
                <w:vertAlign w:val="superscript"/>
              </w:rPr>
              <w:t>8</w:t>
            </w:r>
          </w:p>
        </w:tc>
        <w:tc>
          <w:tcPr>
            <w:tcW w:w="645" w:type="pct"/>
          </w:tcPr>
          <w:p w14:paraId="45A241A1" w14:textId="77777777" w:rsidR="00AA74A1" w:rsidRPr="00E70F00" w:rsidRDefault="00E70F00" w:rsidP="000336F3">
            <w:pPr>
              <w:pStyle w:val="TableText0"/>
              <w:keepNext w:val="0"/>
              <w:jc w:val="center"/>
            </w:pPr>
            <w:r>
              <w:rPr>
                <w:noProof/>
                <w:color w:val="000000"/>
                <w:highlight w:val="black"/>
              </w:rPr>
              <w:t>''''''''''''''''''''''''''''</w:t>
            </w:r>
            <w:r w:rsidR="00C8575D">
              <w:rPr>
                <w:iCs/>
                <w:vertAlign w:val="superscript"/>
              </w:rPr>
              <w:t>8</w:t>
            </w:r>
          </w:p>
        </w:tc>
        <w:tc>
          <w:tcPr>
            <w:tcW w:w="644" w:type="pct"/>
          </w:tcPr>
          <w:p w14:paraId="7CBCA7CF" w14:textId="77777777" w:rsidR="00AA74A1" w:rsidRPr="00E70F00" w:rsidRDefault="00E70F00" w:rsidP="000336F3">
            <w:pPr>
              <w:pStyle w:val="TableText0"/>
              <w:keepNext w:val="0"/>
              <w:jc w:val="center"/>
            </w:pPr>
            <w:r>
              <w:rPr>
                <w:noProof/>
                <w:color w:val="000000"/>
                <w:highlight w:val="black"/>
              </w:rPr>
              <w:t>'''''''''''''''''''''''''</w:t>
            </w:r>
            <w:r w:rsidR="00C8575D">
              <w:rPr>
                <w:iCs/>
                <w:vertAlign w:val="superscript"/>
              </w:rPr>
              <w:t>8</w:t>
            </w:r>
          </w:p>
        </w:tc>
        <w:tc>
          <w:tcPr>
            <w:tcW w:w="647" w:type="pct"/>
          </w:tcPr>
          <w:p w14:paraId="6C7EA6BC" w14:textId="77777777" w:rsidR="00AA74A1" w:rsidRPr="00E70F00" w:rsidRDefault="00E70F00" w:rsidP="000336F3">
            <w:pPr>
              <w:pStyle w:val="TableText0"/>
              <w:keepNext w:val="0"/>
              <w:jc w:val="center"/>
            </w:pPr>
            <w:r>
              <w:rPr>
                <w:noProof/>
                <w:color w:val="000000"/>
                <w:highlight w:val="black"/>
              </w:rPr>
              <w:t>'''''''''''''''''''''''''</w:t>
            </w:r>
            <w:r w:rsidR="00C8575D">
              <w:rPr>
                <w:iCs/>
                <w:vertAlign w:val="superscript"/>
              </w:rPr>
              <w:t>8</w:t>
            </w:r>
          </w:p>
        </w:tc>
      </w:tr>
      <w:tr w:rsidR="00AA74A1" w:rsidRPr="00211C8B" w14:paraId="5A776F1B" w14:textId="77777777" w:rsidTr="006E0426">
        <w:trPr>
          <w:cantSplit/>
        </w:trPr>
        <w:tc>
          <w:tcPr>
            <w:tcW w:w="5000" w:type="pct"/>
            <w:gridSpan w:val="7"/>
            <w:vAlign w:val="center"/>
          </w:tcPr>
          <w:p w14:paraId="1BEC7CAB" w14:textId="77777777" w:rsidR="00AA74A1" w:rsidRPr="00211C8B" w:rsidRDefault="00AA74A1" w:rsidP="009569D5">
            <w:pPr>
              <w:pStyle w:val="TableText0"/>
              <w:keepNext w:val="0"/>
            </w:pPr>
            <w:r w:rsidRPr="00211C8B">
              <w:rPr>
                <w:b/>
                <w:bCs w:val="0"/>
              </w:rPr>
              <w:t>Net financial implications</w:t>
            </w:r>
          </w:p>
        </w:tc>
      </w:tr>
      <w:tr w:rsidR="005D1F5A" w:rsidRPr="00211C8B" w14:paraId="7A495D42" w14:textId="77777777" w:rsidTr="006E0426">
        <w:trPr>
          <w:cantSplit/>
        </w:trPr>
        <w:tc>
          <w:tcPr>
            <w:tcW w:w="1047" w:type="pct"/>
            <w:vAlign w:val="center"/>
          </w:tcPr>
          <w:p w14:paraId="32EE477C" w14:textId="77777777" w:rsidR="00AA74A1" w:rsidRPr="00211C8B" w:rsidRDefault="00AA74A1" w:rsidP="009569D5">
            <w:pPr>
              <w:pStyle w:val="TableText0"/>
              <w:keepNext w:val="0"/>
            </w:pPr>
            <w:r w:rsidRPr="00211C8B">
              <w:t xml:space="preserve">Overall net cost to the PBS, taking into account </w:t>
            </w:r>
            <w:r w:rsidR="00907340" w:rsidRPr="00211C8B">
              <w:t>Gonal-f</w:t>
            </w:r>
            <w:r w:rsidRPr="00211C8B">
              <w:t xml:space="preserve"> replacement of biosimilars</w:t>
            </w:r>
          </w:p>
        </w:tc>
        <w:tc>
          <w:tcPr>
            <w:tcW w:w="726" w:type="pct"/>
            <w:vAlign w:val="center"/>
          </w:tcPr>
          <w:p w14:paraId="7A39305E" w14:textId="77777777" w:rsidR="00AA74A1" w:rsidRPr="00E70F00" w:rsidRDefault="00E70F00" w:rsidP="000336F3">
            <w:pPr>
              <w:pStyle w:val="TableText0"/>
              <w:keepNext w:val="0"/>
              <w:jc w:val="center"/>
            </w:pPr>
            <w:r>
              <w:rPr>
                <w:noProof/>
                <w:color w:val="000000"/>
                <w:highlight w:val="black"/>
              </w:rPr>
              <w:t>''''''''''''''''''''''''''''''''</w:t>
            </w:r>
            <w:r w:rsidR="00FC7FDF">
              <w:rPr>
                <w:iCs/>
                <w:vertAlign w:val="superscript"/>
              </w:rPr>
              <w:t>4</w:t>
            </w:r>
          </w:p>
        </w:tc>
        <w:tc>
          <w:tcPr>
            <w:tcW w:w="646" w:type="pct"/>
            <w:vAlign w:val="center"/>
          </w:tcPr>
          <w:p w14:paraId="7F017B8F" w14:textId="77777777" w:rsidR="00AA74A1" w:rsidRPr="00E70F00" w:rsidRDefault="00E70F00" w:rsidP="000336F3">
            <w:pPr>
              <w:pStyle w:val="TableText0"/>
              <w:keepNext w:val="0"/>
              <w:jc w:val="center"/>
            </w:pPr>
            <w:r>
              <w:rPr>
                <w:noProof/>
                <w:color w:val="000000"/>
                <w:highlight w:val="black"/>
              </w:rPr>
              <w:t>'''''''''''''''''''''''''''</w:t>
            </w:r>
            <w:r w:rsidR="00FC7FDF">
              <w:rPr>
                <w:iCs/>
                <w:vertAlign w:val="superscript"/>
              </w:rPr>
              <w:t>4</w:t>
            </w:r>
          </w:p>
        </w:tc>
        <w:tc>
          <w:tcPr>
            <w:tcW w:w="645" w:type="pct"/>
            <w:vAlign w:val="center"/>
          </w:tcPr>
          <w:p w14:paraId="76EE0F10" w14:textId="77777777" w:rsidR="00AA74A1" w:rsidRPr="00E70F00" w:rsidRDefault="00E70F00" w:rsidP="000336F3">
            <w:pPr>
              <w:pStyle w:val="TableText0"/>
              <w:keepNext w:val="0"/>
              <w:jc w:val="center"/>
            </w:pPr>
            <w:r>
              <w:rPr>
                <w:noProof/>
                <w:color w:val="000000"/>
                <w:highlight w:val="black"/>
              </w:rPr>
              <w:t>'''''''''''''''''''''''''''</w:t>
            </w:r>
            <w:r w:rsidR="00FC7FDF">
              <w:rPr>
                <w:iCs/>
                <w:vertAlign w:val="superscript"/>
              </w:rPr>
              <w:t>4</w:t>
            </w:r>
          </w:p>
        </w:tc>
        <w:tc>
          <w:tcPr>
            <w:tcW w:w="645" w:type="pct"/>
            <w:vAlign w:val="center"/>
          </w:tcPr>
          <w:p w14:paraId="25C4CB3B" w14:textId="77777777" w:rsidR="00AA74A1" w:rsidRPr="00E70F00" w:rsidRDefault="00E70F00" w:rsidP="000336F3">
            <w:pPr>
              <w:pStyle w:val="TableText0"/>
              <w:keepNext w:val="0"/>
              <w:jc w:val="center"/>
            </w:pPr>
            <w:r>
              <w:rPr>
                <w:noProof/>
                <w:color w:val="000000"/>
                <w:highlight w:val="black"/>
              </w:rPr>
              <w:t>''''''''''''''''''''''''''''''</w:t>
            </w:r>
            <w:r w:rsidR="00FC7FDF">
              <w:rPr>
                <w:iCs/>
                <w:vertAlign w:val="superscript"/>
              </w:rPr>
              <w:t>4</w:t>
            </w:r>
          </w:p>
        </w:tc>
        <w:tc>
          <w:tcPr>
            <w:tcW w:w="644" w:type="pct"/>
            <w:vAlign w:val="center"/>
          </w:tcPr>
          <w:p w14:paraId="09B55800" w14:textId="77777777" w:rsidR="00AA74A1" w:rsidRPr="00E70F00" w:rsidRDefault="00E70F00" w:rsidP="000336F3">
            <w:pPr>
              <w:pStyle w:val="TableText0"/>
              <w:keepNext w:val="0"/>
              <w:jc w:val="center"/>
            </w:pPr>
            <w:r>
              <w:rPr>
                <w:noProof/>
                <w:color w:val="000000"/>
                <w:highlight w:val="black"/>
              </w:rPr>
              <w:t>''''''''''''''''''''''''''''''''</w:t>
            </w:r>
            <w:r w:rsidR="00FC7FDF">
              <w:rPr>
                <w:iCs/>
                <w:vertAlign w:val="superscript"/>
              </w:rPr>
              <w:t>4</w:t>
            </w:r>
          </w:p>
        </w:tc>
        <w:tc>
          <w:tcPr>
            <w:tcW w:w="647" w:type="pct"/>
            <w:vAlign w:val="center"/>
          </w:tcPr>
          <w:p w14:paraId="0CFDA902" w14:textId="77777777" w:rsidR="00AA74A1" w:rsidRPr="00E70F00" w:rsidRDefault="00E70F00" w:rsidP="000336F3">
            <w:pPr>
              <w:pStyle w:val="TableText0"/>
              <w:keepNext w:val="0"/>
              <w:jc w:val="center"/>
            </w:pPr>
            <w:r>
              <w:rPr>
                <w:noProof/>
                <w:color w:val="000000"/>
                <w:highlight w:val="black"/>
              </w:rPr>
              <w:t>'''''''''''''''''''''''''''''''</w:t>
            </w:r>
            <w:r w:rsidR="00FC7FDF">
              <w:rPr>
                <w:iCs/>
                <w:vertAlign w:val="superscript"/>
              </w:rPr>
              <w:t>4</w:t>
            </w:r>
          </w:p>
        </w:tc>
      </w:tr>
      <w:tr w:rsidR="005D1F5A" w:rsidRPr="00211C8B" w14:paraId="709A6676" w14:textId="77777777" w:rsidTr="006E0426">
        <w:trPr>
          <w:cantSplit/>
        </w:trPr>
        <w:tc>
          <w:tcPr>
            <w:tcW w:w="1047" w:type="pct"/>
            <w:vAlign w:val="center"/>
          </w:tcPr>
          <w:p w14:paraId="6B8B9B45" w14:textId="77777777" w:rsidR="00AA74A1" w:rsidRPr="00211C8B" w:rsidRDefault="00AA74A1" w:rsidP="009569D5">
            <w:pPr>
              <w:pStyle w:val="TableText0"/>
              <w:keepNext w:val="0"/>
            </w:pPr>
            <w:r w:rsidRPr="00211C8B">
              <w:t xml:space="preserve">Overall net cost to the PBS and MBS </w:t>
            </w:r>
          </w:p>
        </w:tc>
        <w:tc>
          <w:tcPr>
            <w:tcW w:w="726" w:type="pct"/>
          </w:tcPr>
          <w:p w14:paraId="65D08E4A" w14:textId="77777777" w:rsidR="00AA74A1" w:rsidRPr="00E70F00" w:rsidRDefault="00E70F00" w:rsidP="000336F3">
            <w:pPr>
              <w:pStyle w:val="TableText0"/>
              <w:keepNext w:val="0"/>
              <w:jc w:val="center"/>
            </w:pPr>
            <w:r>
              <w:rPr>
                <w:noProof/>
                <w:color w:val="000000"/>
                <w:highlight w:val="black"/>
              </w:rPr>
              <w:t>''''''''''''''''''''''''''</w:t>
            </w:r>
            <w:r w:rsidR="00FC7FDF">
              <w:rPr>
                <w:iCs/>
                <w:vertAlign w:val="superscript"/>
              </w:rPr>
              <w:t>8</w:t>
            </w:r>
          </w:p>
        </w:tc>
        <w:tc>
          <w:tcPr>
            <w:tcW w:w="646" w:type="pct"/>
          </w:tcPr>
          <w:p w14:paraId="0CEFA033" w14:textId="77777777" w:rsidR="00AA74A1" w:rsidRPr="00E70F00" w:rsidRDefault="00E70F00" w:rsidP="000336F3">
            <w:pPr>
              <w:pStyle w:val="TableText0"/>
              <w:keepNext w:val="0"/>
              <w:jc w:val="center"/>
            </w:pPr>
            <w:r>
              <w:rPr>
                <w:noProof/>
                <w:color w:val="000000"/>
                <w:highlight w:val="black"/>
              </w:rPr>
              <w:t>''''''''''''''''''''''''''''</w:t>
            </w:r>
            <w:r w:rsidR="00FC7FDF">
              <w:rPr>
                <w:iCs/>
                <w:vertAlign w:val="superscript"/>
              </w:rPr>
              <w:t>8</w:t>
            </w:r>
          </w:p>
        </w:tc>
        <w:tc>
          <w:tcPr>
            <w:tcW w:w="645" w:type="pct"/>
          </w:tcPr>
          <w:p w14:paraId="5FE18CE8" w14:textId="77777777" w:rsidR="00AA74A1" w:rsidRPr="00E70F00" w:rsidRDefault="00E70F00" w:rsidP="000336F3">
            <w:pPr>
              <w:pStyle w:val="TableText0"/>
              <w:keepNext w:val="0"/>
              <w:jc w:val="center"/>
            </w:pPr>
            <w:r>
              <w:rPr>
                <w:noProof/>
                <w:color w:val="000000"/>
                <w:highlight w:val="black"/>
              </w:rPr>
              <w:t>'''''''''''''''''''''''''</w:t>
            </w:r>
            <w:r w:rsidR="00FC7FDF">
              <w:rPr>
                <w:iCs/>
                <w:vertAlign w:val="superscript"/>
              </w:rPr>
              <w:t>8</w:t>
            </w:r>
          </w:p>
        </w:tc>
        <w:tc>
          <w:tcPr>
            <w:tcW w:w="645" w:type="pct"/>
          </w:tcPr>
          <w:p w14:paraId="6AE78BF3" w14:textId="77777777" w:rsidR="00AA74A1" w:rsidRPr="00E70F00" w:rsidRDefault="00E70F00" w:rsidP="000336F3">
            <w:pPr>
              <w:pStyle w:val="TableText0"/>
              <w:keepNext w:val="0"/>
              <w:jc w:val="center"/>
            </w:pPr>
            <w:r>
              <w:rPr>
                <w:noProof/>
                <w:color w:val="000000"/>
                <w:highlight w:val="black"/>
              </w:rPr>
              <w:t>'''''''''''''''''''''''''</w:t>
            </w:r>
            <w:r w:rsidR="00FC7FDF">
              <w:rPr>
                <w:iCs/>
                <w:vertAlign w:val="superscript"/>
              </w:rPr>
              <w:t>8</w:t>
            </w:r>
          </w:p>
        </w:tc>
        <w:tc>
          <w:tcPr>
            <w:tcW w:w="644" w:type="pct"/>
          </w:tcPr>
          <w:p w14:paraId="4FF0EA27" w14:textId="77777777" w:rsidR="00AA74A1" w:rsidRPr="00E70F00" w:rsidRDefault="00E70F00" w:rsidP="000336F3">
            <w:pPr>
              <w:pStyle w:val="TableText0"/>
              <w:keepNext w:val="0"/>
              <w:jc w:val="center"/>
            </w:pPr>
            <w:r>
              <w:rPr>
                <w:noProof/>
                <w:color w:val="000000"/>
                <w:highlight w:val="black"/>
              </w:rPr>
              <w:t>'''''''''''''''''''''''''</w:t>
            </w:r>
            <w:r w:rsidR="00FC7FDF">
              <w:rPr>
                <w:iCs/>
                <w:vertAlign w:val="superscript"/>
              </w:rPr>
              <w:t>8</w:t>
            </w:r>
          </w:p>
        </w:tc>
        <w:tc>
          <w:tcPr>
            <w:tcW w:w="647" w:type="pct"/>
          </w:tcPr>
          <w:p w14:paraId="6853C430" w14:textId="77777777" w:rsidR="00AA74A1" w:rsidRPr="00E70F00" w:rsidRDefault="00E70F00" w:rsidP="000336F3">
            <w:pPr>
              <w:pStyle w:val="TableText0"/>
              <w:keepNext w:val="0"/>
              <w:jc w:val="center"/>
            </w:pPr>
            <w:r>
              <w:rPr>
                <w:noProof/>
                <w:color w:val="000000"/>
                <w:highlight w:val="black"/>
              </w:rPr>
              <w:t>''''''''''''''''''''''''</w:t>
            </w:r>
            <w:r w:rsidR="00FC7FDF">
              <w:rPr>
                <w:iCs/>
                <w:vertAlign w:val="superscript"/>
              </w:rPr>
              <w:t>8</w:t>
            </w:r>
          </w:p>
        </w:tc>
      </w:tr>
    </w:tbl>
    <w:p w14:paraId="6E59B4D3" w14:textId="77777777" w:rsidR="00E4468A" w:rsidRDefault="00AA74A1" w:rsidP="00163B44">
      <w:pPr>
        <w:pStyle w:val="TableFigureFooter"/>
        <w:rPr>
          <w:iCs/>
        </w:rPr>
      </w:pPr>
      <w:r w:rsidRPr="00211C8B">
        <w:t xml:space="preserve">Source: Tables from the submission and the excel file, </w:t>
      </w:r>
      <w:r w:rsidRPr="00211C8B">
        <w:rPr>
          <w:iCs/>
        </w:rPr>
        <w:t>and calculation during the evaluation.</w:t>
      </w:r>
    </w:p>
    <w:p w14:paraId="027AFB84" w14:textId="77777777" w:rsidR="007274DB" w:rsidRPr="00587176" w:rsidRDefault="007274DB" w:rsidP="00163B44">
      <w:pPr>
        <w:pStyle w:val="TableFigureFooter"/>
        <w:rPr>
          <w:i/>
          <w:iCs/>
        </w:rPr>
      </w:pPr>
      <w:r w:rsidRPr="00587176">
        <w:rPr>
          <w:i/>
          <w:iCs/>
        </w:rPr>
        <w:t>The redacted values correspond to the following ranges:</w:t>
      </w:r>
    </w:p>
    <w:p w14:paraId="430FA9FB" w14:textId="77777777" w:rsidR="007274DB" w:rsidRPr="00587176" w:rsidRDefault="007274DB" w:rsidP="00163B44">
      <w:pPr>
        <w:pStyle w:val="TableFigureFooter"/>
        <w:rPr>
          <w:i/>
          <w:iCs/>
        </w:rPr>
      </w:pPr>
      <w:r w:rsidRPr="00587176">
        <w:rPr>
          <w:i/>
          <w:iCs/>
          <w:vertAlign w:val="superscript"/>
        </w:rPr>
        <w:t>1</w:t>
      </w:r>
      <w:r w:rsidRPr="00587176">
        <w:rPr>
          <w:i/>
          <w:iCs/>
        </w:rPr>
        <w:t xml:space="preserve"> 5,000 to 10,000</w:t>
      </w:r>
    </w:p>
    <w:p w14:paraId="4AF8D069" w14:textId="77777777" w:rsidR="007274DB" w:rsidRPr="00587176" w:rsidRDefault="007274DB" w:rsidP="00163B44">
      <w:pPr>
        <w:pStyle w:val="TableFigureFooter"/>
        <w:rPr>
          <w:i/>
          <w:iCs/>
        </w:rPr>
      </w:pPr>
      <w:r w:rsidRPr="00587176">
        <w:rPr>
          <w:i/>
          <w:iCs/>
          <w:vertAlign w:val="superscript"/>
        </w:rPr>
        <w:t>2</w:t>
      </w:r>
      <w:r w:rsidRPr="00587176">
        <w:rPr>
          <w:i/>
          <w:iCs/>
        </w:rPr>
        <w:t xml:space="preserve"> 20,000 to &lt; 30,000</w:t>
      </w:r>
    </w:p>
    <w:p w14:paraId="46602EE6" w14:textId="77777777" w:rsidR="007274DB" w:rsidRPr="00587176" w:rsidRDefault="007274DB" w:rsidP="00163B44">
      <w:pPr>
        <w:pStyle w:val="TableFigureFooter"/>
        <w:rPr>
          <w:i/>
          <w:iCs/>
        </w:rPr>
      </w:pPr>
      <w:r w:rsidRPr="00587176">
        <w:rPr>
          <w:i/>
          <w:iCs/>
          <w:vertAlign w:val="superscript"/>
        </w:rPr>
        <w:t>3</w:t>
      </w:r>
      <w:r w:rsidRPr="00587176">
        <w:rPr>
          <w:i/>
          <w:iCs/>
        </w:rPr>
        <w:t xml:space="preserve"> 30,000 to &lt; 40,000</w:t>
      </w:r>
    </w:p>
    <w:p w14:paraId="72F416D3" w14:textId="77777777" w:rsidR="00C8575D" w:rsidRPr="00587176" w:rsidRDefault="00C8575D" w:rsidP="00163B44">
      <w:pPr>
        <w:pStyle w:val="TableFigureFooter"/>
        <w:rPr>
          <w:i/>
          <w:iCs/>
        </w:rPr>
      </w:pPr>
      <w:r w:rsidRPr="00587176">
        <w:rPr>
          <w:i/>
          <w:iCs/>
          <w:vertAlign w:val="superscript"/>
        </w:rPr>
        <w:t>4</w:t>
      </w:r>
      <w:r w:rsidRPr="00587176">
        <w:rPr>
          <w:i/>
          <w:iCs/>
        </w:rPr>
        <w:t xml:space="preserve"> $10 million to &lt; $20 million</w:t>
      </w:r>
    </w:p>
    <w:p w14:paraId="191CA4BA" w14:textId="77777777" w:rsidR="00C8575D" w:rsidRPr="00587176" w:rsidRDefault="00C8575D" w:rsidP="00163B44">
      <w:pPr>
        <w:pStyle w:val="TableFigureFooter"/>
        <w:rPr>
          <w:i/>
          <w:iCs/>
        </w:rPr>
      </w:pPr>
      <w:r w:rsidRPr="00587176">
        <w:rPr>
          <w:i/>
          <w:iCs/>
          <w:vertAlign w:val="superscript"/>
        </w:rPr>
        <w:t>5</w:t>
      </w:r>
      <w:r w:rsidRPr="00587176">
        <w:rPr>
          <w:i/>
          <w:iCs/>
        </w:rPr>
        <w:t xml:space="preserve"> $40 million to &lt; $50 million</w:t>
      </w:r>
    </w:p>
    <w:p w14:paraId="7AE821A6" w14:textId="77777777" w:rsidR="00C8575D" w:rsidRPr="00587176" w:rsidRDefault="00C8575D" w:rsidP="00163B44">
      <w:pPr>
        <w:pStyle w:val="TableFigureFooter"/>
        <w:rPr>
          <w:i/>
          <w:iCs/>
        </w:rPr>
      </w:pPr>
      <w:r w:rsidRPr="00587176">
        <w:rPr>
          <w:i/>
          <w:iCs/>
          <w:vertAlign w:val="superscript"/>
        </w:rPr>
        <w:t>6</w:t>
      </w:r>
      <w:r w:rsidRPr="00587176">
        <w:rPr>
          <w:i/>
          <w:iCs/>
        </w:rPr>
        <w:t xml:space="preserve"> $50 million to &lt; $60 million</w:t>
      </w:r>
    </w:p>
    <w:p w14:paraId="365FD258" w14:textId="77777777" w:rsidR="00C8575D" w:rsidRPr="00587176" w:rsidRDefault="00C8575D" w:rsidP="00163B44">
      <w:pPr>
        <w:pStyle w:val="TableFigureFooter"/>
        <w:rPr>
          <w:i/>
          <w:iCs/>
        </w:rPr>
      </w:pPr>
      <w:r w:rsidRPr="00587176">
        <w:rPr>
          <w:i/>
          <w:iCs/>
          <w:vertAlign w:val="superscript"/>
        </w:rPr>
        <w:t>7</w:t>
      </w:r>
      <w:r w:rsidRPr="00587176">
        <w:rPr>
          <w:i/>
          <w:iCs/>
        </w:rPr>
        <w:t xml:space="preserve"> $60 million to &lt; $70 million</w:t>
      </w:r>
    </w:p>
    <w:p w14:paraId="15154952" w14:textId="77777777" w:rsidR="00C8575D" w:rsidRPr="00587176" w:rsidRDefault="00C8575D" w:rsidP="00163B44">
      <w:pPr>
        <w:pStyle w:val="TableFigureFooter"/>
        <w:rPr>
          <w:i/>
          <w:iCs/>
        </w:rPr>
      </w:pPr>
      <w:r w:rsidRPr="00587176">
        <w:rPr>
          <w:i/>
          <w:iCs/>
          <w:vertAlign w:val="superscript"/>
        </w:rPr>
        <w:t>8</w:t>
      </w:r>
      <w:r w:rsidRPr="00587176">
        <w:rPr>
          <w:i/>
          <w:iCs/>
        </w:rPr>
        <w:t xml:space="preserve"> $0 to &lt; $10 million</w:t>
      </w:r>
    </w:p>
    <w:p w14:paraId="6CAA8FF9" w14:textId="77777777" w:rsidR="00FC7FDF" w:rsidRPr="00587176" w:rsidRDefault="00FC7FDF" w:rsidP="00163B44">
      <w:pPr>
        <w:pStyle w:val="TableFigureFooter"/>
        <w:rPr>
          <w:i/>
          <w:iCs/>
        </w:rPr>
      </w:pPr>
      <w:r w:rsidRPr="00587176">
        <w:rPr>
          <w:i/>
          <w:iCs/>
          <w:vertAlign w:val="superscript"/>
        </w:rPr>
        <w:t>9</w:t>
      </w:r>
      <w:r w:rsidRPr="00587176">
        <w:rPr>
          <w:i/>
          <w:iCs/>
        </w:rPr>
        <w:t xml:space="preserve"> $70 million to &lt; $80 million</w:t>
      </w:r>
    </w:p>
    <w:p w14:paraId="666244B5" w14:textId="77777777" w:rsidR="00FC7FDF" w:rsidRPr="00587176" w:rsidRDefault="00FC7FDF" w:rsidP="00163B44">
      <w:pPr>
        <w:pStyle w:val="TableFigureFooter"/>
        <w:rPr>
          <w:i/>
          <w:iCs/>
        </w:rPr>
      </w:pPr>
      <w:r w:rsidRPr="00587176">
        <w:rPr>
          <w:i/>
          <w:iCs/>
          <w:vertAlign w:val="superscript"/>
        </w:rPr>
        <w:t>10</w:t>
      </w:r>
      <w:r w:rsidRPr="00587176">
        <w:rPr>
          <w:i/>
          <w:iCs/>
        </w:rPr>
        <w:t xml:space="preserve"> $80 million to &lt; $90 million</w:t>
      </w:r>
    </w:p>
    <w:p w14:paraId="62F2BA54" w14:textId="77777777" w:rsidR="00FC7FDF" w:rsidRPr="00587176" w:rsidRDefault="00FC7FDF" w:rsidP="00163B44">
      <w:pPr>
        <w:pStyle w:val="TableFigureFooter"/>
        <w:rPr>
          <w:i/>
          <w:iCs/>
        </w:rPr>
      </w:pPr>
      <w:r w:rsidRPr="00587176">
        <w:rPr>
          <w:i/>
          <w:iCs/>
          <w:vertAlign w:val="superscript"/>
        </w:rPr>
        <w:t>11</w:t>
      </w:r>
      <w:r w:rsidRPr="00587176">
        <w:rPr>
          <w:i/>
          <w:iCs/>
        </w:rPr>
        <w:t xml:space="preserve"> 500 to &lt; 5,000</w:t>
      </w:r>
    </w:p>
    <w:p w14:paraId="14E31BE8" w14:textId="77777777" w:rsidR="007274DB" w:rsidRPr="007274DB" w:rsidRDefault="007274DB" w:rsidP="00163B44">
      <w:pPr>
        <w:pStyle w:val="TableFigureFooter"/>
      </w:pPr>
    </w:p>
    <w:p w14:paraId="67B262A1" w14:textId="77777777" w:rsidR="00CB79D5" w:rsidRPr="00211C8B" w:rsidRDefault="00CB79D5" w:rsidP="00943FFD">
      <w:pPr>
        <w:pStyle w:val="3-BodyText"/>
      </w:pPr>
      <w:r w:rsidRPr="00211C8B">
        <w:t>Apart from errors in the calculation</w:t>
      </w:r>
      <w:r w:rsidR="00315119" w:rsidRPr="00211C8B">
        <w:t xml:space="preserve"> and inconsistencies between </w:t>
      </w:r>
      <w:r w:rsidR="000E28FC" w:rsidRPr="00211C8B">
        <w:t xml:space="preserve">the </w:t>
      </w:r>
      <w:r w:rsidR="00315119" w:rsidRPr="00211C8B">
        <w:t xml:space="preserve">estimates presented in the submission and the </w:t>
      </w:r>
      <w:r w:rsidR="0079620E" w:rsidRPr="00211C8B">
        <w:t>Section 4 Workbook</w:t>
      </w:r>
      <w:r w:rsidRPr="00211C8B">
        <w:t xml:space="preserve">, the main issues </w:t>
      </w:r>
      <w:r w:rsidR="00360359">
        <w:t xml:space="preserve">identified </w:t>
      </w:r>
      <w:r w:rsidRPr="00211C8B">
        <w:t>with the estimates are:</w:t>
      </w:r>
    </w:p>
    <w:p w14:paraId="417EA20A" w14:textId="77777777" w:rsidR="00CB79D5" w:rsidRPr="00211C8B" w:rsidRDefault="00CB79D5" w:rsidP="00286BF1">
      <w:pPr>
        <w:pStyle w:val="ListParagraph"/>
        <w:jc w:val="both"/>
      </w:pPr>
      <w:r w:rsidRPr="00211C8B">
        <w:t xml:space="preserve">The submission calculated the avoided cycles by </w:t>
      </w:r>
      <w:r w:rsidR="00907340" w:rsidRPr="00211C8B">
        <w:t>Gonal-f</w:t>
      </w:r>
      <w:r w:rsidRPr="00211C8B">
        <w:t xml:space="preserve"> to estimate the MBS impact, but did not incorporate th</w:t>
      </w:r>
      <w:r w:rsidR="00360359">
        <w:t>ese</w:t>
      </w:r>
      <w:r w:rsidRPr="00211C8B">
        <w:t xml:space="preserve"> savings into the calculation of total number of IVF cycles that would use </w:t>
      </w:r>
      <w:r w:rsidR="00907340" w:rsidRPr="00211C8B">
        <w:t>Gonal-f</w:t>
      </w:r>
      <w:r w:rsidRPr="00211C8B">
        <w:t xml:space="preserve"> scripts. This is a logical inconsistency.</w:t>
      </w:r>
    </w:p>
    <w:p w14:paraId="321B3486" w14:textId="77777777" w:rsidR="00CB79D5" w:rsidRPr="00211C8B" w:rsidRDefault="00FB6FAA" w:rsidP="00286BF1">
      <w:pPr>
        <w:pStyle w:val="ListParagraph"/>
        <w:jc w:val="both"/>
      </w:pPr>
      <w:r w:rsidRPr="00211C8B">
        <w:t xml:space="preserve">The </w:t>
      </w:r>
      <w:r w:rsidR="00CB79D5" w:rsidRPr="00211C8B">
        <w:t xml:space="preserve">predicted potential savings </w:t>
      </w:r>
      <w:r w:rsidRPr="00211C8B">
        <w:t xml:space="preserve">are </w:t>
      </w:r>
      <w:r w:rsidR="00CB79D5" w:rsidRPr="00211C8B">
        <w:t>not well supported, and unlikely in practice, because the</w:t>
      </w:r>
      <w:r w:rsidRPr="00211C8B">
        <w:t xml:space="preserve"> superior</w:t>
      </w:r>
      <w:r w:rsidR="00CB79D5" w:rsidRPr="00211C8B">
        <w:t xml:space="preserve"> clinical efficacy of </w:t>
      </w:r>
      <w:r w:rsidR="00907340" w:rsidRPr="00211C8B">
        <w:t>Gonal-f</w:t>
      </w:r>
      <w:r w:rsidR="00CB79D5" w:rsidRPr="00211C8B">
        <w:t xml:space="preserve"> versus biosimilar </w:t>
      </w:r>
      <w:r w:rsidRPr="00211C8B">
        <w:t xml:space="preserve">was </w:t>
      </w:r>
      <w:r w:rsidR="006B1EB7" w:rsidRPr="00211C8B">
        <w:t>not well supported</w:t>
      </w:r>
      <w:r w:rsidR="00CB79D5" w:rsidRPr="00211C8B">
        <w:t xml:space="preserve">, and the number of IVF cycles estimated from Section 3 was driven entirely by the clinical efficacy assumption (risk ratio of clinical pregnancy ratio between </w:t>
      </w:r>
      <w:r w:rsidR="00907340" w:rsidRPr="00211C8B">
        <w:t>Gonal-f</w:t>
      </w:r>
      <w:r w:rsidR="00CB79D5" w:rsidRPr="00211C8B">
        <w:t xml:space="preserve"> and biosimilar preparations of follitropin alfa). </w:t>
      </w:r>
    </w:p>
    <w:p w14:paraId="58BAB8D1" w14:textId="4C38AB75" w:rsidR="00CB79D5" w:rsidRPr="00211C8B" w:rsidRDefault="00045675" w:rsidP="00286BF1">
      <w:pPr>
        <w:pStyle w:val="ListParagraph"/>
        <w:jc w:val="both"/>
        <w:rPr>
          <w:iCs/>
        </w:rPr>
      </w:pPr>
      <w:r w:rsidRPr="00211C8B">
        <w:t xml:space="preserve">If the predicted MBS savings </w:t>
      </w:r>
      <w:r w:rsidR="00FB6FAA" w:rsidRPr="00211C8B">
        <w:t xml:space="preserve">were </w:t>
      </w:r>
      <w:r w:rsidRPr="00211C8B">
        <w:t xml:space="preserve">removed and calculation errors were correct, then listing </w:t>
      </w:r>
      <w:r w:rsidR="00907340" w:rsidRPr="00211C8B">
        <w:t>Gonal-f</w:t>
      </w:r>
      <w:r w:rsidRPr="00211C8B">
        <w:t xml:space="preserve"> with the proposed price (DPMQ = $</w:t>
      </w:r>
      <w:r w:rsidR="00E70F00">
        <w:rPr>
          <w:noProof/>
          <w:color w:val="000000"/>
          <w:highlight w:val="black"/>
        </w:rPr>
        <w:t>'''''''''''''''</w:t>
      </w:r>
      <w:r w:rsidRPr="00211C8B">
        <w:rPr>
          <w:iCs/>
        </w:rPr>
        <w:t xml:space="preserve">) would result in </w:t>
      </w:r>
      <w:r w:rsidRPr="00211C8B">
        <w:rPr>
          <w:bCs/>
          <w:iCs/>
        </w:rPr>
        <w:t>a net cost of $</w:t>
      </w:r>
      <w:r w:rsidR="00716655">
        <w:rPr>
          <w:bCs/>
          <w:iCs/>
        </w:rPr>
        <w:t xml:space="preserve">80M to &lt; $90M </w:t>
      </w:r>
      <w:r w:rsidRPr="00211C8B">
        <w:t xml:space="preserve">over the six-year period (2022-2027) to the </w:t>
      </w:r>
      <w:r w:rsidR="00360359">
        <w:t>G</w:t>
      </w:r>
      <w:r w:rsidR="00360359" w:rsidRPr="00211C8B">
        <w:t>overnment</w:t>
      </w:r>
      <w:r w:rsidRPr="00211C8B">
        <w:t>.</w:t>
      </w:r>
      <w:bookmarkStart w:id="49" w:name="_Toc22897649"/>
      <w:bookmarkStart w:id="50" w:name="_Toc79577810"/>
    </w:p>
    <w:p w14:paraId="0E51165A" w14:textId="3C1FC7E5" w:rsidR="006F34D3" w:rsidRDefault="006F34D3" w:rsidP="00943FFD">
      <w:pPr>
        <w:pStyle w:val="3-BodyText"/>
      </w:pPr>
      <w:r w:rsidRPr="00211C8B">
        <w:t xml:space="preserve">The PSCR presented a </w:t>
      </w:r>
      <w:r w:rsidRPr="00211C8B">
        <w:rPr>
          <w:bCs/>
        </w:rPr>
        <w:t>revised financial analysis which acknowledged the calculation errors in the submission and included</w:t>
      </w:r>
      <w:r w:rsidR="00294958" w:rsidRPr="00211C8B">
        <w:rPr>
          <w:bCs/>
        </w:rPr>
        <w:t xml:space="preserve"> the</w:t>
      </w:r>
      <w:r w:rsidRPr="00211C8B">
        <w:rPr>
          <w:bCs/>
        </w:rPr>
        <w:t xml:space="preserve"> </w:t>
      </w:r>
      <w:r w:rsidRPr="00211C8B">
        <w:t>decreasing benefit in live birth rate over a number of cycles</w:t>
      </w:r>
      <w:r w:rsidRPr="00211C8B">
        <w:rPr>
          <w:bCs/>
        </w:rPr>
        <w:t xml:space="preserve"> </w:t>
      </w:r>
      <w:r w:rsidRPr="00211C8B">
        <w:t xml:space="preserve">in accordance with </w:t>
      </w:r>
      <w:r w:rsidR="00294958" w:rsidRPr="00211C8B">
        <w:t xml:space="preserve">the revised economic evaluation. However, the PSCR maintained the </w:t>
      </w:r>
      <w:r w:rsidRPr="00211C8B">
        <w:rPr>
          <w:bCs/>
        </w:rPr>
        <w:t>MBS savings due to patients switching from biosimilars to GONAL-f</w:t>
      </w:r>
      <w:r w:rsidR="00294958" w:rsidRPr="00211C8B">
        <w:rPr>
          <w:bCs/>
        </w:rPr>
        <w:t>, albeit at a lower rate</w:t>
      </w:r>
      <w:r w:rsidRPr="00211C8B">
        <w:t>.</w:t>
      </w:r>
      <w:r w:rsidRPr="00211C8B">
        <w:rPr>
          <w:bCs/>
        </w:rPr>
        <w:t xml:space="preserve"> Under the revised analysis, the financial impact of listing GONAL-f at the requested price would result in</w:t>
      </w:r>
      <w:r w:rsidR="00041122" w:rsidRPr="00211C8B">
        <w:rPr>
          <w:bCs/>
        </w:rPr>
        <w:t xml:space="preserve"> </w:t>
      </w:r>
      <w:r w:rsidRPr="00211C8B">
        <w:rPr>
          <w:bCs/>
        </w:rPr>
        <w:t>the net cost</w:t>
      </w:r>
      <w:r w:rsidR="00F821ED" w:rsidRPr="00211C8B">
        <w:rPr>
          <w:bCs/>
        </w:rPr>
        <w:t xml:space="preserve"> to </w:t>
      </w:r>
      <w:r w:rsidR="00360359">
        <w:rPr>
          <w:bCs/>
        </w:rPr>
        <w:t xml:space="preserve">the </w:t>
      </w:r>
      <w:r w:rsidR="00F821ED" w:rsidRPr="00211C8B">
        <w:rPr>
          <w:bCs/>
        </w:rPr>
        <w:t>PBS</w:t>
      </w:r>
      <w:r w:rsidRPr="00211C8B">
        <w:rPr>
          <w:bCs/>
        </w:rPr>
        <w:t xml:space="preserve"> of </w:t>
      </w:r>
      <w:r w:rsidRPr="00211C8B">
        <w:t>$</w:t>
      </w:r>
      <w:r w:rsidR="001A5E50">
        <w:t>50</w:t>
      </w:r>
      <w:r w:rsidR="00634363">
        <w:t> </w:t>
      </w:r>
      <w:r w:rsidR="001A5E50">
        <w:t>million to &lt; $60</w:t>
      </w:r>
      <w:r w:rsidRPr="00211C8B">
        <w:t xml:space="preserve"> million over the six-year period, with MBS savings of $</w:t>
      </w:r>
      <w:r w:rsidR="001A5E50">
        <w:t>30M to &lt;</w:t>
      </w:r>
      <w:r w:rsidR="00634363">
        <w:t> </w:t>
      </w:r>
      <w:r w:rsidR="001A5E50">
        <w:t>$40M</w:t>
      </w:r>
      <w:r w:rsidRPr="00211C8B">
        <w:t>,</w:t>
      </w:r>
      <w:r w:rsidR="00041122" w:rsidRPr="00211C8B">
        <w:t xml:space="preserve"> </w:t>
      </w:r>
      <w:r w:rsidR="00294958" w:rsidRPr="00211C8B">
        <w:t xml:space="preserve">and therefore </w:t>
      </w:r>
      <w:r w:rsidR="00041122" w:rsidRPr="00211C8B">
        <w:t xml:space="preserve">a </w:t>
      </w:r>
      <w:r w:rsidRPr="00211C8B">
        <w:t xml:space="preserve">net cost to </w:t>
      </w:r>
      <w:r w:rsidR="00360359">
        <w:t xml:space="preserve">the </w:t>
      </w:r>
      <w:r w:rsidRPr="00211C8B">
        <w:t>Government of $</w:t>
      </w:r>
      <w:r w:rsidR="001A5E50">
        <w:t>10 million to &lt; $20</w:t>
      </w:r>
      <w:r w:rsidRPr="00211C8B">
        <w:t xml:space="preserve"> million.</w:t>
      </w:r>
      <w:r w:rsidR="00F821ED" w:rsidRPr="00211C8B">
        <w:t xml:space="preserve"> The </w:t>
      </w:r>
      <w:r w:rsidR="00360359">
        <w:t>PBAC</w:t>
      </w:r>
      <w:r w:rsidR="00360359" w:rsidRPr="00211C8B">
        <w:t xml:space="preserve"> </w:t>
      </w:r>
      <w:r w:rsidR="00F821ED" w:rsidRPr="00211C8B">
        <w:t xml:space="preserve">considered </w:t>
      </w:r>
      <w:r w:rsidR="00360359">
        <w:t xml:space="preserve">that </w:t>
      </w:r>
      <w:r w:rsidR="00F821ED" w:rsidRPr="00211C8B">
        <w:t xml:space="preserve">the financial impact was uncertain given </w:t>
      </w:r>
      <w:r w:rsidR="00360359">
        <w:t xml:space="preserve">that </w:t>
      </w:r>
      <w:r w:rsidR="00F821ED" w:rsidRPr="00211C8B">
        <w:t>the estimates were dependent on the submission’s clinical claim that Gonal-f was superior in terms of efficacy compared to the other biosimilars</w:t>
      </w:r>
      <w:r w:rsidR="00C14F16">
        <w:t>, a claim</w:t>
      </w:r>
      <w:r w:rsidR="00F821ED" w:rsidRPr="00211C8B">
        <w:t xml:space="preserve"> </w:t>
      </w:r>
      <w:r w:rsidR="00C14F16">
        <w:t>that</w:t>
      </w:r>
      <w:r w:rsidR="00C14F16" w:rsidRPr="00211C8B">
        <w:t xml:space="preserve"> </w:t>
      </w:r>
      <w:r w:rsidR="00360359">
        <w:t>the PBAC</w:t>
      </w:r>
      <w:r w:rsidR="00C14F16">
        <w:t xml:space="preserve"> considered was not adequately supported</w:t>
      </w:r>
      <w:r w:rsidR="00F821ED" w:rsidRPr="00211C8B">
        <w:t>.</w:t>
      </w:r>
    </w:p>
    <w:p w14:paraId="57D327CD" w14:textId="77777777" w:rsidR="007F6F87" w:rsidRPr="00211C8B" w:rsidRDefault="007F6F87" w:rsidP="00943FFD">
      <w:pPr>
        <w:pStyle w:val="3-BodyText"/>
      </w:pPr>
      <w:r>
        <w:t>The PBAC noted that the pre-PBAC response also provided revised financial estimates.</w:t>
      </w:r>
    </w:p>
    <w:p w14:paraId="5AAACAA6" w14:textId="77777777" w:rsidR="00A34A13" w:rsidRPr="00211C8B" w:rsidRDefault="00A34A13" w:rsidP="00943FFD">
      <w:pPr>
        <w:pStyle w:val="4-SubsectionHeading"/>
      </w:pPr>
      <w:bookmarkStart w:id="51" w:name="_Toc82610366"/>
      <w:r w:rsidRPr="00211C8B">
        <w:t>Quality use of medicines</w:t>
      </w:r>
      <w:bookmarkEnd w:id="51"/>
    </w:p>
    <w:p w14:paraId="652D20B6" w14:textId="77777777" w:rsidR="00A34A13" w:rsidRPr="00211C8B" w:rsidRDefault="00A34A13" w:rsidP="00943FFD">
      <w:pPr>
        <w:pStyle w:val="3-BodyText"/>
      </w:pPr>
      <w:r w:rsidRPr="00211C8B">
        <w:t>The submission discussed quality use of medicines</w:t>
      </w:r>
      <w:r w:rsidR="00FB6FAA" w:rsidRPr="00211C8B">
        <w:t xml:space="preserve"> (QUM)</w:t>
      </w:r>
      <w:r w:rsidRPr="00211C8B">
        <w:t xml:space="preserve"> issues regarding “a-</w:t>
      </w:r>
      <w:r w:rsidR="006669C0" w:rsidRPr="00211C8B">
        <w:t> </w:t>
      </w:r>
      <w:r w:rsidRPr="00211C8B">
        <w:t xml:space="preserve">flagging” and switching between Gonal-f and Ovaleap. The submission noted there would be potential </w:t>
      </w:r>
      <w:r w:rsidR="00FB6FAA" w:rsidRPr="00211C8B">
        <w:t>QUM</w:t>
      </w:r>
      <w:r w:rsidRPr="00211C8B">
        <w:t xml:space="preserve"> issues associated with switching between biosimilar preparations of follitropin alfa. </w:t>
      </w:r>
      <w:r w:rsidR="00C14F16">
        <w:t>The submission noted that t</w:t>
      </w:r>
      <w:r w:rsidRPr="00211C8B">
        <w:t xml:space="preserve">raining on the self-administration of fertility treatment </w:t>
      </w:r>
      <w:r w:rsidR="00C14F16">
        <w:t>would</w:t>
      </w:r>
      <w:r w:rsidR="00C14F16" w:rsidRPr="00211C8B">
        <w:t xml:space="preserve"> </w:t>
      </w:r>
      <w:r w:rsidRPr="00211C8B">
        <w:t>depend on which biosimilar of follitropin alfa is used. The submission discussed the potential for patient confusion and medication error related to substitution at the pharmacy level.</w:t>
      </w:r>
    </w:p>
    <w:bookmarkEnd w:id="41"/>
    <w:bookmarkEnd w:id="49"/>
    <w:bookmarkEnd w:id="50"/>
    <w:p w14:paraId="0F4CE13A" w14:textId="77777777" w:rsidR="009D4C0F" w:rsidRPr="008247A0" w:rsidRDefault="009D4C0F" w:rsidP="00C14F16">
      <w:pPr>
        <w:pStyle w:val="3-BodyText"/>
      </w:pPr>
      <w:r w:rsidRPr="000336F3">
        <w:t>At its July 2021</w:t>
      </w:r>
      <w:r w:rsidR="00C14F16" w:rsidRPr="000336F3">
        <w:t xml:space="preserve"> meeting</w:t>
      </w:r>
      <w:r w:rsidRPr="000336F3">
        <w:t xml:space="preserve">, the PBAC </w:t>
      </w:r>
      <w:r w:rsidR="00C14F16" w:rsidRPr="000336F3">
        <w:t>recommended</w:t>
      </w:r>
      <w:r w:rsidR="0060553F" w:rsidRPr="000336F3">
        <w:t xml:space="preserve"> </w:t>
      </w:r>
      <w:r w:rsidR="0060553F" w:rsidRPr="00ED4806">
        <w:t>that</w:t>
      </w:r>
      <w:r w:rsidRPr="00ED4806">
        <w:t xml:space="preserve"> </w:t>
      </w:r>
      <w:r w:rsidR="00907340" w:rsidRPr="008247A0">
        <w:t>Gonal-f</w:t>
      </w:r>
      <w:r w:rsidRPr="008247A0">
        <w:t xml:space="preserve"> and Ovaleap should be treated as equivalent to each other for the purposes of substitution (</w:t>
      </w:r>
      <w:r w:rsidR="0000289C" w:rsidRPr="008247A0">
        <w:t>i.e.,</w:t>
      </w:r>
      <w:r w:rsidRPr="008247A0">
        <w:t xml:space="preserve"> ‘a’ flagged in Schedule</w:t>
      </w:r>
      <w:r w:rsidR="00C14F16" w:rsidRPr="008247A0">
        <w:t>)</w:t>
      </w:r>
      <w:r w:rsidRPr="008247A0">
        <w:t xml:space="preserve">. The PBAC noted that flow on changes arising from listing Ovaleap would entail the addition of ‘a-flags’ to the </w:t>
      </w:r>
      <w:r w:rsidR="00BA0B1A" w:rsidRPr="008247A0">
        <w:t>G</w:t>
      </w:r>
      <w:r w:rsidR="00784E22" w:rsidRPr="008247A0">
        <w:t>onal</w:t>
      </w:r>
      <w:r w:rsidRPr="008247A0">
        <w:t>-f listings to indicate equivalence for the purposes of substitution.</w:t>
      </w:r>
    </w:p>
    <w:p w14:paraId="13693242" w14:textId="77777777" w:rsidR="009D4C0F" w:rsidRPr="008247A0" w:rsidRDefault="009D4C0F" w:rsidP="008247A0">
      <w:pPr>
        <w:pStyle w:val="3-BodyText"/>
      </w:pPr>
      <w:r w:rsidRPr="008247A0">
        <w:t>The PBAC considered a range of other factors in forming its view on ’a’ flagging including:</w:t>
      </w:r>
    </w:p>
    <w:p w14:paraId="45B9CCB1" w14:textId="77777777" w:rsidR="009D4C0F" w:rsidRPr="000336F3" w:rsidRDefault="009D4C0F" w:rsidP="008247A0">
      <w:pPr>
        <w:pStyle w:val="ListParagraph"/>
        <w:jc w:val="both"/>
      </w:pPr>
      <w:r w:rsidRPr="00ED4806">
        <w:t xml:space="preserve">The results from the international, multi-centre, Phase III, randomised, assessor-blind, comparator controlled, parallel group efficacy and safety </w:t>
      </w:r>
      <w:r w:rsidR="00C4230B" w:rsidRPr="00ED4806">
        <w:t>trial</w:t>
      </w:r>
      <w:r w:rsidRPr="00ED4806">
        <w:t xml:space="preserve"> (XM17-05) of Ovaleap in comparison to </w:t>
      </w:r>
      <w:r w:rsidR="00907340" w:rsidRPr="00ED4806">
        <w:t>Gonal-f</w:t>
      </w:r>
      <w:r w:rsidRPr="00ED4806">
        <w:t xml:space="preserve"> and the TGA Delegate’s view that Ovaleap is similar to </w:t>
      </w:r>
      <w:r w:rsidR="00907340" w:rsidRPr="00ED4806">
        <w:t>Gonal-f</w:t>
      </w:r>
      <w:r w:rsidRPr="00ED4806">
        <w:t>, with comparable</w:t>
      </w:r>
      <w:r w:rsidRPr="000336F3">
        <w:t xml:space="preserve"> pharmacokinetics, efficacy, safety, and immunogenicity.</w:t>
      </w:r>
    </w:p>
    <w:p w14:paraId="03EE7D6B" w14:textId="77777777" w:rsidR="009D4C0F" w:rsidRPr="000336F3" w:rsidRDefault="00696B06" w:rsidP="008247A0">
      <w:pPr>
        <w:pStyle w:val="ListParagraph"/>
        <w:jc w:val="both"/>
      </w:pPr>
      <w:r w:rsidRPr="000336F3">
        <w:t>Unlike with Bemfola, t</w:t>
      </w:r>
      <w:r w:rsidR="009D4C0F" w:rsidRPr="000336F3">
        <w:t xml:space="preserve">he manner of administration, strengths, number of units per pack and maximum quantities are the same between Ovaleap and </w:t>
      </w:r>
      <w:r w:rsidR="00907340" w:rsidRPr="000336F3">
        <w:t>Gonal-f</w:t>
      </w:r>
      <w:r w:rsidR="009D4C0F" w:rsidRPr="000336F3">
        <w:t xml:space="preserve">. </w:t>
      </w:r>
    </w:p>
    <w:p w14:paraId="6F4E208D" w14:textId="77777777" w:rsidR="009D4C0F" w:rsidRPr="000336F3" w:rsidRDefault="009D4C0F" w:rsidP="008247A0">
      <w:pPr>
        <w:pStyle w:val="ListParagraph"/>
        <w:jc w:val="both"/>
      </w:pPr>
      <w:r w:rsidRPr="000336F3">
        <w:t>The evidence</w:t>
      </w:r>
      <w:r w:rsidR="00696B06" w:rsidRPr="000336F3">
        <w:t xml:space="preserve"> (Chua et al. 2021)</w:t>
      </w:r>
      <w:r w:rsidRPr="000336F3">
        <w:t xml:space="preserve"> presented by organisations in support against a-flagging ha</w:t>
      </w:r>
      <w:r w:rsidR="00462855" w:rsidRPr="000336F3">
        <w:t>d</w:t>
      </w:r>
      <w:r w:rsidRPr="000336F3">
        <w:t xml:space="preserve"> not been evaluated. The safety concerns can be addressed through education.</w:t>
      </w:r>
    </w:p>
    <w:p w14:paraId="2343A148" w14:textId="77777777" w:rsidR="009D4C0F" w:rsidRPr="000336F3" w:rsidRDefault="009D4C0F" w:rsidP="008247A0">
      <w:pPr>
        <w:pStyle w:val="ListParagraph"/>
        <w:jc w:val="both"/>
      </w:pPr>
      <w:r w:rsidRPr="000336F3">
        <w:t>Prescribers have the option to specify “No Brand Substitution Permitted” should they have individual concerns about brand substitution. Pharmacists have a responsibility to adhere to these directions where specified.</w:t>
      </w:r>
    </w:p>
    <w:p w14:paraId="748F1BE6" w14:textId="77777777" w:rsidR="009D4C0F" w:rsidRPr="00186266" w:rsidRDefault="009D4C0F" w:rsidP="00943FFD">
      <w:pPr>
        <w:pStyle w:val="3-BodyText"/>
      </w:pPr>
      <w:r w:rsidRPr="00186266">
        <w:t xml:space="preserve">While the PBAC noted the differences in administration techniques of Ovaleap and </w:t>
      </w:r>
      <w:r w:rsidR="00907340" w:rsidRPr="00186266">
        <w:t>Gonal-f</w:t>
      </w:r>
      <w:r w:rsidRPr="00186266">
        <w:t xml:space="preserve">, it considered that patients with sufficient education/training resources would be able to administer </w:t>
      </w:r>
      <w:r w:rsidR="0060553F" w:rsidRPr="00186266">
        <w:t xml:space="preserve">the </w:t>
      </w:r>
      <w:r w:rsidRPr="00186266">
        <w:t xml:space="preserve">different devices appropriately. The PBAC </w:t>
      </w:r>
      <w:r w:rsidR="0060553F" w:rsidRPr="00186266">
        <w:t xml:space="preserve">had </w:t>
      </w:r>
      <w:r w:rsidRPr="00186266">
        <w:t xml:space="preserve">advised that the sponsor </w:t>
      </w:r>
      <w:r w:rsidR="0060553F" w:rsidRPr="00186266">
        <w:t xml:space="preserve">of Ovaleap </w:t>
      </w:r>
      <w:r w:rsidRPr="00186266">
        <w:t>should work with key bodies to develop education and training resources on how to use Ovaleap. The PBAC reiterated its advice that educational activities should be targeted at all prescribers as well as pharmacists.</w:t>
      </w:r>
      <w:r w:rsidR="001B6B13" w:rsidRPr="00186266">
        <w:t xml:space="preserve"> The PBAC noted that </w:t>
      </w:r>
      <w:r w:rsidR="001B6B13" w:rsidRPr="000B53D4">
        <w:rPr>
          <w:iCs/>
        </w:rPr>
        <w:t xml:space="preserve">the prescribing clinician would have the option to specify “No Brand Substitution Permitted” should they </w:t>
      </w:r>
      <w:r w:rsidR="001B6B13">
        <w:rPr>
          <w:iCs/>
        </w:rPr>
        <w:t>wish to prescribe a particular brand</w:t>
      </w:r>
      <w:r w:rsidR="001B6B13" w:rsidRPr="000B53D4">
        <w:rPr>
          <w:iCs/>
        </w:rPr>
        <w:t>.</w:t>
      </w:r>
      <w:r w:rsidRPr="00186266">
        <w:t xml:space="preserve"> The PBAC requested the sponsor and the Department work together with NPS MedicineWise and the Pharmaceutical Society of Australia to ensure pharmacists are educated on the product differences between follitropin alfa devices.</w:t>
      </w:r>
    </w:p>
    <w:p w14:paraId="312E311B" w14:textId="77777777" w:rsidR="004800ED" w:rsidRPr="00186266" w:rsidRDefault="004800ED" w:rsidP="00943FFD">
      <w:pPr>
        <w:pStyle w:val="3-BodyText"/>
      </w:pPr>
      <w:r w:rsidRPr="00186266">
        <w:t xml:space="preserve">The PBAC </w:t>
      </w:r>
      <w:r w:rsidR="0060553F" w:rsidRPr="00186266">
        <w:t xml:space="preserve">had also </w:t>
      </w:r>
      <w:r w:rsidRPr="00186266">
        <w:t>advised that Ovaleap and Bemfola should not be considered equivalent for the purpose of substitution, noting that Ovaleap shared the same differences with Bemfola as Gonal-f, and that these differences would make substitution at the pharmacy level difficult from a practical perspective.</w:t>
      </w:r>
    </w:p>
    <w:bookmarkEnd w:id="2"/>
    <w:p w14:paraId="541E97AC" w14:textId="77777777" w:rsidR="002342CC" w:rsidRPr="00211C8B" w:rsidRDefault="002342CC" w:rsidP="00943FFD">
      <w:pPr>
        <w:pStyle w:val="2-SectionHeading"/>
      </w:pPr>
      <w:r w:rsidRPr="00211C8B">
        <w:t>PBAC Outcome</w:t>
      </w:r>
    </w:p>
    <w:p w14:paraId="34AD8A89" w14:textId="77777777" w:rsidR="00F26406" w:rsidRDefault="005B0FA5" w:rsidP="00F26406">
      <w:pPr>
        <w:pStyle w:val="3-BodyText"/>
      </w:pPr>
      <w:r>
        <w:t xml:space="preserve">The PBAC did not recommend an increase to the price of Gonal-f as it considered that the clinical claim </w:t>
      </w:r>
      <w:r w:rsidRPr="00211C8B">
        <w:t>of superior comparative effectiveness of Gonal-f</w:t>
      </w:r>
      <w:r>
        <w:t xml:space="preserve"> to all of the follitropin alfa biosimilars</w:t>
      </w:r>
      <w:r w:rsidRPr="00211C8B">
        <w:t xml:space="preserve"> was </w:t>
      </w:r>
      <w:r w:rsidRPr="00C14F16">
        <w:t>not adequately</w:t>
      </w:r>
      <w:r w:rsidRPr="00211C8B">
        <w:t xml:space="preserve"> supported by the data</w:t>
      </w:r>
      <w:r>
        <w:t xml:space="preserve"> presented in the submission.</w:t>
      </w:r>
      <w:r w:rsidR="00F26406">
        <w:t xml:space="preserve"> </w:t>
      </w:r>
      <w:r w:rsidR="00F26406" w:rsidRPr="00F26406">
        <w:t>The PBAC also reaffirmed its previous advice that Gonal-f and Ovaleap should be treated as equivalent for the purposes of substitution (i.e. ‘a’ flagged in</w:t>
      </w:r>
      <w:r w:rsidR="001220CB">
        <w:t xml:space="preserve"> the</w:t>
      </w:r>
      <w:r w:rsidR="00F26406" w:rsidRPr="00F26406">
        <w:t xml:space="preserve"> Schedule).</w:t>
      </w:r>
    </w:p>
    <w:p w14:paraId="00A87693" w14:textId="77777777" w:rsidR="00846691" w:rsidRPr="00846691" w:rsidRDefault="003C26BC" w:rsidP="003C26BC">
      <w:pPr>
        <w:pStyle w:val="3-BodyText"/>
        <w:rPr>
          <w:iCs/>
        </w:rPr>
      </w:pPr>
      <w:r w:rsidRPr="00211C8B">
        <w:t xml:space="preserve">The PBAC noted that a claim of superior effectiveness of the reference brand to the biosimilar brand </w:t>
      </w:r>
      <w:r>
        <w:t>would be</w:t>
      </w:r>
      <w:r w:rsidRPr="00211C8B">
        <w:t xml:space="preserve"> contradictory to the decision made by the</w:t>
      </w:r>
      <w:r w:rsidR="00AD6A97">
        <w:t xml:space="preserve"> TGA and other Regulatory Agencies</w:t>
      </w:r>
      <w:r w:rsidR="00101568">
        <w:t xml:space="preserve"> (e.g., EMA)</w:t>
      </w:r>
      <w:r w:rsidRPr="00211C8B">
        <w:t xml:space="preserve"> under the biosimilar regulatory framework.</w:t>
      </w:r>
      <w:r>
        <w:t xml:space="preserve"> </w:t>
      </w:r>
      <w:r w:rsidRPr="00211C8B">
        <w:t>The PBAC considered that a totality of evidence approach</w:t>
      </w:r>
      <w:r w:rsidR="001A3E86">
        <w:t>,</w:t>
      </w:r>
      <w:r w:rsidRPr="00211C8B">
        <w:t xml:space="preserve"> includ</w:t>
      </w:r>
      <w:r w:rsidR="001A3E86">
        <w:t>ing</w:t>
      </w:r>
      <w:r w:rsidRPr="00211C8B">
        <w:t xml:space="preserve"> the in-vitro characterisation of the molecule, pharmacokinetic analyses and randomised clinical endpoint</w:t>
      </w:r>
      <w:r>
        <w:t xml:space="preserve"> </w:t>
      </w:r>
      <w:r w:rsidR="00C4230B">
        <w:t>trials</w:t>
      </w:r>
      <w:r w:rsidR="001A3E86">
        <w:t>,</w:t>
      </w:r>
      <w:r w:rsidRPr="00211C8B">
        <w:t xml:space="preserve"> would be required to support the submission’s clinical claim.</w:t>
      </w:r>
      <w:r w:rsidR="00101568">
        <w:t xml:space="preserve"> </w:t>
      </w:r>
    </w:p>
    <w:p w14:paraId="59D99FD8" w14:textId="77777777" w:rsidR="003C26BC" w:rsidRPr="008154E4" w:rsidRDefault="00846691" w:rsidP="003C26BC">
      <w:pPr>
        <w:pStyle w:val="3-BodyText"/>
        <w:rPr>
          <w:iCs/>
        </w:rPr>
      </w:pPr>
      <w:r>
        <w:t>The PBAC f</w:t>
      </w:r>
      <w:r w:rsidR="00101568">
        <w:t>urther</w:t>
      </w:r>
      <w:r>
        <w:t xml:space="preserve"> noted that</w:t>
      </w:r>
      <w:r w:rsidR="00101568">
        <w:t xml:space="preserve"> the clinical endpoint studies were not designed with live</w:t>
      </w:r>
      <w:r w:rsidR="00F13DA4">
        <w:t xml:space="preserve">births as the primary endpoint and consequently interpretation of the result for livebirths is problematic, given the potential for post-randomisation confounding </w:t>
      </w:r>
      <w:r w:rsidR="0011643C">
        <w:t>and treatment-centre interactions that were</w:t>
      </w:r>
      <w:r w:rsidR="00F13DA4">
        <w:t xml:space="preserve"> not formally accounted for in the statistical analysis plans of the individual studies</w:t>
      </w:r>
      <w:r w:rsidR="0011643C">
        <w:t xml:space="preserve"> (given livebirths was not the pre-specified primary endpoint)</w:t>
      </w:r>
      <w:r w:rsidR="00F13DA4">
        <w:t xml:space="preserve">. </w:t>
      </w:r>
    </w:p>
    <w:p w14:paraId="0CD61563" w14:textId="77777777" w:rsidR="000D7BDE" w:rsidRPr="000D7BDE" w:rsidRDefault="000D7BDE" w:rsidP="0001556C">
      <w:pPr>
        <w:pStyle w:val="3-BodyText"/>
      </w:pPr>
      <w:r w:rsidRPr="008154E4">
        <w:t xml:space="preserve">The PBAC noted that, under Section 101(3B) of the </w:t>
      </w:r>
      <w:r w:rsidRPr="006F0B99">
        <w:rPr>
          <w:i/>
          <w:iCs/>
        </w:rPr>
        <w:t>National Health Act 1953</w:t>
      </w:r>
      <w:r w:rsidRPr="008154E4">
        <w:t>,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The PBAC considered that the evidence provided did not demonstrate that Gonal-f provides a significant improvement in efficacy and/or reduction of toxicity over its biosimilars.</w:t>
      </w:r>
    </w:p>
    <w:p w14:paraId="0BFF35D5" w14:textId="77777777" w:rsidR="003C26BC" w:rsidRPr="003C26BC" w:rsidRDefault="003C26BC" w:rsidP="0001556C">
      <w:pPr>
        <w:pStyle w:val="3-BodyText"/>
        <w:rPr>
          <w:i/>
          <w:iCs/>
        </w:rPr>
      </w:pPr>
      <w:r w:rsidRPr="003C26BC">
        <w:rPr>
          <w:iCs/>
        </w:rPr>
        <w:t xml:space="preserve">Given that the PBAC </w:t>
      </w:r>
      <w:r w:rsidRPr="00211C8B">
        <w:t xml:space="preserve">considered that the claim of the superior comparative effectiveness of Gonal-f was </w:t>
      </w:r>
      <w:r w:rsidRPr="00C14F16">
        <w:t>not adequately</w:t>
      </w:r>
      <w:r w:rsidRPr="00211C8B">
        <w:t xml:space="preserve"> supported by the data</w:t>
      </w:r>
      <w:r>
        <w:t xml:space="preserve">, the PBAC did not recommend the submission’s request </w:t>
      </w:r>
      <w:r w:rsidRPr="00211C8B">
        <w:t xml:space="preserve">that Gonal-f not be marked as equivalent </w:t>
      </w:r>
      <w:r w:rsidR="00480F5F">
        <w:t>for the purposes of substitution with</w:t>
      </w:r>
      <w:r w:rsidRPr="00211C8B">
        <w:t xml:space="preserve"> Ovaleap</w:t>
      </w:r>
      <w:r>
        <w:t xml:space="preserve">. </w:t>
      </w:r>
      <w:r w:rsidR="006F0B99">
        <w:t>The PBAC recalled its July 2021 advice</w:t>
      </w:r>
      <w:r w:rsidR="008154E4">
        <w:t xml:space="preserve"> </w:t>
      </w:r>
      <w:r w:rsidR="006F0B99">
        <w:t>in relation to Ovaleap that, w</w:t>
      </w:r>
      <w:r w:rsidRPr="003C26BC">
        <w:t>hile administration techniques of Ovaleap and Gonal-f</w:t>
      </w:r>
      <w:r w:rsidR="006F0B99">
        <w:t xml:space="preserve"> differ</w:t>
      </w:r>
      <w:r w:rsidRPr="003C26BC">
        <w:t>, patients with sufficient education/training resources would be able to administer the</w:t>
      </w:r>
      <w:r w:rsidR="00480F5F">
        <w:t xml:space="preserve"> drug appropriately despite</w:t>
      </w:r>
      <w:r w:rsidRPr="003C26BC">
        <w:t xml:space="preserve"> different devices.</w:t>
      </w:r>
      <w:r>
        <w:t xml:space="preserve"> </w:t>
      </w:r>
      <w:r w:rsidRPr="003C26BC">
        <w:rPr>
          <w:iCs/>
        </w:rPr>
        <w:t xml:space="preserve">The PBAC noted in its </w:t>
      </w:r>
      <w:r w:rsidR="006F0B99">
        <w:rPr>
          <w:iCs/>
        </w:rPr>
        <w:t xml:space="preserve">July 2021 </w:t>
      </w:r>
      <w:r w:rsidRPr="003C26BC">
        <w:rPr>
          <w:iCs/>
        </w:rPr>
        <w:t xml:space="preserve">consideration of Ovaleap that in practice the prescribing clinician would </w:t>
      </w:r>
      <w:r w:rsidRPr="00393339">
        <w:rPr>
          <w:iCs/>
        </w:rPr>
        <w:t>have the option to specify “No Brand Substitution Permitted” should they have individual concerns about</w:t>
      </w:r>
      <w:r w:rsidR="00320C88">
        <w:rPr>
          <w:iCs/>
        </w:rPr>
        <w:t xml:space="preserve"> </w:t>
      </w:r>
      <w:r w:rsidRPr="00393339">
        <w:rPr>
          <w:iCs/>
        </w:rPr>
        <w:t>brand substitution. Pharmacists have a responsibility to adhere to these directions where specified.</w:t>
      </w:r>
    </w:p>
    <w:p w14:paraId="58C0EF10" w14:textId="77777777" w:rsidR="007874E8" w:rsidRDefault="007874E8" w:rsidP="007874E8">
      <w:pPr>
        <w:pStyle w:val="3-BodyText"/>
      </w:pPr>
      <w:r w:rsidRPr="00211C8B">
        <w:t xml:space="preserve">The </w:t>
      </w:r>
      <w:r w:rsidRPr="00100431">
        <w:rPr>
          <w:iCs/>
        </w:rPr>
        <w:t>PBAC</w:t>
      </w:r>
      <w:r w:rsidRPr="00211C8B">
        <w:t xml:space="preserve"> considered that the submission’s clinical evidence did not support the cost-effectiveness analysis, because there was insufficient evidence to conclude that Gonal-f is superior in terms of comparative effectiveness to biosimilar preparations of follitropin-alfa.</w:t>
      </w:r>
      <w:r w:rsidRPr="007874E8">
        <w:t xml:space="preserve"> </w:t>
      </w:r>
      <w:r>
        <w:t>Further, t</w:t>
      </w:r>
      <w:r w:rsidRPr="00211C8B">
        <w:t xml:space="preserve">he </w:t>
      </w:r>
      <w:r>
        <w:t>PBAC</w:t>
      </w:r>
      <w:r w:rsidRPr="00211C8B">
        <w:t xml:space="preserve"> considered </w:t>
      </w:r>
      <w:r>
        <w:t xml:space="preserve">that </w:t>
      </w:r>
      <w:r w:rsidRPr="00211C8B">
        <w:t xml:space="preserve">the financial </w:t>
      </w:r>
      <w:r w:rsidR="006F0B99">
        <w:t>estimates were not supported,</w:t>
      </w:r>
      <w:r w:rsidRPr="00211C8B">
        <w:t xml:space="preserve"> given </w:t>
      </w:r>
      <w:r>
        <w:t xml:space="preserve">that </w:t>
      </w:r>
      <w:r w:rsidRPr="00211C8B">
        <w:t>the estimates were dependent on the submission’s clinical claim that Gonal-f was superior in terms of efficacy compared to the other biosimilars.</w:t>
      </w:r>
    </w:p>
    <w:p w14:paraId="7CA02BF9" w14:textId="77777777" w:rsidR="0055294D" w:rsidRPr="00211C8B" w:rsidRDefault="0055294D" w:rsidP="007874E8">
      <w:pPr>
        <w:pStyle w:val="3-BodyText"/>
      </w:pPr>
      <w:r w:rsidRPr="00D8553E">
        <w:rPr>
          <w:rFonts w:cs="Arial"/>
          <w:bCs/>
          <w:snapToGrid w:val="0"/>
          <w:lang w:val="en-GB"/>
        </w:rPr>
        <w:t>The PBAC noted that this submission is eligible for an Independent Review</w:t>
      </w:r>
      <w:r w:rsidR="003C2CAB">
        <w:rPr>
          <w:rFonts w:cs="Arial"/>
          <w:bCs/>
          <w:snapToGrid w:val="0"/>
          <w:lang w:val="en-GB"/>
        </w:rPr>
        <w:t>.</w:t>
      </w:r>
    </w:p>
    <w:p w14:paraId="27C3F6A1" w14:textId="77777777" w:rsidR="00003B7B" w:rsidRDefault="002342CC" w:rsidP="002342CC">
      <w:r w:rsidRPr="00F10F43">
        <w:rPr>
          <w:b/>
          <w:bCs/>
        </w:rPr>
        <w:t>Outcome</w:t>
      </w:r>
      <w:r w:rsidR="00231FB2" w:rsidRPr="00BD3AB8">
        <w:rPr>
          <w:b/>
          <w:bCs/>
        </w:rPr>
        <w:t>:</w:t>
      </w:r>
      <w:r w:rsidRPr="00211C8B">
        <w:rPr>
          <w:b/>
          <w:bCs/>
        </w:rPr>
        <w:br/>
      </w:r>
      <w:r w:rsidR="0064717B" w:rsidRPr="00211C8B">
        <w:t>Not recommended</w:t>
      </w:r>
    </w:p>
    <w:p w14:paraId="6246F565" w14:textId="77777777" w:rsidR="00003B7B" w:rsidRPr="00003B7B" w:rsidRDefault="00003B7B" w:rsidP="00003B7B">
      <w:pPr>
        <w:pStyle w:val="2-SectionHeading"/>
      </w:pPr>
      <w:r w:rsidRPr="00C07617">
        <w:t>Context for Decision</w:t>
      </w:r>
    </w:p>
    <w:p w14:paraId="574114C2" w14:textId="77777777" w:rsidR="00003B7B" w:rsidRPr="007129F2" w:rsidRDefault="00003B7B" w:rsidP="00003B7B">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6C633FC" w14:textId="77777777" w:rsidR="00003B7B" w:rsidRPr="00003B7B" w:rsidRDefault="00003B7B" w:rsidP="00003B7B">
      <w:pPr>
        <w:pStyle w:val="2-SectionHeading"/>
      </w:pPr>
      <w:r>
        <w:t>Sponsor’s Comment</w:t>
      </w:r>
    </w:p>
    <w:p w14:paraId="2CC53EC3" w14:textId="77777777" w:rsidR="00003B7B" w:rsidRPr="001179AC" w:rsidRDefault="00003B7B" w:rsidP="00003B7B">
      <w:pPr>
        <w:spacing w:after="120"/>
        <w:ind w:left="426" w:firstLine="294"/>
        <w:rPr>
          <w:rFonts w:asciiTheme="minorHAnsi" w:hAnsiTheme="minorHAnsi"/>
          <w:bCs/>
        </w:rPr>
      </w:pPr>
      <w:r w:rsidRPr="00C07617">
        <w:rPr>
          <w:rFonts w:asciiTheme="minorHAnsi" w:hAnsiTheme="minorHAnsi"/>
          <w:bCs/>
        </w:rPr>
        <w:t>The sponsor had no comment.</w:t>
      </w:r>
    </w:p>
    <w:p w14:paraId="26058E31" w14:textId="77777777" w:rsidR="00231FB2" w:rsidRPr="00003B7B" w:rsidRDefault="00231FB2" w:rsidP="00003B7B"/>
    <w:sectPr w:rsidR="00231FB2" w:rsidRPr="00003B7B" w:rsidSect="00251006">
      <w:headerReference w:type="default" r:id="rId9"/>
      <w:footerReference w:type="default" r:id="rId10"/>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47615" w14:textId="77777777" w:rsidR="00E70F00" w:rsidRDefault="00E70F00" w:rsidP="00124A51">
      <w:r>
        <w:separator/>
      </w:r>
    </w:p>
    <w:p w14:paraId="5192D8AC" w14:textId="77777777" w:rsidR="00E70F00" w:rsidRDefault="00E70F00"/>
  </w:endnote>
  <w:endnote w:type="continuationSeparator" w:id="0">
    <w:p w14:paraId="52938F17" w14:textId="77777777" w:rsidR="00E70F00" w:rsidRDefault="00E70F00" w:rsidP="00124A51">
      <w:r>
        <w:continuationSeparator/>
      </w:r>
    </w:p>
    <w:p w14:paraId="01E541F9" w14:textId="77777777" w:rsidR="00E70F00" w:rsidRDefault="00E70F00"/>
  </w:endnote>
  <w:endnote w:type="continuationNotice" w:id="1">
    <w:p w14:paraId="22F66317" w14:textId="77777777" w:rsidR="00E70F00" w:rsidRDefault="00E70F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桀頺ȷ"/>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1DFFD" w14:textId="77777777" w:rsidR="00D740F0" w:rsidRDefault="00D740F0" w:rsidP="00D3593E">
    <w:pPr>
      <w:pStyle w:val="PageFooter"/>
    </w:pPr>
  </w:p>
  <w:p w14:paraId="784AE0AC" w14:textId="4591CC44" w:rsidR="00D740F0" w:rsidRDefault="00D740F0" w:rsidP="00D3593E">
    <w:pPr>
      <w:pStyle w:val="PageFooter"/>
    </w:pPr>
    <w:r>
      <w:fldChar w:fldCharType="begin"/>
    </w:r>
    <w:r>
      <w:instrText xml:space="preserve"> PAGE   \* MERGEFORMAT </w:instrText>
    </w:r>
    <w:r>
      <w:fldChar w:fldCharType="separate"/>
    </w:r>
    <w:r w:rsidR="008368CD">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F4A9D" w14:textId="77777777" w:rsidR="00E70F00" w:rsidRDefault="00E70F00" w:rsidP="00124A51">
      <w:r>
        <w:separator/>
      </w:r>
    </w:p>
    <w:p w14:paraId="081E2F19" w14:textId="77777777" w:rsidR="00E70F00" w:rsidRDefault="00E70F00"/>
  </w:footnote>
  <w:footnote w:type="continuationSeparator" w:id="0">
    <w:p w14:paraId="19793B9E" w14:textId="77777777" w:rsidR="00E70F00" w:rsidRDefault="00E70F00" w:rsidP="00124A51">
      <w:r>
        <w:continuationSeparator/>
      </w:r>
    </w:p>
    <w:p w14:paraId="5AF0D472" w14:textId="77777777" w:rsidR="00E70F00" w:rsidRDefault="00E70F00"/>
  </w:footnote>
  <w:footnote w:type="continuationNotice" w:id="1">
    <w:p w14:paraId="45475F14" w14:textId="77777777" w:rsidR="00E70F00" w:rsidRDefault="00E70F00"/>
  </w:footnote>
  <w:footnote w:id="2">
    <w:p w14:paraId="28B34CFB" w14:textId="77777777" w:rsidR="00D740F0" w:rsidRPr="00163B44" w:rsidRDefault="00D740F0" w:rsidP="009D4C0F">
      <w:pPr>
        <w:pStyle w:val="FootnoteText"/>
        <w:jc w:val="left"/>
        <w:rPr>
          <w:rFonts w:asciiTheme="minorHAnsi" w:hAnsiTheme="minorHAnsi"/>
          <w:sz w:val="18"/>
        </w:rPr>
      </w:pPr>
    </w:p>
  </w:footnote>
  <w:footnote w:id="3">
    <w:p w14:paraId="019D0936" w14:textId="77777777" w:rsidR="00D740F0" w:rsidRPr="00163B44" w:rsidRDefault="00D740F0" w:rsidP="000F797F">
      <w:pPr>
        <w:pStyle w:val="FootnoteText"/>
        <w:rPr>
          <w:rFonts w:asciiTheme="minorHAnsi" w:hAnsiTheme="minorHAnsi"/>
          <w:sz w:val="18"/>
        </w:rPr>
      </w:pPr>
      <w:r w:rsidRPr="00163B44">
        <w:rPr>
          <w:rStyle w:val="FootnoteReference"/>
          <w:rFonts w:asciiTheme="minorHAnsi" w:hAnsiTheme="minorHAnsi"/>
          <w:sz w:val="18"/>
        </w:rPr>
        <w:footnoteRef/>
      </w:r>
      <w:r w:rsidRPr="00163B44">
        <w:rPr>
          <w:rFonts w:asciiTheme="minorHAnsi" w:hAnsiTheme="minorHAnsi"/>
          <w:sz w:val="18"/>
        </w:rPr>
        <w:t xml:space="preserve"> Papsch R, Roeder C, D'Hooghe T, Longobardi S. PMU40-live birth rate (LBR), ongoing pregnancy rate (OPR) and ovarian hyperstimulation syndrome (OHSS) risk with originator versus biosimilar recombinant follitropin ALFA: a pooled analysis of clinical trial data. Value in Health. 2018 Oct 1;21:S314-5.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CC819" w14:textId="77777777" w:rsidR="00D740F0" w:rsidRPr="00D3593E" w:rsidRDefault="00D740F0" w:rsidP="00D3593E">
    <w:pPr>
      <w:pStyle w:val="Header"/>
      <w:rPr>
        <w:i/>
        <w:iCs/>
      </w:rPr>
    </w:pPr>
    <w:r>
      <w:rPr>
        <w:i/>
        <w:iCs/>
      </w:rPr>
      <w:t>Public Summary Document</w:t>
    </w:r>
    <w:r w:rsidRPr="00D3593E">
      <w:rPr>
        <w:i/>
        <w:iCs/>
      </w:rPr>
      <w:t xml:space="preserve"> – November 2021 PBAC Meeting</w:t>
    </w:r>
  </w:p>
  <w:p w14:paraId="27650EF2" w14:textId="77777777" w:rsidR="00D740F0" w:rsidRDefault="00D740F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46AD7"/>
    <w:multiLevelType w:val="hybridMultilevel"/>
    <w:tmpl w:val="4D60B55C"/>
    <w:lvl w:ilvl="0" w:tplc="A22E5F30">
      <w:start w:val="1"/>
      <w:numFmt w:val="bullet"/>
      <w:pStyle w:val="ListParagraph"/>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3459087D"/>
    <w:multiLevelType w:val="multilevel"/>
    <w:tmpl w:val="FD566336"/>
    <w:lvl w:ilvl="0">
      <w:start w:val="1"/>
      <w:numFmt w:val="bullet"/>
      <w:lvlText w:val=""/>
      <w:lvlJc w:val="left"/>
      <w:pPr>
        <w:ind w:left="1429" w:hanging="720"/>
      </w:pPr>
      <w:rPr>
        <w:rFonts w:ascii="Symbol" w:hAnsi="Symbol" w:hint="default"/>
        <w:b/>
        <w:color w:val="auto"/>
      </w:rPr>
    </w:lvl>
    <w:lvl w:ilvl="1">
      <w:start w:val="1"/>
      <w:numFmt w:val="decimal"/>
      <w:lvlText w:val="%1.%2"/>
      <w:lvlJc w:val="left"/>
      <w:pPr>
        <w:ind w:left="1429"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509" w:hanging="1800"/>
      </w:pPr>
      <w:rPr>
        <w:rFonts w:hint="default"/>
      </w:rPr>
    </w:lvl>
  </w:abstractNum>
  <w:abstractNum w:abstractNumId="2" w15:restartNumberingAfterBreak="0">
    <w:nsid w:val="3E260203"/>
    <w:multiLevelType w:val="hybridMultilevel"/>
    <w:tmpl w:val="9FC6FF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495C03"/>
    <w:multiLevelType w:val="hybridMultilevel"/>
    <w:tmpl w:val="664E52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784D033C"/>
    <w:multiLevelType w:val="multilevel"/>
    <w:tmpl w:val="DBFC07F8"/>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DE5212D"/>
    <w:multiLevelType w:val="multilevel"/>
    <w:tmpl w:val="45FC285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4"/>
  </w:num>
  <w:num w:numId="3">
    <w:abstractNumId w:val="2"/>
  </w:num>
  <w:num w:numId="4">
    <w:abstractNumId w:val="6"/>
  </w:num>
  <w:num w:numId="5">
    <w:abstractNumId w:val="1"/>
  </w:num>
  <w:num w:numId="6">
    <w:abstractNumId w:val="0"/>
  </w:num>
  <w:num w:numId="7">
    <w:abstractNumId w:val="5"/>
  </w:num>
  <w:num w:numId="8">
    <w:abstractNumId w:val="5"/>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1MjU2MTGxNDY3M7BQ0lEKTi0uzszPAykwsqwFAEDRFDotAAAA"/>
  </w:docVars>
  <w:rsids>
    <w:rsidRoot w:val="00E65E79"/>
    <w:rsid w:val="00000649"/>
    <w:rsid w:val="00000790"/>
    <w:rsid w:val="0000110B"/>
    <w:rsid w:val="00002838"/>
    <w:rsid w:val="0000289C"/>
    <w:rsid w:val="00002AE8"/>
    <w:rsid w:val="00002E1C"/>
    <w:rsid w:val="00002F74"/>
    <w:rsid w:val="00003499"/>
    <w:rsid w:val="000039B7"/>
    <w:rsid w:val="00003AE5"/>
    <w:rsid w:val="00003B7B"/>
    <w:rsid w:val="0000639A"/>
    <w:rsid w:val="00010625"/>
    <w:rsid w:val="000106F5"/>
    <w:rsid w:val="000109E2"/>
    <w:rsid w:val="00011DC3"/>
    <w:rsid w:val="00013247"/>
    <w:rsid w:val="00013D22"/>
    <w:rsid w:val="00014426"/>
    <w:rsid w:val="0001556C"/>
    <w:rsid w:val="00015886"/>
    <w:rsid w:val="000162EF"/>
    <w:rsid w:val="000169C2"/>
    <w:rsid w:val="00016DEF"/>
    <w:rsid w:val="00016EA7"/>
    <w:rsid w:val="0001716C"/>
    <w:rsid w:val="00017F31"/>
    <w:rsid w:val="00017FC3"/>
    <w:rsid w:val="000207C9"/>
    <w:rsid w:val="000208B6"/>
    <w:rsid w:val="000220CF"/>
    <w:rsid w:val="0002225F"/>
    <w:rsid w:val="0002236E"/>
    <w:rsid w:val="00022B4C"/>
    <w:rsid w:val="000234ED"/>
    <w:rsid w:val="00023763"/>
    <w:rsid w:val="00024009"/>
    <w:rsid w:val="000243D5"/>
    <w:rsid w:val="00024883"/>
    <w:rsid w:val="00024D92"/>
    <w:rsid w:val="00025108"/>
    <w:rsid w:val="00025579"/>
    <w:rsid w:val="00025B74"/>
    <w:rsid w:val="000268E9"/>
    <w:rsid w:val="00026903"/>
    <w:rsid w:val="000274B8"/>
    <w:rsid w:val="00030DC5"/>
    <w:rsid w:val="000325F7"/>
    <w:rsid w:val="00032B05"/>
    <w:rsid w:val="000336D5"/>
    <w:rsid w:val="000336F3"/>
    <w:rsid w:val="00033734"/>
    <w:rsid w:val="00033863"/>
    <w:rsid w:val="000338FC"/>
    <w:rsid w:val="00033BE5"/>
    <w:rsid w:val="0003450A"/>
    <w:rsid w:val="00034D7E"/>
    <w:rsid w:val="00035870"/>
    <w:rsid w:val="00035DC0"/>
    <w:rsid w:val="00035F51"/>
    <w:rsid w:val="000366A6"/>
    <w:rsid w:val="00036829"/>
    <w:rsid w:val="00036EC6"/>
    <w:rsid w:val="000374A4"/>
    <w:rsid w:val="00040895"/>
    <w:rsid w:val="00041122"/>
    <w:rsid w:val="00041BCF"/>
    <w:rsid w:val="0004323D"/>
    <w:rsid w:val="000435EE"/>
    <w:rsid w:val="000439A7"/>
    <w:rsid w:val="00043BCD"/>
    <w:rsid w:val="00043C37"/>
    <w:rsid w:val="00044493"/>
    <w:rsid w:val="00045017"/>
    <w:rsid w:val="00045675"/>
    <w:rsid w:val="00045A2B"/>
    <w:rsid w:val="0004608E"/>
    <w:rsid w:val="0004698F"/>
    <w:rsid w:val="00046FCF"/>
    <w:rsid w:val="00050EDB"/>
    <w:rsid w:val="0005124A"/>
    <w:rsid w:val="000517EC"/>
    <w:rsid w:val="00051FE8"/>
    <w:rsid w:val="00052075"/>
    <w:rsid w:val="00053160"/>
    <w:rsid w:val="0005330F"/>
    <w:rsid w:val="000539D0"/>
    <w:rsid w:val="00054621"/>
    <w:rsid w:val="000546D7"/>
    <w:rsid w:val="00055587"/>
    <w:rsid w:val="00055A85"/>
    <w:rsid w:val="000566E8"/>
    <w:rsid w:val="00056ECF"/>
    <w:rsid w:val="00057249"/>
    <w:rsid w:val="00060105"/>
    <w:rsid w:val="00060454"/>
    <w:rsid w:val="000604DF"/>
    <w:rsid w:val="0006069F"/>
    <w:rsid w:val="00061C2F"/>
    <w:rsid w:val="0006270E"/>
    <w:rsid w:val="00062E10"/>
    <w:rsid w:val="00064333"/>
    <w:rsid w:val="00064D1E"/>
    <w:rsid w:val="000653B5"/>
    <w:rsid w:val="00065D43"/>
    <w:rsid w:val="00066360"/>
    <w:rsid w:val="00066AF8"/>
    <w:rsid w:val="000700E1"/>
    <w:rsid w:val="00071248"/>
    <w:rsid w:val="000720B9"/>
    <w:rsid w:val="000737F7"/>
    <w:rsid w:val="00073AFD"/>
    <w:rsid w:val="00074388"/>
    <w:rsid w:val="00074E61"/>
    <w:rsid w:val="0007672F"/>
    <w:rsid w:val="00076B54"/>
    <w:rsid w:val="00076D0B"/>
    <w:rsid w:val="000774F0"/>
    <w:rsid w:val="0008046F"/>
    <w:rsid w:val="00080909"/>
    <w:rsid w:val="00080E81"/>
    <w:rsid w:val="000810F1"/>
    <w:rsid w:val="000812CA"/>
    <w:rsid w:val="00081E63"/>
    <w:rsid w:val="0008258D"/>
    <w:rsid w:val="00083E99"/>
    <w:rsid w:val="00084FA8"/>
    <w:rsid w:val="000850FE"/>
    <w:rsid w:val="00085146"/>
    <w:rsid w:val="000856C5"/>
    <w:rsid w:val="00085C31"/>
    <w:rsid w:val="00087009"/>
    <w:rsid w:val="00087042"/>
    <w:rsid w:val="000902D9"/>
    <w:rsid w:val="00090495"/>
    <w:rsid w:val="00090C7E"/>
    <w:rsid w:val="000916BA"/>
    <w:rsid w:val="00091EA3"/>
    <w:rsid w:val="00092600"/>
    <w:rsid w:val="0009262B"/>
    <w:rsid w:val="000927AA"/>
    <w:rsid w:val="00092D95"/>
    <w:rsid w:val="00093310"/>
    <w:rsid w:val="000941A2"/>
    <w:rsid w:val="0009445C"/>
    <w:rsid w:val="00095200"/>
    <w:rsid w:val="000955B2"/>
    <w:rsid w:val="00095A3F"/>
    <w:rsid w:val="00095F3E"/>
    <w:rsid w:val="00095FE5"/>
    <w:rsid w:val="00096284"/>
    <w:rsid w:val="000978CC"/>
    <w:rsid w:val="000A00F7"/>
    <w:rsid w:val="000A0383"/>
    <w:rsid w:val="000A1BC0"/>
    <w:rsid w:val="000A3D58"/>
    <w:rsid w:val="000A52A0"/>
    <w:rsid w:val="000A5E71"/>
    <w:rsid w:val="000A6039"/>
    <w:rsid w:val="000A69F7"/>
    <w:rsid w:val="000A6B6C"/>
    <w:rsid w:val="000A6CCB"/>
    <w:rsid w:val="000A7453"/>
    <w:rsid w:val="000A78B4"/>
    <w:rsid w:val="000A7D08"/>
    <w:rsid w:val="000B0121"/>
    <w:rsid w:val="000B0670"/>
    <w:rsid w:val="000B0E75"/>
    <w:rsid w:val="000B153B"/>
    <w:rsid w:val="000B18AE"/>
    <w:rsid w:val="000B239D"/>
    <w:rsid w:val="000B2DCB"/>
    <w:rsid w:val="000B4474"/>
    <w:rsid w:val="000B4CEC"/>
    <w:rsid w:val="000B53D4"/>
    <w:rsid w:val="000B541F"/>
    <w:rsid w:val="000B5CE0"/>
    <w:rsid w:val="000B641B"/>
    <w:rsid w:val="000B6A56"/>
    <w:rsid w:val="000B6CAC"/>
    <w:rsid w:val="000B7612"/>
    <w:rsid w:val="000B78AE"/>
    <w:rsid w:val="000B7C1F"/>
    <w:rsid w:val="000C1C1F"/>
    <w:rsid w:val="000C1FE4"/>
    <w:rsid w:val="000C273C"/>
    <w:rsid w:val="000C2EF1"/>
    <w:rsid w:val="000C3053"/>
    <w:rsid w:val="000C30B3"/>
    <w:rsid w:val="000C346F"/>
    <w:rsid w:val="000C36FA"/>
    <w:rsid w:val="000C3DCA"/>
    <w:rsid w:val="000C3DF9"/>
    <w:rsid w:val="000C4792"/>
    <w:rsid w:val="000C49C8"/>
    <w:rsid w:val="000C558B"/>
    <w:rsid w:val="000C6713"/>
    <w:rsid w:val="000C7847"/>
    <w:rsid w:val="000C7A10"/>
    <w:rsid w:val="000D0061"/>
    <w:rsid w:val="000D0844"/>
    <w:rsid w:val="000D1550"/>
    <w:rsid w:val="000D1BFC"/>
    <w:rsid w:val="000D1D5D"/>
    <w:rsid w:val="000D1E77"/>
    <w:rsid w:val="000D2409"/>
    <w:rsid w:val="000D25B7"/>
    <w:rsid w:val="000D281A"/>
    <w:rsid w:val="000D2848"/>
    <w:rsid w:val="000D326A"/>
    <w:rsid w:val="000D51FB"/>
    <w:rsid w:val="000D7A77"/>
    <w:rsid w:val="000D7BDE"/>
    <w:rsid w:val="000E011C"/>
    <w:rsid w:val="000E0640"/>
    <w:rsid w:val="000E135D"/>
    <w:rsid w:val="000E18D1"/>
    <w:rsid w:val="000E28FC"/>
    <w:rsid w:val="000E2D5A"/>
    <w:rsid w:val="000E4587"/>
    <w:rsid w:val="000E4866"/>
    <w:rsid w:val="000E4AC6"/>
    <w:rsid w:val="000E517F"/>
    <w:rsid w:val="000E54EA"/>
    <w:rsid w:val="000E56C7"/>
    <w:rsid w:val="000E581D"/>
    <w:rsid w:val="000F00BA"/>
    <w:rsid w:val="000F00C9"/>
    <w:rsid w:val="000F12E7"/>
    <w:rsid w:val="000F1BBE"/>
    <w:rsid w:val="000F261B"/>
    <w:rsid w:val="000F2DC6"/>
    <w:rsid w:val="000F316A"/>
    <w:rsid w:val="000F31BE"/>
    <w:rsid w:val="000F34BA"/>
    <w:rsid w:val="000F385E"/>
    <w:rsid w:val="000F3B59"/>
    <w:rsid w:val="000F3C74"/>
    <w:rsid w:val="000F4708"/>
    <w:rsid w:val="000F4748"/>
    <w:rsid w:val="000F4803"/>
    <w:rsid w:val="000F4BB8"/>
    <w:rsid w:val="000F4F80"/>
    <w:rsid w:val="000F4FA9"/>
    <w:rsid w:val="000F53FB"/>
    <w:rsid w:val="000F5BF8"/>
    <w:rsid w:val="000F7127"/>
    <w:rsid w:val="000F771F"/>
    <w:rsid w:val="000F797F"/>
    <w:rsid w:val="000F7B54"/>
    <w:rsid w:val="00100613"/>
    <w:rsid w:val="00100750"/>
    <w:rsid w:val="0010090F"/>
    <w:rsid w:val="00100F8A"/>
    <w:rsid w:val="00101183"/>
    <w:rsid w:val="00101552"/>
    <w:rsid w:val="00101568"/>
    <w:rsid w:val="00101722"/>
    <w:rsid w:val="00102767"/>
    <w:rsid w:val="00102C4D"/>
    <w:rsid w:val="00102CC7"/>
    <w:rsid w:val="00104173"/>
    <w:rsid w:val="00104254"/>
    <w:rsid w:val="0010452E"/>
    <w:rsid w:val="00104814"/>
    <w:rsid w:val="00104AC7"/>
    <w:rsid w:val="00105AE2"/>
    <w:rsid w:val="00105BC6"/>
    <w:rsid w:val="001060C6"/>
    <w:rsid w:val="0010673B"/>
    <w:rsid w:val="0010688B"/>
    <w:rsid w:val="00106B80"/>
    <w:rsid w:val="0010726E"/>
    <w:rsid w:val="0010782F"/>
    <w:rsid w:val="00107A83"/>
    <w:rsid w:val="0011032E"/>
    <w:rsid w:val="0011199D"/>
    <w:rsid w:val="00112CA4"/>
    <w:rsid w:val="00112D4A"/>
    <w:rsid w:val="0011348B"/>
    <w:rsid w:val="001136C6"/>
    <w:rsid w:val="001152F1"/>
    <w:rsid w:val="00115982"/>
    <w:rsid w:val="0011643C"/>
    <w:rsid w:val="00116C53"/>
    <w:rsid w:val="0011723D"/>
    <w:rsid w:val="00117793"/>
    <w:rsid w:val="00121799"/>
    <w:rsid w:val="001220CB"/>
    <w:rsid w:val="001222FC"/>
    <w:rsid w:val="001228F0"/>
    <w:rsid w:val="00122D97"/>
    <w:rsid w:val="001231F7"/>
    <w:rsid w:val="00123689"/>
    <w:rsid w:val="00123902"/>
    <w:rsid w:val="00123A55"/>
    <w:rsid w:val="0012425C"/>
    <w:rsid w:val="0012445D"/>
    <w:rsid w:val="00124A51"/>
    <w:rsid w:val="00125950"/>
    <w:rsid w:val="001260E0"/>
    <w:rsid w:val="00126315"/>
    <w:rsid w:val="00126621"/>
    <w:rsid w:val="00126B1D"/>
    <w:rsid w:val="001301E9"/>
    <w:rsid w:val="00130E93"/>
    <w:rsid w:val="00131CC6"/>
    <w:rsid w:val="00131D82"/>
    <w:rsid w:val="00132390"/>
    <w:rsid w:val="00132B22"/>
    <w:rsid w:val="00133BC1"/>
    <w:rsid w:val="00133D36"/>
    <w:rsid w:val="00134BA9"/>
    <w:rsid w:val="00134E59"/>
    <w:rsid w:val="001359D6"/>
    <w:rsid w:val="00136AEC"/>
    <w:rsid w:val="0013721E"/>
    <w:rsid w:val="00137645"/>
    <w:rsid w:val="0013781F"/>
    <w:rsid w:val="001378A3"/>
    <w:rsid w:val="0014015A"/>
    <w:rsid w:val="00140527"/>
    <w:rsid w:val="00140971"/>
    <w:rsid w:val="00140E99"/>
    <w:rsid w:val="00141D88"/>
    <w:rsid w:val="00143092"/>
    <w:rsid w:val="00143297"/>
    <w:rsid w:val="001435F1"/>
    <w:rsid w:val="00143F67"/>
    <w:rsid w:val="0014402F"/>
    <w:rsid w:val="001443A5"/>
    <w:rsid w:val="00145540"/>
    <w:rsid w:val="001456B0"/>
    <w:rsid w:val="00145992"/>
    <w:rsid w:val="00145CC1"/>
    <w:rsid w:val="00146FA1"/>
    <w:rsid w:val="00147167"/>
    <w:rsid w:val="001506BE"/>
    <w:rsid w:val="00150970"/>
    <w:rsid w:val="001522CF"/>
    <w:rsid w:val="001531D0"/>
    <w:rsid w:val="00154554"/>
    <w:rsid w:val="00154F34"/>
    <w:rsid w:val="00155712"/>
    <w:rsid w:val="001567FB"/>
    <w:rsid w:val="00156F59"/>
    <w:rsid w:val="00156F8F"/>
    <w:rsid w:val="00157130"/>
    <w:rsid w:val="001576B1"/>
    <w:rsid w:val="001601E2"/>
    <w:rsid w:val="0016047B"/>
    <w:rsid w:val="00160A4C"/>
    <w:rsid w:val="00162691"/>
    <w:rsid w:val="00162913"/>
    <w:rsid w:val="00162AD6"/>
    <w:rsid w:val="00163290"/>
    <w:rsid w:val="00163A6C"/>
    <w:rsid w:val="00163B44"/>
    <w:rsid w:val="00163D78"/>
    <w:rsid w:val="00163E5A"/>
    <w:rsid w:val="00163EFF"/>
    <w:rsid w:val="00163F66"/>
    <w:rsid w:val="0016431F"/>
    <w:rsid w:val="00164656"/>
    <w:rsid w:val="00164977"/>
    <w:rsid w:val="00164D97"/>
    <w:rsid w:val="00164F14"/>
    <w:rsid w:val="00165297"/>
    <w:rsid w:val="00166089"/>
    <w:rsid w:val="001661FB"/>
    <w:rsid w:val="00166D1D"/>
    <w:rsid w:val="001671A0"/>
    <w:rsid w:val="00167475"/>
    <w:rsid w:val="0016767F"/>
    <w:rsid w:val="00171B42"/>
    <w:rsid w:val="00173494"/>
    <w:rsid w:val="00173565"/>
    <w:rsid w:val="00173956"/>
    <w:rsid w:val="00173B07"/>
    <w:rsid w:val="001751FA"/>
    <w:rsid w:val="0017605F"/>
    <w:rsid w:val="00180170"/>
    <w:rsid w:val="001808C8"/>
    <w:rsid w:val="00181876"/>
    <w:rsid w:val="00181D9C"/>
    <w:rsid w:val="001827B7"/>
    <w:rsid w:val="00183410"/>
    <w:rsid w:val="001834BE"/>
    <w:rsid w:val="00183C7C"/>
    <w:rsid w:val="00184B0E"/>
    <w:rsid w:val="0018586E"/>
    <w:rsid w:val="00186266"/>
    <w:rsid w:val="0018752F"/>
    <w:rsid w:val="00187790"/>
    <w:rsid w:val="001936BD"/>
    <w:rsid w:val="00193838"/>
    <w:rsid w:val="00194585"/>
    <w:rsid w:val="00194AD8"/>
    <w:rsid w:val="00194BA7"/>
    <w:rsid w:val="00195222"/>
    <w:rsid w:val="001954F5"/>
    <w:rsid w:val="001975D8"/>
    <w:rsid w:val="0019796D"/>
    <w:rsid w:val="00197F59"/>
    <w:rsid w:val="001A178E"/>
    <w:rsid w:val="001A2EA3"/>
    <w:rsid w:val="001A322E"/>
    <w:rsid w:val="001A3E86"/>
    <w:rsid w:val="001A424F"/>
    <w:rsid w:val="001A43FA"/>
    <w:rsid w:val="001A47C5"/>
    <w:rsid w:val="001A4B9D"/>
    <w:rsid w:val="001A4E16"/>
    <w:rsid w:val="001A59FB"/>
    <w:rsid w:val="001A5E50"/>
    <w:rsid w:val="001A5E9E"/>
    <w:rsid w:val="001A6354"/>
    <w:rsid w:val="001A6366"/>
    <w:rsid w:val="001A710B"/>
    <w:rsid w:val="001A7AE8"/>
    <w:rsid w:val="001A7F2F"/>
    <w:rsid w:val="001B0BEA"/>
    <w:rsid w:val="001B162F"/>
    <w:rsid w:val="001B204E"/>
    <w:rsid w:val="001B2372"/>
    <w:rsid w:val="001B248A"/>
    <w:rsid w:val="001B3443"/>
    <w:rsid w:val="001B391E"/>
    <w:rsid w:val="001B4D20"/>
    <w:rsid w:val="001B4D34"/>
    <w:rsid w:val="001B61AB"/>
    <w:rsid w:val="001B6393"/>
    <w:rsid w:val="001B65F7"/>
    <w:rsid w:val="001B69CB"/>
    <w:rsid w:val="001B6B13"/>
    <w:rsid w:val="001B71EA"/>
    <w:rsid w:val="001B74C4"/>
    <w:rsid w:val="001C0D0B"/>
    <w:rsid w:val="001C1CC3"/>
    <w:rsid w:val="001C2A9B"/>
    <w:rsid w:val="001C326F"/>
    <w:rsid w:val="001C4299"/>
    <w:rsid w:val="001C4874"/>
    <w:rsid w:val="001C5689"/>
    <w:rsid w:val="001C5841"/>
    <w:rsid w:val="001C5970"/>
    <w:rsid w:val="001C5BC5"/>
    <w:rsid w:val="001C5E56"/>
    <w:rsid w:val="001C5F94"/>
    <w:rsid w:val="001C62B0"/>
    <w:rsid w:val="001C6872"/>
    <w:rsid w:val="001C6C18"/>
    <w:rsid w:val="001C6E66"/>
    <w:rsid w:val="001C7FC0"/>
    <w:rsid w:val="001D04A2"/>
    <w:rsid w:val="001D1100"/>
    <w:rsid w:val="001D1391"/>
    <w:rsid w:val="001D1956"/>
    <w:rsid w:val="001D1FB0"/>
    <w:rsid w:val="001D25D7"/>
    <w:rsid w:val="001D272D"/>
    <w:rsid w:val="001D2C55"/>
    <w:rsid w:val="001D32DB"/>
    <w:rsid w:val="001D3981"/>
    <w:rsid w:val="001D50B2"/>
    <w:rsid w:val="001D5278"/>
    <w:rsid w:val="001D5B7F"/>
    <w:rsid w:val="001D68B2"/>
    <w:rsid w:val="001D7645"/>
    <w:rsid w:val="001D77EE"/>
    <w:rsid w:val="001D7E21"/>
    <w:rsid w:val="001E017B"/>
    <w:rsid w:val="001E1E86"/>
    <w:rsid w:val="001E1EC7"/>
    <w:rsid w:val="001E1F12"/>
    <w:rsid w:val="001E216F"/>
    <w:rsid w:val="001E238E"/>
    <w:rsid w:val="001E2483"/>
    <w:rsid w:val="001E2B1E"/>
    <w:rsid w:val="001E2CFF"/>
    <w:rsid w:val="001E2F24"/>
    <w:rsid w:val="001E30D4"/>
    <w:rsid w:val="001E34DF"/>
    <w:rsid w:val="001E3EE7"/>
    <w:rsid w:val="001E4C17"/>
    <w:rsid w:val="001E52EB"/>
    <w:rsid w:val="001E61D2"/>
    <w:rsid w:val="001E69AE"/>
    <w:rsid w:val="001E740C"/>
    <w:rsid w:val="001E786A"/>
    <w:rsid w:val="001E78D3"/>
    <w:rsid w:val="001E7EC6"/>
    <w:rsid w:val="001F0540"/>
    <w:rsid w:val="001F0D48"/>
    <w:rsid w:val="001F1084"/>
    <w:rsid w:val="001F1235"/>
    <w:rsid w:val="001F1CB3"/>
    <w:rsid w:val="001F2DFC"/>
    <w:rsid w:val="001F3875"/>
    <w:rsid w:val="001F38B5"/>
    <w:rsid w:val="001F38D3"/>
    <w:rsid w:val="001F4081"/>
    <w:rsid w:val="001F518A"/>
    <w:rsid w:val="001F583F"/>
    <w:rsid w:val="001F6743"/>
    <w:rsid w:val="001F7361"/>
    <w:rsid w:val="001F777C"/>
    <w:rsid w:val="0020076F"/>
    <w:rsid w:val="002011B0"/>
    <w:rsid w:val="00203181"/>
    <w:rsid w:val="002032EE"/>
    <w:rsid w:val="00203783"/>
    <w:rsid w:val="0020385F"/>
    <w:rsid w:val="0020387C"/>
    <w:rsid w:val="00203956"/>
    <w:rsid w:val="00203CBF"/>
    <w:rsid w:val="002068A0"/>
    <w:rsid w:val="00207021"/>
    <w:rsid w:val="0020732F"/>
    <w:rsid w:val="00207D00"/>
    <w:rsid w:val="002105C1"/>
    <w:rsid w:val="00210A25"/>
    <w:rsid w:val="00210A96"/>
    <w:rsid w:val="002118B1"/>
    <w:rsid w:val="00211AF4"/>
    <w:rsid w:val="00211C8B"/>
    <w:rsid w:val="0021247B"/>
    <w:rsid w:val="00213EF5"/>
    <w:rsid w:val="00214ED4"/>
    <w:rsid w:val="00214FC8"/>
    <w:rsid w:val="00214FE0"/>
    <w:rsid w:val="00215BFD"/>
    <w:rsid w:val="00215F25"/>
    <w:rsid w:val="002163CF"/>
    <w:rsid w:val="00216BF5"/>
    <w:rsid w:val="00217869"/>
    <w:rsid w:val="00220CA9"/>
    <w:rsid w:val="00221306"/>
    <w:rsid w:val="00222D8C"/>
    <w:rsid w:val="00223B49"/>
    <w:rsid w:val="00223D5A"/>
    <w:rsid w:val="002244E4"/>
    <w:rsid w:val="00224DD4"/>
    <w:rsid w:val="0022523C"/>
    <w:rsid w:val="002255E4"/>
    <w:rsid w:val="00225E69"/>
    <w:rsid w:val="00226783"/>
    <w:rsid w:val="002274CF"/>
    <w:rsid w:val="002278A0"/>
    <w:rsid w:val="002309CC"/>
    <w:rsid w:val="00230EB9"/>
    <w:rsid w:val="002313FD"/>
    <w:rsid w:val="00231FB2"/>
    <w:rsid w:val="0023209F"/>
    <w:rsid w:val="00232A74"/>
    <w:rsid w:val="002337D9"/>
    <w:rsid w:val="002339AF"/>
    <w:rsid w:val="00233B5B"/>
    <w:rsid w:val="00233C01"/>
    <w:rsid w:val="00233FB8"/>
    <w:rsid w:val="0023413C"/>
    <w:rsid w:val="002342CC"/>
    <w:rsid w:val="002346F0"/>
    <w:rsid w:val="002347DD"/>
    <w:rsid w:val="002353A0"/>
    <w:rsid w:val="0023625C"/>
    <w:rsid w:val="0023629D"/>
    <w:rsid w:val="002369AA"/>
    <w:rsid w:val="002369B6"/>
    <w:rsid w:val="00237255"/>
    <w:rsid w:val="00237EFA"/>
    <w:rsid w:val="0024217C"/>
    <w:rsid w:val="002424AF"/>
    <w:rsid w:val="0024280A"/>
    <w:rsid w:val="00242838"/>
    <w:rsid w:val="00242F3C"/>
    <w:rsid w:val="00242F8B"/>
    <w:rsid w:val="002435E5"/>
    <w:rsid w:val="002439DC"/>
    <w:rsid w:val="002440E4"/>
    <w:rsid w:val="002441D2"/>
    <w:rsid w:val="002445ED"/>
    <w:rsid w:val="00244A8D"/>
    <w:rsid w:val="00244DC8"/>
    <w:rsid w:val="002450A5"/>
    <w:rsid w:val="00245852"/>
    <w:rsid w:val="002458BA"/>
    <w:rsid w:val="00245CA3"/>
    <w:rsid w:val="00245CE9"/>
    <w:rsid w:val="00245D79"/>
    <w:rsid w:val="0024600F"/>
    <w:rsid w:val="0024636C"/>
    <w:rsid w:val="00246B83"/>
    <w:rsid w:val="00247925"/>
    <w:rsid w:val="0024795F"/>
    <w:rsid w:val="00250BC8"/>
    <w:rsid w:val="00251006"/>
    <w:rsid w:val="00251586"/>
    <w:rsid w:val="0025238E"/>
    <w:rsid w:val="002524D5"/>
    <w:rsid w:val="00253190"/>
    <w:rsid w:val="00253778"/>
    <w:rsid w:val="00253B1D"/>
    <w:rsid w:val="00253DAA"/>
    <w:rsid w:val="002542E6"/>
    <w:rsid w:val="00254734"/>
    <w:rsid w:val="00254C83"/>
    <w:rsid w:val="00254DCF"/>
    <w:rsid w:val="0025534B"/>
    <w:rsid w:val="00255AA3"/>
    <w:rsid w:val="00255BB7"/>
    <w:rsid w:val="00255D9F"/>
    <w:rsid w:val="00256501"/>
    <w:rsid w:val="00256D98"/>
    <w:rsid w:val="00257515"/>
    <w:rsid w:val="00257520"/>
    <w:rsid w:val="00257541"/>
    <w:rsid w:val="00257A39"/>
    <w:rsid w:val="00257AC4"/>
    <w:rsid w:val="002602A6"/>
    <w:rsid w:val="00260832"/>
    <w:rsid w:val="0026085F"/>
    <w:rsid w:val="002615BE"/>
    <w:rsid w:val="002616B6"/>
    <w:rsid w:val="00261EEF"/>
    <w:rsid w:val="00262A1A"/>
    <w:rsid w:val="00262A87"/>
    <w:rsid w:val="00264D26"/>
    <w:rsid w:val="0026518F"/>
    <w:rsid w:val="00265B49"/>
    <w:rsid w:val="00266013"/>
    <w:rsid w:val="00266DEA"/>
    <w:rsid w:val="00267642"/>
    <w:rsid w:val="00267AEA"/>
    <w:rsid w:val="00267DAA"/>
    <w:rsid w:val="002700E6"/>
    <w:rsid w:val="0027039A"/>
    <w:rsid w:val="0027140F"/>
    <w:rsid w:val="002719B1"/>
    <w:rsid w:val="00271BF9"/>
    <w:rsid w:val="00272378"/>
    <w:rsid w:val="0027294B"/>
    <w:rsid w:val="00273479"/>
    <w:rsid w:val="00273E0A"/>
    <w:rsid w:val="00273EB4"/>
    <w:rsid w:val="00274682"/>
    <w:rsid w:val="00275C5A"/>
    <w:rsid w:val="002775FA"/>
    <w:rsid w:val="00281014"/>
    <w:rsid w:val="002811F7"/>
    <w:rsid w:val="00282D44"/>
    <w:rsid w:val="002832A3"/>
    <w:rsid w:val="00283FCD"/>
    <w:rsid w:val="00284991"/>
    <w:rsid w:val="002851F4"/>
    <w:rsid w:val="0028559E"/>
    <w:rsid w:val="0028665D"/>
    <w:rsid w:val="00286BF1"/>
    <w:rsid w:val="00287653"/>
    <w:rsid w:val="002877BA"/>
    <w:rsid w:val="0029000C"/>
    <w:rsid w:val="002916BB"/>
    <w:rsid w:val="00291DF5"/>
    <w:rsid w:val="00292D91"/>
    <w:rsid w:val="002936AE"/>
    <w:rsid w:val="00294958"/>
    <w:rsid w:val="00294E38"/>
    <w:rsid w:val="002A14AB"/>
    <w:rsid w:val="002A14CA"/>
    <w:rsid w:val="002A1C7F"/>
    <w:rsid w:val="002A2028"/>
    <w:rsid w:val="002A271C"/>
    <w:rsid w:val="002A2ADE"/>
    <w:rsid w:val="002A2DF0"/>
    <w:rsid w:val="002A2E12"/>
    <w:rsid w:val="002A2F50"/>
    <w:rsid w:val="002A35E9"/>
    <w:rsid w:val="002A38F4"/>
    <w:rsid w:val="002A3987"/>
    <w:rsid w:val="002A3E4C"/>
    <w:rsid w:val="002A4C2D"/>
    <w:rsid w:val="002A5029"/>
    <w:rsid w:val="002A5713"/>
    <w:rsid w:val="002A5BB6"/>
    <w:rsid w:val="002A6119"/>
    <w:rsid w:val="002A61C8"/>
    <w:rsid w:val="002A68A4"/>
    <w:rsid w:val="002B05A1"/>
    <w:rsid w:val="002B079B"/>
    <w:rsid w:val="002B09A4"/>
    <w:rsid w:val="002B1C1F"/>
    <w:rsid w:val="002B2D14"/>
    <w:rsid w:val="002B33AC"/>
    <w:rsid w:val="002B3F23"/>
    <w:rsid w:val="002B432F"/>
    <w:rsid w:val="002B4920"/>
    <w:rsid w:val="002B4AFA"/>
    <w:rsid w:val="002B54C8"/>
    <w:rsid w:val="002B62B3"/>
    <w:rsid w:val="002B6754"/>
    <w:rsid w:val="002B677B"/>
    <w:rsid w:val="002B6C55"/>
    <w:rsid w:val="002B6CCE"/>
    <w:rsid w:val="002C05DE"/>
    <w:rsid w:val="002C0DEB"/>
    <w:rsid w:val="002C2349"/>
    <w:rsid w:val="002C2510"/>
    <w:rsid w:val="002C2775"/>
    <w:rsid w:val="002C27C1"/>
    <w:rsid w:val="002C28ED"/>
    <w:rsid w:val="002C3BB2"/>
    <w:rsid w:val="002C4937"/>
    <w:rsid w:val="002C4ACB"/>
    <w:rsid w:val="002C4CB5"/>
    <w:rsid w:val="002C4D51"/>
    <w:rsid w:val="002C4F34"/>
    <w:rsid w:val="002C5099"/>
    <w:rsid w:val="002C5889"/>
    <w:rsid w:val="002C71CE"/>
    <w:rsid w:val="002C78B7"/>
    <w:rsid w:val="002D08F8"/>
    <w:rsid w:val="002D0970"/>
    <w:rsid w:val="002D1ABE"/>
    <w:rsid w:val="002D2111"/>
    <w:rsid w:val="002D2CDD"/>
    <w:rsid w:val="002D4052"/>
    <w:rsid w:val="002D4307"/>
    <w:rsid w:val="002D4FF0"/>
    <w:rsid w:val="002D577C"/>
    <w:rsid w:val="002D5A6E"/>
    <w:rsid w:val="002D5CB5"/>
    <w:rsid w:val="002D7BAE"/>
    <w:rsid w:val="002E1071"/>
    <w:rsid w:val="002E10A0"/>
    <w:rsid w:val="002E15B9"/>
    <w:rsid w:val="002E15D3"/>
    <w:rsid w:val="002E20FB"/>
    <w:rsid w:val="002E2158"/>
    <w:rsid w:val="002E23CD"/>
    <w:rsid w:val="002E3133"/>
    <w:rsid w:val="002E4F02"/>
    <w:rsid w:val="002E5976"/>
    <w:rsid w:val="002E62B5"/>
    <w:rsid w:val="002E69D6"/>
    <w:rsid w:val="002E7722"/>
    <w:rsid w:val="002E7875"/>
    <w:rsid w:val="002F07BA"/>
    <w:rsid w:val="002F0911"/>
    <w:rsid w:val="002F0DA9"/>
    <w:rsid w:val="002F1014"/>
    <w:rsid w:val="002F1FF7"/>
    <w:rsid w:val="002F2178"/>
    <w:rsid w:val="002F3F39"/>
    <w:rsid w:val="002F4D42"/>
    <w:rsid w:val="002F5019"/>
    <w:rsid w:val="002F528C"/>
    <w:rsid w:val="002F5379"/>
    <w:rsid w:val="002F643C"/>
    <w:rsid w:val="002F6F47"/>
    <w:rsid w:val="002F71C0"/>
    <w:rsid w:val="002F74F1"/>
    <w:rsid w:val="00300CCD"/>
    <w:rsid w:val="00301017"/>
    <w:rsid w:val="0030110F"/>
    <w:rsid w:val="003014B3"/>
    <w:rsid w:val="0030155F"/>
    <w:rsid w:val="0030289C"/>
    <w:rsid w:val="00303148"/>
    <w:rsid w:val="0030429F"/>
    <w:rsid w:val="00305206"/>
    <w:rsid w:val="0030587B"/>
    <w:rsid w:val="00305CB2"/>
    <w:rsid w:val="00306CE0"/>
    <w:rsid w:val="00306D98"/>
    <w:rsid w:val="0030786C"/>
    <w:rsid w:val="003102B1"/>
    <w:rsid w:val="0031031A"/>
    <w:rsid w:val="0031049D"/>
    <w:rsid w:val="00310981"/>
    <w:rsid w:val="00311214"/>
    <w:rsid w:val="0031158B"/>
    <w:rsid w:val="00311BFB"/>
    <w:rsid w:val="003124D9"/>
    <w:rsid w:val="00312594"/>
    <w:rsid w:val="00312CE0"/>
    <w:rsid w:val="00312DAA"/>
    <w:rsid w:val="00314FD1"/>
    <w:rsid w:val="00315119"/>
    <w:rsid w:val="00315498"/>
    <w:rsid w:val="00316474"/>
    <w:rsid w:val="003205E4"/>
    <w:rsid w:val="00320C88"/>
    <w:rsid w:val="00322107"/>
    <w:rsid w:val="00322355"/>
    <w:rsid w:val="00322846"/>
    <w:rsid w:val="00322E71"/>
    <w:rsid w:val="003243B7"/>
    <w:rsid w:val="00324BE4"/>
    <w:rsid w:val="00325996"/>
    <w:rsid w:val="00326DA7"/>
    <w:rsid w:val="00326FC0"/>
    <w:rsid w:val="003270E4"/>
    <w:rsid w:val="00330238"/>
    <w:rsid w:val="00330D77"/>
    <w:rsid w:val="00330DAA"/>
    <w:rsid w:val="00330EA2"/>
    <w:rsid w:val="00330F0B"/>
    <w:rsid w:val="00330F5C"/>
    <w:rsid w:val="00331203"/>
    <w:rsid w:val="00331765"/>
    <w:rsid w:val="00332CC8"/>
    <w:rsid w:val="003336B6"/>
    <w:rsid w:val="00333E24"/>
    <w:rsid w:val="00335D76"/>
    <w:rsid w:val="003366C9"/>
    <w:rsid w:val="003371B0"/>
    <w:rsid w:val="00337C4E"/>
    <w:rsid w:val="00340453"/>
    <w:rsid w:val="003405FF"/>
    <w:rsid w:val="0034087F"/>
    <w:rsid w:val="00340DF1"/>
    <w:rsid w:val="00341498"/>
    <w:rsid w:val="00344CFE"/>
    <w:rsid w:val="00344DBC"/>
    <w:rsid w:val="00345A82"/>
    <w:rsid w:val="00345D49"/>
    <w:rsid w:val="0034627A"/>
    <w:rsid w:val="003472D9"/>
    <w:rsid w:val="00347608"/>
    <w:rsid w:val="00347890"/>
    <w:rsid w:val="0035147E"/>
    <w:rsid w:val="003517F9"/>
    <w:rsid w:val="00351964"/>
    <w:rsid w:val="00351BA9"/>
    <w:rsid w:val="0035218A"/>
    <w:rsid w:val="003524B2"/>
    <w:rsid w:val="00354F64"/>
    <w:rsid w:val="0035511D"/>
    <w:rsid w:val="003557D9"/>
    <w:rsid w:val="0035620E"/>
    <w:rsid w:val="00356AB5"/>
    <w:rsid w:val="00357201"/>
    <w:rsid w:val="00357485"/>
    <w:rsid w:val="003578FF"/>
    <w:rsid w:val="00360345"/>
    <w:rsid w:val="00360359"/>
    <w:rsid w:val="00360B9A"/>
    <w:rsid w:val="00361A05"/>
    <w:rsid w:val="003624C4"/>
    <w:rsid w:val="00363435"/>
    <w:rsid w:val="00363B00"/>
    <w:rsid w:val="003648A8"/>
    <w:rsid w:val="00364B70"/>
    <w:rsid w:val="003654AC"/>
    <w:rsid w:val="0036555D"/>
    <w:rsid w:val="003655E7"/>
    <w:rsid w:val="00366262"/>
    <w:rsid w:val="00370789"/>
    <w:rsid w:val="003710CF"/>
    <w:rsid w:val="003711FA"/>
    <w:rsid w:val="00371AB0"/>
    <w:rsid w:val="00371BF2"/>
    <w:rsid w:val="00371F02"/>
    <w:rsid w:val="00372B76"/>
    <w:rsid w:val="0037358A"/>
    <w:rsid w:val="003750F6"/>
    <w:rsid w:val="00375B10"/>
    <w:rsid w:val="003760FC"/>
    <w:rsid w:val="0037638D"/>
    <w:rsid w:val="003775A3"/>
    <w:rsid w:val="003805A3"/>
    <w:rsid w:val="00381F5B"/>
    <w:rsid w:val="00382691"/>
    <w:rsid w:val="00382B15"/>
    <w:rsid w:val="0038365C"/>
    <w:rsid w:val="0038369B"/>
    <w:rsid w:val="00383B78"/>
    <w:rsid w:val="00383F39"/>
    <w:rsid w:val="00384854"/>
    <w:rsid w:val="00385020"/>
    <w:rsid w:val="00385504"/>
    <w:rsid w:val="00385A9D"/>
    <w:rsid w:val="00386568"/>
    <w:rsid w:val="00387836"/>
    <w:rsid w:val="003902B1"/>
    <w:rsid w:val="0039060D"/>
    <w:rsid w:val="0039179C"/>
    <w:rsid w:val="003918A6"/>
    <w:rsid w:val="003921BB"/>
    <w:rsid w:val="003925B7"/>
    <w:rsid w:val="00393339"/>
    <w:rsid w:val="00393DEB"/>
    <w:rsid w:val="00394B0A"/>
    <w:rsid w:val="003964AE"/>
    <w:rsid w:val="0039666E"/>
    <w:rsid w:val="00396896"/>
    <w:rsid w:val="00396FD0"/>
    <w:rsid w:val="00397CFD"/>
    <w:rsid w:val="003A107B"/>
    <w:rsid w:val="003A1A7A"/>
    <w:rsid w:val="003A2392"/>
    <w:rsid w:val="003A2831"/>
    <w:rsid w:val="003A3438"/>
    <w:rsid w:val="003A3B5C"/>
    <w:rsid w:val="003A3CB6"/>
    <w:rsid w:val="003A3ED1"/>
    <w:rsid w:val="003A44DB"/>
    <w:rsid w:val="003A4955"/>
    <w:rsid w:val="003A4B82"/>
    <w:rsid w:val="003A4D9D"/>
    <w:rsid w:val="003A53D6"/>
    <w:rsid w:val="003A6EEE"/>
    <w:rsid w:val="003A7662"/>
    <w:rsid w:val="003A7C20"/>
    <w:rsid w:val="003A7E25"/>
    <w:rsid w:val="003A7F2B"/>
    <w:rsid w:val="003B01AE"/>
    <w:rsid w:val="003B096A"/>
    <w:rsid w:val="003B10B2"/>
    <w:rsid w:val="003B2DAC"/>
    <w:rsid w:val="003B3836"/>
    <w:rsid w:val="003B3925"/>
    <w:rsid w:val="003B3971"/>
    <w:rsid w:val="003B3BE4"/>
    <w:rsid w:val="003B55D1"/>
    <w:rsid w:val="003B5688"/>
    <w:rsid w:val="003B5B61"/>
    <w:rsid w:val="003B5BAB"/>
    <w:rsid w:val="003B6350"/>
    <w:rsid w:val="003B69E4"/>
    <w:rsid w:val="003B7233"/>
    <w:rsid w:val="003B7937"/>
    <w:rsid w:val="003B7BD2"/>
    <w:rsid w:val="003C1654"/>
    <w:rsid w:val="003C2339"/>
    <w:rsid w:val="003C26BC"/>
    <w:rsid w:val="003C2CAB"/>
    <w:rsid w:val="003C4FDA"/>
    <w:rsid w:val="003C5542"/>
    <w:rsid w:val="003C55F4"/>
    <w:rsid w:val="003C5941"/>
    <w:rsid w:val="003C61F8"/>
    <w:rsid w:val="003C6224"/>
    <w:rsid w:val="003C708A"/>
    <w:rsid w:val="003C7D19"/>
    <w:rsid w:val="003C7D2F"/>
    <w:rsid w:val="003D0FA7"/>
    <w:rsid w:val="003D11D9"/>
    <w:rsid w:val="003D158F"/>
    <w:rsid w:val="003D1828"/>
    <w:rsid w:val="003D1D71"/>
    <w:rsid w:val="003D1D91"/>
    <w:rsid w:val="003D1DE4"/>
    <w:rsid w:val="003D1E9A"/>
    <w:rsid w:val="003D2422"/>
    <w:rsid w:val="003D3781"/>
    <w:rsid w:val="003D39A1"/>
    <w:rsid w:val="003D3FBF"/>
    <w:rsid w:val="003D463F"/>
    <w:rsid w:val="003D4A30"/>
    <w:rsid w:val="003D53A7"/>
    <w:rsid w:val="003D59E7"/>
    <w:rsid w:val="003D5B22"/>
    <w:rsid w:val="003D603E"/>
    <w:rsid w:val="003D737B"/>
    <w:rsid w:val="003D7452"/>
    <w:rsid w:val="003D79BB"/>
    <w:rsid w:val="003D7C98"/>
    <w:rsid w:val="003D7D9D"/>
    <w:rsid w:val="003E04C4"/>
    <w:rsid w:val="003E0543"/>
    <w:rsid w:val="003E0D1D"/>
    <w:rsid w:val="003E1B15"/>
    <w:rsid w:val="003E23E9"/>
    <w:rsid w:val="003E2D9E"/>
    <w:rsid w:val="003E35E2"/>
    <w:rsid w:val="003E3B24"/>
    <w:rsid w:val="003E3D33"/>
    <w:rsid w:val="003E4CAB"/>
    <w:rsid w:val="003E4F5E"/>
    <w:rsid w:val="003E4FB8"/>
    <w:rsid w:val="003E50AD"/>
    <w:rsid w:val="003E6820"/>
    <w:rsid w:val="003E6CE5"/>
    <w:rsid w:val="003E749E"/>
    <w:rsid w:val="003E7BD3"/>
    <w:rsid w:val="003E7DF2"/>
    <w:rsid w:val="003F0C3B"/>
    <w:rsid w:val="003F2112"/>
    <w:rsid w:val="003F261A"/>
    <w:rsid w:val="003F2F2D"/>
    <w:rsid w:val="003F38DE"/>
    <w:rsid w:val="003F4156"/>
    <w:rsid w:val="003F4EB6"/>
    <w:rsid w:val="003F5ADF"/>
    <w:rsid w:val="003F5D63"/>
    <w:rsid w:val="003F64E7"/>
    <w:rsid w:val="003F6752"/>
    <w:rsid w:val="00400B29"/>
    <w:rsid w:val="00400E44"/>
    <w:rsid w:val="00400E4B"/>
    <w:rsid w:val="00401160"/>
    <w:rsid w:val="0040150B"/>
    <w:rsid w:val="0040158C"/>
    <w:rsid w:val="004020E7"/>
    <w:rsid w:val="004033A1"/>
    <w:rsid w:val="00403A6F"/>
    <w:rsid w:val="00404990"/>
    <w:rsid w:val="00404D70"/>
    <w:rsid w:val="0040504B"/>
    <w:rsid w:val="004050EC"/>
    <w:rsid w:val="004059F4"/>
    <w:rsid w:val="00405E08"/>
    <w:rsid w:val="00405FF3"/>
    <w:rsid w:val="00407092"/>
    <w:rsid w:val="00407715"/>
    <w:rsid w:val="0040797F"/>
    <w:rsid w:val="00407D78"/>
    <w:rsid w:val="00407FE5"/>
    <w:rsid w:val="004101B0"/>
    <w:rsid w:val="00410326"/>
    <w:rsid w:val="00410708"/>
    <w:rsid w:val="00410EC7"/>
    <w:rsid w:val="00411B2D"/>
    <w:rsid w:val="00411B39"/>
    <w:rsid w:val="004120A5"/>
    <w:rsid w:val="004127A7"/>
    <w:rsid w:val="00412BCE"/>
    <w:rsid w:val="00413170"/>
    <w:rsid w:val="00413898"/>
    <w:rsid w:val="00413A1E"/>
    <w:rsid w:val="00413A8F"/>
    <w:rsid w:val="00413F85"/>
    <w:rsid w:val="00414385"/>
    <w:rsid w:val="00414476"/>
    <w:rsid w:val="00414C2E"/>
    <w:rsid w:val="004151CF"/>
    <w:rsid w:val="00415688"/>
    <w:rsid w:val="00415913"/>
    <w:rsid w:val="0041635A"/>
    <w:rsid w:val="00416364"/>
    <w:rsid w:val="00416F64"/>
    <w:rsid w:val="0042047F"/>
    <w:rsid w:val="004204D8"/>
    <w:rsid w:val="00420790"/>
    <w:rsid w:val="00420794"/>
    <w:rsid w:val="00420AA6"/>
    <w:rsid w:val="00420B9F"/>
    <w:rsid w:val="0042192C"/>
    <w:rsid w:val="00422194"/>
    <w:rsid w:val="00422260"/>
    <w:rsid w:val="0042234E"/>
    <w:rsid w:val="00422E3E"/>
    <w:rsid w:val="00422FE2"/>
    <w:rsid w:val="00423BA9"/>
    <w:rsid w:val="0042413F"/>
    <w:rsid w:val="0042506A"/>
    <w:rsid w:val="004256D7"/>
    <w:rsid w:val="00425C7F"/>
    <w:rsid w:val="00426B25"/>
    <w:rsid w:val="004271B9"/>
    <w:rsid w:val="00427A32"/>
    <w:rsid w:val="00430325"/>
    <w:rsid w:val="004312A6"/>
    <w:rsid w:val="00431513"/>
    <w:rsid w:val="004319F8"/>
    <w:rsid w:val="00431E55"/>
    <w:rsid w:val="004321F6"/>
    <w:rsid w:val="004325BE"/>
    <w:rsid w:val="004329AE"/>
    <w:rsid w:val="00432D3E"/>
    <w:rsid w:val="00433044"/>
    <w:rsid w:val="0043391A"/>
    <w:rsid w:val="00433F17"/>
    <w:rsid w:val="00434088"/>
    <w:rsid w:val="00434294"/>
    <w:rsid w:val="00434C6A"/>
    <w:rsid w:val="0043509F"/>
    <w:rsid w:val="0043611D"/>
    <w:rsid w:val="00436716"/>
    <w:rsid w:val="00436A06"/>
    <w:rsid w:val="00436F6F"/>
    <w:rsid w:val="004375B9"/>
    <w:rsid w:val="00441727"/>
    <w:rsid w:val="00441DAC"/>
    <w:rsid w:val="004424B8"/>
    <w:rsid w:val="004428D0"/>
    <w:rsid w:val="004434E6"/>
    <w:rsid w:val="004437CE"/>
    <w:rsid w:val="00444185"/>
    <w:rsid w:val="004443A7"/>
    <w:rsid w:val="0044442C"/>
    <w:rsid w:val="00444B08"/>
    <w:rsid w:val="0044559D"/>
    <w:rsid w:val="004455A4"/>
    <w:rsid w:val="00445737"/>
    <w:rsid w:val="00445941"/>
    <w:rsid w:val="00445C87"/>
    <w:rsid w:val="004464EB"/>
    <w:rsid w:val="0044695A"/>
    <w:rsid w:val="00446A98"/>
    <w:rsid w:val="00446C5B"/>
    <w:rsid w:val="00446E0D"/>
    <w:rsid w:val="00447D26"/>
    <w:rsid w:val="00447DFC"/>
    <w:rsid w:val="00447F33"/>
    <w:rsid w:val="00450AA7"/>
    <w:rsid w:val="004557C8"/>
    <w:rsid w:val="00455CED"/>
    <w:rsid w:val="00455D45"/>
    <w:rsid w:val="00455F42"/>
    <w:rsid w:val="00456102"/>
    <w:rsid w:val="00457D26"/>
    <w:rsid w:val="00457F56"/>
    <w:rsid w:val="004613B3"/>
    <w:rsid w:val="00462855"/>
    <w:rsid w:val="00462906"/>
    <w:rsid w:val="00462DD3"/>
    <w:rsid w:val="00462E63"/>
    <w:rsid w:val="00463339"/>
    <w:rsid w:val="00463B5C"/>
    <w:rsid w:val="00464595"/>
    <w:rsid w:val="00464C58"/>
    <w:rsid w:val="004650A7"/>
    <w:rsid w:val="004658B5"/>
    <w:rsid w:val="00466F77"/>
    <w:rsid w:val="004671A1"/>
    <w:rsid w:val="00467C0C"/>
    <w:rsid w:val="00471548"/>
    <w:rsid w:val="00471BB7"/>
    <w:rsid w:val="00471EA5"/>
    <w:rsid w:val="00472453"/>
    <w:rsid w:val="0047262E"/>
    <w:rsid w:val="00472A79"/>
    <w:rsid w:val="00473128"/>
    <w:rsid w:val="00473F19"/>
    <w:rsid w:val="0047451B"/>
    <w:rsid w:val="00475E22"/>
    <w:rsid w:val="004765E7"/>
    <w:rsid w:val="004768DF"/>
    <w:rsid w:val="00477263"/>
    <w:rsid w:val="00477814"/>
    <w:rsid w:val="004800ED"/>
    <w:rsid w:val="0048020E"/>
    <w:rsid w:val="0048088E"/>
    <w:rsid w:val="00480F2B"/>
    <w:rsid w:val="00480F5F"/>
    <w:rsid w:val="00482720"/>
    <w:rsid w:val="0048301D"/>
    <w:rsid w:val="004833E3"/>
    <w:rsid w:val="004835E7"/>
    <w:rsid w:val="0048416B"/>
    <w:rsid w:val="004843D3"/>
    <w:rsid w:val="00485A12"/>
    <w:rsid w:val="00485A86"/>
    <w:rsid w:val="004867E2"/>
    <w:rsid w:val="0048744B"/>
    <w:rsid w:val="00490379"/>
    <w:rsid w:val="00490A72"/>
    <w:rsid w:val="00490B17"/>
    <w:rsid w:val="00490C09"/>
    <w:rsid w:val="00491B3A"/>
    <w:rsid w:val="00491B88"/>
    <w:rsid w:val="00491EE3"/>
    <w:rsid w:val="00492230"/>
    <w:rsid w:val="00492CFD"/>
    <w:rsid w:val="00494207"/>
    <w:rsid w:val="00494C99"/>
    <w:rsid w:val="00494DD5"/>
    <w:rsid w:val="00495CBD"/>
    <w:rsid w:val="004962D2"/>
    <w:rsid w:val="00496595"/>
    <w:rsid w:val="00496CFE"/>
    <w:rsid w:val="0049776F"/>
    <w:rsid w:val="00497830"/>
    <w:rsid w:val="00497A60"/>
    <w:rsid w:val="00497FCD"/>
    <w:rsid w:val="004A0D67"/>
    <w:rsid w:val="004A0DA1"/>
    <w:rsid w:val="004A13D6"/>
    <w:rsid w:val="004A161A"/>
    <w:rsid w:val="004A2297"/>
    <w:rsid w:val="004A2E16"/>
    <w:rsid w:val="004A44DC"/>
    <w:rsid w:val="004A4CDF"/>
    <w:rsid w:val="004A5169"/>
    <w:rsid w:val="004A52E9"/>
    <w:rsid w:val="004A5D7B"/>
    <w:rsid w:val="004A5E5B"/>
    <w:rsid w:val="004A6040"/>
    <w:rsid w:val="004A6597"/>
    <w:rsid w:val="004A7848"/>
    <w:rsid w:val="004A79C7"/>
    <w:rsid w:val="004B195D"/>
    <w:rsid w:val="004B1A5D"/>
    <w:rsid w:val="004B1CB4"/>
    <w:rsid w:val="004B1E64"/>
    <w:rsid w:val="004B2410"/>
    <w:rsid w:val="004B2D2B"/>
    <w:rsid w:val="004B2F18"/>
    <w:rsid w:val="004B3C2B"/>
    <w:rsid w:val="004B3DDB"/>
    <w:rsid w:val="004B435A"/>
    <w:rsid w:val="004B44FD"/>
    <w:rsid w:val="004B5922"/>
    <w:rsid w:val="004B5CFC"/>
    <w:rsid w:val="004B6044"/>
    <w:rsid w:val="004B607E"/>
    <w:rsid w:val="004B6C4F"/>
    <w:rsid w:val="004B6F79"/>
    <w:rsid w:val="004B707D"/>
    <w:rsid w:val="004B747D"/>
    <w:rsid w:val="004B774D"/>
    <w:rsid w:val="004B7DF6"/>
    <w:rsid w:val="004C0A42"/>
    <w:rsid w:val="004C149D"/>
    <w:rsid w:val="004C1C6D"/>
    <w:rsid w:val="004C25DE"/>
    <w:rsid w:val="004C4704"/>
    <w:rsid w:val="004C47CD"/>
    <w:rsid w:val="004C4AED"/>
    <w:rsid w:val="004C5503"/>
    <w:rsid w:val="004C62E1"/>
    <w:rsid w:val="004C685C"/>
    <w:rsid w:val="004C695E"/>
    <w:rsid w:val="004C6B19"/>
    <w:rsid w:val="004C71FF"/>
    <w:rsid w:val="004C7BB3"/>
    <w:rsid w:val="004D0136"/>
    <w:rsid w:val="004D0BA1"/>
    <w:rsid w:val="004D2C2D"/>
    <w:rsid w:val="004D58AC"/>
    <w:rsid w:val="004D6432"/>
    <w:rsid w:val="004D69B5"/>
    <w:rsid w:val="004D7227"/>
    <w:rsid w:val="004E0E7F"/>
    <w:rsid w:val="004E0EB8"/>
    <w:rsid w:val="004E18E9"/>
    <w:rsid w:val="004E1C51"/>
    <w:rsid w:val="004E1DF4"/>
    <w:rsid w:val="004E1E40"/>
    <w:rsid w:val="004E2392"/>
    <w:rsid w:val="004E2ADC"/>
    <w:rsid w:val="004E3746"/>
    <w:rsid w:val="004E4010"/>
    <w:rsid w:val="004E4041"/>
    <w:rsid w:val="004E43B2"/>
    <w:rsid w:val="004E5403"/>
    <w:rsid w:val="004E6870"/>
    <w:rsid w:val="004E6AEF"/>
    <w:rsid w:val="004E6B5D"/>
    <w:rsid w:val="004E6BF4"/>
    <w:rsid w:val="004E7793"/>
    <w:rsid w:val="004F0747"/>
    <w:rsid w:val="004F1344"/>
    <w:rsid w:val="004F1D02"/>
    <w:rsid w:val="004F1DBC"/>
    <w:rsid w:val="004F2679"/>
    <w:rsid w:val="004F2F21"/>
    <w:rsid w:val="004F398C"/>
    <w:rsid w:val="004F3DE5"/>
    <w:rsid w:val="004F4542"/>
    <w:rsid w:val="004F48EA"/>
    <w:rsid w:val="004F5E3A"/>
    <w:rsid w:val="004F658F"/>
    <w:rsid w:val="004F6913"/>
    <w:rsid w:val="004F7865"/>
    <w:rsid w:val="004F7B52"/>
    <w:rsid w:val="004F7EF2"/>
    <w:rsid w:val="00501182"/>
    <w:rsid w:val="005011C6"/>
    <w:rsid w:val="0050174E"/>
    <w:rsid w:val="00501854"/>
    <w:rsid w:val="00501F9C"/>
    <w:rsid w:val="0050219B"/>
    <w:rsid w:val="005026C1"/>
    <w:rsid w:val="00502C34"/>
    <w:rsid w:val="00502E76"/>
    <w:rsid w:val="005037AE"/>
    <w:rsid w:val="00503F17"/>
    <w:rsid w:val="00504C10"/>
    <w:rsid w:val="005054D4"/>
    <w:rsid w:val="00505A70"/>
    <w:rsid w:val="00506747"/>
    <w:rsid w:val="00506928"/>
    <w:rsid w:val="0050696E"/>
    <w:rsid w:val="005077EF"/>
    <w:rsid w:val="0051179D"/>
    <w:rsid w:val="00511AD5"/>
    <w:rsid w:val="00511DC7"/>
    <w:rsid w:val="005142C5"/>
    <w:rsid w:val="0051501B"/>
    <w:rsid w:val="005152B5"/>
    <w:rsid w:val="00515367"/>
    <w:rsid w:val="005156CB"/>
    <w:rsid w:val="0051631B"/>
    <w:rsid w:val="00516F6F"/>
    <w:rsid w:val="00517970"/>
    <w:rsid w:val="00517A15"/>
    <w:rsid w:val="0052121B"/>
    <w:rsid w:val="0052123C"/>
    <w:rsid w:val="00521319"/>
    <w:rsid w:val="00521809"/>
    <w:rsid w:val="00522A08"/>
    <w:rsid w:val="00522BAE"/>
    <w:rsid w:val="00522BC8"/>
    <w:rsid w:val="00522D78"/>
    <w:rsid w:val="00523C28"/>
    <w:rsid w:val="00524325"/>
    <w:rsid w:val="00526737"/>
    <w:rsid w:val="00526ABF"/>
    <w:rsid w:val="00530382"/>
    <w:rsid w:val="00530AB3"/>
    <w:rsid w:val="0053170F"/>
    <w:rsid w:val="0053176B"/>
    <w:rsid w:val="005329F8"/>
    <w:rsid w:val="00532D99"/>
    <w:rsid w:val="00533226"/>
    <w:rsid w:val="00533712"/>
    <w:rsid w:val="00533AF8"/>
    <w:rsid w:val="005343D9"/>
    <w:rsid w:val="005349E8"/>
    <w:rsid w:val="005350A9"/>
    <w:rsid w:val="0053557C"/>
    <w:rsid w:val="005356A1"/>
    <w:rsid w:val="00535808"/>
    <w:rsid w:val="00535E14"/>
    <w:rsid w:val="00536F42"/>
    <w:rsid w:val="00537182"/>
    <w:rsid w:val="005377FD"/>
    <w:rsid w:val="00541EDD"/>
    <w:rsid w:val="005425B2"/>
    <w:rsid w:val="00542743"/>
    <w:rsid w:val="00542C2D"/>
    <w:rsid w:val="005439CB"/>
    <w:rsid w:val="005445D9"/>
    <w:rsid w:val="00544BDA"/>
    <w:rsid w:val="00546D85"/>
    <w:rsid w:val="00546FF4"/>
    <w:rsid w:val="0054777F"/>
    <w:rsid w:val="005478BD"/>
    <w:rsid w:val="005479E3"/>
    <w:rsid w:val="00547DB1"/>
    <w:rsid w:val="00550B91"/>
    <w:rsid w:val="00551985"/>
    <w:rsid w:val="0055294D"/>
    <w:rsid w:val="00552BD3"/>
    <w:rsid w:val="00552BEC"/>
    <w:rsid w:val="00552C71"/>
    <w:rsid w:val="005532A0"/>
    <w:rsid w:val="00553A2E"/>
    <w:rsid w:val="00554719"/>
    <w:rsid w:val="00555109"/>
    <w:rsid w:val="00555692"/>
    <w:rsid w:val="00556829"/>
    <w:rsid w:val="00556B35"/>
    <w:rsid w:val="0055741A"/>
    <w:rsid w:val="0055742F"/>
    <w:rsid w:val="005611B7"/>
    <w:rsid w:val="005617EE"/>
    <w:rsid w:val="005618D4"/>
    <w:rsid w:val="005626B0"/>
    <w:rsid w:val="00563090"/>
    <w:rsid w:val="005637CE"/>
    <w:rsid w:val="00563F17"/>
    <w:rsid w:val="0056420A"/>
    <w:rsid w:val="005653CC"/>
    <w:rsid w:val="0056565B"/>
    <w:rsid w:val="00565DF0"/>
    <w:rsid w:val="0056696F"/>
    <w:rsid w:val="005673F6"/>
    <w:rsid w:val="00567405"/>
    <w:rsid w:val="00570467"/>
    <w:rsid w:val="0057092F"/>
    <w:rsid w:val="005715DB"/>
    <w:rsid w:val="0057214D"/>
    <w:rsid w:val="0057225B"/>
    <w:rsid w:val="00572269"/>
    <w:rsid w:val="0057244A"/>
    <w:rsid w:val="00572F26"/>
    <w:rsid w:val="0057313E"/>
    <w:rsid w:val="005733BF"/>
    <w:rsid w:val="0057371B"/>
    <w:rsid w:val="005750C5"/>
    <w:rsid w:val="005752DE"/>
    <w:rsid w:val="00575934"/>
    <w:rsid w:val="00575D8D"/>
    <w:rsid w:val="00576972"/>
    <w:rsid w:val="0058199C"/>
    <w:rsid w:val="00582983"/>
    <w:rsid w:val="00583699"/>
    <w:rsid w:val="005842F4"/>
    <w:rsid w:val="00585C2D"/>
    <w:rsid w:val="00585CDD"/>
    <w:rsid w:val="00587058"/>
    <w:rsid w:val="00587176"/>
    <w:rsid w:val="0058724D"/>
    <w:rsid w:val="0058744F"/>
    <w:rsid w:val="00587832"/>
    <w:rsid w:val="00587B0E"/>
    <w:rsid w:val="00590195"/>
    <w:rsid w:val="005903EA"/>
    <w:rsid w:val="00591957"/>
    <w:rsid w:val="00595578"/>
    <w:rsid w:val="00595DFE"/>
    <w:rsid w:val="00596B84"/>
    <w:rsid w:val="00596FBB"/>
    <w:rsid w:val="005975D7"/>
    <w:rsid w:val="0059764B"/>
    <w:rsid w:val="00597B9E"/>
    <w:rsid w:val="00597BF9"/>
    <w:rsid w:val="005A07EF"/>
    <w:rsid w:val="005A1EE6"/>
    <w:rsid w:val="005A309A"/>
    <w:rsid w:val="005A373D"/>
    <w:rsid w:val="005A3C7A"/>
    <w:rsid w:val="005A54D0"/>
    <w:rsid w:val="005A6029"/>
    <w:rsid w:val="005A62F6"/>
    <w:rsid w:val="005A6865"/>
    <w:rsid w:val="005A7238"/>
    <w:rsid w:val="005A73EE"/>
    <w:rsid w:val="005A7733"/>
    <w:rsid w:val="005A791F"/>
    <w:rsid w:val="005A7E82"/>
    <w:rsid w:val="005B02A6"/>
    <w:rsid w:val="005B0B58"/>
    <w:rsid w:val="005B0D40"/>
    <w:rsid w:val="005B0FA5"/>
    <w:rsid w:val="005B1358"/>
    <w:rsid w:val="005B14E2"/>
    <w:rsid w:val="005B209C"/>
    <w:rsid w:val="005B2768"/>
    <w:rsid w:val="005B4654"/>
    <w:rsid w:val="005B4E53"/>
    <w:rsid w:val="005B54F9"/>
    <w:rsid w:val="005B553A"/>
    <w:rsid w:val="005B5857"/>
    <w:rsid w:val="005B5E0A"/>
    <w:rsid w:val="005B6108"/>
    <w:rsid w:val="005B7879"/>
    <w:rsid w:val="005B7AD2"/>
    <w:rsid w:val="005B7E66"/>
    <w:rsid w:val="005C0F80"/>
    <w:rsid w:val="005C11D8"/>
    <w:rsid w:val="005C19C4"/>
    <w:rsid w:val="005C1B83"/>
    <w:rsid w:val="005C2583"/>
    <w:rsid w:val="005C25FF"/>
    <w:rsid w:val="005C2D55"/>
    <w:rsid w:val="005C346B"/>
    <w:rsid w:val="005C39A8"/>
    <w:rsid w:val="005C3BAF"/>
    <w:rsid w:val="005C3D76"/>
    <w:rsid w:val="005C46D9"/>
    <w:rsid w:val="005C4C55"/>
    <w:rsid w:val="005C6194"/>
    <w:rsid w:val="005C66CA"/>
    <w:rsid w:val="005C7633"/>
    <w:rsid w:val="005C76DD"/>
    <w:rsid w:val="005C7CC9"/>
    <w:rsid w:val="005D044D"/>
    <w:rsid w:val="005D0ABD"/>
    <w:rsid w:val="005D0F82"/>
    <w:rsid w:val="005D1020"/>
    <w:rsid w:val="005D18AD"/>
    <w:rsid w:val="005D1CDA"/>
    <w:rsid w:val="005D1F5A"/>
    <w:rsid w:val="005D250C"/>
    <w:rsid w:val="005D26B4"/>
    <w:rsid w:val="005D385B"/>
    <w:rsid w:val="005D3C03"/>
    <w:rsid w:val="005D50C4"/>
    <w:rsid w:val="005D5247"/>
    <w:rsid w:val="005D5C05"/>
    <w:rsid w:val="005D5C24"/>
    <w:rsid w:val="005D6193"/>
    <w:rsid w:val="005D68C6"/>
    <w:rsid w:val="005D729A"/>
    <w:rsid w:val="005D7F5B"/>
    <w:rsid w:val="005E0AD9"/>
    <w:rsid w:val="005E1168"/>
    <w:rsid w:val="005E118E"/>
    <w:rsid w:val="005E17EE"/>
    <w:rsid w:val="005E26CD"/>
    <w:rsid w:val="005E2A0B"/>
    <w:rsid w:val="005E36AA"/>
    <w:rsid w:val="005E3C13"/>
    <w:rsid w:val="005E4CB2"/>
    <w:rsid w:val="005E5080"/>
    <w:rsid w:val="005E545B"/>
    <w:rsid w:val="005E59C2"/>
    <w:rsid w:val="005E5C2D"/>
    <w:rsid w:val="005E639A"/>
    <w:rsid w:val="005E64F2"/>
    <w:rsid w:val="005E6831"/>
    <w:rsid w:val="005E6B37"/>
    <w:rsid w:val="005E6CBC"/>
    <w:rsid w:val="005E6CD5"/>
    <w:rsid w:val="005E72FF"/>
    <w:rsid w:val="005E73C0"/>
    <w:rsid w:val="005E78D1"/>
    <w:rsid w:val="005F08F8"/>
    <w:rsid w:val="005F0E86"/>
    <w:rsid w:val="005F2706"/>
    <w:rsid w:val="005F3DDF"/>
    <w:rsid w:val="005F5063"/>
    <w:rsid w:val="005F5741"/>
    <w:rsid w:val="005F5DD6"/>
    <w:rsid w:val="005F61AB"/>
    <w:rsid w:val="005F6A8F"/>
    <w:rsid w:val="005F6AD2"/>
    <w:rsid w:val="005F6BB7"/>
    <w:rsid w:val="005F7041"/>
    <w:rsid w:val="005F7588"/>
    <w:rsid w:val="005F7683"/>
    <w:rsid w:val="005F7989"/>
    <w:rsid w:val="005F79FD"/>
    <w:rsid w:val="005F7A50"/>
    <w:rsid w:val="00600FB9"/>
    <w:rsid w:val="006010D6"/>
    <w:rsid w:val="006020C6"/>
    <w:rsid w:val="006020DA"/>
    <w:rsid w:val="00602B07"/>
    <w:rsid w:val="00602B6B"/>
    <w:rsid w:val="00603DB9"/>
    <w:rsid w:val="00603E6D"/>
    <w:rsid w:val="0060553F"/>
    <w:rsid w:val="00605817"/>
    <w:rsid w:val="00606FBA"/>
    <w:rsid w:val="00607179"/>
    <w:rsid w:val="0060727E"/>
    <w:rsid w:val="00607669"/>
    <w:rsid w:val="006076F4"/>
    <w:rsid w:val="00607AFD"/>
    <w:rsid w:val="00610279"/>
    <w:rsid w:val="00610AB0"/>
    <w:rsid w:val="00612F97"/>
    <w:rsid w:val="0061345D"/>
    <w:rsid w:val="00613846"/>
    <w:rsid w:val="0061549B"/>
    <w:rsid w:val="00616802"/>
    <w:rsid w:val="00616FD0"/>
    <w:rsid w:val="00617D3E"/>
    <w:rsid w:val="00617E12"/>
    <w:rsid w:val="0062063F"/>
    <w:rsid w:val="006208E9"/>
    <w:rsid w:val="00620C25"/>
    <w:rsid w:val="00620E71"/>
    <w:rsid w:val="00621477"/>
    <w:rsid w:val="006216B8"/>
    <w:rsid w:val="00621715"/>
    <w:rsid w:val="00621A5F"/>
    <w:rsid w:val="00621ADA"/>
    <w:rsid w:val="0062372A"/>
    <w:rsid w:val="00623C78"/>
    <w:rsid w:val="00623F7B"/>
    <w:rsid w:val="00624347"/>
    <w:rsid w:val="00624F61"/>
    <w:rsid w:val="00626513"/>
    <w:rsid w:val="00626C20"/>
    <w:rsid w:val="006272C2"/>
    <w:rsid w:val="006278B6"/>
    <w:rsid w:val="00630502"/>
    <w:rsid w:val="0063158F"/>
    <w:rsid w:val="006316CA"/>
    <w:rsid w:val="00631D6B"/>
    <w:rsid w:val="006320E9"/>
    <w:rsid w:val="00632183"/>
    <w:rsid w:val="00632B84"/>
    <w:rsid w:val="00632FDB"/>
    <w:rsid w:val="006330A1"/>
    <w:rsid w:val="00633E09"/>
    <w:rsid w:val="00634104"/>
    <w:rsid w:val="00634363"/>
    <w:rsid w:val="0063479F"/>
    <w:rsid w:val="006349A9"/>
    <w:rsid w:val="00634F66"/>
    <w:rsid w:val="006353F0"/>
    <w:rsid w:val="006356A3"/>
    <w:rsid w:val="006357B5"/>
    <w:rsid w:val="006357DD"/>
    <w:rsid w:val="00635C90"/>
    <w:rsid w:val="00635DCB"/>
    <w:rsid w:val="00636387"/>
    <w:rsid w:val="006364A1"/>
    <w:rsid w:val="006365B8"/>
    <w:rsid w:val="0063678E"/>
    <w:rsid w:val="00636F36"/>
    <w:rsid w:val="006374A1"/>
    <w:rsid w:val="00637BF6"/>
    <w:rsid w:val="00637BFD"/>
    <w:rsid w:val="006409AD"/>
    <w:rsid w:val="00640F5D"/>
    <w:rsid w:val="0064102E"/>
    <w:rsid w:val="00641BA1"/>
    <w:rsid w:val="00641C4E"/>
    <w:rsid w:val="00641CBF"/>
    <w:rsid w:val="00641DD8"/>
    <w:rsid w:val="00641E55"/>
    <w:rsid w:val="00641F2E"/>
    <w:rsid w:val="00641FB3"/>
    <w:rsid w:val="006422C9"/>
    <w:rsid w:val="00642627"/>
    <w:rsid w:val="00642CB1"/>
    <w:rsid w:val="006436EA"/>
    <w:rsid w:val="00643890"/>
    <w:rsid w:val="0064434C"/>
    <w:rsid w:val="006466C6"/>
    <w:rsid w:val="0064717B"/>
    <w:rsid w:val="006471CC"/>
    <w:rsid w:val="0064775F"/>
    <w:rsid w:val="00647A29"/>
    <w:rsid w:val="00647AAB"/>
    <w:rsid w:val="0065012F"/>
    <w:rsid w:val="0065079F"/>
    <w:rsid w:val="006515BF"/>
    <w:rsid w:val="00652A28"/>
    <w:rsid w:val="00653283"/>
    <w:rsid w:val="006532C1"/>
    <w:rsid w:val="0065379F"/>
    <w:rsid w:val="00653A7F"/>
    <w:rsid w:val="00653DBC"/>
    <w:rsid w:val="00654262"/>
    <w:rsid w:val="006544B8"/>
    <w:rsid w:val="006547C9"/>
    <w:rsid w:val="00654D3F"/>
    <w:rsid w:val="00654F8E"/>
    <w:rsid w:val="00654FF3"/>
    <w:rsid w:val="00655244"/>
    <w:rsid w:val="0065525C"/>
    <w:rsid w:val="006558DA"/>
    <w:rsid w:val="00656188"/>
    <w:rsid w:val="006567F8"/>
    <w:rsid w:val="00656DBE"/>
    <w:rsid w:val="0065715A"/>
    <w:rsid w:val="006574A0"/>
    <w:rsid w:val="0065758F"/>
    <w:rsid w:val="006610F1"/>
    <w:rsid w:val="006612DE"/>
    <w:rsid w:val="00661A29"/>
    <w:rsid w:val="00661C6B"/>
    <w:rsid w:val="00663BC2"/>
    <w:rsid w:val="00664D04"/>
    <w:rsid w:val="006669C0"/>
    <w:rsid w:val="00666BD1"/>
    <w:rsid w:val="00670CC6"/>
    <w:rsid w:val="00670FC8"/>
    <w:rsid w:val="00671004"/>
    <w:rsid w:val="00671011"/>
    <w:rsid w:val="006712A9"/>
    <w:rsid w:val="0067240C"/>
    <w:rsid w:val="006724F9"/>
    <w:rsid w:val="0067256B"/>
    <w:rsid w:val="00672646"/>
    <w:rsid w:val="00672907"/>
    <w:rsid w:val="006734C6"/>
    <w:rsid w:val="00673F04"/>
    <w:rsid w:val="00674021"/>
    <w:rsid w:val="0067493C"/>
    <w:rsid w:val="00674E42"/>
    <w:rsid w:val="00675D98"/>
    <w:rsid w:val="00680120"/>
    <w:rsid w:val="00680CBF"/>
    <w:rsid w:val="00680DE8"/>
    <w:rsid w:val="006813F8"/>
    <w:rsid w:val="00682112"/>
    <w:rsid w:val="00682BA6"/>
    <w:rsid w:val="00682D95"/>
    <w:rsid w:val="00682DB9"/>
    <w:rsid w:val="006842AF"/>
    <w:rsid w:val="00684CD7"/>
    <w:rsid w:val="00686045"/>
    <w:rsid w:val="00686957"/>
    <w:rsid w:val="006872BA"/>
    <w:rsid w:val="00687463"/>
    <w:rsid w:val="00690381"/>
    <w:rsid w:val="00690795"/>
    <w:rsid w:val="00690B72"/>
    <w:rsid w:val="00690C28"/>
    <w:rsid w:val="00691648"/>
    <w:rsid w:val="006917D7"/>
    <w:rsid w:val="0069434C"/>
    <w:rsid w:val="00694A5B"/>
    <w:rsid w:val="00694E8D"/>
    <w:rsid w:val="00694F44"/>
    <w:rsid w:val="0069521E"/>
    <w:rsid w:val="00695616"/>
    <w:rsid w:val="00695A60"/>
    <w:rsid w:val="00695B3B"/>
    <w:rsid w:val="00696379"/>
    <w:rsid w:val="00696B06"/>
    <w:rsid w:val="00696F51"/>
    <w:rsid w:val="006970CB"/>
    <w:rsid w:val="006972C0"/>
    <w:rsid w:val="006979A5"/>
    <w:rsid w:val="00697D1B"/>
    <w:rsid w:val="006A06D2"/>
    <w:rsid w:val="006A1CD5"/>
    <w:rsid w:val="006A214C"/>
    <w:rsid w:val="006A3026"/>
    <w:rsid w:val="006A321E"/>
    <w:rsid w:val="006A3277"/>
    <w:rsid w:val="006A3760"/>
    <w:rsid w:val="006A4596"/>
    <w:rsid w:val="006A469E"/>
    <w:rsid w:val="006A4F20"/>
    <w:rsid w:val="006A6B99"/>
    <w:rsid w:val="006A75A5"/>
    <w:rsid w:val="006A7E5F"/>
    <w:rsid w:val="006B042C"/>
    <w:rsid w:val="006B0B9A"/>
    <w:rsid w:val="006B1270"/>
    <w:rsid w:val="006B134C"/>
    <w:rsid w:val="006B1EB7"/>
    <w:rsid w:val="006B1F57"/>
    <w:rsid w:val="006B2055"/>
    <w:rsid w:val="006B220A"/>
    <w:rsid w:val="006B22FB"/>
    <w:rsid w:val="006B2553"/>
    <w:rsid w:val="006B261B"/>
    <w:rsid w:val="006B2C90"/>
    <w:rsid w:val="006B35E6"/>
    <w:rsid w:val="006B4142"/>
    <w:rsid w:val="006B465A"/>
    <w:rsid w:val="006B4826"/>
    <w:rsid w:val="006B4AB9"/>
    <w:rsid w:val="006B55EF"/>
    <w:rsid w:val="006B5BE7"/>
    <w:rsid w:val="006B5D02"/>
    <w:rsid w:val="006B6DD0"/>
    <w:rsid w:val="006B74EB"/>
    <w:rsid w:val="006B7E6F"/>
    <w:rsid w:val="006C0399"/>
    <w:rsid w:val="006C0A41"/>
    <w:rsid w:val="006C15C5"/>
    <w:rsid w:val="006C1ACA"/>
    <w:rsid w:val="006C1D24"/>
    <w:rsid w:val="006C2A8E"/>
    <w:rsid w:val="006C3255"/>
    <w:rsid w:val="006C3F26"/>
    <w:rsid w:val="006C4210"/>
    <w:rsid w:val="006C4D67"/>
    <w:rsid w:val="006C50F7"/>
    <w:rsid w:val="006C545F"/>
    <w:rsid w:val="006C58A3"/>
    <w:rsid w:val="006C6319"/>
    <w:rsid w:val="006C6397"/>
    <w:rsid w:val="006C6F59"/>
    <w:rsid w:val="006D0806"/>
    <w:rsid w:val="006D09CF"/>
    <w:rsid w:val="006D0D17"/>
    <w:rsid w:val="006D2A62"/>
    <w:rsid w:val="006D2C99"/>
    <w:rsid w:val="006D302F"/>
    <w:rsid w:val="006D30A0"/>
    <w:rsid w:val="006D393F"/>
    <w:rsid w:val="006D3C7D"/>
    <w:rsid w:val="006D4659"/>
    <w:rsid w:val="006D553F"/>
    <w:rsid w:val="006D5D5F"/>
    <w:rsid w:val="006D611A"/>
    <w:rsid w:val="006D6233"/>
    <w:rsid w:val="006D6734"/>
    <w:rsid w:val="006D68C7"/>
    <w:rsid w:val="006D68FB"/>
    <w:rsid w:val="006D7975"/>
    <w:rsid w:val="006E0426"/>
    <w:rsid w:val="006E0C53"/>
    <w:rsid w:val="006E26B3"/>
    <w:rsid w:val="006E2868"/>
    <w:rsid w:val="006E34EE"/>
    <w:rsid w:val="006E368A"/>
    <w:rsid w:val="006E36B2"/>
    <w:rsid w:val="006E7EF9"/>
    <w:rsid w:val="006F0B0A"/>
    <w:rsid w:val="006F0B99"/>
    <w:rsid w:val="006F1777"/>
    <w:rsid w:val="006F2237"/>
    <w:rsid w:val="006F2B7F"/>
    <w:rsid w:val="006F306C"/>
    <w:rsid w:val="006F33EF"/>
    <w:rsid w:val="006F34D3"/>
    <w:rsid w:val="006F38E7"/>
    <w:rsid w:val="006F3D22"/>
    <w:rsid w:val="006F3FDC"/>
    <w:rsid w:val="006F44D9"/>
    <w:rsid w:val="006F6216"/>
    <w:rsid w:val="006F63A5"/>
    <w:rsid w:val="006F736E"/>
    <w:rsid w:val="00700D9B"/>
    <w:rsid w:val="0070142B"/>
    <w:rsid w:val="007023F8"/>
    <w:rsid w:val="0070276E"/>
    <w:rsid w:val="00702F8F"/>
    <w:rsid w:val="007030D8"/>
    <w:rsid w:val="00703264"/>
    <w:rsid w:val="007042B5"/>
    <w:rsid w:val="0070464C"/>
    <w:rsid w:val="007046D8"/>
    <w:rsid w:val="0070474B"/>
    <w:rsid w:val="00706410"/>
    <w:rsid w:val="00706B4A"/>
    <w:rsid w:val="00706EAC"/>
    <w:rsid w:val="00707118"/>
    <w:rsid w:val="007072DD"/>
    <w:rsid w:val="007079FC"/>
    <w:rsid w:val="007118B5"/>
    <w:rsid w:val="00711A36"/>
    <w:rsid w:val="00711C5E"/>
    <w:rsid w:val="00712CD1"/>
    <w:rsid w:val="007141BA"/>
    <w:rsid w:val="007146CA"/>
    <w:rsid w:val="00714C26"/>
    <w:rsid w:val="00714DB0"/>
    <w:rsid w:val="0071529C"/>
    <w:rsid w:val="00715567"/>
    <w:rsid w:val="00716080"/>
    <w:rsid w:val="00716655"/>
    <w:rsid w:val="00716BEB"/>
    <w:rsid w:val="00716D84"/>
    <w:rsid w:val="007170DA"/>
    <w:rsid w:val="0071716A"/>
    <w:rsid w:val="007172AD"/>
    <w:rsid w:val="00717572"/>
    <w:rsid w:val="00717EAF"/>
    <w:rsid w:val="00720801"/>
    <w:rsid w:val="00721A04"/>
    <w:rsid w:val="00722B1B"/>
    <w:rsid w:val="007232E4"/>
    <w:rsid w:val="007234AE"/>
    <w:rsid w:val="00723AB5"/>
    <w:rsid w:val="00723E45"/>
    <w:rsid w:val="00723FC3"/>
    <w:rsid w:val="00724018"/>
    <w:rsid w:val="0072416F"/>
    <w:rsid w:val="007247CE"/>
    <w:rsid w:val="00724A4E"/>
    <w:rsid w:val="0072514E"/>
    <w:rsid w:val="0072607A"/>
    <w:rsid w:val="007265D8"/>
    <w:rsid w:val="007274DB"/>
    <w:rsid w:val="00727C94"/>
    <w:rsid w:val="00731B0A"/>
    <w:rsid w:val="00731EAE"/>
    <w:rsid w:val="007328BB"/>
    <w:rsid w:val="00733073"/>
    <w:rsid w:val="007344E6"/>
    <w:rsid w:val="00735033"/>
    <w:rsid w:val="00735328"/>
    <w:rsid w:val="00735459"/>
    <w:rsid w:val="0073685B"/>
    <w:rsid w:val="00740E98"/>
    <w:rsid w:val="0074192B"/>
    <w:rsid w:val="00743315"/>
    <w:rsid w:val="007442DD"/>
    <w:rsid w:val="007449BF"/>
    <w:rsid w:val="00744DB0"/>
    <w:rsid w:val="007452CA"/>
    <w:rsid w:val="00746009"/>
    <w:rsid w:val="00746325"/>
    <w:rsid w:val="00746BC0"/>
    <w:rsid w:val="0074768B"/>
    <w:rsid w:val="00747BD0"/>
    <w:rsid w:val="00750255"/>
    <w:rsid w:val="007510B4"/>
    <w:rsid w:val="007511A4"/>
    <w:rsid w:val="007515F0"/>
    <w:rsid w:val="00751C05"/>
    <w:rsid w:val="00751F36"/>
    <w:rsid w:val="00752142"/>
    <w:rsid w:val="007523F9"/>
    <w:rsid w:val="007533BF"/>
    <w:rsid w:val="0075357E"/>
    <w:rsid w:val="00754040"/>
    <w:rsid w:val="00756787"/>
    <w:rsid w:val="0075729F"/>
    <w:rsid w:val="007573E8"/>
    <w:rsid w:val="0075792E"/>
    <w:rsid w:val="007609AD"/>
    <w:rsid w:val="00760B4E"/>
    <w:rsid w:val="00760C4E"/>
    <w:rsid w:val="00760C8F"/>
    <w:rsid w:val="00760F9E"/>
    <w:rsid w:val="00761074"/>
    <w:rsid w:val="00761CE4"/>
    <w:rsid w:val="00761FB1"/>
    <w:rsid w:val="007627BE"/>
    <w:rsid w:val="00762CD6"/>
    <w:rsid w:val="00763013"/>
    <w:rsid w:val="0076354D"/>
    <w:rsid w:val="00763815"/>
    <w:rsid w:val="00763B78"/>
    <w:rsid w:val="007645FE"/>
    <w:rsid w:val="00764A60"/>
    <w:rsid w:val="00764F03"/>
    <w:rsid w:val="0076503E"/>
    <w:rsid w:val="00765B1A"/>
    <w:rsid w:val="00766E04"/>
    <w:rsid w:val="00767860"/>
    <w:rsid w:val="00767B9B"/>
    <w:rsid w:val="0077085E"/>
    <w:rsid w:val="0077169F"/>
    <w:rsid w:val="0077194C"/>
    <w:rsid w:val="00773A4C"/>
    <w:rsid w:val="0077421D"/>
    <w:rsid w:val="007745B0"/>
    <w:rsid w:val="00775561"/>
    <w:rsid w:val="00775728"/>
    <w:rsid w:val="0077654A"/>
    <w:rsid w:val="00776EBF"/>
    <w:rsid w:val="00777335"/>
    <w:rsid w:val="007824E4"/>
    <w:rsid w:val="00783651"/>
    <w:rsid w:val="00784247"/>
    <w:rsid w:val="007843F2"/>
    <w:rsid w:val="00784A6C"/>
    <w:rsid w:val="00784E22"/>
    <w:rsid w:val="00785A9F"/>
    <w:rsid w:val="00785F8F"/>
    <w:rsid w:val="007874E8"/>
    <w:rsid w:val="00790ACC"/>
    <w:rsid w:val="00790B3B"/>
    <w:rsid w:val="00790BC7"/>
    <w:rsid w:val="00790C0C"/>
    <w:rsid w:val="00790FDA"/>
    <w:rsid w:val="00791155"/>
    <w:rsid w:val="0079166E"/>
    <w:rsid w:val="007925DF"/>
    <w:rsid w:val="00792BC3"/>
    <w:rsid w:val="00792EBE"/>
    <w:rsid w:val="0079458F"/>
    <w:rsid w:val="00794E04"/>
    <w:rsid w:val="007954AB"/>
    <w:rsid w:val="007961E9"/>
    <w:rsid w:val="0079620E"/>
    <w:rsid w:val="00796796"/>
    <w:rsid w:val="00796AF0"/>
    <w:rsid w:val="007973ED"/>
    <w:rsid w:val="00797426"/>
    <w:rsid w:val="007976B6"/>
    <w:rsid w:val="007978B5"/>
    <w:rsid w:val="007A0572"/>
    <w:rsid w:val="007A08AA"/>
    <w:rsid w:val="007A0A12"/>
    <w:rsid w:val="007A0B95"/>
    <w:rsid w:val="007A132D"/>
    <w:rsid w:val="007A1345"/>
    <w:rsid w:val="007A17B6"/>
    <w:rsid w:val="007A1987"/>
    <w:rsid w:val="007A2829"/>
    <w:rsid w:val="007A2DDB"/>
    <w:rsid w:val="007A3309"/>
    <w:rsid w:val="007A4139"/>
    <w:rsid w:val="007A4758"/>
    <w:rsid w:val="007A6CF2"/>
    <w:rsid w:val="007A70BA"/>
    <w:rsid w:val="007A7629"/>
    <w:rsid w:val="007B0D68"/>
    <w:rsid w:val="007B1F60"/>
    <w:rsid w:val="007B2454"/>
    <w:rsid w:val="007B251D"/>
    <w:rsid w:val="007B286F"/>
    <w:rsid w:val="007B2943"/>
    <w:rsid w:val="007B29C2"/>
    <w:rsid w:val="007B2F26"/>
    <w:rsid w:val="007B3D12"/>
    <w:rsid w:val="007B4F58"/>
    <w:rsid w:val="007B511A"/>
    <w:rsid w:val="007B528D"/>
    <w:rsid w:val="007B563A"/>
    <w:rsid w:val="007B63CA"/>
    <w:rsid w:val="007B77D1"/>
    <w:rsid w:val="007B7830"/>
    <w:rsid w:val="007B78FE"/>
    <w:rsid w:val="007C0261"/>
    <w:rsid w:val="007C039B"/>
    <w:rsid w:val="007C07C7"/>
    <w:rsid w:val="007C0B95"/>
    <w:rsid w:val="007C0DAA"/>
    <w:rsid w:val="007C1CD9"/>
    <w:rsid w:val="007C2866"/>
    <w:rsid w:val="007C32EF"/>
    <w:rsid w:val="007C361D"/>
    <w:rsid w:val="007C3831"/>
    <w:rsid w:val="007C3DAC"/>
    <w:rsid w:val="007C4B84"/>
    <w:rsid w:val="007C5464"/>
    <w:rsid w:val="007C5D62"/>
    <w:rsid w:val="007C70FF"/>
    <w:rsid w:val="007C7C25"/>
    <w:rsid w:val="007D004F"/>
    <w:rsid w:val="007D057B"/>
    <w:rsid w:val="007D0B38"/>
    <w:rsid w:val="007D2DF9"/>
    <w:rsid w:val="007D5002"/>
    <w:rsid w:val="007D5440"/>
    <w:rsid w:val="007D59C7"/>
    <w:rsid w:val="007D671E"/>
    <w:rsid w:val="007D69BF"/>
    <w:rsid w:val="007D69EB"/>
    <w:rsid w:val="007D7A53"/>
    <w:rsid w:val="007D7CF6"/>
    <w:rsid w:val="007D7DF2"/>
    <w:rsid w:val="007E128F"/>
    <w:rsid w:val="007E2260"/>
    <w:rsid w:val="007E2803"/>
    <w:rsid w:val="007E338B"/>
    <w:rsid w:val="007E3787"/>
    <w:rsid w:val="007E587A"/>
    <w:rsid w:val="007E5CC8"/>
    <w:rsid w:val="007E6EA7"/>
    <w:rsid w:val="007E7894"/>
    <w:rsid w:val="007E7AF3"/>
    <w:rsid w:val="007F0036"/>
    <w:rsid w:val="007F0173"/>
    <w:rsid w:val="007F1017"/>
    <w:rsid w:val="007F1D9C"/>
    <w:rsid w:val="007F1E14"/>
    <w:rsid w:val="007F1EFD"/>
    <w:rsid w:val="007F3C05"/>
    <w:rsid w:val="007F4A3F"/>
    <w:rsid w:val="007F4A61"/>
    <w:rsid w:val="007F4D55"/>
    <w:rsid w:val="007F4E65"/>
    <w:rsid w:val="007F5255"/>
    <w:rsid w:val="007F5260"/>
    <w:rsid w:val="007F550D"/>
    <w:rsid w:val="007F56CC"/>
    <w:rsid w:val="007F5E38"/>
    <w:rsid w:val="007F61C2"/>
    <w:rsid w:val="007F6EFF"/>
    <w:rsid w:val="007F6F87"/>
    <w:rsid w:val="0080173A"/>
    <w:rsid w:val="00801F98"/>
    <w:rsid w:val="00802010"/>
    <w:rsid w:val="00804630"/>
    <w:rsid w:val="00804D86"/>
    <w:rsid w:val="00804FC6"/>
    <w:rsid w:val="00805142"/>
    <w:rsid w:val="00805B7E"/>
    <w:rsid w:val="00805DDA"/>
    <w:rsid w:val="00805FCE"/>
    <w:rsid w:val="00806C30"/>
    <w:rsid w:val="0080780E"/>
    <w:rsid w:val="00807A8B"/>
    <w:rsid w:val="008104E5"/>
    <w:rsid w:val="00810C8B"/>
    <w:rsid w:val="00811383"/>
    <w:rsid w:val="0081185F"/>
    <w:rsid w:val="00812149"/>
    <w:rsid w:val="00812CAC"/>
    <w:rsid w:val="0081418A"/>
    <w:rsid w:val="00814484"/>
    <w:rsid w:val="0081522A"/>
    <w:rsid w:val="008154E4"/>
    <w:rsid w:val="00815640"/>
    <w:rsid w:val="00816296"/>
    <w:rsid w:val="00816361"/>
    <w:rsid w:val="008166EF"/>
    <w:rsid w:val="00816B3E"/>
    <w:rsid w:val="00816BA3"/>
    <w:rsid w:val="00816FE5"/>
    <w:rsid w:val="00816FEF"/>
    <w:rsid w:val="00817931"/>
    <w:rsid w:val="008205F1"/>
    <w:rsid w:val="008208A6"/>
    <w:rsid w:val="00820A8C"/>
    <w:rsid w:val="0082126D"/>
    <w:rsid w:val="008215FB"/>
    <w:rsid w:val="00821873"/>
    <w:rsid w:val="00821C59"/>
    <w:rsid w:val="008228A2"/>
    <w:rsid w:val="00823174"/>
    <w:rsid w:val="0082339F"/>
    <w:rsid w:val="00823ADD"/>
    <w:rsid w:val="00824477"/>
    <w:rsid w:val="00824714"/>
    <w:rsid w:val="008247A0"/>
    <w:rsid w:val="00824AE0"/>
    <w:rsid w:val="00824CA8"/>
    <w:rsid w:val="00825751"/>
    <w:rsid w:val="0082626B"/>
    <w:rsid w:val="008264EB"/>
    <w:rsid w:val="00826697"/>
    <w:rsid w:val="0082707F"/>
    <w:rsid w:val="0083017F"/>
    <w:rsid w:val="00831921"/>
    <w:rsid w:val="00831F2F"/>
    <w:rsid w:val="008325E0"/>
    <w:rsid w:val="0083393B"/>
    <w:rsid w:val="00833B05"/>
    <w:rsid w:val="00835305"/>
    <w:rsid w:val="008353F5"/>
    <w:rsid w:val="00835AB2"/>
    <w:rsid w:val="00835AE2"/>
    <w:rsid w:val="00835E49"/>
    <w:rsid w:val="008362B4"/>
    <w:rsid w:val="008368CD"/>
    <w:rsid w:val="00836CDD"/>
    <w:rsid w:val="0083713C"/>
    <w:rsid w:val="00837370"/>
    <w:rsid w:val="00840314"/>
    <w:rsid w:val="008409E4"/>
    <w:rsid w:val="008409E7"/>
    <w:rsid w:val="00840CA2"/>
    <w:rsid w:val="00842640"/>
    <w:rsid w:val="0084296F"/>
    <w:rsid w:val="0084374F"/>
    <w:rsid w:val="00843963"/>
    <w:rsid w:val="008445FB"/>
    <w:rsid w:val="00844A22"/>
    <w:rsid w:val="0084516B"/>
    <w:rsid w:val="008457F8"/>
    <w:rsid w:val="00845CD0"/>
    <w:rsid w:val="00846346"/>
    <w:rsid w:val="00846691"/>
    <w:rsid w:val="00847703"/>
    <w:rsid w:val="00847DF5"/>
    <w:rsid w:val="008513E9"/>
    <w:rsid w:val="00853066"/>
    <w:rsid w:val="0085309D"/>
    <w:rsid w:val="00853BBF"/>
    <w:rsid w:val="00855CFF"/>
    <w:rsid w:val="00856897"/>
    <w:rsid w:val="00856E9A"/>
    <w:rsid w:val="008573DA"/>
    <w:rsid w:val="008574E9"/>
    <w:rsid w:val="00857FB5"/>
    <w:rsid w:val="0086075D"/>
    <w:rsid w:val="00860E0E"/>
    <w:rsid w:val="00862502"/>
    <w:rsid w:val="00862981"/>
    <w:rsid w:val="00862A3F"/>
    <w:rsid w:val="00862CC1"/>
    <w:rsid w:val="00864EAE"/>
    <w:rsid w:val="008651A0"/>
    <w:rsid w:val="008660D4"/>
    <w:rsid w:val="00866CF8"/>
    <w:rsid w:val="00867740"/>
    <w:rsid w:val="00867829"/>
    <w:rsid w:val="00871156"/>
    <w:rsid w:val="00871389"/>
    <w:rsid w:val="00871BAA"/>
    <w:rsid w:val="00871FA9"/>
    <w:rsid w:val="008728E9"/>
    <w:rsid w:val="008731DA"/>
    <w:rsid w:val="00873932"/>
    <w:rsid w:val="00874643"/>
    <w:rsid w:val="00875901"/>
    <w:rsid w:val="00876893"/>
    <w:rsid w:val="008803AE"/>
    <w:rsid w:val="008807BE"/>
    <w:rsid w:val="008821B0"/>
    <w:rsid w:val="008826C1"/>
    <w:rsid w:val="00882874"/>
    <w:rsid w:val="00882C35"/>
    <w:rsid w:val="00882D0B"/>
    <w:rsid w:val="00882E3C"/>
    <w:rsid w:val="008834EF"/>
    <w:rsid w:val="00883787"/>
    <w:rsid w:val="00883E2F"/>
    <w:rsid w:val="00884B26"/>
    <w:rsid w:val="008855E4"/>
    <w:rsid w:val="0088581F"/>
    <w:rsid w:val="00886CD2"/>
    <w:rsid w:val="0088779B"/>
    <w:rsid w:val="00887ADF"/>
    <w:rsid w:val="008916AA"/>
    <w:rsid w:val="00891DF4"/>
    <w:rsid w:val="00891E6F"/>
    <w:rsid w:val="0089275D"/>
    <w:rsid w:val="00892A36"/>
    <w:rsid w:val="00893239"/>
    <w:rsid w:val="00894489"/>
    <w:rsid w:val="008948A0"/>
    <w:rsid w:val="008950CB"/>
    <w:rsid w:val="008963A5"/>
    <w:rsid w:val="00896D5D"/>
    <w:rsid w:val="008972D5"/>
    <w:rsid w:val="008973AC"/>
    <w:rsid w:val="0089753B"/>
    <w:rsid w:val="008A0504"/>
    <w:rsid w:val="008A1D26"/>
    <w:rsid w:val="008A1E9D"/>
    <w:rsid w:val="008A24B5"/>
    <w:rsid w:val="008A2985"/>
    <w:rsid w:val="008A3363"/>
    <w:rsid w:val="008A3371"/>
    <w:rsid w:val="008A34D5"/>
    <w:rsid w:val="008A37DB"/>
    <w:rsid w:val="008A3C3E"/>
    <w:rsid w:val="008A4090"/>
    <w:rsid w:val="008A413A"/>
    <w:rsid w:val="008A5948"/>
    <w:rsid w:val="008A5C6F"/>
    <w:rsid w:val="008A5F87"/>
    <w:rsid w:val="008A6BD6"/>
    <w:rsid w:val="008A7626"/>
    <w:rsid w:val="008A79DE"/>
    <w:rsid w:val="008B0719"/>
    <w:rsid w:val="008B085B"/>
    <w:rsid w:val="008B1757"/>
    <w:rsid w:val="008B1FB7"/>
    <w:rsid w:val="008B2654"/>
    <w:rsid w:val="008B3BAC"/>
    <w:rsid w:val="008B4076"/>
    <w:rsid w:val="008B40E4"/>
    <w:rsid w:val="008B4882"/>
    <w:rsid w:val="008B4F21"/>
    <w:rsid w:val="008B601A"/>
    <w:rsid w:val="008B6532"/>
    <w:rsid w:val="008B6C30"/>
    <w:rsid w:val="008B7992"/>
    <w:rsid w:val="008B7BE6"/>
    <w:rsid w:val="008B7D7E"/>
    <w:rsid w:val="008C24DE"/>
    <w:rsid w:val="008C2601"/>
    <w:rsid w:val="008C2F3D"/>
    <w:rsid w:val="008C3AFE"/>
    <w:rsid w:val="008C3C42"/>
    <w:rsid w:val="008C5610"/>
    <w:rsid w:val="008C5739"/>
    <w:rsid w:val="008C63A3"/>
    <w:rsid w:val="008C7ECB"/>
    <w:rsid w:val="008D0356"/>
    <w:rsid w:val="008D12F2"/>
    <w:rsid w:val="008D1453"/>
    <w:rsid w:val="008D1C3C"/>
    <w:rsid w:val="008D34FB"/>
    <w:rsid w:val="008D3B86"/>
    <w:rsid w:val="008D4121"/>
    <w:rsid w:val="008D4755"/>
    <w:rsid w:val="008D4826"/>
    <w:rsid w:val="008D4C3D"/>
    <w:rsid w:val="008D5CD3"/>
    <w:rsid w:val="008D5EF3"/>
    <w:rsid w:val="008D734B"/>
    <w:rsid w:val="008D743C"/>
    <w:rsid w:val="008D7C4B"/>
    <w:rsid w:val="008D7DE4"/>
    <w:rsid w:val="008E0D3C"/>
    <w:rsid w:val="008E1296"/>
    <w:rsid w:val="008E1442"/>
    <w:rsid w:val="008E15A5"/>
    <w:rsid w:val="008E167D"/>
    <w:rsid w:val="008E1B9E"/>
    <w:rsid w:val="008E1E98"/>
    <w:rsid w:val="008E1F6D"/>
    <w:rsid w:val="008E2516"/>
    <w:rsid w:val="008E29ED"/>
    <w:rsid w:val="008E300D"/>
    <w:rsid w:val="008E3ACF"/>
    <w:rsid w:val="008E3C76"/>
    <w:rsid w:val="008E55AB"/>
    <w:rsid w:val="008E5AE4"/>
    <w:rsid w:val="008E6841"/>
    <w:rsid w:val="008E7866"/>
    <w:rsid w:val="008F10C5"/>
    <w:rsid w:val="008F120A"/>
    <w:rsid w:val="008F1DD2"/>
    <w:rsid w:val="008F27E0"/>
    <w:rsid w:val="008F2C24"/>
    <w:rsid w:val="008F3919"/>
    <w:rsid w:val="008F48EB"/>
    <w:rsid w:val="008F4F0B"/>
    <w:rsid w:val="008F60F6"/>
    <w:rsid w:val="00901106"/>
    <w:rsid w:val="00901469"/>
    <w:rsid w:val="0090176B"/>
    <w:rsid w:val="00902601"/>
    <w:rsid w:val="0090277F"/>
    <w:rsid w:val="00903B95"/>
    <w:rsid w:val="009046C4"/>
    <w:rsid w:val="0090477B"/>
    <w:rsid w:val="00904780"/>
    <w:rsid w:val="009049C7"/>
    <w:rsid w:val="00904B5E"/>
    <w:rsid w:val="00905AB7"/>
    <w:rsid w:val="00906198"/>
    <w:rsid w:val="009062A5"/>
    <w:rsid w:val="00907340"/>
    <w:rsid w:val="00907F0D"/>
    <w:rsid w:val="009108BA"/>
    <w:rsid w:val="009109C3"/>
    <w:rsid w:val="00910FA7"/>
    <w:rsid w:val="00911272"/>
    <w:rsid w:val="009125B5"/>
    <w:rsid w:val="009135D6"/>
    <w:rsid w:val="00913821"/>
    <w:rsid w:val="009149AE"/>
    <w:rsid w:val="00914C77"/>
    <w:rsid w:val="0091535B"/>
    <w:rsid w:val="0091655F"/>
    <w:rsid w:val="00917A7D"/>
    <w:rsid w:val="0092080E"/>
    <w:rsid w:val="00920B47"/>
    <w:rsid w:val="0092101B"/>
    <w:rsid w:val="009210FA"/>
    <w:rsid w:val="00921475"/>
    <w:rsid w:val="00921ACB"/>
    <w:rsid w:val="0092369B"/>
    <w:rsid w:val="00923808"/>
    <w:rsid w:val="00923A00"/>
    <w:rsid w:val="009242D6"/>
    <w:rsid w:val="009250CE"/>
    <w:rsid w:val="009255DE"/>
    <w:rsid w:val="0092596C"/>
    <w:rsid w:val="00926099"/>
    <w:rsid w:val="0092686F"/>
    <w:rsid w:val="009273DA"/>
    <w:rsid w:val="00927844"/>
    <w:rsid w:val="00927A12"/>
    <w:rsid w:val="00927A24"/>
    <w:rsid w:val="009314A2"/>
    <w:rsid w:val="0093269E"/>
    <w:rsid w:val="00934988"/>
    <w:rsid w:val="00934C2B"/>
    <w:rsid w:val="009352E4"/>
    <w:rsid w:val="009354BE"/>
    <w:rsid w:val="0093590A"/>
    <w:rsid w:val="009361EF"/>
    <w:rsid w:val="009365FD"/>
    <w:rsid w:val="00937089"/>
    <w:rsid w:val="009413CE"/>
    <w:rsid w:val="0094318B"/>
    <w:rsid w:val="00943FFD"/>
    <w:rsid w:val="00944F0F"/>
    <w:rsid w:val="00944F8A"/>
    <w:rsid w:val="009454F4"/>
    <w:rsid w:val="00947BD6"/>
    <w:rsid w:val="00950A81"/>
    <w:rsid w:val="00950CE5"/>
    <w:rsid w:val="009510A2"/>
    <w:rsid w:val="009514D7"/>
    <w:rsid w:val="00952266"/>
    <w:rsid w:val="00952FD2"/>
    <w:rsid w:val="009530B3"/>
    <w:rsid w:val="00953257"/>
    <w:rsid w:val="00953584"/>
    <w:rsid w:val="00954456"/>
    <w:rsid w:val="0095474C"/>
    <w:rsid w:val="00955534"/>
    <w:rsid w:val="00955BE4"/>
    <w:rsid w:val="00955D0D"/>
    <w:rsid w:val="00956430"/>
    <w:rsid w:val="009569D5"/>
    <w:rsid w:val="00956C90"/>
    <w:rsid w:val="00957AA6"/>
    <w:rsid w:val="009611EF"/>
    <w:rsid w:val="0096177F"/>
    <w:rsid w:val="009624FD"/>
    <w:rsid w:val="00962CB9"/>
    <w:rsid w:val="009637E9"/>
    <w:rsid w:val="00963AF5"/>
    <w:rsid w:val="00964312"/>
    <w:rsid w:val="00964871"/>
    <w:rsid w:val="00964C7F"/>
    <w:rsid w:val="00965B8A"/>
    <w:rsid w:val="009665C7"/>
    <w:rsid w:val="0097071F"/>
    <w:rsid w:val="00971678"/>
    <w:rsid w:val="009717AC"/>
    <w:rsid w:val="009739F1"/>
    <w:rsid w:val="00974FB3"/>
    <w:rsid w:val="009751C1"/>
    <w:rsid w:val="00975283"/>
    <w:rsid w:val="00975C90"/>
    <w:rsid w:val="00976519"/>
    <w:rsid w:val="00976C67"/>
    <w:rsid w:val="00977BA4"/>
    <w:rsid w:val="009811F1"/>
    <w:rsid w:val="009812C2"/>
    <w:rsid w:val="009814A2"/>
    <w:rsid w:val="009831A5"/>
    <w:rsid w:val="00983E57"/>
    <w:rsid w:val="00984390"/>
    <w:rsid w:val="0098446A"/>
    <w:rsid w:val="009844AE"/>
    <w:rsid w:val="00985DE2"/>
    <w:rsid w:val="0098675D"/>
    <w:rsid w:val="00986F80"/>
    <w:rsid w:val="009874CC"/>
    <w:rsid w:val="00990959"/>
    <w:rsid w:val="009909B9"/>
    <w:rsid w:val="009917C8"/>
    <w:rsid w:val="00991B55"/>
    <w:rsid w:val="00991C4B"/>
    <w:rsid w:val="00991E02"/>
    <w:rsid w:val="009922DE"/>
    <w:rsid w:val="009926E0"/>
    <w:rsid w:val="00993A7D"/>
    <w:rsid w:val="0099451E"/>
    <w:rsid w:val="009945FA"/>
    <w:rsid w:val="0099495D"/>
    <w:rsid w:val="00994FBE"/>
    <w:rsid w:val="0099524E"/>
    <w:rsid w:val="00996B1A"/>
    <w:rsid w:val="00996F9B"/>
    <w:rsid w:val="009A003E"/>
    <w:rsid w:val="009A06F6"/>
    <w:rsid w:val="009A1B67"/>
    <w:rsid w:val="009A20A9"/>
    <w:rsid w:val="009A2DCC"/>
    <w:rsid w:val="009A36E0"/>
    <w:rsid w:val="009A3715"/>
    <w:rsid w:val="009A41C6"/>
    <w:rsid w:val="009A4962"/>
    <w:rsid w:val="009A55CA"/>
    <w:rsid w:val="009A5ABC"/>
    <w:rsid w:val="009A7BF6"/>
    <w:rsid w:val="009A7F10"/>
    <w:rsid w:val="009B0CA8"/>
    <w:rsid w:val="009B1CD3"/>
    <w:rsid w:val="009B38D8"/>
    <w:rsid w:val="009B3E26"/>
    <w:rsid w:val="009B42F4"/>
    <w:rsid w:val="009B5AFE"/>
    <w:rsid w:val="009B7E01"/>
    <w:rsid w:val="009C0D7B"/>
    <w:rsid w:val="009C1368"/>
    <w:rsid w:val="009C179F"/>
    <w:rsid w:val="009C1CF9"/>
    <w:rsid w:val="009C32B2"/>
    <w:rsid w:val="009C33E9"/>
    <w:rsid w:val="009C3706"/>
    <w:rsid w:val="009C3A3A"/>
    <w:rsid w:val="009C472B"/>
    <w:rsid w:val="009C6CEA"/>
    <w:rsid w:val="009C7B85"/>
    <w:rsid w:val="009D0254"/>
    <w:rsid w:val="009D0CA2"/>
    <w:rsid w:val="009D1A64"/>
    <w:rsid w:val="009D28FB"/>
    <w:rsid w:val="009D4199"/>
    <w:rsid w:val="009D46E9"/>
    <w:rsid w:val="009D4C0F"/>
    <w:rsid w:val="009D4F54"/>
    <w:rsid w:val="009D5136"/>
    <w:rsid w:val="009D582A"/>
    <w:rsid w:val="009D58F9"/>
    <w:rsid w:val="009D5B91"/>
    <w:rsid w:val="009D5C78"/>
    <w:rsid w:val="009D792E"/>
    <w:rsid w:val="009E0601"/>
    <w:rsid w:val="009E0DFE"/>
    <w:rsid w:val="009E31F6"/>
    <w:rsid w:val="009E3516"/>
    <w:rsid w:val="009E45EA"/>
    <w:rsid w:val="009E4B1E"/>
    <w:rsid w:val="009E4C07"/>
    <w:rsid w:val="009E52F1"/>
    <w:rsid w:val="009E6BCB"/>
    <w:rsid w:val="009F0087"/>
    <w:rsid w:val="009F0DE8"/>
    <w:rsid w:val="009F13A7"/>
    <w:rsid w:val="009F1BE4"/>
    <w:rsid w:val="009F3E99"/>
    <w:rsid w:val="009F41D7"/>
    <w:rsid w:val="009F4320"/>
    <w:rsid w:val="009F5097"/>
    <w:rsid w:val="009F510D"/>
    <w:rsid w:val="009F66B4"/>
    <w:rsid w:val="009F7006"/>
    <w:rsid w:val="00A00CF3"/>
    <w:rsid w:val="00A00E05"/>
    <w:rsid w:val="00A01184"/>
    <w:rsid w:val="00A0150A"/>
    <w:rsid w:val="00A01DB0"/>
    <w:rsid w:val="00A0242E"/>
    <w:rsid w:val="00A02C62"/>
    <w:rsid w:val="00A031A9"/>
    <w:rsid w:val="00A032C3"/>
    <w:rsid w:val="00A037C2"/>
    <w:rsid w:val="00A03B06"/>
    <w:rsid w:val="00A03D43"/>
    <w:rsid w:val="00A04380"/>
    <w:rsid w:val="00A0491D"/>
    <w:rsid w:val="00A05472"/>
    <w:rsid w:val="00A05958"/>
    <w:rsid w:val="00A05C32"/>
    <w:rsid w:val="00A05D88"/>
    <w:rsid w:val="00A0653F"/>
    <w:rsid w:val="00A065E7"/>
    <w:rsid w:val="00A074B1"/>
    <w:rsid w:val="00A07AEF"/>
    <w:rsid w:val="00A10CCA"/>
    <w:rsid w:val="00A10FD6"/>
    <w:rsid w:val="00A11CD0"/>
    <w:rsid w:val="00A1213F"/>
    <w:rsid w:val="00A124FA"/>
    <w:rsid w:val="00A1261F"/>
    <w:rsid w:val="00A136C8"/>
    <w:rsid w:val="00A13948"/>
    <w:rsid w:val="00A140B7"/>
    <w:rsid w:val="00A14854"/>
    <w:rsid w:val="00A150CF"/>
    <w:rsid w:val="00A1555B"/>
    <w:rsid w:val="00A155C5"/>
    <w:rsid w:val="00A1564B"/>
    <w:rsid w:val="00A15B0F"/>
    <w:rsid w:val="00A15F4D"/>
    <w:rsid w:val="00A1610E"/>
    <w:rsid w:val="00A16623"/>
    <w:rsid w:val="00A16AD8"/>
    <w:rsid w:val="00A16D12"/>
    <w:rsid w:val="00A170FF"/>
    <w:rsid w:val="00A17A76"/>
    <w:rsid w:val="00A17D06"/>
    <w:rsid w:val="00A17EC0"/>
    <w:rsid w:val="00A20152"/>
    <w:rsid w:val="00A2079F"/>
    <w:rsid w:val="00A209D4"/>
    <w:rsid w:val="00A20A37"/>
    <w:rsid w:val="00A213C2"/>
    <w:rsid w:val="00A21A3E"/>
    <w:rsid w:val="00A21C95"/>
    <w:rsid w:val="00A21CF3"/>
    <w:rsid w:val="00A221FB"/>
    <w:rsid w:val="00A2313D"/>
    <w:rsid w:val="00A239CC"/>
    <w:rsid w:val="00A24813"/>
    <w:rsid w:val="00A2494F"/>
    <w:rsid w:val="00A25004"/>
    <w:rsid w:val="00A270C1"/>
    <w:rsid w:val="00A277F1"/>
    <w:rsid w:val="00A27AEC"/>
    <w:rsid w:val="00A307BB"/>
    <w:rsid w:val="00A320A9"/>
    <w:rsid w:val="00A320DB"/>
    <w:rsid w:val="00A32619"/>
    <w:rsid w:val="00A33812"/>
    <w:rsid w:val="00A33BBB"/>
    <w:rsid w:val="00A33EB2"/>
    <w:rsid w:val="00A34A13"/>
    <w:rsid w:val="00A34C64"/>
    <w:rsid w:val="00A35AEB"/>
    <w:rsid w:val="00A35D16"/>
    <w:rsid w:val="00A36051"/>
    <w:rsid w:val="00A36961"/>
    <w:rsid w:val="00A376CE"/>
    <w:rsid w:val="00A37BCD"/>
    <w:rsid w:val="00A37D38"/>
    <w:rsid w:val="00A37D9C"/>
    <w:rsid w:val="00A40282"/>
    <w:rsid w:val="00A41237"/>
    <w:rsid w:val="00A41314"/>
    <w:rsid w:val="00A41689"/>
    <w:rsid w:val="00A41C30"/>
    <w:rsid w:val="00A422B8"/>
    <w:rsid w:val="00A42428"/>
    <w:rsid w:val="00A42592"/>
    <w:rsid w:val="00A425D3"/>
    <w:rsid w:val="00A43C59"/>
    <w:rsid w:val="00A43E96"/>
    <w:rsid w:val="00A449D8"/>
    <w:rsid w:val="00A4529C"/>
    <w:rsid w:val="00A45624"/>
    <w:rsid w:val="00A45664"/>
    <w:rsid w:val="00A46CA7"/>
    <w:rsid w:val="00A50ECD"/>
    <w:rsid w:val="00A518F3"/>
    <w:rsid w:val="00A51DD4"/>
    <w:rsid w:val="00A52729"/>
    <w:rsid w:val="00A52BAE"/>
    <w:rsid w:val="00A53675"/>
    <w:rsid w:val="00A54384"/>
    <w:rsid w:val="00A54DCB"/>
    <w:rsid w:val="00A564D7"/>
    <w:rsid w:val="00A56A59"/>
    <w:rsid w:val="00A56B6A"/>
    <w:rsid w:val="00A57142"/>
    <w:rsid w:val="00A572A1"/>
    <w:rsid w:val="00A57442"/>
    <w:rsid w:val="00A5756F"/>
    <w:rsid w:val="00A578DC"/>
    <w:rsid w:val="00A57CAC"/>
    <w:rsid w:val="00A57CF1"/>
    <w:rsid w:val="00A600E3"/>
    <w:rsid w:val="00A6100D"/>
    <w:rsid w:val="00A61877"/>
    <w:rsid w:val="00A640E2"/>
    <w:rsid w:val="00A645D2"/>
    <w:rsid w:val="00A648B0"/>
    <w:rsid w:val="00A64D65"/>
    <w:rsid w:val="00A6515B"/>
    <w:rsid w:val="00A6538B"/>
    <w:rsid w:val="00A65F9D"/>
    <w:rsid w:val="00A660EB"/>
    <w:rsid w:val="00A66E4E"/>
    <w:rsid w:val="00A6725B"/>
    <w:rsid w:val="00A67ED6"/>
    <w:rsid w:val="00A70605"/>
    <w:rsid w:val="00A710DF"/>
    <w:rsid w:val="00A713BB"/>
    <w:rsid w:val="00A72B3F"/>
    <w:rsid w:val="00A73134"/>
    <w:rsid w:val="00A7372A"/>
    <w:rsid w:val="00A738A4"/>
    <w:rsid w:val="00A74393"/>
    <w:rsid w:val="00A7571A"/>
    <w:rsid w:val="00A76001"/>
    <w:rsid w:val="00A76558"/>
    <w:rsid w:val="00A766F5"/>
    <w:rsid w:val="00A771C4"/>
    <w:rsid w:val="00A777B2"/>
    <w:rsid w:val="00A80767"/>
    <w:rsid w:val="00A80BCB"/>
    <w:rsid w:val="00A80C80"/>
    <w:rsid w:val="00A811A9"/>
    <w:rsid w:val="00A81A38"/>
    <w:rsid w:val="00A825D4"/>
    <w:rsid w:val="00A82697"/>
    <w:rsid w:val="00A828F6"/>
    <w:rsid w:val="00A82B73"/>
    <w:rsid w:val="00A82E5D"/>
    <w:rsid w:val="00A83BA5"/>
    <w:rsid w:val="00A83DAE"/>
    <w:rsid w:val="00A83DE0"/>
    <w:rsid w:val="00A8429C"/>
    <w:rsid w:val="00A84645"/>
    <w:rsid w:val="00A859D3"/>
    <w:rsid w:val="00A85BC7"/>
    <w:rsid w:val="00A86E8B"/>
    <w:rsid w:val="00A87164"/>
    <w:rsid w:val="00A876EC"/>
    <w:rsid w:val="00A92D33"/>
    <w:rsid w:val="00A93072"/>
    <w:rsid w:val="00A93297"/>
    <w:rsid w:val="00A938BD"/>
    <w:rsid w:val="00A93953"/>
    <w:rsid w:val="00A93AB7"/>
    <w:rsid w:val="00A9446E"/>
    <w:rsid w:val="00A94E12"/>
    <w:rsid w:val="00A9536C"/>
    <w:rsid w:val="00A95484"/>
    <w:rsid w:val="00A958BA"/>
    <w:rsid w:val="00A959D8"/>
    <w:rsid w:val="00A97693"/>
    <w:rsid w:val="00AA0BC0"/>
    <w:rsid w:val="00AA113D"/>
    <w:rsid w:val="00AA148A"/>
    <w:rsid w:val="00AA2BB1"/>
    <w:rsid w:val="00AA5D8E"/>
    <w:rsid w:val="00AA6BD5"/>
    <w:rsid w:val="00AA6BD8"/>
    <w:rsid w:val="00AA6C7D"/>
    <w:rsid w:val="00AA74A1"/>
    <w:rsid w:val="00AA74DA"/>
    <w:rsid w:val="00AA7E2E"/>
    <w:rsid w:val="00AA7E46"/>
    <w:rsid w:val="00AA7F3B"/>
    <w:rsid w:val="00AA7FD6"/>
    <w:rsid w:val="00AB042A"/>
    <w:rsid w:val="00AB0CED"/>
    <w:rsid w:val="00AB15B7"/>
    <w:rsid w:val="00AB19EF"/>
    <w:rsid w:val="00AB1D50"/>
    <w:rsid w:val="00AB2D34"/>
    <w:rsid w:val="00AB2FB9"/>
    <w:rsid w:val="00AB3430"/>
    <w:rsid w:val="00AB3549"/>
    <w:rsid w:val="00AB37B9"/>
    <w:rsid w:val="00AB37F1"/>
    <w:rsid w:val="00AB4005"/>
    <w:rsid w:val="00AB4AD1"/>
    <w:rsid w:val="00AB50B4"/>
    <w:rsid w:val="00AB5409"/>
    <w:rsid w:val="00AB5E07"/>
    <w:rsid w:val="00AB6BF9"/>
    <w:rsid w:val="00AB7AC1"/>
    <w:rsid w:val="00AB7C3A"/>
    <w:rsid w:val="00AB7CFA"/>
    <w:rsid w:val="00AC24F9"/>
    <w:rsid w:val="00AC28B4"/>
    <w:rsid w:val="00AC2D6C"/>
    <w:rsid w:val="00AC3B13"/>
    <w:rsid w:val="00AC5491"/>
    <w:rsid w:val="00AC5B48"/>
    <w:rsid w:val="00AC5D0F"/>
    <w:rsid w:val="00AD0308"/>
    <w:rsid w:val="00AD1450"/>
    <w:rsid w:val="00AD158F"/>
    <w:rsid w:val="00AD15D9"/>
    <w:rsid w:val="00AD18CA"/>
    <w:rsid w:val="00AD1D01"/>
    <w:rsid w:val="00AD2F2E"/>
    <w:rsid w:val="00AD368A"/>
    <w:rsid w:val="00AD36BD"/>
    <w:rsid w:val="00AD488B"/>
    <w:rsid w:val="00AD4F5E"/>
    <w:rsid w:val="00AD55C7"/>
    <w:rsid w:val="00AD6502"/>
    <w:rsid w:val="00AD65E1"/>
    <w:rsid w:val="00AD6A97"/>
    <w:rsid w:val="00AD6D23"/>
    <w:rsid w:val="00AD7870"/>
    <w:rsid w:val="00AE0695"/>
    <w:rsid w:val="00AE09B7"/>
    <w:rsid w:val="00AE2188"/>
    <w:rsid w:val="00AE2CD4"/>
    <w:rsid w:val="00AE3E7E"/>
    <w:rsid w:val="00AE4CC7"/>
    <w:rsid w:val="00AE50A9"/>
    <w:rsid w:val="00AE5990"/>
    <w:rsid w:val="00AE63F3"/>
    <w:rsid w:val="00AE7D30"/>
    <w:rsid w:val="00AF0FB0"/>
    <w:rsid w:val="00AF1315"/>
    <w:rsid w:val="00AF148D"/>
    <w:rsid w:val="00AF19BF"/>
    <w:rsid w:val="00AF1BF4"/>
    <w:rsid w:val="00AF25DF"/>
    <w:rsid w:val="00AF25ED"/>
    <w:rsid w:val="00AF2CBA"/>
    <w:rsid w:val="00AF2DC3"/>
    <w:rsid w:val="00AF3292"/>
    <w:rsid w:val="00AF43D6"/>
    <w:rsid w:val="00AF4651"/>
    <w:rsid w:val="00AF4DC1"/>
    <w:rsid w:val="00AF5B9F"/>
    <w:rsid w:val="00AF6125"/>
    <w:rsid w:val="00AF798B"/>
    <w:rsid w:val="00B008FE"/>
    <w:rsid w:val="00B010BF"/>
    <w:rsid w:val="00B02C08"/>
    <w:rsid w:val="00B02C80"/>
    <w:rsid w:val="00B033E5"/>
    <w:rsid w:val="00B039D1"/>
    <w:rsid w:val="00B03A63"/>
    <w:rsid w:val="00B04B36"/>
    <w:rsid w:val="00B055BF"/>
    <w:rsid w:val="00B06711"/>
    <w:rsid w:val="00B074ED"/>
    <w:rsid w:val="00B07EDD"/>
    <w:rsid w:val="00B11C0E"/>
    <w:rsid w:val="00B14317"/>
    <w:rsid w:val="00B16ECE"/>
    <w:rsid w:val="00B17AD3"/>
    <w:rsid w:val="00B200B2"/>
    <w:rsid w:val="00B201A4"/>
    <w:rsid w:val="00B201D1"/>
    <w:rsid w:val="00B208FD"/>
    <w:rsid w:val="00B213A6"/>
    <w:rsid w:val="00B21449"/>
    <w:rsid w:val="00B21AE9"/>
    <w:rsid w:val="00B22600"/>
    <w:rsid w:val="00B22CC4"/>
    <w:rsid w:val="00B23511"/>
    <w:rsid w:val="00B235B0"/>
    <w:rsid w:val="00B235C6"/>
    <w:rsid w:val="00B23C26"/>
    <w:rsid w:val="00B24DF6"/>
    <w:rsid w:val="00B26F54"/>
    <w:rsid w:val="00B317B5"/>
    <w:rsid w:val="00B32659"/>
    <w:rsid w:val="00B33E49"/>
    <w:rsid w:val="00B3448A"/>
    <w:rsid w:val="00B34FE2"/>
    <w:rsid w:val="00B35166"/>
    <w:rsid w:val="00B35382"/>
    <w:rsid w:val="00B357D8"/>
    <w:rsid w:val="00B360F4"/>
    <w:rsid w:val="00B36A00"/>
    <w:rsid w:val="00B37259"/>
    <w:rsid w:val="00B37355"/>
    <w:rsid w:val="00B375BB"/>
    <w:rsid w:val="00B37BFC"/>
    <w:rsid w:val="00B40358"/>
    <w:rsid w:val="00B4044D"/>
    <w:rsid w:val="00B40578"/>
    <w:rsid w:val="00B41614"/>
    <w:rsid w:val="00B41873"/>
    <w:rsid w:val="00B41A91"/>
    <w:rsid w:val="00B41E46"/>
    <w:rsid w:val="00B41FD8"/>
    <w:rsid w:val="00B42851"/>
    <w:rsid w:val="00B42F80"/>
    <w:rsid w:val="00B435CB"/>
    <w:rsid w:val="00B441F6"/>
    <w:rsid w:val="00B44CD1"/>
    <w:rsid w:val="00B454FF"/>
    <w:rsid w:val="00B4687E"/>
    <w:rsid w:val="00B46AF1"/>
    <w:rsid w:val="00B47338"/>
    <w:rsid w:val="00B47E48"/>
    <w:rsid w:val="00B505C8"/>
    <w:rsid w:val="00B505CF"/>
    <w:rsid w:val="00B50DB8"/>
    <w:rsid w:val="00B51365"/>
    <w:rsid w:val="00B53654"/>
    <w:rsid w:val="00B53655"/>
    <w:rsid w:val="00B53905"/>
    <w:rsid w:val="00B54343"/>
    <w:rsid w:val="00B54B5B"/>
    <w:rsid w:val="00B55316"/>
    <w:rsid w:val="00B5562E"/>
    <w:rsid w:val="00B55862"/>
    <w:rsid w:val="00B55D65"/>
    <w:rsid w:val="00B57000"/>
    <w:rsid w:val="00B57AD0"/>
    <w:rsid w:val="00B6030F"/>
    <w:rsid w:val="00B6084B"/>
    <w:rsid w:val="00B60939"/>
    <w:rsid w:val="00B60AFD"/>
    <w:rsid w:val="00B62715"/>
    <w:rsid w:val="00B635B1"/>
    <w:rsid w:val="00B65611"/>
    <w:rsid w:val="00B65D15"/>
    <w:rsid w:val="00B66237"/>
    <w:rsid w:val="00B6798B"/>
    <w:rsid w:val="00B7024E"/>
    <w:rsid w:val="00B70532"/>
    <w:rsid w:val="00B7067F"/>
    <w:rsid w:val="00B709A8"/>
    <w:rsid w:val="00B70E8E"/>
    <w:rsid w:val="00B714A6"/>
    <w:rsid w:val="00B71710"/>
    <w:rsid w:val="00B718E7"/>
    <w:rsid w:val="00B72B75"/>
    <w:rsid w:val="00B72C16"/>
    <w:rsid w:val="00B73EE1"/>
    <w:rsid w:val="00B7600E"/>
    <w:rsid w:val="00B76C88"/>
    <w:rsid w:val="00B76C92"/>
    <w:rsid w:val="00B777E8"/>
    <w:rsid w:val="00B77D8E"/>
    <w:rsid w:val="00B818A4"/>
    <w:rsid w:val="00B81D89"/>
    <w:rsid w:val="00B822C7"/>
    <w:rsid w:val="00B82C8D"/>
    <w:rsid w:val="00B83A22"/>
    <w:rsid w:val="00B84117"/>
    <w:rsid w:val="00B84266"/>
    <w:rsid w:val="00B858F0"/>
    <w:rsid w:val="00B85AA2"/>
    <w:rsid w:val="00B85DAD"/>
    <w:rsid w:val="00B86355"/>
    <w:rsid w:val="00B8649C"/>
    <w:rsid w:val="00B8695D"/>
    <w:rsid w:val="00B87906"/>
    <w:rsid w:val="00B87AE2"/>
    <w:rsid w:val="00B87CF4"/>
    <w:rsid w:val="00B87E33"/>
    <w:rsid w:val="00B87F0A"/>
    <w:rsid w:val="00B90250"/>
    <w:rsid w:val="00B908D2"/>
    <w:rsid w:val="00B91A86"/>
    <w:rsid w:val="00B91CB1"/>
    <w:rsid w:val="00B91E15"/>
    <w:rsid w:val="00B92D0B"/>
    <w:rsid w:val="00B92FD5"/>
    <w:rsid w:val="00B93F01"/>
    <w:rsid w:val="00B94945"/>
    <w:rsid w:val="00B94DD6"/>
    <w:rsid w:val="00B97217"/>
    <w:rsid w:val="00B9783B"/>
    <w:rsid w:val="00BA0B1A"/>
    <w:rsid w:val="00BA175A"/>
    <w:rsid w:val="00BA2581"/>
    <w:rsid w:val="00BA26AA"/>
    <w:rsid w:val="00BA30A4"/>
    <w:rsid w:val="00BA322D"/>
    <w:rsid w:val="00BA3622"/>
    <w:rsid w:val="00BA393C"/>
    <w:rsid w:val="00BA3CEE"/>
    <w:rsid w:val="00BA5525"/>
    <w:rsid w:val="00BA5872"/>
    <w:rsid w:val="00BA6399"/>
    <w:rsid w:val="00BA63FA"/>
    <w:rsid w:val="00BA6A3F"/>
    <w:rsid w:val="00BA7177"/>
    <w:rsid w:val="00BA74D1"/>
    <w:rsid w:val="00BA79F2"/>
    <w:rsid w:val="00BA7D4F"/>
    <w:rsid w:val="00BB00B3"/>
    <w:rsid w:val="00BB0BDD"/>
    <w:rsid w:val="00BB176C"/>
    <w:rsid w:val="00BB2575"/>
    <w:rsid w:val="00BB2A73"/>
    <w:rsid w:val="00BB2DB5"/>
    <w:rsid w:val="00BB3A45"/>
    <w:rsid w:val="00BB3CFD"/>
    <w:rsid w:val="00BB4ACC"/>
    <w:rsid w:val="00BB57A7"/>
    <w:rsid w:val="00BB61CD"/>
    <w:rsid w:val="00BB683B"/>
    <w:rsid w:val="00BB703E"/>
    <w:rsid w:val="00BB719F"/>
    <w:rsid w:val="00BB732D"/>
    <w:rsid w:val="00BB7405"/>
    <w:rsid w:val="00BB764B"/>
    <w:rsid w:val="00BC11F8"/>
    <w:rsid w:val="00BC3592"/>
    <w:rsid w:val="00BC3631"/>
    <w:rsid w:val="00BC591F"/>
    <w:rsid w:val="00BC68E9"/>
    <w:rsid w:val="00BC79DE"/>
    <w:rsid w:val="00BC7D6D"/>
    <w:rsid w:val="00BD02B1"/>
    <w:rsid w:val="00BD0BC0"/>
    <w:rsid w:val="00BD1236"/>
    <w:rsid w:val="00BD1B33"/>
    <w:rsid w:val="00BD2108"/>
    <w:rsid w:val="00BD3AB8"/>
    <w:rsid w:val="00BD55F5"/>
    <w:rsid w:val="00BD68A3"/>
    <w:rsid w:val="00BD6938"/>
    <w:rsid w:val="00BD6C93"/>
    <w:rsid w:val="00BD6CF3"/>
    <w:rsid w:val="00BD726B"/>
    <w:rsid w:val="00BE0090"/>
    <w:rsid w:val="00BE0ECA"/>
    <w:rsid w:val="00BE2180"/>
    <w:rsid w:val="00BE21F2"/>
    <w:rsid w:val="00BE2944"/>
    <w:rsid w:val="00BE3059"/>
    <w:rsid w:val="00BE4275"/>
    <w:rsid w:val="00BE4668"/>
    <w:rsid w:val="00BE4CC6"/>
    <w:rsid w:val="00BE5D11"/>
    <w:rsid w:val="00BE674F"/>
    <w:rsid w:val="00BF01BC"/>
    <w:rsid w:val="00BF05A5"/>
    <w:rsid w:val="00BF06AE"/>
    <w:rsid w:val="00BF0F95"/>
    <w:rsid w:val="00BF2433"/>
    <w:rsid w:val="00BF290A"/>
    <w:rsid w:val="00BF340C"/>
    <w:rsid w:val="00BF39EA"/>
    <w:rsid w:val="00BF4511"/>
    <w:rsid w:val="00BF4A3A"/>
    <w:rsid w:val="00BF5553"/>
    <w:rsid w:val="00BF5881"/>
    <w:rsid w:val="00BF5D16"/>
    <w:rsid w:val="00BF61C9"/>
    <w:rsid w:val="00BF6C94"/>
    <w:rsid w:val="00C00424"/>
    <w:rsid w:val="00C00E44"/>
    <w:rsid w:val="00C00F5B"/>
    <w:rsid w:val="00C031FF"/>
    <w:rsid w:val="00C0436A"/>
    <w:rsid w:val="00C05230"/>
    <w:rsid w:val="00C06090"/>
    <w:rsid w:val="00C062A1"/>
    <w:rsid w:val="00C073FB"/>
    <w:rsid w:val="00C07BF7"/>
    <w:rsid w:val="00C104A8"/>
    <w:rsid w:val="00C1179F"/>
    <w:rsid w:val="00C12C14"/>
    <w:rsid w:val="00C12FB7"/>
    <w:rsid w:val="00C13391"/>
    <w:rsid w:val="00C13AAE"/>
    <w:rsid w:val="00C141E8"/>
    <w:rsid w:val="00C14727"/>
    <w:rsid w:val="00C14F16"/>
    <w:rsid w:val="00C1501C"/>
    <w:rsid w:val="00C15223"/>
    <w:rsid w:val="00C1548B"/>
    <w:rsid w:val="00C1556F"/>
    <w:rsid w:val="00C15F04"/>
    <w:rsid w:val="00C1601E"/>
    <w:rsid w:val="00C16086"/>
    <w:rsid w:val="00C168A5"/>
    <w:rsid w:val="00C16E6A"/>
    <w:rsid w:val="00C1724C"/>
    <w:rsid w:val="00C176EA"/>
    <w:rsid w:val="00C179B3"/>
    <w:rsid w:val="00C179F2"/>
    <w:rsid w:val="00C17E3F"/>
    <w:rsid w:val="00C200AA"/>
    <w:rsid w:val="00C2093E"/>
    <w:rsid w:val="00C21C67"/>
    <w:rsid w:val="00C21D8D"/>
    <w:rsid w:val="00C22685"/>
    <w:rsid w:val="00C237ED"/>
    <w:rsid w:val="00C23F6A"/>
    <w:rsid w:val="00C24167"/>
    <w:rsid w:val="00C24632"/>
    <w:rsid w:val="00C24887"/>
    <w:rsid w:val="00C25418"/>
    <w:rsid w:val="00C25D9C"/>
    <w:rsid w:val="00C26772"/>
    <w:rsid w:val="00C26DB6"/>
    <w:rsid w:val="00C2752D"/>
    <w:rsid w:val="00C2778B"/>
    <w:rsid w:val="00C27F6F"/>
    <w:rsid w:val="00C3100A"/>
    <w:rsid w:val="00C31649"/>
    <w:rsid w:val="00C31DE7"/>
    <w:rsid w:val="00C325D1"/>
    <w:rsid w:val="00C32884"/>
    <w:rsid w:val="00C32D75"/>
    <w:rsid w:val="00C3347D"/>
    <w:rsid w:val="00C3434C"/>
    <w:rsid w:val="00C357E1"/>
    <w:rsid w:val="00C35A4F"/>
    <w:rsid w:val="00C36AB6"/>
    <w:rsid w:val="00C40385"/>
    <w:rsid w:val="00C41768"/>
    <w:rsid w:val="00C41C0A"/>
    <w:rsid w:val="00C41CEB"/>
    <w:rsid w:val="00C41E43"/>
    <w:rsid w:val="00C4230B"/>
    <w:rsid w:val="00C424FC"/>
    <w:rsid w:val="00C426CF"/>
    <w:rsid w:val="00C429EA"/>
    <w:rsid w:val="00C42F79"/>
    <w:rsid w:val="00C433D3"/>
    <w:rsid w:val="00C4361E"/>
    <w:rsid w:val="00C43C71"/>
    <w:rsid w:val="00C44A72"/>
    <w:rsid w:val="00C44DA2"/>
    <w:rsid w:val="00C4649C"/>
    <w:rsid w:val="00C46EE5"/>
    <w:rsid w:val="00C47558"/>
    <w:rsid w:val="00C475AA"/>
    <w:rsid w:val="00C51064"/>
    <w:rsid w:val="00C515AB"/>
    <w:rsid w:val="00C519B5"/>
    <w:rsid w:val="00C51A80"/>
    <w:rsid w:val="00C52879"/>
    <w:rsid w:val="00C52B88"/>
    <w:rsid w:val="00C5335F"/>
    <w:rsid w:val="00C53C98"/>
    <w:rsid w:val="00C54EC8"/>
    <w:rsid w:val="00C552FE"/>
    <w:rsid w:val="00C559BF"/>
    <w:rsid w:val="00C55EEC"/>
    <w:rsid w:val="00C566BA"/>
    <w:rsid w:val="00C566D2"/>
    <w:rsid w:val="00C56FCF"/>
    <w:rsid w:val="00C57B36"/>
    <w:rsid w:val="00C57B6C"/>
    <w:rsid w:val="00C57CFD"/>
    <w:rsid w:val="00C604B7"/>
    <w:rsid w:val="00C61592"/>
    <w:rsid w:val="00C61FE9"/>
    <w:rsid w:val="00C622BC"/>
    <w:rsid w:val="00C628A6"/>
    <w:rsid w:val="00C628BB"/>
    <w:rsid w:val="00C64344"/>
    <w:rsid w:val="00C64515"/>
    <w:rsid w:val="00C65108"/>
    <w:rsid w:val="00C65576"/>
    <w:rsid w:val="00C65748"/>
    <w:rsid w:val="00C65D0B"/>
    <w:rsid w:val="00C66165"/>
    <w:rsid w:val="00C67343"/>
    <w:rsid w:val="00C67A72"/>
    <w:rsid w:val="00C7060A"/>
    <w:rsid w:val="00C7151A"/>
    <w:rsid w:val="00C717E3"/>
    <w:rsid w:val="00C71ECA"/>
    <w:rsid w:val="00C71F60"/>
    <w:rsid w:val="00C72241"/>
    <w:rsid w:val="00C722FE"/>
    <w:rsid w:val="00C72B63"/>
    <w:rsid w:val="00C736FE"/>
    <w:rsid w:val="00C742F5"/>
    <w:rsid w:val="00C75008"/>
    <w:rsid w:val="00C750C8"/>
    <w:rsid w:val="00C7560F"/>
    <w:rsid w:val="00C75A5B"/>
    <w:rsid w:val="00C768FC"/>
    <w:rsid w:val="00C7703B"/>
    <w:rsid w:val="00C779B2"/>
    <w:rsid w:val="00C80A0E"/>
    <w:rsid w:val="00C81847"/>
    <w:rsid w:val="00C81F77"/>
    <w:rsid w:val="00C8213F"/>
    <w:rsid w:val="00C83671"/>
    <w:rsid w:val="00C85154"/>
    <w:rsid w:val="00C8533E"/>
    <w:rsid w:val="00C8575D"/>
    <w:rsid w:val="00C86017"/>
    <w:rsid w:val="00C867C8"/>
    <w:rsid w:val="00C86ABF"/>
    <w:rsid w:val="00C871A2"/>
    <w:rsid w:val="00C87681"/>
    <w:rsid w:val="00C87769"/>
    <w:rsid w:val="00C8797A"/>
    <w:rsid w:val="00C87C5C"/>
    <w:rsid w:val="00C87CC9"/>
    <w:rsid w:val="00C900B8"/>
    <w:rsid w:val="00C90288"/>
    <w:rsid w:val="00C90C71"/>
    <w:rsid w:val="00C91BB3"/>
    <w:rsid w:val="00C91FD1"/>
    <w:rsid w:val="00C920A8"/>
    <w:rsid w:val="00C92825"/>
    <w:rsid w:val="00C92B08"/>
    <w:rsid w:val="00C931CF"/>
    <w:rsid w:val="00C938CF"/>
    <w:rsid w:val="00C94053"/>
    <w:rsid w:val="00C945CE"/>
    <w:rsid w:val="00C95670"/>
    <w:rsid w:val="00C96160"/>
    <w:rsid w:val="00C9624D"/>
    <w:rsid w:val="00C96381"/>
    <w:rsid w:val="00C969DA"/>
    <w:rsid w:val="00C975C1"/>
    <w:rsid w:val="00CA21C7"/>
    <w:rsid w:val="00CA287E"/>
    <w:rsid w:val="00CA2C77"/>
    <w:rsid w:val="00CA3E3A"/>
    <w:rsid w:val="00CA4278"/>
    <w:rsid w:val="00CA43B0"/>
    <w:rsid w:val="00CA444F"/>
    <w:rsid w:val="00CA492D"/>
    <w:rsid w:val="00CA5245"/>
    <w:rsid w:val="00CA526E"/>
    <w:rsid w:val="00CA5F46"/>
    <w:rsid w:val="00CA6149"/>
    <w:rsid w:val="00CA71F4"/>
    <w:rsid w:val="00CA7B09"/>
    <w:rsid w:val="00CB022F"/>
    <w:rsid w:val="00CB0FB3"/>
    <w:rsid w:val="00CB12A5"/>
    <w:rsid w:val="00CB1B98"/>
    <w:rsid w:val="00CB1C0B"/>
    <w:rsid w:val="00CB1CAC"/>
    <w:rsid w:val="00CB2187"/>
    <w:rsid w:val="00CB2667"/>
    <w:rsid w:val="00CB2A40"/>
    <w:rsid w:val="00CB2D3B"/>
    <w:rsid w:val="00CB2F2A"/>
    <w:rsid w:val="00CB5B1A"/>
    <w:rsid w:val="00CB61DF"/>
    <w:rsid w:val="00CB679A"/>
    <w:rsid w:val="00CB68E7"/>
    <w:rsid w:val="00CB6B22"/>
    <w:rsid w:val="00CB782F"/>
    <w:rsid w:val="00CB79D5"/>
    <w:rsid w:val="00CB7F5F"/>
    <w:rsid w:val="00CC0457"/>
    <w:rsid w:val="00CC13AD"/>
    <w:rsid w:val="00CC1B39"/>
    <w:rsid w:val="00CC23E7"/>
    <w:rsid w:val="00CC25BB"/>
    <w:rsid w:val="00CC265E"/>
    <w:rsid w:val="00CC35EA"/>
    <w:rsid w:val="00CC37B7"/>
    <w:rsid w:val="00CC3848"/>
    <w:rsid w:val="00CC4787"/>
    <w:rsid w:val="00CC4F09"/>
    <w:rsid w:val="00CC5076"/>
    <w:rsid w:val="00CC5A27"/>
    <w:rsid w:val="00CC6056"/>
    <w:rsid w:val="00CC62DD"/>
    <w:rsid w:val="00CC63E7"/>
    <w:rsid w:val="00CC6B90"/>
    <w:rsid w:val="00CC6E79"/>
    <w:rsid w:val="00CC7BB1"/>
    <w:rsid w:val="00CD0046"/>
    <w:rsid w:val="00CD1987"/>
    <w:rsid w:val="00CD25E4"/>
    <w:rsid w:val="00CD29F3"/>
    <w:rsid w:val="00CD3A83"/>
    <w:rsid w:val="00CD3AF2"/>
    <w:rsid w:val="00CD3F77"/>
    <w:rsid w:val="00CD457E"/>
    <w:rsid w:val="00CD4AAF"/>
    <w:rsid w:val="00CD4B4C"/>
    <w:rsid w:val="00CD59AF"/>
    <w:rsid w:val="00CD5BCC"/>
    <w:rsid w:val="00CD6221"/>
    <w:rsid w:val="00CD63EC"/>
    <w:rsid w:val="00CD69B2"/>
    <w:rsid w:val="00CD6ADC"/>
    <w:rsid w:val="00CD6B5F"/>
    <w:rsid w:val="00CD706E"/>
    <w:rsid w:val="00CD7193"/>
    <w:rsid w:val="00CD7E9A"/>
    <w:rsid w:val="00CE06C8"/>
    <w:rsid w:val="00CE0C3D"/>
    <w:rsid w:val="00CE17A9"/>
    <w:rsid w:val="00CE2EAE"/>
    <w:rsid w:val="00CE34CD"/>
    <w:rsid w:val="00CE38C8"/>
    <w:rsid w:val="00CE4636"/>
    <w:rsid w:val="00CE5D72"/>
    <w:rsid w:val="00CE6274"/>
    <w:rsid w:val="00CE636A"/>
    <w:rsid w:val="00CE6703"/>
    <w:rsid w:val="00CE6AFE"/>
    <w:rsid w:val="00CE77B6"/>
    <w:rsid w:val="00CF03D0"/>
    <w:rsid w:val="00CF0F53"/>
    <w:rsid w:val="00CF135C"/>
    <w:rsid w:val="00CF2B8D"/>
    <w:rsid w:val="00CF38F1"/>
    <w:rsid w:val="00CF3C3F"/>
    <w:rsid w:val="00CF4424"/>
    <w:rsid w:val="00CF456B"/>
    <w:rsid w:val="00CF4961"/>
    <w:rsid w:val="00CF5689"/>
    <w:rsid w:val="00CF5A22"/>
    <w:rsid w:val="00CF5C3E"/>
    <w:rsid w:val="00CF5CE0"/>
    <w:rsid w:val="00CF7D27"/>
    <w:rsid w:val="00CF7DF4"/>
    <w:rsid w:val="00D00518"/>
    <w:rsid w:val="00D013E8"/>
    <w:rsid w:val="00D018B0"/>
    <w:rsid w:val="00D0262E"/>
    <w:rsid w:val="00D03794"/>
    <w:rsid w:val="00D03E38"/>
    <w:rsid w:val="00D03E79"/>
    <w:rsid w:val="00D03F33"/>
    <w:rsid w:val="00D04FE4"/>
    <w:rsid w:val="00D05B76"/>
    <w:rsid w:val="00D05E3D"/>
    <w:rsid w:val="00D06139"/>
    <w:rsid w:val="00D06E13"/>
    <w:rsid w:val="00D110BD"/>
    <w:rsid w:val="00D11458"/>
    <w:rsid w:val="00D114DF"/>
    <w:rsid w:val="00D13675"/>
    <w:rsid w:val="00D141E1"/>
    <w:rsid w:val="00D15314"/>
    <w:rsid w:val="00D16AAF"/>
    <w:rsid w:val="00D17078"/>
    <w:rsid w:val="00D17BF0"/>
    <w:rsid w:val="00D17D6C"/>
    <w:rsid w:val="00D20115"/>
    <w:rsid w:val="00D2155B"/>
    <w:rsid w:val="00D22C77"/>
    <w:rsid w:val="00D23D11"/>
    <w:rsid w:val="00D244B6"/>
    <w:rsid w:val="00D24EE2"/>
    <w:rsid w:val="00D261D9"/>
    <w:rsid w:val="00D2642C"/>
    <w:rsid w:val="00D26646"/>
    <w:rsid w:val="00D26928"/>
    <w:rsid w:val="00D26EC2"/>
    <w:rsid w:val="00D2754D"/>
    <w:rsid w:val="00D275F6"/>
    <w:rsid w:val="00D27B27"/>
    <w:rsid w:val="00D27D63"/>
    <w:rsid w:val="00D3019D"/>
    <w:rsid w:val="00D31596"/>
    <w:rsid w:val="00D31A3E"/>
    <w:rsid w:val="00D325A8"/>
    <w:rsid w:val="00D33927"/>
    <w:rsid w:val="00D33A87"/>
    <w:rsid w:val="00D33BE9"/>
    <w:rsid w:val="00D33F93"/>
    <w:rsid w:val="00D357FF"/>
    <w:rsid w:val="00D3593E"/>
    <w:rsid w:val="00D36A5C"/>
    <w:rsid w:val="00D374E0"/>
    <w:rsid w:val="00D40172"/>
    <w:rsid w:val="00D4096B"/>
    <w:rsid w:val="00D412E1"/>
    <w:rsid w:val="00D41B79"/>
    <w:rsid w:val="00D424C7"/>
    <w:rsid w:val="00D428BE"/>
    <w:rsid w:val="00D43B2A"/>
    <w:rsid w:val="00D43D83"/>
    <w:rsid w:val="00D45B74"/>
    <w:rsid w:val="00D47247"/>
    <w:rsid w:val="00D47575"/>
    <w:rsid w:val="00D47991"/>
    <w:rsid w:val="00D50B1B"/>
    <w:rsid w:val="00D50D3E"/>
    <w:rsid w:val="00D5243B"/>
    <w:rsid w:val="00D533EC"/>
    <w:rsid w:val="00D534FC"/>
    <w:rsid w:val="00D538B8"/>
    <w:rsid w:val="00D547F2"/>
    <w:rsid w:val="00D54B59"/>
    <w:rsid w:val="00D55675"/>
    <w:rsid w:val="00D55910"/>
    <w:rsid w:val="00D56050"/>
    <w:rsid w:val="00D56A95"/>
    <w:rsid w:val="00D57A0E"/>
    <w:rsid w:val="00D57A99"/>
    <w:rsid w:val="00D61865"/>
    <w:rsid w:val="00D61A86"/>
    <w:rsid w:val="00D6314E"/>
    <w:rsid w:val="00D635B1"/>
    <w:rsid w:val="00D64075"/>
    <w:rsid w:val="00D64303"/>
    <w:rsid w:val="00D644E9"/>
    <w:rsid w:val="00D64DBD"/>
    <w:rsid w:val="00D661E3"/>
    <w:rsid w:val="00D661E8"/>
    <w:rsid w:val="00D6676B"/>
    <w:rsid w:val="00D670D5"/>
    <w:rsid w:val="00D67CFA"/>
    <w:rsid w:val="00D704E2"/>
    <w:rsid w:val="00D70F16"/>
    <w:rsid w:val="00D70F95"/>
    <w:rsid w:val="00D72090"/>
    <w:rsid w:val="00D72725"/>
    <w:rsid w:val="00D72F57"/>
    <w:rsid w:val="00D73086"/>
    <w:rsid w:val="00D73E6F"/>
    <w:rsid w:val="00D740F0"/>
    <w:rsid w:val="00D743F9"/>
    <w:rsid w:val="00D75523"/>
    <w:rsid w:val="00D75686"/>
    <w:rsid w:val="00D75C68"/>
    <w:rsid w:val="00D75D17"/>
    <w:rsid w:val="00D76175"/>
    <w:rsid w:val="00D76A44"/>
    <w:rsid w:val="00D774D5"/>
    <w:rsid w:val="00D77C54"/>
    <w:rsid w:val="00D815EF"/>
    <w:rsid w:val="00D817F8"/>
    <w:rsid w:val="00D81E3C"/>
    <w:rsid w:val="00D81F26"/>
    <w:rsid w:val="00D838DF"/>
    <w:rsid w:val="00D847CD"/>
    <w:rsid w:val="00D85363"/>
    <w:rsid w:val="00D8567F"/>
    <w:rsid w:val="00D857C3"/>
    <w:rsid w:val="00D86231"/>
    <w:rsid w:val="00D8624E"/>
    <w:rsid w:val="00D9160E"/>
    <w:rsid w:val="00D91923"/>
    <w:rsid w:val="00D936E4"/>
    <w:rsid w:val="00D93753"/>
    <w:rsid w:val="00D96F13"/>
    <w:rsid w:val="00DA0996"/>
    <w:rsid w:val="00DA2871"/>
    <w:rsid w:val="00DA2B30"/>
    <w:rsid w:val="00DA2B45"/>
    <w:rsid w:val="00DA3167"/>
    <w:rsid w:val="00DA3807"/>
    <w:rsid w:val="00DA482C"/>
    <w:rsid w:val="00DA4DC3"/>
    <w:rsid w:val="00DA5F84"/>
    <w:rsid w:val="00DA6149"/>
    <w:rsid w:val="00DA65EB"/>
    <w:rsid w:val="00DA7463"/>
    <w:rsid w:val="00DA77A5"/>
    <w:rsid w:val="00DA7995"/>
    <w:rsid w:val="00DA7DF3"/>
    <w:rsid w:val="00DB0321"/>
    <w:rsid w:val="00DB1714"/>
    <w:rsid w:val="00DB1895"/>
    <w:rsid w:val="00DB2B6E"/>
    <w:rsid w:val="00DB32B0"/>
    <w:rsid w:val="00DB3DBF"/>
    <w:rsid w:val="00DB3F72"/>
    <w:rsid w:val="00DB474E"/>
    <w:rsid w:val="00DB484F"/>
    <w:rsid w:val="00DB6DF5"/>
    <w:rsid w:val="00DB7701"/>
    <w:rsid w:val="00DB7EA3"/>
    <w:rsid w:val="00DC0488"/>
    <w:rsid w:val="00DC04F6"/>
    <w:rsid w:val="00DC0690"/>
    <w:rsid w:val="00DC1216"/>
    <w:rsid w:val="00DC1947"/>
    <w:rsid w:val="00DC1D65"/>
    <w:rsid w:val="00DC239B"/>
    <w:rsid w:val="00DC3C57"/>
    <w:rsid w:val="00DC4920"/>
    <w:rsid w:val="00DC5501"/>
    <w:rsid w:val="00DC5946"/>
    <w:rsid w:val="00DC6627"/>
    <w:rsid w:val="00DC66D3"/>
    <w:rsid w:val="00DC6B6B"/>
    <w:rsid w:val="00DC7154"/>
    <w:rsid w:val="00DC79A2"/>
    <w:rsid w:val="00DC7E8A"/>
    <w:rsid w:val="00DD07CC"/>
    <w:rsid w:val="00DD097F"/>
    <w:rsid w:val="00DD0E07"/>
    <w:rsid w:val="00DD0F78"/>
    <w:rsid w:val="00DD273C"/>
    <w:rsid w:val="00DD2A84"/>
    <w:rsid w:val="00DD2F9A"/>
    <w:rsid w:val="00DD3F28"/>
    <w:rsid w:val="00DD4537"/>
    <w:rsid w:val="00DD4E15"/>
    <w:rsid w:val="00DD7255"/>
    <w:rsid w:val="00DD734F"/>
    <w:rsid w:val="00DE1378"/>
    <w:rsid w:val="00DE2304"/>
    <w:rsid w:val="00DE2EDF"/>
    <w:rsid w:val="00DE310D"/>
    <w:rsid w:val="00DE3138"/>
    <w:rsid w:val="00DE37F8"/>
    <w:rsid w:val="00DE3A74"/>
    <w:rsid w:val="00DE4FCB"/>
    <w:rsid w:val="00DE552F"/>
    <w:rsid w:val="00DE58D8"/>
    <w:rsid w:val="00DE5D07"/>
    <w:rsid w:val="00DE609A"/>
    <w:rsid w:val="00DE67E3"/>
    <w:rsid w:val="00DE6950"/>
    <w:rsid w:val="00DE6AAB"/>
    <w:rsid w:val="00DE72A7"/>
    <w:rsid w:val="00DE7832"/>
    <w:rsid w:val="00DF0223"/>
    <w:rsid w:val="00DF03E0"/>
    <w:rsid w:val="00DF18FC"/>
    <w:rsid w:val="00DF2CE1"/>
    <w:rsid w:val="00DF3A22"/>
    <w:rsid w:val="00DF3EF1"/>
    <w:rsid w:val="00DF5D2B"/>
    <w:rsid w:val="00DF5E49"/>
    <w:rsid w:val="00DF63D6"/>
    <w:rsid w:val="00DF6F61"/>
    <w:rsid w:val="00DF73CC"/>
    <w:rsid w:val="00DF7B1E"/>
    <w:rsid w:val="00E00E8E"/>
    <w:rsid w:val="00E04FB1"/>
    <w:rsid w:val="00E05630"/>
    <w:rsid w:val="00E05720"/>
    <w:rsid w:val="00E05E58"/>
    <w:rsid w:val="00E0626D"/>
    <w:rsid w:val="00E064A4"/>
    <w:rsid w:val="00E06CA4"/>
    <w:rsid w:val="00E06DBB"/>
    <w:rsid w:val="00E072C8"/>
    <w:rsid w:val="00E079CA"/>
    <w:rsid w:val="00E10149"/>
    <w:rsid w:val="00E1055A"/>
    <w:rsid w:val="00E11340"/>
    <w:rsid w:val="00E11D77"/>
    <w:rsid w:val="00E122A1"/>
    <w:rsid w:val="00E12E1A"/>
    <w:rsid w:val="00E12FD5"/>
    <w:rsid w:val="00E135D2"/>
    <w:rsid w:val="00E139BF"/>
    <w:rsid w:val="00E13B9F"/>
    <w:rsid w:val="00E13E20"/>
    <w:rsid w:val="00E143C2"/>
    <w:rsid w:val="00E14D8A"/>
    <w:rsid w:val="00E15589"/>
    <w:rsid w:val="00E157C5"/>
    <w:rsid w:val="00E16372"/>
    <w:rsid w:val="00E16D89"/>
    <w:rsid w:val="00E17AE8"/>
    <w:rsid w:val="00E17B8D"/>
    <w:rsid w:val="00E17D1F"/>
    <w:rsid w:val="00E207BC"/>
    <w:rsid w:val="00E20E4D"/>
    <w:rsid w:val="00E20ED6"/>
    <w:rsid w:val="00E21225"/>
    <w:rsid w:val="00E212CC"/>
    <w:rsid w:val="00E21358"/>
    <w:rsid w:val="00E21772"/>
    <w:rsid w:val="00E21806"/>
    <w:rsid w:val="00E2249B"/>
    <w:rsid w:val="00E22A0D"/>
    <w:rsid w:val="00E244F6"/>
    <w:rsid w:val="00E24736"/>
    <w:rsid w:val="00E24CC4"/>
    <w:rsid w:val="00E255A9"/>
    <w:rsid w:val="00E2687C"/>
    <w:rsid w:val="00E26B89"/>
    <w:rsid w:val="00E276C2"/>
    <w:rsid w:val="00E2771E"/>
    <w:rsid w:val="00E277B0"/>
    <w:rsid w:val="00E30717"/>
    <w:rsid w:val="00E30973"/>
    <w:rsid w:val="00E311EF"/>
    <w:rsid w:val="00E31958"/>
    <w:rsid w:val="00E32180"/>
    <w:rsid w:val="00E3372B"/>
    <w:rsid w:val="00E33ED5"/>
    <w:rsid w:val="00E34948"/>
    <w:rsid w:val="00E34D67"/>
    <w:rsid w:val="00E370F9"/>
    <w:rsid w:val="00E37569"/>
    <w:rsid w:val="00E375E4"/>
    <w:rsid w:val="00E376B9"/>
    <w:rsid w:val="00E401B2"/>
    <w:rsid w:val="00E411D0"/>
    <w:rsid w:val="00E41660"/>
    <w:rsid w:val="00E41E21"/>
    <w:rsid w:val="00E41E30"/>
    <w:rsid w:val="00E41E6F"/>
    <w:rsid w:val="00E42F73"/>
    <w:rsid w:val="00E4327E"/>
    <w:rsid w:val="00E43D70"/>
    <w:rsid w:val="00E44629"/>
    <w:rsid w:val="00E4468A"/>
    <w:rsid w:val="00E45903"/>
    <w:rsid w:val="00E45E1E"/>
    <w:rsid w:val="00E466F3"/>
    <w:rsid w:val="00E47B2C"/>
    <w:rsid w:val="00E500E0"/>
    <w:rsid w:val="00E5031A"/>
    <w:rsid w:val="00E505C1"/>
    <w:rsid w:val="00E51560"/>
    <w:rsid w:val="00E52DDB"/>
    <w:rsid w:val="00E53367"/>
    <w:rsid w:val="00E53C5E"/>
    <w:rsid w:val="00E53FC8"/>
    <w:rsid w:val="00E54347"/>
    <w:rsid w:val="00E54666"/>
    <w:rsid w:val="00E5476F"/>
    <w:rsid w:val="00E54BFE"/>
    <w:rsid w:val="00E55058"/>
    <w:rsid w:val="00E55424"/>
    <w:rsid w:val="00E55915"/>
    <w:rsid w:val="00E559F2"/>
    <w:rsid w:val="00E55BB5"/>
    <w:rsid w:val="00E5627F"/>
    <w:rsid w:val="00E565DB"/>
    <w:rsid w:val="00E60D63"/>
    <w:rsid w:val="00E60FFB"/>
    <w:rsid w:val="00E610A7"/>
    <w:rsid w:val="00E61B99"/>
    <w:rsid w:val="00E621B6"/>
    <w:rsid w:val="00E62CFC"/>
    <w:rsid w:val="00E657A6"/>
    <w:rsid w:val="00E65800"/>
    <w:rsid w:val="00E65E79"/>
    <w:rsid w:val="00E666A5"/>
    <w:rsid w:val="00E66BA2"/>
    <w:rsid w:val="00E6725B"/>
    <w:rsid w:val="00E67416"/>
    <w:rsid w:val="00E67533"/>
    <w:rsid w:val="00E67C3D"/>
    <w:rsid w:val="00E67EA9"/>
    <w:rsid w:val="00E70E09"/>
    <w:rsid w:val="00E70F00"/>
    <w:rsid w:val="00E718B6"/>
    <w:rsid w:val="00E71B6C"/>
    <w:rsid w:val="00E71C06"/>
    <w:rsid w:val="00E723BA"/>
    <w:rsid w:val="00E729C7"/>
    <w:rsid w:val="00E73581"/>
    <w:rsid w:val="00E7373F"/>
    <w:rsid w:val="00E743DE"/>
    <w:rsid w:val="00E75971"/>
    <w:rsid w:val="00E77B68"/>
    <w:rsid w:val="00E80357"/>
    <w:rsid w:val="00E81AB2"/>
    <w:rsid w:val="00E825D6"/>
    <w:rsid w:val="00E833F7"/>
    <w:rsid w:val="00E8341F"/>
    <w:rsid w:val="00E835A1"/>
    <w:rsid w:val="00E83BDF"/>
    <w:rsid w:val="00E84D63"/>
    <w:rsid w:val="00E85CA5"/>
    <w:rsid w:val="00E86F04"/>
    <w:rsid w:val="00E87A1D"/>
    <w:rsid w:val="00E9094A"/>
    <w:rsid w:val="00E90BD7"/>
    <w:rsid w:val="00E90EBB"/>
    <w:rsid w:val="00E91D35"/>
    <w:rsid w:val="00E926A5"/>
    <w:rsid w:val="00E92FB3"/>
    <w:rsid w:val="00E932E9"/>
    <w:rsid w:val="00E936CC"/>
    <w:rsid w:val="00E949DC"/>
    <w:rsid w:val="00E957D3"/>
    <w:rsid w:val="00E9732E"/>
    <w:rsid w:val="00E97442"/>
    <w:rsid w:val="00EA108B"/>
    <w:rsid w:val="00EA161B"/>
    <w:rsid w:val="00EA17C3"/>
    <w:rsid w:val="00EA1C50"/>
    <w:rsid w:val="00EA2CAA"/>
    <w:rsid w:val="00EA36FB"/>
    <w:rsid w:val="00EA3864"/>
    <w:rsid w:val="00EA5075"/>
    <w:rsid w:val="00EA5205"/>
    <w:rsid w:val="00EA6648"/>
    <w:rsid w:val="00EA75F5"/>
    <w:rsid w:val="00EA75F8"/>
    <w:rsid w:val="00EA7F1C"/>
    <w:rsid w:val="00EB07F5"/>
    <w:rsid w:val="00EB15B6"/>
    <w:rsid w:val="00EB210B"/>
    <w:rsid w:val="00EB26B7"/>
    <w:rsid w:val="00EB2EF5"/>
    <w:rsid w:val="00EB332B"/>
    <w:rsid w:val="00EB393C"/>
    <w:rsid w:val="00EB3D06"/>
    <w:rsid w:val="00EB4916"/>
    <w:rsid w:val="00EB5936"/>
    <w:rsid w:val="00EB5DC6"/>
    <w:rsid w:val="00EC00C9"/>
    <w:rsid w:val="00EC0CFC"/>
    <w:rsid w:val="00EC0DD9"/>
    <w:rsid w:val="00EC2649"/>
    <w:rsid w:val="00EC31ED"/>
    <w:rsid w:val="00EC3266"/>
    <w:rsid w:val="00EC3A8D"/>
    <w:rsid w:val="00EC3E32"/>
    <w:rsid w:val="00EC43F9"/>
    <w:rsid w:val="00EC49E7"/>
    <w:rsid w:val="00EC5836"/>
    <w:rsid w:val="00EC5BE0"/>
    <w:rsid w:val="00EC65C2"/>
    <w:rsid w:val="00EC688C"/>
    <w:rsid w:val="00EC73AE"/>
    <w:rsid w:val="00EC7EDD"/>
    <w:rsid w:val="00ED015C"/>
    <w:rsid w:val="00ED06FF"/>
    <w:rsid w:val="00ED23F5"/>
    <w:rsid w:val="00ED28CA"/>
    <w:rsid w:val="00ED2984"/>
    <w:rsid w:val="00ED33EB"/>
    <w:rsid w:val="00ED3D84"/>
    <w:rsid w:val="00ED45BB"/>
    <w:rsid w:val="00ED4806"/>
    <w:rsid w:val="00ED5733"/>
    <w:rsid w:val="00ED5763"/>
    <w:rsid w:val="00ED57EA"/>
    <w:rsid w:val="00ED5AD9"/>
    <w:rsid w:val="00ED5BD4"/>
    <w:rsid w:val="00ED5D2E"/>
    <w:rsid w:val="00EE017F"/>
    <w:rsid w:val="00EE05C5"/>
    <w:rsid w:val="00EE0651"/>
    <w:rsid w:val="00EE07D3"/>
    <w:rsid w:val="00EE0C03"/>
    <w:rsid w:val="00EE1670"/>
    <w:rsid w:val="00EE1996"/>
    <w:rsid w:val="00EE1C01"/>
    <w:rsid w:val="00EE22AF"/>
    <w:rsid w:val="00EE2BEA"/>
    <w:rsid w:val="00EE4ADA"/>
    <w:rsid w:val="00EE4C9F"/>
    <w:rsid w:val="00EE5211"/>
    <w:rsid w:val="00EE5C0B"/>
    <w:rsid w:val="00EE656B"/>
    <w:rsid w:val="00EE6E4E"/>
    <w:rsid w:val="00EE7213"/>
    <w:rsid w:val="00EE78C3"/>
    <w:rsid w:val="00EF0171"/>
    <w:rsid w:val="00EF0F48"/>
    <w:rsid w:val="00EF1B25"/>
    <w:rsid w:val="00EF1DA0"/>
    <w:rsid w:val="00EF1FE7"/>
    <w:rsid w:val="00EF248C"/>
    <w:rsid w:val="00EF2634"/>
    <w:rsid w:val="00EF325D"/>
    <w:rsid w:val="00EF3DA0"/>
    <w:rsid w:val="00EF4747"/>
    <w:rsid w:val="00EF4BF8"/>
    <w:rsid w:val="00EF5408"/>
    <w:rsid w:val="00EF60BA"/>
    <w:rsid w:val="00EF7003"/>
    <w:rsid w:val="00EF795C"/>
    <w:rsid w:val="00EF7D87"/>
    <w:rsid w:val="00F00E9B"/>
    <w:rsid w:val="00F01247"/>
    <w:rsid w:val="00F01BFC"/>
    <w:rsid w:val="00F01F5E"/>
    <w:rsid w:val="00F01F92"/>
    <w:rsid w:val="00F02253"/>
    <w:rsid w:val="00F031E8"/>
    <w:rsid w:val="00F03C2E"/>
    <w:rsid w:val="00F040AF"/>
    <w:rsid w:val="00F04A66"/>
    <w:rsid w:val="00F04B4B"/>
    <w:rsid w:val="00F0516C"/>
    <w:rsid w:val="00F059E3"/>
    <w:rsid w:val="00F05CBA"/>
    <w:rsid w:val="00F06754"/>
    <w:rsid w:val="00F067A2"/>
    <w:rsid w:val="00F06A34"/>
    <w:rsid w:val="00F0725C"/>
    <w:rsid w:val="00F07283"/>
    <w:rsid w:val="00F0780A"/>
    <w:rsid w:val="00F07B9E"/>
    <w:rsid w:val="00F10151"/>
    <w:rsid w:val="00F10243"/>
    <w:rsid w:val="00F10DCE"/>
    <w:rsid w:val="00F10F43"/>
    <w:rsid w:val="00F11134"/>
    <w:rsid w:val="00F1116F"/>
    <w:rsid w:val="00F11351"/>
    <w:rsid w:val="00F1263A"/>
    <w:rsid w:val="00F12FF5"/>
    <w:rsid w:val="00F1335F"/>
    <w:rsid w:val="00F135F7"/>
    <w:rsid w:val="00F13AC8"/>
    <w:rsid w:val="00F13DA4"/>
    <w:rsid w:val="00F13E5E"/>
    <w:rsid w:val="00F14E3C"/>
    <w:rsid w:val="00F15072"/>
    <w:rsid w:val="00F15134"/>
    <w:rsid w:val="00F15250"/>
    <w:rsid w:val="00F15320"/>
    <w:rsid w:val="00F1564C"/>
    <w:rsid w:val="00F15B77"/>
    <w:rsid w:val="00F16772"/>
    <w:rsid w:val="00F20141"/>
    <w:rsid w:val="00F2052F"/>
    <w:rsid w:val="00F20EE6"/>
    <w:rsid w:val="00F2256A"/>
    <w:rsid w:val="00F229E0"/>
    <w:rsid w:val="00F22F52"/>
    <w:rsid w:val="00F23151"/>
    <w:rsid w:val="00F24837"/>
    <w:rsid w:val="00F2499C"/>
    <w:rsid w:val="00F249FC"/>
    <w:rsid w:val="00F24F2B"/>
    <w:rsid w:val="00F2575F"/>
    <w:rsid w:val="00F26406"/>
    <w:rsid w:val="00F26A67"/>
    <w:rsid w:val="00F27565"/>
    <w:rsid w:val="00F27942"/>
    <w:rsid w:val="00F27F25"/>
    <w:rsid w:val="00F3000E"/>
    <w:rsid w:val="00F302F2"/>
    <w:rsid w:val="00F3092E"/>
    <w:rsid w:val="00F310D4"/>
    <w:rsid w:val="00F315B3"/>
    <w:rsid w:val="00F315E0"/>
    <w:rsid w:val="00F31D5A"/>
    <w:rsid w:val="00F328C7"/>
    <w:rsid w:val="00F32D88"/>
    <w:rsid w:val="00F33975"/>
    <w:rsid w:val="00F33DE9"/>
    <w:rsid w:val="00F33F3F"/>
    <w:rsid w:val="00F340CC"/>
    <w:rsid w:val="00F35A77"/>
    <w:rsid w:val="00F35E6D"/>
    <w:rsid w:val="00F3619A"/>
    <w:rsid w:val="00F36A3F"/>
    <w:rsid w:val="00F37DFF"/>
    <w:rsid w:val="00F40221"/>
    <w:rsid w:val="00F40304"/>
    <w:rsid w:val="00F40788"/>
    <w:rsid w:val="00F40AAA"/>
    <w:rsid w:val="00F40BA7"/>
    <w:rsid w:val="00F40F9D"/>
    <w:rsid w:val="00F410D5"/>
    <w:rsid w:val="00F411EB"/>
    <w:rsid w:val="00F41ACD"/>
    <w:rsid w:val="00F423CA"/>
    <w:rsid w:val="00F426D7"/>
    <w:rsid w:val="00F42F8B"/>
    <w:rsid w:val="00F43243"/>
    <w:rsid w:val="00F43796"/>
    <w:rsid w:val="00F43F7D"/>
    <w:rsid w:val="00F44592"/>
    <w:rsid w:val="00F44AF3"/>
    <w:rsid w:val="00F46CB6"/>
    <w:rsid w:val="00F4756D"/>
    <w:rsid w:val="00F47DE8"/>
    <w:rsid w:val="00F50E5A"/>
    <w:rsid w:val="00F5117C"/>
    <w:rsid w:val="00F511F2"/>
    <w:rsid w:val="00F52214"/>
    <w:rsid w:val="00F52744"/>
    <w:rsid w:val="00F542C1"/>
    <w:rsid w:val="00F5456A"/>
    <w:rsid w:val="00F54700"/>
    <w:rsid w:val="00F5492B"/>
    <w:rsid w:val="00F54937"/>
    <w:rsid w:val="00F5558A"/>
    <w:rsid w:val="00F55C1A"/>
    <w:rsid w:val="00F55E73"/>
    <w:rsid w:val="00F55EDA"/>
    <w:rsid w:val="00F567CD"/>
    <w:rsid w:val="00F56C80"/>
    <w:rsid w:val="00F60092"/>
    <w:rsid w:val="00F60873"/>
    <w:rsid w:val="00F61C18"/>
    <w:rsid w:val="00F624B7"/>
    <w:rsid w:val="00F62516"/>
    <w:rsid w:val="00F65F4B"/>
    <w:rsid w:val="00F67467"/>
    <w:rsid w:val="00F67A69"/>
    <w:rsid w:val="00F70BFF"/>
    <w:rsid w:val="00F70C9D"/>
    <w:rsid w:val="00F715C3"/>
    <w:rsid w:val="00F71CDF"/>
    <w:rsid w:val="00F71E8A"/>
    <w:rsid w:val="00F73307"/>
    <w:rsid w:val="00F7388C"/>
    <w:rsid w:val="00F73DBE"/>
    <w:rsid w:val="00F74375"/>
    <w:rsid w:val="00F74CD9"/>
    <w:rsid w:val="00F756F4"/>
    <w:rsid w:val="00F76FBA"/>
    <w:rsid w:val="00F77C55"/>
    <w:rsid w:val="00F77D7D"/>
    <w:rsid w:val="00F77FC2"/>
    <w:rsid w:val="00F80A7B"/>
    <w:rsid w:val="00F80D2D"/>
    <w:rsid w:val="00F80E5D"/>
    <w:rsid w:val="00F81E78"/>
    <w:rsid w:val="00F821ED"/>
    <w:rsid w:val="00F82207"/>
    <w:rsid w:val="00F823B9"/>
    <w:rsid w:val="00F827D9"/>
    <w:rsid w:val="00F83041"/>
    <w:rsid w:val="00F83046"/>
    <w:rsid w:val="00F8334E"/>
    <w:rsid w:val="00F83C85"/>
    <w:rsid w:val="00F851CE"/>
    <w:rsid w:val="00F85A7F"/>
    <w:rsid w:val="00F85B34"/>
    <w:rsid w:val="00F85BC6"/>
    <w:rsid w:val="00F86CEF"/>
    <w:rsid w:val="00F90E90"/>
    <w:rsid w:val="00F91219"/>
    <w:rsid w:val="00F91F3B"/>
    <w:rsid w:val="00F92444"/>
    <w:rsid w:val="00F929E7"/>
    <w:rsid w:val="00F92B77"/>
    <w:rsid w:val="00F92D40"/>
    <w:rsid w:val="00F93855"/>
    <w:rsid w:val="00F9393E"/>
    <w:rsid w:val="00F94324"/>
    <w:rsid w:val="00F947EA"/>
    <w:rsid w:val="00F9484A"/>
    <w:rsid w:val="00F951EB"/>
    <w:rsid w:val="00F95B57"/>
    <w:rsid w:val="00F96FD0"/>
    <w:rsid w:val="00F97A78"/>
    <w:rsid w:val="00F97D08"/>
    <w:rsid w:val="00FA098B"/>
    <w:rsid w:val="00FA0B20"/>
    <w:rsid w:val="00FA24E7"/>
    <w:rsid w:val="00FA2E99"/>
    <w:rsid w:val="00FA3186"/>
    <w:rsid w:val="00FA383F"/>
    <w:rsid w:val="00FA4390"/>
    <w:rsid w:val="00FA479A"/>
    <w:rsid w:val="00FA5EE6"/>
    <w:rsid w:val="00FA674B"/>
    <w:rsid w:val="00FA6D2F"/>
    <w:rsid w:val="00FA7956"/>
    <w:rsid w:val="00FA7D60"/>
    <w:rsid w:val="00FB1C20"/>
    <w:rsid w:val="00FB2312"/>
    <w:rsid w:val="00FB2833"/>
    <w:rsid w:val="00FB2FCB"/>
    <w:rsid w:val="00FB34C2"/>
    <w:rsid w:val="00FB398A"/>
    <w:rsid w:val="00FB4A98"/>
    <w:rsid w:val="00FB5AF8"/>
    <w:rsid w:val="00FB5BA6"/>
    <w:rsid w:val="00FB6290"/>
    <w:rsid w:val="00FB6FAA"/>
    <w:rsid w:val="00FB7C55"/>
    <w:rsid w:val="00FC0756"/>
    <w:rsid w:val="00FC1074"/>
    <w:rsid w:val="00FC1168"/>
    <w:rsid w:val="00FC118E"/>
    <w:rsid w:val="00FC1884"/>
    <w:rsid w:val="00FC2447"/>
    <w:rsid w:val="00FC30B4"/>
    <w:rsid w:val="00FC371D"/>
    <w:rsid w:val="00FC57C6"/>
    <w:rsid w:val="00FC5F0B"/>
    <w:rsid w:val="00FC6111"/>
    <w:rsid w:val="00FC7998"/>
    <w:rsid w:val="00FC7FDF"/>
    <w:rsid w:val="00FD040F"/>
    <w:rsid w:val="00FD0887"/>
    <w:rsid w:val="00FD0E1A"/>
    <w:rsid w:val="00FD2100"/>
    <w:rsid w:val="00FD436C"/>
    <w:rsid w:val="00FD446D"/>
    <w:rsid w:val="00FD44E6"/>
    <w:rsid w:val="00FD4F2C"/>
    <w:rsid w:val="00FD6394"/>
    <w:rsid w:val="00FD69FF"/>
    <w:rsid w:val="00FD6DE8"/>
    <w:rsid w:val="00FD775D"/>
    <w:rsid w:val="00FD791D"/>
    <w:rsid w:val="00FD7DB9"/>
    <w:rsid w:val="00FD7FF2"/>
    <w:rsid w:val="00FE0E6C"/>
    <w:rsid w:val="00FE1581"/>
    <w:rsid w:val="00FE18DB"/>
    <w:rsid w:val="00FE1CDC"/>
    <w:rsid w:val="00FE21EA"/>
    <w:rsid w:val="00FE231A"/>
    <w:rsid w:val="00FE2F7D"/>
    <w:rsid w:val="00FE377D"/>
    <w:rsid w:val="00FE3905"/>
    <w:rsid w:val="00FE3BC6"/>
    <w:rsid w:val="00FE4274"/>
    <w:rsid w:val="00FE470D"/>
    <w:rsid w:val="00FE4D46"/>
    <w:rsid w:val="00FE5A37"/>
    <w:rsid w:val="00FE607D"/>
    <w:rsid w:val="00FE642B"/>
    <w:rsid w:val="00FE70C3"/>
    <w:rsid w:val="00FF2AD9"/>
    <w:rsid w:val="00FF3110"/>
    <w:rsid w:val="00FF3308"/>
    <w:rsid w:val="00FF359F"/>
    <w:rsid w:val="00FF35D4"/>
    <w:rsid w:val="00FF3DCF"/>
    <w:rsid w:val="00FF4429"/>
    <w:rsid w:val="00FF492C"/>
    <w:rsid w:val="00FF4A21"/>
    <w:rsid w:val="00FF5AA3"/>
    <w:rsid w:val="00FF5AD8"/>
    <w:rsid w:val="00FF63E1"/>
    <w:rsid w:val="00FF63F9"/>
    <w:rsid w:val="035856DA"/>
    <w:rsid w:val="08B7B8B1"/>
    <w:rsid w:val="10F7C83B"/>
    <w:rsid w:val="1296AD2D"/>
    <w:rsid w:val="1D02C052"/>
    <w:rsid w:val="1ECEB65E"/>
    <w:rsid w:val="20AEE4F6"/>
    <w:rsid w:val="2111980E"/>
    <w:rsid w:val="29DA86D7"/>
    <w:rsid w:val="2FC3CC33"/>
    <w:rsid w:val="358A2180"/>
    <w:rsid w:val="3CCAF548"/>
    <w:rsid w:val="3DCEF6F3"/>
    <w:rsid w:val="43EA7630"/>
    <w:rsid w:val="45E5BEA1"/>
    <w:rsid w:val="54F24418"/>
    <w:rsid w:val="577FEC30"/>
    <w:rsid w:val="63A141A4"/>
    <w:rsid w:val="6C0F66BD"/>
    <w:rsid w:val="756855F5"/>
    <w:rsid w:val="773CDFE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B00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9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FFD"/>
    <w:pPr>
      <w:jc w:val="both"/>
    </w:pPr>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Caption Char Char"/>
    <w:basedOn w:val="Normal"/>
    <w:next w:val="Normal"/>
    <w:link w:val="CaptionChar"/>
    <w:uiPriority w:val="99"/>
    <w:unhideWhenUsed/>
    <w:rsid w:val="00124A51"/>
    <w:pPr>
      <w:spacing w:after="200"/>
    </w:pPr>
    <w:rPr>
      <w:b/>
      <w:bCs/>
      <w:color w:val="4F81BD" w:themeColor="accent1"/>
      <w:sz w:val="18"/>
      <w:szCs w:val="18"/>
    </w:rPr>
  </w:style>
  <w:style w:type="character" w:customStyle="1" w:styleId="CaptionChar">
    <w:name w:val="Caption Char"/>
    <w:aliases w:val="Caption Char1 Char,Caption Char Char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
    <w:next w:val="ListBullet"/>
    <w:link w:val="ListParagraphChar"/>
    <w:uiPriority w:val="34"/>
    <w:qFormat/>
    <w:rsid w:val="00943FFD"/>
    <w:pPr>
      <w:numPr>
        <w:numId w:val="6"/>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943FFD"/>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943FFD"/>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943FFD"/>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C104A8"/>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1"/>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943FFD"/>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943FFD"/>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943FFD"/>
    <w:pPr>
      <w:keepNext/>
    </w:pPr>
    <w:rPr>
      <w:rFonts w:ascii="Arial Narrow" w:eastAsiaTheme="majorEastAsia" w:hAnsi="Arial Narrow"/>
      <w:b/>
      <w:szCs w:val="24"/>
      <w:lang w:val="en-US"/>
    </w:rPr>
  </w:style>
  <w:style w:type="paragraph" w:customStyle="1" w:styleId="2-SectionHeading">
    <w:name w:val="2-Section Heading"/>
    <w:qFormat/>
    <w:rsid w:val="00943FFD"/>
    <w:pPr>
      <w:keepNext/>
      <w:numPr>
        <w:numId w:val="7"/>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943FFD"/>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943FFD"/>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943FF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943FFD"/>
    <w:rPr>
      <w:rFonts w:ascii="Arial Narrow" w:eastAsiaTheme="majorEastAsia" w:hAnsi="Arial Narrow" w:cstheme="majorBidi"/>
      <w:b/>
      <w:bCs/>
      <w:szCs w:val="24"/>
    </w:rPr>
  </w:style>
  <w:style w:type="paragraph" w:customStyle="1" w:styleId="3-BodyText">
    <w:name w:val="3-Body Text"/>
    <w:link w:val="3-BodyTextChar"/>
    <w:qFormat/>
    <w:rsid w:val="00943FFD"/>
    <w:pPr>
      <w:numPr>
        <w:ilvl w:val="1"/>
        <w:numId w:val="7"/>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943FFD"/>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943FFD"/>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943FFD"/>
    <w:rPr>
      <w:rFonts w:ascii="Calibri" w:hAnsi="Calibri" w:cs="Arial"/>
      <w:b/>
      <w:sz w:val="24"/>
      <w:szCs w:val="24"/>
    </w:rPr>
  </w:style>
  <w:style w:type="paragraph" w:customStyle="1" w:styleId="TableFigureFooter">
    <w:name w:val="Table/Figure Footer"/>
    <w:basedOn w:val="Normal"/>
    <w:link w:val="TableFigureFooterChar"/>
    <w:qFormat/>
    <w:rsid w:val="00943FFD"/>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943FFD"/>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943FFD"/>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943FFD"/>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943FFD"/>
    <w:pPr>
      <w:keepNext/>
      <w:keepLines/>
      <w:spacing w:before="40"/>
    </w:pPr>
    <w:rPr>
      <w:rFonts w:asciiTheme="minorHAnsi" w:eastAsiaTheme="majorEastAsia" w:hAnsiTheme="minorHAnsi" w:cstheme="majorBidi"/>
      <w:b/>
      <w:color w:val="000000" w:themeColor="text1"/>
    </w:rPr>
  </w:style>
  <w:style w:type="character" w:customStyle="1" w:styleId="5-SubsectionSubheadingChar">
    <w:name w:val="5-Subsection Subheading Char"/>
    <w:basedOn w:val="Heading3Char"/>
    <w:link w:val="5-SubsectionSubheading"/>
    <w:rsid w:val="00943FFD"/>
    <w:rPr>
      <w:rFonts w:asciiTheme="minorHAnsi" w:eastAsiaTheme="majorEastAsia" w:hAnsiTheme="minorHAnsi" w:cstheme="majorBidi"/>
      <w:b/>
      <w:color w:val="000000" w:themeColor="text1"/>
      <w:sz w:val="24"/>
      <w:szCs w:val="24"/>
      <w:u w:val="single"/>
    </w:rPr>
  </w:style>
  <w:style w:type="paragraph" w:styleId="ListBullet">
    <w:name w:val="List Bullet"/>
    <w:basedOn w:val="Normal"/>
    <w:unhideWhenUsed/>
    <w:rsid w:val="00EE1996"/>
    <w:pPr>
      <w:contextualSpacing/>
    </w:pPr>
  </w:style>
  <w:style w:type="character" w:customStyle="1" w:styleId="TableTextChar0">
    <w:name w:val="Table Text Char"/>
    <w:basedOn w:val="DefaultParagraphFont"/>
    <w:link w:val="TableText0"/>
    <w:rsid w:val="00943FFD"/>
    <w:rPr>
      <w:rFonts w:ascii="Arial Narrow" w:eastAsiaTheme="majorEastAsia" w:hAnsi="Arial Narrow" w:cstheme="majorBidi"/>
      <w:bCs/>
      <w:szCs w:val="24"/>
    </w:rPr>
  </w:style>
  <w:style w:type="character" w:customStyle="1" w:styleId="UnresolvedMention1">
    <w:name w:val="Unresolved Mention1"/>
    <w:basedOn w:val="DefaultParagraphFont"/>
    <w:uiPriority w:val="99"/>
    <w:semiHidden/>
    <w:unhideWhenUsed/>
    <w:rsid w:val="005B6108"/>
    <w:rPr>
      <w:color w:val="605E5C"/>
      <w:shd w:val="clear" w:color="auto" w:fill="E1DFDD"/>
    </w:rPr>
  </w:style>
  <w:style w:type="table" w:customStyle="1" w:styleId="TableGrid2">
    <w:name w:val="Table Grid2"/>
    <w:basedOn w:val="TableNormal"/>
    <w:next w:val="TableGrid"/>
    <w:rsid w:val="0064775F"/>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E17A9"/>
  </w:style>
  <w:style w:type="character" w:customStyle="1" w:styleId="eop">
    <w:name w:val="eop"/>
    <w:basedOn w:val="DefaultParagraphFont"/>
    <w:rsid w:val="00432D3E"/>
  </w:style>
  <w:style w:type="character" w:customStyle="1" w:styleId="markedcontent">
    <w:name w:val="markedcontent"/>
    <w:basedOn w:val="DefaultParagraphFont"/>
    <w:rsid w:val="00A85BC7"/>
  </w:style>
  <w:style w:type="paragraph" w:styleId="FootnoteText">
    <w:name w:val="footnote text"/>
    <w:basedOn w:val="Normal"/>
    <w:link w:val="FootnoteTextChar"/>
    <w:semiHidden/>
    <w:unhideWhenUsed/>
    <w:rsid w:val="00A85BC7"/>
    <w:rPr>
      <w:sz w:val="20"/>
      <w:szCs w:val="20"/>
    </w:rPr>
  </w:style>
  <w:style w:type="character" w:customStyle="1" w:styleId="FootnoteTextChar">
    <w:name w:val="Footnote Text Char"/>
    <w:basedOn w:val="DefaultParagraphFont"/>
    <w:link w:val="FootnoteText"/>
    <w:semiHidden/>
    <w:rsid w:val="00A85BC7"/>
    <w:rPr>
      <w:rFonts w:ascii="Calibri" w:hAnsi="Calibri" w:cs="Arial"/>
    </w:rPr>
  </w:style>
  <w:style w:type="character" w:styleId="FootnoteReference">
    <w:name w:val="footnote reference"/>
    <w:basedOn w:val="DefaultParagraphFont"/>
    <w:semiHidden/>
    <w:unhideWhenUsed/>
    <w:rsid w:val="00A85BC7"/>
    <w:rPr>
      <w:vertAlign w:val="superscript"/>
    </w:rPr>
  </w:style>
  <w:style w:type="paragraph" w:customStyle="1" w:styleId="TableText1">
    <w:name w:val="TableText"/>
    <w:basedOn w:val="Normal"/>
    <w:link w:val="TableTextChar1"/>
    <w:uiPriority w:val="3"/>
    <w:rsid w:val="000208B6"/>
    <w:pPr>
      <w:spacing w:before="40" w:after="40"/>
      <w:jc w:val="left"/>
    </w:pPr>
    <w:rPr>
      <w:rFonts w:ascii="Times New Roman" w:hAnsi="Times New Roman" w:cstheme="minorHAnsi"/>
      <w:bCs/>
      <w:sz w:val="20"/>
      <w:szCs w:val="20"/>
      <w:lang w:eastAsia="en-US"/>
    </w:rPr>
  </w:style>
  <w:style w:type="paragraph" w:customStyle="1" w:styleId="TableHeadingRow">
    <w:name w:val="TableHeadingRow"/>
    <w:basedOn w:val="Normal"/>
    <w:uiPriority w:val="3"/>
    <w:rsid w:val="000208B6"/>
    <w:pPr>
      <w:keepNext/>
      <w:spacing w:before="20" w:after="20"/>
      <w:jc w:val="left"/>
    </w:pPr>
    <w:rPr>
      <w:rFonts w:ascii="Times New Roman" w:hAnsi="Times New Roman" w:cstheme="minorHAnsi"/>
      <w:b/>
      <w:sz w:val="20"/>
      <w:szCs w:val="20"/>
      <w:lang w:eastAsia="en-US"/>
    </w:rPr>
  </w:style>
  <w:style w:type="character" w:customStyle="1" w:styleId="TableTextChar1">
    <w:name w:val="TableText Char"/>
    <w:basedOn w:val="DefaultParagraphFont"/>
    <w:link w:val="TableText1"/>
    <w:uiPriority w:val="3"/>
    <w:rsid w:val="000208B6"/>
    <w:rPr>
      <w:rFonts w:cstheme="minorHAnsi"/>
      <w:bCs/>
      <w:lang w:eastAsia="en-US"/>
    </w:rPr>
  </w:style>
  <w:style w:type="paragraph" w:customStyle="1" w:styleId="Default">
    <w:name w:val="Default"/>
    <w:rsid w:val="009049C7"/>
    <w:pPr>
      <w:autoSpaceDE w:val="0"/>
      <w:autoSpaceDN w:val="0"/>
      <w:adjustRightInd w:val="0"/>
    </w:pPr>
    <w:rPr>
      <w:rFonts w:ascii="Verdana" w:hAnsi="Verdana" w:cs="Verdana"/>
      <w:color w:val="000000"/>
      <w:sz w:val="24"/>
      <w:szCs w:val="24"/>
    </w:rPr>
  </w:style>
  <w:style w:type="character" w:customStyle="1" w:styleId="Heading1Char">
    <w:name w:val="Heading 1 Char"/>
    <w:basedOn w:val="DefaultParagraphFont"/>
    <w:link w:val="Heading1"/>
    <w:uiPriority w:val="1"/>
    <w:rsid w:val="009D4C0F"/>
    <w:rPr>
      <w:rFonts w:ascii="Calibri" w:hAnsi="Calibri" w:cs="Arial"/>
      <w:b/>
      <w:caps/>
      <w:sz w:val="32"/>
      <w:szCs w:val="24"/>
    </w:rPr>
  </w:style>
  <w:style w:type="character" w:customStyle="1" w:styleId="Heading3Char">
    <w:name w:val="Heading 3 Char"/>
    <w:basedOn w:val="DefaultParagraphFont"/>
    <w:link w:val="Heading3"/>
    <w:rsid w:val="009D4C0F"/>
    <w:rPr>
      <w:rFonts w:ascii="Calibri" w:hAnsi="Calibri" w:cs="Arial"/>
      <w:sz w:val="24"/>
      <w:szCs w:val="24"/>
      <w:u w:val="single"/>
    </w:rPr>
  </w:style>
  <w:style w:type="character" w:customStyle="1" w:styleId="Heading4Char">
    <w:name w:val="Heading 4 Char"/>
    <w:basedOn w:val="DefaultParagraphFont"/>
    <w:link w:val="Heading4"/>
    <w:rsid w:val="009D4C0F"/>
    <w:rPr>
      <w:rFonts w:ascii="Calibri" w:hAnsi="Calibri" w:cs="Arial"/>
      <w:b/>
      <w:bCs/>
      <w:i/>
      <w:sz w:val="26"/>
      <w:szCs w:val="28"/>
    </w:rPr>
  </w:style>
  <w:style w:type="character" w:customStyle="1" w:styleId="Heading5Char">
    <w:name w:val="Heading 5 Char"/>
    <w:basedOn w:val="DefaultParagraphFont"/>
    <w:link w:val="Heading5"/>
    <w:rsid w:val="009D4C0F"/>
    <w:rPr>
      <w:rFonts w:ascii="Calibri" w:hAnsi="Calibri" w:cs="Arial"/>
      <w:b/>
      <w:bCs/>
      <w:iCs/>
      <w:sz w:val="26"/>
      <w:szCs w:val="26"/>
    </w:rPr>
  </w:style>
  <w:style w:type="character" w:customStyle="1" w:styleId="Heading6Char">
    <w:name w:val="Heading 6 Char"/>
    <w:basedOn w:val="DefaultParagraphFont"/>
    <w:link w:val="Heading6"/>
    <w:rsid w:val="009D4C0F"/>
    <w:rPr>
      <w:rFonts w:ascii="Calibri" w:hAnsi="Calibri" w:cs="Arial"/>
      <w:b/>
      <w:bCs/>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6486">
      <w:bodyDiv w:val="1"/>
      <w:marLeft w:val="0"/>
      <w:marRight w:val="0"/>
      <w:marTop w:val="0"/>
      <w:marBottom w:val="0"/>
      <w:divBdr>
        <w:top w:val="none" w:sz="0" w:space="0" w:color="auto"/>
        <w:left w:val="none" w:sz="0" w:space="0" w:color="auto"/>
        <w:bottom w:val="none" w:sz="0" w:space="0" w:color="auto"/>
        <w:right w:val="none" w:sz="0" w:space="0" w:color="auto"/>
      </w:divBdr>
      <w:divsChild>
        <w:div w:id="583415104">
          <w:marLeft w:val="0"/>
          <w:marRight w:val="0"/>
          <w:marTop w:val="0"/>
          <w:marBottom w:val="0"/>
          <w:divBdr>
            <w:top w:val="none" w:sz="0" w:space="0" w:color="auto"/>
            <w:left w:val="none" w:sz="0" w:space="0" w:color="auto"/>
            <w:bottom w:val="none" w:sz="0" w:space="0" w:color="auto"/>
            <w:right w:val="none" w:sz="0" w:space="0" w:color="auto"/>
          </w:divBdr>
          <w:divsChild>
            <w:div w:id="716929670">
              <w:marLeft w:val="0"/>
              <w:marRight w:val="0"/>
              <w:marTop w:val="0"/>
              <w:marBottom w:val="0"/>
              <w:divBdr>
                <w:top w:val="none" w:sz="0" w:space="0" w:color="auto"/>
                <w:left w:val="none" w:sz="0" w:space="0" w:color="auto"/>
                <w:bottom w:val="none" w:sz="0" w:space="0" w:color="auto"/>
                <w:right w:val="none" w:sz="0" w:space="0" w:color="auto"/>
              </w:divBdr>
              <w:divsChild>
                <w:div w:id="1565869772">
                  <w:marLeft w:val="0"/>
                  <w:marRight w:val="0"/>
                  <w:marTop w:val="0"/>
                  <w:marBottom w:val="0"/>
                  <w:divBdr>
                    <w:top w:val="none" w:sz="0" w:space="0" w:color="auto"/>
                    <w:left w:val="none" w:sz="0" w:space="0" w:color="auto"/>
                    <w:bottom w:val="none" w:sz="0" w:space="0" w:color="auto"/>
                    <w:right w:val="none" w:sz="0" w:space="0" w:color="auto"/>
                  </w:divBdr>
                  <w:divsChild>
                    <w:div w:id="1479493169">
                      <w:marLeft w:val="0"/>
                      <w:marRight w:val="0"/>
                      <w:marTop w:val="0"/>
                      <w:marBottom w:val="0"/>
                      <w:divBdr>
                        <w:top w:val="none" w:sz="0" w:space="0" w:color="auto"/>
                        <w:left w:val="none" w:sz="0" w:space="0" w:color="auto"/>
                        <w:bottom w:val="none" w:sz="0" w:space="0" w:color="auto"/>
                        <w:right w:val="none" w:sz="0" w:space="0" w:color="auto"/>
                      </w:divBdr>
                      <w:divsChild>
                        <w:div w:id="1400592859">
                          <w:marLeft w:val="0"/>
                          <w:marRight w:val="0"/>
                          <w:marTop w:val="0"/>
                          <w:marBottom w:val="0"/>
                          <w:divBdr>
                            <w:top w:val="none" w:sz="0" w:space="0" w:color="auto"/>
                            <w:left w:val="none" w:sz="0" w:space="0" w:color="auto"/>
                            <w:bottom w:val="none" w:sz="0" w:space="0" w:color="auto"/>
                            <w:right w:val="none" w:sz="0" w:space="0" w:color="auto"/>
                          </w:divBdr>
                          <w:divsChild>
                            <w:div w:id="241649208">
                              <w:marLeft w:val="0"/>
                              <w:marRight w:val="0"/>
                              <w:marTop w:val="0"/>
                              <w:marBottom w:val="0"/>
                              <w:divBdr>
                                <w:top w:val="none" w:sz="0" w:space="0" w:color="auto"/>
                                <w:left w:val="none" w:sz="0" w:space="0" w:color="auto"/>
                                <w:bottom w:val="none" w:sz="0" w:space="0" w:color="auto"/>
                                <w:right w:val="none" w:sz="0" w:space="0" w:color="auto"/>
                              </w:divBdr>
                              <w:divsChild>
                                <w:div w:id="379480435">
                                  <w:marLeft w:val="0"/>
                                  <w:marRight w:val="0"/>
                                  <w:marTop w:val="0"/>
                                  <w:marBottom w:val="0"/>
                                  <w:divBdr>
                                    <w:top w:val="none" w:sz="0" w:space="0" w:color="auto"/>
                                    <w:left w:val="none" w:sz="0" w:space="0" w:color="auto"/>
                                    <w:bottom w:val="none" w:sz="0" w:space="0" w:color="auto"/>
                                    <w:right w:val="none" w:sz="0" w:space="0" w:color="auto"/>
                                  </w:divBdr>
                                </w:div>
                              </w:divsChild>
                            </w:div>
                            <w:div w:id="290331983">
                              <w:marLeft w:val="0"/>
                              <w:marRight w:val="0"/>
                              <w:marTop w:val="0"/>
                              <w:marBottom w:val="0"/>
                              <w:divBdr>
                                <w:top w:val="none" w:sz="0" w:space="0" w:color="auto"/>
                                <w:left w:val="none" w:sz="0" w:space="0" w:color="auto"/>
                                <w:bottom w:val="none" w:sz="0" w:space="0" w:color="auto"/>
                                <w:right w:val="none" w:sz="0" w:space="0" w:color="auto"/>
                              </w:divBdr>
                              <w:divsChild>
                                <w:div w:id="1871797588">
                                  <w:marLeft w:val="0"/>
                                  <w:marRight w:val="0"/>
                                  <w:marTop w:val="0"/>
                                  <w:marBottom w:val="0"/>
                                  <w:divBdr>
                                    <w:top w:val="none" w:sz="0" w:space="0" w:color="auto"/>
                                    <w:left w:val="none" w:sz="0" w:space="0" w:color="auto"/>
                                    <w:bottom w:val="none" w:sz="0" w:space="0" w:color="auto"/>
                                    <w:right w:val="none" w:sz="0" w:space="0" w:color="auto"/>
                                  </w:divBdr>
                                </w:div>
                              </w:divsChild>
                            </w:div>
                            <w:div w:id="1627808404">
                              <w:marLeft w:val="0"/>
                              <w:marRight w:val="0"/>
                              <w:marTop w:val="0"/>
                              <w:marBottom w:val="0"/>
                              <w:divBdr>
                                <w:top w:val="none" w:sz="0" w:space="0" w:color="auto"/>
                                <w:left w:val="none" w:sz="0" w:space="0" w:color="auto"/>
                                <w:bottom w:val="none" w:sz="0" w:space="0" w:color="auto"/>
                                <w:right w:val="none" w:sz="0" w:space="0" w:color="auto"/>
                              </w:divBdr>
                              <w:divsChild>
                                <w:div w:id="1694458726">
                                  <w:marLeft w:val="0"/>
                                  <w:marRight w:val="0"/>
                                  <w:marTop w:val="0"/>
                                  <w:marBottom w:val="0"/>
                                  <w:divBdr>
                                    <w:top w:val="none" w:sz="0" w:space="0" w:color="auto"/>
                                    <w:left w:val="none" w:sz="0" w:space="0" w:color="auto"/>
                                    <w:bottom w:val="none" w:sz="0" w:space="0" w:color="auto"/>
                                    <w:right w:val="none" w:sz="0" w:space="0" w:color="auto"/>
                                  </w:divBdr>
                                </w:div>
                              </w:divsChild>
                            </w:div>
                            <w:div w:id="1980726733">
                              <w:marLeft w:val="0"/>
                              <w:marRight w:val="0"/>
                              <w:marTop w:val="0"/>
                              <w:marBottom w:val="0"/>
                              <w:divBdr>
                                <w:top w:val="none" w:sz="0" w:space="0" w:color="auto"/>
                                <w:left w:val="none" w:sz="0" w:space="0" w:color="auto"/>
                                <w:bottom w:val="none" w:sz="0" w:space="0" w:color="auto"/>
                                <w:right w:val="none" w:sz="0" w:space="0" w:color="auto"/>
                              </w:divBdr>
                              <w:divsChild>
                                <w:div w:id="255211874">
                                  <w:marLeft w:val="0"/>
                                  <w:marRight w:val="0"/>
                                  <w:marTop w:val="0"/>
                                  <w:marBottom w:val="0"/>
                                  <w:divBdr>
                                    <w:top w:val="none" w:sz="0" w:space="0" w:color="auto"/>
                                    <w:left w:val="none" w:sz="0" w:space="0" w:color="auto"/>
                                    <w:bottom w:val="none" w:sz="0" w:space="0" w:color="auto"/>
                                    <w:right w:val="none" w:sz="0" w:space="0" w:color="auto"/>
                                  </w:divBdr>
                                  <w:divsChild>
                                    <w:div w:id="2054765816">
                                      <w:marLeft w:val="0"/>
                                      <w:marRight w:val="0"/>
                                      <w:marTop w:val="0"/>
                                      <w:marBottom w:val="0"/>
                                      <w:divBdr>
                                        <w:top w:val="none" w:sz="0" w:space="0" w:color="auto"/>
                                        <w:left w:val="none" w:sz="0" w:space="0" w:color="auto"/>
                                        <w:bottom w:val="none" w:sz="0" w:space="0" w:color="auto"/>
                                        <w:right w:val="none" w:sz="0" w:space="0" w:color="auto"/>
                                      </w:divBdr>
                                      <w:divsChild>
                                        <w:div w:id="48041741">
                                          <w:marLeft w:val="0"/>
                                          <w:marRight w:val="0"/>
                                          <w:marTop w:val="0"/>
                                          <w:marBottom w:val="0"/>
                                          <w:divBdr>
                                            <w:top w:val="none" w:sz="0" w:space="0" w:color="auto"/>
                                            <w:left w:val="none" w:sz="0" w:space="0" w:color="auto"/>
                                            <w:bottom w:val="none" w:sz="0" w:space="0" w:color="auto"/>
                                            <w:right w:val="none" w:sz="0" w:space="0" w:color="auto"/>
                                          </w:divBdr>
                                          <w:divsChild>
                                            <w:div w:id="362638751">
                                              <w:marLeft w:val="0"/>
                                              <w:marRight w:val="0"/>
                                              <w:marTop w:val="0"/>
                                              <w:marBottom w:val="0"/>
                                              <w:divBdr>
                                                <w:top w:val="none" w:sz="0" w:space="0" w:color="auto"/>
                                                <w:left w:val="none" w:sz="0" w:space="0" w:color="auto"/>
                                                <w:bottom w:val="none" w:sz="0" w:space="0" w:color="auto"/>
                                                <w:right w:val="none" w:sz="0" w:space="0" w:color="auto"/>
                                              </w:divBdr>
                                              <w:divsChild>
                                                <w:div w:id="770472045">
                                                  <w:marLeft w:val="0"/>
                                                  <w:marRight w:val="0"/>
                                                  <w:marTop w:val="0"/>
                                                  <w:marBottom w:val="0"/>
                                                  <w:divBdr>
                                                    <w:top w:val="none" w:sz="0" w:space="0" w:color="auto"/>
                                                    <w:left w:val="none" w:sz="0" w:space="0" w:color="auto"/>
                                                    <w:bottom w:val="none" w:sz="0" w:space="0" w:color="auto"/>
                                                    <w:right w:val="none" w:sz="0" w:space="0" w:color="auto"/>
                                                  </w:divBdr>
                                                  <w:divsChild>
                                                    <w:div w:id="617567980">
                                                      <w:marLeft w:val="0"/>
                                                      <w:marRight w:val="0"/>
                                                      <w:marTop w:val="0"/>
                                                      <w:marBottom w:val="0"/>
                                                      <w:divBdr>
                                                        <w:top w:val="none" w:sz="0" w:space="0" w:color="auto"/>
                                                        <w:left w:val="none" w:sz="0" w:space="0" w:color="auto"/>
                                                        <w:bottom w:val="none" w:sz="0" w:space="0" w:color="auto"/>
                                                        <w:right w:val="none" w:sz="0" w:space="0" w:color="auto"/>
                                                      </w:divBdr>
                                                    </w:div>
                                                    <w:div w:id="1338263378">
                                                      <w:marLeft w:val="0"/>
                                                      <w:marRight w:val="0"/>
                                                      <w:marTop w:val="0"/>
                                                      <w:marBottom w:val="0"/>
                                                      <w:divBdr>
                                                        <w:top w:val="none" w:sz="0" w:space="0" w:color="auto"/>
                                                        <w:left w:val="none" w:sz="0" w:space="0" w:color="auto"/>
                                                        <w:bottom w:val="none" w:sz="0" w:space="0" w:color="auto"/>
                                                        <w:right w:val="none" w:sz="0" w:space="0" w:color="auto"/>
                                                      </w:divBdr>
                                                    </w:div>
                                                  </w:divsChild>
                                                </w:div>
                                                <w:div w:id="2091341394">
                                                  <w:marLeft w:val="0"/>
                                                  <w:marRight w:val="0"/>
                                                  <w:marTop w:val="0"/>
                                                  <w:marBottom w:val="0"/>
                                                  <w:divBdr>
                                                    <w:top w:val="none" w:sz="0" w:space="0" w:color="auto"/>
                                                    <w:left w:val="none" w:sz="0" w:space="0" w:color="auto"/>
                                                    <w:bottom w:val="none" w:sz="0" w:space="0" w:color="auto"/>
                                                    <w:right w:val="none" w:sz="0" w:space="0" w:color="auto"/>
                                                  </w:divBdr>
                                                  <w:divsChild>
                                                    <w:div w:id="1035276185">
                                                      <w:marLeft w:val="0"/>
                                                      <w:marRight w:val="0"/>
                                                      <w:marTop w:val="0"/>
                                                      <w:marBottom w:val="0"/>
                                                      <w:divBdr>
                                                        <w:top w:val="none" w:sz="0" w:space="0" w:color="auto"/>
                                                        <w:left w:val="none" w:sz="0" w:space="0" w:color="auto"/>
                                                        <w:bottom w:val="none" w:sz="0" w:space="0" w:color="auto"/>
                                                        <w:right w:val="none" w:sz="0" w:space="0" w:color="auto"/>
                                                      </w:divBdr>
                                                    </w:div>
                                                    <w:div w:id="13075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0681">
                                              <w:marLeft w:val="0"/>
                                              <w:marRight w:val="0"/>
                                              <w:marTop w:val="0"/>
                                              <w:marBottom w:val="0"/>
                                              <w:divBdr>
                                                <w:top w:val="none" w:sz="0" w:space="0" w:color="auto"/>
                                                <w:left w:val="none" w:sz="0" w:space="0" w:color="auto"/>
                                                <w:bottom w:val="none" w:sz="0" w:space="0" w:color="auto"/>
                                                <w:right w:val="none" w:sz="0" w:space="0" w:color="auto"/>
                                              </w:divBdr>
                                            </w:div>
                                          </w:divsChild>
                                        </w:div>
                                        <w:div w:id="186747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17166">
                                  <w:marLeft w:val="0"/>
                                  <w:marRight w:val="0"/>
                                  <w:marTop w:val="0"/>
                                  <w:marBottom w:val="0"/>
                                  <w:divBdr>
                                    <w:top w:val="none" w:sz="0" w:space="0" w:color="auto"/>
                                    <w:left w:val="none" w:sz="0" w:space="0" w:color="auto"/>
                                    <w:bottom w:val="none" w:sz="0" w:space="0" w:color="auto"/>
                                    <w:right w:val="none" w:sz="0" w:space="0" w:color="auto"/>
                                  </w:divBdr>
                                </w:div>
                                <w:div w:id="942297477">
                                  <w:marLeft w:val="0"/>
                                  <w:marRight w:val="0"/>
                                  <w:marTop w:val="0"/>
                                  <w:marBottom w:val="0"/>
                                  <w:divBdr>
                                    <w:top w:val="none" w:sz="0" w:space="0" w:color="auto"/>
                                    <w:left w:val="none" w:sz="0" w:space="0" w:color="auto"/>
                                    <w:bottom w:val="none" w:sz="0" w:space="0" w:color="auto"/>
                                    <w:right w:val="none" w:sz="0" w:space="0" w:color="auto"/>
                                  </w:divBdr>
                                </w:div>
                                <w:div w:id="1256014962">
                                  <w:marLeft w:val="0"/>
                                  <w:marRight w:val="0"/>
                                  <w:marTop w:val="0"/>
                                  <w:marBottom w:val="0"/>
                                  <w:divBdr>
                                    <w:top w:val="none" w:sz="0" w:space="0" w:color="auto"/>
                                    <w:left w:val="none" w:sz="0" w:space="0" w:color="auto"/>
                                    <w:bottom w:val="none" w:sz="0" w:space="0" w:color="auto"/>
                                    <w:right w:val="none" w:sz="0" w:space="0" w:color="auto"/>
                                  </w:divBdr>
                                  <w:divsChild>
                                    <w:div w:id="858930999">
                                      <w:marLeft w:val="0"/>
                                      <w:marRight w:val="0"/>
                                      <w:marTop w:val="0"/>
                                      <w:marBottom w:val="0"/>
                                      <w:divBdr>
                                        <w:top w:val="none" w:sz="0" w:space="0" w:color="auto"/>
                                        <w:left w:val="none" w:sz="0" w:space="0" w:color="auto"/>
                                        <w:bottom w:val="none" w:sz="0" w:space="0" w:color="auto"/>
                                        <w:right w:val="none" w:sz="0" w:space="0" w:color="auto"/>
                                      </w:divBdr>
                                      <w:divsChild>
                                        <w:div w:id="1980568709">
                                          <w:marLeft w:val="0"/>
                                          <w:marRight w:val="0"/>
                                          <w:marTop w:val="0"/>
                                          <w:marBottom w:val="0"/>
                                          <w:divBdr>
                                            <w:top w:val="none" w:sz="0" w:space="0" w:color="auto"/>
                                            <w:left w:val="none" w:sz="0" w:space="0" w:color="auto"/>
                                            <w:bottom w:val="none" w:sz="0" w:space="0" w:color="auto"/>
                                            <w:right w:val="none" w:sz="0" w:space="0" w:color="auto"/>
                                          </w:divBdr>
                                        </w:div>
                                        <w:div w:id="2011524402">
                                          <w:marLeft w:val="0"/>
                                          <w:marRight w:val="0"/>
                                          <w:marTop w:val="0"/>
                                          <w:marBottom w:val="0"/>
                                          <w:divBdr>
                                            <w:top w:val="none" w:sz="0" w:space="0" w:color="auto"/>
                                            <w:left w:val="none" w:sz="0" w:space="0" w:color="auto"/>
                                            <w:bottom w:val="none" w:sz="0" w:space="0" w:color="auto"/>
                                            <w:right w:val="none" w:sz="0" w:space="0" w:color="auto"/>
                                          </w:divBdr>
                                          <w:divsChild>
                                            <w:div w:id="1492331580">
                                              <w:marLeft w:val="0"/>
                                              <w:marRight w:val="0"/>
                                              <w:marTop w:val="0"/>
                                              <w:marBottom w:val="0"/>
                                              <w:divBdr>
                                                <w:top w:val="none" w:sz="0" w:space="0" w:color="auto"/>
                                                <w:left w:val="none" w:sz="0" w:space="0" w:color="auto"/>
                                                <w:bottom w:val="none" w:sz="0" w:space="0" w:color="auto"/>
                                                <w:right w:val="none" w:sz="0" w:space="0" w:color="auto"/>
                                              </w:divBdr>
                                            </w:div>
                                            <w:div w:id="1903061806">
                                              <w:marLeft w:val="0"/>
                                              <w:marRight w:val="0"/>
                                              <w:marTop w:val="0"/>
                                              <w:marBottom w:val="0"/>
                                              <w:divBdr>
                                                <w:top w:val="none" w:sz="0" w:space="0" w:color="auto"/>
                                                <w:left w:val="none" w:sz="0" w:space="0" w:color="auto"/>
                                                <w:bottom w:val="none" w:sz="0" w:space="0" w:color="auto"/>
                                                <w:right w:val="none" w:sz="0" w:space="0" w:color="auto"/>
                                              </w:divBdr>
                                              <w:divsChild>
                                                <w:div w:id="41516928">
                                                  <w:marLeft w:val="0"/>
                                                  <w:marRight w:val="0"/>
                                                  <w:marTop w:val="0"/>
                                                  <w:marBottom w:val="0"/>
                                                  <w:divBdr>
                                                    <w:top w:val="none" w:sz="0" w:space="0" w:color="auto"/>
                                                    <w:left w:val="none" w:sz="0" w:space="0" w:color="auto"/>
                                                    <w:bottom w:val="none" w:sz="0" w:space="0" w:color="auto"/>
                                                    <w:right w:val="none" w:sz="0" w:space="0" w:color="auto"/>
                                                  </w:divBdr>
                                                  <w:divsChild>
                                                    <w:div w:id="84107767">
                                                      <w:marLeft w:val="0"/>
                                                      <w:marRight w:val="0"/>
                                                      <w:marTop w:val="0"/>
                                                      <w:marBottom w:val="0"/>
                                                      <w:divBdr>
                                                        <w:top w:val="none" w:sz="0" w:space="0" w:color="auto"/>
                                                        <w:left w:val="none" w:sz="0" w:space="0" w:color="auto"/>
                                                        <w:bottom w:val="none" w:sz="0" w:space="0" w:color="auto"/>
                                                        <w:right w:val="none" w:sz="0" w:space="0" w:color="auto"/>
                                                      </w:divBdr>
                                                    </w:div>
                                                    <w:div w:id="1408383137">
                                                      <w:marLeft w:val="0"/>
                                                      <w:marRight w:val="0"/>
                                                      <w:marTop w:val="0"/>
                                                      <w:marBottom w:val="0"/>
                                                      <w:divBdr>
                                                        <w:top w:val="none" w:sz="0" w:space="0" w:color="auto"/>
                                                        <w:left w:val="none" w:sz="0" w:space="0" w:color="auto"/>
                                                        <w:bottom w:val="none" w:sz="0" w:space="0" w:color="auto"/>
                                                        <w:right w:val="none" w:sz="0" w:space="0" w:color="auto"/>
                                                      </w:divBdr>
                                                    </w:div>
                                                  </w:divsChild>
                                                </w:div>
                                                <w:div w:id="1352491515">
                                                  <w:marLeft w:val="0"/>
                                                  <w:marRight w:val="0"/>
                                                  <w:marTop w:val="0"/>
                                                  <w:marBottom w:val="0"/>
                                                  <w:divBdr>
                                                    <w:top w:val="none" w:sz="0" w:space="0" w:color="auto"/>
                                                    <w:left w:val="none" w:sz="0" w:space="0" w:color="auto"/>
                                                    <w:bottom w:val="none" w:sz="0" w:space="0" w:color="auto"/>
                                                    <w:right w:val="none" w:sz="0" w:space="0" w:color="auto"/>
                                                  </w:divBdr>
                                                  <w:divsChild>
                                                    <w:div w:id="143013390">
                                                      <w:marLeft w:val="0"/>
                                                      <w:marRight w:val="0"/>
                                                      <w:marTop w:val="0"/>
                                                      <w:marBottom w:val="0"/>
                                                      <w:divBdr>
                                                        <w:top w:val="none" w:sz="0" w:space="0" w:color="auto"/>
                                                        <w:left w:val="none" w:sz="0" w:space="0" w:color="auto"/>
                                                        <w:bottom w:val="none" w:sz="0" w:space="0" w:color="auto"/>
                                                        <w:right w:val="none" w:sz="0" w:space="0" w:color="auto"/>
                                                      </w:divBdr>
                                                    </w:div>
                                                    <w:div w:id="128870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513593">
                                  <w:marLeft w:val="0"/>
                                  <w:marRight w:val="0"/>
                                  <w:marTop w:val="0"/>
                                  <w:marBottom w:val="0"/>
                                  <w:divBdr>
                                    <w:top w:val="none" w:sz="0" w:space="0" w:color="auto"/>
                                    <w:left w:val="none" w:sz="0" w:space="0" w:color="auto"/>
                                    <w:bottom w:val="none" w:sz="0" w:space="0" w:color="auto"/>
                                    <w:right w:val="none" w:sz="0" w:space="0" w:color="auto"/>
                                  </w:divBdr>
                                  <w:divsChild>
                                    <w:div w:id="2130272348">
                                      <w:marLeft w:val="0"/>
                                      <w:marRight w:val="0"/>
                                      <w:marTop w:val="0"/>
                                      <w:marBottom w:val="0"/>
                                      <w:divBdr>
                                        <w:top w:val="none" w:sz="0" w:space="0" w:color="auto"/>
                                        <w:left w:val="none" w:sz="0" w:space="0" w:color="auto"/>
                                        <w:bottom w:val="none" w:sz="0" w:space="0" w:color="auto"/>
                                        <w:right w:val="none" w:sz="0" w:space="0" w:color="auto"/>
                                      </w:divBdr>
                                      <w:divsChild>
                                        <w:div w:id="281115196">
                                          <w:marLeft w:val="0"/>
                                          <w:marRight w:val="0"/>
                                          <w:marTop w:val="0"/>
                                          <w:marBottom w:val="0"/>
                                          <w:divBdr>
                                            <w:top w:val="none" w:sz="0" w:space="0" w:color="auto"/>
                                            <w:left w:val="none" w:sz="0" w:space="0" w:color="auto"/>
                                            <w:bottom w:val="none" w:sz="0" w:space="0" w:color="auto"/>
                                            <w:right w:val="none" w:sz="0" w:space="0" w:color="auto"/>
                                          </w:divBdr>
                                        </w:div>
                                        <w:div w:id="1060514584">
                                          <w:marLeft w:val="0"/>
                                          <w:marRight w:val="0"/>
                                          <w:marTop w:val="0"/>
                                          <w:marBottom w:val="0"/>
                                          <w:divBdr>
                                            <w:top w:val="none" w:sz="0" w:space="0" w:color="auto"/>
                                            <w:left w:val="none" w:sz="0" w:space="0" w:color="auto"/>
                                            <w:bottom w:val="none" w:sz="0" w:space="0" w:color="auto"/>
                                            <w:right w:val="none" w:sz="0" w:space="0" w:color="auto"/>
                                          </w:divBdr>
                                          <w:divsChild>
                                            <w:div w:id="532154497">
                                              <w:marLeft w:val="0"/>
                                              <w:marRight w:val="0"/>
                                              <w:marTop w:val="0"/>
                                              <w:marBottom w:val="0"/>
                                              <w:divBdr>
                                                <w:top w:val="none" w:sz="0" w:space="0" w:color="auto"/>
                                                <w:left w:val="none" w:sz="0" w:space="0" w:color="auto"/>
                                                <w:bottom w:val="none" w:sz="0" w:space="0" w:color="auto"/>
                                                <w:right w:val="none" w:sz="0" w:space="0" w:color="auto"/>
                                              </w:divBdr>
                                              <w:divsChild>
                                                <w:div w:id="1021469735">
                                                  <w:marLeft w:val="0"/>
                                                  <w:marRight w:val="0"/>
                                                  <w:marTop w:val="0"/>
                                                  <w:marBottom w:val="0"/>
                                                  <w:divBdr>
                                                    <w:top w:val="none" w:sz="0" w:space="0" w:color="auto"/>
                                                    <w:left w:val="none" w:sz="0" w:space="0" w:color="auto"/>
                                                    <w:bottom w:val="none" w:sz="0" w:space="0" w:color="auto"/>
                                                    <w:right w:val="none" w:sz="0" w:space="0" w:color="auto"/>
                                                  </w:divBdr>
                                                  <w:divsChild>
                                                    <w:div w:id="431706159">
                                                      <w:marLeft w:val="0"/>
                                                      <w:marRight w:val="0"/>
                                                      <w:marTop w:val="0"/>
                                                      <w:marBottom w:val="0"/>
                                                      <w:divBdr>
                                                        <w:top w:val="none" w:sz="0" w:space="0" w:color="auto"/>
                                                        <w:left w:val="none" w:sz="0" w:space="0" w:color="auto"/>
                                                        <w:bottom w:val="none" w:sz="0" w:space="0" w:color="auto"/>
                                                        <w:right w:val="none" w:sz="0" w:space="0" w:color="auto"/>
                                                      </w:divBdr>
                                                    </w:div>
                                                    <w:div w:id="1219701864">
                                                      <w:marLeft w:val="0"/>
                                                      <w:marRight w:val="0"/>
                                                      <w:marTop w:val="0"/>
                                                      <w:marBottom w:val="0"/>
                                                      <w:divBdr>
                                                        <w:top w:val="none" w:sz="0" w:space="0" w:color="auto"/>
                                                        <w:left w:val="none" w:sz="0" w:space="0" w:color="auto"/>
                                                        <w:bottom w:val="none" w:sz="0" w:space="0" w:color="auto"/>
                                                        <w:right w:val="none" w:sz="0" w:space="0" w:color="auto"/>
                                                      </w:divBdr>
                                                    </w:div>
                                                  </w:divsChild>
                                                </w:div>
                                                <w:div w:id="1209565110">
                                                  <w:marLeft w:val="0"/>
                                                  <w:marRight w:val="0"/>
                                                  <w:marTop w:val="0"/>
                                                  <w:marBottom w:val="0"/>
                                                  <w:divBdr>
                                                    <w:top w:val="none" w:sz="0" w:space="0" w:color="auto"/>
                                                    <w:left w:val="none" w:sz="0" w:space="0" w:color="auto"/>
                                                    <w:bottom w:val="none" w:sz="0" w:space="0" w:color="auto"/>
                                                    <w:right w:val="none" w:sz="0" w:space="0" w:color="auto"/>
                                                  </w:divBdr>
                                                  <w:divsChild>
                                                    <w:div w:id="1594588979">
                                                      <w:marLeft w:val="0"/>
                                                      <w:marRight w:val="0"/>
                                                      <w:marTop w:val="0"/>
                                                      <w:marBottom w:val="0"/>
                                                      <w:divBdr>
                                                        <w:top w:val="none" w:sz="0" w:space="0" w:color="auto"/>
                                                        <w:left w:val="none" w:sz="0" w:space="0" w:color="auto"/>
                                                        <w:bottom w:val="none" w:sz="0" w:space="0" w:color="auto"/>
                                                        <w:right w:val="none" w:sz="0" w:space="0" w:color="auto"/>
                                                      </w:divBdr>
                                                    </w:div>
                                                    <w:div w:id="180250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499867">
                                  <w:marLeft w:val="0"/>
                                  <w:marRight w:val="0"/>
                                  <w:marTop w:val="0"/>
                                  <w:marBottom w:val="0"/>
                                  <w:divBdr>
                                    <w:top w:val="none" w:sz="0" w:space="0" w:color="auto"/>
                                    <w:left w:val="none" w:sz="0" w:space="0" w:color="auto"/>
                                    <w:bottom w:val="none" w:sz="0" w:space="0" w:color="auto"/>
                                    <w:right w:val="none" w:sz="0" w:space="0" w:color="auto"/>
                                  </w:divBdr>
                                  <w:divsChild>
                                    <w:div w:id="1186283046">
                                      <w:marLeft w:val="0"/>
                                      <w:marRight w:val="0"/>
                                      <w:marTop w:val="0"/>
                                      <w:marBottom w:val="0"/>
                                      <w:divBdr>
                                        <w:top w:val="none" w:sz="0" w:space="0" w:color="auto"/>
                                        <w:left w:val="none" w:sz="0" w:space="0" w:color="auto"/>
                                        <w:bottom w:val="none" w:sz="0" w:space="0" w:color="auto"/>
                                        <w:right w:val="none" w:sz="0" w:space="0" w:color="auto"/>
                                      </w:divBdr>
                                      <w:divsChild>
                                        <w:div w:id="108667421">
                                          <w:marLeft w:val="0"/>
                                          <w:marRight w:val="0"/>
                                          <w:marTop w:val="0"/>
                                          <w:marBottom w:val="0"/>
                                          <w:divBdr>
                                            <w:top w:val="none" w:sz="0" w:space="0" w:color="auto"/>
                                            <w:left w:val="none" w:sz="0" w:space="0" w:color="auto"/>
                                            <w:bottom w:val="none" w:sz="0" w:space="0" w:color="auto"/>
                                            <w:right w:val="none" w:sz="0" w:space="0" w:color="auto"/>
                                          </w:divBdr>
                                        </w:div>
                                        <w:div w:id="427386128">
                                          <w:marLeft w:val="0"/>
                                          <w:marRight w:val="0"/>
                                          <w:marTop w:val="0"/>
                                          <w:marBottom w:val="0"/>
                                          <w:divBdr>
                                            <w:top w:val="none" w:sz="0" w:space="0" w:color="auto"/>
                                            <w:left w:val="none" w:sz="0" w:space="0" w:color="auto"/>
                                            <w:bottom w:val="none" w:sz="0" w:space="0" w:color="auto"/>
                                            <w:right w:val="none" w:sz="0" w:space="0" w:color="auto"/>
                                          </w:divBdr>
                                          <w:divsChild>
                                            <w:div w:id="45956061">
                                              <w:marLeft w:val="0"/>
                                              <w:marRight w:val="0"/>
                                              <w:marTop w:val="0"/>
                                              <w:marBottom w:val="0"/>
                                              <w:divBdr>
                                                <w:top w:val="none" w:sz="0" w:space="0" w:color="auto"/>
                                                <w:left w:val="none" w:sz="0" w:space="0" w:color="auto"/>
                                                <w:bottom w:val="none" w:sz="0" w:space="0" w:color="auto"/>
                                                <w:right w:val="none" w:sz="0" w:space="0" w:color="auto"/>
                                              </w:divBdr>
                                            </w:div>
                                            <w:div w:id="18553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91918">
                                  <w:marLeft w:val="0"/>
                                  <w:marRight w:val="0"/>
                                  <w:marTop w:val="0"/>
                                  <w:marBottom w:val="0"/>
                                  <w:divBdr>
                                    <w:top w:val="none" w:sz="0" w:space="0" w:color="auto"/>
                                    <w:left w:val="none" w:sz="0" w:space="0" w:color="auto"/>
                                    <w:bottom w:val="none" w:sz="0" w:space="0" w:color="auto"/>
                                    <w:right w:val="none" w:sz="0" w:space="0" w:color="auto"/>
                                  </w:divBdr>
                                </w:div>
                                <w:div w:id="1833527085">
                                  <w:marLeft w:val="0"/>
                                  <w:marRight w:val="0"/>
                                  <w:marTop w:val="0"/>
                                  <w:marBottom w:val="0"/>
                                  <w:divBdr>
                                    <w:top w:val="none" w:sz="0" w:space="0" w:color="auto"/>
                                    <w:left w:val="none" w:sz="0" w:space="0" w:color="auto"/>
                                    <w:bottom w:val="none" w:sz="0" w:space="0" w:color="auto"/>
                                    <w:right w:val="none" w:sz="0" w:space="0" w:color="auto"/>
                                  </w:divBdr>
                                  <w:divsChild>
                                    <w:div w:id="1347898800">
                                      <w:marLeft w:val="0"/>
                                      <w:marRight w:val="0"/>
                                      <w:marTop w:val="0"/>
                                      <w:marBottom w:val="0"/>
                                      <w:divBdr>
                                        <w:top w:val="none" w:sz="0" w:space="0" w:color="auto"/>
                                        <w:left w:val="none" w:sz="0" w:space="0" w:color="auto"/>
                                        <w:bottom w:val="none" w:sz="0" w:space="0" w:color="auto"/>
                                        <w:right w:val="none" w:sz="0" w:space="0" w:color="auto"/>
                                      </w:divBdr>
                                      <w:divsChild>
                                        <w:div w:id="1468355568">
                                          <w:marLeft w:val="0"/>
                                          <w:marRight w:val="0"/>
                                          <w:marTop w:val="0"/>
                                          <w:marBottom w:val="0"/>
                                          <w:divBdr>
                                            <w:top w:val="none" w:sz="0" w:space="0" w:color="auto"/>
                                            <w:left w:val="none" w:sz="0" w:space="0" w:color="auto"/>
                                            <w:bottom w:val="none" w:sz="0" w:space="0" w:color="auto"/>
                                            <w:right w:val="none" w:sz="0" w:space="0" w:color="auto"/>
                                          </w:divBdr>
                                        </w:div>
                                        <w:div w:id="2007516654">
                                          <w:marLeft w:val="0"/>
                                          <w:marRight w:val="0"/>
                                          <w:marTop w:val="0"/>
                                          <w:marBottom w:val="0"/>
                                          <w:divBdr>
                                            <w:top w:val="none" w:sz="0" w:space="0" w:color="auto"/>
                                            <w:left w:val="none" w:sz="0" w:space="0" w:color="auto"/>
                                            <w:bottom w:val="none" w:sz="0" w:space="0" w:color="auto"/>
                                            <w:right w:val="none" w:sz="0" w:space="0" w:color="auto"/>
                                          </w:divBdr>
                                          <w:divsChild>
                                            <w:div w:id="1549295939">
                                              <w:marLeft w:val="0"/>
                                              <w:marRight w:val="0"/>
                                              <w:marTop w:val="0"/>
                                              <w:marBottom w:val="0"/>
                                              <w:divBdr>
                                                <w:top w:val="none" w:sz="0" w:space="0" w:color="auto"/>
                                                <w:left w:val="none" w:sz="0" w:space="0" w:color="auto"/>
                                                <w:bottom w:val="none" w:sz="0" w:space="0" w:color="auto"/>
                                                <w:right w:val="none" w:sz="0" w:space="0" w:color="auto"/>
                                              </w:divBdr>
                                              <w:divsChild>
                                                <w:div w:id="1128889041">
                                                  <w:marLeft w:val="0"/>
                                                  <w:marRight w:val="0"/>
                                                  <w:marTop w:val="0"/>
                                                  <w:marBottom w:val="0"/>
                                                  <w:divBdr>
                                                    <w:top w:val="none" w:sz="0" w:space="0" w:color="auto"/>
                                                    <w:left w:val="none" w:sz="0" w:space="0" w:color="auto"/>
                                                    <w:bottom w:val="none" w:sz="0" w:space="0" w:color="auto"/>
                                                    <w:right w:val="none" w:sz="0" w:space="0" w:color="auto"/>
                                                  </w:divBdr>
                                                  <w:divsChild>
                                                    <w:div w:id="857354866">
                                                      <w:marLeft w:val="0"/>
                                                      <w:marRight w:val="0"/>
                                                      <w:marTop w:val="0"/>
                                                      <w:marBottom w:val="0"/>
                                                      <w:divBdr>
                                                        <w:top w:val="none" w:sz="0" w:space="0" w:color="auto"/>
                                                        <w:left w:val="none" w:sz="0" w:space="0" w:color="auto"/>
                                                        <w:bottom w:val="none" w:sz="0" w:space="0" w:color="auto"/>
                                                        <w:right w:val="none" w:sz="0" w:space="0" w:color="auto"/>
                                                      </w:divBdr>
                                                    </w:div>
                                                    <w:div w:id="1588003014">
                                                      <w:marLeft w:val="0"/>
                                                      <w:marRight w:val="0"/>
                                                      <w:marTop w:val="0"/>
                                                      <w:marBottom w:val="0"/>
                                                      <w:divBdr>
                                                        <w:top w:val="none" w:sz="0" w:space="0" w:color="auto"/>
                                                        <w:left w:val="none" w:sz="0" w:space="0" w:color="auto"/>
                                                        <w:bottom w:val="none" w:sz="0" w:space="0" w:color="auto"/>
                                                        <w:right w:val="none" w:sz="0" w:space="0" w:color="auto"/>
                                                      </w:divBdr>
                                                    </w:div>
                                                  </w:divsChild>
                                                </w:div>
                                                <w:div w:id="1796829671">
                                                  <w:marLeft w:val="0"/>
                                                  <w:marRight w:val="0"/>
                                                  <w:marTop w:val="0"/>
                                                  <w:marBottom w:val="0"/>
                                                  <w:divBdr>
                                                    <w:top w:val="none" w:sz="0" w:space="0" w:color="auto"/>
                                                    <w:left w:val="none" w:sz="0" w:space="0" w:color="auto"/>
                                                    <w:bottom w:val="none" w:sz="0" w:space="0" w:color="auto"/>
                                                    <w:right w:val="none" w:sz="0" w:space="0" w:color="auto"/>
                                                  </w:divBdr>
                                                  <w:divsChild>
                                                    <w:div w:id="1579821979">
                                                      <w:marLeft w:val="0"/>
                                                      <w:marRight w:val="0"/>
                                                      <w:marTop w:val="0"/>
                                                      <w:marBottom w:val="0"/>
                                                      <w:divBdr>
                                                        <w:top w:val="none" w:sz="0" w:space="0" w:color="auto"/>
                                                        <w:left w:val="none" w:sz="0" w:space="0" w:color="auto"/>
                                                        <w:bottom w:val="none" w:sz="0" w:space="0" w:color="auto"/>
                                                        <w:right w:val="none" w:sz="0" w:space="0" w:color="auto"/>
                                                      </w:divBdr>
                                                    </w:div>
                                                    <w:div w:id="18297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2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98614">
                                  <w:marLeft w:val="0"/>
                                  <w:marRight w:val="0"/>
                                  <w:marTop w:val="0"/>
                                  <w:marBottom w:val="0"/>
                                  <w:divBdr>
                                    <w:top w:val="none" w:sz="0" w:space="0" w:color="auto"/>
                                    <w:left w:val="none" w:sz="0" w:space="0" w:color="auto"/>
                                    <w:bottom w:val="none" w:sz="0" w:space="0" w:color="auto"/>
                                    <w:right w:val="none" w:sz="0" w:space="0" w:color="auto"/>
                                  </w:divBdr>
                                  <w:divsChild>
                                    <w:div w:id="2035695033">
                                      <w:marLeft w:val="0"/>
                                      <w:marRight w:val="0"/>
                                      <w:marTop w:val="0"/>
                                      <w:marBottom w:val="0"/>
                                      <w:divBdr>
                                        <w:top w:val="none" w:sz="0" w:space="0" w:color="auto"/>
                                        <w:left w:val="none" w:sz="0" w:space="0" w:color="auto"/>
                                        <w:bottom w:val="none" w:sz="0" w:space="0" w:color="auto"/>
                                        <w:right w:val="none" w:sz="0" w:space="0" w:color="auto"/>
                                      </w:divBdr>
                                      <w:divsChild>
                                        <w:div w:id="1458185516">
                                          <w:marLeft w:val="0"/>
                                          <w:marRight w:val="0"/>
                                          <w:marTop w:val="0"/>
                                          <w:marBottom w:val="0"/>
                                          <w:divBdr>
                                            <w:top w:val="none" w:sz="0" w:space="0" w:color="auto"/>
                                            <w:left w:val="none" w:sz="0" w:space="0" w:color="auto"/>
                                            <w:bottom w:val="none" w:sz="0" w:space="0" w:color="auto"/>
                                            <w:right w:val="none" w:sz="0" w:space="0" w:color="auto"/>
                                          </w:divBdr>
                                          <w:divsChild>
                                            <w:div w:id="54361019">
                                              <w:marLeft w:val="0"/>
                                              <w:marRight w:val="0"/>
                                              <w:marTop w:val="0"/>
                                              <w:marBottom w:val="0"/>
                                              <w:divBdr>
                                                <w:top w:val="none" w:sz="0" w:space="0" w:color="auto"/>
                                                <w:left w:val="none" w:sz="0" w:space="0" w:color="auto"/>
                                                <w:bottom w:val="none" w:sz="0" w:space="0" w:color="auto"/>
                                                <w:right w:val="none" w:sz="0" w:space="0" w:color="auto"/>
                                              </w:divBdr>
                                            </w:div>
                                            <w:div w:id="1316447244">
                                              <w:marLeft w:val="0"/>
                                              <w:marRight w:val="0"/>
                                              <w:marTop w:val="0"/>
                                              <w:marBottom w:val="0"/>
                                              <w:divBdr>
                                                <w:top w:val="none" w:sz="0" w:space="0" w:color="auto"/>
                                                <w:left w:val="none" w:sz="0" w:space="0" w:color="auto"/>
                                                <w:bottom w:val="none" w:sz="0" w:space="0" w:color="auto"/>
                                                <w:right w:val="none" w:sz="0" w:space="0" w:color="auto"/>
                                              </w:divBdr>
                                              <w:divsChild>
                                                <w:div w:id="719718222">
                                                  <w:marLeft w:val="0"/>
                                                  <w:marRight w:val="0"/>
                                                  <w:marTop w:val="0"/>
                                                  <w:marBottom w:val="0"/>
                                                  <w:divBdr>
                                                    <w:top w:val="none" w:sz="0" w:space="0" w:color="auto"/>
                                                    <w:left w:val="none" w:sz="0" w:space="0" w:color="auto"/>
                                                    <w:bottom w:val="none" w:sz="0" w:space="0" w:color="auto"/>
                                                    <w:right w:val="none" w:sz="0" w:space="0" w:color="auto"/>
                                                  </w:divBdr>
                                                  <w:divsChild>
                                                    <w:div w:id="551310513">
                                                      <w:marLeft w:val="0"/>
                                                      <w:marRight w:val="0"/>
                                                      <w:marTop w:val="0"/>
                                                      <w:marBottom w:val="0"/>
                                                      <w:divBdr>
                                                        <w:top w:val="none" w:sz="0" w:space="0" w:color="auto"/>
                                                        <w:left w:val="none" w:sz="0" w:space="0" w:color="auto"/>
                                                        <w:bottom w:val="none" w:sz="0" w:space="0" w:color="auto"/>
                                                        <w:right w:val="none" w:sz="0" w:space="0" w:color="auto"/>
                                                      </w:divBdr>
                                                    </w:div>
                                                    <w:div w:id="639265310">
                                                      <w:marLeft w:val="0"/>
                                                      <w:marRight w:val="0"/>
                                                      <w:marTop w:val="0"/>
                                                      <w:marBottom w:val="0"/>
                                                      <w:divBdr>
                                                        <w:top w:val="none" w:sz="0" w:space="0" w:color="auto"/>
                                                        <w:left w:val="none" w:sz="0" w:space="0" w:color="auto"/>
                                                        <w:bottom w:val="none" w:sz="0" w:space="0" w:color="auto"/>
                                                        <w:right w:val="none" w:sz="0" w:space="0" w:color="auto"/>
                                                      </w:divBdr>
                                                    </w:div>
                                                  </w:divsChild>
                                                </w:div>
                                                <w:div w:id="770970256">
                                                  <w:marLeft w:val="0"/>
                                                  <w:marRight w:val="0"/>
                                                  <w:marTop w:val="0"/>
                                                  <w:marBottom w:val="0"/>
                                                  <w:divBdr>
                                                    <w:top w:val="none" w:sz="0" w:space="0" w:color="auto"/>
                                                    <w:left w:val="none" w:sz="0" w:space="0" w:color="auto"/>
                                                    <w:bottom w:val="none" w:sz="0" w:space="0" w:color="auto"/>
                                                    <w:right w:val="none" w:sz="0" w:space="0" w:color="auto"/>
                                                  </w:divBdr>
                                                  <w:divsChild>
                                                    <w:div w:id="1477724544">
                                                      <w:marLeft w:val="0"/>
                                                      <w:marRight w:val="0"/>
                                                      <w:marTop w:val="0"/>
                                                      <w:marBottom w:val="0"/>
                                                      <w:divBdr>
                                                        <w:top w:val="none" w:sz="0" w:space="0" w:color="auto"/>
                                                        <w:left w:val="none" w:sz="0" w:space="0" w:color="auto"/>
                                                        <w:bottom w:val="none" w:sz="0" w:space="0" w:color="auto"/>
                                                        <w:right w:val="none" w:sz="0" w:space="0" w:color="auto"/>
                                                      </w:divBdr>
                                                    </w:div>
                                                    <w:div w:id="16123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82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7702">
      <w:bodyDiv w:val="1"/>
      <w:marLeft w:val="0"/>
      <w:marRight w:val="0"/>
      <w:marTop w:val="0"/>
      <w:marBottom w:val="0"/>
      <w:divBdr>
        <w:top w:val="none" w:sz="0" w:space="0" w:color="auto"/>
        <w:left w:val="none" w:sz="0" w:space="0" w:color="auto"/>
        <w:bottom w:val="none" w:sz="0" w:space="0" w:color="auto"/>
        <w:right w:val="none" w:sz="0" w:space="0" w:color="auto"/>
      </w:divBdr>
    </w:div>
    <w:div w:id="70930083">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43358391">
      <w:bodyDiv w:val="1"/>
      <w:marLeft w:val="0"/>
      <w:marRight w:val="0"/>
      <w:marTop w:val="0"/>
      <w:marBottom w:val="0"/>
      <w:divBdr>
        <w:top w:val="none" w:sz="0" w:space="0" w:color="auto"/>
        <w:left w:val="none" w:sz="0" w:space="0" w:color="auto"/>
        <w:bottom w:val="none" w:sz="0" w:space="0" w:color="auto"/>
        <w:right w:val="none" w:sz="0" w:space="0" w:color="auto"/>
      </w:divBdr>
    </w:div>
    <w:div w:id="148862949">
      <w:bodyDiv w:val="1"/>
      <w:marLeft w:val="0"/>
      <w:marRight w:val="0"/>
      <w:marTop w:val="0"/>
      <w:marBottom w:val="0"/>
      <w:divBdr>
        <w:top w:val="none" w:sz="0" w:space="0" w:color="auto"/>
        <w:left w:val="none" w:sz="0" w:space="0" w:color="auto"/>
        <w:bottom w:val="none" w:sz="0" w:space="0" w:color="auto"/>
        <w:right w:val="none" w:sz="0" w:space="0" w:color="auto"/>
      </w:divBdr>
    </w:div>
    <w:div w:id="172962233">
      <w:bodyDiv w:val="1"/>
      <w:marLeft w:val="0"/>
      <w:marRight w:val="0"/>
      <w:marTop w:val="0"/>
      <w:marBottom w:val="0"/>
      <w:divBdr>
        <w:top w:val="none" w:sz="0" w:space="0" w:color="auto"/>
        <w:left w:val="none" w:sz="0" w:space="0" w:color="auto"/>
        <w:bottom w:val="none" w:sz="0" w:space="0" w:color="auto"/>
        <w:right w:val="none" w:sz="0" w:space="0" w:color="auto"/>
      </w:divBdr>
    </w:div>
    <w:div w:id="177741676">
      <w:bodyDiv w:val="1"/>
      <w:marLeft w:val="0"/>
      <w:marRight w:val="0"/>
      <w:marTop w:val="0"/>
      <w:marBottom w:val="0"/>
      <w:divBdr>
        <w:top w:val="none" w:sz="0" w:space="0" w:color="auto"/>
        <w:left w:val="none" w:sz="0" w:space="0" w:color="auto"/>
        <w:bottom w:val="none" w:sz="0" w:space="0" w:color="auto"/>
        <w:right w:val="none" w:sz="0" w:space="0" w:color="auto"/>
      </w:divBdr>
    </w:div>
    <w:div w:id="210507269">
      <w:bodyDiv w:val="1"/>
      <w:marLeft w:val="0"/>
      <w:marRight w:val="0"/>
      <w:marTop w:val="0"/>
      <w:marBottom w:val="0"/>
      <w:divBdr>
        <w:top w:val="none" w:sz="0" w:space="0" w:color="auto"/>
        <w:left w:val="none" w:sz="0" w:space="0" w:color="auto"/>
        <w:bottom w:val="none" w:sz="0" w:space="0" w:color="auto"/>
        <w:right w:val="none" w:sz="0" w:space="0" w:color="auto"/>
      </w:divBdr>
    </w:div>
    <w:div w:id="237325829">
      <w:bodyDiv w:val="1"/>
      <w:marLeft w:val="0"/>
      <w:marRight w:val="0"/>
      <w:marTop w:val="0"/>
      <w:marBottom w:val="0"/>
      <w:divBdr>
        <w:top w:val="none" w:sz="0" w:space="0" w:color="auto"/>
        <w:left w:val="none" w:sz="0" w:space="0" w:color="auto"/>
        <w:bottom w:val="none" w:sz="0" w:space="0" w:color="auto"/>
        <w:right w:val="none" w:sz="0" w:space="0" w:color="auto"/>
      </w:divBdr>
    </w:div>
    <w:div w:id="249774671">
      <w:bodyDiv w:val="1"/>
      <w:marLeft w:val="0"/>
      <w:marRight w:val="0"/>
      <w:marTop w:val="0"/>
      <w:marBottom w:val="0"/>
      <w:divBdr>
        <w:top w:val="none" w:sz="0" w:space="0" w:color="auto"/>
        <w:left w:val="none" w:sz="0" w:space="0" w:color="auto"/>
        <w:bottom w:val="none" w:sz="0" w:space="0" w:color="auto"/>
        <w:right w:val="none" w:sz="0" w:space="0" w:color="auto"/>
      </w:divBdr>
      <w:divsChild>
        <w:div w:id="477764963">
          <w:marLeft w:val="360"/>
          <w:marRight w:val="0"/>
          <w:marTop w:val="200"/>
          <w:marBottom w:val="0"/>
          <w:divBdr>
            <w:top w:val="none" w:sz="0" w:space="0" w:color="auto"/>
            <w:left w:val="none" w:sz="0" w:space="0" w:color="auto"/>
            <w:bottom w:val="none" w:sz="0" w:space="0" w:color="auto"/>
            <w:right w:val="none" w:sz="0" w:space="0" w:color="auto"/>
          </w:divBdr>
        </w:div>
        <w:div w:id="459960419">
          <w:marLeft w:val="360"/>
          <w:marRight w:val="0"/>
          <w:marTop w:val="200"/>
          <w:marBottom w:val="0"/>
          <w:divBdr>
            <w:top w:val="none" w:sz="0" w:space="0" w:color="auto"/>
            <w:left w:val="none" w:sz="0" w:space="0" w:color="auto"/>
            <w:bottom w:val="none" w:sz="0" w:space="0" w:color="auto"/>
            <w:right w:val="none" w:sz="0" w:space="0" w:color="auto"/>
          </w:divBdr>
        </w:div>
        <w:div w:id="504443852">
          <w:marLeft w:val="360"/>
          <w:marRight w:val="0"/>
          <w:marTop w:val="200"/>
          <w:marBottom w:val="0"/>
          <w:divBdr>
            <w:top w:val="none" w:sz="0" w:space="0" w:color="auto"/>
            <w:left w:val="none" w:sz="0" w:space="0" w:color="auto"/>
            <w:bottom w:val="none" w:sz="0" w:space="0" w:color="auto"/>
            <w:right w:val="none" w:sz="0" w:space="0" w:color="auto"/>
          </w:divBdr>
        </w:div>
        <w:div w:id="1302350708">
          <w:marLeft w:val="360"/>
          <w:marRight w:val="0"/>
          <w:marTop w:val="200"/>
          <w:marBottom w:val="0"/>
          <w:divBdr>
            <w:top w:val="none" w:sz="0" w:space="0" w:color="auto"/>
            <w:left w:val="none" w:sz="0" w:space="0" w:color="auto"/>
            <w:bottom w:val="none" w:sz="0" w:space="0" w:color="auto"/>
            <w:right w:val="none" w:sz="0" w:space="0" w:color="auto"/>
          </w:divBdr>
        </w:div>
        <w:div w:id="564486715">
          <w:marLeft w:val="360"/>
          <w:marRight w:val="0"/>
          <w:marTop w:val="200"/>
          <w:marBottom w:val="0"/>
          <w:divBdr>
            <w:top w:val="none" w:sz="0" w:space="0" w:color="auto"/>
            <w:left w:val="none" w:sz="0" w:space="0" w:color="auto"/>
            <w:bottom w:val="none" w:sz="0" w:space="0" w:color="auto"/>
            <w:right w:val="none" w:sz="0" w:space="0" w:color="auto"/>
          </w:divBdr>
        </w:div>
        <w:div w:id="1793791054">
          <w:marLeft w:val="360"/>
          <w:marRight w:val="0"/>
          <w:marTop w:val="200"/>
          <w:marBottom w:val="0"/>
          <w:divBdr>
            <w:top w:val="none" w:sz="0" w:space="0" w:color="auto"/>
            <w:left w:val="none" w:sz="0" w:space="0" w:color="auto"/>
            <w:bottom w:val="none" w:sz="0" w:space="0" w:color="auto"/>
            <w:right w:val="none" w:sz="0" w:space="0" w:color="auto"/>
          </w:divBdr>
        </w:div>
      </w:divsChild>
    </w:div>
    <w:div w:id="259532217">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47876728">
      <w:bodyDiv w:val="1"/>
      <w:marLeft w:val="0"/>
      <w:marRight w:val="0"/>
      <w:marTop w:val="0"/>
      <w:marBottom w:val="0"/>
      <w:divBdr>
        <w:top w:val="none" w:sz="0" w:space="0" w:color="auto"/>
        <w:left w:val="none" w:sz="0" w:space="0" w:color="auto"/>
        <w:bottom w:val="none" w:sz="0" w:space="0" w:color="auto"/>
        <w:right w:val="none" w:sz="0" w:space="0" w:color="auto"/>
      </w:divBdr>
    </w:div>
    <w:div w:id="359205755">
      <w:bodyDiv w:val="1"/>
      <w:marLeft w:val="0"/>
      <w:marRight w:val="0"/>
      <w:marTop w:val="0"/>
      <w:marBottom w:val="0"/>
      <w:divBdr>
        <w:top w:val="none" w:sz="0" w:space="0" w:color="auto"/>
        <w:left w:val="none" w:sz="0" w:space="0" w:color="auto"/>
        <w:bottom w:val="none" w:sz="0" w:space="0" w:color="auto"/>
        <w:right w:val="none" w:sz="0" w:space="0" w:color="auto"/>
      </w:divBdr>
    </w:div>
    <w:div w:id="371080126">
      <w:bodyDiv w:val="1"/>
      <w:marLeft w:val="0"/>
      <w:marRight w:val="0"/>
      <w:marTop w:val="0"/>
      <w:marBottom w:val="0"/>
      <w:divBdr>
        <w:top w:val="none" w:sz="0" w:space="0" w:color="auto"/>
        <w:left w:val="none" w:sz="0" w:space="0" w:color="auto"/>
        <w:bottom w:val="none" w:sz="0" w:space="0" w:color="auto"/>
        <w:right w:val="none" w:sz="0" w:space="0" w:color="auto"/>
      </w:divBdr>
    </w:div>
    <w:div w:id="375013559">
      <w:bodyDiv w:val="1"/>
      <w:marLeft w:val="0"/>
      <w:marRight w:val="0"/>
      <w:marTop w:val="0"/>
      <w:marBottom w:val="0"/>
      <w:divBdr>
        <w:top w:val="none" w:sz="0" w:space="0" w:color="auto"/>
        <w:left w:val="none" w:sz="0" w:space="0" w:color="auto"/>
        <w:bottom w:val="none" w:sz="0" w:space="0" w:color="auto"/>
        <w:right w:val="none" w:sz="0" w:space="0" w:color="auto"/>
      </w:divBdr>
    </w:div>
    <w:div w:id="501438016">
      <w:bodyDiv w:val="1"/>
      <w:marLeft w:val="0"/>
      <w:marRight w:val="0"/>
      <w:marTop w:val="0"/>
      <w:marBottom w:val="0"/>
      <w:divBdr>
        <w:top w:val="none" w:sz="0" w:space="0" w:color="auto"/>
        <w:left w:val="none" w:sz="0" w:space="0" w:color="auto"/>
        <w:bottom w:val="none" w:sz="0" w:space="0" w:color="auto"/>
        <w:right w:val="none" w:sz="0" w:space="0" w:color="auto"/>
      </w:divBdr>
    </w:div>
    <w:div w:id="526796867">
      <w:bodyDiv w:val="1"/>
      <w:marLeft w:val="0"/>
      <w:marRight w:val="0"/>
      <w:marTop w:val="0"/>
      <w:marBottom w:val="0"/>
      <w:divBdr>
        <w:top w:val="none" w:sz="0" w:space="0" w:color="auto"/>
        <w:left w:val="none" w:sz="0" w:space="0" w:color="auto"/>
        <w:bottom w:val="none" w:sz="0" w:space="0" w:color="auto"/>
        <w:right w:val="none" w:sz="0" w:space="0" w:color="auto"/>
      </w:divBdr>
    </w:div>
    <w:div w:id="541480025">
      <w:bodyDiv w:val="1"/>
      <w:marLeft w:val="0"/>
      <w:marRight w:val="0"/>
      <w:marTop w:val="0"/>
      <w:marBottom w:val="0"/>
      <w:divBdr>
        <w:top w:val="none" w:sz="0" w:space="0" w:color="auto"/>
        <w:left w:val="none" w:sz="0" w:space="0" w:color="auto"/>
        <w:bottom w:val="none" w:sz="0" w:space="0" w:color="auto"/>
        <w:right w:val="none" w:sz="0" w:space="0" w:color="auto"/>
      </w:divBdr>
    </w:div>
    <w:div w:id="710423080">
      <w:bodyDiv w:val="1"/>
      <w:marLeft w:val="0"/>
      <w:marRight w:val="0"/>
      <w:marTop w:val="0"/>
      <w:marBottom w:val="0"/>
      <w:divBdr>
        <w:top w:val="none" w:sz="0" w:space="0" w:color="auto"/>
        <w:left w:val="none" w:sz="0" w:space="0" w:color="auto"/>
        <w:bottom w:val="none" w:sz="0" w:space="0" w:color="auto"/>
        <w:right w:val="none" w:sz="0" w:space="0" w:color="auto"/>
      </w:divBdr>
    </w:div>
    <w:div w:id="766802879">
      <w:bodyDiv w:val="1"/>
      <w:marLeft w:val="0"/>
      <w:marRight w:val="0"/>
      <w:marTop w:val="0"/>
      <w:marBottom w:val="0"/>
      <w:divBdr>
        <w:top w:val="none" w:sz="0" w:space="0" w:color="auto"/>
        <w:left w:val="none" w:sz="0" w:space="0" w:color="auto"/>
        <w:bottom w:val="none" w:sz="0" w:space="0" w:color="auto"/>
        <w:right w:val="none" w:sz="0" w:space="0" w:color="auto"/>
      </w:divBdr>
    </w:div>
    <w:div w:id="906647737">
      <w:bodyDiv w:val="1"/>
      <w:marLeft w:val="0"/>
      <w:marRight w:val="0"/>
      <w:marTop w:val="0"/>
      <w:marBottom w:val="0"/>
      <w:divBdr>
        <w:top w:val="none" w:sz="0" w:space="0" w:color="auto"/>
        <w:left w:val="none" w:sz="0" w:space="0" w:color="auto"/>
        <w:bottom w:val="none" w:sz="0" w:space="0" w:color="auto"/>
        <w:right w:val="none" w:sz="0" w:space="0" w:color="auto"/>
      </w:divBdr>
    </w:div>
    <w:div w:id="918636339">
      <w:bodyDiv w:val="1"/>
      <w:marLeft w:val="0"/>
      <w:marRight w:val="0"/>
      <w:marTop w:val="0"/>
      <w:marBottom w:val="0"/>
      <w:divBdr>
        <w:top w:val="none" w:sz="0" w:space="0" w:color="auto"/>
        <w:left w:val="none" w:sz="0" w:space="0" w:color="auto"/>
        <w:bottom w:val="none" w:sz="0" w:space="0" w:color="auto"/>
        <w:right w:val="none" w:sz="0" w:space="0" w:color="auto"/>
      </w:divBdr>
    </w:div>
    <w:div w:id="974992846">
      <w:bodyDiv w:val="1"/>
      <w:marLeft w:val="0"/>
      <w:marRight w:val="0"/>
      <w:marTop w:val="0"/>
      <w:marBottom w:val="0"/>
      <w:divBdr>
        <w:top w:val="none" w:sz="0" w:space="0" w:color="auto"/>
        <w:left w:val="none" w:sz="0" w:space="0" w:color="auto"/>
        <w:bottom w:val="none" w:sz="0" w:space="0" w:color="auto"/>
        <w:right w:val="none" w:sz="0" w:space="0" w:color="auto"/>
      </w:divBdr>
    </w:div>
    <w:div w:id="1033192903">
      <w:bodyDiv w:val="1"/>
      <w:marLeft w:val="0"/>
      <w:marRight w:val="0"/>
      <w:marTop w:val="0"/>
      <w:marBottom w:val="0"/>
      <w:divBdr>
        <w:top w:val="none" w:sz="0" w:space="0" w:color="auto"/>
        <w:left w:val="none" w:sz="0" w:space="0" w:color="auto"/>
        <w:bottom w:val="none" w:sz="0" w:space="0" w:color="auto"/>
        <w:right w:val="none" w:sz="0" w:space="0" w:color="auto"/>
      </w:divBdr>
    </w:div>
    <w:div w:id="1047294083">
      <w:bodyDiv w:val="1"/>
      <w:marLeft w:val="0"/>
      <w:marRight w:val="0"/>
      <w:marTop w:val="0"/>
      <w:marBottom w:val="0"/>
      <w:divBdr>
        <w:top w:val="none" w:sz="0" w:space="0" w:color="auto"/>
        <w:left w:val="none" w:sz="0" w:space="0" w:color="auto"/>
        <w:bottom w:val="none" w:sz="0" w:space="0" w:color="auto"/>
        <w:right w:val="none" w:sz="0" w:space="0" w:color="auto"/>
      </w:divBdr>
    </w:div>
    <w:div w:id="1076853279">
      <w:bodyDiv w:val="1"/>
      <w:marLeft w:val="0"/>
      <w:marRight w:val="0"/>
      <w:marTop w:val="0"/>
      <w:marBottom w:val="0"/>
      <w:divBdr>
        <w:top w:val="none" w:sz="0" w:space="0" w:color="auto"/>
        <w:left w:val="none" w:sz="0" w:space="0" w:color="auto"/>
        <w:bottom w:val="none" w:sz="0" w:space="0" w:color="auto"/>
        <w:right w:val="none" w:sz="0" w:space="0" w:color="auto"/>
      </w:divBdr>
    </w:div>
    <w:div w:id="1085691061">
      <w:bodyDiv w:val="1"/>
      <w:marLeft w:val="0"/>
      <w:marRight w:val="0"/>
      <w:marTop w:val="0"/>
      <w:marBottom w:val="0"/>
      <w:divBdr>
        <w:top w:val="none" w:sz="0" w:space="0" w:color="auto"/>
        <w:left w:val="none" w:sz="0" w:space="0" w:color="auto"/>
        <w:bottom w:val="none" w:sz="0" w:space="0" w:color="auto"/>
        <w:right w:val="none" w:sz="0" w:space="0" w:color="auto"/>
      </w:divBdr>
      <w:divsChild>
        <w:div w:id="2008709031">
          <w:marLeft w:val="360"/>
          <w:marRight w:val="0"/>
          <w:marTop w:val="200"/>
          <w:marBottom w:val="0"/>
          <w:divBdr>
            <w:top w:val="none" w:sz="0" w:space="0" w:color="auto"/>
            <w:left w:val="none" w:sz="0" w:space="0" w:color="auto"/>
            <w:bottom w:val="none" w:sz="0" w:space="0" w:color="auto"/>
            <w:right w:val="none" w:sz="0" w:space="0" w:color="auto"/>
          </w:divBdr>
        </w:div>
        <w:div w:id="612329178">
          <w:marLeft w:val="360"/>
          <w:marRight w:val="0"/>
          <w:marTop w:val="200"/>
          <w:marBottom w:val="0"/>
          <w:divBdr>
            <w:top w:val="none" w:sz="0" w:space="0" w:color="auto"/>
            <w:left w:val="none" w:sz="0" w:space="0" w:color="auto"/>
            <w:bottom w:val="none" w:sz="0" w:space="0" w:color="auto"/>
            <w:right w:val="none" w:sz="0" w:space="0" w:color="auto"/>
          </w:divBdr>
        </w:div>
        <w:div w:id="225264583">
          <w:marLeft w:val="360"/>
          <w:marRight w:val="0"/>
          <w:marTop w:val="200"/>
          <w:marBottom w:val="0"/>
          <w:divBdr>
            <w:top w:val="none" w:sz="0" w:space="0" w:color="auto"/>
            <w:left w:val="none" w:sz="0" w:space="0" w:color="auto"/>
            <w:bottom w:val="none" w:sz="0" w:space="0" w:color="auto"/>
            <w:right w:val="none" w:sz="0" w:space="0" w:color="auto"/>
          </w:divBdr>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9395">
      <w:bodyDiv w:val="1"/>
      <w:marLeft w:val="0"/>
      <w:marRight w:val="0"/>
      <w:marTop w:val="0"/>
      <w:marBottom w:val="0"/>
      <w:divBdr>
        <w:top w:val="none" w:sz="0" w:space="0" w:color="auto"/>
        <w:left w:val="none" w:sz="0" w:space="0" w:color="auto"/>
        <w:bottom w:val="none" w:sz="0" w:space="0" w:color="auto"/>
        <w:right w:val="none" w:sz="0" w:space="0" w:color="auto"/>
      </w:divBdr>
    </w:div>
    <w:div w:id="1324745967">
      <w:bodyDiv w:val="1"/>
      <w:marLeft w:val="0"/>
      <w:marRight w:val="0"/>
      <w:marTop w:val="0"/>
      <w:marBottom w:val="0"/>
      <w:divBdr>
        <w:top w:val="none" w:sz="0" w:space="0" w:color="auto"/>
        <w:left w:val="none" w:sz="0" w:space="0" w:color="auto"/>
        <w:bottom w:val="none" w:sz="0" w:space="0" w:color="auto"/>
        <w:right w:val="none" w:sz="0" w:space="0" w:color="auto"/>
      </w:divBdr>
    </w:div>
    <w:div w:id="1364742990">
      <w:bodyDiv w:val="1"/>
      <w:marLeft w:val="0"/>
      <w:marRight w:val="0"/>
      <w:marTop w:val="0"/>
      <w:marBottom w:val="0"/>
      <w:divBdr>
        <w:top w:val="none" w:sz="0" w:space="0" w:color="auto"/>
        <w:left w:val="none" w:sz="0" w:space="0" w:color="auto"/>
        <w:bottom w:val="none" w:sz="0" w:space="0" w:color="auto"/>
        <w:right w:val="none" w:sz="0" w:space="0" w:color="auto"/>
      </w:divBdr>
    </w:div>
    <w:div w:id="1366246960">
      <w:bodyDiv w:val="1"/>
      <w:marLeft w:val="0"/>
      <w:marRight w:val="0"/>
      <w:marTop w:val="0"/>
      <w:marBottom w:val="0"/>
      <w:divBdr>
        <w:top w:val="none" w:sz="0" w:space="0" w:color="auto"/>
        <w:left w:val="none" w:sz="0" w:space="0" w:color="auto"/>
        <w:bottom w:val="none" w:sz="0" w:space="0" w:color="auto"/>
        <w:right w:val="none" w:sz="0" w:space="0" w:color="auto"/>
      </w:divBdr>
    </w:div>
    <w:div w:id="1403797631">
      <w:bodyDiv w:val="1"/>
      <w:marLeft w:val="0"/>
      <w:marRight w:val="0"/>
      <w:marTop w:val="0"/>
      <w:marBottom w:val="0"/>
      <w:divBdr>
        <w:top w:val="none" w:sz="0" w:space="0" w:color="auto"/>
        <w:left w:val="none" w:sz="0" w:space="0" w:color="auto"/>
        <w:bottom w:val="none" w:sz="0" w:space="0" w:color="auto"/>
        <w:right w:val="none" w:sz="0" w:space="0" w:color="auto"/>
      </w:divBdr>
    </w:div>
    <w:div w:id="1466965839">
      <w:bodyDiv w:val="1"/>
      <w:marLeft w:val="0"/>
      <w:marRight w:val="0"/>
      <w:marTop w:val="0"/>
      <w:marBottom w:val="0"/>
      <w:divBdr>
        <w:top w:val="none" w:sz="0" w:space="0" w:color="auto"/>
        <w:left w:val="none" w:sz="0" w:space="0" w:color="auto"/>
        <w:bottom w:val="none" w:sz="0" w:space="0" w:color="auto"/>
        <w:right w:val="none" w:sz="0" w:space="0" w:color="auto"/>
      </w:divBdr>
    </w:div>
    <w:div w:id="1472094101">
      <w:bodyDiv w:val="1"/>
      <w:marLeft w:val="0"/>
      <w:marRight w:val="0"/>
      <w:marTop w:val="0"/>
      <w:marBottom w:val="0"/>
      <w:divBdr>
        <w:top w:val="none" w:sz="0" w:space="0" w:color="auto"/>
        <w:left w:val="none" w:sz="0" w:space="0" w:color="auto"/>
        <w:bottom w:val="none" w:sz="0" w:space="0" w:color="auto"/>
        <w:right w:val="none" w:sz="0" w:space="0" w:color="auto"/>
      </w:divBdr>
    </w:div>
    <w:div w:id="1481724384">
      <w:bodyDiv w:val="1"/>
      <w:marLeft w:val="0"/>
      <w:marRight w:val="0"/>
      <w:marTop w:val="0"/>
      <w:marBottom w:val="0"/>
      <w:divBdr>
        <w:top w:val="none" w:sz="0" w:space="0" w:color="auto"/>
        <w:left w:val="none" w:sz="0" w:space="0" w:color="auto"/>
        <w:bottom w:val="none" w:sz="0" w:space="0" w:color="auto"/>
        <w:right w:val="none" w:sz="0" w:space="0" w:color="auto"/>
      </w:divBdr>
    </w:div>
    <w:div w:id="1489437183">
      <w:bodyDiv w:val="1"/>
      <w:marLeft w:val="0"/>
      <w:marRight w:val="0"/>
      <w:marTop w:val="0"/>
      <w:marBottom w:val="0"/>
      <w:divBdr>
        <w:top w:val="none" w:sz="0" w:space="0" w:color="auto"/>
        <w:left w:val="none" w:sz="0" w:space="0" w:color="auto"/>
        <w:bottom w:val="none" w:sz="0" w:space="0" w:color="auto"/>
        <w:right w:val="none" w:sz="0" w:space="0" w:color="auto"/>
      </w:divBdr>
    </w:div>
    <w:div w:id="1550070904">
      <w:bodyDiv w:val="1"/>
      <w:marLeft w:val="0"/>
      <w:marRight w:val="0"/>
      <w:marTop w:val="0"/>
      <w:marBottom w:val="0"/>
      <w:divBdr>
        <w:top w:val="none" w:sz="0" w:space="0" w:color="auto"/>
        <w:left w:val="none" w:sz="0" w:space="0" w:color="auto"/>
        <w:bottom w:val="none" w:sz="0" w:space="0" w:color="auto"/>
        <w:right w:val="none" w:sz="0" w:space="0" w:color="auto"/>
      </w:divBdr>
    </w:div>
    <w:div w:id="1714499465">
      <w:bodyDiv w:val="1"/>
      <w:marLeft w:val="0"/>
      <w:marRight w:val="0"/>
      <w:marTop w:val="0"/>
      <w:marBottom w:val="0"/>
      <w:divBdr>
        <w:top w:val="none" w:sz="0" w:space="0" w:color="auto"/>
        <w:left w:val="none" w:sz="0" w:space="0" w:color="auto"/>
        <w:bottom w:val="none" w:sz="0" w:space="0" w:color="auto"/>
        <w:right w:val="none" w:sz="0" w:space="0" w:color="auto"/>
      </w:divBdr>
    </w:div>
    <w:div w:id="1747846452">
      <w:bodyDiv w:val="1"/>
      <w:marLeft w:val="0"/>
      <w:marRight w:val="0"/>
      <w:marTop w:val="0"/>
      <w:marBottom w:val="0"/>
      <w:divBdr>
        <w:top w:val="none" w:sz="0" w:space="0" w:color="auto"/>
        <w:left w:val="none" w:sz="0" w:space="0" w:color="auto"/>
        <w:bottom w:val="none" w:sz="0" w:space="0" w:color="auto"/>
        <w:right w:val="none" w:sz="0" w:space="0" w:color="auto"/>
      </w:divBdr>
      <w:divsChild>
        <w:div w:id="353311221">
          <w:marLeft w:val="360"/>
          <w:marRight w:val="0"/>
          <w:marTop w:val="200"/>
          <w:marBottom w:val="0"/>
          <w:divBdr>
            <w:top w:val="none" w:sz="0" w:space="0" w:color="auto"/>
            <w:left w:val="none" w:sz="0" w:space="0" w:color="auto"/>
            <w:bottom w:val="none" w:sz="0" w:space="0" w:color="auto"/>
            <w:right w:val="none" w:sz="0" w:space="0" w:color="auto"/>
          </w:divBdr>
        </w:div>
      </w:divsChild>
    </w:div>
    <w:div w:id="1773863651">
      <w:bodyDiv w:val="1"/>
      <w:marLeft w:val="0"/>
      <w:marRight w:val="0"/>
      <w:marTop w:val="0"/>
      <w:marBottom w:val="0"/>
      <w:divBdr>
        <w:top w:val="none" w:sz="0" w:space="0" w:color="auto"/>
        <w:left w:val="none" w:sz="0" w:space="0" w:color="auto"/>
        <w:bottom w:val="none" w:sz="0" w:space="0" w:color="auto"/>
        <w:right w:val="none" w:sz="0" w:space="0" w:color="auto"/>
      </w:divBdr>
    </w:div>
    <w:div w:id="1811510918">
      <w:bodyDiv w:val="1"/>
      <w:marLeft w:val="0"/>
      <w:marRight w:val="0"/>
      <w:marTop w:val="0"/>
      <w:marBottom w:val="0"/>
      <w:divBdr>
        <w:top w:val="none" w:sz="0" w:space="0" w:color="auto"/>
        <w:left w:val="none" w:sz="0" w:space="0" w:color="auto"/>
        <w:bottom w:val="none" w:sz="0" w:space="0" w:color="auto"/>
        <w:right w:val="none" w:sz="0" w:space="0" w:color="auto"/>
      </w:divBdr>
    </w:div>
    <w:div w:id="1843666868">
      <w:bodyDiv w:val="1"/>
      <w:marLeft w:val="0"/>
      <w:marRight w:val="0"/>
      <w:marTop w:val="0"/>
      <w:marBottom w:val="0"/>
      <w:divBdr>
        <w:top w:val="none" w:sz="0" w:space="0" w:color="auto"/>
        <w:left w:val="none" w:sz="0" w:space="0" w:color="auto"/>
        <w:bottom w:val="none" w:sz="0" w:space="0" w:color="auto"/>
        <w:right w:val="none" w:sz="0" w:space="0" w:color="auto"/>
      </w:divBdr>
    </w:div>
    <w:div w:id="1875997121">
      <w:bodyDiv w:val="1"/>
      <w:marLeft w:val="0"/>
      <w:marRight w:val="0"/>
      <w:marTop w:val="0"/>
      <w:marBottom w:val="0"/>
      <w:divBdr>
        <w:top w:val="none" w:sz="0" w:space="0" w:color="auto"/>
        <w:left w:val="none" w:sz="0" w:space="0" w:color="auto"/>
        <w:bottom w:val="none" w:sz="0" w:space="0" w:color="auto"/>
        <w:right w:val="none" w:sz="0" w:space="0" w:color="auto"/>
      </w:divBdr>
    </w:div>
    <w:div w:id="1905484847">
      <w:bodyDiv w:val="1"/>
      <w:marLeft w:val="0"/>
      <w:marRight w:val="0"/>
      <w:marTop w:val="0"/>
      <w:marBottom w:val="0"/>
      <w:divBdr>
        <w:top w:val="none" w:sz="0" w:space="0" w:color="auto"/>
        <w:left w:val="none" w:sz="0" w:space="0" w:color="auto"/>
        <w:bottom w:val="none" w:sz="0" w:space="0" w:color="auto"/>
        <w:right w:val="none" w:sz="0" w:space="0" w:color="auto"/>
      </w:divBdr>
      <w:divsChild>
        <w:div w:id="1651668829">
          <w:marLeft w:val="360"/>
          <w:marRight w:val="0"/>
          <w:marTop w:val="200"/>
          <w:marBottom w:val="0"/>
          <w:divBdr>
            <w:top w:val="none" w:sz="0" w:space="0" w:color="auto"/>
            <w:left w:val="none" w:sz="0" w:space="0" w:color="auto"/>
            <w:bottom w:val="none" w:sz="0" w:space="0" w:color="auto"/>
            <w:right w:val="none" w:sz="0" w:space="0" w:color="auto"/>
          </w:divBdr>
        </w:div>
        <w:div w:id="2012834764">
          <w:marLeft w:val="360"/>
          <w:marRight w:val="0"/>
          <w:marTop w:val="200"/>
          <w:marBottom w:val="0"/>
          <w:divBdr>
            <w:top w:val="none" w:sz="0" w:space="0" w:color="auto"/>
            <w:left w:val="none" w:sz="0" w:space="0" w:color="auto"/>
            <w:bottom w:val="none" w:sz="0" w:space="0" w:color="auto"/>
            <w:right w:val="none" w:sz="0" w:space="0" w:color="auto"/>
          </w:divBdr>
        </w:div>
        <w:div w:id="1843081242">
          <w:marLeft w:val="1080"/>
          <w:marRight w:val="0"/>
          <w:marTop w:val="100"/>
          <w:marBottom w:val="0"/>
          <w:divBdr>
            <w:top w:val="none" w:sz="0" w:space="0" w:color="auto"/>
            <w:left w:val="none" w:sz="0" w:space="0" w:color="auto"/>
            <w:bottom w:val="none" w:sz="0" w:space="0" w:color="auto"/>
            <w:right w:val="none" w:sz="0" w:space="0" w:color="auto"/>
          </w:divBdr>
        </w:div>
        <w:div w:id="555622980">
          <w:marLeft w:val="1080"/>
          <w:marRight w:val="0"/>
          <w:marTop w:val="100"/>
          <w:marBottom w:val="0"/>
          <w:divBdr>
            <w:top w:val="none" w:sz="0" w:space="0" w:color="auto"/>
            <w:left w:val="none" w:sz="0" w:space="0" w:color="auto"/>
            <w:bottom w:val="none" w:sz="0" w:space="0" w:color="auto"/>
            <w:right w:val="none" w:sz="0" w:space="0" w:color="auto"/>
          </w:divBdr>
        </w:div>
        <w:div w:id="1695232273">
          <w:marLeft w:val="1080"/>
          <w:marRight w:val="0"/>
          <w:marTop w:val="100"/>
          <w:marBottom w:val="0"/>
          <w:divBdr>
            <w:top w:val="none" w:sz="0" w:space="0" w:color="auto"/>
            <w:left w:val="none" w:sz="0" w:space="0" w:color="auto"/>
            <w:bottom w:val="none" w:sz="0" w:space="0" w:color="auto"/>
            <w:right w:val="none" w:sz="0" w:space="0" w:color="auto"/>
          </w:divBdr>
        </w:div>
      </w:divsChild>
    </w:div>
    <w:div w:id="1923951329">
      <w:bodyDiv w:val="1"/>
      <w:marLeft w:val="0"/>
      <w:marRight w:val="0"/>
      <w:marTop w:val="0"/>
      <w:marBottom w:val="0"/>
      <w:divBdr>
        <w:top w:val="none" w:sz="0" w:space="0" w:color="auto"/>
        <w:left w:val="none" w:sz="0" w:space="0" w:color="auto"/>
        <w:bottom w:val="none" w:sz="0" w:space="0" w:color="auto"/>
        <w:right w:val="none" w:sz="0" w:space="0" w:color="auto"/>
      </w:divBdr>
    </w:div>
    <w:div w:id="1934314960">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87464505">
      <w:bodyDiv w:val="1"/>
      <w:marLeft w:val="0"/>
      <w:marRight w:val="0"/>
      <w:marTop w:val="0"/>
      <w:marBottom w:val="0"/>
      <w:divBdr>
        <w:top w:val="none" w:sz="0" w:space="0" w:color="auto"/>
        <w:left w:val="none" w:sz="0" w:space="0" w:color="auto"/>
        <w:bottom w:val="none" w:sz="0" w:space="0" w:color="auto"/>
        <w:right w:val="none" w:sz="0" w:space="0" w:color="auto"/>
      </w:divBdr>
    </w:div>
    <w:div w:id="1988393452">
      <w:bodyDiv w:val="1"/>
      <w:marLeft w:val="0"/>
      <w:marRight w:val="0"/>
      <w:marTop w:val="0"/>
      <w:marBottom w:val="0"/>
      <w:divBdr>
        <w:top w:val="none" w:sz="0" w:space="0" w:color="auto"/>
        <w:left w:val="none" w:sz="0" w:space="0" w:color="auto"/>
        <w:bottom w:val="none" w:sz="0" w:space="0" w:color="auto"/>
        <w:right w:val="none" w:sz="0" w:space="0" w:color="auto"/>
      </w:divBdr>
    </w:div>
    <w:div w:id="205187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12F45-8C94-4243-A003-D1AFD4862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9946</Words>
  <Characters>56612</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2022-02-28T05:37:00Z</dcterms:created>
  <dcterms:modified xsi:type="dcterms:W3CDTF">2022-03-16T04:52:00Z</dcterms:modified>
</cp:coreProperties>
</file>