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E4E" w:rsidRPr="00E00E4E" w:rsidRDefault="00E00E4E" w:rsidP="00E00E4E">
      <w:pPr>
        <w:keepNext/>
        <w:keepLines/>
        <w:spacing w:before="240" w:after="0" w:line="259" w:lineRule="auto"/>
        <w:jc w:val="left"/>
        <w:outlineLvl w:val="0"/>
        <w:rPr>
          <w:rFonts w:eastAsiaTheme="majorEastAsia" w:cstheme="majorBidi"/>
          <w:b/>
          <w:sz w:val="36"/>
          <w:szCs w:val="36"/>
        </w:rPr>
      </w:pPr>
      <w:bookmarkStart w:id="0" w:name="_Toc82597048"/>
      <w:bookmarkStart w:id="1" w:name="_Toc413139271"/>
      <w:r>
        <w:rPr>
          <w:rFonts w:eastAsiaTheme="majorEastAsia" w:cstheme="majorBidi"/>
          <w:b/>
          <w:sz w:val="36"/>
          <w:szCs w:val="36"/>
        </w:rPr>
        <w:t>7</w:t>
      </w:r>
      <w:r w:rsidRPr="00E00E4E">
        <w:rPr>
          <w:rFonts w:eastAsiaTheme="majorEastAsia" w:cstheme="majorBidi"/>
          <w:b/>
          <w:sz w:val="36"/>
          <w:szCs w:val="36"/>
        </w:rPr>
        <w:t>.0</w:t>
      </w:r>
      <w:r>
        <w:rPr>
          <w:rFonts w:eastAsiaTheme="majorEastAsia" w:cstheme="majorBidi"/>
          <w:b/>
          <w:sz w:val="36"/>
          <w:szCs w:val="36"/>
        </w:rPr>
        <w:t>7</w:t>
      </w:r>
      <w:r w:rsidRPr="00E00E4E">
        <w:rPr>
          <w:rFonts w:eastAsiaTheme="majorEastAsia" w:cstheme="majorBidi"/>
          <w:b/>
          <w:sz w:val="36"/>
          <w:szCs w:val="36"/>
        </w:rPr>
        <w:tab/>
        <w:t>LAROTRECTINIB</w:t>
      </w:r>
    </w:p>
    <w:p w:rsidR="00E00E4E" w:rsidRPr="00E00E4E" w:rsidRDefault="00E00E4E" w:rsidP="00E00E4E">
      <w:pPr>
        <w:spacing w:before="0" w:after="0"/>
        <w:rPr>
          <w:b/>
          <w:sz w:val="36"/>
          <w:szCs w:val="36"/>
        </w:rPr>
      </w:pPr>
      <w:r w:rsidRPr="00E00E4E">
        <w:rPr>
          <w:b/>
          <w:sz w:val="36"/>
          <w:szCs w:val="36"/>
        </w:rPr>
        <w:tab/>
        <w:t>Capsule 25 mg, Capsule 100 mg</w:t>
      </w:r>
    </w:p>
    <w:p w:rsidR="00E00E4E" w:rsidRPr="00E00E4E" w:rsidRDefault="00E00E4E" w:rsidP="00E00E4E">
      <w:pPr>
        <w:spacing w:before="0" w:after="0"/>
        <w:ind w:firstLine="720"/>
        <w:rPr>
          <w:b/>
          <w:sz w:val="36"/>
          <w:szCs w:val="36"/>
        </w:rPr>
      </w:pPr>
      <w:r w:rsidRPr="00E00E4E">
        <w:rPr>
          <w:b/>
          <w:sz w:val="36"/>
          <w:szCs w:val="36"/>
        </w:rPr>
        <w:t>Oral solution 20 mg per mL, 100 mL</w:t>
      </w:r>
    </w:p>
    <w:p w:rsidR="00E00E4E" w:rsidRPr="00E00E4E" w:rsidRDefault="00E00E4E" w:rsidP="00E00E4E">
      <w:pPr>
        <w:spacing w:before="0" w:after="0"/>
        <w:ind w:firstLine="720"/>
        <w:rPr>
          <w:b/>
          <w:sz w:val="36"/>
          <w:szCs w:val="36"/>
        </w:rPr>
      </w:pPr>
      <w:r w:rsidRPr="00E00E4E">
        <w:rPr>
          <w:b/>
          <w:sz w:val="36"/>
          <w:szCs w:val="36"/>
        </w:rPr>
        <w:t>Vitrakvi®,</w:t>
      </w:r>
    </w:p>
    <w:p w:rsidR="00E00E4E" w:rsidRPr="00E00E4E" w:rsidRDefault="00E00E4E" w:rsidP="00E00E4E">
      <w:pPr>
        <w:spacing w:before="0" w:after="0"/>
        <w:rPr>
          <w:b/>
          <w:sz w:val="36"/>
          <w:szCs w:val="36"/>
        </w:rPr>
      </w:pPr>
      <w:r w:rsidRPr="00E00E4E">
        <w:rPr>
          <w:b/>
          <w:sz w:val="36"/>
          <w:szCs w:val="36"/>
        </w:rPr>
        <w:tab/>
        <w:t>Bayer Australia Ltd</w:t>
      </w:r>
    </w:p>
    <w:p w:rsidR="00EB71FB" w:rsidRPr="000D6FA1" w:rsidRDefault="00EB71FB" w:rsidP="000D6FA1">
      <w:pPr>
        <w:pStyle w:val="PBACESHeading1"/>
        <w:numPr>
          <w:ilvl w:val="0"/>
          <w:numId w:val="98"/>
        </w:numPr>
        <w:rPr>
          <w:rFonts w:asciiTheme="minorHAnsi" w:hAnsiTheme="minorHAnsi" w:cstheme="minorHAnsi"/>
          <w:sz w:val="32"/>
          <w:szCs w:val="40"/>
        </w:rPr>
      </w:pPr>
      <w:bookmarkStart w:id="2" w:name="_Toc51160048"/>
      <w:bookmarkStart w:id="3" w:name="_Toc82597069"/>
      <w:bookmarkEnd w:id="0"/>
      <w:bookmarkEnd w:id="1"/>
      <w:r w:rsidRPr="000D6FA1">
        <w:rPr>
          <w:rFonts w:asciiTheme="minorHAnsi" w:hAnsiTheme="minorHAnsi" w:cstheme="minorHAnsi"/>
          <w:sz w:val="32"/>
          <w:szCs w:val="40"/>
        </w:rPr>
        <w:t>Purpose of submission</w:t>
      </w:r>
      <w:bookmarkEnd w:id="2"/>
      <w:bookmarkEnd w:id="3"/>
    </w:p>
    <w:p w:rsidR="00EB71FB" w:rsidRPr="002E3199" w:rsidRDefault="00023C29" w:rsidP="00545F18">
      <w:pPr>
        <w:pStyle w:val="ListParagraph"/>
      </w:pPr>
      <w:r>
        <w:t xml:space="preserve">The </w:t>
      </w:r>
      <w:r w:rsidR="00545F18">
        <w:t xml:space="preserve">integrated codependent </w:t>
      </w:r>
      <w:r w:rsidR="00EB71FB" w:rsidRPr="006E6B93">
        <w:t xml:space="preserve">resubmission </w:t>
      </w:r>
      <w:r w:rsidR="00EB71FB" w:rsidRPr="002E3199">
        <w:t>request</w:t>
      </w:r>
      <w:r>
        <w:t>ed</w:t>
      </w:r>
      <w:r w:rsidR="00EB71FB" w:rsidRPr="002E3199">
        <w:t xml:space="preserve"> </w:t>
      </w:r>
      <w:r w:rsidR="00545F18">
        <w:t xml:space="preserve">1) </w:t>
      </w:r>
      <w:r w:rsidR="00545F18" w:rsidRPr="00545F18">
        <w:t xml:space="preserve">Medicare Benefits Schedule </w:t>
      </w:r>
      <w:r w:rsidR="00545F18">
        <w:t>(</w:t>
      </w:r>
      <w:r w:rsidR="00EB71FB" w:rsidRPr="002E3199">
        <w:t>MBS</w:t>
      </w:r>
      <w:r w:rsidR="00545F18">
        <w:t>)</w:t>
      </w:r>
      <w:r w:rsidR="00EB71FB" w:rsidRPr="002E3199">
        <w:t xml:space="preserve"> listing of neurotrophic tropomyosin receptor kinase (</w:t>
      </w:r>
      <w:r w:rsidR="00EB71FB" w:rsidRPr="002E3199">
        <w:rPr>
          <w:i/>
        </w:rPr>
        <w:t>NTRK)</w:t>
      </w:r>
      <w:r w:rsidR="00EB71FB" w:rsidRPr="002E3199">
        <w:t xml:space="preserve"> fusion testing using </w:t>
      </w:r>
      <w:r w:rsidR="00545F18" w:rsidRPr="00E71DC7">
        <w:t>immunohistochemistry</w:t>
      </w:r>
      <w:r w:rsidR="00545F18">
        <w:t xml:space="preserve"> (</w:t>
      </w:r>
      <w:r w:rsidR="00EB71FB">
        <w:t>IHC</w:t>
      </w:r>
      <w:r w:rsidR="00545F18">
        <w:t>)</w:t>
      </w:r>
      <w:r w:rsidR="00EB71FB">
        <w:t xml:space="preserve">, </w:t>
      </w:r>
      <w:r w:rsidR="00545F18" w:rsidRPr="00545F18">
        <w:t xml:space="preserve">fluorescence </w:t>
      </w:r>
      <w:r w:rsidR="00545F18" w:rsidRPr="00E1135C">
        <w:rPr>
          <w:i/>
          <w:iCs/>
        </w:rPr>
        <w:t>in situ</w:t>
      </w:r>
      <w:r w:rsidR="00545F18" w:rsidRPr="00545F18">
        <w:t xml:space="preserve"> hybridisation </w:t>
      </w:r>
      <w:r w:rsidR="00545F18">
        <w:t>(</w:t>
      </w:r>
      <w:r w:rsidR="00EB71FB" w:rsidRPr="002E3199">
        <w:t>FISH</w:t>
      </w:r>
      <w:r w:rsidR="00545F18">
        <w:t>)</w:t>
      </w:r>
      <w:r w:rsidR="00EB71FB" w:rsidRPr="002E3199">
        <w:t xml:space="preserve"> or </w:t>
      </w:r>
      <w:r w:rsidR="00545F18" w:rsidRPr="00E71DC7">
        <w:t xml:space="preserve">next generation sequencing </w:t>
      </w:r>
      <w:r w:rsidR="00545F18">
        <w:t>(</w:t>
      </w:r>
      <w:r w:rsidR="00EB71FB" w:rsidRPr="002E3199">
        <w:t>NGS</w:t>
      </w:r>
      <w:r w:rsidR="00545F18">
        <w:t xml:space="preserve">), </w:t>
      </w:r>
      <w:r w:rsidR="00EB71FB" w:rsidRPr="002E3199">
        <w:t xml:space="preserve">and </w:t>
      </w:r>
      <w:r w:rsidR="00545F18">
        <w:t xml:space="preserve">2) </w:t>
      </w:r>
      <w:r w:rsidR="00EB71FB" w:rsidRPr="002E3199">
        <w:t xml:space="preserve">a </w:t>
      </w:r>
      <w:r w:rsidR="00545F18">
        <w:t xml:space="preserve">Pharmaceutical </w:t>
      </w:r>
      <w:r w:rsidR="00545F18" w:rsidRPr="00545F18">
        <w:t xml:space="preserve">Benefits </w:t>
      </w:r>
      <w:r w:rsidR="00545F18">
        <w:t>Scheme (</w:t>
      </w:r>
      <w:r w:rsidR="00EB71FB" w:rsidRPr="002E3199">
        <w:t>PBS</w:t>
      </w:r>
      <w:r w:rsidR="00545F18">
        <w:t>)</w:t>
      </w:r>
      <w:r w:rsidR="00EB71FB" w:rsidRPr="002E3199">
        <w:t xml:space="preserve"> </w:t>
      </w:r>
      <w:r w:rsidR="00545F18">
        <w:t xml:space="preserve">Schedule </w:t>
      </w:r>
      <w:r w:rsidR="00EB71FB" w:rsidRPr="002E3199">
        <w:t xml:space="preserve">listing of larotrectinib for the targeted treatment of </w:t>
      </w:r>
      <w:r w:rsidR="00EB71FB" w:rsidRPr="002E3199">
        <w:rPr>
          <w:i/>
        </w:rPr>
        <w:t>NTRK</w:t>
      </w:r>
      <w:r w:rsidR="00EB71FB" w:rsidRPr="002E3199">
        <w:t xml:space="preserve"> fusion solid tumours that are unresectable locally advanced, metastatic, or locally advanced and would otherwise require disfiguring surgery or limb amputation to achieve a complete surgical resection.</w:t>
      </w:r>
    </w:p>
    <w:p w:rsidR="00EB71FB" w:rsidRDefault="00EB71FB" w:rsidP="00EB71FB">
      <w:pPr>
        <w:pStyle w:val="ListParagraph"/>
      </w:pPr>
      <w:r>
        <w:t xml:space="preserve">A key change </w:t>
      </w:r>
      <w:r w:rsidR="0089382F">
        <w:t xml:space="preserve">from </w:t>
      </w:r>
      <w:r w:rsidR="00874624">
        <w:t>the previous</w:t>
      </w:r>
      <w:r>
        <w:t xml:space="preserve"> submission was that the resubmission specified </w:t>
      </w:r>
      <w:r w:rsidR="00E11113">
        <w:t xml:space="preserve">specific solid </w:t>
      </w:r>
      <w:r w:rsidR="00545F18">
        <w:t xml:space="preserve">tumour types for the adult population: </w:t>
      </w:r>
      <w:r w:rsidRPr="006E6B93">
        <w:t>two tumour types for the adult high fusion frequency subgroup (salivary glan</w:t>
      </w:r>
      <w:r>
        <w:t>d and secretory breast carcinoma (SBC) tumours), a</w:t>
      </w:r>
      <w:r w:rsidRPr="006E6B93">
        <w:t xml:space="preserve">nd four tumour types for the adult low fusion frequency </w:t>
      </w:r>
      <w:r w:rsidR="00E111FA">
        <w:t>subgroup</w:t>
      </w:r>
      <w:r w:rsidRPr="006E6B93">
        <w:t xml:space="preserve"> (soft tissue sarcoma (STS), non-small cell lung cancer (NSCLC), thyroid cancer and colorectal cancer (CRC)).</w:t>
      </w:r>
    </w:p>
    <w:p w:rsidR="00EB71FB" w:rsidRDefault="00E111FA" w:rsidP="00EB71FB">
      <w:pPr>
        <w:pStyle w:val="ListParagraph"/>
      </w:pPr>
      <w:r>
        <w:t>As was the case for the previous submission, t</w:t>
      </w:r>
      <w:r w:rsidR="00EB71FB" w:rsidRPr="006E6B93">
        <w:t xml:space="preserve">he requested basis for listing </w:t>
      </w:r>
      <w:r w:rsidR="00023C29">
        <w:t>was</w:t>
      </w:r>
      <w:r w:rsidR="00EB71FB" w:rsidRPr="006E6B93">
        <w:t xml:space="preserve"> cost-effectiveness </w:t>
      </w:r>
      <w:r w:rsidR="003F58AB">
        <w:t xml:space="preserve">relative </w:t>
      </w:r>
      <w:r w:rsidR="00EB71FB" w:rsidRPr="006E6B93">
        <w:t>to standard of care (SoC).</w:t>
      </w:r>
    </w:p>
    <w:p w:rsidR="00EB71FB" w:rsidRPr="006E6B93" w:rsidRDefault="00E111FA" w:rsidP="00EB71FB">
      <w:pPr>
        <w:pStyle w:val="ListParagraph"/>
      </w:pPr>
      <w:r>
        <w:t>L</w:t>
      </w:r>
      <w:r w:rsidR="00EB71FB" w:rsidRPr="006E6B93">
        <w:t>arotrectinib is an orally bioavailable, adenosine triphosphate (ATP)-competitive and highly selective TRK inhibitor, rationally designed to avoid activity with off-target kinase.</w:t>
      </w:r>
    </w:p>
    <w:p w:rsidR="00EB71FB" w:rsidRPr="00887CB9" w:rsidRDefault="00EB71FB" w:rsidP="00EB71FB">
      <w:pPr>
        <w:pStyle w:val="ListParagraph"/>
        <w:ind w:left="709"/>
        <w:rPr>
          <w:iCs/>
        </w:rPr>
      </w:pPr>
      <w:r w:rsidRPr="006E6B93">
        <w:t xml:space="preserve">The recommended </w:t>
      </w:r>
      <w:r w:rsidR="00E111FA">
        <w:t xml:space="preserve">larotrectinib </w:t>
      </w:r>
      <w:r w:rsidRPr="006E6B93">
        <w:t>dosage regimen</w:t>
      </w:r>
      <w:r w:rsidR="00E111FA">
        <w:t>,</w:t>
      </w:r>
      <w:r w:rsidRPr="006E6B93">
        <w:t xml:space="preserve"> as per </w:t>
      </w:r>
      <w:r w:rsidRPr="009452FB">
        <w:t>the approved product information (PI)</w:t>
      </w:r>
      <w:r w:rsidR="00E111FA">
        <w:t>,</w:t>
      </w:r>
      <w:r w:rsidRPr="009452FB">
        <w:t xml:space="preserve"> </w:t>
      </w:r>
      <w:r w:rsidR="00E31F49">
        <w:t>remain</w:t>
      </w:r>
      <w:r w:rsidR="00E111FA">
        <w:t>s</w:t>
      </w:r>
      <w:r w:rsidR="00E31F49">
        <w:t xml:space="preserve"> the same</w:t>
      </w:r>
      <w:r w:rsidR="00E111FA">
        <w:t xml:space="preserve"> (</w:t>
      </w:r>
      <w:r w:rsidRPr="009452FB">
        <w:t>adults: 100 mg twice daily until the patient is no longer clinically benefiting from therapy or until unacceptable toxicity</w:t>
      </w:r>
      <w:r w:rsidR="00183CEB">
        <w:t>; p</w:t>
      </w:r>
      <w:r w:rsidRPr="009452FB">
        <w:t>aediatric</w:t>
      </w:r>
      <w:r w:rsidR="00183CEB">
        <w:t xml:space="preserve">: </w:t>
      </w:r>
      <w:r w:rsidRPr="009452FB">
        <w:t>based on body surface area (BSA): 100 mg/m</w:t>
      </w:r>
      <w:r w:rsidRPr="009452FB">
        <w:rPr>
          <w:vertAlign w:val="superscript"/>
        </w:rPr>
        <w:t>2</w:t>
      </w:r>
      <w:r w:rsidRPr="009452FB">
        <w:t xml:space="preserve"> twice daily with a maximum of 100 mg per dose</w:t>
      </w:r>
      <w:r w:rsidR="00183CEB">
        <w:t>)</w:t>
      </w:r>
      <w:r w:rsidRPr="009452FB">
        <w:t xml:space="preserve">. </w:t>
      </w:r>
      <w:r w:rsidRPr="00887CB9">
        <w:rPr>
          <w:iCs/>
        </w:rPr>
        <w:t xml:space="preserve">These dosing regimens are consistent with </w:t>
      </w:r>
      <w:r w:rsidR="00E111FA" w:rsidRPr="00887CB9">
        <w:rPr>
          <w:iCs/>
        </w:rPr>
        <w:t xml:space="preserve">those in </w:t>
      </w:r>
      <w:r w:rsidRPr="00887CB9">
        <w:rPr>
          <w:iCs/>
        </w:rPr>
        <w:t>the larotrectinib studies.</w:t>
      </w:r>
    </w:p>
    <w:p w:rsidR="00E01D22" w:rsidRDefault="00E01D22" w:rsidP="00796D25">
      <w:pPr>
        <w:pStyle w:val="Caption"/>
        <w:keepLines/>
      </w:pPr>
      <w:r>
        <w:lastRenderedPageBreak/>
        <w:t xml:space="preserve">Table </w:t>
      </w:r>
      <w:r w:rsidR="00BB3DD1">
        <w:rPr>
          <w:noProof/>
        </w:rPr>
        <w:t>1</w:t>
      </w:r>
      <w:r w:rsidR="00E37EC3">
        <w:rPr>
          <w:noProof/>
        </w:rPr>
        <w:t>:</w:t>
      </w:r>
      <w:r w:rsidR="00D117CD">
        <w:rPr>
          <w:noProof/>
        </w:rPr>
        <w:t xml:space="preserve"> </w:t>
      </w:r>
      <w:r w:rsidRPr="00962538">
        <w:t xml:space="preserve">Key components of the clinical issue addressed by the </w:t>
      </w:r>
      <w:r w:rsidR="00C07652">
        <w:t>re</w:t>
      </w:r>
      <w:r w:rsidRPr="00962538">
        <w:t>submission</w:t>
      </w:r>
    </w:p>
    <w:tbl>
      <w:tblPr>
        <w:tblStyle w:val="PBACTableStyle"/>
        <w:tblW w:w="0" w:type="auto"/>
        <w:tblLook w:val="04A0" w:firstRow="1" w:lastRow="0" w:firstColumn="1" w:lastColumn="0" w:noHBand="0" w:noVBand="1"/>
        <w:tblCaption w:val="Table 1: Key components of the clinical issue addressed by the resubmission"/>
      </w:tblPr>
      <w:tblGrid>
        <w:gridCol w:w="1271"/>
        <w:gridCol w:w="7745"/>
      </w:tblGrid>
      <w:tr w:rsidR="0017720E" w:rsidRPr="00962538" w:rsidTr="003B6B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vAlign w:val="bottom"/>
          </w:tcPr>
          <w:p w:rsidR="0017720E" w:rsidRPr="00962538" w:rsidRDefault="0017720E" w:rsidP="00796D25">
            <w:pPr>
              <w:pStyle w:val="TableText"/>
              <w:keepNext/>
              <w:keepLines/>
            </w:pPr>
            <w:r w:rsidRPr="00962538">
              <w:t>Component</w:t>
            </w:r>
          </w:p>
        </w:tc>
        <w:tc>
          <w:tcPr>
            <w:tcW w:w="7745" w:type="dxa"/>
            <w:vAlign w:val="bottom"/>
          </w:tcPr>
          <w:p w:rsidR="0017720E" w:rsidRPr="00962538" w:rsidRDefault="0017720E" w:rsidP="00796D25">
            <w:pPr>
              <w:pStyle w:val="TableText"/>
              <w:keepNext/>
              <w:keepLines/>
              <w:cnfStyle w:val="100000000000" w:firstRow="1" w:lastRow="0" w:firstColumn="0" w:lastColumn="0" w:oddVBand="0" w:evenVBand="0" w:oddHBand="0" w:evenHBand="0" w:firstRowFirstColumn="0" w:firstRowLastColumn="0" w:lastRowFirstColumn="0" w:lastRowLastColumn="0"/>
            </w:pPr>
            <w:r w:rsidRPr="00962538">
              <w:t>Description</w:t>
            </w:r>
          </w:p>
        </w:tc>
      </w:tr>
      <w:tr w:rsidR="007C3499" w:rsidRPr="00962538" w:rsidTr="007540C1">
        <w:tc>
          <w:tcPr>
            <w:cnfStyle w:val="001000000000" w:firstRow="0" w:lastRow="0" w:firstColumn="1" w:lastColumn="0" w:oddVBand="0" w:evenVBand="0" w:oddHBand="0" w:evenHBand="0" w:firstRowFirstColumn="0" w:firstRowLastColumn="0" w:lastRowFirstColumn="0" w:lastRowLastColumn="0"/>
            <w:tcW w:w="1271" w:type="dxa"/>
          </w:tcPr>
          <w:p w:rsidR="007C3499" w:rsidRPr="00962538" w:rsidRDefault="007C3499" w:rsidP="00796D25">
            <w:pPr>
              <w:pStyle w:val="TableText"/>
              <w:keepNext/>
              <w:keepLines/>
            </w:pPr>
            <w:r w:rsidRPr="00962538">
              <w:t>Population</w:t>
            </w:r>
          </w:p>
        </w:tc>
        <w:tc>
          <w:tcPr>
            <w:tcW w:w="7745" w:type="dxa"/>
            <w:vAlign w:val="top"/>
          </w:tcPr>
          <w:p w:rsidR="007C3499" w:rsidRPr="00AA03CB" w:rsidRDefault="007C3499" w:rsidP="00796D25">
            <w:pPr>
              <w:pStyle w:val="Tabletextleft"/>
              <w:keepNext/>
              <w:keepLines/>
              <w:cnfStyle w:val="000000000000" w:firstRow="0" w:lastRow="0" w:firstColumn="0" w:lastColumn="0" w:oddVBand="0" w:evenVBand="0" w:oddHBand="0" w:evenHBand="0" w:firstRowFirstColumn="0" w:firstRowLastColumn="0" w:lastRowFirstColumn="0" w:lastRowLastColumn="0"/>
              <w:rPr>
                <w:sz w:val="20"/>
              </w:rPr>
            </w:pPr>
            <w:r w:rsidRPr="00AA03CB">
              <w:rPr>
                <w:b/>
                <w:bCs/>
                <w:sz w:val="20"/>
              </w:rPr>
              <w:t>Test:</w:t>
            </w:r>
            <w:r w:rsidRPr="00AA03CB">
              <w:rPr>
                <w:sz w:val="20"/>
              </w:rPr>
              <w:t xml:space="preserve"> Locally advanced or metastatic solid tumour patient</w:t>
            </w:r>
            <w:r w:rsidRPr="00AA03CB">
              <w:t xml:space="preserve"> </w:t>
            </w:r>
            <w:r w:rsidRPr="00AA03CB">
              <w:rPr>
                <w:sz w:val="20"/>
              </w:rPr>
              <w:t>subpopulations:</w:t>
            </w:r>
          </w:p>
          <w:p w:rsidR="007C3499" w:rsidRPr="00AA03CB" w:rsidRDefault="007C3499" w:rsidP="00796D25">
            <w:pPr>
              <w:pStyle w:val="Tabletextleft"/>
              <w:keepNext/>
              <w:keepLines/>
              <w:ind w:left="324" w:hanging="284"/>
              <w:cnfStyle w:val="000000000000" w:firstRow="0" w:lastRow="0" w:firstColumn="0" w:lastColumn="0" w:oddVBand="0" w:evenVBand="0" w:oddHBand="0" w:evenHBand="0" w:firstRowFirstColumn="0" w:firstRowLastColumn="0" w:lastRowFirstColumn="0" w:lastRowLastColumn="0"/>
              <w:rPr>
                <w:sz w:val="20"/>
              </w:rPr>
            </w:pPr>
            <w:r w:rsidRPr="00AA03CB">
              <w:rPr>
                <w:sz w:val="20"/>
              </w:rPr>
              <w:t>1.</w:t>
            </w:r>
            <w:r w:rsidRPr="00AA03CB">
              <w:rPr>
                <w:sz w:val="20"/>
              </w:rPr>
              <w:tab/>
            </w:r>
            <w:r w:rsidRPr="00AA03CB">
              <w:rPr>
                <w:b/>
                <w:sz w:val="20"/>
              </w:rPr>
              <w:t>Paediatric</w:t>
            </w:r>
            <w:r w:rsidRPr="00AA03CB">
              <w:rPr>
                <w:sz w:val="20"/>
              </w:rPr>
              <w:t xml:space="preserve"> patients newly diagnosed with solid tumours with </w:t>
            </w:r>
            <w:r w:rsidRPr="00AA03CB">
              <w:rPr>
                <w:b/>
                <w:sz w:val="20"/>
              </w:rPr>
              <w:t>high-frequency</w:t>
            </w:r>
            <w:r w:rsidRPr="00AA03CB">
              <w:rPr>
                <w:sz w:val="20"/>
              </w:rPr>
              <w:t xml:space="preserve"> </w:t>
            </w:r>
            <w:r w:rsidRPr="00AA03CB">
              <w:rPr>
                <w:i/>
                <w:sz w:val="20"/>
              </w:rPr>
              <w:t>NTRK</w:t>
            </w:r>
            <w:r w:rsidRPr="00AA03CB">
              <w:rPr>
                <w:sz w:val="20"/>
              </w:rPr>
              <w:t xml:space="preserve"> gene fusions</w:t>
            </w:r>
            <w:r>
              <w:rPr>
                <w:sz w:val="20"/>
              </w:rPr>
              <w:t xml:space="preserve"> that are </w:t>
            </w:r>
            <w:r w:rsidRPr="00AA03CB">
              <w:rPr>
                <w:sz w:val="20"/>
              </w:rPr>
              <w:t xml:space="preserve">metastatic or locally advanced </w:t>
            </w:r>
            <w:r>
              <w:rPr>
                <w:sz w:val="20"/>
              </w:rPr>
              <w:t>(</w:t>
            </w:r>
            <w:r w:rsidRPr="001D6745">
              <w:rPr>
                <w:sz w:val="20"/>
              </w:rPr>
              <w:t>where surgical resection is likely to result in severe morbidity</w:t>
            </w:r>
            <w:r>
              <w:rPr>
                <w:sz w:val="20"/>
              </w:rPr>
              <w:t>)</w:t>
            </w:r>
            <w:r w:rsidRPr="00AA03CB">
              <w:rPr>
                <w:sz w:val="20"/>
              </w:rPr>
              <w:t>;</w:t>
            </w:r>
          </w:p>
          <w:p w:rsidR="007C3499" w:rsidRPr="00AA03CB" w:rsidRDefault="007C3499" w:rsidP="00796D25">
            <w:pPr>
              <w:pStyle w:val="Tabletextleft"/>
              <w:keepNext/>
              <w:keepLines/>
              <w:ind w:left="324" w:hanging="284"/>
              <w:cnfStyle w:val="000000000000" w:firstRow="0" w:lastRow="0" w:firstColumn="0" w:lastColumn="0" w:oddVBand="0" w:evenVBand="0" w:oddHBand="0" w:evenHBand="0" w:firstRowFirstColumn="0" w:firstRowLastColumn="0" w:lastRowFirstColumn="0" w:lastRowLastColumn="0"/>
              <w:rPr>
                <w:sz w:val="20"/>
              </w:rPr>
            </w:pPr>
            <w:r w:rsidRPr="00AA03CB">
              <w:rPr>
                <w:sz w:val="20"/>
              </w:rPr>
              <w:t>2.</w:t>
            </w:r>
            <w:r w:rsidRPr="00AA03CB">
              <w:rPr>
                <w:sz w:val="20"/>
              </w:rPr>
              <w:tab/>
            </w:r>
            <w:r w:rsidRPr="00AA03CB">
              <w:rPr>
                <w:b/>
                <w:sz w:val="20"/>
              </w:rPr>
              <w:t>Adult</w:t>
            </w:r>
            <w:r w:rsidRPr="00AA03CB">
              <w:rPr>
                <w:sz w:val="20"/>
              </w:rPr>
              <w:t xml:space="preserve"> patients newly diagnosed with </w:t>
            </w:r>
            <w:r>
              <w:rPr>
                <w:sz w:val="20"/>
              </w:rPr>
              <w:t xml:space="preserve">solid </w:t>
            </w:r>
            <w:r w:rsidRPr="00AA03CB">
              <w:rPr>
                <w:sz w:val="20"/>
              </w:rPr>
              <w:t>tumour</w:t>
            </w:r>
            <w:r>
              <w:rPr>
                <w:sz w:val="20"/>
              </w:rPr>
              <w:t xml:space="preserve">s with </w:t>
            </w:r>
            <w:r w:rsidRPr="00AA03CB">
              <w:rPr>
                <w:b/>
                <w:sz w:val="20"/>
              </w:rPr>
              <w:t>high-frequency</w:t>
            </w:r>
            <w:r w:rsidRPr="00AA03CB">
              <w:rPr>
                <w:sz w:val="20"/>
              </w:rPr>
              <w:t xml:space="preserve"> </w:t>
            </w:r>
            <w:r w:rsidRPr="00AA03CB">
              <w:rPr>
                <w:i/>
                <w:sz w:val="20"/>
              </w:rPr>
              <w:t>NTRK</w:t>
            </w:r>
            <w:r w:rsidRPr="00AA03CB">
              <w:rPr>
                <w:sz w:val="20"/>
              </w:rPr>
              <w:t xml:space="preserve"> gene fusion </w:t>
            </w:r>
            <w:r>
              <w:rPr>
                <w:sz w:val="20"/>
              </w:rPr>
              <w:t>cancer type</w:t>
            </w:r>
            <w:r w:rsidRPr="00AA03CB">
              <w:rPr>
                <w:sz w:val="20"/>
              </w:rPr>
              <w:t xml:space="preserve">s: </w:t>
            </w:r>
            <w:r w:rsidR="00EB71FB">
              <w:rPr>
                <w:sz w:val="20"/>
              </w:rPr>
              <w:t>salivary gland cancer/</w:t>
            </w:r>
            <w:r w:rsidRPr="00C07652">
              <w:rPr>
                <w:sz w:val="20"/>
                <w:u w:val="single"/>
              </w:rPr>
              <w:t>MASC</w:t>
            </w:r>
            <w:r w:rsidR="00C07652" w:rsidRPr="00C07652">
              <w:rPr>
                <w:sz w:val="20"/>
                <w:u w:val="single"/>
                <w:vertAlign w:val="superscript"/>
              </w:rPr>
              <w:t>a</w:t>
            </w:r>
            <w:r w:rsidRPr="00C07652">
              <w:rPr>
                <w:sz w:val="20"/>
                <w:u w:val="single"/>
              </w:rPr>
              <w:t xml:space="preserve"> or SBC</w:t>
            </w:r>
            <w:r w:rsidRPr="00AA03CB">
              <w:rPr>
                <w:sz w:val="20"/>
              </w:rPr>
              <w:t xml:space="preserve"> </w:t>
            </w:r>
            <w:r>
              <w:rPr>
                <w:sz w:val="20"/>
              </w:rPr>
              <w:t xml:space="preserve">that are </w:t>
            </w:r>
            <w:r w:rsidRPr="00AA03CB">
              <w:rPr>
                <w:sz w:val="20"/>
              </w:rPr>
              <w:t xml:space="preserve">metastatic or locally advanced </w:t>
            </w:r>
            <w:r w:rsidRPr="0025098D">
              <w:rPr>
                <w:sz w:val="20"/>
              </w:rPr>
              <w:t>(where surgical resection is likely to result in severe morbidity)</w:t>
            </w:r>
            <w:r>
              <w:rPr>
                <w:sz w:val="20"/>
              </w:rPr>
              <w:t>;</w:t>
            </w:r>
          </w:p>
          <w:p w:rsidR="007C3499" w:rsidRPr="00AA03CB" w:rsidRDefault="007C3499" w:rsidP="00796D25">
            <w:pPr>
              <w:pStyle w:val="Tabletextleft"/>
              <w:keepNext/>
              <w:keepLines/>
              <w:ind w:left="324" w:hanging="284"/>
              <w:cnfStyle w:val="000000000000" w:firstRow="0" w:lastRow="0" w:firstColumn="0" w:lastColumn="0" w:oddVBand="0" w:evenVBand="0" w:oddHBand="0" w:evenHBand="0" w:firstRowFirstColumn="0" w:firstRowLastColumn="0" w:lastRowFirstColumn="0" w:lastRowLastColumn="0"/>
              <w:rPr>
                <w:sz w:val="20"/>
              </w:rPr>
            </w:pPr>
            <w:r w:rsidRPr="00AA03CB">
              <w:rPr>
                <w:sz w:val="20"/>
              </w:rPr>
              <w:t>3.</w:t>
            </w:r>
            <w:r w:rsidRPr="00AA03CB">
              <w:rPr>
                <w:sz w:val="20"/>
              </w:rPr>
              <w:tab/>
            </w:r>
            <w:r w:rsidRPr="00AA03CB">
              <w:rPr>
                <w:b/>
                <w:sz w:val="20"/>
              </w:rPr>
              <w:t>Paediatric</w:t>
            </w:r>
            <w:r w:rsidRPr="00AA03CB">
              <w:rPr>
                <w:sz w:val="20"/>
              </w:rPr>
              <w:t xml:space="preserve"> patients newly diagnosed solid tumours with </w:t>
            </w:r>
            <w:r w:rsidRPr="00AA03CB">
              <w:rPr>
                <w:b/>
                <w:sz w:val="20"/>
              </w:rPr>
              <w:t>low-frequency</w:t>
            </w:r>
            <w:r w:rsidRPr="00AA03CB">
              <w:rPr>
                <w:sz w:val="20"/>
              </w:rPr>
              <w:t xml:space="preserve"> </w:t>
            </w:r>
            <w:r w:rsidRPr="00AA03CB">
              <w:rPr>
                <w:i/>
                <w:sz w:val="20"/>
              </w:rPr>
              <w:t>NTRK</w:t>
            </w:r>
            <w:r w:rsidRPr="00AA03CB">
              <w:rPr>
                <w:sz w:val="20"/>
              </w:rPr>
              <w:t xml:space="preserve"> gene fusions </w:t>
            </w:r>
            <w:r>
              <w:rPr>
                <w:sz w:val="20"/>
              </w:rPr>
              <w:t>that are</w:t>
            </w:r>
            <w:r w:rsidRPr="00AA03CB">
              <w:rPr>
                <w:sz w:val="20"/>
              </w:rPr>
              <w:t xml:space="preserve"> metastatic or locally advanced </w:t>
            </w:r>
            <w:r w:rsidRPr="0025098D">
              <w:rPr>
                <w:sz w:val="20"/>
              </w:rPr>
              <w:t>(where surgical resection is likely to result in severe morbidity)</w:t>
            </w:r>
            <w:r w:rsidRPr="00AA03CB">
              <w:rPr>
                <w:sz w:val="20"/>
              </w:rPr>
              <w:t>;</w:t>
            </w:r>
          </w:p>
          <w:p w:rsidR="007C3499" w:rsidRPr="00AA03CB" w:rsidRDefault="007C3499" w:rsidP="00796D25">
            <w:pPr>
              <w:pStyle w:val="Tabletextleft"/>
              <w:keepNext/>
              <w:keepLines/>
              <w:ind w:left="324" w:hanging="284"/>
              <w:cnfStyle w:val="000000000000" w:firstRow="0" w:lastRow="0" w:firstColumn="0" w:lastColumn="0" w:oddVBand="0" w:evenVBand="0" w:oddHBand="0" w:evenHBand="0" w:firstRowFirstColumn="0" w:firstRowLastColumn="0" w:lastRowFirstColumn="0" w:lastRowLastColumn="0"/>
              <w:rPr>
                <w:sz w:val="20"/>
              </w:rPr>
            </w:pPr>
            <w:r w:rsidRPr="00AA03CB">
              <w:rPr>
                <w:sz w:val="20"/>
              </w:rPr>
              <w:t>4.</w:t>
            </w:r>
            <w:r w:rsidRPr="00AA03CB">
              <w:rPr>
                <w:sz w:val="20"/>
              </w:rPr>
              <w:tab/>
            </w:r>
            <w:r w:rsidRPr="00AA03CB">
              <w:rPr>
                <w:b/>
                <w:sz w:val="20"/>
              </w:rPr>
              <w:t>Adult</w:t>
            </w:r>
            <w:r w:rsidRPr="00AA03CB">
              <w:rPr>
                <w:sz w:val="20"/>
              </w:rPr>
              <w:t xml:space="preserve"> patients with</w:t>
            </w:r>
            <w:r>
              <w:rPr>
                <w:sz w:val="20"/>
              </w:rPr>
              <w:t xml:space="preserve"> solid tumours with</w:t>
            </w:r>
            <w:r w:rsidRPr="00AA03CB">
              <w:rPr>
                <w:sz w:val="20"/>
              </w:rPr>
              <w:t xml:space="preserve"> </w:t>
            </w:r>
            <w:r w:rsidRPr="00AA03CB">
              <w:rPr>
                <w:b/>
                <w:sz w:val="20"/>
              </w:rPr>
              <w:t>low-frequency</w:t>
            </w:r>
            <w:r w:rsidRPr="00AA03CB">
              <w:rPr>
                <w:sz w:val="20"/>
              </w:rPr>
              <w:t xml:space="preserve"> </w:t>
            </w:r>
            <w:r w:rsidRPr="00AA03CB">
              <w:rPr>
                <w:i/>
                <w:sz w:val="20"/>
              </w:rPr>
              <w:t>NTRK</w:t>
            </w:r>
            <w:r w:rsidRPr="00AA03CB">
              <w:rPr>
                <w:sz w:val="20"/>
              </w:rPr>
              <w:t xml:space="preserve"> gene fusion cancer</w:t>
            </w:r>
            <w:r>
              <w:rPr>
                <w:sz w:val="20"/>
              </w:rPr>
              <w:t xml:space="preserve"> type</w:t>
            </w:r>
            <w:r w:rsidRPr="00AA03CB">
              <w:rPr>
                <w:sz w:val="20"/>
              </w:rPr>
              <w:t xml:space="preserve">s: </w:t>
            </w:r>
            <w:r w:rsidRPr="00AA03CB">
              <w:rPr>
                <w:sz w:val="20"/>
                <w:u w:val="single"/>
              </w:rPr>
              <w:t>CRC, STS, NSCLC</w:t>
            </w:r>
            <w:r w:rsidR="00C07652" w:rsidRPr="00C07652">
              <w:rPr>
                <w:sz w:val="20"/>
                <w:u w:val="single"/>
                <w:vertAlign w:val="superscript"/>
              </w:rPr>
              <w:t>b</w:t>
            </w:r>
            <w:r w:rsidRPr="00AA03CB">
              <w:rPr>
                <w:sz w:val="20"/>
                <w:u w:val="single"/>
              </w:rPr>
              <w:t xml:space="preserve"> or thyroid cance</w:t>
            </w:r>
            <w:r>
              <w:rPr>
                <w:sz w:val="20"/>
                <w:u w:val="single"/>
              </w:rPr>
              <w:t xml:space="preserve">r </w:t>
            </w:r>
            <w:r>
              <w:rPr>
                <w:sz w:val="20"/>
              </w:rPr>
              <w:t>that are</w:t>
            </w:r>
            <w:r w:rsidRPr="0025098D">
              <w:rPr>
                <w:sz w:val="20"/>
              </w:rPr>
              <w:t xml:space="preserve"> metastatic or locally advanced (where surgical resection is likely to result in severe morbidity) </w:t>
            </w:r>
            <w:r>
              <w:rPr>
                <w:sz w:val="20"/>
              </w:rPr>
              <w:t>and</w:t>
            </w:r>
            <w:r w:rsidRPr="0025098D">
              <w:rPr>
                <w:sz w:val="20"/>
              </w:rPr>
              <w:t xml:space="preserve"> have</w:t>
            </w:r>
            <w:r w:rsidRPr="0025098D">
              <w:rPr>
                <w:sz w:val="20"/>
                <w:u w:val="single"/>
              </w:rPr>
              <w:t xml:space="preserve"> R</w:t>
            </w:r>
            <w:r w:rsidRPr="00AA03CB">
              <w:rPr>
                <w:sz w:val="20"/>
                <w:u w:val="single"/>
              </w:rPr>
              <w:t>/R disease with no suitable alternate therapy</w:t>
            </w:r>
            <w:r w:rsidRPr="00AA03CB">
              <w:rPr>
                <w:sz w:val="20"/>
              </w:rPr>
              <w:t>.</w:t>
            </w:r>
          </w:p>
          <w:p w:rsidR="007C3499" w:rsidRPr="00AA03CB" w:rsidRDefault="007C3499" w:rsidP="00796D25">
            <w:pPr>
              <w:pStyle w:val="Tabletextleft"/>
              <w:keepNext/>
              <w:keepLines/>
              <w:cnfStyle w:val="000000000000" w:firstRow="0" w:lastRow="0" w:firstColumn="0" w:lastColumn="0" w:oddVBand="0" w:evenVBand="0" w:oddHBand="0" w:evenHBand="0" w:firstRowFirstColumn="0" w:firstRowLastColumn="0" w:lastRowFirstColumn="0" w:lastRowLastColumn="0"/>
              <w:rPr>
                <w:b/>
                <w:bCs/>
                <w:sz w:val="20"/>
              </w:rPr>
            </w:pPr>
            <w:r w:rsidRPr="00AA03CB">
              <w:rPr>
                <w:b/>
                <w:bCs/>
                <w:sz w:val="20"/>
              </w:rPr>
              <w:t xml:space="preserve">Treatment: </w:t>
            </w:r>
            <w:r w:rsidRPr="00AA03CB">
              <w:rPr>
                <w:sz w:val="20"/>
              </w:rPr>
              <w:t xml:space="preserve">Patients with locally advanced or metastatic solid tumours with confirmed </w:t>
            </w:r>
            <w:r w:rsidRPr="00AA03CB">
              <w:rPr>
                <w:i/>
                <w:sz w:val="20"/>
              </w:rPr>
              <w:t>NTRK</w:t>
            </w:r>
            <w:r w:rsidRPr="00AA03CB">
              <w:rPr>
                <w:sz w:val="20"/>
              </w:rPr>
              <w:t xml:space="preserve"> fusion</w:t>
            </w:r>
            <w:r w:rsidR="0069330F">
              <w:rPr>
                <w:sz w:val="20"/>
              </w:rPr>
              <w:t xml:space="preserve"> </w:t>
            </w:r>
            <w:r w:rsidR="0069330F" w:rsidRPr="0069330F">
              <w:rPr>
                <w:sz w:val="20"/>
              </w:rPr>
              <w:t xml:space="preserve">(first-line for </w:t>
            </w:r>
            <w:r w:rsidR="00CF178C">
              <w:rPr>
                <w:sz w:val="20"/>
              </w:rPr>
              <w:t>the first three p</w:t>
            </w:r>
            <w:r w:rsidR="0069330F" w:rsidRPr="0069330F">
              <w:rPr>
                <w:sz w:val="20"/>
              </w:rPr>
              <w:t>opulations</w:t>
            </w:r>
            <w:r w:rsidR="006906B5">
              <w:rPr>
                <w:sz w:val="20"/>
              </w:rPr>
              <w:t xml:space="preserve"> above</w:t>
            </w:r>
            <w:r w:rsidR="0069330F" w:rsidRPr="0069330F">
              <w:rPr>
                <w:sz w:val="20"/>
              </w:rPr>
              <w:t xml:space="preserve"> and second- or later-line for </w:t>
            </w:r>
            <w:r w:rsidR="006906B5">
              <w:rPr>
                <w:sz w:val="20"/>
              </w:rPr>
              <w:t>the last p</w:t>
            </w:r>
            <w:r w:rsidR="0069330F" w:rsidRPr="0069330F">
              <w:rPr>
                <w:sz w:val="20"/>
              </w:rPr>
              <w:t xml:space="preserve">opulation </w:t>
            </w:r>
            <w:r w:rsidR="006906B5">
              <w:rPr>
                <w:sz w:val="20"/>
              </w:rPr>
              <w:t>above</w:t>
            </w:r>
            <w:r w:rsidR="0069330F" w:rsidRPr="0069330F">
              <w:rPr>
                <w:sz w:val="20"/>
              </w:rPr>
              <w:t>)</w:t>
            </w:r>
          </w:p>
        </w:tc>
      </w:tr>
      <w:tr w:rsidR="007C3499" w:rsidRPr="00962538" w:rsidTr="007540C1">
        <w:tc>
          <w:tcPr>
            <w:cnfStyle w:val="001000000000" w:firstRow="0" w:lastRow="0" w:firstColumn="1" w:lastColumn="0" w:oddVBand="0" w:evenVBand="0" w:oddHBand="0" w:evenHBand="0" w:firstRowFirstColumn="0" w:firstRowLastColumn="0" w:lastRowFirstColumn="0" w:lastRowLastColumn="0"/>
            <w:tcW w:w="1271" w:type="dxa"/>
          </w:tcPr>
          <w:p w:rsidR="007C3499" w:rsidRPr="00962538" w:rsidRDefault="007C3499" w:rsidP="00796D25">
            <w:pPr>
              <w:pStyle w:val="TableText"/>
              <w:keepNext/>
              <w:keepLines/>
            </w:pPr>
            <w:r w:rsidRPr="00962538">
              <w:t>Intervention</w:t>
            </w:r>
          </w:p>
        </w:tc>
        <w:tc>
          <w:tcPr>
            <w:tcW w:w="7745" w:type="dxa"/>
            <w:vAlign w:val="top"/>
          </w:tcPr>
          <w:p w:rsidR="007C3499" w:rsidRPr="00AA03CB" w:rsidRDefault="007C3499" w:rsidP="00796D25">
            <w:pPr>
              <w:pStyle w:val="Tabletextleft"/>
              <w:keepNext/>
              <w:keepLines/>
              <w:cnfStyle w:val="000000000000" w:firstRow="0" w:lastRow="0" w:firstColumn="0" w:lastColumn="0" w:oddVBand="0" w:evenVBand="0" w:oddHBand="0" w:evenHBand="0" w:firstRowFirstColumn="0" w:firstRowLastColumn="0" w:lastRowFirstColumn="0" w:lastRowLastColumn="0"/>
              <w:rPr>
                <w:b/>
                <w:bCs/>
                <w:sz w:val="20"/>
              </w:rPr>
            </w:pPr>
            <w:r w:rsidRPr="00AA03CB">
              <w:rPr>
                <w:b/>
                <w:bCs/>
                <w:sz w:val="20"/>
              </w:rPr>
              <w:t xml:space="preserve">Test: </w:t>
            </w:r>
            <w:r w:rsidRPr="00AA03CB">
              <w:rPr>
                <w:sz w:val="20"/>
              </w:rPr>
              <w:t>FISH or RNA-NGS (</w:t>
            </w:r>
            <w:r w:rsidR="006906B5">
              <w:rPr>
                <w:sz w:val="20"/>
              </w:rPr>
              <w:t xml:space="preserve">with </w:t>
            </w:r>
            <w:r w:rsidRPr="00AA03CB">
              <w:rPr>
                <w:sz w:val="20"/>
              </w:rPr>
              <w:t xml:space="preserve">pan-Trk IHC </w:t>
            </w:r>
            <w:r w:rsidR="003F58AB">
              <w:rPr>
                <w:sz w:val="20"/>
              </w:rPr>
              <w:t xml:space="preserve">used as </w:t>
            </w:r>
            <w:r w:rsidRPr="00AA03CB">
              <w:rPr>
                <w:sz w:val="20"/>
              </w:rPr>
              <w:t>a triage test</w:t>
            </w:r>
            <w:r w:rsidR="006906B5">
              <w:rPr>
                <w:sz w:val="20"/>
              </w:rPr>
              <w:t xml:space="preserve"> </w:t>
            </w:r>
            <w:r w:rsidR="006906B5" w:rsidRPr="00AA03CB">
              <w:rPr>
                <w:sz w:val="20"/>
              </w:rPr>
              <w:t xml:space="preserve">for </w:t>
            </w:r>
            <w:r w:rsidR="006906B5">
              <w:rPr>
                <w:sz w:val="20"/>
              </w:rPr>
              <w:t xml:space="preserve">the last </w:t>
            </w:r>
            <w:r w:rsidR="006906B5" w:rsidRPr="00AA03CB">
              <w:rPr>
                <w:sz w:val="20"/>
              </w:rPr>
              <w:t xml:space="preserve">population </w:t>
            </w:r>
            <w:r w:rsidR="006906B5">
              <w:rPr>
                <w:sz w:val="20"/>
              </w:rPr>
              <w:t>above</w:t>
            </w:r>
            <w:r w:rsidRPr="00AA03CB">
              <w:rPr>
                <w:sz w:val="20"/>
              </w:rPr>
              <w:t>)</w:t>
            </w:r>
          </w:p>
          <w:p w:rsidR="007C3499" w:rsidRPr="00AA03CB" w:rsidRDefault="007C3499" w:rsidP="00796D25">
            <w:pPr>
              <w:pStyle w:val="Tabletextleft"/>
              <w:keepNext/>
              <w:keepLines/>
              <w:cnfStyle w:val="000000000000" w:firstRow="0" w:lastRow="0" w:firstColumn="0" w:lastColumn="0" w:oddVBand="0" w:evenVBand="0" w:oddHBand="0" w:evenHBand="0" w:firstRowFirstColumn="0" w:firstRowLastColumn="0" w:lastRowFirstColumn="0" w:lastRowLastColumn="0"/>
              <w:rPr>
                <w:sz w:val="20"/>
              </w:rPr>
            </w:pPr>
            <w:r w:rsidRPr="00AA03CB">
              <w:rPr>
                <w:b/>
                <w:bCs/>
                <w:sz w:val="20"/>
              </w:rPr>
              <w:t xml:space="preserve">Treatment: </w:t>
            </w:r>
            <w:r w:rsidRPr="00AA03CB">
              <w:rPr>
                <w:sz w:val="20"/>
              </w:rPr>
              <w:t>Larotrectinib 100 mg BID for adults or 100 mg/m</w:t>
            </w:r>
            <w:r w:rsidRPr="00AA03CB">
              <w:rPr>
                <w:sz w:val="20"/>
                <w:vertAlign w:val="superscript"/>
              </w:rPr>
              <w:t>2</w:t>
            </w:r>
            <w:r w:rsidRPr="00AA03CB">
              <w:rPr>
                <w:sz w:val="20"/>
              </w:rPr>
              <w:t xml:space="preserve"> BID with a maximum of 100 mg BID administered for paediatric patients</w:t>
            </w:r>
          </w:p>
        </w:tc>
      </w:tr>
      <w:tr w:rsidR="007C3499" w:rsidRPr="00962538" w:rsidTr="007540C1">
        <w:tc>
          <w:tcPr>
            <w:cnfStyle w:val="001000000000" w:firstRow="0" w:lastRow="0" w:firstColumn="1" w:lastColumn="0" w:oddVBand="0" w:evenVBand="0" w:oddHBand="0" w:evenHBand="0" w:firstRowFirstColumn="0" w:firstRowLastColumn="0" w:lastRowFirstColumn="0" w:lastRowLastColumn="0"/>
            <w:tcW w:w="1271" w:type="dxa"/>
          </w:tcPr>
          <w:p w:rsidR="007C3499" w:rsidRPr="00962538" w:rsidRDefault="007C3499" w:rsidP="00796D25">
            <w:pPr>
              <w:pStyle w:val="TableText"/>
              <w:keepNext/>
              <w:keepLines/>
            </w:pPr>
            <w:r w:rsidRPr="00962538">
              <w:t>Comparator</w:t>
            </w:r>
          </w:p>
        </w:tc>
        <w:tc>
          <w:tcPr>
            <w:tcW w:w="7745" w:type="dxa"/>
            <w:vAlign w:val="top"/>
          </w:tcPr>
          <w:p w:rsidR="007C3499" w:rsidRPr="00AA03CB" w:rsidRDefault="007C3499" w:rsidP="00796D25">
            <w:pPr>
              <w:pStyle w:val="Tabletextleft"/>
              <w:keepNext/>
              <w:keepLines/>
              <w:cnfStyle w:val="000000000000" w:firstRow="0" w:lastRow="0" w:firstColumn="0" w:lastColumn="0" w:oddVBand="0" w:evenVBand="0" w:oddHBand="0" w:evenHBand="0" w:firstRowFirstColumn="0" w:firstRowLastColumn="0" w:lastRowFirstColumn="0" w:lastRowLastColumn="0"/>
              <w:rPr>
                <w:sz w:val="20"/>
              </w:rPr>
            </w:pPr>
            <w:r w:rsidRPr="00AA03CB">
              <w:rPr>
                <w:sz w:val="20"/>
              </w:rPr>
              <w:t>No test + SoC</w:t>
            </w:r>
          </w:p>
        </w:tc>
      </w:tr>
      <w:tr w:rsidR="007C3499" w:rsidRPr="00962538" w:rsidTr="007540C1">
        <w:tc>
          <w:tcPr>
            <w:cnfStyle w:val="001000000000" w:firstRow="0" w:lastRow="0" w:firstColumn="1" w:lastColumn="0" w:oddVBand="0" w:evenVBand="0" w:oddHBand="0" w:evenHBand="0" w:firstRowFirstColumn="0" w:firstRowLastColumn="0" w:lastRowFirstColumn="0" w:lastRowLastColumn="0"/>
            <w:tcW w:w="1271" w:type="dxa"/>
          </w:tcPr>
          <w:p w:rsidR="007C3499" w:rsidRPr="00962538" w:rsidRDefault="007C3499" w:rsidP="00796D25">
            <w:pPr>
              <w:pStyle w:val="TableText"/>
              <w:keepNext/>
              <w:keepLines/>
            </w:pPr>
            <w:r w:rsidRPr="00962538">
              <w:t>Outcomes</w:t>
            </w:r>
          </w:p>
        </w:tc>
        <w:tc>
          <w:tcPr>
            <w:tcW w:w="7745" w:type="dxa"/>
            <w:vAlign w:val="top"/>
          </w:tcPr>
          <w:p w:rsidR="007C3499" w:rsidRPr="00AA03CB" w:rsidRDefault="007C3499" w:rsidP="00796D25">
            <w:pPr>
              <w:pStyle w:val="Tabletextleft"/>
              <w:keepNext/>
              <w:keepLines/>
              <w:cnfStyle w:val="000000000000" w:firstRow="0" w:lastRow="0" w:firstColumn="0" w:lastColumn="0" w:oddVBand="0" w:evenVBand="0" w:oddHBand="0" w:evenHBand="0" w:firstRowFirstColumn="0" w:firstRowLastColumn="0" w:lastRowFirstColumn="0" w:lastRowLastColumn="0"/>
              <w:rPr>
                <w:b/>
                <w:bCs/>
                <w:sz w:val="20"/>
              </w:rPr>
            </w:pPr>
            <w:r w:rsidRPr="00AA03CB">
              <w:rPr>
                <w:b/>
                <w:bCs/>
                <w:sz w:val="20"/>
              </w:rPr>
              <w:t xml:space="preserve">Test: </w:t>
            </w:r>
            <w:r w:rsidRPr="00AA03CB">
              <w:rPr>
                <w:sz w:val="20"/>
              </w:rPr>
              <w:t>Sensitivity, specificity, PPV, NPV, NNT</w:t>
            </w:r>
          </w:p>
          <w:p w:rsidR="007C3499" w:rsidRPr="00AA03CB" w:rsidRDefault="007C3499" w:rsidP="00796D25">
            <w:pPr>
              <w:pStyle w:val="Tabletextleft"/>
              <w:keepNext/>
              <w:keepLines/>
              <w:cnfStyle w:val="000000000000" w:firstRow="0" w:lastRow="0" w:firstColumn="0" w:lastColumn="0" w:oddVBand="0" w:evenVBand="0" w:oddHBand="0" w:evenHBand="0" w:firstRowFirstColumn="0" w:firstRowLastColumn="0" w:lastRowFirstColumn="0" w:lastRowLastColumn="0"/>
              <w:rPr>
                <w:sz w:val="20"/>
              </w:rPr>
            </w:pPr>
            <w:r w:rsidRPr="00AA03CB">
              <w:rPr>
                <w:b/>
                <w:bCs/>
                <w:sz w:val="20"/>
              </w:rPr>
              <w:t>Treatment:</w:t>
            </w:r>
            <w:r w:rsidRPr="00AA03CB">
              <w:rPr>
                <w:sz w:val="20"/>
              </w:rPr>
              <w:t xml:space="preserve"> Overall response rate, duration of response, overall survival, progression free survival, safety </w:t>
            </w:r>
          </w:p>
        </w:tc>
      </w:tr>
      <w:tr w:rsidR="007C3499" w:rsidRPr="00962538" w:rsidTr="007540C1">
        <w:tc>
          <w:tcPr>
            <w:cnfStyle w:val="001000000000" w:firstRow="0" w:lastRow="0" w:firstColumn="1" w:lastColumn="0" w:oddVBand="0" w:evenVBand="0" w:oddHBand="0" w:evenHBand="0" w:firstRowFirstColumn="0" w:firstRowLastColumn="0" w:lastRowFirstColumn="0" w:lastRowLastColumn="0"/>
            <w:tcW w:w="1271" w:type="dxa"/>
          </w:tcPr>
          <w:p w:rsidR="007C3499" w:rsidRPr="00962538" w:rsidRDefault="007C3499" w:rsidP="00796D25">
            <w:pPr>
              <w:pStyle w:val="TableText"/>
              <w:keepNext/>
              <w:keepLines/>
            </w:pPr>
            <w:r w:rsidRPr="00962538">
              <w:t>Clinical claim</w:t>
            </w:r>
          </w:p>
        </w:tc>
        <w:tc>
          <w:tcPr>
            <w:tcW w:w="7745" w:type="dxa"/>
            <w:vAlign w:val="top"/>
          </w:tcPr>
          <w:p w:rsidR="007C3499" w:rsidRPr="00AA03CB" w:rsidRDefault="007C3499" w:rsidP="00796D25">
            <w:pPr>
              <w:pStyle w:val="Tabletextleft"/>
              <w:keepNext/>
              <w:keepLines/>
              <w:cnfStyle w:val="000000000000" w:firstRow="0" w:lastRow="0" w:firstColumn="0" w:lastColumn="0" w:oddVBand="0" w:evenVBand="0" w:oddHBand="0" w:evenHBand="0" w:firstRowFirstColumn="0" w:firstRowLastColumn="0" w:lastRowFirstColumn="0" w:lastRowLastColumn="0"/>
              <w:rPr>
                <w:sz w:val="20"/>
              </w:rPr>
            </w:pPr>
            <w:r w:rsidRPr="00AA03CB">
              <w:rPr>
                <w:sz w:val="20"/>
              </w:rPr>
              <w:t xml:space="preserve">In patients with a locally advanced or metastatic solid tumour with confirmed </w:t>
            </w:r>
            <w:r w:rsidRPr="00AA03CB">
              <w:rPr>
                <w:i/>
                <w:iCs/>
                <w:sz w:val="20"/>
              </w:rPr>
              <w:t>NTRK</w:t>
            </w:r>
            <w:r w:rsidRPr="00AA03CB">
              <w:rPr>
                <w:sz w:val="20"/>
              </w:rPr>
              <w:t xml:space="preserve"> fusion, larotrectinib + </w:t>
            </w:r>
            <w:r w:rsidRPr="00AA03CB">
              <w:rPr>
                <w:i/>
                <w:iCs/>
                <w:sz w:val="20"/>
              </w:rPr>
              <w:t>NTRK</w:t>
            </w:r>
            <w:r w:rsidRPr="00AA03CB">
              <w:rPr>
                <w:sz w:val="20"/>
              </w:rPr>
              <w:t xml:space="preserve"> gene fusion testing (FISH or NGS +/- IHC) is superior in terms of efficacy and safety when compared to no </w:t>
            </w:r>
            <w:r w:rsidRPr="00AA03CB">
              <w:rPr>
                <w:i/>
                <w:iCs/>
                <w:sz w:val="20"/>
              </w:rPr>
              <w:t>NTRK</w:t>
            </w:r>
            <w:r w:rsidRPr="00AA03CB">
              <w:rPr>
                <w:sz w:val="20"/>
              </w:rPr>
              <w:t xml:space="preserve"> gene fusion testing + SoC</w:t>
            </w:r>
          </w:p>
        </w:tc>
      </w:tr>
    </w:tbl>
    <w:p w:rsidR="00EB71FB" w:rsidRDefault="00EB71FB" w:rsidP="00796D25">
      <w:pPr>
        <w:pStyle w:val="TableFooter"/>
        <w:keepNext/>
        <w:keepLines/>
      </w:pPr>
      <w:r>
        <w:t xml:space="preserve">Source: </w:t>
      </w:r>
      <w:r w:rsidRPr="0059108C">
        <w:t>Source: Table 1.2, p27 and Sections 1.1.2 and 1.4 of the resubmission</w:t>
      </w:r>
    </w:p>
    <w:p w:rsidR="007C3499" w:rsidRDefault="007C3499" w:rsidP="00796D25">
      <w:pPr>
        <w:pStyle w:val="TableFooter"/>
        <w:keepNext/>
        <w:keepLines/>
      </w:pPr>
      <w:r>
        <w:t>Changes from the original submission have been underlined</w:t>
      </w:r>
    </w:p>
    <w:p w:rsidR="00C07652" w:rsidRPr="0059108C" w:rsidRDefault="00EB71FB" w:rsidP="00796D25">
      <w:pPr>
        <w:pStyle w:val="TableFooter"/>
        <w:keepNext/>
        <w:keepLines/>
        <w:rPr>
          <w:i/>
        </w:rPr>
      </w:pPr>
      <w:r w:rsidRPr="00DF116E">
        <w:rPr>
          <w:iCs/>
          <w:vertAlign w:val="superscript"/>
        </w:rPr>
        <w:t>a</w:t>
      </w:r>
      <w:r w:rsidR="00762141" w:rsidRPr="00DF116E">
        <w:rPr>
          <w:iCs/>
          <w:vertAlign w:val="superscript"/>
        </w:rPr>
        <w:t xml:space="preserve"> </w:t>
      </w:r>
      <w:r w:rsidRPr="00C2405D">
        <w:rPr>
          <w:iCs/>
        </w:rPr>
        <w:t xml:space="preserve">Salivary gland is broader than the subtype of MASC specified in the MBS item descriptor. MASC was the most represented high frequency </w:t>
      </w:r>
      <w:r w:rsidRPr="00C2405D">
        <w:rPr>
          <w:i/>
        </w:rPr>
        <w:t xml:space="preserve">NTRK </w:t>
      </w:r>
      <w:r w:rsidRPr="00C2405D">
        <w:rPr>
          <w:iCs/>
        </w:rPr>
        <w:t>cancer occurring in adults in the larotrectinib trials (n=23) and is approximately only 4.5 % of salivary gland tumours</w:t>
      </w:r>
      <w:r w:rsidRPr="00EB71FB">
        <w:rPr>
          <w:i/>
          <w:vertAlign w:val="superscript"/>
        </w:rPr>
        <w:t>.</w:t>
      </w:r>
      <w:r w:rsidR="00C07652" w:rsidRPr="0059108C">
        <w:rPr>
          <w:i/>
          <w:vertAlign w:val="superscript"/>
        </w:rPr>
        <w:t>b</w:t>
      </w:r>
      <w:r w:rsidR="00762141">
        <w:rPr>
          <w:i/>
          <w:vertAlign w:val="superscript"/>
        </w:rPr>
        <w:t xml:space="preserve"> </w:t>
      </w:r>
      <w:r w:rsidR="00C07652" w:rsidRPr="00DF116E">
        <w:rPr>
          <w:iCs/>
        </w:rPr>
        <w:t>The resubmission specified lung cancer in the MBS descriptor whereas NSCLC was specified in the PBS restriction. The clinical evidence for larotrectinib was limited to NSCLC, as is the PBS restriction.</w:t>
      </w:r>
      <w:r w:rsidR="002475D0" w:rsidRPr="00DF116E">
        <w:rPr>
          <w:iCs/>
        </w:rPr>
        <w:t xml:space="preserve"> The MBS item descriptor has been amended during </w:t>
      </w:r>
      <w:r w:rsidR="009452FB" w:rsidRPr="00DF116E">
        <w:rPr>
          <w:iCs/>
        </w:rPr>
        <w:t xml:space="preserve">the </w:t>
      </w:r>
      <w:r w:rsidR="002475D0" w:rsidRPr="00DF116E">
        <w:rPr>
          <w:iCs/>
        </w:rPr>
        <w:t>evaluation to NSCLC.</w:t>
      </w:r>
    </w:p>
    <w:p w:rsidR="007C3499" w:rsidRDefault="007C3499" w:rsidP="00796D25">
      <w:pPr>
        <w:pStyle w:val="TableFooter"/>
        <w:keepNext/>
        <w:keepLines/>
      </w:pPr>
      <w:r>
        <w:t xml:space="preserve">BID = “bis in die” or twice a day; CRC = colorectal cancer; FISH = Fluorescence is situ hybridisation; IHC = immunohistochemistry; NGS = next generation sequencing; NNT = number needed to treat; NPV = negative predictive value; NSCLC = non-small cell lung cancer; </w:t>
      </w:r>
      <w:r w:rsidRPr="00623261">
        <w:rPr>
          <w:i/>
        </w:rPr>
        <w:t>NTRK</w:t>
      </w:r>
      <w:r>
        <w:t xml:space="preserve"> = neurotrophic receptor tyrosine kinase; MASC = mammary analogue secretory carcinoma; PPV = positive predictive value; RNA = ribonucleic acid; R/R = refractory/relapsed; SBC = secretory breast cancer; SoC = standard of care; STS = soft tissue sarcoma</w:t>
      </w:r>
    </w:p>
    <w:p w:rsidR="00D744A5" w:rsidRPr="004B374C" w:rsidRDefault="00D744A5" w:rsidP="00D744A5">
      <w:pPr>
        <w:pStyle w:val="ListParagraph"/>
      </w:pPr>
      <w:r w:rsidRPr="00B678C4">
        <w:t xml:space="preserve">Proposed place in the clinical management algorithm: For adult </w:t>
      </w:r>
      <w:r w:rsidR="003F58AB" w:rsidRPr="00B678C4">
        <w:t xml:space="preserve">high fusion frequency </w:t>
      </w:r>
      <w:r w:rsidR="003F58AB">
        <w:t xml:space="preserve">cancers </w:t>
      </w:r>
      <w:r w:rsidRPr="00B678C4">
        <w:t xml:space="preserve">and paediatric cancers, </w:t>
      </w:r>
      <w:r w:rsidR="00183CEB">
        <w:t xml:space="preserve">a </w:t>
      </w:r>
      <w:r w:rsidRPr="00B678C4">
        <w:t xml:space="preserve">first-line treatment was proposed. For adults with low </w:t>
      </w:r>
      <w:r w:rsidR="00183CEB" w:rsidRPr="00B678C4">
        <w:t xml:space="preserve">fusion </w:t>
      </w:r>
      <w:r w:rsidRPr="00B678C4">
        <w:t xml:space="preserve">frequency cancers, </w:t>
      </w:r>
      <w:r w:rsidRPr="003F58AB">
        <w:t>the clinical management algorithms proposed in the resubmission was that patients need to have progressed on first-line SoC, second</w:t>
      </w:r>
      <w:r w:rsidR="007540C1">
        <w:t>-</w:t>
      </w:r>
      <w:r w:rsidRPr="003F58AB">
        <w:t>line SoC, and subsequent lines of therapy until patients have no other suitable</w:t>
      </w:r>
      <w:r w:rsidRPr="004B374C">
        <w:t xml:space="preserve"> therapies available.</w:t>
      </w:r>
    </w:p>
    <w:p w:rsidR="00D744A5" w:rsidRPr="004B374C" w:rsidRDefault="00D744A5" w:rsidP="009F39EF">
      <w:pPr>
        <w:pStyle w:val="ListParagraph"/>
      </w:pPr>
      <w:r w:rsidRPr="004B374C">
        <w:t xml:space="preserve">Larotrectinib is expected to </w:t>
      </w:r>
      <w:r w:rsidR="003F58AB">
        <w:t>displace</w:t>
      </w:r>
      <w:r w:rsidRPr="004B374C">
        <w:t xml:space="preserve"> the SoC therapies available for the proposed treatment lines (as described above). </w:t>
      </w:r>
      <w:r w:rsidRPr="00887CB9">
        <w:t xml:space="preserve">The proposed first-line use for the adult high fusion frequency tumours and paediatric fusion tumours appears broader than the provisionally approved TGA indication which is for patients who have either progressed following treatment or who do not have any satisfactory alternative therapy. For some paediatric patients however, such as those who would otherwise require disfiguring surgery or limb amputation to achieve a complete surgical resection, </w:t>
      </w:r>
      <w:r w:rsidR="00E31F49" w:rsidRPr="00887CB9">
        <w:t xml:space="preserve">this </w:t>
      </w:r>
      <w:r w:rsidRPr="00887CB9">
        <w:t>may represent a scenario where larotrectinib may be used in an earlier</w:t>
      </w:r>
      <w:r w:rsidRPr="004B374C">
        <w:rPr>
          <w:i/>
        </w:rPr>
        <w:t xml:space="preserve"> </w:t>
      </w:r>
      <w:r w:rsidRPr="00887CB9">
        <w:t xml:space="preserve">treatment line for locally advanced resectable paediatric cancer (paragraph 2.7, larotrectinib </w:t>
      </w:r>
      <w:r w:rsidR="009F39EF" w:rsidRPr="009F39EF">
        <w:rPr>
          <w:iCs/>
        </w:rPr>
        <w:t xml:space="preserve">Public Summary Document </w:t>
      </w:r>
      <w:r w:rsidR="009F39EF">
        <w:rPr>
          <w:iCs/>
        </w:rPr>
        <w:t>(</w:t>
      </w:r>
      <w:r w:rsidRPr="00887CB9">
        <w:t>PSD</w:t>
      </w:r>
      <w:r w:rsidR="009F39EF">
        <w:t>)</w:t>
      </w:r>
      <w:r w:rsidRPr="00887CB9">
        <w:t>, November 2020).</w:t>
      </w:r>
    </w:p>
    <w:p w:rsidR="00C317F3" w:rsidRDefault="00C317F3" w:rsidP="0009334C">
      <w:pPr>
        <w:pStyle w:val="PBACESHeading1"/>
        <w:numPr>
          <w:ilvl w:val="0"/>
          <w:numId w:val="98"/>
        </w:numPr>
        <w:rPr>
          <w:rFonts w:asciiTheme="minorHAnsi" w:hAnsiTheme="minorHAnsi" w:cstheme="minorHAnsi"/>
          <w:sz w:val="32"/>
          <w:szCs w:val="40"/>
        </w:rPr>
      </w:pPr>
      <w:bookmarkStart w:id="4" w:name="_Toc413139272"/>
      <w:bookmarkStart w:id="5" w:name="_Toc82597070"/>
      <w:r w:rsidRPr="0009334C">
        <w:rPr>
          <w:rFonts w:asciiTheme="minorHAnsi" w:hAnsiTheme="minorHAnsi" w:cstheme="minorHAnsi"/>
          <w:sz w:val="32"/>
          <w:szCs w:val="40"/>
        </w:rPr>
        <w:t>Requested listing</w:t>
      </w:r>
      <w:bookmarkEnd w:id="4"/>
      <w:bookmarkEnd w:id="5"/>
    </w:p>
    <w:p w:rsidR="00D744A5" w:rsidRPr="00D744A5" w:rsidRDefault="00D744A5" w:rsidP="00D51B2C">
      <w:pPr>
        <w:pStyle w:val="Caption"/>
      </w:pPr>
      <w:r w:rsidRPr="00D744A5">
        <w:t>Essential elements of the requested listing (initial pack – first 3 months of therapy)</w:t>
      </w:r>
    </w:p>
    <w:tbl>
      <w:tblPr>
        <w:tblStyle w:val="HTATableshaded"/>
        <w:tblW w:w="0" w:type="auto"/>
        <w:tblLook w:val="04A0" w:firstRow="1" w:lastRow="0" w:firstColumn="1" w:lastColumn="0" w:noHBand="0" w:noVBand="1"/>
        <w:tblCaption w:val="Essential elements of the requested listing (initial pack – first 3 months of therapy)"/>
      </w:tblPr>
      <w:tblGrid>
        <w:gridCol w:w="2821"/>
        <w:gridCol w:w="1413"/>
        <w:gridCol w:w="990"/>
        <w:gridCol w:w="2029"/>
        <w:gridCol w:w="1763"/>
      </w:tblGrid>
      <w:tr w:rsidR="00D744A5" w:rsidRPr="00D744A5" w:rsidTr="005B2570">
        <w:trPr>
          <w:cnfStyle w:val="100000000000" w:firstRow="1" w:lastRow="0" w:firstColumn="0" w:lastColumn="0" w:oddVBand="0" w:evenVBand="0" w:oddHBand="0" w:evenHBand="0" w:firstRowFirstColumn="0" w:firstRowLastColumn="0" w:lastRowFirstColumn="0" w:lastRowLastColumn="0"/>
          <w:cantSplit/>
          <w:tblHeader/>
        </w:trPr>
        <w:tc>
          <w:tcPr>
            <w:tcW w:w="0" w:type="auto"/>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b/>
                <w:sz w:val="20"/>
              </w:rPr>
              <w:t>Name, restriction, manner of administration, form</w:t>
            </w:r>
          </w:p>
        </w:tc>
        <w:tc>
          <w:tcPr>
            <w:tcW w:w="0" w:type="auto"/>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b/>
                <w:sz w:val="20"/>
              </w:rPr>
              <w:t>Maximum amount (units)</w:t>
            </w:r>
          </w:p>
        </w:tc>
        <w:tc>
          <w:tcPr>
            <w:tcW w:w="0" w:type="auto"/>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b/>
                <w:sz w:val="20"/>
              </w:rPr>
              <w:t>No. of repeats</w:t>
            </w:r>
          </w:p>
        </w:tc>
        <w:tc>
          <w:tcPr>
            <w:tcW w:w="2029" w:type="dxa"/>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b/>
                <w:sz w:val="20"/>
              </w:rPr>
              <w:t xml:space="preserve">Dispensed price for maximum amount </w:t>
            </w:r>
          </w:p>
        </w:tc>
        <w:tc>
          <w:tcPr>
            <w:tcW w:w="1763" w:type="dxa"/>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b/>
                <w:sz w:val="20"/>
              </w:rPr>
              <w:t>Proprietary name and manufacturer</w:t>
            </w:r>
          </w:p>
        </w:tc>
      </w:tr>
      <w:tr w:rsidR="00D744A5" w:rsidRPr="00D744A5" w:rsidTr="005B2570">
        <w:trPr>
          <w:cantSplit/>
        </w:trPr>
        <w:tc>
          <w:tcPr>
            <w:tcW w:w="0" w:type="auto"/>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Larotrectinib, 100 mg, oral capsules</w:t>
            </w:r>
          </w:p>
        </w:tc>
        <w:tc>
          <w:tcPr>
            <w:tcW w:w="0" w:type="auto"/>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56</w:t>
            </w:r>
          </w:p>
        </w:tc>
        <w:tc>
          <w:tcPr>
            <w:tcW w:w="0" w:type="auto"/>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2</w:t>
            </w:r>
          </w:p>
        </w:tc>
        <w:tc>
          <w:tcPr>
            <w:tcW w:w="2029" w:type="dxa"/>
          </w:tcPr>
          <w:p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Public</w:t>
            </w:r>
          </w:p>
          <w:p w:rsidR="00D744A5" w:rsidRPr="005B2570" w:rsidRDefault="005B2570" w:rsidP="00D744A5">
            <w:pPr>
              <w:widowControl w:val="0"/>
              <w:spacing w:before="40" w:after="40" w:line="256" w:lineRule="auto"/>
              <w:jc w:val="left"/>
              <w:rPr>
                <w:rFonts w:ascii="Arial Narrow" w:hAnsi="Arial Narrow"/>
                <w:sz w:val="20"/>
              </w:rPr>
            </w:pPr>
            <w:r>
              <w:rPr>
                <w:rFonts w:ascii="Arial Narrow" w:hAnsi="Arial Narrow"/>
                <w:sz w:val="20"/>
              </w:rPr>
              <w:t>Published $</w:t>
            </w:r>
            <w:r w:rsidR="00675CB4">
              <w:rPr>
                <w:rFonts w:ascii="Arial Narrow" w:hAnsi="Arial Narrow"/>
                <w:noProof/>
                <w:color w:val="000000"/>
                <w:sz w:val="20"/>
                <w:highlight w:val="black"/>
              </w:rPr>
              <w:t>'''''''''''''''''''''''</w:t>
            </w:r>
            <w:r w:rsidR="00D744A5" w:rsidRPr="00D744A5">
              <w:rPr>
                <w:rFonts w:ascii="Arial Narrow" w:hAnsi="Arial Narrow"/>
                <w:sz w:val="20"/>
              </w:rPr>
              <w:br/>
            </w:r>
            <w:r w:rsidR="00D744A5" w:rsidRPr="005B2570">
              <w:rPr>
                <w:rFonts w:ascii="Arial Narrow" w:hAnsi="Arial Narrow"/>
                <w:sz w:val="20"/>
              </w:rPr>
              <w:t>Effective $</w:t>
            </w:r>
            <w:r w:rsidR="00675CB4">
              <w:rPr>
                <w:rFonts w:ascii="Arial Narrow" w:hAnsi="Arial Narrow"/>
                <w:noProof/>
                <w:color w:val="000000"/>
                <w:sz w:val="20"/>
                <w:highlight w:val="black"/>
              </w:rPr>
              <w:t>'''''''''''''''''''''</w:t>
            </w:r>
          </w:p>
          <w:p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Private</w:t>
            </w:r>
          </w:p>
          <w:p w:rsidR="00D744A5" w:rsidRPr="00D744A5" w:rsidRDefault="005B2570" w:rsidP="005B2570">
            <w:pPr>
              <w:widowControl w:val="0"/>
              <w:spacing w:before="40" w:after="40" w:line="256" w:lineRule="auto"/>
              <w:jc w:val="left"/>
              <w:rPr>
                <w:rFonts w:ascii="Arial Narrow" w:hAnsi="Arial Narrow"/>
                <w:sz w:val="20"/>
              </w:rPr>
            </w:pPr>
            <w:r>
              <w:rPr>
                <w:rFonts w:ascii="Arial Narrow" w:hAnsi="Arial Narrow"/>
                <w:sz w:val="20"/>
              </w:rPr>
              <w:t>Published $</w:t>
            </w:r>
            <w:r w:rsidR="00675CB4">
              <w:rPr>
                <w:rFonts w:ascii="Arial Narrow" w:hAnsi="Arial Narrow"/>
                <w:noProof/>
                <w:color w:val="000000"/>
                <w:sz w:val="20"/>
                <w:highlight w:val="black"/>
              </w:rPr>
              <w:t>'''''''''''''''''''''''</w:t>
            </w:r>
            <w:r w:rsidR="00D744A5" w:rsidRPr="00D744A5">
              <w:rPr>
                <w:rFonts w:ascii="Arial Narrow" w:hAnsi="Arial Narrow"/>
                <w:sz w:val="20"/>
              </w:rPr>
              <w:br/>
            </w:r>
            <w:r w:rsidRPr="00EE4A2A">
              <w:rPr>
                <w:rFonts w:ascii="Arial Narrow" w:hAnsi="Arial Narrow"/>
                <w:sz w:val="20"/>
              </w:rPr>
              <w:t>Effective $</w:t>
            </w:r>
            <w:r w:rsidR="00675CB4">
              <w:rPr>
                <w:rFonts w:ascii="Arial Narrow" w:hAnsi="Arial Narrow"/>
                <w:noProof/>
                <w:color w:val="000000"/>
                <w:sz w:val="20"/>
                <w:highlight w:val="black"/>
              </w:rPr>
              <w:t>'''''''''''''''''''</w:t>
            </w:r>
          </w:p>
        </w:tc>
        <w:tc>
          <w:tcPr>
            <w:tcW w:w="1763" w:type="dxa"/>
            <w:vMerge w:val="restart"/>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VITRAKVI</w:t>
            </w:r>
            <w:r w:rsidRPr="00D744A5">
              <w:rPr>
                <w:rFonts w:ascii="Arial Narrow" w:hAnsi="Arial Narrow"/>
                <w:sz w:val="20"/>
                <w:vertAlign w:val="superscript"/>
              </w:rPr>
              <w:t>®</w:t>
            </w:r>
            <w:r w:rsidRPr="00D744A5">
              <w:rPr>
                <w:rFonts w:ascii="Arial Narrow" w:hAnsi="Arial Narrow"/>
                <w:sz w:val="20"/>
              </w:rPr>
              <w:t>,</w:t>
            </w:r>
          </w:p>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Bayer Australia Ltd</w:t>
            </w:r>
          </w:p>
        </w:tc>
      </w:tr>
      <w:tr w:rsidR="00D744A5" w:rsidRPr="00D744A5" w:rsidTr="005B2570">
        <w:trPr>
          <w:cantSplit/>
        </w:trPr>
        <w:tc>
          <w:tcPr>
            <w:tcW w:w="0" w:type="auto"/>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Larotrectinib, 25 mg, oral capsules</w:t>
            </w:r>
          </w:p>
        </w:tc>
        <w:tc>
          <w:tcPr>
            <w:tcW w:w="0" w:type="auto"/>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56</w:t>
            </w:r>
          </w:p>
        </w:tc>
        <w:tc>
          <w:tcPr>
            <w:tcW w:w="0" w:type="auto"/>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2</w:t>
            </w:r>
          </w:p>
        </w:tc>
        <w:tc>
          <w:tcPr>
            <w:tcW w:w="2029" w:type="dxa"/>
          </w:tcPr>
          <w:p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Public</w:t>
            </w:r>
          </w:p>
          <w:p w:rsidR="00D744A5" w:rsidRPr="00195166" w:rsidRDefault="00D744A5" w:rsidP="00D744A5">
            <w:pPr>
              <w:widowControl w:val="0"/>
              <w:spacing w:before="40" w:after="40" w:line="256" w:lineRule="auto"/>
              <w:jc w:val="left"/>
              <w:rPr>
                <w:rFonts w:ascii="Arial Narrow" w:hAnsi="Arial Narrow"/>
                <w:i/>
                <w:sz w:val="20"/>
              </w:rPr>
            </w:pPr>
            <w:r w:rsidRPr="00D744A5">
              <w:rPr>
                <w:rFonts w:ascii="Arial Narrow" w:hAnsi="Arial Narrow"/>
                <w:sz w:val="20"/>
              </w:rPr>
              <w:t>Published $</w:t>
            </w:r>
            <w:r w:rsidR="00675CB4">
              <w:rPr>
                <w:rFonts w:ascii="Arial Narrow" w:hAnsi="Arial Narrow"/>
                <w:noProof/>
                <w:color w:val="000000"/>
                <w:sz w:val="20"/>
                <w:highlight w:val="black"/>
              </w:rPr>
              <w:t>'''''''''''''''''''''</w:t>
            </w:r>
            <w:r w:rsidRPr="00D744A5">
              <w:rPr>
                <w:rFonts w:ascii="Arial Narrow" w:hAnsi="Arial Narrow"/>
                <w:sz w:val="20"/>
              </w:rPr>
              <w:br/>
            </w:r>
            <w:r w:rsidR="005B2570">
              <w:rPr>
                <w:rFonts w:ascii="Arial Narrow" w:hAnsi="Arial Narrow"/>
                <w:sz w:val="20"/>
              </w:rPr>
              <w:t>Effective $</w:t>
            </w:r>
            <w:r w:rsidR="00675CB4">
              <w:rPr>
                <w:rFonts w:ascii="Arial Narrow" w:hAnsi="Arial Narrow"/>
                <w:noProof/>
                <w:color w:val="000000"/>
                <w:sz w:val="20"/>
                <w:highlight w:val="black"/>
              </w:rPr>
              <w:t>'''''''''''''''''''''</w:t>
            </w:r>
          </w:p>
          <w:p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Private</w:t>
            </w:r>
          </w:p>
          <w:p w:rsidR="00D744A5" w:rsidRPr="00D744A5" w:rsidRDefault="00D744A5" w:rsidP="005B2570">
            <w:pPr>
              <w:widowControl w:val="0"/>
              <w:spacing w:before="40" w:after="40" w:line="256" w:lineRule="auto"/>
              <w:jc w:val="left"/>
              <w:rPr>
                <w:rFonts w:ascii="Arial Narrow" w:hAnsi="Arial Narrow"/>
                <w:sz w:val="20"/>
                <w:u w:val="single"/>
              </w:rPr>
            </w:pPr>
            <w:r w:rsidRPr="00D744A5">
              <w:rPr>
                <w:rFonts w:ascii="Arial Narrow" w:hAnsi="Arial Narrow"/>
                <w:sz w:val="20"/>
              </w:rPr>
              <w:t>Published $</w:t>
            </w:r>
            <w:r w:rsidR="00675CB4">
              <w:rPr>
                <w:rFonts w:ascii="Arial Narrow" w:hAnsi="Arial Narrow"/>
                <w:noProof/>
                <w:color w:val="000000"/>
                <w:sz w:val="20"/>
                <w:highlight w:val="black"/>
              </w:rPr>
              <w:t>'''''''''''''''''''''</w:t>
            </w:r>
            <w:r w:rsidRPr="00D744A5">
              <w:rPr>
                <w:rFonts w:ascii="Arial Narrow" w:hAnsi="Arial Narrow"/>
                <w:sz w:val="20"/>
              </w:rPr>
              <w:br/>
            </w:r>
            <w:r w:rsidRPr="00EE4A2A">
              <w:rPr>
                <w:rFonts w:ascii="Arial Narrow" w:hAnsi="Arial Narrow"/>
                <w:sz w:val="20"/>
              </w:rPr>
              <w:t>Effective $</w:t>
            </w:r>
            <w:r w:rsidR="00675CB4">
              <w:rPr>
                <w:rFonts w:ascii="Arial Narrow" w:hAnsi="Arial Narrow"/>
                <w:noProof/>
                <w:color w:val="000000"/>
                <w:sz w:val="20"/>
                <w:highlight w:val="black"/>
              </w:rPr>
              <w:t>''''''''''''''''''''</w:t>
            </w:r>
          </w:p>
        </w:tc>
        <w:tc>
          <w:tcPr>
            <w:tcW w:w="1763" w:type="dxa"/>
            <w:vMerge/>
          </w:tcPr>
          <w:p w:rsidR="00D744A5" w:rsidRPr="00D744A5" w:rsidRDefault="00D744A5" w:rsidP="00D744A5">
            <w:pPr>
              <w:widowControl w:val="0"/>
              <w:spacing w:before="40" w:after="40" w:line="256" w:lineRule="auto"/>
              <w:jc w:val="left"/>
              <w:rPr>
                <w:rFonts w:ascii="Arial Narrow" w:hAnsi="Arial Narrow"/>
                <w:sz w:val="20"/>
              </w:rPr>
            </w:pPr>
          </w:p>
        </w:tc>
      </w:tr>
      <w:tr w:rsidR="00D744A5" w:rsidRPr="00D744A5" w:rsidTr="005B2570">
        <w:trPr>
          <w:cantSplit/>
        </w:trPr>
        <w:tc>
          <w:tcPr>
            <w:tcW w:w="0" w:type="auto"/>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Larotrectinib, 20 mg/ml, 1 × 100 ml bottle solution, oral administration</w:t>
            </w:r>
          </w:p>
        </w:tc>
        <w:tc>
          <w:tcPr>
            <w:tcW w:w="0" w:type="auto"/>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100</w:t>
            </w:r>
          </w:p>
        </w:tc>
        <w:tc>
          <w:tcPr>
            <w:tcW w:w="0" w:type="auto"/>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2</w:t>
            </w:r>
          </w:p>
        </w:tc>
        <w:tc>
          <w:tcPr>
            <w:tcW w:w="2029" w:type="dxa"/>
          </w:tcPr>
          <w:p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Public</w:t>
            </w:r>
          </w:p>
          <w:p w:rsidR="00D744A5" w:rsidRPr="005B2570"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Published $</w:t>
            </w:r>
            <w:r w:rsidR="00675CB4">
              <w:rPr>
                <w:rFonts w:ascii="Arial Narrow" w:hAnsi="Arial Narrow"/>
                <w:noProof/>
                <w:color w:val="000000"/>
                <w:sz w:val="20"/>
                <w:highlight w:val="black"/>
              </w:rPr>
              <w:t>'''''''''''''''''''</w:t>
            </w:r>
            <w:r w:rsidRPr="00D744A5">
              <w:rPr>
                <w:rFonts w:ascii="Arial Narrow" w:hAnsi="Arial Narrow"/>
                <w:sz w:val="20"/>
              </w:rPr>
              <w:br/>
            </w:r>
            <w:r w:rsidRPr="005B2570">
              <w:rPr>
                <w:rFonts w:ascii="Arial Narrow" w:hAnsi="Arial Narrow"/>
                <w:sz w:val="20"/>
              </w:rPr>
              <w:t>Effective $</w:t>
            </w:r>
            <w:r w:rsidR="00675CB4">
              <w:rPr>
                <w:rFonts w:ascii="Arial Narrow" w:hAnsi="Arial Narrow"/>
                <w:noProof/>
                <w:color w:val="000000"/>
                <w:sz w:val="20"/>
                <w:highlight w:val="black"/>
              </w:rPr>
              <w:t>'''''''''''''''''''''</w:t>
            </w:r>
          </w:p>
          <w:p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Private</w:t>
            </w:r>
          </w:p>
          <w:p w:rsidR="00D744A5" w:rsidRPr="00D744A5" w:rsidRDefault="005B2570" w:rsidP="005B2570">
            <w:pPr>
              <w:widowControl w:val="0"/>
              <w:spacing w:before="40" w:after="40" w:line="256" w:lineRule="auto"/>
              <w:jc w:val="left"/>
              <w:rPr>
                <w:rFonts w:ascii="Arial Narrow" w:hAnsi="Arial Narrow"/>
                <w:sz w:val="20"/>
                <w:u w:val="single"/>
              </w:rPr>
            </w:pPr>
            <w:r>
              <w:rPr>
                <w:rFonts w:ascii="Arial Narrow" w:hAnsi="Arial Narrow"/>
                <w:sz w:val="20"/>
              </w:rPr>
              <w:t>Published $</w:t>
            </w:r>
            <w:r w:rsidR="00675CB4">
              <w:rPr>
                <w:rFonts w:ascii="Arial Narrow" w:hAnsi="Arial Narrow"/>
                <w:noProof/>
                <w:color w:val="000000"/>
                <w:sz w:val="20"/>
                <w:highlight w:val="black"/>
              </w:rPr>
              <w:t>'''''''''''''''''''</w:t>
            </w:r>
            <w:r w:rsidR="00D744A5" w:rsidRPr="00D744A5">
              <w:rPr>
                <w:rFonts w:ascii="Arial Narrow" w:hAnsi="Arial Narrow"/>
                <w:sz w:val="20"/>
              </w:rPr>
              <w:br/>
            </w:r>
            <w:r w:rsidR="00D744A5" w:rsidRPr="00EE4A2A">
              <w:rPr>
                <w:rFonts w:ascii="Arial Narrow" w:hAnsi="Arial Narrow"/>
                <w:sz w:val="20"/>
              </w:rPr>
              <w:t>Effective $</w:t>
            </w:r>
            <w:r w:rsidR="00675CB4">
              <w:rPr>
                <w:rFonts w:ascii="Arial Narrow" w:hAnsi="Arial Narrow"/>
                <w:noProof/>
                <w:color w:val="000000"/>
                <w:sz w:val="20"/>
                <w:highlight w:val="black"/>
              </w:rPr>
              <w:t>'''''''''''''''''''''''</w:t>
            </w:r>
          </w:p>
        </w:tc>
        <w:tc>
          <w:tcPr>
            <w:tcW w:w="1763" w:type="dxa"/>
            <w:vMerge/>
          </w:tcPr>
          <w:p w:rsidR="00D744A5" w:rsidRPr="00D744A5" w:rsidRDefault="00D744A5" w:rsidP="00D744A5">
            <w:pPr>
              <w:widowControl w:val="0"/>
              <w:spacing w:before="40" w:after="40" w:line="256" w:lineRule="auto"/>
              <w:jc w:val="left"/>
              <w:rPr>
                <w:rFonts w:ascii="Arial Narrow" w:hAnsi="Arial Narrow"/>
                <w:sz w:val="20"/>
              </w:rPr>
            </w:pPr>
          </w:p>
        </w:tc>
      </w:tr>
    </w:tbl>
    <w:p w:rsidR="00D744A5" w:rsidRDefault="00D744A5" w:rsidP="00D744A5">
      <w:pPr>
        <w:pStyle w:val="TableFooter"/>
      </w:pPr>
      <w:r w:rsidRPr="00D744A5">
        <w:t>Source: Table 1.20, p85 of the resubmission</w:t>
      </w:r>
    </w:p>
    <w:p w:rsidR="00D744A5" w:rsidRPr="00D744A5" w:rsidRDefault="00D744A5" w:rsidP="00D51B2C">
      <w:pPr>
        <w:pStyle w:val="Caption"/>
      </w:pPr>
      <w:r w:rsidRPr="00D744A5">
        <w:t>Essential elements of the requested listing (continuing pack)</w:t>
      </w:r>
    </w:p>
    <w:tbl>
      <w:tblPr>
        <w:tblStyle w:val="HTATableshaded"/>
        <w:tblW w:w="0" w:type="auto"/>
        <w:tblLook w:val="04A0" w:firstRow="1" w:lastRow="0" w:firstColumn="1" w:lastColumn="0" w:noHBand="0" w:noVBand="1"/>
        <w:tblCaption w:val="Essential elements of the requested listing (continuing pack)"/>
      </w:tblPr>
      <w:tblGrid>
        <w:gridCol w:w="2066"/>
        <w:gridCol w:w="973"/>
        <w:gridCol w:w="1336"/>
        <w:gridCol w:w="956"/>
        <w:gridCol w:w="1960"/>
        <w:gridCol w:w="1725"/>
      </w:tblGrid>
      <w:tr w:rsidR="00D744A5" w:rsidRPr="00D744A5" w:rsidTr="003B6B2C">
        <w:trPr>
          <w:cnfStyle w:val="100000000000" w:firstRow="1" w:lastRow="0" w:firstColumn="0" w:lastColumn="0" w:oddVBand="0" w:evenVBand="0" w:oddHBand="0" w:evenHBand="0" w:firstRowFirstColumn="0" w:firstRowLastColumn="0" w:lastRowFirstColumn="0" w:lastRowLastColumn="0"/>
          <w:tblHeader/>
        </w:trPr>
        <w:tc>
          <w:tcPr>
            <w:tcW w:w="2122" w:type="dxa"/>
            <w:shd w:val="clear" w:color="auto" w:fill="auto"/>
          </w:tcPr>
          <w:p w:rsidR="00D744A5" w:rsidRPr="00D744A5" w:rsidRDefault="00D744A5" w:rsidP="00D744A5">
            <w:pPr>
              <w:keepNext/>
              <w:widowControl w:val="0"/>
              <w:spacing w:before="40" w:after="40" w:line="257" w:lineRule="auto"/>
              <w:jc w:val="left"/>
              <w:rPr>
                <w:rFonts w:ascii="Arial Narrow" w:hAnsi="Arial Narrow"/>
                <w:b/>
                <w:sz w:val="20"/>
              </w:rPr>
            </w:pPr>
            <w:r w:rsidRPr="00D744A5">
              <w:rPr>
                <w:rFonts w:ascii="Arial Narrow" w:hAnsi="Arial Narrow"/>
                <w:b/>
                <w:sz w:val="20"/>
              </w:rPr>
              <w:t>Name, restriction, manner of administration, form</w:t>
            </w:r>
          </w:p>
        </w:tc>
        <w:tc>
          <w:tcPr>
            <w:tcW w:w="767" w:type="dxa"/>
            <w:shd w:val="clear" w:color="auto" w:fill="auto"/>
          </w:tcPr>
          <w:p w:rsidR="00D744A5" w:rsidRPr="00D744A5" w:rsidRDefault="00D744A5" w:rsidP="00D744A5">
            <w:pPr>
              <w:keepNext/>
              <w:widowControl w:val="0"/>
              <w:spacing w:before="40" w:after="40" w:line="257" w:lineRule="auto"/>
              <w:jc w:val="left"/>
              <w:rPr>
                <w:rFonts w:ascii="Arial Narrow" w:hAnsi="Arial Narrow"/>
                <w:b/>
                <w:sz w:val="20"/>
              </w:rPr>
            </w:pPr>
            <w:r w:rsidRPr="00D744A5">
              <w:rPr>
                <w:rFonts w:ascii="Arial Narrow" w:hAnsi="Arial Narrow"/>
                <w:b/>
                <w:sz w:val="20"/>
              </w:rPr>
              <w:t>Maximum amount (packs)</w:t>
            </w:r>
          </w:p>
        </w:tc>
        <w:tc>
          <w:tcPr>
            <w:tcW w:w="1366" w:type="dxa"/>
            <w:shd w:val="clear" w:color="auto" w:fill="auto"/>
          </w:tcPr>
          <w:p w:rsidR="00D744A5" w:rsidRPr="00D744A5" w:rsidRDefault="00D744A5" w:rsidP="00D744A5">
            <w:pPr>
              <w:keepNext/>
              <w:widowControl w:val="0"/>
              <w:spacing w:before="40" w:after="40" w:line="257" w:lineRule="auto"/>
              <w:jc w:val="left"/>
              <w:rPr>
                <w:rFonts w:ascii="Arial Narrow" w:hAnsi="Arial Narrow"/>
                <w:b/>
                <w:sz w:val="20"/>
              </w:rPr>
            </w:pPr>
            <w:r w:rsidRPr="00D744A5">
              <w:rPr>
                <w:rFonts w:ascii="Arial Narrow" w:hAnsi="Arial Narrow"/>
                <w:b/>
                <w:sz w:val="20"/>
              </w:rPr>
              <w:t>Maximum amount (units)</w:t>
            </w:r>
          </w:p>
        </w:tc>
        <w:tc>
          <w:tcPr>
            <w:tcW w:w="969" w:type="dxa"/>
            <w:shd w:val="clear" w:color="auto" w:fill="auto"/>
          </w:tcPr>
          <w:p w:rsidR="00D744A5" w:rsidRPr="00D744A5" w:rsidRDefault="00D744A5" w:rsidP="00D744A5">
            <w:pPr>
              <w:keepNext/>
              <w:widowControl w:val="0"/>
              <w:spacing w:before="40" w:after="40" w:line="257" w:lineRule="auto"/>
              <w:jc w:val="left"/>
              <w:rPr>
                <w:rFonts w:ascii="Arial Narrow" w:hAnsi="Arial Narrow"/>
                <w:b/>
                <w:sz w:val="20"/>
              </w:rPr>
            </w:pPr>
            <w:r w:rsidRPr="00D744A5">
              <w:rPr>
                <w:rFonts w:ascii="Arial Narrow" w:hAnsi="Arial Narrow"/>
                <w:b/>
                <w:sz w:val="20"/>
              </w:rPr>
              <w:t>No. of repeats</w:t>
            </w:r>
          </w:p>
        </w:tc>
        <w:tc>
          <w:tcPr>
            <w:tcW w:w="2029" w:type="dxa"/>
            <w:shd w:val="clear" w:color="auto" w:fill="auto"/>
          </w:tcPr>
          <w:p w:rsidR="00D744A5" w:rsidRPr="00D744A5" w:rsidRDefault="00D744A5" w:rsidP="00D744A5">
            <w:pPr>
              <w:keepNext/>
              <w:widowControl w:val="0"/>
              <w:spacing w:before="40" w:after="40" w:line="257" w:lineRule="auto"/>
              <w:jc w:val="left"/>
              <w:rPr>
                <w:rFonts w:ascii="Arial Narrow" w:hAnsi="Arial Narrow"/>
                <w:b/>
                <w:sz w:val="20"/>
              </w:rPr>
            </w:pPr>
            <w:r w:rsidRPr="00D744A5">
              <w:rPr>
                <w:rFonts w:ascii="Arial Narrow" w:hAnsi="Arial Narrow"/>
                <w:b/>
                <w:sz w:val="20"/>
              </w:rPr>
              <w:t xml:space="preserve">Dispensed price for maximum amount </w:t>
            </w:r>
          </w:p>
        </w:tc>
        <w:tc>
          <w:tcPr>
            <w:tcW w:w="1763" w:type="dxa"/>
            <w:shd w:val="clear" w:color="auto" w:fill="auto"/>
          </w:tcPr>
          <w:p w:rsidR="00D744A5" w:rsidRPr="00D744A5" w:rsidRDefault="00D744A5" w:rsidP="00D744A5">
            <w:pPr>
              <w:keepNext/>
              <w:widowControl w:val="0"/>
              <w:spacing w:before="40" w:after="40" w:line="257" w:lineRule="auto"/>
              <w:jc w:val="left"/>
              <w:rPr>
                <w:rFonts w:ascii="Arial Narrow" w:hAnsi="Arial Narrow"/>
                <w:b/>
                <w:sz w:val="20"/>
              </w:rPr>
            </w:pPr>
            <w:r w:rsidRPr="00D744A5">
              <w:rPr>
                <w:rFonts w:ascii="Arial Narrow" w:hAnsi="Arial Narrow"/>
                <w:b/>
                <w:sz w:val="20"/>
              </w:rPr>
              <w:t>Proprietary name and manufacturer</w:t>
            </w:r>
          </w:p>
        </w:tc>
      </w:tr>
      <w:tr w:rsidR="00D744A5" w:rsidRPr="00D744A5" w:rsidTr="00D744A5">
        <w:tc>
          <w:tcPr>
            <w:tcW w:w="2122" w:type="dxa"/>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Larotrectinib, 100 mg, oral capsules</w:t>
            </w:r>
          </w:p>
        </w:tc>
        <w:tc>
          <w:tcPr>
            <w:tcW w:w="767" w:type="dxa"/>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1</w:t>
            </w:r>
          </w:p>
        </w:tc>
        <w:tc>
          <w:tcPr>
            <w:tcW w:w="1366" w:type="dxa"/>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56</w:t>
            </w:r>
          </w:p>
        </w:tc>
        <w:tc>
          <w:tcPr>
            <w:tcW w:w="969" w:type="dxa"/>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5</w:t>
            </w:r>
          </w:p>
        </w:tc>
        <w:tc>
          <w:tcPr>
            <w:tcW w:w="2029" w:type="dxa"/>
          </w:tcPr>
          <w:p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Public</w:t>
            </w:r>
          </w:p>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Published $</w:t>
            </w:r>
            <w:r w:rsidR="00675CB4">
              <w:rPr>
                <w:rFonts w:ascii="Arial Narrow" w:hAnsi="Arial Narrow"/>
                <w:noProof/>
                <w:color w:val="000000"/>
                <w:sz w:val="20"/>
                <w:highlight w:val="black"/>
              </w:rPr>
              <w:t>'''''''''''''''''''''''''</w:t>
            </w:r>
            <w:r w:rsidRPr="00D744A5">
              <w:rPr>
                <w:rFonts w:ascii="Arial Narrow" w:hAnsi="Arial Narrow"/>
                <w:sz w:val="20"/>
              </w:rPr>
              <w:br/>
              <w:t>Effective $</w:t>
            </w:r>
            <w:r w:rsidR="00675CB4">
              <w:rPr>
                <w:rFonts w:ascii="Arial Narrow" w:hAnsi="Arial Narrow"/>
                <w:noProof/>
                <w:color w:val="000000"/>
                <w:sz w:val="20"/>
                <w:highlight w:val="black"/>
              </w:rPr>
              <w:t>''''''''''''''''''''</w:t>
            </w:r>
          </w:p>
          <w:p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Private</w:t>
            </w:r>
          </w:p>
          <w:p w:rsidR="00D744A5" w:rsidRPr="00D744A5" w:rsidRDefault="005B2570" w:rsidP="005B2570">
            <w:pPr>
              <w:widowControl w:val="0"/>
              <w:spacing w:before="40" w:after="40" w:line="256" w:lineRule="auto"/>
              <w:jc w:val="left"/>
              <w:rPr>
                <w:rFonts w:ascii="Arial Narrow" w:hAnsi="Arial Narrow"/>
                <w:sz w:val="20"/>
                <w:highlight w:val="yellow"/>
              </w:rPr>
            </w:pPr>
            <w:r>
              <w:rPr>
                <w:rFonts w:ascii="Arial Narrow" w:hAnsi="Arial Narrow"/>
                <w:sz w:val="20"/>
              </w:rPr>
              <w:t>Published $</w:t>
            </w:r>
            <w:r w:rsidR="00675CB4">
              <w:rPr>
                <w:rFonts w:ascii="Arial Narrow" w:hAnsi="Arial Narrow"/>
                <w:noProof/>
                <w:color w:val="000000"/>
                <w:sz w:val="20"/>
                <w:highlight w:val="black"/>
              </w:rPr>
              <w:t>''''''''''''''''''''''''''</w:t>
            </w:r>
            <w:r w:rsidR="00D744A5" w:rsidRPr="00D744A5">
              <w:rPr>
                <w:rFonts w:ascii="Arial Narrow" w:hAnsi="Arial Narrow"/>
                <w:sz w:val="20"/>
              </w:rPr>
              <w:br/>
              <w:t>Effective $</w:t>
            </w:r>
            <w:r w:rsidR="00675CB4">
              <w:rPr>
                <w:rFonts w:ascii="Arial Narrow" w:hAnsi="Arial Narrow"/>
                <w:noProof/>
                <w:color w:val="000000"/>
                <w:sz w:val="20"/>
                <w:highlight w:val="black"/>
              </w:rPr>
              <w:t>'''''''''''''''''''</w:t>
            </w:r>
          </w:p>
        </w:tc>
        <w:tc>
          <w:tcPr>
            <w:tcW w:w="1763" w:type="dxa"/>
            <w:vMerge w:val="restart"/>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VITRAKVI</w:t>
            </w:r>
            <w:r w:rsidRPr="00D744A5">
              <w:rPr>
                <w:rFonts w:ascii="Arial Narrow" w:hAnsi="Arial Narrow"/>
                <w:sz w:val="20"/>
                <w:vertAlign w:val="superscript"/>
              </w:rPr>
              <w:t>®</w:t>
            </w:r>
            <w:r w:rsidRPr="00D744A5">
              <w:rPr>
                <w:rFonts w:ascii="Arial Narrow" w:hAnsi="Arial Narrow"/>
                <w:sz w:val="20"/>
              </w:rPr>
              <w:t>,</w:t>
            </w:r>
          </w:p>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Bayer Australia Ltd</w:t>
            </w:r>
          </w:p>
        </w:tc>
      </w:tr>
      <w:tr w:rsidR="00D744A5" w:rsidRPr="00D744A5" w:rsidTr="00D744A5">
        <w:tc>
          <w:tcPr>
            <w:tcW w:w="2122" w:type="dxa"/>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Larotrectinib, 25 mg, oral capsules</w:t>
            </w:r>
          </w:p>
        </w:tc>
        <w:tc>
          <w:tcPr>
            <w:tcW w:w="767" w:type="dxa"/>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1</w:t>
            </w:r>
          </w:p>
        </w:tc>
        <w:tc>
          <w:tcPr>
            <w:tcW w:w="1366" w:type="dxa"/>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56</w:t>
            </w:r>
          </w:p>
        </w:tc>
        <w:tc>
          <w:tcPr>
            <w:tcW w:w="969" w:type="dxa"/>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5</w:t>
            </w:r>
          </w:p>
        </w:tc>
        <w:tc>
          <w:tcPr>
            <w:tcW w:w="2029" w:type="dxa"/>
          </w:tcPr>
          <w:p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Public</w:t>
            </w:r>
          </w:p>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Published $</w:t>
            </w:r>
            <w:r w:rsidR="00675CB4">
              <w:rPr>
                <w:rFonts w:ascii="Arial Narrow" w:hAnsi="Arial Narrow"/>
                <w:noProof/>
                <w:color w:val="000000"/>
                <w:sz w:val="20"/>
                <w:highlight w:val="black"/>
              </w:rPr>
              <w:t>''''''''''''''''''''</w:t>
            </w:r>
            <w:r w:rsidRPr="00D744A5">
              <w:rPr>
                <w:rFonts w:ascii="Arial Narrow" w:hAnsi="Arial Narrow"/>
                <w:sz w:val="20"/>
              </w:rPr>
              <w:br/>
              <w:t>Effective $</w:t>
            </w:r>
            <w:r w:rsidR="00675CB4">
              <w:rPr>
                <w:rFonts w:ascii="Arial Narrow" w:hAnsi="Arial Narrow"/>
                <w:noProof/>
                <w:color w:val="000000"/>
                <w:sz w:val="20"/>
                <w:highlight w:val="black"/>
              </w:rPr>
              <w:t>'''''''''''''''''''''</w:t>
            </w:r>
          </w:p>
          <w:p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Private</w:t>
            </w:r>
          </w:p>
          <w:p w:rsidR="00D744A5" w:rsidRPr="00D744A5" w:rsidRDefault="00D744A5" w:rsidP="005B2570">
            <w:pPr>
              <w:widowControl w:val="0"/>
              <w:spacing w:before="40" w:after="40" w:line="256" w:lineRule="auto"/>
              <w:jc w:val="left"/>
              <w:rPr>
                <w:rFonts w:ascii="Arial Narrow" w:hAnsi="Arial Narrow"/>
                <w:sz w:val="20"/>
                <w:u w:val="single"/>
              </w:rPr>
            </w:pPr>
            <w:r w:rsidRPr="00D744A5">
              <w:rPr>
                <w:rFonts w:ascii="Arial Narrow" w:hAnsi="Arial Narrow"/>
                <w:sz w:val="20"/>
              </w:rPr>
              <w:t>Published $</w:t>
            </w:r>
            <w:r w:rsidR="00675CB4">
              <w:rPr>
                <w:rFonts w:ascii="Arial Narrow" w:hAnsi="Arial Narrow"/>
                <w:noProof/>
                <w:color w:val="000000"/>
                <w:sz w:val="20"/>
                <w:highlight w:val="black"/>
              </w:rPr>
              <w:t>'''''''''''''''''''</w:t>
            </w:r>
            <w:r w:rsidRPr="00D744A5">
              <w:rPr>
                <w:rFonts w:ascii="Arial Narrow" w:hAnsi="Arial Narrow"/>
                <w:sz w:val="20"/>
              </w:rPr>
              <w:br/>
              <w:t>Effective $</w:t>
            </w:r>
            <w:r w:rsidR="00675CB4">
              <w:rPr>
                <w:rFonts w:ascii="Arial Narrow" w:hAnsi="Arial Narrow"/>
                <w:noProof/>
                <w:color w:val="000000"/>
                <w:sz w:val="20"/>
                <w:highlight w:val="black"/>
              </w:rPr>
              <w:t>'''''''''''''''''''</w:t>
            </w:r>
          </w:p>
        </w:tc>
        <w:tc>
          <w:tcPr>
            <w:tcW w:w="1763" w:type="dxa"/>
            <w:vMerge/>
          </w:tcPr>
          <w:p w:rsidR="00D744A5" w:rsidRPr="00D744A5" w:rsidRDefault="00D744A5" w:rsidP="00D744A5">
            <w:pPr>
              <w:widowControl w:val="0"/>
              <w:spacing w:before="40" w:after="40" w:line="256" w:lineRule="auto"/>
              <w:jc w:val="left"/>
              <w:rPr>
                <w:rFonts w:ascii="Arial Narrow" w:hAnsi="Arial Narrow"/>
                <w:sz w:val="20"/>
                <w:highlight w:val="yellow"/>
              </w:rPr>
            </w:pPr>
          </w:p>
        </w:tc>
      </w:tr>
      <w:tr w:rsidR="00D744A5" w:rsidRPr="00D744A5" w:rsidTr="00D744A5">
        <w:tc>
          <w:tcPr>
            <w:tcW w:w="2122" w:type="dxa"/>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Larotrectinib, 20 mg/ml, 1 × 100 ml bottle solution, oral administration</w:t>
            </w:r>
          </w:p>
        </w:tc>
        <w:tc>
          <w:tcPr>
            <w:tcW w:w="767" w:type="dxa"/>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1</w:t>
            </w:r>
          </w:p>
        </w:tc>
        <w:tc>
          <w:tcPr>
            <w:tcW w:w="1366" w:type="dxa"/>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100</w:t>
            </w:r>
          </w:p>
        </w:tc>
        <w:tc>
          <w:tcPr>
            <w:tcW w:w="969" w:type="dxa"/>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5</w:t>
            </w:r>
          </w:p>
        </w:tc>
        <w:tc>
          <w:tcPr>
            <w:tcW w:w="2029" w:type="dxa"/>
          </w:tcPr>
          <w:p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Public</w:t>
            </w:r>
          </w:p>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Published $</w:t>
            </w:r>
            <w:r w:rsidR="00675CB4">
              <w:rPr>
                <w:rFonts w:ascii="Arial Narrow" w:hAnsi="Arial Narrow"/>
                <w:noProof/>
                <w:color w:val="000000"/>
                <w:sz w:val="20"/>
                <w:highlight w:val="black"/>
              </w:rPr>
              <w:t>'''''''''''''''''''''''</w:t>
            </w:r>
            <w:r w:rsidRPr="00D744A5">
              <w:rPr>
                <w:rFonts w:ascii="Arial Narrow" w:hAnsi="Arial Narrow"/>
                <w:sz w:val="20"/>
              </w:rPr>
              <w:br/>
              <w:t>Effective $</w:t>
            </w:r>
            <w:r w:rsidR="00675CB4">
              <w:rPr>
                <w:rFonts w:ascii="Arial Narrow" w:hAnsi="Arial Narrow"/>
                <w:noProof/>
                <w:color w:val="000000"/>
                <w:sz w:val="20"/>
                <w:highlight w:val="black"/>
              </w:rPr>
              <w:t>'''''''''''''''''''''</w:t>
            </w:r>
          </w:p>
          <w:p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Private</w:t>
            </w:r>
          </w:p>
          <w:p w:rsidR="00D744A5" w:rsidRPr="00D744A5" w:rsidRDefault="00D744A5" w:rsidP="005B2570">
            <w:pPr>
              <w:widowControl w:val="0"/>
              <w:spacing w:before="40" w:after="40" w:line="256" w:lineRule="auto"/>
              <w:jc w:val="left"/>
              <w:rPr>
                <w:rFonts w:ascii="Arial Narrow" w:hAnsi="Arial Narrow"/>
                <w:sz w:val="20"/>
                <w:u w:val="single"/>
              </w:rPr>
            </w:pPr>
            <w:r w:rsidRPr="00D744A5">
              <w:rPr>
                <w:rFonts w:ascii="Arial Narrow" w:hAnsi="Arial Narrow"/>
                <w:sz w:val="20"/>
              </w:rPr>
              <w:t>Published $</w:t>
            </w:r>
            <w:r w:rsidR="00675CB4">
              <w:rPr>
                <w:rFonts w:ascii="Arial Narrow" w:hAnsi="Arial Narrow"/>
                <w:noProof/>
                <w:color w:val="000000"/>
                <w:sz w:val="20"/>
                <w:highlight w:val="black"/>
              </w:rPr>
              <w:t>'''''''''''''''''''</w:t>
            </w:r>
            <w:r w:rsidRPr="00D744A5">
              <w:rPr>
                <w:rFonts w:ascii="Arial Narrow" w:hAnsi="Arial Narrow"/>
                <w:sz w:val="20"/>
              </w:rPr>
              <w:br/>
              <w:t>Effective $</w:t>
            </w:r>
            <w:r w:rsidR="00675CB4">
              <w:rPr>
                <w:rFonts w:ascii="Arial Narrow" w:hAnsi="Arial Narrow"/>
                <w:noProof/>
                <w:color w:val="000000"/>
                <w:sz w:val="20"/>
                <w:highlight w:val="black"/>
              </w:rPr>
              <w:t>'''''''''''''''''''</w:t>
            </w:r>
          </w:p>
        </w:tc>
        <w:tc>
          <w:tcPr>
            <w:tcW w:w="1763" w:type="dxa"/>
            <w:vMerge/>
          </w:tcPr>
          <w:p w:rsidR="00D744A5" w:rsidRPr="00D744A5" w:rsidRDefault="00D744A5" w:rsidP="00D744A5">
            <w:pPr>
              <w:widowControl w:val="0"/>
              <w:spacing w:before="40" w:after="40" w:line="256" w:lineRule="auto"/>
              <w:jc w:val="left"/>
              <w:rPr>
                <w:rFonts w:ascii="Arial Narrow" w:hAnsi="Arial Narrow"/>
                <w:sz w:val="20"/>
                <w:highlight w:val="yellow"/>
              </w:rPr>
            </w:pPr>
          </w:p>
        </w:tc>
      </w:tr>
    </w:tbl>
    <w:p w:rsidR="00D744A5" w:rsidRPr="00D744A5" w:rsidRDefault="00D744A5" w:rsidP="00D744A5">
      <w:pPr>
        <w:pStyle w:val="TableFooter"/>
        <w:rPr>
          <w:highlight w:val="yellow"/>
        </w:rPr>
      </w:pPr>
      <w:r w:rsidRPr="00D744A5">
        <w:t>Source: Table 1.21, p86 of the resubmission</w:t>
      </w:r>
    </w:p>
    <w:p w:rsidR="00D744A5" w:rsidRPr="00D744A5" w:rsidRDefault="00D744A5" w:rsidP="00545F18">
      <w:pPr>
        <w:pStyle w:val="Caption"/>
        <w:tabs>
          <w:tab w:val="clear" w:pos="1418"/>
        </w:tabs>
        <w:ind w:left="0" w:firstLine="0"/>
      </w:pPr>
      <w:r w:rsidRPr="00D744A5">
        <w:t xml:space="preserve">Proposed PBS listing </w:t>
      </w:r>
      <w:r w:rsidR="00507D80">
        <w:t xml:space="preserve">for </w:t>
      </w:r>
      <w:r w:rsidRPr="00D744A5">
        <w:t>paediatric patients</w:t>
      </w:r>
      <w:r w:rsidR="00507D80">
        <w:t xml:space="preserve"> </w:t>
      </w:r>
      <w:r w:rsidRPr="00D744A5">
        <w:t>– initial treatment</w:t>
      </w:r>
    </w:p>
    <w:tbl>
      <w:tblPr>
        <w:tblStyle w:val="HTATableshaded"/>
        <w:tblW w:w="5000" w:type="pct"/>
        <w:tblLook w:val="0480" w:firstRow="0" w:lastRow="0" w:firstColumn="1" w:lastColumn="0" w:noHBand="0" w:noVBand="1"/>
        <w:tblCaption w:val="Proposed PBS listing for paediatric patients – initial treatment"/>
      </w:tblPr>
      <w:tblGrid>
        <w:gridCol w:w="1834"/>
        <w:gridCol w:w="7182"/>
      </w:tblGrid>
      <w:tr w:rsidR="00D744A5" w:rsidRPr="00D744A5" w:rsidTr="003B6B2C">
        <w:trPr>
          <w:tblHeader/>
        </w:trPr>
        <w:tc>
          <w:tcPr>
            <w:tcW w:w="1017" w:type="pct"/>
            <w:shd w:val="clear" w:color="auto" w:fill="auto"/>
          </w:tcPr>
          <w:p w:rsidR="00D744A5" w:rsidRPr="00D744A5" w:rsidRDefault="00D744A5" w:rsidP="00D744A5">
            <w:pPr>
              <w:widowControl w:val="0"/>
              <w:spacing w:before="40" w:after="40" w:line="256" w:lineRule="auto"/>
              <w:jc w:val="left"/>
              <w:rPr>
                <w:rFonts w:ascii="Arial Narrow" w:hAnsi="Arial Narrow"/>
                <w:b/>
                <w:sz w:val="20"/>
                <w:lang w:bidi="en-US"/>
              </w:rPr>
            </w:pPr>
            <w:r w:rsidRPr="00D744A5">
              <w:rPr>
                <w:rFonts w:ascii="Arial Narrow" w:hAnsi="Arial Narrow"/>
                <w:b/>
                <w:sz w:val="20"/>
                <w:lang w:bidi="en-US"/>
              </w:rPr>
              <w:t>Category / Program</w:t>
            </w:r>
          </w:p>
        </w:tc>
        <w:tc>
          <w:tcPr>
            <w:tcW w:w="3983" w:type="pct"/>
            <w:shd w:val="clear" w:color="auto" w:fill="auto"/>
          </w:tcPr>
          <w:p w:rsidR="00D744A5" w:rsidRPr="00D744A5" w:rsidRDefault="00D744A5" w:rsidP="00D744A5">
            <w:pPr>
              <w:widowControl w:val="0"/>
              <w:spacing w:before="40" w:after="40" w:line="256" w:lineRule="auto"/>
              <w:jc w:val="left"/>
              <w:rPr>
                <w:rFonts w:ascii="Arial Narrow" w:hAnsi="Arial Narrow"/>
                <w:b/>
                <w:sz w:val="20"/>
                <w:lang w:bidi="en-US"/>
              </w:rPr>
            </w:pPr>
            <w:r w:rsidRPr="00D744A5">
              <w:rPr>
                <w:rFonts w:ascii="Arial Narrow" w:hAnsi="Arial Narrow"/>
                <w:b/>
                <w:sz w:val="20"/>
                <w:lang w:bidi="en-US"/>
              </w:rPr>
              <w:t>Section 100 – HSD</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Prescriber type</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B976A9">
              <w:rPr>
                <w:rFonts w:ascii="Arial Narrow" w:hAnsi="Arial Narrow"/>
                <w:sz w:val="20"/>
              </w:rPr>
            </w:r>
            <w:r w:rsidR="00B976A9">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Medical Practitioners </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Condition</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Locally advanced or metastatic solid tumours harbouring </w:t>
            </w:r>
            <w:r w:rsidRPr="00D744A5">
              <w:rPr>
                <w:rFonts w:ascii="Arial Narrow" w:hAnsi="Arial Narrow"/>
                <w:i/>
                <w:sz w:val="20"/>
                <w:lang w:bidi="en-US"/>
              </w:rPr>
              <w:t>NTRK</w:t>
            </w:r>
            <w:r w:rsidRPr="00D744A5">
              <w:rPr>
                <w:rFonts w:ascii="Arial Narrow" w:hAnsi="Arial Narrow"/>
                <w:sz w:val="20"/>
                <w:lang w:bidi="en-US"/>
              </w:rPr>
              <w:t xml:space="preserve"> gene fusion</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phase</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Initial treatment</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Restriction</w:t>
            </w:r>
          </w:p>
        </w:tc>
        <w:tc>
          <w:tcPr>
            <w:tcW w:w="3983" w:type="pct"/>
          </w:tcPr>
          <w:p w:rsidR="00D744A5" w:rsidRPr="00D744A5" w:rsidRDefault="00D744A5" w:rsidP="0079482C">
            <w:pPr>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B976A9">
              <w:rPr>
                <w:rFonts w:ascii="Arial Narrow" w:hAnsi="Arial Narrow"/>
                <w:sz w:val="20"/>
              </w:rPr>
            </w:r>
            <w:r w:rsidR="00B976A9">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Authority Required – In Writing</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criteria</w:t>
            </w:r>
          </w:p>
        </w:tc>
        <w:tc>
          <w:tcPr>
            <w:tcW w:w="3983" w:type="pct"/>
          </w:tcPr>
          <w:p w:rsidR="00D744A5" w:rsidRPr="00D744A5" w:rsidRDefault="00D117CD" w:rsidP="00D744A5">
            <w:pPr>
              <w:widowControl w:val="0"/>
              <w:spacing w:before="40" w:after="40" w:line="256" w:lineRule="auto"/>
              <w:jc w:val="left"/>
              <w:rPr>
                <w:rFonts w:ascii="Arial Narrow" w:hAnsi="Arial Narrow"/>
                <w:sz w:val="20"/>
                <w:lang w:bidi="en-US"/>
              </w:rPr>
            </w:pPr>
            <w:r>
              <w:rPr>
                <w:rFonts w:ascii="Arial Narrow" w:hAnsi="Arial Narrow"/>
                <w:sz w:val="20"/>
                <w:lang w:bidi="en-US"/>
              </w:rPr>
              <w:t>-</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Clinical criteria</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The condition must be positive for a neurotrophic tropomyosin receptor kinase (</w:t>
            </w:r>
            <w:r w:rsidRPr="00D744A5">
              <w:rPr>
                <w:rFonts w:ascii="Arial Narrow" w:hAnsi="Arial Narrow"/>
                <w:i/>
                <w:sz w:val="20"/>
                <w:lang w:bidi="en-US"/>
              </w:rPr>
              <w:t>NTRK</w:t>
            </w:r>
            <w:r w:rsidRPr="00D744A5">
              <w:rPr>
                <w:rFonts w:ascii="Arial Narrow" w:hAnsi="Arial Narrow"/>
                <w:sz w:val="20"/>
                <w:lang w:bidi="en-US"/>
              </w:rPr>
              <w:t>) gene fusion confirmed by next-generation sequencing or fluorescence in-situ hybridisation</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Patients must be diagnosed with a solid tumour</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Disease must be metastatic OR unresectable locally advanced OR locally advanced and would otherwise require disfiguring surgery or limb amputation to achieve a complete surgical resection</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Patient must not have received prior treatment with a </w:t>
            </w:r>
            <w:r w:rsidRPr="00D744A5">
              <w:rPr>
                <w:rFonts w:ascii="Arial Narrow" w:hAnsi="Arial Narrow"/>
                <w:i/>
                <w:iCs/>
                <w:sz w:val="20"/>
                <w:lang w:bidi="en-US"/>
              </w:rPr>
              <w:t>NTRK</w:t>
            </w:r>
            <w:r w:rsidRPr="00D744A5">
              <w:rPr>
                <w:rFonts w:ascii="Arial Narrow" w:hAnsi="Arial Narrow"/>
                <w:sz w:val="20"/>
                <w:lang w:bidi="en-US"/>
              </w:rPr>
              <w:t xml:space="preserve"> inhibitor</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D744A5">
            <w:pPr>
              <w:widowControl w:val="0"/>
              <w:spacing w:before="40" w:after="40" w:line="256" w:lineRule="auto"/>
              <w:jc w:val="left"/>
              <w:rPr>
                <w:rFonts w:ascii="Arial Narrow" w:hAnsi="Arial Narrow"/>
                <w:sz w:val="20"/>
                <w:u w:val="single"/>
                <w:lang w:bidi="en-US"/>
              </w:rPr>
            </w:pPr>
            <w:r w:rsidRPr="00D744A5">
              <w:rPr>
                <w:rFonts w:ascii="Arial Narrow" w:hAnsi="Arial Narrow"/>
                <w:sz w:val="20"/>
                <w:u w:val="single"/>
                <w:lang w:bidi="en-US"/>
              </w:rPr>
              <w:t>Patient must not receive more than 3 months of treatment under this restriction</w:t>
            </w:r>
          </w:p>
        </w:tc>
      </w:tr>
    </w:tbl>
    <w:p w:rsidR="00D744A5" w:rsidRPr="00D744A5" w:rsidRDefault="00D744A5" w:rsidP="00D744A5">
      <w:pPr>
        <w:pStyle w:val="TableFooter"/>
      </w:pPr>
    </w:p>
    <w:p w:rsidR="00D744A5" w:rsidRPr="00D744A5" w:rsidRDefault="00D744A5" w:rsidP="00545F18">
      <w:pPr>
        <w:pStyle w:val="Caption"/>
        <w:tabs>
          <w:tab w:val="clear" w:pos="1418"/>
          <w:tab w:val="left" w:pos="0"/>
        </w:tabs>
        <w:ind w:left="0" w:firstLine="0"/>
      </w:pPr>
      <w:r w:rsidRPr="00D744A5">
        <w:t>Proposed PBS listing for paediatric patients –</w:t>
      </w:r>
      <w:r w:rsidR="00507D80">
        <w:t xml:space="preserve"> </w:t>
      </w:r>
      <w:r w:rsidRPr="00D744A5">
        <w:t>continuing treatment</w:t>
      </w:r>
    </w:p>
    <w:tbl>
      <w:tblPr>
        <w:tblStyle w:val="HTATableshaded"/>
        <w:tblW w:w="5000" w:type="pct"/>
        <w:tblLook w:val="0480" w:firstRow="0" w:lastRow="0" w:firstColumn="1" w:lastColumn="0" w:noHBand="0" w:noVBand="1"/>
        <w:tblCaption w:val="Proposed PBS listing for paediatric patients – continuing treatment"/>
      </w:tblPr>
      <w:tblGrid>
        <w:gridCol w:w="1834"/>
        <w:gridCol w:w="7182"/>
      </w:tblGrid>
      <w:tr w:rsidR="00D744A5" w:rsidRPr="00D744A5" w:rsidTr="003B6B2C">
        <w:trPr>
          <w:tblHeader/>
        </w:trPr>
        <w:tc>
          <w:tcPr>
            <w:tcW w:w="1017" w:type="pct"/>
            <w:shd w:val="clear" w:color="auto" w:fill="auto"/>
          </w:tcPr>
          <w:p w:rsidR="00D744A5" w:rsidRPr="00D744A5" w:rsidRDefault="00D744A5" w:rsidP="00D744A5">
            <w:pPr>
              <w:widowControl w:val="0"/>
              <w:spacing w:before="40" w:after="40" w:line="256" w:lineRule="auto"/>
              <w:jc w:val="left"/>
              <w:rPr>
                <w:rFonts w:ascii="Arial Narrow" w:eastAsiaTheme="minorHAnsi" w:hAnsi="Arial Narrow"/>
                <w:b/>
                <w:sz w:val="20"/>
                <w:szCs w:val="16"/>
                <w:lang w:eastAsia="en-US"/>
              </w:rPr>
            </w:pPr>
            <w:r w:rsidRPr="00D744A5">
              <w:rPr>
                <w:rFonts w:ascii="Arial Narrow" w:eastAsiaTheme="minorHAnsi" w:hAnsi="Arial Narrow"/>
                <w:b/>
                <w:sz w:val="20"/>
                <w:szCs w:val="16"/>
                <w:lang w:eastAsia="en-US"/>
              </w:rPr>
              <w:t>Category / Program</w:t>
            </w:r>
          </w:p>
        </w:tc>
        <w:tc>
          <w:tcPr>
            <w:tcW w:w="3983" w:type="pct"/>
            <w:shd w:val="clear" w:color="auto" w:fill="auto"/>
          </w:tcPr>
          <w:p w:rsidR="00D744A5" w:rsidRPr="00D744A5" w:rsidRDefault="00D744A5" w:rsidP="00D744A5">
            <w:pPr>
              <w:widowControl w:val="0"/>
              <w:spacing w:before="40" w:after="40" w:line="256" w:lineRule="auto"/>
              <w:jc w:val="left"/>
              <w:rPr>
                <w:rFonts w:ascii="Arial Narrow" w:eastAsiaTheme="minorHAnsi" w:hAnsi="Arial Narrow"/>
                <w:b/>
                <w:sz w:val="20"/>
                <w:szCs w:val="16"/>
                <w:lang w:eastAsia="en-US"/>
              </w:rPr>
            </w:pPr>
            <w:r w:rsidRPr="00D744A5">
              <w:rPr>
                <w:rFonts w:ascii="Arial Narrow" w:eastAsiaTheme="minorHAnsi" w:hAnsi="Arial Narrow"/>
                <w:b/>
                <w:sz w:val="20"/>
                <w:szCs w:val="16"/>
                <w:lang w:eastAsia="en-US"/>
              </w:rPr>
              <w:t>Section 100 – HSD</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Prescriber type</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B976A9">
              <w:rPr>
                <w:rFonts w:ascii="Arial Narrow" w:hAnsi="Arial Narrow"/>
                <w:sz w:val="20"/>
              </w:rPr>
            </w:r>
            <w:r w:rsidR="00B976A9">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Medical Practitioners </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Condition</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Locally advanced or metastatic solid tumours harbouring </w:t>
            </w:r>
            <w:r w:rsidRPr="00D744A5">
              <w:rPr>
                <w:rFonts w:ascii="Arial Narrow" w:hAnsi="Arial Narrow"/>
                <w:i/>
                <w:sz w:val="20"/>
                <w:lang w:bidi="en-US"/>
              </w:rPr>
              <w:t>NTRK</w:t>
            </w:r>
            <w:r w:rsidRPr="00D744A5">
              <w:rPr>
                <w:rFonts w:ascii="Arial Narrow" w:hAnsi="Arial Narrow"/>
                <w:sz w:val="20"/>
                <w:lang w:bidi="en-US"/>
              </w:rPr>
              <w:t xml:space="preserve"> gene fusion</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phase</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Continuing treatment</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Restriction</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B976A9">
              <w:rPr>
                <w:rFonts w:ascii="Arial Narrow" w:hAnsi="Arial Narrow"/>
                <w:sz w:val="20"/>
              </w:rPr>
            </w:r>
            <w:r w:rsidR="00B976A9">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Authority Required – In Writing</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criteria</w:t>
            </w:r>
          </w:p>
        </w:tc>
        <w:tc>
          <w:tcPr>
            <w:tcW w:w="3983" w:type="pct"/>
          </w:tcPr>
          <w:p w:rsidR="00D744A5" w:rsidRPr="00D744A5" w:rsidRDefault="00D117CD" w:rsidP="00D744A5">
            <w:pPr>
              <w:widowControl w:val="0"/>
              <w:spacing w:before="40" w:after="40" w:line="256" w:lineRule="auto"/>
              <w:jc w:val="left"/>
              <w:rPr>
                <w:rFonts w:ascii="Arial Narrow" w:hAnsi="Arial Narrow"/>
                <w:sz w:val="20"/>
                <w:highlight w:val="yellow"/>
                <w:lang w:bidi="en-US"/>
              </w:rPr>
            </w:pPr>
            <w:r w:rsidRPr="00D117CD">
              <w:rPr>
                <w:rFonts w:ascii="Arial Narrow" w:hAnsi="Arial Narrow"/>
                <w:sz w:val="20"/>
                <w:lang w:bidi="en-US"/>
              </w:rPr>
              <w:t>-</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Clinical criteria</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The treatment must be the sole PBS-subsidised treatment with this drug for this condition</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Patient must have previously received PBS-subsidised treatment with this drug for this condition</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Patient must have demonstrated an adequate response to treatment with this drug</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D744A5">
            <w:pPr>
              <w:widowControl w:val="0"/>
              <w:spacing w:before="40" w:after="40" w:line="256" w:lineRule="auto"/>
              <w:jc w:val="left"/>
              <w:rPr>
                <w:rFonts w:ascii="Arial Narrow" w:hAnsi="Arial Narrow"/>
                <w:sz w:val="20"/>
                <w:highlight w:val="yellow"/>
                <w:u w:val="single"/>
                <w:lang w:bidi="en-US"/>
              </w:rPr>
            </w:pPr>
            <w:r w:rsidRPr="00D744A5">
              <w:rPr>
                <w:rFonts w:ascii="Arial Narrow" w:hAnsi="Arial Narrow"/>
                <w:sz w:val="20"/>
                <w:lang w:bidi="en-US"/>
              </w:rPr>
              <w:t>PBS-subsidised treatment with this drug for this condition will be provided until the patient is no longer clinically benefiting from therapy or until unacceptable toxicity occurs</w:t>
            </w:r>
          </w:p>
        </w:tc>
      </w:tr>
    </w:tbl>
    <w:p w:rsidR="00D744A5" w:rsidRPr="00D744A5" w:rsidRDefault="00D744A5" w:rsidP="00D51B2C">
      <w:pPr>
        <w:pStyle w:val="Caption"/>
      </w:pPr>
      <w:r w:rsidRPr="00D744A5">
        <w:t xml:space="preserve">Proposed PBS listing for adult patients with high frequency </w:t>
      </w:r>
      <w:r w:rsidRPr="00D744A5">
        <w:rPr>
          <w:i/>
        </w:rPr>
        <w:t>NTRK</w:t>
      </w:r>
      <w:r w:rsidRPr="00D744A5">
        <w:t xml:space="preserve"> fusion tumour – initial treatment</w:t>
      </w:r>
    </w:p>
    <w:tbl>
      <w:tblPr>
        <w:tblStyle w:val="HTATableshaded"/>
        <w:tblW w:w="5000" w:type="pct"/>
        <w:tblLook w:val="0480" w:firstRow="0" w:lastRow="0" w:firstColumn="1" w:lastColumn="0" w:noHBand="0" w:noVBand="1"/>
        <w:tblCaption w:val="Proposed PBS listing for adult patients with high frequency NTRK fusion tumour – initial treatment"/>
      </w:tblPr>
      <w:tblGrid>
        <w:gridCol w:w="1834"/>
        <w:gridCol w:w="7182"/>
      </w:tblGrid>
      <w:tr w:rsidR="00D744A5" w:rsidRPr="00D744A5" w:rsidTr="00D117CD">
        <w:trPr>
          <w:tblHeader/>
        </w:trPr>
        <w:tc>
          <w:tcPr>
            <w:tcW w:w="1017" w:type="pct"/>
            <w:shd w:val="clear" w:color="auto" w:fill="auto"/>
          </w:tcPr>
          <w:p w:rsidR="00D744A5" w:rsidRPr="00D744A5" w:rsidRDefault="00D744A5" w:rsidP="00D744A5">
            <w:pPr>
              <w:widowControl w:val="0"/>
              <w:spacing w:before="40" w:after="40" w:line="256" w:lineRule="auto"/>
              <w:jc w:val="left"/>
              <w:rPr>
                <w:rFonts w:ascii="Arial Narrow" w:hAnsi="Arial Narrow"/>
                <w:b/>
                <w:sz w:val="20"/>
                <w:lang w:bidi="en-US"/>
              </w:rPr>
            </w:pPr>
            <w:r w:rsidRPr="00D744A5">
              <w:rPr>
                <w:rFonts w:ascii="Arial Narrow" w:hAnsi="Arial Narrow"/>
                <w:b/>
                <w:sz w:val="20"/>
                <w:lang w:bidi="en-US"/>
              </w:rPr>
              <w:t>Category / Program</w:t>
            </w:r>
          </w:p>
        </w:tc>
        <w:tc>
          <w:tcPr>
            <w:tcW w:w="3983" w:type="pct"/>
            <w:shd w:val="clear" w:color="auto" w:fill="auto"/>
          </w:tcPr>
          <w:p w:rsidR="00D744A5" w:rsidRPr="00D744A5" w:rsidRDefault="00D744A5" w:rsidP="00D744A5">
            <w:pPr>
              <w:widowControl w:val="0"/>
              <w:spacing w:before="40" w:after="40" w:line="256" w:lineRule="auto"/>
              <w:jc w:val="left"/>
              <w:rPr>
                <w:rFonts w:ascii="Arial Narrow" w:hAnsi="Arial Narrow"/>
                <w:b/>
                <w:sz w:val="20"/>
                <w:lang w:bidi="en-US"/>
              </w:rPr>
            </w:pPr>
            <w:r w:rsidRPr="00D744A5">
              <w:rPr>
                <w:rFonts w:ascii="Arial Narrow" w:hAnsi="Arial Narrow"/>
                <w:b/>
                <w:sz w:val="20"/>
                <w:lang w:bidi="en-US"/>
              </w:rPr>
              <w:t>Section 100 – HSD</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Prescriber type</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B976A9">
              <w:rPr>
                <w:rFonts w:ascii="Arial Narrow" w:hAnsi="Arial Narrow"/>
                <w:sz w:val="20"/>
              </w:rPr>
            </w:r>
            <w:r w:rsidR="00B976A9">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Medical Practitioners </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Condition</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Locally advanced or metastatic salivary gland, secretory breast tumours harbouring </w:t>
            </w:r>
            <w:r w:rsidRPr="00D744A5">
              <w:rPr>
                <w:rFonts w:ascii="Arial Narrow" w:hAnsi="Arial Narrow"/>
                <w:i/>
                <w:sz w:val="20"/>
                <w:lang w:bidi="en-US"/>
              </w:rPr>
              <w:t>NTRK</w:t>
            </w:r>
            <w:r w:rsidRPr="00D744A5">
              <w:rPr>
                <w:rFonts w:ascii="Arial Narrow" w:hAnsi="Arial Narrow"/>
                <w:sz w:val="20"/>
                <w:lang w:bidi="en-US"/>
              </w:rPr>
              <w:t xml:space="preserve"> gene fusion</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phase</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Initial treatment</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Restriction</w:t>
            </w:r>
          </w:p>
        </w:tc>
        <w:tc>
          <w:tcPr>
            <w:tcW w:w="3983" w:type="pct"/>
          </w:tcPr>
          <w:p w:rsidR="00D744A5" w:rsidRPr="00D744A5" w:rsidRDefault="00D744A5">
            <w:pPr>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B976A9">
              <w:rPr>
                <w:rFonts w:ascii="Arial Narrow" w:hAnsi="Arial Narrow"/>
                <w:sz w:val="20"/>
              </w:rPr>
            </w:r>
            <w:r w:rsidR="00B976A9">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Authority Required – In Writing</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criteria</w:t>
            </w:r>
          </w:p>
        </w:tc>
        <w:tc>
          <w:tcPr>
            <w:tcW w:w="3983" w:type="pct"/>
          </w:tcPr>
          <w:p w:rsidR="00D744A5" w:rsidRPr="00D117CD" w:rsidRDefault="00D117CD" w:rsidP="00D744A5">
            <w:pPr>
              <w:widowControl w:val="0"/>
              <w:spacing w:before="40" w:after="40" w:line="256" w:lineRule="auto"/>
              <w:jc w:val="left"/>
              <w:rPr>
                <w:rFonts w:ascii="Arial Narrow" w:hAnsi="Arial Narrow"/>
                <w:sz w:val="20"/>
                <w:lang w:bidi="en-US"/>
              </w:rPr>
            </w:pPr>
            <w:r w:rsidRPr="00D117CD">
              <w:rPr>
                <w:rFonts w:ascii="Arial Narrow" w:hAnsi="Arial Narrow"/>
                <w:sz w:val="20"/>
                <w:lang w:bidi="en-US"/>
              </w:rPr>
              <w:t>-</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Clinical criteria</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The condition must be positive for a neurotrophic tropomyosin receptor kinase (</w:t>
            </w:r>
            <w:r w:rsidRPr="00D744A5">
              <w:rPr>
                <w:rFonts w:ascii="Arial Narrow" w:hAnsi="Arial Narrow"/>
                <w:i/>
                <w:sz w:val="20"/>
                <w:lang w:bidi="en-US"/>
              </w:rPr>
              <w:t>NTRK</w:t>
            </w:r>
            <w:r w:rsidRPr="00D744A5">
              <w:rPr>
                <w:rFonts w:ascii="Arial Narrow" w:hAnsi="Arial Narrow"/>
                <w:sz w:val="20"/>
                <w:lang w:bidi="en-US"/>
              </w:rPr>
              <w:t>) gene fusion confirmed by next-generation sequencing or fluorescence in-situ hybridisation</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Patients must be diagnosed with a solid tumour</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Disease must be metastatic OR unresectable locally advanced OR locally advanced and would otherwise require disfiguring surgery or limb amputation to achieve a complete surgical resection</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Patient must not have received prior treatment with a </w:t>
            </w:r>
            <w:r w:rsidRPr="00D744A5">
              <w:rPr>
                <w:rFonts w:ascii="Arial Narrow" w:hAnsi="Arial Narrow"/>
                <w:i/>
                <w:sz w:val="20"/>
                <w:lang w:bidi="en-US"/>
              </w:rPr>
              <w:t>NTRK</w:t>
            </w:r>
            <w:r w:rsidRPr="00D744A5">
              <w:rPr>
                <w:rFonts w:ascii="Arial Narrow" w:hAnsi="Arial Narrow"/>
                <w:sz w:val="20"/>
                <w:lang w:bidi="en-US"/>
              </w:rPr>
              <w:t xml:space="preserve"> inhibitor</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u w:val="single"/>
                <w:lang w:bidi="en-US"/>
              </w:rPr>
              <w:t>Patient must not receive more than 3 months of treatment under this restriction</w:t>
            </w:r>
          </w:p>
        </w:tc>
      </w:tr>
    </w:tbl>
    <w:p w:rsidR="00D744A5" w:rsidRDefault="00D744A5" w:rsidP="00D744A5">
      <w:pPr>
        <w:pStyle w:val="TableFooter"/>
      </w:pPr>
    </w:p>
    <w:p w:rsidR="00D744A5" w:rsidRPr="00D744A5" w:rsidRDefault="00D744A5" w:rsidP="00D51B2C">
      <w:pPr>
        <w:pStyle w:val="Caption"/>
      </w:pPr>
      <w:r w:rsidRPr="00D744A5">
        <w:t xml:space="preserve">Proposed PBS listing for adult patients with high frequency </w:t>
      </w:r>
      <w:r w:rsidRPr="00D744A5">
        <w:rPr>
          <w:i/>
        </w:rPr>
        <w:t>NTRK</w:t>
      </w:r>
      <w:r w:rsidRPr="00D744A5">
        <w:t xml:space="preserve"> fusion tumour – continuing treatment</w:t>
      </w:r>
    </w:p>
    <w:tbl>
      <w:tblPr>
        <w:tblStyle w:val="HTATableshaded"/>
        <w:tblW w:w="5000" w:type="pct"/>
        <w:tblLook w:val="0480" w:firstRow="0" w:lastRow="0" w:firstColumn="1" w:lastColumn="0" w:noHBand="0" w:noVBand="1"/>
        <w:tblCaption w:val="Proposed PBS listing for adult patients with high frequency NTRK fusion tumour – continuing treatment"/>
      </w:tblPr>
      <w:tblGrid>
        <w:gridCol w:w="1834"/>
        <w:gridCol w:w="7182"/>
      </w:tblGrid>
      <w:tr w:rsidR="00D744A5" w:rsidRPr="00D744A5" w:rsidTr="003B6B2C">
        <w:trPr>
          <w:tblHeader/>
        </w:trPr>
        <w:tc>
          <w:tcPr>
            <w:tcW w:w="1017" w:type="pct"/>
            <w:shd w:val="clear" w:color="auto" w:fill="auto"/>
          </w:tcPr>
          <w:p w:rsidR="00D744A5" w:rsidRPr="00D744A5" w:rsidRDefault="00D744A5" w:rsidP="00D744A5">
            <w:pPr>
              <w:widowControl w:val="0"/>
              <w:spacing w:before="40" w:after="40" w:line="256" w:lineRule="auto"/>
              <w:jc w:val="left"/>
              <w:rPr>
                <w:rFonts w:ascii="Arial Narrow" w:hAnsi="Arial Narrow"/>
                <w:b/>
                <w:sz w:val="20"/>
                <w:lang w:bidi="en-US"/>
              </w:rPr>
            </w:pPr>
            <w:r w:rsidRPr="00D744A5">
              <w:rPr>
                <w:rFonts w:ascii="Arial Narrow" w:hAnsi="Arial Narrow"/>
                <w:b/>
                <w:sz w:val="20"/>
                <w:lang w:bidi="en-US"/>
              </w:rPr>
              <w:t>Category / Program</w:t>
            </w:r>
          </w:p>
        </w:tc>
        <w:tc>
          <w:tcPr>
            <w:tcW w:w="3983" w:type="pct"/>
            <w:shd w:val="clear" w:color="auto" w:fill="auto"/>
          </w:tcPr>
          <w:p w:rsidR="00D744A5" w:rsidRPr="00D744A5" w:rsidRDefault="00D744A5" w:rsidP="00D744A5">
            <w:pPr>
              <w:widowControl w:val="0"/>
              <w:spacing w:before="40" w:after="40" w:line="256" w:lineRule="auto"/>
              <w:jc w:val="left"/>
              <w:rPr>
                <w:rFonts w:ascii="Arial Narrow" w:hAnsi="Arial Narrow"/>
                <w:b/>
                <w:sz w:val="20"/>
                <w:lang w:bidi="en-US"/>
              </w:rPr>
            </w:pPr>
            <w:r w:rsidRPr="00D744A5">
              <w:rPr>
                <w:rFonts w:ascii="Arial Narrow" w:hAnsi="Arial Narrow"/>
                <w:b/>
                <w:sz w:val="20"/>
                <w:lang w:bidi="en-US"/>
              </w:rPr>
              <w:t>Section 100 – HSD</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Prescriber type</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B976A9">
              <w:rPr>
                <w:rFonts w:ascii="Arial Narrow" w:hAnsi="Arial Narrow"/>
                <w:sz w:val="20"/>
                <w:lang w:bidi="en-US"/>
              </w:rPr>
            </w:r>
            <w:r w:rsidR="00B976A9">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Dental </w:t>
            </w: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B976A9">
              <w:rPr>
                <w:rFonts w:ascii="Arial Narrow" w:hAnsi="Arial Narrow"/>
                <w:sz w:val="20"/>
              </w:rPr>
            </w:r>
            <w:r w:rsidR="00B976A9">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Medical Practitioners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B976A9">
              <w:rPr>
                <w:rFonts w:ascii="Arial Narrow" w:hAnsi="Arial Narrow"/>
                <w:sz w:val="20"/>
                <w:lang w:bidi="en-US"/>
              </w:rPr>
            </w:r>
            <w:r w:rsidR="00B976A9">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Nurse practitioners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B976A9">
              <w:rPr>
                <w:rFonts w:ascii="Arial Narrow" w:hAnsi="Arial Narrow"/>
                <w:sz w:val="20"/>
                <w:lang w:bidi="en-US"/>
              </w:rPr>
            </w:r>
            <w:r w:rsidR="00B976A9">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Optometrists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B976A9">
              <w:rPr>
                <w:rFonts w:ascii="Arial Narrow" w:hAnsi="Arial Narrow"/>
                <w:sz w:val="20"/>
                <w:lang w:bidi="en-US"/>
              </w:rPr>
            </w:r>
            <w:r w:rsidR="00B976A9">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Midwives</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Condition</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Locally advanced or metastatic salivary gland, secretory breast tumours harbouring </w:t>
            </w:r>
            <w:r w:rsidRPr="00D744A5">
              <w:rPr>
                <w:rFonts w:ascii="Arial Narrow" w:hAnsi="Arial Narrow"/>
                <w:i/>
                <w:sz w:val="20"/>
                <w:lang w:bidi="en-US"/>
              </w:rPr>
              <w:t>NTRK</w:t>
            </w:r>
            <w:r w:rsidRPr="00D744A5">
              <w:rPr>
                <w:rFonts w:ascii="Arial Narrow" w:hAnsi="Arial Narrow"/>
                <w:sz w:val="20"/>
                <w:lang w:bidi="en-US"/>
              </w:rPr>
              <w:t xml:space="preserve"> gene fusion</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phase</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Continuing treatment</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Restriction</w:t>
            </w:r>
          </w:p>
        </w:tc>
        <w:tc>
          <w:tcPr>
            <w:tcW w:w="3983" w:type="pct"/>
          </w:tcPr>
          <w:p w:rsidR="00D744A5" w:rsidRPr="00D744A5" w:rsidRDefault="00D744A5">
            <w:pPr>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B976A9">
              <w:rPr>
                <w:rFonts w:ascii="Arial Narrow" w:hAnsi="Arial Narrow"/>
                <w:sz w:val="20"/>
              </w:rPr>
            </w:r>
            <w:r w:rsidR="00B976A9">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Authority Required – In Writing</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criteria</w:t>
            </w:r>
          </w:p>
        </w:tc>
        <w:tc>
          <w:tcPr>
            <w:tcW w:w="3983" w:type="pct"/>
          </w:tcPr>
          <w:p w:rsidR="00D744A5" w:rsidRPr="00D744A5" w:rsidRDefault="00D117CD" w:rsidP="00D744A5">
            <w:pPr>
              <w:widowControl w:val="0"/>
              <w:spacing w:before="40" w:after="40" w:line="256" w:lineRule="auto"/>
              <w:jc w:val="left"/>
              <w:rPr>
                <w:rFonts w:ascii="Arial Narrow" w:hAnsi="Arial Narrow"/>
                <w:sz w:val="20"/>
                <w:highlight w:val="yellow"/>
                <w:lang w:bidi="en-US"/>
              </w:rPr>
            </w:pPr>
            <w:r w:rsidRPr="00D117CD">
              <w:rPr>
                <w:rFonts w:ascii="Arial Narrow" w:hAnsi="Arial Narrow"/>
                <w:sz w:val="20"/>
                <w:lang w:bidi="en-US"/>
              </w:rPr>
              <w:t>-</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Clinical criteria</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The treatment must be the sole PBS-subsidised treatment with this drug for this condition</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Patient must have previously received PBS-subsidised treatment with this drug for this condition</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AND </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Patient must have demonstrated an adequate response to treatment with this drug</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37008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PBS-subsidised treatment with this drug for this condition will be provided until the patient is no longer clinically benefiting from therapy or until unacceptable toxicity occurs.</w:t>
            </w:r>
          </w:p>
        </w:tc>
      </w:tr>
    </w:tbl>
    <w:p w:rsidR="00D744A5" w:rsidRPr="00D744A5" w:rsidRDefault="00D744A5" w:rsidP="00D51B2C">
      <w:pPr>
        <w:pStyle w:val="Caption"/>
      </w:pPr>
      <w:r w:rsidRPr="00D744A5">
        <w:t xml:space="preserve">Proposed PBS listing for adult patients with low frequency </w:t>
      </w:r>
      <w:r w:rsidRPr="00D744A5">
        <w:rPr>
          <w:i/>
        </w:rPr>
        <w:t>NTRK</w:t>
      </w:r>
      <w:r w:rsidRPr="00D744A5">
        <w:t xml:space="preserve"> fusion tumour – initial treatment </w:t>
      </w:r>
    </w:p>
    <w:tbl>
      <w:tblPr>
        <w:tblStyle w:val="HTATableshaded"/>
        <w:tblW w:w="5000" w:type="pct"/>
        <w:tblLook w:val="0480" w:firstRow="0" w:lastRow="0" w:firstColumn="1" w:lastColumn="0" w:noHBand="0" w:noVBand="1"/>
        <w:tblCaption w:val="Proposed PBS listing for adult patients with low frequency NTRK fusion tumour – initial treatment "/>
      </w:tblPr>
      <w:tblGrid>
        <w:gridCol w:w="1834"/>
        <w:gridCol w:w="7182"/>
      </w:tblGrid>
      <w:tr w:rsidR="00D744A5" w:rsidRPr="00D744A5" w:rsidTr="00D117CD">
        <w:trPr>
          <w:tblHeader/>
        </w:trPr>
        <w:tc>
          <w:tcPr>
            <w:tcW w:w="1017" w:type="pct"/>
            <w:shd w:val="clear" w:color="auto" w:fill="auto"/>
          </w:tcPr>
          <w:p w:rsidR="00D744A5" w:rsidRPr="00D117CD" w:rsidRDefault="00D744A5" w:rsidP="00D744A5">
            <w:pPr>
              <w:widowControl w:val="0"/>
              <w:spacing w:before="40" w:after="40" w:line="256" w:lineRule="auto"/>
              <w:jc w:val="left"/>
              <w:rPr>
                <w:rFonts w:ascii="Arial Narrow" w:hAnsi="Arial Narrow"/>
                <w:b/>
                <w:sz w:val="20"/>
                <w:lang w:bidi="en-US"/>
              </w:rPr>
            </w:pPr>
            <w:r w:rsidRPr="00D117CD">
              <w:rPr>
                <w:rFonts w:ascii="Arial Narrow" w:hAnsi="Arial Narrow"/>
                <w:b/>
                <w:sz w:val="20"/>
                <w:lang w:bidi="en-US"/>
              </w:rPr>
              <w:t>Category / Program</w:t>
            </w:r>
          </w:p>
        </w:tc>
        <w:tc>
          <w:tcPr>
            <w:tcW w:w="3983" w:type="pct"/>
            <w:shd w:val="clear" w:color="auto" w:fill="auto"/>
          </w:tcPr>
          <w:p w:rsidR="00D744A5" w:rsidRPr="00D744A5" w:rsidRDefault="00D744A5" w:rsidP="00D744A5">
            <w:pPr>
              <w:widowControl w:val="0"/>
              <w:spacing w:before="40" w:after="40" w:line="256" w:lineRule="auto"/>
              <w:jc w:val="left"/>
              <w:rPr>
                <w:rFonts w:ascii="Arial Narrow" w:hAnsi="Arial Narrow"/>
                <w:b/>
                <w:sz w:val="20"/>
                <w:lang w:bidi="en-US"/>
              </w:rPr>
            </w:pPr>
            <w:r w:rsidRPr="00D117CD">
              <w:rPr>
                <w:rFonts w:ascii="Arial Narrow" w:hAnsi="Arial Narrow"/>
                <w:b/>
                <w:sz w:val="20"/>
                <w:lang w:bidi="en-US"/>
              </w:rPr>
              <w:t>Section 100 – HSD</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Prescriber type</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B976A9">
              <w:rPr>
                <w:rFonts w:ascii="Arial Narrow" w:hAnsi="Arial Narrow"/>
                <w:sz w:val="20"/>
                <w:lang w:bidi="en-US"/>
              </w:rPr>
            </w:r>
            <w:r w:rsidR="00B976A9">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Dental </w:t>
            </w: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B976A9">
              <w:rPr>
                <w:rFonts w:ascii="Arial Narrow" w:hAnsi="Arial Narrow"/>
                <w:sz w:val="20"/>
              </w:rPr>
            </w:r>
            <w:r w:rsidR="00B976A9">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Medical Practitioners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B976A9">
              <w:rPr>
                <w:rFonts w:ascii="Arial Narrow" w:hAnsi="Arial Narrow"/>
                <w:sz w:val="20"/>
                <w:lang w:bidi="en-US"/>
              </w:rPr>
            </w:r>
            <w:r w:rsidR="00B976A9">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Nurse practitioners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B976A9">
              <w:rPr>
                <w:rFonts w:ascii="Arial Narrow" w:hAnsi="Arial Narrow"/>
                <w:sz w:val="20"/>
                <w:lang w:bidi="en-US"/>
              </w:rPr>
            </w:r>
            <w:r w:rsidR="00B976A9">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Optometrists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B976A9">
              <w:rPr>
                <w:rFonts w:ascii="Arial Narrow" w:hAnsi="Arial Narrow"/>
                <w:sz w:val="20"/>
                <w:lang w:bidi="en-US"/>
              </w:rPr>
            </w:r>
            <w:r w:rsidR="00B976A9">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Midwives</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Condition</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Locally advanced or metastatic soft tissue sarcoma (STS), non-small cell lung cancer (NSCLC), thyroid cancer and colorectal cancer (CRC) tumours harbouring </w:t>
            </w:r>
            <w:r w:rsidRPr="00D744A5">
              <w:rPr>
                <w:rFonts w:ascii="Arial Narrow" w:hAnsi="Arial Narrow"/>
                <w:i/>
                <w:sz w:val="20"/>
                <w:lang w:bidi="en-US"/>
              </w:rPr>
              <w:t xml:space="preserve">NTRK </w:t>
            </w:r>
            <w:r w:rsidRPr="00D744A5">
              <w:rPr>
                <w:rFonts w:ascii="Arial Narrow" w:hAnsi="Arial Narrow"/>
                <w:sz w:val="20"/>
                <w:lang w:bidi="en-US"/>
              </w:rPr>
              <w:t>gene fusion</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phase</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Initial treatment</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Restriction</w:t>
            </w:r>
          </w:p>
        </w:tc>
        <w:tc>
          <w:tcPr>
            <w:tcW w:w="3983" w:type="pct"/>
          </w:tcPr>
          <w:p w:rsidR="00D744A5" w:rsidRPr="00D744A5" w:rsidRDefault="00D744A5">
            <w:pPr>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B976A9">
              <w:rPr>
                <w:rFonts w:ascii="Arial Narrow" w:hAnsi="Arial Narrow"/>
                <w:sz w:val="20"/>
              </w:rPr>
            </w:r>
            <w:r w:rsidR="00B976A9">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Authority Required – In Writing</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criteria</w:t>
            </w:r>
          </w:p>
        </w:tc>
        <w:tc>
          <w:tcPr>
            <w:tcW w:w="3983" w:type="pct"/>
          </w:tcPr>
          <w:p w:rsidR="00D744A5" w:rsidRPr="00D744A5" w:rsidRDefault="00D117CD" w:rsidP="00D744A5">
            <w:pPr>
              <w:widowControl w:val="0"/>
              <w:spacing w:before="40" w:after="40" w:line="256" w:lineRule="auto"/>
              <w:jc w:val="left"/>
              <w:rPr>
                <w:rFonts w:ascii="Arial Narrow" w:hAnsi="Arial Narrow"/>
                <w:sz w:val="20"/>
                <w:highlight w:val="yellow"/>
                <w:lang w:bidi="en-US"/>
              </w:rPr>
            </w:pPr>
            <w:r w:rsidRPr="00D117CD">
              <w:rPr>
                <w:rFonts w:ascii="Arial Narrow" w:hAnsi="Arial Narrow"/>
                <w:sz w:val="20"/>
                <w:lang w:bidi="en-US"/>
              </w:rPr>
              <w:t>-</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Clinical criteria</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The condition must be positive for a neurotrophic tropomyosin receptor kinase (</w:t>
            </w:r>
            <w:r w:rsidRPr="00D744A5">
              <w:rPr>
                <w:rFonts w:ascii="Arial Narrow" w:hAnsi="Arial Narrow"/>
                <w:i/>
                <w:sz w:val="20"/>
                <w:lang w:bidi="en-US"/>
              </w:rPr>
              <w:t>NTRK</w:t>
            </w:r>
            <w:r w:rsidRPr="00D744A5">
              <w:rPr>
                <w:rFonts w:ascii="Arial Narrow" w:hAnsi="Arial Narrow"/>
                <w:sz w:val="20"/>
                <w:lang w:bidi="en-US"/>
              </w:rPr>
              <w:t>) gene fusion confirmed by next-generation sequencing or fluorescence in-situ hybridisation</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Disease must be metastatic OR unresectable locally advanced OR locally advanced and would otherwise require disfiguring surgery or limb amputation to achieve a complete surgical resection</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The condition must have relapsed or be refractory to at least one prior therapy in the locally advanced or metastatic setting AND with </w:t>
            </w:r>
            <w:bookmarkStart w:id="6" w:name="_Hlk80105322"/>
            <w:r w:rsidRPr="00D744A5">
              <w:rPr>
                <w:rFonts w:ascii="Arial Narrow" w:hAnsi="Arial Narrow"/>
                <w:sz w:val="20"/>
                <w:lang w:bidi="en-US"/>
              </w:rPr>
              <w:t>no suitable alternate therapy available</w:t>
            </w:r>
            <w:bookmarkEnd w:id="6"/>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Patients must have a ECOG score of 2 or less</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Patient must not have received prior treatment with a </w:t>
            </w:r>
            <w:r w:rsidRPr="00D744A5">
              <w:rPr>
                <w:rFonts w:ascii="Arial Narrow" w:hAnsi="Arial Narrow"/>
                <w:i/>
                <w:sz w:val="20"/>
                <w:lang w:bidi="en-US"/>
              </w:rPr>
              <w:t>NTRK</w:t>
            </w:r>
            <w:r w:rsidRPr="00D744A5">
              <w:rPr>
                <w:rFonts w:ascii="Arial Narrow" w:hAnsi="Arial Narrow"/>
                <w:sz w:val="20"/>
                <w:lang w:bidi="en-US"/>
              </w:rPr>
              <w:t xml:space="preserve"> inhibitor</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u w:val="single"/>
                <w:lang w:bidi="en-US"/>
              </w:rPr>
              <w:t>Patient must not receive more than 3 months of treatment under this restriction</w:t>
            </w:r>
          </w:p>
        </w:tc>
      </w:tr>
    </w:tbl>
    <w:p w:rsidR="00D744A5" w:rsidRDefault="00D744A5" w:rsidP="00D744A5">
      <w:pPr>
        <w:pStyle w:val="TableFooter"/>
      </w:pPr>
    </w:p>
    <w:p w:rsidR="00D744A5" w:rsidRPr="00D744A5" w:rsidRDefault="00D744A5" w:rsidP="00D51B2C">
      <w:pPr>
        <w:pStyle w:val="Caption"/>
      </w:pPr>
      <w:r w:rsidRPr="00D744A5">
        <w:t xml:space="preserve">Proposed PBS listing for adult patients with low frequency </w:t>
      </w:r>
      <w:r w:rsidRPr="00D744A5">
        <w:rPr>
          <w:i/>
        </w:rPr>
        <w:t>NTRK</w:t>
      </w:r>
      <w:r w:rsidRPr="00D744A5">
        <w:t xml:space="preserve"> fusion tumour – continuing treatment </w:t>
      </w:r>
    </w:p>
    <w:tbl>
      <w:tblPr>
        <w:tblStyle w:val="HTATableshaded"/>
        <w:tblW w:w="5000" w:type="pct"/>
        <w:tblLook w:val="0480" w:firstRow="0" w:lastRow="0" w:firstColumn="1" w:lastColumn="0" w:noHBand="0" w:noVBand="1"/>
        <w:tblCaption w:val="Proposed PBS listing for adult patients with low frequency NTRK fusion tumour – continuing treatment "/>
      </w:tblPr>
      <w:tblGrid>
        <w:gridCol w:w="1834"/>
        <w:gridCol w:w="7182"/>
      </w:tblGrid>
      <w:tr w:rsidR="00D744A5" w:rsidRPr="00D744A5" w:rsidTr="00D117CD">
        <w:trPr>
          <w:tblHeader/>
        </w:trPr>
        <w:tc>
          <w:tcPr>
            <w:tcW w:w="1017" w:type="pct"/>
            <w:shd w:val="clear" w:color="auto" w:fill="auto"/>
          </w:tcPr>
          <w:p w:rsidR="00D744A5" w:rsidRPr="00D744A5" w:rsidRDefault="00D744A5" w:rsidP="00D744A5">
            <w:pPr>
              <w:widowControl w:val="0"/>
              <w:spacing w:before="40" w:after="40" w:line="256" w:lineRule="auto"/>
              <w:jc w:val="left"/>
              <w:rPr>
                <w:rFonts w:ascii="Arial Narrow" w:hAnsi="Arial Narrow"/>
                <w:b/>
                <w:sz w:val="20"/>
                <w:lang w:bidi="en-US"/>
              </w:rPr>
            </w:pPr>
            <w:r w:rsidRPr="00D744A5">
              <w:rPr>
                <w:rFonts w:ascii="Arial Narrow" w:hAnsi="Arial Narrow"/>
                <w:b/>
                <w:sz w:val="20"/>
                <w:lang w:bidi="en-US"/>
              </w:rPr>
              <w:t>Category / Program</w:t>
            </w:r>
          </w:p>
        </w:tc>
        <w:tc>
          <w:tcPr>
            <w:tcW w:w="3983" w:type="pct"/>
            <w:shd w:val="clear" w:color="auto" w:fill="auto"/>
          </w:tcPr>
          <w:p w:rsidR="00D744A5" w:rsidRPr="00D744A5" w:rsidRDefault="00D744A5" w:rsidP="00D744A5">
            <w:pPr>
              <w:widowControl w:val="0"/>
              <w:spacing w:before="40" w:after="40" w:line="256" w:lineRule="auto"/>
              <w:jc w:val="left"/>
              <w:rPr>
                <w:rFonts w:ascii="Arial Narrow" w:hAnsi="Arial Narrow"/>
                <w:b/>
                <w:sz w:val="20"/>
                <w:lang w:bidi="en-US"/>
              </w:rPr>
            </w:pPr>
            <w:r w:rsidRPr="00D744A5">
              <w:rPr>
                <w:rFonts w:ascii="Arial Narrow" w:hAnsi="Arial Narrow"/>
                <w:b/>
                <w:sz w:val="20"/>
                <w:lang w:bidi="en-US"/>
              </w:rPr>
              <w:t>Section 100 – HSD</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Prescriber type</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B976A9">
              <w:rPr>
                <w:rFonts w:ascii="Arial Narrow" w:hAnsi="Arial Narrow"/>
                <w:sz w:val="20"/>
                <w:lang w:bidi="en-US"/>
              </w:rPr>
            </w:r>
            <w:r w:rsidR="00B976A9">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Dental </w:t>
            </w: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B976A9">
              <w:rPr>
                <w:rFonts w:ascii="Arial Narrow" w:hAnsi="Arial Narrow"/>
                <w:sz w:val="20"/>
              </w:rPr>
            </w:r>
            <w:r w:rsidR="00B976A9">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Medical Practitioners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B976A9">
              <w:rPr>
                <w:rFonts w:ascii="Arial Narrow" w:hAnsi="Arial Narrow"/>
                <w:sz w:val="20"/>
                <w:lang w:bidi="en-US"/>
              </w:rPr>
            </w:r>
            <w:r w:rsidR="00B976A9">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Nurse practitioners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B976A9">
              <w:rPr>
                <w:rFonts w:ascii="Arial Narrow" w:hAnsi="Arial Narrow"/>
                <w:sz w:val="20"/>
                <w:lang w:bidi="en-US"/>
              </w:rPr>
            </w:r>
            <w:r w:rsidR="00B976A9">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Optometrists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B976A9">
              <w:rPr>
                <w:rFonts w:ascii="Arial Narrow" w:hAnsi="Arial Narrow"/>
                <w:sz w:val="20"/>
                <w:lang w:bidi="en-US"/>
              </w:rPr>
            </w:r>
            <w:r w:rsidR="00B976A9">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Midwives</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Condition</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Locally advanced or metastatic soft tissue sarcoma (STS), non-small cell lung cancer (NSCLC), thyroid cancer and colorectal cancer (CRC) tumours harbouring </w:t>
            </w:r>
            <w:r w:rsidRPr="00D744A5">
              <w:rPr>
                <w:rFonts w:ascii="Arial Narrow" w:hAnsi="Arial Narrow"/>
                <w:i/>
                <w:sz w:val="20"/>
                <w:lang w:bidi="en-US"/>
              </w:rPr>
              <w:t xml:space="preserve">NTRK </w:t>
            </w:r>
            <w:r w:rsidRPr="00D744A5">
              <w:rPr>
                <w:rFonts w:ascii="Arial Narrow" w:hAnsi="Arial Narrow"/>
                <w:sz w:val="20"/>
                <w:lang w:bidi="en-US"/>
              </w:rPr>
              <w:t>gene fusion</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phase</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Continuing treatment</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Restriction</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B976A9">
              <w:rPr>
                <w:rFonts w:ascii="Arial Narrow" w:hAnsi="Arial Narrow"/>
                <w:sz w:val="20"/>
              </w:rPr>
            </w:r>
            <w:r w:rsidR="00B976A9">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Authority Required – In Writing</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criteria</w:t>
            </w:r>
          </w:p>
        </w:tc>
        <w:tc>
          <w:tcPr>
            <w:tcW w:w="3983" w:type="pct"/>
          </w:tcPr>
          <w:p w:rsidR="00D744A5" w:rsidRPr="00D744A5" w:rsidRDefault="00D117CD" w:rsidP="00D744A5">
            <w:pPr>
              <w:widowControl w:val="0"/>
              <w:spacing w:before="40" w:after="40" w:line="256" w:lineRule="auto"/>
              <w:jc w:val="left"/>
              <w:rPr>
                <w:rFonts w:ascii="Arial Narrow" w:hAnsi="Arial Narrow"/>
                <w:sz w:val="20"/>
                <w:highlight w:val="yellow"/>
                <w:lang w:bidi="en-US"/>
              </w:rPr>
            </w:pPr>
            <w:r w:rsidRPr="00D117CD">
              <w:rPr>
                <w:rFonts w:ascii="Arial Narrow" w:hAnsi="Arial Narrow"/>
                <w:sz w:val="20"/>
                <w:lang w:bidi="en-US"/>
              </w:rPr>
              <w:t>-</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Clinical criteria</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The treatment must be the sole PBS-subsidised treatment with this drug for this condition</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Patient must have previously received PBS-subsidised treatment with this drug for this condition</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AND </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Patient must have demonstrated an adequate response to treatment with this drug</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PBS-subsidised treatment with this drug for this condition will be provided until the patient is no longer clinically benefiting from therapy </w:t>
            </w:r>
            <w:bookmarkStart w:id="7" w:name="_Hlk80108245"/>
            <w:r w:rsidRPr="00D744A5">
              <w:rPr>
                <w:rFonts w:ascii="Arial Narrow" w:hAnsi="Arial Narrow"/>
                <w:sz w:val="20"/>
                <w:lang w:bidi="en-US"/>
              </w:rPr>
              <w:t>or until unacceptable toxicity occurs</w:t>
            </w:r>
            <w:bookmarkEnd w:id="7"/>
          </w:p>
        </w:tc>
      </w:tr>
    </w:tbl>
    <w:p w:rsidR="00370085" w:rsidRDefault="00370085" w:rsidP="00370085">
      <w:pPr>
        <w:pStyle w:val="TableFooter"/>
      </w:pPr>
    </w:p>
    <w:p w:rsidR="00D744A5" w:rsidRPr="00D744A5" w:rsidRDefault="00D744A5" w:rsidP="00D744A5">
      <w:pPr>
        <w:keepNext/>
        <w:spacing w:before="240" w:after="0" w:line="259" w:lineRule="auto"/>
        <w:ind w:left="1418" w:hanging="1418"/>
        <w:contextualSpacing/>
        <w:jc w:val="left"/>
        <w:rPr>
          <w:rFonts w:ascii="Arial Narrow" w:hAnsi="Arial Narrow"/>
          <w:b/>
          <w:iCs/>
          <w:sz w:val="20"/>
          <w:szCs w:val="16"/>
        </w:rPr>
      </w:pPr>
      <w:r w:rsidRPr="00D744A5">
        <w:rPr>
          <w:rFonts w:ascii="Arial Narrow" w:hAnsi="Arial Narrow"/>
          <w:b/>
          <w:iCs/>
          <w:sz w:val="20"/>
          <w:szCs w:val="16"/>
        </w:rPr>
        <w:t xml:space="preserve">Requested PBS Restriction – Grandfather </w:t>
      </w:r>
      <w:proofErr w:type="gramStart"/>
      <w:r w:rsidRPr="00D744A5">
        <w:rPr>
          <w:rFonts w:ascii="Arial Narrow" w:hAnsi="Arial Narrow"/>
          <w:b/>
          <w:iCs/>
          <w:sz w:val="20"/>
          <w:szCs w:val="16"/>
        </w:rPr>
        <w:t>treatment</w:t>
      </w:r>
      <w:proofErr w:type="gramEnd"/>
    </w:p>
    <w:tbl>
      <w:tblPr>
        <w:tblStyle w:val="HTATableshaded"/>
        <w:tblW w:w="5000" w:type="pct"/>
        <w:tblLook w:val="0480" w:firstRow="0" w:lastRow="0" w:firstColumn="1" w:lastColumn="0" w:noHBand="0" w:noVBand="1"/>
        <w:tblCaption w:val="Requested PBS Restriction – Grandfather treatment"/>
      </w:tblPr>
      <w:tblGrid>
        <w:gridCol w:w="1834"/>
        <w:gridCol w:w="7182"/>
      </w:tblGrid>
      <w:tr w:rsidR="00D744A5" w:rsidRPr="00D744A5" w:rsidTr="003B6B2C">
        <w:trPr>
          <w:tblHeader/>
        </w:trPr>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Category / Program</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Section 100 – HSD</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Prescriber type</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B976A9">
              <w:rPr>
                <w:rFonts w:ascii="Arial Narrow" w:hAnsi="Arial Narrow"/>
                <w:sz w:val="20"/>
                <w:lang w:bidi="en-US"/>
              </w:rPr>
            </w:r>
            <w:r w:rsidR="00B976A9">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Dental </w:t>
            </w: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B976A9">
              <w:rPr>
                <w:rFonts w:ascii="Arial Narrow" w:hAnsi="Arial Narrow"/>
                <w:sz w:val="20"/>
              </w:rPr>
            </w:r>
            <w:r w:rsidR="00B976A9">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Medical Practitioners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B976A9">
              <w:rPr>
                <w:rFonts w:ascii="Arial Narrow" w:hAnsi="Arial Narrow"/>
                <w:sz w:val="20"/>
                <w:lang w:bidi="en-US"/>
              </w:rPr>
            </w:r>
            <w:r w:rsidR="00B976A9">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Nurse practitioners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B976A9">
              <w:rPr>
                <w:rFonts w:ascii="Arial Narrow" w:hAnsi="Arial Narrow"/>
                <w:sz w:val="20"/>
                <w:lang w:bidi="en-US"/>
              </w:rPr>
            </w:r>
            <w:r w:rsidR="00B976A9">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Optometrists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B976A9">
              <w:rPr>
                <w:rFonts w:ascii="Arial Narrow" w:hAnsi="Arial Narrow"/>
                <w:sz w:val="20"/>
                <w:lang w:bidi="en-US"/>
              </w:rPr>
            </w:r>
            <w:r w:rsidR="00B976A9">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Midwives</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Condition</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Locally advanced or metastatic solid tumours harbouring </w:t>
            </w:r>
            <w:r w:rsidRPr="00D744A5">
              <w:rPr>
                <w:rFonts w:ascii="Arial Narrow" w:hAnsi="Arial Narrow"/>
                <w:i/>
                <w:sz w:val="20"/>
                <w:lang w:bidi="en-US"/>
              </w:rPr>
              <w:t>NTRK</w:t>
            </w:r>
            <w:r w:rsidRPr="00D744A5">
              <w:rPr>
                <w:rFonts w:ascii="Arial Narrow" w:hAnsi="Arial Narrow"/>
                <w:sz w:val="20"/>
                <w:lang w:bidi="en-US"/>
              </w:rPr>
              <w:t xml:space="preserve"> gene fusion</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phase</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Grandfather treatment</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Restriction</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B976A9">
              <w:rPr>
                <w:rFonts w:ascii="Arial Narrow" w:hAnsi="Arial Narrow"/>
                <w:sz w:val="20"/>
              </w:rPr>
            </w:r>
            <w:r w:rsidR="00B976A9">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Authority Required – In Writing</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criteria</w:t>
            </w:r>
          </w:p>
        </w:tc>
        <w:tc>
          <w:tcPr>
            <w:tcW w:w="3983" w:type="pct"/>
          </w:tcPr>
          <w:p w:rsidR="00D744A5" w:rsidRPr="00D744A5" w:rsidRDefault="00D117CD" w:rsidP="00D744A5">
            <w:pPr>
              <w:widowControl w:val="0"/>
              <w:spacing w:before="40" w:after="40" w:line="256" w:lineRule="auto"/>
              <w:jc w:val="left"/>
              <w:rPr>
                <w:rFonts w:ascii="Arial Narrow" w:hAnsi="Arial Narrow"/>
                <w:sz w:val="20"/>
                <w:lang w:bidi="en-US"/>
              </w:rPr>
            </w:pPr>
            <w:r>
              <w:rPr>
                <w:rFonts w:ascii="Arial Narrow" w:hAnsi="Arial Narrow"/>
                <w:sz w:val="20"/>
                <w:lang w:bidi="en-US"/>
              </w:rPr>
              <w:t>-</w:t>
            </w:r>
          </w:p>
        </w:tc>
      </w:tr>
      <w:tr w:rsidR="00D744A5" w:rsidRPr="00D744A5" w:rsidTr="00D744A5">
        <w:tc>
          <w:tcPr>
            <w:tcW w:w="1017"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Clinical criteria</w:t>
            </w:r>
          </w:p>
        </w:tc>
        <w:tc>
          <w:tcPr>
            <w:tcW w:w="3983" w:type="pct"/>
          </w:tcPr>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The condition must be positive for a neurotrophic tropomyosin receptor kinase (</w:t>
            </w:r>
            <w:r w:rsidRPr="00D744A5">
              <w:rPr>
                <w:rFonts w:ascii="Arial Narrow" w:hAnsi="Arial Narrow"/>
                <w:i/>
                <w:sz w:val="20"/>
                <w:lang w:bidi="en-US"/>
              </w:rPr>
              <w:t>NTRK</w:t>
            </w:r>
            <w:r w:rsidRPr="00D744A5">
              <w:rPr>
                <w:rFonts w:ascii="Arial Narrow" w:hAnsi="Arial Narrow"/>
                <w:sz w:val="20"/>
                <w:lang w:bidi="en-US"/>
              </w:rPr>
              <w:t>) gene fusion</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Disease must be metastatic OR unresectable locally advanced OR locally advanced and would otherwise require disfiguring surgery or limb amputation to achieve a complete surgical resection.</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The patient must have previously received non-PBS subsidised treatment with this drug </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The treatment must be the sole PBS-subsidised therapy for this condition</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PBS-subsidised treatment with this drug for this condition will be provided until the patient is no longer clinically benefiting from therapy or until unacceptable toxicity occurs</w:t>
            </w:r>
          </w:p>
        </w:tc>
      </w:tr>
    </w:tbl>
    <w:p w:rsidR="00D744A5" w:rsidRPr="00D744A5" w:rsidRDefault="00D744A5" w:rsidP="00D744A5">
      <w:pPr>
        <w:pStyle w:val="TableFooter"/>
      </w:pPr>
      <w:r w:rsidRPr="00D744A5">
        <w:t>Source: Tables 120-128, pp84-90 of the resubmission</w:t>
      </w:r>
    </w:p>
    <w:p w:rsidR="00405625" w:rsidRDefault="00405625" w:rsidP="00405625">
      <w:pPr>
        <w:pStyle w:val="ListParagraph"/>
      </w:pPr>
      <w:bookmarkStart w:id="8" w:name="_Toc487029150"/>
      <w:r w:rsidRPr="00405625">
        <w:t xml:space="preserve">The submission requested an Authority Required (In Writing) listing under the Section 100 (Highly </w:t>
      </w:r>
      <w:r>
        <w:t xml:space="preserve">Specialised Drugs) program. The </w:t>
      </w:r>
      <w:r w:rsidRPr="00405625">
        <w:t>PBAC consider</w:t>
      </w:r>
      <w:r>
        <w:t>ed</w:t>
      </w:r>
      <w:r w:rsidRPr="00405625">
        <w:t xml:space="preserve"> </w:t>
      </w:r>
      <w:r>
        <w:t xml:space="preserve">a General Schedule listing would </w:t>
      </w:r>
      <w:r w:rsidRPr="00405625">
        <w:t>be more appropriate given specialised administration is</w:t>
      </w:r>
      <w:r>
        <w:t xml:space="preserve"> </w:t>
      </w:r>
      <w:r w:rsidRPr="00405625">
        <w:t xml:space="preserve">not required </w:t>
      </w:r>
      <w:r w:rsidR="00201B6A">
        <w:t xml:space="preserve">for an orally administered treatment </w:t>
      </w:r>
      <w:r w:rsidRPr="00405625">
        <w:t>and no additional</w:t>
      </w:r>
      <w:r w:rsidR="00201B6A">
        <w:t xml:space="preserve"> immediate</w:t>
      </w:r>
      <w:r w:rsidRPr="00405625">
        <w:t xml:space="preserve"> monitoring requirements are </w:t>
      </w:r>
      <w:r w:rsidR="00201B6A">
        <w:t>outlined in the Product Information</w:t>
      </w:r>
      <w:r w:rsidRPr="00405625">
        <w:t>.</w:t>
      </w:r>
      <w:r>
        <w:t xml:space="preserve"> The PBAC considered </w:t>
      </w:r>
      <w:r w:rsidR="00CB2B03">
        <w:t xml:space="preserve">that an </w:t>
      </w:r>
      <w:r>
        <w:t xml:space="preserve">Authority Required (In Writing) </w:t>
      </w:r>
      <w:r w:rsidR="00CB2B03">
        <w:t xml:space="preserve">listing </w:t>
      </w:r>
      <w:r>
        <w:t>w</w:t>
      </w:r>
      <w:r w:rsidR="00CB2B03">
        <w:t>ould be</w:t>
      </w:r>
      <w:r>
        <w:t xml:space="preserve"> appropriate</w:t>
      </w:r>
      <w:r w:rsidR="00CB2B03">
        <w:t xml:space="preserve"> for initial treatment</w:t>
      </w:r>
      <w:r>
        <w:t xml:space="preserve"> and </w:t>
      </w:r>
      <w:r w:rsidR="00CB2B03">
        <w:t>an</w:t>
      </w:r>
      <w:r>
        <w:t xml:space="preserve"> Authority Required (</w:t>
      </w:r>
      <w:r w:rsidR="00620607" w:rsidRPr="00620607">
        <w:t>telephone/online PBS Authorities system</w:t>
      </w:r>
      <w:r>
        <w:t>)</w:t>
      </w:r>
      <w:r w:rsidR="00CB2B03">
        <w:t xml:space="preserve"> listing would be appropriate for continuing treatment</w:t>
      </w:r>
      <w:r>
        <w:t xml:space="preserve">. </w:t>
      </w:r>
    </w:p>
    <w:p w:rsidR="00D744A5" w:rsidRPr="00E31F49" w:rsidRDefault="00D744A5" w:rsidP="00D744A5">
      <w:pPr>
        <w:pStyle w:val="ListParagraph"/>
      </w:pPr>
      <w:r w:rsidRPr="00A94BB4">
        <w:t xml:space="preserve">The requested restriction specified </w:t>
      </w:r>
      <w:r w:rsidR="00201B6A">
        <w:t xml:space="preserve">specific solid </w:t>
      </w:r>
      <w:r w:rsidRPr="00A94BB4">
        <w:t xml:space="preserve">tumour types for the adult population: </w:t>
      </w:r>
      <w:r w:rsidR="00E93E5F">
        <w:t>two tumour types (</w:t>
      </w:r>
      <w:r w:rsidR="00E93E5F" w:rsidRPr="00A94BB4">
        <w:t>salivary gland and SBC</w:t>
      </w:r>
      <w:r w:rsidR="00E93E5F">
        <w:t>)</w:t>
      </w:r>
      <w:r w:rsidR="00E93E5F" w:rsidRPr="00A94BB4">
        <w:t xml:space="preserve"> </w:t>
      </w:r>
      <w:r w:rsidRPr="00A94BB4">
        <w:t xml:space="preserve">for the high </w:t>
      </w:r>
      <w:r w:rsidRPr="00A94BB4">
        <w:rPr>
          <w:i/>
        </w:rPr>
        <w:t>NTRK</w:t>
      </w:r>
      <w:r w:rsidRPr="00A94BB4">
        <w:t xml:space="preserve"> frequency subgroup</w:t>
      </w:r>
      <w:r w:rsidR="00E93E5F">
        <w:t xml:space="preserve">, </w:t>
      </w:r>
      <w:r w:rsidRPr="00A94BB4">
        <w:t xml:space="preserve">and four tumour types for the low </w:t>
      </w:r>
      <w:r w:rsidRPr="00A94BB4">
        <w:rPr>
          <w:i/>
        </w:rPr>
        <w:t>NTRK</w:t>
      </w:r>
      <w:r w:rsidRPr="00A94BB4">
        <w:t xml:space="preserve"> frequency subgroup (STS, NSCLC, thyroid cancer and CRC).</w:t>
      </w:r>
      <w:r w:rsidRPr="00A94BB4">
        <w:rPr>
          <w:i/>
        </w:rPr>
        <w:t xml:space="preserve"> </w:t>
      </w:r>
      <w:r w:rsidRPr="00887CB9">
        <w:rPr>
          <w:iCs/>
        </w:rPr>
        <w:t>The PBAC previously advised that specifying the tumour types in the high and low frequency subgroups may reduce the risk of use beyond the intended populations, and that this may be particularly important for the adult populations if adult patients with low frequency NTRK fusion tumours remain ineligible for PBS subsidy (Paragraph 7.4, larotrectinib PSD, November 2020).</w:t>
      </w:r>
      <w:r w:rsidR="00652162">
        <w:rPr>
          <w:iCs/>
        </w:rPr>
        <w:t xml:space="preserve"> </w:t>
      </w:r>
      <w:r w:rsidR="00652162" w:rsidRPr="00E82ED0">
        <w:rPr>
          <w:iCs/>
        </w:rPr>
        <w:t>The Pre-Sub-Committee Response (PSCR)</w:t>
      </w:r>
      <w:r w:rsidR="0007521A" w:rsidRPr="00E82ED0">
        <w:rPr>
          <w:iCs/>
        </w:rPr>
        <w:t xml:space="preserve"> indicated that tumour types were not specified for</w:t>
      </w:r>
      <w:r w:rsidR="00B779DD" w:rsidRPr="00E82ED0">
        <w:rPr>
          <w:iCs/>
        </w:rPr>
        <w:t xml:space="preserve"> paediatric high and low frequency subgroups due to ethical considerations, as </w:t>
      </w:r>
      <w:r w:rsidR="006B6242" w:rsidRPr="00E82ED0">
        <w:rPr>
          <w:iCs/>
        </w:rPr>
        <w:t xml:space="preserve">all paediatric patients </w:t>
      </w:r>
      <w:r w:rsidR="0007521A" w:rsidRPr="00E82ED0">
        <w:rPr>
          <w:iCs/>
        </w:rPr>
        <w:t xml:space="preserve">have access to </w:t>
      </w:r>
      <w:r w:rsidR="00B779DD" w:rsidRPr="00E82ED0">
        <w:rPr>
          <w:i/>
        </w:rPr>
        <w:t>NTRK</w:t>
      </w:r>
      <w:r w:rsidR="00B779DD" w:rsidRPr="00E82ED0">
        <w:rPr>
          <w:iCs/>
        </w:rPr>
        <w:t xml:space="preserve"> fusion testing</w:t>
      </w:r>
      <w:r w:rsidR="0007521A" w:rsidRPr="00E82ED0">
        <w:rPr>
          <w:iCs/>
        </w:rPr>
        <w:t xml:space="preserve"> through the Zero Childhood Cancer Initiative</w:t>
      </w:r>
      <w:r w:rsidR="00B779DD" w:rsidRPr="00E82ED0">
        <w:rPr>
          <w:iCs/>
        </w:rPr>
        <w:t>.</w:t>
      </w:r>
      <w:r w:rsidR="00E93402" w:rsidRPr="00E82ED0">
        <w:rPr>
          <w:iCs/>
        </w:rPr>
        <w:t xml:space="preserve"> The ESCs considered </w:t>
      </w:r>
      <w:r w:rsidR="006D66BE" w:rsidRPr="00E82ED0">
        <w:rPr>
          <w:iCs/>
        </w:rPr>
        <w:t>specifying</w:t>
      </w:r>
      <w:r w:rsidR="00E93402" w:rsidRPr="00E82ED0">
        <w:rPr>
          <w:iCs/>
        </w:rPr>
        <w:t xml:space="preserve"> tumour types for the adult population only was reasonable.</w:t>
      </w:r>
    </w:p>
    <w:p w:rsidR="00E31F49" w:rsidRDefault="00545F18" w:rsidP="00277CF4">
      <w:pPr>
        <w:pStyle w:val="ListParagraph"/>
      </w:pPr>
      <w:r>
        <w:t>For the adult low frequency subgroup, t</w:t>
      </w:r>
      <w:r w:rsidR="00E31F49">
        <w:t xml:space="preserve">he justification </w:t>
      </w:r>
      <w:r w:rsidR="00654C2A">
        <w:t xml:space="preserve">in the resubmission </w:t>
      </w:r>
      <w:r w:rsidR="00E31F49">
        <w:t xml:space="preserve">for the </w:t>
      </w:r>
      <w:r w:rsidR="00654C2A">
        <w:t xml:space="preserve">specified </w:t>
      </w:r>
      <w:r w:rsidR="00E31F49">
        <w:t xml:space="preserve">tumour types was </w:t>
      </w:r>
      <w:r w:rsidR="00955722">
        <w:t xml:space="preserve">based on </w:t>
      </w:r>
      <w:r w:rsidR="00E86450">
        <w:t>i</w:t>
      </w:r>
      <w:r w:rsidR="00E31F49">
        <w:t>) the tumour type</w:t>
      </w:r>
      <w:r w:rsidR="00E86450">
        <w:t>s with the highest</w:t>
      </w:r>
      <w:r w:rsidR="00E31F49">
        <w:t xml:space="preserve"> prevalence </w:t>
      </w:r>
      <w:r w:rsidR="00E86450">
        <w:t>in</w:t>
      </w:r>
      <w:r w:rsidR="00E31F49">
        <w:t xml:space="preserve"> the latest clinical data-cut (which together represented 74 patients from total 101 patients for this subgroup in the pooled analysis (ePAS5 + SAS3</w:t>
      </w:r>
      <w:r w:rsidR="00370085">
        <w:t xml:space="preserve"> New</w:t>
      </w:r>
      <w:r w:rsidR="00E31F49">
        <w:t>)</w:t>
      </w:r>
      <w:r w:rsidR="00260453">
        <w:t>)</w:t>
      </w:r>
      <w:r w:rsidR="00E31F49">
        <w:t xml:space="preserve">, </w:t>
      </w:r>
      <w:r w:rsidR="00E86450">
        <w:t>ii</w:t>
      </w:r>
      <w:r w:rsidR="00E31F49">
        <w:t xml:space="preserve">) demonstrated </w:t>
      </w:r>
      <w:r w:rsidR="00654C2A">
        <w:t>response rate</w:t>
      </w:r>
      <w:r w:rsidR="00E31F49">
        <w:t xml:space="preserve">, and </w:t>
      </w:r>
      <w:r w:rsidR="00E86450">
        <w:t>iii</w:t>
      </w:r>
      <w:r w:rsidR="00E31F49">
        <w:t xml:space="preserve">) alignment with unmet clinical need in Australian patients </w:t>
      </w:r>
      <w:r w:rsidR="00E86450">
        <w:t>with</w:t>
      </w:r>
      <w:r w:rsidR="00E31F49">
        <w:t xml:space="preserve"> the respective tumour type</w:t>
      </w:r>
      <w:r w:rsidR="007B73DB">
        <w:t>s</w:t>
      </w:r>
      <w:r w:rsidR="00134267" w:rsidRPr="00134267">
        <w:t xml:space="preserve"> </w:t>
      </w:r>
      <w:r w:rsidR="00134267">
        <w:t xml:space="preserve">(see </w:t>
      </w:r>
      <w:r w:rsidR="008922E3">
        <w:t>Table</w:t>
      </w:r>
      <w:r w:rsidR="00E37EC3">
        <w:t xml:space="preserve"> </w:t>
      </w:r>
      <w:r w:rsidR="008922E3">
        <w:rPr>
          <w:noProof/>
        </w:rPr>
        <w:t>4</w:t>
      </w:r>
      <w:r w:rsidR="00134267">
        <w:t>)</w:t>
      </w:r>
      <w:r w:rsidR="007B73DB">
        <w:t>.</w:t>
      </w:r>
    </w:p>
    <w:p w:rsidR="008A7501" w:rsidRPr="0002488A" w:rsidRDefault="001150C8" w:rsidP="001150C8">
      <w:pPr>
        <w:pStyle w:val="ListParagraph"/>
        <w:rPr>
          <w:iCs/>
        </w:rPr>
      </w:pPr>
      <w:r w:rsidRPr="0002488A">
        <w:rPr>
          <w:iCs/>
        </w:rPr>
        <w:t>How larotrectinib will be used in clinical practice</w:t>
      </w:r>
      <w:r w:rsidR="00B66D19">
        <w:rPr>
          <w:iCs/>
        </w:rPr>
        <w:t xml:space="preserve"> in the adult low frequency subgroup</w:t>
      </w:r>
      <w:r w:rsidRPr="0002488A">
        <w:rPr>
          <w:iCs/>
        </w:rPr>
        <w:t xml:space="preserve"> remains uncertain</w:t>
      </w:r>
      <w:r w:rsidR="00A80F79">
        <w:rPr>
          <w:iCs/>
        </w:rPr>
        <w:t xml:space="preserve"> given there are effective therapies available in the last line</w:t>
      </w:r>
      <w:r w:rsidR="0011291D">
        <w:rPr>
          <w:iCs/>
        </w:rPr>
        <w:t xml:space="preserve"> treatment setting</w:t>
      </w:r>
      <w:r w:rsidRPr="0002488A">
        <w:rPr>
          <w:iCs/>
        </w:rPr>
        <w:t xml:space="preserve">. </w:t>
      </w:r>
      <w:r w:rsidR="007C00D9" w:rsidRPr="00E82ED0">
        <w:rPr>
          <w:iCs/>
        </w:rPr>
        <w:t xml:space="preserve">The PSCR indicated the </w:t>
      </w:r>
      <w:r w:rsidR="00B63CB0" w:rsidRPr="00E82ED0">
        <w:rPr>
          <w:iCs/>
        </w:rPr>
        <w:t>S</w:t>
      </w:r>
      <w:r w:rsidR="007C00D9" w:rsidRPr="00E82ED0">
        <w:rPr>
          <w:iCs/>
        </w:rPr>
        <w:t xml:space="preserve">ponsor </w:t>
      </w:r>
      <w:r w:rsidR="00B63CB0" w:rsidRPr="00E82ED0">
        <w:rPr>
          <w:iCs/>
        </w:rPr>
        <w:t xml:space="preserve">was willing to work with the Department to reduce ambiguity around last line usage in the restriction. </w:t>
      </w:r>
      <w:r w:rsidR="006E3DE3" w:rsidRPr="00E82ED0">
        <w:rPr>
          <w:iCs/>
        </w:rPr>
        <w:t>The ESCs considere</w:t>
      </w:r>
      <w:r w:rsidR="003313EB" w:rsidRPr="00E82ED0">
        <w:rPr>
          <w:iCs/>
        </w:rPr>
        <w:t>d</w:t>
      </w:r>
      <w:r w:rsidR="00901CF6" w:rsidRPr="00E82ED0">
        <w:rPr>
          <w:iCs/>
        </w:rPr>
        <w:t xml:space="preserve"> how</w:t>
      </w:r>
      <w:r w:rsidR="00804649" w:rsidRPr="00E82ED0">
        <w:rPr>
          <w:iCs/>
        </w:rPr>
        <w:t xml:space="preserve"> larotrectinib would be used in the adult low </w:t>
      </w:r>
      <w:r w:rsidR="00804649" w:rsidRPr="00E82ED0">
        <w:rPr>
          <w:i/>
        </w:rPr>
        <w:t>NTRK</w:t>
      </w:r>
      <w:r w:rsidR="00804649" w:rsidRPr="00E82ED0">
        <w:rPr>
          <w:iCs/>
        </w:rPr>
        <w:t xml:space="preserve"> frequency subgroup</w:t>
      </w:r>
      <w:r w:rsidR="00821F7E" w:rsidRPr="00E82ED0">
        <w:rPr>
          <w:iCs/>
        </w:rPr>
        <w:t xml:space="preserve"> in clinical practice</w:t>
      </w:r>
      <w:r w:rsidR="00901CF6" w:rsidRPr="00E82ED0">
        <w:rPr>
          <w:iCs/>
        </w:rPr>
        <w:t xml:space="preserve"> was particularly uncertain,</w:t>
      </w:r>
      <w:r w:rsidR="00804649" w:rsidRPr="00E82ED0">
        <w:rPr>
          <w:iCs/>
        </w:rPr>
        <w:t xml:space="preserve"> given</w:t>
      </w:r>
      <w:r w:rsidR="00901CF6" w:rsidRPr="00E82ED0">
        <w:rPr>
          <w:iCs/>
        </w:rPr>
        <w:t xml:space="preserve"> the</w:t>
      </w:r>
      <w:r w:rsidR="00804649" w:rsidRPr="00E82ED0">
        <w:rPr>
          <w:iCs/>
        </w:rPr>
        <w:t xml:space="preserve"> </w:t>
      </w:r>
      <w:r w:rsidR="00821F7E" w:rsidRPr="00E82ED0">
        <w:rPr>
          <w:iCs/>
        </w:rPr>
        <w:t xml:space="preserve">availability of effective later line treatment options for low </w:t>
      </w:r>
      <w:r w:rsidR="00821F7E" w:rsidRPr="00E82ED0">
        <w:rPr>
          <w:i/>
        </w:rPr>
        <w:t xml:space="preserve">NTRK </w:t>
      </w:r>
      <w:r w:rsidR="00821F7E" w:rsidRPr="00E82ED0">
        <w:rPr>
          <w:iCs/>
        </w:rPr>
        <w:t>frequency tumours</w:t>
      </w:r>
      <w:r w:rsidR="00813202" w:rsidRPr="00E82ED0">
        <w:rPr>
          <w:iCs/>
        </w:rPr>
        <w:t xml:space="preserve"> and given there is limited evidence to support a treatment benefit of larotrectinib compared to these existing treatments. </w:t>
      </w:r>
      <w:r w:rsidR="004E6AE3" w:rsidRPr="00E82ED0">
        <w:rPr>
          <w:iCs/>
        </w:rPr>
        <w:t>The ESCs considered</w:t>
      </w:r>
      <w:r w:rsidR="005A2195" w:rsidRPr="00E82ED0">
        <w:rPr>
          <w:iCs/>
        </w:rPr>
        <w:t xml:space="preserve"> that the clinical need </w:t>
      </w:r>
      <w:r w:rsidR="004E3033" w:rsidRPr="00E82ED0">
        <w:rPr>
          <w:iCs/>
        </w:rPr>
        <w:t xml:space="preserve">for larotrectinib </w:t>
      </w:r>
      <w:r w:rsidR="005A2195" w:rsidRPr="00E82ED0">
        <w:rPr>
          <w:iCs/>
        </w:rPr>
        <w:t xml:space="preserve">in this </w:t>
      </w:r>
      <w:r w:rsidR="004E3033" w:rsidRPr="00E82ED0">
        <w:rPr>
          <w:iCs/>
        </w:rPr>
        <w:t xml:space="preserve">adult low </w:t>
      </w:r>
      <w:r w:rsidR="004E3033" w:rsidRPr="00E82ED0">
        <w:rPr>
          <w:i/>
        </w:rPr>
        <w:t>NTRK</w:t>
      </w:r>
      <w:r w:rsidR="004E3033" w:rsidRPr="00E82ED0">
        <w:rPr>
          <w:iCs/>
        </w:rPr>
        <w:t xml:space="preserve"> frequency </w:t>
      </w:r>
      <w:r w:rsidR="005A2195" w:rsidRPr="00E82ED0">
        <w:rPr>
          <w:iCs/>
        </w:rPr>
        <w:t xml:space="preserve">population </w:t>
      </w:r>
      <w:r w:rsidR="007540C1" w:rsidRPr="00E82ED0">
        <w:rPr>
          <w:iCs/>
        </w:rPr>
        <w:t xml:space="preserve">before last-line therapy </w:t>
      </w:r>
      <w:r w:rsidR="005A2195" w:rsidRPr="00E82ED0">
        <w:rPr>
          <w:iCs/>
        </w:rPr>
        <w:t xml:space="preserve">was </w:t>
      </w:r>
      <w:r w:rsidR="007540C1" w:rsidRPr="00E82ED0">
        <w:rPr>
          <w:iCs/>
        </w:rPr>
        <w:t>less</w:t>
      </w:r>
      <w:r w:rsidR="004E3033" w:rsidRPr="00E82ED0">
        <w:rPr>
          <w:iCs/>
        </w:rPr>
        <w:t xml:space="preserve"> justifiable</w:t>
      </w:r>
      <w:r w:rsidR="005A2195" w:rsidRPr="00E82ED0">
        <w:rPr>
          <w:iCs/>
        </w:rPr>
        <w:t>.</w:t>
      </w:r>
    </w:p>
    <w:p w:rsidR="007E18EF" w:rsidRDefault="007E18EF" w:rsidP="00D744A5">
      <w:pPr>
        <w:pStyle w:val="ListParagraph"/>
        <w:rPr>
          <w:iCs/>
        </w:rPr>
      </w:pPr>
      <w:r>
        <w:rPr>
          <w:iCs/>
        </w:rPr>
        <w:t xml:space="preserve">The </w:t>
      </w:r>
      <w:r w:rsidRPr="0002488A">
        <w:t xml:space="preserve">requested PBS restriction for adult high frequency salivary gland cancer was broader than the subtype of MASC specified in the MBS item descriptor. MASC was also the most represented high frequency </w:t>
      </w:r>
      <w:r w:rsidRPr="0002488A">
        <w:rPr>
          <w:i/>
        </w:rPr>
        <w:t>NTRK</w:t>
      </w:r>
      <w:r w:rsidRPr="0002488A">
        <w:t xml:space="preserve"> cancer occurring in adults in the larotrectinib single</w:t>
      </w:r>
      <w:r w:rsidR="00057EDA">
        <w:t>-</w:t>
      </w:r>
      <w:r w:rsidRPr="0002488A">
        <w:t>arm studies (n=23). MASC is approximately only 4.5 % of salivary gland tumours</w:t>
      </w:r>
      <w:r w:rsidRPr="0002488A">
        <w:rPr>
          <w:rStyle w:val="FootnoteReference"/>
          <w:iCs/>
        </w:rPr>
        <w:footnoteReference w:id="1"/>
      </w:r>
      <w:r w:rsidRPr="0002488A">
        <w:t>,</w:t>
      </w:r>
      <w:r w:rsidRPr="0002488A">
        <w:rPr>
          <w:rFonts w:ascii="Calibri" w:hAnsi="Calibri"/>
        </w:rPr>
        <w:t xml:space="preserve"> and the frequency of </w:t>
      </w:r>
      <w:r w:rsidRPr="0002488A">
        <w:rPr>
          <w:rFonts w:ascii="Calibri" w:hAnsi="Calibri"/>
          <w:i/>
        </w:rPr>
        <w:t xml:space="preserve">NTRK </w:t>
      </w:r>
      <w:r w:rsidRPr="0002488A">
        <w:rPr>
          <w:rFonts w:ascii="Calibri" w:hAnsi="Calibri"/>
        </w:rPr>
        <w:t>fusions in non-MASC salivary gland tumours is low</w:t>
      </w:r>
      <w:r w:rsidRPr="0002488A">
        <w:rPr>
          <w:rStyle w:val="FootnoteReference"/>
          <w:rFonts w:ascii="Calibri" w:hAnsi="Calibri"/>
          <w:iCs/>
        </w:rPr>
        <w:footnoteReference w:id="2"/>
      </w:r>
      <w:r w:rsidRPr="0002488A">
        <w:rPr>
          <w:rFonts w:ascii="Calibri" w:hAnsi="Calibri"/>
        </w:rPr>
        <w:t>.</w:t>
      </w:r>
      <w:r w:rsidRPr="006448DD">
        <w:rPr>
          <w:rFonts w:ascii="Calibri" w:hAnsi="Calibri"/>
          <w:iCs/>
        </w:rPr>
        <w:t xml:space="preserve"> The PSCR indicated the Sponsor was willing to amend the PBS restriction for the adult high frequency subgroup to specify MASC.</w:t>
      </w:r>
    </w:p>
    <w:p w:rsidR="00D744A5" w:rsidRPr="0002488A" w:rsidRDefault="00D744A5" w:rsidP="00D744A5">
      <w:pPr>
        <w:pStyle w:val="ListParagraph"/>
        <w:rPr>
          <w:iCs/>
        </w:rPr>
      </w:pPr>
      <w:r w:rsidRPr="0002488A">
        <w:rPr>
          <w:iCs/>
        </w:rPr>
        <w:t xml:space="preserve">The </w:t>
      </w:r>
      <w:r w:rsidR="008D7385" w:rsidRPr="0002488A">
        <w:rPr>
          <w:iCs/>
        </w:rPr>
        <w:t>restrictions</w:t>
      </w:r>
      <w:r w:rsidRPr="0002488A">
        <w:rPr>
          <w:iCs/>
        </w:rPr>
        <w:t xml:space="preserve"> need to specify the relevant age ranges</w:t>
      </w:r>
      <w:r w:rsidR="003D7175">
        <w:rPr>
          <w:iCs/>
        </w:rPr>
        <w:t xml:space="preserve"> at treatment initiation</w:t>
      </w:r>
      <w:r w:rsidRPr="0002488A">
        <w:rPr>
          <w:iCs/>
        </w:rPr>
        <w:t xml:space="preserve"> to distinguish between the paediatric and adult subgroups (&lt;18 and </w:t>
      </w:r>
      <w:r w:rsidRPr="0002488A">
        <w:rPr>
          <w:rFonts w:cstheme="minorHAnsi"/>
          <w:iCs/>
        </w:rPr>
        <w:t>≥</w:t>
      </w:r>
      <w:r w:rsidRPr="0002488A">
        <w:rPr>
          <w:iCs/>
        </w:rPr>
        <w:t>18 years of age, respectively).</w:t>
      </w:r>
    </w:p>
    <w:p w:rsidR="00D744A5" w:rsidRPr="00523634" w:rsidRDefault="00D744A5" w:rsidP="00D744A5">
      <w:pPr>
        <w:pStyle w:val="ListParagraph"/>
      </w:pPr>
      <w:r w:rsidRPr="0002488A">
        <w:t xml:space="preserve">The resubmission </w:t>
      </w:r>
      <w:r w:rsidR="003D7175">
        <w:t>positioned</w:t>
      </w:r>
      <w:r w:rsidRPr="0002488A">
        <w:t xml:space="preserve"> larotrectinib </w:t>
      </w:r>
      <w:r w:rsidR="003D7175">
        <w:t>as</w:t>
      </w:r>
      <w:r w:rsidRPr="0002488A">
        <w:t xml:space="preserve"> first line </w:t>
      </w:r>
      <w:r w:rsidR="003D7175">
        <w:t>treatment</w:t>
      </w:r>
      <w:r w:rsidRPr="0002488A">
        <w:t xml:space="preserve"> for the paediatric population and adult high frequency subgroup</w:t>
      </w:r>
      <w:r w:rsidR="008D7385" w:rsidRPr="0002488A">
        <w:t>s</w:t>
      </w:r>
      <w:r w:rsidRPr="0002488A">
        <w:t>. The PBAC had previously advised that a criterion restricting treatment to patients with prior treatment or patients who are not suitable for other treatments (regardless of tumour type), should be included in the PBS restriction (</w:t>
      </w:r>
      <w:r w:rsidR="00370085" w:rsidRPr="0002488A">
        <w:t>p</w:t>
      </w:r>
      <w:r w:rsidRPr="0002488A">
        <w:t>aragraph 7.3, larotrectinib PSD, November 2020). The criterion “would otherwise require disfiguring surgery or limb amputation to achieve a complete surgical resection” has previously been considered reasonable by PBAC (</w:t>
      </w:r>
      <w:r w:rsidR="00370085" w:rsidRPr="0002488A">
        <w:t>p</w:t>
      </w:r>
      <w:r w:rsidRPr="0002488A">
        <w:t>aragraph 7.5, larotrectinib PSD, November 2020). This may represent a scenario where larotrectinib may be used in an earlier or first</w:t>
      </w:r>
      <w:r w:rsidR="009F1BA9" w:rsidRPr="0002488A">
        <w:t xml:space="preserve"> line of</w:t>
      </w:r>
      <w:r w:rsidRPr="0002488A">
        <w:t xml:space="preserve"> treatment for</w:t>
      </w:r>
      <w:r w:rsidRPr="001F7315">
        <w:rPr>
          <w:i/>
        </w:rPr>
        <w:t xml:space="preserve"> </w:t>
      </w:r>
      <w:r w:rsidRPr="0002488A">
        <w:rPr>
          <w:iCs/>
        </w:rPr>
        <w:t xml:space="preserve">locally advanced resectable paediatric cancer. Use of larotrectinib </w:t>
      </w:r>
      <w:r w:rsidR="003D7175">
        <w:rPr>
          <w:iCs/>
        </w:rPr>
        <w:t>first, second or subsequent</w:t>
      </w:r>
      <w:r w:rsidRPr="0002488A">
        <w:rPr>
          <w:iCs/>
        </w:rPr>
        <w:t xml:space="preserve"> treatment would likely depend on the intent of the treatment</w:t>
      </w:r>
      <w:r w:rsidR="00FC7CF6" w:rsidRPr="0002488A">
        <w:rPr>
          <w:iCs/>
        </w:rPr>
        <w:t xml:space="preserve"> </w:t>
      </w:r>
      <w:r w:rsidRPr="0002488A">
        <w:rPr>
          <w:iCs/>
        </w:rPr>
        <w:t>such as reducing tumour bulk in the first line setting</w:t>
      </w:r>
      <w:r w:rsidR="00FC7CF6" w:rsidRPr="0002488A">
        <w:rPr>
          <w:iCs/>
        </w:rPr>
        <w:t xml:space="preserve"> (paragraph 4.7, larotrectinib PSD, November 2020</w:t>
      </w:r>
      <w:r w:rsidRPr="0002488A">
        <w:rPr>
          <w:iCs/>
        </w:rPr>
        <w:t>).</w:t>
      </w:r>
    </w:p>
    <w:p w:rsidR="00D744A5" w:rsidRPr="00465F00" w:rsidRDefault="00D744A5" w:rsidP="00465F00">
      <w:pPr>
        <w:pStyle w:val="ListParagraph"/>
        <w:rPr>
          <w:iCs/>
        </w:rPr>
      </w:pPr>
      <w:r w:rsidRPr="0002488A">
        <w:t>The continuation criteri</w:t>
      </w:r>
      <w:r w:rsidR="009F1BA9" w:rsidRPr="0002488A">
        <w:t>on</w:t>
      </w:r>
      <w:r w:rsidRPr="0002488A">
        <w:t xml:space="preserve"> in the requested restriction, that treatment </w:t>
      </w:r>
      <w:r w:rsidR="00E82AC0" w:rsidRPr="0002488A">
        <w:t>“</w:t>
      </w:r>
      <w:r w:rsidRPr="0002488A">
        <w:t>will be provided until the patient is no longer clinically benefiting from therapy</w:t>
      </w:r>
      <w:r w:rsidR="00E82AC0" w:rsidRPr="0002488A">
        <w:t xml:space="preserve"> or until unacceptable toxicity occurs”</w:t>
      </w:r>
      <w:r w:rsidRPr="0002488A">
        <w:t xml:space="preserve">, </w:t>
      </w:r>
      <w:r w:rsidR="003D7175">
        <w:t>could be better phrased to state that subsidy is to cease upon disease progression</w:t>
      </w:r>
      <w:r w:rsidRPr="0002488A">
        <w:t xml:space="preserve"> as there may be various interpretations of ‘clinical benefit’ in practice (paragraph 2.6, Larotrectinib PSD – November 2020 PBAC Meeting). The PBAC </w:t>
      </w:r>
      <w:r w:rsidR="001F3C55" w:rsidRPr="0002488A">
        <w:t xml:space="preserve">also </w:t>
      </w:r>
      <w:r w:rsidRPr="0002488A">
        <w:t>previously noted there was insufficient data to determine whether there was a treatment benefit for patients receiving larotrectinib following disease progression and considered that larotrectinib is unlikely to be cost-effective beyond disease progression (</w:t>
      </w:r>
      <w:r w:rsidR="00370085" w:rsidRPr="0002488A">
        <w:t>p</w:t>
      </w:r>
      <w:r w:rsidRPr="0002488A">
        <w:t>aragraph 7.5, larotrectinib PSD, November 2020).</w:t>
      </w:r>
      <w:r w:rsidR="00AB4629">
        <w:t xml:space="preserve"> </w:t>
      </w:r>
    </w:p>
    <w:p w:rsidR="00D744A5" w:rsidRPr="0002488A" w:rsidRDefault="00D744A5" w:rsidP="00D744A5">
      <w:pPr>
        <w:pStyle w:val="ListParagraph"/>
        <w:rPr>
          <w:iCs/>
        </w:rPr>
      </w:pPr>
      <w:bookmarkStart w:id="9" w:name="_Hlk89245122"/>
      <w:r w:rsidRPr="0002488A">
        <w:rPr>
          <w:iCs/>
        </w:rPr>
        <w:t xml:space="preserve">An Eastern Cooperative Oncology Group (ECOG) performance score </w:t>
      </w:r>
      <w:r w:rsidR="00EC76D3" w:rsidRPr="0002488A">
        <w:rPr>
          <w:iCs/>
        </w:rPr>
        <w:t xml:space="preserve">of 2 or less </w:t>
      </w:r>
      <w:r w:rsidRPr="0002488A">
        <w:rPr>
          <w:iCs/>
        </w:rPr>
        <w:t xml:space="preserve">was </w:t>
      </w:r>
      <w:r w:rsidR="00EC76D3" w:rsidRPr="0002488A">
        <w:rPr>
          <w:iCs/>
        </w:rPr>
        <w:t>s</w:t>
      </w:r>
      <w:r w:rsidRPr="0002488A">
        <w:rPr>
          <w:iCs/>
        </w:rPr>
        <w:t xml:space="preserve">pecified </w:t>
      </w:r>
      <w:r w:rsidR="00EC76D3" w:rsidRPr="0002488A">
        <w:rPr>
          <w:iCs/>
        </w:rPr>
        <w:t xml:space="preserve">only </w:t>
      </w:r>
      <w:r w:rsidR="00A50925" w:rsidRPr="0002488A">
        <w:rPr>
          <w:iCs/>
        </w:rPr>
        <w:t xml:space="preserve">in the restriction </w:t>
      </w:r>
      <w:r w:rsidR="00EC76D3" w:rsidRPr="0002488A">
        <w:rPr>
          <w:iCs/>
        </w:rPr>
        <w:t xml:space="preserve">for </w:t>
      </w:r>
      <w:r w:rsidRPr="0002488A">
        <w:rPr>
          <w:iCs/>
        </w:rPr>
        <w:t>the adult low frequency subgroup</w:t>
      </w:r>
      <w:r w:rsidR="00EC76D3" w:rsidRPr="0002488A">
        <w:rPr>
          <w:iCs/>
        </w:rPr>
        <w:t xml:space="preserve">. </w:t>
      </w:r>
      <w:bookmarkEnd w:id="9"/>
      <w:r w:rsidR="00EC76D3" w:rsidRPr="0002488A">
        <w:rPr>
          <w:iCs/>
        </w:rPr>
        <w:t>As t</w:t>
      </w:r>
      <w:r w:rsidRPr="0002488A">
        <w:rPr>
          <w:iCs/>
        </w:rPr>
        <w:t xml:space="preserve">here was limited evidence for </w:t>
      </w:r>
      <w:r w:rsidR="002638ED" w:rsidRPr="0002488A">
        <w:rPr>
          <w:iCs/>
        </w:rPr>
        <w:t xml:space="preserve">all </w:t>
      </w:r>
      <w:r w:rsidRPr="0002488A">
        <w:rPr>
          <w:iCs/>
        </w:rPr>
        <w:t xml:space="preserve">patients with an ECOG performance score of </w:t>
      </w:r>
      <w:r w:rsidRPr="0002488A">
        <w:rPr>
          <w:rFonts w:cstheme="minorHAnsi"/>
          <w:iCs/>
        </w:rPr>
        <w:t>≥</w:t>
      </w:r>
      <w:r w:rsidRPr="0002488A">
        <w:rPr>
          <w:iCs/>
        </w:rPr>
        <w:t>3 (2% in the pooled larotrectinib dataset)</w:t>
      </w:r>
      <w:r w:rsidR="00EC76D3" w:rsidRPr="0002488A">
        <w:rPr>
          <w:iCs/>
        </w:rPr>
        <w:t>,</w:t>
      </w:r>
      <w:r w:rsidRPr="0002488A">
        <w:rPr>
          <w:iCs/>
        </w:rPr>
        <w:t xml:space="preserve"> </w:t>
      </w:r>
      <w:r w:rsidR="0011291D">
        <w:rPr>
          <w:iCs/>
        </w:rPr>
        <w:t xml:space="preserve">the evaluation considered </w:t>
      </w:r>
      <w:r w:rsidRPr="0002488A">
        <w:rPr>
          <w:iCs/>
        </w:rPr>
        <w:t xml:space="preserve">an ECOG performance status score of </w:t>
      </w:r>
      <w:r w:rsidRPr="0002488A">
        <w:rPr>
          <w:rFonts w:cstheme="minorHAnsi"/>
          <w:iCs/>
        </w:rPr>
        <w:t>≤</w:t>
      </w:r>
      <w:r w:rsidRPr="0002488A">
        <w:rPr>
          <w:iCs/>
        </w:rPr>
        <w:t xml:space="preserve">2 would be appropriate for </w:t>
      </w:r>
      <w:r w:rsidRPr="0011291D">
        <w:rPr>
          <w:iCs/>
        </w:rPr>
        <w:t>all</w:t>
      </w:r>
      <w:r w:rsidRPr="0002488A">
        <w:rPr>
          <w:iCs/>
        </w:rPr>
        <w:t xml:space="preserve"> of the target subgroups.</w:t>
      </w:r>
      <w:r w:rsidR="0011291D">
        <w:rPr>
          <w:iCs/>
        </w:rPr>
        <w:t xml:space="preserve"> The PBAC considered limiting to </w:t>
      </w:r>
      <w:r w:rsidR="005B51CA">
        <w:rPr>
          <w:iCs/>
        </w:rPr>
        <w:t>performance status score of</w:t>
      </w:r>
      <w:r w:rsidR="0011291D">
        <w:rPr>
          <w:iCs/>
        </w:rPr>
        <w:t xml:space="preserve"> </w:t>
      </w:r>
      <w:r w:rsidR="0011291D" w:rsidRPr="0002488A">
        <w:rPr>
          <w:rFonts w:cstheme="minorHAnsi"/>
          <w:iCs/>
        </w:rPr>
        <w:t>≤</w:t>
      </w:r>
      <w:r w:rsidR="0011291D" w:rsidRPr="0002488A">
        <w:rPr>
          <w:iCs/>
        </w:rPr>
        <w:t>2</w:t>
      </w:r>
      <w:r w:rsidR="0011291D">
        <w:rPr>
          <w:iCs/>
        </w:rPr>
        <w:t xml:space="preserve"> for the adult low frequency subgroup only was reasonable.  </w:t>
      </w:r>
    </w:p>
    <w:p w:rsidR="00D744A5" w:rsidRPr="007E3455" w:rsidRDefault="003D7175" w:rsidP="00D744A5">
      <w:pPr>
        <w:pStyle w:val="ListParagraph"/>
      </w:pPr>
      <w:r>
        <w:t>Non-PBS subsidised to PBS-subsidised supply transitioning arrangements (i.e. a ‘Grandfather clause) were</w:t>
      </w:r>
      <w:r w:rsidR="00D744A5" w:rsidRPr="00FE1869">
        <w:t xml:space="preserve"> requested for </w:t>
      </w:r>
      <w:r w:rsidR="00BA1E4D">
        <w:t>&lt; 500</w:t>
      </w:r>
      <w:r w:rsidR="00BA1E4D" w:rsidRPr="00FE1869">
        <w:t xml:space="preserve"> </w:t>
      </w:r>
      <w:r w:rsidR="00D744A5" w:rsidRPr="00FE1869">
        <w:t xml:space="preserve">patients currently receiving compassionate supply of larotrectinib through </w:t>
      </w:r>
      <w:r w:rsidR="00D744A5">
        <w:t>the Sponsor</w:t>
      </w:r>
      <w:r>
        <w:t>.</w:t>
      </w:r>
      <w:r w:rsidR="00C96BAE">
        <w:t xml:space="preserve"> The</w:t>
      </w:r>
      <w:r>
        <w:t xml:space="preserve"> </w:t>
      </w:r>
      <w:r w:rsidR="00C96BAE">
        <w:t>PBAC considered that the treatment</w:t>
      </w:r>
      <w:r w:rsidR="00C96BAE" w:rsidRPr="005A7B65">
        <w:t xml:space="preserve"> duration under the grandfather restriction </w:t>
      </w:r>
      <w:r w:rsidR="00C96BAE">
        <w:t>should be limited to</w:t>
      </w:r>
      <w:r w:rsidR="00C96BAE" w:rsidRPr="005A7B65">
        <w:t xml:space="preserve"> 3 months (i.e., 2 repeats only) consistent with the proposed initial treatment restriction.</w:t>
      </w:r>
    </w:p>
    <w:p w:rsidR="00D744A5" w:rsidRDefault="007222CD" w:rsidP="00E816BF">
      <w:pPr>
        <w:pStyle w:val="ListParagraph"/>
      </w:pPr>
      <w:r>
        <w:t xml:space="preserve">The previous </w:t>
      </w:r>
      <w:r w:rsidRPr="007222CD">
        <w:t xml:space="preserve">submission proposed an individual utilisation based program (UBP) approach, </w:t>
      </w:r>
      <w:r w:rsidR="00250C80">
        <w:t>consist</w:t>
      </w:r>
      <w:r w:rsidR="00A60854">
        <w:t>i</w:t>
      </w:r>
      <w:r w:rsidR="00250C80">
        <w:t>ng of</w:t>
      </w:r>
      <w:r w:rsidRPr="007222CD">
        <w:t xml:space="preserve"> a duration based cap, and subsequent additional rebate</w:t>
      </w:r>
      <w:r>
        <w:t>.</w:t>
      </w:r>
      <w:r w:rsidRPr="007222CD">
        <w:t xml:space="preserve"> </w:t>
      </w:r>
      <w:r w:rsidR="00EC49C9" w:rsidRPr="00EC49C9">
        <w:t>The PBAC considered that the individual patient based RSA proposed was not a feasible method of achieving cost-effectiveness, noting that it may not be possible to share confidential patient level data with the sponsor to validate RSA rebates and that the cost-effective price would not be realised until larotrectinib had been listed for at least two years</w:t>
      </w:r>
      <w:r w:rsidR="00EC49C9">
        <w:t xml:space="preserve"> (paragraph 7.17 of the Larotrectinib PSD, November 2020)</w:t>
      </w:r>
      <w:r w:rsidR="00EC49C9" w:rsidRPr="00EC49C9">
        <w:t>.</w:t>
      </w:r>
      <w:r w:rsidR="00EC49C9" w:rsidRPr="0002488A">
        <w:t xml:space="preserve"> </w:t>
      </w:r>
      <w:r w:rsidR="00A60854" w:rsidRPr="0002488A">
        <w:t xml:space="preserve">The resubmission </w:t>
      </w:r>
      <w:r w:rsidR="0095169A">
        <w:t xml:space="preserve">did not propose an RSA but rather </w:t>
      </w:r>
      <w:r w:rsidR="00A60854" w:rsidRPr="0002488A">
        <w:t>proposed</w:t>
      </w:r>
      <w:r w:rsidR="00AE06A7" w:rsidRPr="0002488A">
        <w:t xml:space="preserve"> </w:t>
      </w:r>
      <w:r w:rsidR="0095169A">
        <w:t>an</w:t>
      </w:r>
      <w:r w:rsidR="00AE06A7" w:rsidRPr="0002488A">
        <w:t xml:space="preserve"> SPA with a</w:t>
      </w:r>
      <w:r w:rsidR="0079482C">
        <w:t xml:space="preserve"> </w:t>
      </w:r>
      <w:r w:rsidR="00AE06A7" w:rsidRPr="00053DB1">
        <w:t>33.7</w:t>
      </w:r>
      <w:r w:rsidR="00AE06A7" w:rsidRPr="0002488A">
        <w:t>%</w:t>
      </w:r>
      <w:r w:rsidR="0079482C">
        <w:t xml:space="preserve"> price reduction compared </w:t>
      </w:r>
      <w:r w:rsidR="006D66BE">
        <w:t>to</w:t>
      </w:r>
      <w:r w:rsidR="006D66BE" w:rsidRPr="0002488A">
        <w:t xml:space="preserve"> the</w:t>
      </w:r>
      <w:r w:rsidR="00AE06A7" w:rsidRPr="0002488A">
        <w:t xml:space="preserve"> previous effective price</w:t>
      </w:r>
      <w:r w:rsidR="00E951DA" w:rsidRPr="0002488A">
        <w:t>.</w:t>
      </w:r>
      <w:r w:rsidR="00AE06A7" w:rsidRPr="0002488A">
        <w:t xml:space="preserve"> </w:t>
      </w:r>
      <w:r w:rsidR="00E951DA" w:rsidRPr="0002488A">
        <w:t>A</w:t>
      </w:r>
      <w:r w:rsidR="00AE06A7" w:rsidRPr="0002488A">
        <w:t xml:space="preserve"> further</w:t>
      </w:r>
      <w:r w:rsidR="00A60854" w:rsidRPr="0002488A">
        <w:t xml:space="preserve"> </w:t>
      </w:r>
      <w:r w:rsidR="00675CB4">
        <w:rPr>
          <w:noProof/>
          <w:color w:val="000000"/>
          <w:highlight w:val="black"/>
        </w:rPr>
        <w:t>''''''</w:t>
      </w:r>
      <w:r w:rsidR="00A60854" w:rsidRPr="0002488A">
        <w:t>% responder-based</w:t>
      </w:r>
      <w:r w:rsidR="00AE06A7" w:rsidRPr="0002488A">
        <w:t xml:space="preserve"> rebate </w:t>
      </w:r>
      <w:r w:rsidR="00E951DA" w:rsidRPr="0002488A">
        <w:t xml:space="preserve">is also proposed </w:t>
      </w:r>
      <w:r w:rsidR="00A60854" w:rsidRPr="0002488A">
        <w:t>for</w:t>
      </w:r>
      <w:r w:rsidR="00E951DA" w:rsidRPr="0002488A">
        <w:t xml:space="preserve"> the first </w:t>
      </w:r>
      <w:r w:rsidR="00675CB4">
        <w:rPr>
          <w:noProof/>
          <w:color w:val="000000"/>
          <w:highlight w:val="black"/>
        </w:rPr>
        <w:t>'''</w:t>
      </w:r>
      <w:r w:rsidR="00E951DA" w:rsidRPr="0002488A">
        <w:t xml:space="preserve"> months of </w:t>
      </w:r>
      <w:r w:rsidR="00A60854" w:rsidRPr="0002488A">
        <w:t>initial scripts (</w:t>
      </w:r>
      <w:r w:rsidR="00AE06A7" w:rsidRPr="0002488A">
        <w:t>described below</w:t>
      </w:r>
      <w:r w:rsidR="00A60854" w:rsidRPr="0002488A">
        <w:t>)</w:t>
      </w:r>
      <w:r w:rsidR="00AE06A7" w:rsidRPr="0002488A">
        <w:t>.</w:t>
      </w:r>
      <w:r w:rsidR="00A60854" w:rsidRPr="0002488A">
        <w:t xml:space="preserve"> </w:t>
      </w:r>
    </w:p>
    <w:p w:rsidR="00B23E32" w:rsidRPr="004E3033" w:rsidRDefault="00A60854" w:rsidP="00617E91">
      <w:pPr>
        <w:pStyle w:val="ListParagraph"/>
        <w:rPr>
          <w:iCs/>
        </w:rPr>
      </w:pPr>
      <w:r>
        <w:t>The</w:t>
      </w:r>
      <w:r w:rsidR="00D744A5">
        <w:t xml:space="preserve"> </w:t>
      </w:r>
      <w:r w:rsidR="00E951DA">
        <w:t xml:space="preserve">additional </w:t>
      </w:r>
      <w:r w:rsidR="00D744A5">
        <w:t xml:space="preserve">responder-based rebate for </w:t>
      </w:r>
      <w:r w:rsidR="00E951DA">
        <w:t xml:space="preserve">the first </w:t>
      </w:r>
      <w:r w:rsidR="00675CB4">
        <w:rPr>
          <w:noProof/>
          <w:color w:val="000000"/>
          <w:highlight w:val="black"/>
        </w:rPr>
        <w:t>'''</w:t>
      </w:r>
      <w:r w:rsidR="00E951DA">
        <w:t xml:space="preserve"> months of </w:t>
      </w:r>
      <w:r>
        <w:t>initial scripts</w:t>
      </w:r>
      <w:r w:rsidR="00A50925">
        <w:t xml:space="preserve"> was proposed</w:t>
      </w:r>
      <w:r w:rsidR="00E951DA">
        <w:t xml:space="preserve"> to mitigate the risk of false positive test results and other non-responders and was based on </w:t>
      </w:r>
      <w:r w:rsidR="00D744A5">
        <w:t>the overall response and</w:t>
      </w:r>
      <w:r w:rsidR="00E951DA">
        <w:t xml:space="preserve"> </w:t>
      </w:r>
      <w:r w:rsidR="00D744A5">
        <w:t>patients with stable disease</w:t>
      </w:r>
      <w:r w:rsidR="00E951DA">
        <w:t xml:space="preserve"> in the updated pooled data set, ePAS5 (non-primary CNS tumours)</w:t>
      </w:r>
      <w:r w:rsidR="00D744A5">
        <w:t xml:space="preserve">. A total of </w:t>
      </w:r>
      <w:r w:rsidR="00675CB4">
        <w:rPr>
          <w:noProof/>
          <w:color w:val="000000"/>
          <w:highlight w:val="black"/>
        </w:rPr>
        <w:t>'''''</w:t>
      </w:r>
      <w:r w:rsidR="00D744A5">
        <w:t xml:space="preserve">% of patients either had progressive disease or were not evaluable in </w:t>
      </w:r>
      <w:bookmarkStart w:id="10" w:name="_Hlk80181562"/>
      <w:r w:rsidR="00D744A5">
        <w:t>ePAS5</w:t>
      </w:r>
      <w:bookmarkEnd w:id="10"/>
      <w:r w:rsidR="00D744A5">
        <w:t xml:space="preserve">. This rebate </w:t>
      </w:r>
      <w:r w:rsidR="00D744A5" w:rsidRPr="00CA086E">
        <w:t>is reflected in the effective prices for the initiation pack</w:t>
      </w:r>
      <w:r w:rsidR="00D744A5" w:rsidRPr="003873E3">
        <w:rPr>
          <w:i/>
        </w:rPr>
        <w:t>.</w:t>
      </w:r>
      <w:r w:rsidR="00617E91" w:rsidRPr="003873E3">
        <w:rPr>
          <w:i/>
        </w:rPr>
        <w:t xml:space="preserve"> </w:t>
      </w:r>
      <w:r w:rsidR="00617E91" w:rsidRPr="0002488A">
        <w:rPr>
          <w:iCs/>
        </w:rPr>
        <w:t>The resubmission did not clarify how the proposed progressive disease/non-evaluable rates from ePAS5 would mitigate the risk of false positives.</w:t>
      </w:r>
    </w:p>
    <w:p w:rsidR="00AE06A7" w:rsidRDefault="00AE06A7" w:rsidP="00AE06A7">
      <w:pPr>
        <w:pStyle w:val="Caption"/>
      </w:pPr>
      <w:r>
        <w:t xml:space="preserve">Table </w:t>
      </w:r>
      <w:r w:rsidR="00BB3DD1">
        <w:rPr>
          <w:noProof/>
        </w:rPr>
        <w:t>2</w:t>
      </w:r>
      <w:r w:rsidR="00E37EC3">
        <w:rPr>
          <w:noProof/>
        </w:rPr>
        <w:t>:</w:t>
      </w:r>
      <w:r w:rsidR="00D117CD">
        <w:rPr>
          <w:noProof/>
        </w:rPr>
        <w:t xml:space="preserve"> </w:t>
      </w:r>
      <w:r>
        <w:t xml:space="preserve">Comparison of proposed </w:t>
      </w:r>
      <w:r w:rsidR="003B4358">
        <w:t>effective prices in the</w:t>
      </w:r>
      <w:r>
        <w:t xml:space="preserve"> previous and current submission</w:t>
      </w:r>
    </w:p>
    <w:tbl>
      <w:tblPr>
        <w:tblStyle w:val="HTATableshaded"/>
        <w:tblW w:w="0" w:type="auto"/>
        <w:tblLook w:val="04A0" w:firstRow="1" w:lastRow="0" w:firstColumn="1" w:lastColumn="0" w:noHBand="0" w:noVBand="1"/>
        <w:tblCaption w:val="Table 2: Comparison of proposed effective prices in the previous and current submission"/>
      </w:tblPr>
      <w:tblGrid>
        <w:gridCol w:w="2405"/>
        <w:gridCol w:w="3260"/>
        <w:gridCol w:w="3351"/>
      </w:tblGrid>
      <w:tr w:rsidR="00AE06A7" w:rsidRPr="00B23E32" w:rsidTr="003B6B2C">
        <w:trPr>
          <w:cnfStyle w:val="100000000000" w:firstRow="1" w:lastRow="0" w:firstColumn="0" w:lastColumn="0" w:oddVBand="0" w:evenVBand="0" w:oddHBand="0" w:evenHBand="0" w:firstRowFirstColumn="0" w:firstRowLastColumn="0" w:lastRowFirstColumn="0" w:lastRowLastColumn="0"/>
          <w:cantSplit/>
          <w:tblHeader/>
        </w:trPr>
        <w:tc>
          <w:tcPr>
            <w:tcW w:w="2405" w:type="dxa"/>
            <w:tcBorders>
              <w:bottom w:val="nil"/>
            </w:tcBorders>
          </w:tcPr>
          <w:p w:rsidR="00AE06A7" w:rsidRPr="00B23E32" w:rsidRDefault="00AE06A7" w:rsidP="006A18A1">
            <w:pPr>
              <w:pStyle w:val="TableText"/>
            </w:pPr>
          </w:p>
        </w:tc>
        <w:tc>
          <w:tcPr>
            <w:tcW w:w="6611" w:type="dxa"/>
            <w:gridSpan w:val="2"/>
          </w:tcPr>
          <w:p w:rsidR="00AE06A7" w:rsidRPr="00B23E32" w:rsidRDefault="00AE06A7" w:rsidP="006A18A1">
            <w:pPr>
              <w:pStyle w:val="TableText"/>
              <w:jc w:val="center"/>
              <w:rPr>
                <w:b/>
              </w:rPr>
            </w:pPr>
            <w:r w:rsidRPr="00B23E32">
              <w:rPr>
                <w:b/>
              </w:rPr>
              <w:t xml:space="preserve">Proposed </w:t>
            </w:r>
            <w:r w:rsidR="003B4358">
              <w:rPr>
                <w:b/>
              </w:rPr>
              <w:t xml:space="preserve">effective </w:t>
            </w:r>
            <w:r w:rsidRPr="00B23E32">
              <w:rPr>
                <w:b/>
              </w:rPr>
              <w:t>AEMP</w:t>
            </w:r>
          </w:p>
        </w:tc>
      </w:tr>
      <w:tr w:rsidR="003B4358" w:rsidRPr="00B23E32" w:rsidTr="003B4358">
        <w:trPr>
          <w:cantSplit/>
        </w:trPr>
        <w:tc>
          <w:tcPr>
            <w:tcW w:w="2405" w:type="dxa"/>
            <w:tcBorders>
              <w:top w:val="nil"/>
            </w:tcBorders>
          </w:tcPr>
          <w:p w:rsidR="003B4358" w:rsidRPr="00B23E32" w:rsidRDefault="003B4358" w:rsidP="006A18A1">
            <w:pPr>
              <w:pStyle w:val="TableText"/>
            </w:pPr>
          </w:p>
        </w:tc>
        <w:tc>
          <w:tcPr>
            <w:tcW w:w="3260" w:type="dxa"/>
          </w:tcPr>
          <w:p w:rsidR="003B4358" w:rsidRPr="00B23E32" w:rsidRDefault="003B4358" w:rsidP="006A18A1">
            <w:pPr>
              <w:pStyle w:val="TableText"/>
              <w:jc w:val="center"/>
              <w:rPr>
                <w:b/>
              </w:rPr>
            </w:pPr>
            <w:r w:rsidRPr="00B23E32">
              <w:rPr>
                <w:b/>
              </w:rPr>
              <w:t>November 2020 submission</w:t>
            </w:r>
          </w:p>
        </w:tc>
        <w:tc>
          <w:tcPr>
            <w:tcW w:w="3351" w:type="dxa"/>
          </w:tcPr>
          <w:p w:rsidR="003B4358" w:rsidRPr="00B23E32" w:rsidRDefault="003B4358" w:rsidP="006A18A1">
            <w:pPr>
              <w:pStyle w:val="TableText"/>
              <w:jc w:val="center"/>
              <w:rPr>
                <w:b/>
              </w:rPr>
            </w:pPr>
            <w:r w:rsidRPr="00B23E32">
              <w:rPr>
                <w:b/>
              </w:rPr>
              <w:t xml:space="preserve">November 2021 </w:t>
            </w:r>
            <w:r w:rsidR="00617E91">
              <w:rPr>
                <w:b/>
              </w:rPr>
              <w:t>re</w:t>
            </w:r>
            <w:r w:rsidRPr="00B23E32">
              <w:rPr>
                <w:b/>
              </w:rPr>
              <w:t>submission</w:t>
            </w:r>
          </w:p>
        </w:tc>
      </w:tr>
      <w:tr w:rsidR="003B4358" w:rsidRPr="00B23E32" w:rsidTr="003B4358">
        <w:trPr>
          <w:cantSplit/>
        </w:trPr>
        <w:tc>
          <w:tcPr>
            <w:tcW w:w="2405" w:type="dxa"/>
          </w:tcPr>
          <w:p w:rsidR="003B4358" w:rsidRPr="00B23E32" w:rsidRDefault="003B4358" w:rsidP="006A18A1">
            <w:pPr>
              <w:pStyle w:val="TableText"/>
            </w:pPr>
            <w:r w:rsidRPr="00383470">
              <w:t>100</w:t>
            </w:r>
            <w:r>
              <w:t> </w:t>
            </w:r>
            <w:r w:rsidRPr="00383470">
              <w:t>mg, oral capsules</w:t>
            </w:r>
          </w:p>
        </w:tc>
        <w:tc>
          <w:tcPr>
            <w:tcW w:w="3260" w:type="dxa"/>
          </w:tcPr>
          <w:p w:rsidR="003B4358" w:rsidRPr="00B23E32" w:rsidRDefault="003B4358" w:rsidP="006A18A1">
            <w:pPr>
              <w:pStyle w:val="TableText"/>
              <w:jc w:val="center"/>
            </w:pPr>
            <w:r w:rsidRPr="00B23E32">
              <w:t>$</w:t>
            </w:r>
            <w:r w:rsidR="00675CB4">
              <w:rPr>
                <w:noProof/>
                <w:color w:val="000000"/>
                <w:highlight w:val="black"/>
              </w:rPr>
              <w:t>''''''''''''''''''''''''</w:t>
            </w:r>
          </w:p>
        </w:tc>
        <w:tc>
          <w:tcPr>
            <w:tcW w:w="3351" w:type="dxa"/>
          </w:tcPr>
          <w:p w:rsidR="003B4358" w:rsidRPr="00B23E32" w:rsidRDefault="003B4358" w:rsidP="006A18A1">
            <w:pPr>
              <w:pStyle w:val="TableText"/>
            </w:pPr>
            <w:r w:rsidRPr="00B23E32">
              <w:t>Initial</w:t>
            </w:r>
            <w:r>
              <w:t xml:space="preserve"> scripts</w:t>
            </w:r>
            <w:r w:rsidRPr="00B23E32">
              <w:t>: $</w:t>
            </w:r>
            <w:r w:rsidR="00675CB4">
              <w:rPr>
                <w:noProof/>
                <w:color w:val="000000"/>
                <w:highlight w:val="black"/>
              </w:rPr>
              <w:t>''''''''''''''''''''''</w:t>
            </w:r>
            <w:r>
              <w:br/>
              <w:t>S</w:t>
            </w:r>
            <w:r w:rsidRPr="00B23E32">
              <w:t>ubsequent</w:t>
            </w:r>
            <w:r>
              <w:t xml:space="preserve"> scripts</w:t>
            </w:r>
            <w:r w:rsidRPr="00B23E32">
              <w:t>: $</w:t>
            </w:r>
            <w:r w:rsidR="00675CB4">
              <w:rPr>
                <w:noProof/>
                <w:color w:val="000000"/>
                <w:highlight w:val="black"/>
              </w:rPr>
              <w:t>'''''''''''''''''''''</w:t>
            </w:r>
          </w:p>
        </w:tc>
      </w:tr>
      <w:tr w:rsidR="003B4358" w:rsidRPr="00B23E32" w:rsidTr="003B4358">
        <w:trPr>
          <w:cantSplit/>
        </w:trPr>
        <w:tc>
          <w:tcPr>
            <w:tcW w:w="2405" w:type="dxa"/>
          </w:tcPr>
          <w:p w:rsidR="003B4358" w:rsidRPr="00B23E32" w:rsidRDefault="003B4358" w:rsidP="006A18A1">
            <w:pPr>
              <w:pStyle w:val="TableText"/>
            </w:pPr>
            <w:r w:rsidRPr="00B23E32">
              <w:t>25 mg</w:t>
            </w:r>
            <w:r w:rsidRPr="00383470">
              <w:t>, oral capsules</w:t>
            </w:r>
          </w:p>
        </w:tc>
        <w:tc>
          <w:tcPr>
            <w:tcW w:w="3260" w:type="dxa"/>
          </w:tcPr>
          <w:p w:rsidR="003B4358" w:rsidRPr="00B23E32" w:rsidRDefault="003B4358" w:rsidP="006A18A1">
            <w:pPr>
              <w:pStyle w:val="TableText"/>
              <w:jc w:val="center"/>
            </w:pPr>
            <w:r w:rsidRPr="00B23E32">
              <w:t>$</w:t>
            </w:r>
            <w:r w:rsidR="00675CB4">
              <w:rPr>
                <w:noProof/>
                <w:color w:val="000000"/>
                <w:highlight w:val="black"/>
              </w:rPr>
              <w:t>''''''''''''''''''''</w:t>
            </w:r>
          </w:p>
        </w:tc>
        <w:tc>
          <w:tcPr>
            <w:tcW w:w="3351" w:type="dxa"/>
          </w:tcPr>
          <w:p w:rsidR="003B4358" w:rsidRPr="00B23E32" w:rsidRDefault="003B4358" w:rsidP="006A18A1">
            <w:pPr>
              <w:pStyle w:val="TableText"/>
            </w:pPr>
            <w:r w:rsidRPr="00B23E32">
              <w:t>Initial</w:t>
            </w:r>
            <w:r>
              <w:t xml:space="preserve"> scripts</w:t>
            </w:r>
            <w:r w:rsidR="00B32B5C">
              <w:t>: $</w:t>
            </w:r>
            <w:r w:rsidR="00675CB4">
              <w:rPr>
                <w:noProof/>
                <w:color w:val="000000"/>
                <w:highlight w:val="black"/>
              </w:rPr>
              <w:t>'''''''''''''''''''''</w:t>
            </w:r>
            <w:r>
              <w:br/>
              <w:t>S</w:t>
            </w:r>
            <w:r w:rsidRPr="00B23E32">
              <w:t>ubsequent</w:t>
            </w:r>
            <w:r>
              <w:t xml:space="preserve"> scripts</w:t>
            </w:r>
            <w:r w:rsidRPr="00B23E32">
              <w:t>: $</w:t>
            </w:r>
            <w:r w:rsidR="00675CB4">
              <w:rPr>
                <w:noProof/>
                <w:color w:val="000000"/>
                <w:highlight w:val="black"/>
              </w:rPr>
              <w:t>'''''''''''''''''''</w:t>
            </w:r>
          </w:p>
        </w:tc>
      </w:tr>
      <w:tr w:rsidR="003B4358" w:rsidRPr="00B23E32" w:rsidTr="003B4358">
        <w:trPr>
          <w:cantSplit/>
        </w:trPr>
        <w:tc>
          <w:tcPr>
            <w:tcW w:w="2405" w:type="dxa"/>
          </w:tcPr>
          <w:p w:rsidR="003B4358" w:rsidRPr="00B23E32" w:rsidRDefault="003B4358" w:rsidP="006A18A1">
            <w:pPr>
              <w:pStyle w:val="TableText"/>
            </w:pPr>
            <w:r w:rsidRPr="00B23E32">
              <w:t>20</w:t>
            </w:r>
            <w:r>
              <w:t> </w:t>
            </w:r>
            <w:r w:rsidRPr="00383470">
              <w:t>mg/ml, 1 × 100 ml bottle solution, oral administration</w:t>
            </w:r>
          </w:p>
        </w:tc>
        <w:tc>
          <w:tcPr>
            <w:tcW w:w="3260" w:type="dxa"/>
          </w:tcPr>
          <w:p w:rsidR="003B4358" w:rsidRPr="00B23E32" w:rsidRDefault="003B4358" w:rsidP="006A18A1">
            <w:pPr>
              <w:pStyle w:val="TableText"/>
              <w:jc w:val="center"/>
            </w:pPr>
            <w:r w:rsidRPr="00B23E32">
              <w:t>$</w:t>
            </w:r>
            <w:r w:rsidR="00675CB4">
              <w:rPr>
                <w:noProof/>
                <w:color w:val="000000"/>
                <w:highlight w:val="black"/>
              </w:rPr>
              <w:t>''''''''''''''''''''''</w:t>
            </w:r>
          </w:p>
        </w:tc>
        <w:tc>
          <w:tcPr>
            <w:tcW w:w="3351" w:type="dxa"/>
          </w:tcPr>
          <w:p w:rsidR="003B4358" w:rsidRPr="00B23E32" w:rsidRDefault="003B4358" w:rsidP="00B32B5C">
            <w:pPr>
              <w:pStyle w:val="TableText"/>
            </w:pPr>
            <w:r w:rsidRPr="00B23E32">
              <w:t>Initial</w:t>
            </w:r>
            <w:r>
              <w:t xml:space="preserve"> scripts</w:t>
            </w:r>
            <w:r w:rsidRPr="00B23E32">
              <w:t xml:space="preserve">: </w:t>
            </w:r>
            <w:r w:rsidR="00B32B5C" w:rsidRPr="00B23E32">
              <w:t>$</w:t>
            </w:r>
            <w:r w:rsidR="00675CB4">
              <w:rPr>
                <w:noProof/>
                <w:color w:val="000000"/>
                <w:highlight w:val="black"/>
              </w:rPr>
              <w:t>'''''''''''''''''''''</w:t>
            </w:r>
            <w:r w:rsidRPr="00B23E32">
              <w:t xml:space="preserve"> </w:t>
            </w:r>
            <w:r>
              <w:br/>
              <w:t>S</w:t>
            </w:r>
            <w:r w:rsidRPr="00B23E32">
              <w:t>ubsequent</w:t>
            </w:r>
            <w:r>
              <w:t xml:space="preserve"> scripts</w:t>
            </w:r>
            <w:r w:rsidRPr="00B23E32">
              <w:t xml:space="preserve">: </w:t>
            </w:r>
            <w:r w:rsidR="00B32B5C" w:rsidRPr="00B23E32">
              <w:t>$</w:t>
            </w:r>
            <w:r w:rsidR="00675CB4">
              <w:rPr>
                <w:noProof/>
                <w:color w:val="000000"/>
                <w:highlight w:val="black"/>
              </w:rPr>
              <w:t>'''''''''''''''''''</w:t>
            </w:r>
          </w:p>
        </w:tc>
      </w:tr>
    </w:tbl>
    <w:p w:rsidR="00D117CD" w:rsidRPr="00D117CD" w:rsidRDefault="00D117CD" w:rsidP="00D117CD">
      <w:pPr>
        <w:rPr>
          <w:i/>
          <w:iCs/>
        </w:rPr>
      </w:pPr>
      <w:bookmarkStart w:id="11" w:name="_Toc82597071"/>
      <w:r>
        <w:tab/>
      </w:r>
      <w:r w:rsidRPr="00D117CD">
        <w:rPr>
          <w:i/>
          <w:iCs/>
        </w:rPr>
        <w:t>For more detail on PBAC’s decision, see section 7 PBAC outcome</w:t>
      </w:r>
      <w:r>
        <w:rPr>
          <w:i/>
          <w:iCs/>
        </w:rPr>
        <w:t>.</w:t>
      </w:r>
    </w:p>
    <w:p w:rsidR="009C4F22" w:rsidRPr="00F3195B" w:rsidRDefault="009C4F22" w:rsidP="0009334C">
      <w:pPr>
        <w:pStyle w:val="PBACESHeading1"/>
        <w:rPr>
          <w:rFonts w:asciiTheme="minorHAnsi" w:hAnsiTheme="minorHAnsi" w:cstheme="minorHAnsi"/>
          <w:sz w:val="32"/>
          <w:szCs w:val="40"/>
        </w:rPr>
      </w:pPr>
      <w:r w:rsidRPr="00F3195B">
        <w:rPr>
          <w:rFonts w:asciiTheme="minorHAnsi" w:hAnsiTheme="minorHAnsi" w:cstheme="minorHAnsi"/>
          <w:sz w:val="32"/>
          <w:szCs w:val="40"/>
        </w:rPr>
        <w:t>Background</w:t>
      </w:r>
      <w:bookmarkEnd w:id="8"/>
      <w:bookmarkEnd w:id="11"/>
    </w:p>
    <w:p w:rsidR="009C4F22" w:rsidRPr="008D7BF5" w:rsidRDefault="008D7BF5" w:rsidP="007E2F09">
      <w:pPr>
        <w:pStyle w:val="PBACESHeading2"/>
      </w:pPr>
      <w:bookmarkStart w:id="12" w:name="_Toc82597072"/>
      <w:r>
        <w:t xml:space="preserve">Registration </w:t>
      </w:r>
      <w:r w:rsidR="00854EF0">
        <w:t>st</w:t>
      </w:r>
      <w:r>
        <w:t>atus</w:t>
      </w:r>
      <w:bookmarkEnd w:id="12"/>
    </w:p>
    <w:p w:rsidR="00D744A5" w:rsidRPr="00CA086E" w:rsidRDefault="00D744A5" w:rsidP="00D744A5">
      <w:pPr>
        <w:pStyle w:val="ListParagraph"/>
        <w:spacing w:before="0" w:after="0"/>
      </w:pPr>
      <w:bookmarkStart w:id="13" w:name="_Toc487029151"/>
      <w:bookmarkStart w:id="14" w:name="_Toc492317094"/>
      <w:r w:rsidRPr="00CA086E">
        <w:t>Larotrectinib was granted provisional approval by the TGA on 7 September 2020 for the treatment of adult and paediatric patients with locally advanced or metastatic solid tumours that:</w:t>
      </w:r>
    </w:p>
    <w:p w:rsidR="00D744A5" w:rsidRPr="00CA086E" w:rsidRDefault="00D744A5" w:rsidP="00D117CD">
      <w:pPr>
        <w:pStyle w:val="ListParagraph"/>
        <w:numPr>
          <w:ilvl w:val="0"/>
          <w:numId w:val="22"/>
        </w:numPr>
        <w:spacing w:before="0" w:after="0"/>
        <w:ind w:left="1077" w:hanging="357"/>
      </w:pPr>
      <w:r w:rsidRPr="00CA086E">
        <w:t>have a neurotrophic tyrosine receptor kinase (</w:t>
      </w:r>
      <w:r w:rsidRPr="00370085">
        <w:rPr>
          <w:i/>
        </w:rPr>
        <w:t>NTRK</w:t>
      </w:r>
      <w:r w:rsidRPr="00CA086E">
        <w:t>) gene fusion without a known acquired resistance mutation,</w:t>
      </w:r>
    </w:p>
    <w:p w:rsidR="00D744A5" w:rsidRPr="00CA086E" w:rsidRDefault="00D744A5" w:rsidP="00D117CD">
      <w:pPr>
        <w:pStyle w:val="ListParagraph"/>
        <w:numPr>
          <w:ilvl w:val="0"/>
          <w:numId w:val="22"/>
        </w:numPr>
        <w:spacing w:before="0" w:after="0"/>
        <w:ind w:left="1077" w:hanging="357"/>
      </w:pPr>
      <w:r w:rsidRPr="00CA086E">
        <w:t>are metastatic or where surgical resection is likely to result in severe morbidity, and</w:t>
      </w:r>
    </w:p>
    <w:p w:rsidR="00D744A5" w:rsidRPr="00CA086E" w:rsidRDefault="00D744A5" w:rsidP="00D117CD">
      <w:pPr>
        <w:pStyle w:val="ListParagraph"/>
        <w:numPr>
          <w:ilvl w:val="0"/>
          <w:numId w:val="22"/>
        </w:numPr>
        <w:spacing w:before="0" w:after="0"/>
        <w:ind w:left="1077" w:hanging="357"/>
      </w:pPr>
      <w:r w:rsidRPr="00CA086E">
        <w:t>have either progressed following treatment or who have no satisfactory alternative therapy.</w:t>
      </w:r>
    </w:p>
    <w:p w:rsidR="00FC7CF6" w:rsidRDefault="00FC7CF6" w:rsidP="00D744A5">
      <w:pPr>
        <w:pStyle w:val="ListParagraph"/>
        <w:numPr>
          <w:ilvl w:val="0"/>
          <w:numId w:val="0"/>
        </w:numPr>
        <w:spacing w:before="0" w:after="0"/>
        <w:ind w:left="720"/>
      </w:pPr>
    </w:p>
    <w:p w:rsidR="00D744A5" w:rsidRPr="0002488A" w:rsidRDefault="00FC7CF6" w:rsidP="00D744A5">
      <w:pPr>
        <w:pStyle w:val="ListParagraph"/>
        <w:numPr>
          <w:ilvl w:val="0"/>
          <w:numId w:val="0"/>
        </w:numPr>
        <w:spacing w:before="0" w:after="0"/>
        <w:ind w:left="720"/>
      </w:pPr>
      <w:r w:rsidRPr="00FC7CF6">
        <w:t>The decision to approve this indication was made on the basis of ORR and duration of response from single</w:t>
      </w:r>
      <w:r w:rsidR="00057EDA">
        <w:t>-</w:t>
      </w:r>
      <w:r w:rsidRPr="00FC7CF6">
        <w:t xml:space="preserve">arm clinical studies. </w:t>
      </w:r>
      <w:r w:rsidRPr="0002488A">
        <w:t>The sponsor is required to submit further clinical data to confirm the clinical benefit of the medicine.</w:t>
      </w:r>
      <w:r w:rsidR="006B7A48" w:rsidRPr="0002488A">
        <w:t xml:space="preserve"> The above TGA indication</w:t>
      </w:r>
    </w:p>
    <w:p w:rsidR="00D744A5" w:rsidRPr="0002488A" w:rsidRDefault="00FC7CF6" w:rsidP="00370085">
      <w:pPr>
        <w:pStyle w:val="ListParagraph"/>
        <w:numPr>
          <w:ilvl w:val="0"/>
          <w:numId w:val="0"/>
        </w:numPr>
        <w:spacing w:before="0" w:after="0"/>
        <w:ind w:left="720"/>
      </w:pPr>
      <w:r w:rsidRPr="0002488A">
        <w:rPr>
          <w:color w:val="auto"/>
        </w:rPr>
        <w:t>aligns with the FDA approved indication</w:t>
      </w:r>
      <w:r w:rsidRPr="0002488A">
        <w:rPr>
          <w:rStyle w:val="FootnoteReference"/>
          <w:color w:val="auto"/>
        </w:rPr>
        <w:footnoteReference w:id="3"/>
      </w:r>
      <w:r w:rsidRPr="0002488A">
        <w:rPr>
          <w:color w:val="auto"/>
        </w:rPr>
        <w:t>.</w:t>
      </w:r>
    </w:p>
    <w:p w:rsidR="00D744A5" w:rsidRPr="004A3566" w:rsidRDefault="00D744A5" w:rsidP="00D744A5">
      <w:pPr>
        <w:pStyle w:val="ListParagraph"/>
        <w:ind w:left="709"/>
      </w:pPr>
      <w:r w:rsidRPr="004A3566">
        <w:t xml:space="preserve">Regarding the positioning of larotrectinib in the clinical management algorithm of patients with </w:t>
      </w:r>
      <w:r w:rsidRPr="00370085">
        <w:rPr>
          <w:i/>
        </w:rPr>
        <w:t>NTRK</w:t>
      </w:r>
      <w:r w:rsidRPr="004A3566">
        <w:t xml:space="preserve"> fusions, a published international expert consensus</w:t>
      </w:r>
      <w:r w:rsidRPr="004A3566">
        <w:rPr>
          <w:rStyle w:val="FootnoteReference"/>
        </w:rPr>
        <w:footnoteReference w:id="4"/>
      </w:r>
      <w:r w:rsidRPr="004A3566">
        <w:t xml:space="preserve"> recommend</w:t>
      </w:r>
      <w:r>
        <w:t>ed</w:t>
      </w:r>
      <w:r w:rsidRPr="004A3566">
        <w:t xml:space="preserve"> TRK inhibitors for patients with </w:t>
      </w:r>
      <w:r w:rsidRPr="00370085">
        <w:rPr>
          <w:i/>
        </w:rPr>
        <w:t>NTRK</w:t>
      </w:r>
      <w:r w:rsidRPr="004A3566">
        <w:t xml:space="preserve"> fusions during the course of therapy when no other satis</w:t>
      </w:r>
      <w:r w:rsidR="00A50925">
        <w:t>factory treatment options exist.</w:t>
      </w:r>
    </w:p>
    <w:p w:rsidR="001916C0" w:rsidRDefault="001916C0" w:rsidP="007E2F09">
      <w:pPr>
        <w:pStyle w:val="PBACESHeading2"/>
      </w:pPr>
      <w:bookmarkStart w:id="15" w:name="_Toc82597073"/>
      <w:bookmarkEnd w:id="13"/>
      <w:r>
        <w:t>Previous PBAC consideration</w:t>
      </w:r>
      <w:bookmarkEnd w:id="14"/>
      <w:bookmarkEnd w:id="15"/>
    </w:p>
    <w:p w:rsidR="00D744A5" w:rsidRDefault="00D744A5" w:rsidP="00D744A5">
      <w:pPr>
        <w:pStyle w:val="ListParagraph"/>
        <w:ind w:left="709"/>
      </w:pPr>
      <w:bookmarkStart w:id="16" w:name="_Toc476306884"/>
      <w:bookmarkStart w:id="17" w:name="_Toc413139275"/>
      <w:r w:rsidRPr="004A3566">
        <w:t xml:space="preserve">This is the second submission to list larotrectinib on the PBS for the targeted treatment of </w:t>
      </w:r>
      <w:r w:rsidRPr="004A3566">
        <w:rPr>
          <w:i/>
        </w:rPr>
        <w:t>NTRK</w:t>
      </w:r>
      <w:r w:rsidRPr="004A3566">
        <w:t xml:space="preserve"> fusion solid tumours that are either unresectable locally advanced, </w:t>
      </w:r>
      <w:r w:rsidRPr="00CA086E">
        <w:t>metastatic, or locally advanced and would otherwise require disfiguring surgery or limb amputation to achieve a complete surgical resection.</w:t>
      </w:r>
    </w:p>
    <w:p w:rsidR="00444ECA" w:rsidRDefault="00444ECA" w:rsidP="00444ECA">
      <w:pPr>
        <w:pStyle w:val="ListParagraph"/>
        <w:numPr>
          <w:ilvl w:val="0"/>
          <w:numId w:val="0"/>
        </w:numPr>
        <w:ind w:left="709"/>
      </w:pPr>
      <w:r>
        <w:t>A summary of PBAC concerns raised in the November 2020 larotrectinib PSD and how the</w:t>
      </w:r>
      <w:r w:rsidR="00E111FA">
        <w:t>y</w:t>
      </w:r>
      <w:r>
        <w:t xml:space="preserve"> were addressed in the resubmission are summarised </w:t>
      </w:r>
      <w:r w:rsidR="002A08C0" w:rsidRPr="00C2155E">
        <w:rPr>
          <w:iCs/>
        </w:rPr>
        <w:t>with comments</w:t>
      </w:r>
      <w:r w:rsidR="002A08C0">
        <w:t xml:space="preserve"> </w:t>
      </w:r>
      <w:r>
        <w:t>in</w:t>
      </w:r>
      <w:r w:rsidR="00DE3841">
        <w:t xml:space="preserve"> </w:t>
      </w:r>
      <w:r w:rsidR="00796D25">
        <w:t>Table</w:t>
      </w:r>
      <w:r w:rsidR="00D944C2">
        <w:t xml:space="preserve"> </w:t>
      </w:r>
      <w:r w:rsidR="00796D25">
        <w:rPr>
          <w:noProof/>
        </w:rPr>
        <w:t>3</w:t>
      </w:r>
      <w:r w:rsidR="00DE3841">
        <w:t>.</w:t>
      </w:r>
    </w:p>
    <w:p w:rsidR="00444ECA" w:rsidRPr="00FB6FEE" w:rsidRDefault="00444ECA" w:rsidP="00D117CD">
      <w:pPr>
        <w:pStyle w:val="Caption"/>
      </w:pPr>
      <w:bookmarkStart w:id="18" w:name="_Ref79577080"/>
      <w:r>
        <w:t xml:space="preserve">Table </w:t>
      </w:r>
      <w:r w:rsidR="00BB3DD1">
        <w:rPr>
          <w:noProof/>
        </w:rPr>
        <w:t>3</w:t>
      </w:r>
      <w:bookmarkEnd w:id="18"/>
      <w:r w:rsidR="00E37EC3">
        <w:rPr>
          <w:noProof/>
        </w:rPr>
        <w:t>:</w:t>
      </w:r>
      <w:r w:rsidR="00D117CD">
        <w:rPr>
          <w:noProof/>
        </w:rPr>
        <w:t xml:space="preserve"> Pr</w:t>
      </w:r>
      <w:r>
        <w:t xml:space="preserve">evious </w:t>
      </w:r>
      <w:r w:rsidRPr="00FB6FEE">
        <w:t>PBAC concerns and how these were addressed in the resubmission</w:t>
      </w:r>
    </w:p>
    <w:tbl>
      <w:tblPr>
        <w:tblStyle w:val="HTATableshaded19"/>
        <w:tblW w:w="5000" w:type="pct"/>
        <w:tblLook w:val="04A0" w:firstRow="1" w:lastRow="0" w:firstColumn="1" w:lastColumn="0" w:noHBand="0" w:noVBand="1"/>
        <w:tblCaption w:val="Table 3: Previous PBAC concerns and how these were addressed in the resubmission"/>
      </w:tblPr>
      <w:tblGrid>
        <w:gridCol w:w="4957"/>
        <w:gridCol w:w="4059"/>
      </w:tblGrid>
      <w:tr w:rsidR="00444ECA" w:rsidRPr="006F1B0E" w:rsidTr="00D117CD">
        <w:trPr>
          <w:cnfStyle w:val="100000000000" w:firstRow="1" w:lastRow="0" w:firstColumn="0" w:lastColumn="0" w:oddVBand="0" w:evenVBand="0" w:oddHBand="0" w:evenHBand="0" w:firstRowFirstColumn="0" w:firstRowLastColumn="0" w:lastRowFirstColumn="0" w:lastRowLastColumn="0"/>
          <w:cantSplit/>
          <w:tblHeader/>
        </w:trPr>
        <w:tc>
          <w:tcPr>
            <w:tcW w:w="2749" w:type="pct"/>
          </w:tcPr>
          <w:p w:rsidR="00444ECA" w:rsidRPr="00FB6FEE" w:rsidRDefault="00444ECA" w:rsidP="00D117CD">
            <w:pPr>
              <w:keepNext/>
              <w:spacing w:before="40" w:after="40"/>
              <w:jc w:val="left"/>
              <w:rPr>
                <w:rFonts w:ascii="Arial Narrow" w:hAnsi="Arial Narrow"/>
                <w:b/>
                <w:sz w:val="20"/>
                <w:szCs w:val="20"/>
              </w:rPr>
            </w:pPr>
            <w:r w:rsidRPr="006F1B0E">
              <w:rPr>
                <w:rFonts w:ascii="Arial Narrow" w:hAnsi="Arial Narrow"/>
                <w:b/>
                <w:sz w:val="20"/>
                <w:szCs w:val="20"/>
              </w:rPr>
              <w:t xml:space="preserve">PBAC issue from </w:t>
            </w:r>
            <w:r w:rsidRPr="00FB6FEE">
              <w:rPr>
                <w:rFonts w:ascii="Arial Narrow" w:hAnsi="Arial Narrow"/>
                <w:b/>
                <w:sz w:val="20"/>
                <w:szCs w:val="20"/>
              </w:rPr>
              <w:t>November 2020 PSD</w:t>
            </w:r>
          </w:p>
        </w:tc>
        <w:tc>
          <w:tcPr>
            <w:tcW w:w="2251" w:type="pct"/>
          </w:tcPr>
          <w:p w:rsidR="00444ECA" w:rsidRDefault="00444ECA" w:rsidP="00D117CD">
            <w:pPr>
              <w:keepNext/>
              <w:spacing w:before="40" w:after="40"/>
              <w:jc w:val="left"/>
              <w:rPr>
                <w:rFonts w:ascii="Arial Narrow" w:hAnsi="Arial Narrow"/>
                <w:b/>
                <w:sz w:val="20"/>
                <w:szCs w:val="20"/>
              </w:rPr>
            </w:pPr>
            <w:r w:rsidRPr="00FB6FEE">
              <w:rPr>
                <w:rFonts w:ascii="Arial Narrow" w:hAnsi="Arial Narrow"/>
                <w:b/>
                <w:sz w:val="20"/>
                <w:szCs w:val="20"/>
              </w:rPr>
              <w:t>How the resubmission addresse</w:t>
            </w:r>
            <w:r w:rsidRPr="006F1B0E">
              <w:rPr>
                <w:rFonts w:ascii="Arial Narrow" w:hAnsi="Arial Narrow"/>
                <w:b/>
                <w:sz w:val="20"/>
                <w:szCs w:val="20"/>
              </w:rPr>
              <w:t>d</w:t>
            </w:r>
            <w:r w:rsidRPr="00FB6FEE">
              <w:rPr>
                <w:rFonts w:ascii="Arial Narrow" w:hAnsi="Arial Narrow"/>
                <w:b/>
                <w:sz w:val="20"/>
                <w:szCs w:val="20"/>
              </w:rPr>
              <w:t xml:space="preserve"> it</w:t>
            </w:r>
          </w:p>
          <w:p w:rsidR="002A08C0" w:rsidRPr="003E0694" w:rsidRDefault="002A08C0" w:rsidP="00D117CD">
            <w:pPr>
              <w:keepNext/>
              <w:spacing w:before="40" w:after="40"/>
              <w:jc w:val="left"/>
              <w:rPr>
                <w:rFonts w:ascii="Arial Narrow" w:hAnsi="Arial Narrow"/>
                <w:b/>
                <w:iCs/>
                <w:sz w:val="20"/>
                <w:szCs w:val="20"/>
              </w:rPr>
            </w:pPr>
            <w:r w:rsidRPr="003E0694">
              <w:rPr>
                <w:rFonts w:ascii="Arial Narrow" w:hAnsi="Arial Narrow"/>
                <w:b/>
                <w:iCs/>
                <w:sz w:val="20"/>
                <w:szCs w:val="20"/>
              </w:rPr>
              <w:t>Comments</w:t>
            </w:r>
          </w:p>
        </w:tc>
      </w:tr>
      <w:tr w:rsidR="00444ECA" w:rsidRPr="006F1B0E" w:rsidTr="00D117CD">
        <w:trPr>
          <w:cantSplit/>
        </w:trPr>
        <w:tc>
          <w:tcPr>
            <w:tcW w:w="2749" w:type="pct"/>
          </w:tcPr>
          <w:p w:rsidR="00E74302" w:rsidRPr="00E74302" w:rsidRDefault="00E74302" w:rsidP="00D117CD">
            <w:pPr>
              <w:keepNext/>
              <w:spacing w:before="20"/>
              <w:jc w:val="left"/>
              <w:rPr>
                <w:rFonts w:ascii="Arial Narrow" w:hAnsi="Arial Narrow"/>
                <w:sz w:val="20"/>
                <w:lang w:bidi="en-US"/>
              </w:rPr>
            </w:pPr>
            <w:r w:rsidRPr="00E74302">
              <w:rPr>
                <w:rFonts w:ascii="Arial Narrow" w:hAnsi="Arial Narrow"/>
                <w:sz w:val="20"/>
                <w:lang w:bidi="en-US"/>
              </w:rPr>
              <w:t>Paragraph 7.3</w:t>
            </w:r>
          </w:p>
          <w:p w:rsidR="00E74302" w:rsidRPr="00E74302" w:rsidRDefault="00E74302" w:rsidP="00D117CD">
            <w:pPr>
              <w:keepNext/>
              <w:spacing w:before="20"/>
              <w:jc w:val="left"/>
              <w:rPr>
                <w:rFonts w:ascii="Arial Narrow" w:hAnsi="Arial Narrow"/>
                <w:sz w:val="20"/>
                <w:lang w:bidi="en-US"/>
              </w:rPr>
            </w:pPr>
            <w:r w:rsidRPr="00E74302">
              <w:rPr>
                <w:rFonts w:ascii="Arial Narrow" w:hAnsi="Arial Narrow"/>
                <w:sz w:val="20"/>
                <w:lang w:bidi="en-US"/>
              </w:rPr>
              <w:t>The PBAC noted the TGA-approved registration was for patients who have either progressed following treatment or have no satisfactory alternative therapy. The PBAC advised that a criterion restricting treatment to patients with prior treatment or patients who are not suitable for other treatments should be included in the PBS restriction</w:t>
            </w:r>
            <w:r w:rsidR="004E3033">
              <w:rPr>
                <w:rFonts w:ascii="Arial Narrow" w:hAnsi="Arial Narrow"/>
                <w:sz w:val="20"/>
                <w:lang w:bidi="en-US"/>
              </w:rPr>
              <w:t>.</w:t>
            </w:r>
          </w:p>
          <w:p w:rsidR="00444ECA" w:rsidRPr="00E74302" w:rsidRDefault="00444ECA" w:rsidP="00D117CD">
            <w:pPr>
              <w:keepNext/>
              <w:spacing w:before="20"/>
              <w:jc w:val="left"/>
              <w:rPr>
                <w:rFonts w:ascii="Arial Narrow" w:hAnsi="Arial Narrow"/>
                <w:bCs/>
                <w:sz w:val="20"/>
                <w:szCs w:val="20"/>
              </w:rPr>
            </w:pPr>
            <w:r w:rsidRPr="00E74302">
              <w:rPr>
                <w:rFonts w:ascii="Arial Narrow" w:hAnsi="Arial Narrow"/>
                <w:iCs/>
                <w:sz w:val="20"/>
                <w:szCs w:val="20"/>
              </w:rPr>
              <w:t>Paragraph 5.7</w:t>
            </w:r>
          </w:p>
          <w:p w:rsidR="00444ECA" w:rsidRPr="00E74302" w:rsidRDefault="00444ECA" w:rsidP="00D117CD">
            <w:pPr>
              <w:keepNext/>
              <w:spacing w:before="20"/>
              <w:jc w:val="left"/>
              <w:rPr>
                <w:rFonts w:ascii="Arial Narrow" w:hAnsi="Arial Narrow"/>
                <w:sz w:val="20"/>
                <w:szCs w:val="20"/>
              </w:rPr>
            </w:pPr>
            <w:r w:rsidRPr="00E74302">
              <w:rPr>
                <w:rFonts w:ascii="Arial Narrow" w:hAnsi="Arial Narrow"/>
                <w:bCs/>
                <w:sz w:val="20"/>
                <w:szCs w:val="20"/>
              </w:rPr>
              <w:t>The requested restriction for this subpopulation [adult low frequency] requires patients to be refractory to a prior therapy however permits use of larotrectinib in earlier treatment lines such as second-line</w:t>
            </w:r>
            <w:r w:rsidR="004E3033">
              <w:rPr>
                <w:rFonts w:ascii="Arial Narrow" w:hAnsi="Arial Narrow"/>
                <w:bCs/>
                <w:sz w:val="20"/>
                <w:szCs w:val="20"/>
              </w:rPr>
              <w:t>.</w:t>
            </w:r>
          </w:p>
        </w:tc>
        <w:tc>
          <w:tcPr>
            <w:tcW w:w="2251" w:type="pct"/>
          </w:tcPr>
          <w:p w:rsidR="00444ECA" w:rsidRPr="000C0C4F" w:rsidRDefault="00444ECA" w:rsidP="00D117CD">
            <w:pPr>
              <w:keepNext/>
              <w:spacing w:before="20"/>
              <w:jc w:val="left"/>
              <w:rPr>
                <w:rFonts w:ascii="Arial Narrow" w:hAnsi="Arial Narrow"/>
                <w:sz w:val="20"/>
                <w:szCs w:val="20"/>
              </w:rPr>
            </w:pPr>
            <w:r w:rsidRPr="00FB6FEE">
              <w:rPr>
                <w:rFonts w:ascii="Arial Narrow" w:hAnsi="Arial Narrow"/>
                <w:sz w:val="20"/>
                <w:szCs w:val="20"/>
              </w:rPr>
              <w:t xml:space="preserve">Given the availability of effective treatment options for patients in this population, the proposed PBS restriction for adult low frequency tumours has been amended to R/R </w:t>
            </w:r>
            <w:r w:rsidRPr="00FB6FEE">
              <w:rPr>
                <w:rFonts w:ascii="Arial Narrow" w:hAnsi="Arial Narrow" w:cs="Calibri"/>
                <w:sz w:val="20"/>
                <w:szCs w:val="20"/>
              </w:rPr>
              <w:t>disease with no suitable alternate therapy</w:t>
            </w:r>
            <w:r w:rsidRPr="00FB6FEE">
              <w:rPr>
                <w:rFonts w:ascii="Arial Narrow" w:hAnsi="Arial Narrow"/>
                <w:sz w:val="20"/>
                <w:szCs w:val="20"/>
              </w:rPr>
              <w:t>.</w:t>
            </w:r>
          </w:p>
        </w:tc>
      </w:tr>
      <w:tr w:rsidR="00EA1DF5" w:rsidRPr="006F1B0E" w:rsidTr="00D117CD">
        <w:trPr>
          <w:cantSplit/>
        </w:trPr>
        <w:tc>
          <w:tcPr>
            <w:tcW w:w="2749" w:type="pct"/>
          </w:tcPr>
          <w:p w:rsidR="00EA1DF5" w:rsidRPr="00EA1DF5" w:rsidRDefault="00EA1DF5" w:rsidP="00EA1DF5">
            <w:pPr>
              <w:spacing w:before="20"/>
              <w:jc w:val="left"/>
              <w:rPr>
                <w:rFonts w:ascii="Arial Narrow" w:hAnsi="Arial Narrow"/>
                <w:sz w:val="20"/>
                <w:lang w:bidi="en-US"/>
              </w:rPr>
            </w:pPr>
            <w:r w:rsidRPr="00EA1DF5">
              <w:rPr>
                <w:rFonts w:ascii="Arial Narrow" w:hAnsi="Arial Narrow"/>
                <w:sz w:val="20"/>
                <w:lang w:bidi="en-US"/>
              </w:rPr>
              <w:t>Paragraph 2.6</w:t>
            </w:r>
          </w:p>
          <w:p w:rsidR="00EA1DF5" w:rsidRPr="00E74302" w:rsidRDefault="00EA1DF5" w:rsidP="00EA1DF5">
            <w:pPr>
              <w:spacing w:before="20"/>
              <w:jc w:val="left"/>
              <w:rPr>
                <w:rFonts w:ascii="Arial Narrow" w:hAnsi="Arial Narrow"/>
                <w:sz w:val="20"/>
                <w:lang w:bidi="en-US"/>
              </w:rPr>
            </w:pPr>
            <w:r w:rsidRPr="00EA1DF5">
              <w:rPr>
                <w:rFonts w:ascii="Arial Narrow" w:hAnsi="Arial Narrow"/>
                <w:sz w:val="20"/>
                <w:lang w:bidi="en-US"/>
              </w:rPr>
              <w:t>The continuation criterion ‘PBS-subsidised treatment with this drug for this condition will be provided until the patient is no longer clinically benefiting from therapy or until unacceptable toxicity occurs’ should be amended to specify that patients must only be treated until disease progression as there may be various interpretations of ‘clinical benefit’ in practice.</w:t>
            </w:r>
          </w:p>
        </w:tc>
        <w:tc>
          <w:tcPr>
            <w:tcW w:w="2251" w:type="pct"/>
          </w:tcPr>
          <w:p w:rsidR="00EA1DF5" w:rsidRPr="00652162" w:rsidRDefault="00EA1DF5" w:rsidP="001A400F">
            <w:pPr>
              <w:spacing w:before="20"/>
              <w:jc w:val="left"/>
              <w:rPr>
                <w:rFonts w:ascii="Arial Narrow" w:hAnsi="Arial Narrow"/>
                <w:iCs/>
                <w:sz w:val="20"/>
                <w:szCs w:val="20"/>
              </w:rPr>
            </w:pPr>
            <w:r w:rsidRPr="00652162">
              <w:rPr>
                <w:rFonts w:ascii="Arial Narrow" w:hAnsi="Arial Narrow"/>
                <w:iCs/>
                <w:sz w:val="20"/>
                <w:szCs w:val="20"/>
              </w:rPr>
              <w:t>This continuation criterion remained in the resubmission but with the added criterion “Patient must have demonstrated an adequate response to treatment with this drug”.</w:t>
            </w:r>
          </w:p>
        </w:tc>
      </w:tr>
      <w:tr w:rsidR="00444ECA" w:rsidRPr="006F1B0E" w:rsidTr="00D117CD">
        <w:trPr>
          <w:cantSplit/>
        </w:trPr>
        <w:tc>
          <w:tcPr>
            <w:tcW w:w="2749" w:type="pct"/>
          </w:tcPr>
          <w:p w:rsidR="00444ECA" w:rsidRPr="00E74302" w:rsidRDefault="00444ECA" w:rsidP="00EA1DF5">
            <w:pPr>
              <w:spacing w:before="20"/>
              <w:jc w:val="left"/>
              <w:rPr>
                <w:rFonts w:ascii="Arial Narrow" w:hAnsi="Arial Narrow"/>
                <w:iCs/>
                <w:sz w:val="20"/>
                <w:szCs w:val="20"/>
              </w:rPr>
            </w:pPr>
            <w:r w:rsidRPr="00E74302">
              <w:rPr>
                <w:rFonts w:ascii="Arial Narrow" w:hAnsi="Arial Narrow"/>
                <w:iCs/>
                <w:sz w:val="20"/>
                <w:szCs w:val="20"/>
              </w:rPr>
              <w:t>Paragraph 5.7</w:t>
            </w:r>
          </w:p>
          <w:p w:rsidR="00444ECA" w:rsidRPr="00E74302" w:rsidRDefault="00444ECA" w:rsidP="00EA1DF5">
            <w:pPr>
              <w:spacing w:before="20"/>
              <w:jc w:val="left"/>
              <w:rPr>
                <w:rFonts w:ascii="Arial Narrow" w:hAnsi="Arial Narrow"/>
                <w:bCs/>
                <w:sz w:val="20"/>
                <w:szCs w:val="20"/>
              </w:rPr>
            </w:pPr>
            <w:r w:rsidRPr="00E74302">
              <w:rPr>
                <w:rFonts w:ascii="Arial Narrow" w:hAnsi="Arial Narrow"/>
                <w:bCs/>
                <w:sz w:val="20"/>
                <w:szCs w:val="20"/>
              </w:rPr>
              <w:t>For adult low frequency (representative tumours STS and CRC), the SoC comparators nominated in the submission for STS and CRC were dacarbazine and BSC, represented by trifluridine/tipiracil. The choice of these comparators was not reasonable as they are likely to favour larotrectinib</w:t>
            </w:r>
            <w:r w:rsidR="004E3033">
              <w:rPr>
                <w:rFonts w:ascii="Arial Narrow" w:hAnsi="Arial Narrow"/>
                <w:bCs/>
                <w:sz w:val="20"/>
                <w:szCs w:val="20"/>
              </w:rPr>
              <w:t>.</w:t>
            </w:r>
          </w:p>
        </w:tc>
        <w:tc>
          <w:tcPr>
            <w:tcW w:w="2251" w:type="pct"/>
          </w:tcPr>
          <w:p w:rsidR="00444ECA" w:rsidRDefault="00444ECA" w:rsidP="00EA1DF5">
            <w:pPr>
              <w:spacing w:before="20"/>
              <w:jc w:val="left"/>
              <w:rPr>
                <w:rFonts w:ascii="Arial Narrow" w:hAnsi="Arial Narrow"/>
                <w:sz w:val="20"/>
                <w:szCs w:val="20"/>
              </w:rPr>
            </w:pPr>
            <w:r w:rsidRPr="00FB6FEE">
              <w:rPr>
                <w:rFonts w:ascii="Arial Narrow" w:hAnsi="Arial Narrow"/>
                <w:sz w:val="20"/>
                <w:szCs w:val="20"/>
              </w:rPr>
              <w:t xml:space="preserve">Given the availability of effective treatment options for patients in this subpopulation (e.g. immunotherapies in NSCLC, multiple therapies in CRC) and the rarity of </w:t>
            </w:r>
            <w:r w:rsidRPr="00FB6FEE">
              <w:rPr>
                <w:rFonts w:ascii="Arial Narrow" w:hAnsi="Arial Narrow"/>
                <w:i/>
                <w:iCs/>
                <w:sz w:val="20"/>
                <w:szCs w:val="20"/>
              </w:rPr>
              <w:t>NTRK</w:t>
            </w:r>
            <w:r w:rsidRPr="00FB6FEE">
              <w:rPr>
                <w:rFonts w:ascii="Arial Narrow" w:hAnsi="Arial Narrow"/>
                <w:sz w:val="20"/>
                <w:szCs w:val="20"/>
              </w:rPr>
              <w:t>-fusions, the choice of comparators have been amended to reflect the new proposed PBS restriction i.e. R/R disease with no suitable alternate therapy.</w:t>
            </w:r>
          </w:p>
          <w:p w:rsidR="000C0C4F" w:rsidRPr="00652162" w:rsidRDefault="000C0C4F" w:rsidP="00EA1DF5">
            <w:pPr>
              <w:spacing w:before="20"/>
              <w:jc w:val="left"/>
              <w:rPr>
                <w:rFonts w:ascii="Arial Narrow" w:hAnsi="Arial Narrow"/>
                <w:iCs/>
                <w:sz w:val="20"/>
                <w:szCs w:val="20"/>
              </w:rPr>
            </w:pPr>
            <w:r w:rsidRPr="00652162">
              <w:rPr>
                <w:rFonts w:ascii="Arial Narrow" w:hAnsi="Arial Narrow"/>
                <w:iCs/>
                <w:sz w:val="20"/>
                <w:szCs w:val="20"/>
              </w:rPr>
              <w:t xml:space="preserve">How larotrectinib will be used in clinical practice </w:t>
            </w:r>
            <w:r w:rsidR="000B1841" w:rsidRPr="00652162">
              <w:rPr>
                <w:rFonts w:ascii="Arial Narrow" w:hAnsi="Arial Narrow"/>
                <w:iCs/>
                <w:sz w:val="20"/>
                <w:szCs w:val="20"/>
              </w:rPr>
              <w:t>remains uncertain</w:t>
            </w:r>
            <w:r w:rsidRPr="00652162">
              <w:rPr>
                <w:rFonts w:ascii="Arial Narrow" w:hAnsi="Arial Narrow"/>
                <w:iCs/>
                <w:sz w:val="20"/>
                <w:szCs w:val="20"/>
              </w:rPr>
              <w:t>.</w:t>
            </w:r>
          </w:p>
        </w:tc>
      </w:tr>
      <w:tr w:rsidR="00444ECA" w:rsidRPr="006F1B0E" w:rsidTr="00D117CD">
        <w:trPr>
          <w:cantSplit/>
        </w:trPr>
        <w:tc>
          <w:tcPr>
            <w:tcW w:w="2749" w:type="pct"/>
          </w:tcPr>
          <w:p w:rsidR="00444ECA" w:rsidRPr="00E74302" w:rsidRDefault="00444ECA" w:rsidP="00EA1DF5">
            <w:pPr>
              <w:spacing w:before="20"/>
              <w:jc w:val="left"/>
              <w:rPr>
                <w:rFonts w:ascii="Arial Narrow" w:hAnsi="Arial Narrow"/>
                <w:iCs/>
                <w:sz w:val="20"/>
                <w:szCs w:val="20"/>
              </w:rPr>
            </w:pPr>
            <w:r w:rsidRPr="00E74302">
              <w:rPr>
                <w:rFonts w:ascii="Arial Narrow" w:hAnsi="Arial Narrow"/>
                <w:iCs/>
                <w:sz w:val="20"/>
                <w:szCs w:val="20"/>
              </w:rPr>
              <w:t>Paragraph 7.4</w:t>
            </w:r>
          </w:p>
          <w:p w:rsidR="00444ECA" w:rsidRPr="00E74302" w:rsidRDefault="00444ECA" w:rsidP="006E6CF4">
            <w:pPr>
              <w:spacing w:before="20"/>
              <w:jc w:val="left"/>
              <w:rPr>
                <w:rFonts w:ascii="Arial Narrow" w:hAnsi="Arial Narrow"/>
                <w:sz w:val="20"/>
                <w:szCs w:val="20"/>
              </w:rPr>
            </w:pPr>
            <w:r w:rsidRPr="00E74302">
              <w:rPr>
                <w:rFonts w:ascii="Arial Narrow" w:hAnsi="Arial Narrow"/>
                <w:sz w:val="20"/>
                <w:szCs w:val="20"/>
              </w:rPr>
              <w:t>The PBAC further advised that specifying the names of the tumour types in the high and low frequency subgroups</w:t>
            </w:r>
            <w:r w:rsidR="0081419C">
              <w:rPr>
                <w:rFonts w:ascii="Arial Narrow" w:hAnsi="Arial Narrow"/>
                <w:sz w:val="20"/>
                <w:szCs w:val="20"/>
              </w:rPr>
              <w:t xml:space="preserve"> </w:t>
            </w:r>
            <w:r w:rsidRPr="00E74302">
              <w:rPr>
                <w:rFonts w:ascii="Arial Narrow" w:hAnsi="Arial Narrow"/>
                <w:sz w:val="20"/>
                <w:szCs w:val="20"/>
              </w:rPr>
              <w:t xml:space="preserve">may reduce the risk of use beyond the intended populations. This may be particularly important for the adult populations if adult patients with low frequency </w:t>
            </w:r>
            <w:r w:rsidRPr="00623261">
              <w:rPr>
                <w:rFonts w:ascii="Arial Narrow" w:hAnsi="Arial Narrow"/>
                <w:i/>
                <w:iCs/>
                <w:sz w:val="20"/>
                <w:szCs w:val="20"/>
              </w:rPr>
              <w:t>NTRK</w:t>
            </w:r>
            <w:r w:rsidRPr="00E74302">
              <w:rPr>
                <w:rFonts w:ascii="Arial Narrow" w:hAnsi="Arial Narrow"/>
                <w:sz w:val="20"/>
                <w:szCs w:val="20"/>
              </w:rPr>
              <w:t xml:space="preserve"> fusion tumours remain ineligible for PBS subsidy</w:t>
            </w:r>
            <w:r w:rsidR="004E3033">
              <w:rPr>
                <w:rFonts w:ascii="Arial Narrow" w:hAnsi="Arial Narrow"/>
                <w:sz w:val="20"/>
                <w:szCs w:val="20"/>
              </w:rPr>
              <w:t>.</w:t>
            </w:r>
          </w:p>
        </w:tc>
        <w:tc>
          <w:tcPr>
            <w:tcW w:w="2251" w:type="pct"/>
          </w:tcPr>
          <w:p w:rsidR="00444ECA" w:rsidRPr="00652162" w:rsidRDefault="00444ECA" w:rsidP="00EA1DF5">
            <w:pPr>
              <w:spacing w:before="20"/>
              <w:jc w:val="left"/>
              <w:rPr>
                <w:rFonts w:ascii="Arial Narrow" w:hAnsi="Arial Narrow"/>
                <w:sz w:val="20"/>
                <w:szCs w:val="20"/>
              </w:rPr>
            </w:pPr>
            <w:r w:rsidRPr="00FB6FEE">
              <w:rPr>
                <w:rFonts w:ascii="Arial Narrow" w:hAnsi="Arial Narrow"/>
                <w:sz w:val="20"/>
                <w:szCs w:val="20"/>
              </w:rPr>
              <w:t xml:space="preserve">Updated restriction criteria to reflect PBAC advice by </w:t>
            </w:r>
            <w:r w:rsidRPr="00652162">
              <w:rPr>
                <w:rFonts w:ascii="Arial Narrow" w:hAnsi="Arial Narrow"/>
                <w:sz w:val="20"/>
                <w:szCs w:val="20"/>
              </w:rPr>
              <w:t xml:space="preserve">specifying the names of each tumour type in the high and low </w:t>
            </w:r>
            <w:r w:rsidR="006E6CF4">
              <w:rPr>
                <w:rFonts w:ascii="Arial Narrow" w:hAnsi="Arial Narrow"/>
                <w:sz w:val="20"/>
                <w:szCs w:val="20"/>
              </w:rPr>
              <w:t xml:space="preserve">adult </w:t>
            </w:r>
            <w:r w:rsidRPr="00652162">
              <w:rPr>
                <w:rFonts w:ascii="Arial Narrow" w:hAnsi="Arial Narrow"/>
                <w:sz w:val="20"/>
                <w:szCs w:val="20"/>
              </w:rPr>
              <w:t>frequency subgroups.</w:t>
            </w:r>
          </w:p>
          <w:p w:rsidR="00444ECA" w:rsidRPr="00C73ADE" w:rsidRDefault="00444ECA" w:rsidP="000C0C4F">
            <w:pPr>
              <w:spacing w:before="20"/>
              <w:jc w:val="left"/>
              <w:rPr>
                <w:rFonts w:ascii="Arial Narrow" w:hAnsi="Arial Narrow"/>
                <w:i/>
                <w:sz w:val="20"/>
                <w:szCs w:val="20"/>
              </w:rPr>
            </w:pPr>
          </w:p>
        </w:tc>
      </w:tr>
      <w:tr w:rsidR="00444ECA" w:rsidRPr="006F1B0E" w:rsidTr="00D117CD">
        <w:trPr>
          <w:cantSplit/>
        </w:trPr>
        <w:tc>
          <w:tcPr>
            <w:tcW w:w="2749" w:type="pct"/>
          </w:tcPr>
          <w:p w:rsidR="00444ECA" w:rsidRPr="00E74302" w:rsidRDefault="00444ECA" w:rsidP="00EA1DF5">
            <w:pPr>
              <w:spacing w:before="20"/>
              <w:jc w:val="left"/>
              <w:rPr>
                <w:rFonts w:ascii="Arial Narrow" w:hAnsi="Arial Narrow"/>
                <w:iCs/>
                <w:sz w:val="20"/>
                <w:szCs w:val="20"/>
              </w:rPr>
            </w:pPr>
            <w:r w:rsidRPr="00E74302">
              <w:rPr>
                <w:rFonts w:ascii="Arial Narrow" w:hAnsi="Arial Narrow"/>
                <w:iCs/>
                <w:sz w:val="20"/>
                <w:szCs w:val="20"/>
              </w:rPr>
              <w:t>Paragraph 7.11</w:t>
            </w:r>
          </w:p>
          <w:p w:rsidR="00444ECA" w:rsidRPr="00E74302" w:rsidRDefault="00444ECA" w:rsidP="00EA1DF5">
            <w:pPr>
              <w:spacing w:before="20"/>
              <w:jc w:val="left"/>
              <w:rPr>
                <w:rFonts w:ascii="Arial Narrow" w:hAnsi="Arial Narrow"/>
                <w:bCs/>
                <w:sz w:val="20"/>
                <w:szCs w:val="20"/>
              </w:rPr>
            </w:pPr>
            <w:r w:rsidRPr="00E74302">
              <w:rPr>
                <w:rFonts w:ascii="Arial Narrow" w:hAnsi="Arial Narrow"/>
                <w:bCs/>
                <w:sz w:val="20"/>
                <w:szCs w:val="20"/>
              </w:rPr>
              <w:t>The PBAC agreed with the ESC</w:t>
            </w:r>
            <w:r w:rsidR="00AB5906">
              <w:rPr>
                <w:rFonts w:ascii="Arial Narrow" w:hAnsi="Arial Narrow"/>
                <w:bCs/>
                <w:sz w:val="20"/>
                <w:szCs w:val="20"/>
              </w:rPr>
              <w:t>s</w:t>
            </w:r>
            <w:r w:rsidRPr="00E74302">
              <w:rPr>
                <w:rFonts w:ascii="Arial Narrow" w:hAnsi="Arial Narrow"/>
                <w:bCs/>
                <w:sz w:val="20"/>
                <w:szCs w:val="20"/>
              </w:rPr>
              <w:t xml:space="preserve"> that paediatric STS was misclassified in the submission as a representative tumour type in the paediatric high frequency </w:t>
            </w:r>
            <w:r w:rsidRPr="00623261">
              <w:rPr>
                <w:rFonts w:ascii="Arial Narrow" w:hAnsi="Arial Narrow"/>
                <w:i/>
                <w:iCs/>
                <w:sz w:val="20"/>
                <w:szCs w:val="20"/>
              </w:rPr>
              <w:t>NTRK</w:t>
            </w:r>
            <w:r w:rsidRPr="00E74302">
              <w:rPr>
                <w:rFonts w:ascii="Arial Narrow" w:hAnsi="Arial Narrow"/>
                <w:bCs/>
                <w:sz w:val="20"/>
                <w:szCs w:val="20"/>
              </w:rPr>
              <w:t xml:space="preserve"> fusion subpopulation noting that studies in the literature reported a prevalence of </w:t>
            </w:r>
            <w:r w:rsidRPr="00623261">
              <w:rPr>
                <w:rFonts w:ascii="Arial Narrow" w:hAnsi="Arial Narrow"/>
                <w:i/>
                <w:iCs/>
                <w:sz w:val="20"/>
                <w:szCs w:val="20"/>
              </w:rPr>
              <w:t>NTRK</w:t>
            </w:r>
            <w:r w:rsidRPr="00E74302">
              <w:rPr>
                <w:rFonts w:ascii="Arial Narrow" w:hAnsi="Arial Narrow"/>
                <w:bCs/>
                <w:sz w:val="20"/>
                <w:szCs w:val="20"/>
              </w:rPr>
              <w:t xml:space="preserve"> fusions of &lt;5% for various paediatric STS</w:t>
            </w:r>
            <w:r w:rsidR="004E3033">
              <w:rPr>
                <w:rFonts w:ascii="Arial Narrow" w:hAnsi="Arial Narrow"/>
                <w:bCs/>
                <w:sz w:val="20"/>
                <w:szCs w:val="20"/>
              </w:rPr>
              <w:t>.</w:t>
            </w:r>
          </w:p>
        </w:tc>
        <w:tc>
          <w:tcPr>
            <w:tcW w:w="2251" w:type="pct"/>
          </w:tcPr>
          <w:p w:rsidR="00444ECA" w:rsidRDefault="00630F62" w:rsidP="00EA1DF5">
            <w:pPr>
              <w:spacing w:before="20"/>
              <w:jc w:val="left"/>
              <w:rPr>
                <w:rFonts w:ascii="Arial Narrow" w:hAnsi="Arial Narrow"/>
                <w:sz w:val="20"/>
                <w:szCs w:val="20"/>
              </w:rPr>
            </w:pPr>
            <w:r>
              <w:rPr>
                <w:rFonts w:ascii="Arial Narrow" w:hAnsi="Arial Narrow"/>
                <w:sz w:val="20"/>
                <w:szCs w:val="20"/>
              </w:rPr>
              <w:t>The sponsor</w:t>
            </w:r>
            <w:r w:rsidRPr="00FB6FEE">
              <w:rPr>
                <w:rFonts w:ascii="Arial Narrow" w:hAnsi="Arial Narrow"/>
                <w:sz w:val="20"/>
                <w:szCs w:val="20"/>
              </w:rPr>
              <w:t xml:space="preserve"> </w:t>
            </w:r>
            <w:r w:rsidR="00444ECA" w:rsidRPr="00FB6FEE">
              <w:rPr>
                <w:rFonts w:ascii="Arial Narrow" w:hAnsi="Arial Narrow"/>
                <w:sz w:val="20"/>
                <w:szCs w:val="20"/>
              </w:rPr>
              <w:t>acknowledge</w:t>
            </w:r>
            <w:r w:rsidR="000B1841">
              <w:rPr>
                <w:rFonts w:ascii="Arial Narrow" w:hAnsi="Arial Narrow"/>
                <w:sz w:val="20"/>
                <w:szCs w:val="20"/>
              </w:rPr>
              <w:t>d</w:t>
            </w:r>
            <w:r w:rsidR="00444ECA" w:rsidRPr="00FB6FEE">
              <w:rPr>
                <w:rFonts w:ascii="Arial Narrow" w:hAnsi="Arial Narrow"/>
                <w:sz w:val="20"/>
                <w:szCs w:val="20"/>
              </w:rPr>
              <w:t xml:space="preserve"> that paediatric STS is a low-</w:t>
            </w:r>
            <w:r w:rsidR="00444ECA" w:rsidRPr="00FB6FEE">
              <w:rPr>
                <w:rFonts w:ascii="Arial Narrow" w:hAnsi="Arial Narrow"/>
                <w:i/>
                <w:iCs/>
                <w:sz w:val="20"/>
                <w:szCs w:val="20"/>
              </w:rPr>
              <w:t>NTRK</w:t>
            </w:r>
            <w:r w:rsidR="00444ECA" w:rsidRPr="00FB6FEE">
              <w:rPr>
                <w:rFonts w:ascii="Arial Narrow" w:hAnsi="Arial Narrow"/>
                <w:sz w:val="20"/>
                <w:szCs w:val="20"/>
              </w:rPr>
              <w:t xml:space="preserve"> frequency tumour</w:t>
            </w:r>
            <w:r w:rsidR="00CE045E">
              <w:rPr>
                <w:rFonts w:ascii="Arial Narrow" w:hAnsi="Arial Narrow"/>
                <w:sz w:val="20"/>
                <w:szCs w:val="20"/>
              </w:rPr>
              <w:t xml:space="preserve"> and noted </w:t>
            </w:r>
            <w:r w:rsidR="00444ECA" w:rsidRPr="00FB6FEE">
              <w:rPr>
                <w:rFonts w:ascii="Arial Narrow" w:hAnsi="Arial Narrow"/>
                <w:sz w:val="20"/>
                <w:szCs w:val="20"/>
              </w:rPr>
              <w:t>the lack of comparator data for IFS</w:t>
            </w:r>
            <w:r w:rsidR="00CE045E">
              <w:rPr>
                <w:rFonts w:ascii="Arial Narrow" w:hAnsi="Arial Narrow"/>
                <w:sz w:val="20"/>
                <w:szCs w:val="20"/>
              </w:rPr>
              <w:t>,</w:t>
            </w:r>
            <w:r w:rsidR="00444ECA" w:rsidRPr="00FB6FEE">
              <w:rPr>
                <w:rFonts w:ascii="Arial Narrow" w:hAnsi="Arial Narrow"/>
                <w:sz w:val="20"/>
                <w:szCs w:val="20"/>
              </w:rPr>
              <w:t xml:space="preserve"> and maintain</w:t>
            </w:r>
            <w:r w:rsidR="000B1841">
              <w:rPr>
                <w:rFonts w:ascii="Arial Narrow" w:hAnsi="Arial Narrow"/>
                <w:sz w:val="20"/>
                <w:szCs w:val="20"/>
              </w:rPr>
              <w:t>ed</w:t>
            </w:r>
            <w:r w:rsidR="00444ECA" w:rsidRPr="00FB6FEE">
              <w:rPr>
                <w:rFonts w:ascii="Arial Narrow" w:hAnsi="Arial Narrow"/>
                <w:sz w:val="20"/>
                <w:szCs w:val="20"/>
              </w:rPr>
              <w:t xml:space="preserve"> that its inclusion as a proxy in this population is appropriate. Implications of lower prevalence (0.68%) of </w:t>
            </w:r>
            <w:r w:rsidR="00444ECA" w:rsidRPr="00FB6FEE">
              <w:rPr>
                <w:rFonts w:ascii="Arial Narrow" w:hAnsi="Arial Narrow"/>
                <w:i/>
                <w:iCs/>
                <w:sz w:val="20"/>
                <w:szCs w:val="20"/>
              </w:rPr>
              <w:t>NTRK</w:t>
            </w:r>
            <w:r w:rsidR="00444ECA" w:rsidRPr="00FB6FEE">
              <w:rPr>
                <w:rFonts w:ascii="Arial Narrow" w:hAnsi="Arial Narrow"/>
                <w:sz w:val="20"/>
                <w:szCs w:val="20"/>
              </w:rPr>
              <w:t xml:space="preserve"> in paediatric STS were considered in the economic evaluation</w:t>
            </w:r>
            <w:r w:rsidR="00444ECA">
              <w:rPr>
                <w:rFonts w:ascii="Arial Narrow" w:hAnsi="Arial Narrow"/>
                <w:sz w:val="20"/>
                <w:szCs w:val="20"/>
              </w:rPr>
              <w:t>.</w:t>
            </w:r>
          </w:p>
          <w:p w:rsidR="00444ECA" w:rsidRPr="00652162" w:rsidRDefault="00444ECA" w:rsidP="00847D48">
            <w:pPr>
              <w:spacing w:before="20"/>
              <w:jc w:val="left"/>
              <w:rPr>
                <w:rFonts w:ascii="Arial Narrow" w:hAnsi="Arial Narrow"/>
                <w:iCs/>
                <w:sz w:val="20"/>
                <w:szCs w:val="20"/>
              </w:rPr>
            </w:pPr>
            <w:r w:rsidRPr="00652162">
              <w:rPr>
                <w:rFonts w:ascii="Arial Narrow" w:hAnsi="Arial Narrow"/>
                <w:iCs/>
                <w:sz w:val="20"/>
                <w:szCs w:val="20"/>
              </w:rPr>
              <w:t xml:space="preserve">For the paediatric population overall, this analysis </w:t>
            </w:r>
            <w:r w:rsidR="00847D48" w:rsidRPr="00652162">
              <w:rPr>
                <w:rFonts w:ascii="Arial Narrow" w:hAnsi="Arial Narrow"/>
                <w:iCs/>
                <w:sz w:val="20"/>
                <w:szCs w:val="20"/>
              </w:rPr>
              <w:t>was considered</w:t>
            </w:r>
            <w:r w:rsidRPr="00652162">
              <w:rPr>
                <w:rFonts w:ascii="Arial Narrow" w:hAnsi="Arial Narrow"/>
                <w:iCs/>
                <w:sz w:val="20"/>
                <w:szCs w:val="20"/>
              </w:rPr>
              <w:t xml:space="preserve"> informative</w:t>
            </w:r>
            <w:r w:rsidR="00847D48" w:rsidRPr="00652162">
              <w:rPr>
                <w:rFonts w:ascii="Arial Narrow" w:hAnsi="Arial Narrow"/>
                <w:iCs/>
                <w:sz w:val="20"/>
                <w:szCs w:val="20"/>
              </w:rPr>
              <w:t>.</w:t>
            </w:r>
          </w:p>
        </w:tc>
      </w:tr>
      <w:tr w:rsidR="00444ECA" w:rsidRPr="006F1B0E" w:rsidTr="00D117CD">
        <w:trPr>
          <w:cantSplit/>
        </w:trPr>
        <w:tc>
          <w:tcPr>
            <w:tcW w:w="2749" w:type="pct"/>
          </w:tcPr>
          <w:p w:rsidR="00444ECA" w:rsidRPr="00E74302" w:rsidRDefault="00444ECA" w:rsidP="00EA1DF5">
            <w:pPr>
              <w:spacing w:before="20"/>
              <w:jc w:val="left"/>
              <w:rPr>
                <w:rFonts w:ascii="Arial Narrow" w:hAnsi="Arial Narrow"/>
                <w:iCs/>
                <w:sz w:val="20"/>
                <w:szCs w:val="20"/>
              </w:rPr>
            </w:pPr>
            <w:r w:rsidRPr="00E74302">
              <w:rPr>
                <w:rFonts w:ascii="Arial Narrow" w:hAnsi="Arial Narrow"/>
                <w:iCs/>
                <w:sz w:val="20"/>
                <w:szCs w:val="20"/>
              </w:rPr>
              <w:t>Paragraph 7.12</w:t>
            </w:r>
          </w:p>
          <w:p w:rsidR="00444ECA" w:rsidRPr="00E74302" w:rsidRDefault="00444ECA" w:rsidP="00EA1DF5">
            <w:pPr>
              <w:spacing w:before="20"/>
              <w:jc w:val="left"/>
              <w:rPr>
                <w:rFonts w:ascii="Arial Narrow" w:hAnsi="Arial Narrow"/>
                <w:sz w:val="20"/>
                <w:szCs w:val="20"/>
              </w:rPr>
            </w:pPr>
            <w:r w:rsidRPr="00E74302">
              <w:rPr>
                <w:rFonts w:ascii="Arial Narrow" w:hAnsi="Arial Narrow"/>
                <w:bCs/>
                <w:sz w:val="20"/>
                <w:szCs w:val="20"/>
              </w:rPr>
              <w:t xml:space="preserve">The PBAC considered the claim of superior effectiveness compared to SoC was likely acceptable for the high frequency adult and paediatric populations, but the magnitude of the benefit was uncertain due to issues around the larotrectinib trial data and applicability of the data presented for SoC to current SoC, and the uncertainties around the naïve indirect comparisons. </w:t>
            </w:r>
            <w:r w:rsidRPr="00E74302">
              <w:rPr>
                <w:rFonts w:ascii="Arial Narrow" w:hAnsi="Arial Narrow"/>
                <w:sz w:val="20"/>
                <w:szCs w:val="20"/>
              </w:rPr>
              <w:t>The PBAC considered that the efficacy results from the SoC data was unlikely to reflect that of current clinical practice given the inclusion of historic studies and studies which did not include the most effective therapy for the treatment setting</w:t>
            </w:r>
            <w:r w:rsidR="004E3033">
              <w:rPr>
                <w:rFonts w:ascii="Arial Narrow" w:hAnsi="Arial Narrow"/>
                <w:sz w:val="20"/>
                <w:szCs w:val="20"/>
              </w:rPr>
              <w:t>.</w:t>
            </w:r>
          </w:p>
        </w:tc>
        <w:tc>
          <w:tcPr>
            <w:tcW w:w="2251" w:type="pct"/>
          </w:tcPr>
          <w:p w:rsidR="00444ECA" w:rsidRPr="00FB6FEE" w:rsidRDefault="00444ECA" w:rsidP="00EA1DF5">
            <w:pPr>
              <w:spacing w:before="20"/>
              <w:jc w:val="left"/>
              <w:rPr>
                <w:rFonts w:ascii="Arial Narrow" w:hAnsi="Arial Narrow"/>
                <w:sz w:val="20"/>
                <w:szCs w:val="20"/>
              </w:rPr>
            </w:pPr>
            <w:r w:rsidRPr="00FB6FEE">
              <w:rPr>
                <w:rFonts w:ascii="Arial Narrow" w:hAnsi="Arial Narrow"/>
                <w:sz w:val="20"/>
                <w:szCs w:val="20"/>
              </w:rPr>
              <w:t xml:space="preserve">While the uncertainties relating to the naïve indirect comparisons are acknowledged, </w:t>
            </w:r>
            <w:r w:rsidR="006D04EE">
              <w:rPr>
                <w:rFonts w:ascii="Arial Narrow" w:hAnsi="Arial Narrow"/>
                <w:sz w:val="20"/>
                <w:szCs w:val="20"/>
              </w:rPr>
              <w:t>the sponsor</w:t>
            </w:r>
            <w:r w:rsidR="006D04EE" w:rsidRPr="00FB6FEE">
              <w:rPr>
                <w:rFonts w:ascii="Arial Narrow" w:hAnsi="Arial Narrow"/>
                <w:sz w:val="20"/>
                <w:szCs w:val="20"/>
              </w:rPr>
              <w:t xml:space="preserve"> </w:t>
            </w:r>
            <w:r w:rsidRPr="00FB6FEE">
              <w:rPr>
                <w:rFonts w:ascii="Arial Narrow" w:hAnsi="Arial Narrow"/>
                <w:sz w:val="20"/>
                <w:szCs w:val="20"/>
              </w:rPr>
              <w:t>maintain</w:t>
            </w:r>
            <w:r w:rsidR="00F05C23">
              <w:rPr>
                <w:rFonts w:ascii="Arial Narrow" w:hAnsi="Arial Narrow"/>
                <w:sz w:val="20"/>
                <w:szCs w:val="20"/>
              </w:rPr>
              <w:t>ed</w:t>
            </w:r>
            <w:r w:rsidRPr="00FB6FEE">
              <w:rPr>
                <w:rFonts w:ascii="Arial Narrow" w:hAnsi="Arial Narrow"/>
                <w:sz w:val="20"/>
                <w:szCs w:val="20"/>
              </w:rPr>
              <w:t xml:space="preserve"> this is the most appropriate methodology to compare the efficacy and safety of larotrectinib to SoC given the single</w:t>
            </w:r>
            <w:r w:rsidR="00057EDA">
              <w:rPr>
                <w:rFonts w:ascii="Arial Narrow" w:hAnsi="Arial Narrow"/>
                <w:sz w:val="20"/>
                <w:szCs w:val="20"/>
              </w:rPr>
              <w:t>-</w:t>
            </w:r>
            <w:r w:rsidRPr="00FB6FEE">
              <w:rPr>
                <w:rFonts w:ascii="Arial Narrow" w:hAnsi="Arial Narrow"/>
                <w:sz w:val="20"/>
                <w:szCs w:val="20"/>
              </w:rPr>
              <w:t xml:space="preserve">arm nature of the larotrectinib trials and the lack of data specific to </w:t>
            </w:r>
            <w:r w:rsidRPr="00FB6FEE">
              <w:rPr>
                <w:rFonts w:ascii="Arial Narrow" w:hAnsi="Arial Narrow"/>
                <w:i/>
                <w:iCs/>
                <w:sz w:val="20"/>
                <w:szCs w:val="20"/>
              </w:rPr>
              <w:t>NTRK</w:t>
            </w:r>
            <w:r w:rsidRPr="00FB6FEE">
              <w:rPr>
                <w:rFonts w:ascii="Arial Narrow" w:hAnsi="Arial Narrow"/>
                <w:sz w:val="20"/>
                <w:szCs w:val="20"/>
              </w:rPr>
              <w:t xml:space="preserve"> fusions in the SoC arms.</w:t>
            </w:r>
          </w:p>
          <w:p w:rsidR="00444ECA" w:rsidRPr="00652162" w:rsidRDefault="00444ECA" w:rsidP="00EA1DF5">
            <w:pPr>
              <w:spacing w:before="20"/>
              <w:jc w:val="left"/>
              <w:rPr>
                <w:rFonts w:ascii="Arial Narrow" w:hAnsi="Arial Narrow"/>
                <w:sz w:val="20"/>
                <w:szCs w:val="20"/>
              </w:rPr>
            </w:pPr>
            <w:r w:rsidRPr="00652162">
              <w:rPr>
                <w:rFonts w:ascii="Arial Narrow" w:hAnsi="Arial Narrow"/>
                <w:sz w:val="20"/>
                <w:szCs w:val="20"/>
              </w:rPr>
              <w:t>Nominated comparators in the original submission for high frequency adult and both paediatric populations reflect current SoC and the proposed line of therapy for larotrectinib and thus remain unchanged in the resubmission.</w:t>
            </w:r>
          </w:p>
          <w:p w:rsidR="00444ECA" w:rsidRPr="00C73ADE" w:rsidRDefault="00444ECA" w:rsidP="008865BD">
            <w:pPr>
              <w:spacing w:before="20"/>
              <w:jc w:val="left"/>
              <w:rPr>
                <w:rFonts w:ascii="Arial Narrow" w:hAnsi="Arial Narrow"/>
                <w:i/>
                <w:sz w:val="20"/>
                <w:szCs w:val="20"/>
              </w:rPr>
            </w:pPr>
            <w:r w:rsidRPr="00652162">
              <w:rPr>
                <w:rFonts w:ascii="Arial Narrow" w:hAnsi="Arial Narrow"/>
                <w:sz w:val="20"/>
                <w:szCs w:val="20"/>
              </w:rPr>
              <w:t>These concerns remain outstanding</w:t>
            </w:r>
            <w:r w:rsidRPr="00C73ADE">
              <w:rPr>
                <w:rFonts w:ascii="Arial Narrow" w:hAnsi="Arial Narrow"/>
                <w:i/>
                <w:sz w:val="20"/>
                <w:szCs w:val="20"/>
              </w:rPr>
              <w:t>.</w:t>
            </w:r>
          </w:p>
        </w:tc>
      </w:tr>
      <w:tr w:rsidR="00444ECA" w:rsidRPr="006F1B0E" w:rsidTr="00D117CD">
        <w:trPr>
          <w:cantSplit/>
        </w:trPr>
        <w:tc>
          <w:tcPr>
            <w:tcW w:w="2749" w:type="pct"/>
          </w:tcPr>
          <w:p w:rsidR="00444ECA" w:rsidRPr="00E74302" w:rsidRDefault="00444ECA" w:rsidP="00EA1DF5">
            <w:pPr>
              <w:spacing w:before="20"/>
              <w:jc w:val="left"/>
              <w:rPr>
                <w:rFonts w:ascii="Arial Narrow" w:hAnsi="Arial Narrow"/>
                <w:iCs/>
                <w:sz w:val="20"/>
                <w:szCs w:val="20"/>
              </w:rPr>
            </w:pPr>
            <w:r w:rsidRPr="00E74302">
              <w:rPr>
                <w:rFonts w:ascii="Arial Narrow" w:hAnsi="Arial Narrow"/>
                <w:iCs/>
                <w:sz w:val="20"/>
                <w:szCs w:val="20"/>
              </w:rPr>
              <w:t>Paragraph 7.12</w:t>
            </w:r>
          </w:p>
          <w:p w:rsidR="00444ECA" w:rsidRPr="00E74302" w:rsidRDefault="00444ECA" w:rsidP="00EA1DF5">
            <w:pPr>
              <w:spacing w:before="40"/>
              <w:jc w:val="left"/>
              <w:rPr>
                <w:rFonts w:ascii="Arial Narrow" w:hAnsi="Arial Narrow" w:cs="Tahoma"/>
                <w:iCs/>
                <w:sz w:val="20"/>
              </w:rPr>
            </w:pPr>
            <w:r w:rsidRPr="00E74302">
              <w:rPr>
                <w:rFonts w:ascii="Arial Narrow" w:hAnsi="Arial Narrow"/>
                <w:bCs/>
                <w:sz w:val="20"/>
                <w:szCs w:val="20"/>
              </w:rPr>
              <w:t>The PBAC considered the claim of superior effectiveness compared to SoC for the low frequency adult and paediatric populations was not sufficiently supported</w:t>
            </w:r>
            <w:r w:rsidR="004E3033">
              <w:rPr>
                <w:rFonts w:ascii="Arial Narrow" w:hAnsi="Arial Narrow"/>
                <w:bCs/>
                <w:sz w:val="20"/>
                <w:szCs w:val="20"/>
              </w:rPr>
              <w:t>.</w:t>
            </w:r>
          </w:p>
        </w:tc>
        <w:tc>
          <w:tcPr>
            <w:tcW w:w="2251" w:type="pct"/>
          </w:tcPr>
          <w:p w:rsidR="00444ECA" w:rsidRPr="00FB6FEE" w:rsidRDefault="00444ECA" w:rsidP="009E08A4">
            <w:pPr>
              <w:spacing w:before="20"/>
              <w:jc w:val="left"/>
              <w:rPr>
                <w:rFonts w:ascii="Arial Narrow" w:hAnsi="Arial Narrow"/>
                <w:sz w:val="20"/>
                <w:szCs w:val="20"/>
              </w:rPr>
            </w:pPr>
            <w:r w:rsidRPr="00FB6FEE">
              <w:rPr>
                <w:rFonts w:ascii="Arial Narrow" w:hAnsi="Arial Narrow"/>
                <w:sz w:val="20"/>
                <w:szCs w:val="20"/>
              </w:rPr>
              <w:t xml:space="preserve">Two </w:t>
            </w:r>
            <w:r w:rsidRPr="00652162">
              <w:rPr>
                <w:rFonts w:ascii="Arial Narrow" w:hAnsi="Arial Narrow"/>
                <w:sz w:val="20"/>
                <w:szCs w:val="20"/>
              </w:rPr>
              <w:t xml:space="preserve">additional comparators for thyroid and lung tumours were included for the adult low frequency population. The claim of superiority for the low frequency subgroups </w:t>
            </w:r>
            <w:r w:rsidR="000C0C4F" w:rsidRPr="00652162">
              <w:rPr>
                <w:rFonts w:ascii="Arial Narrow" w:hAnsi="Arial Narrow"/>
                <w:sz w:val="20"/>
                <w:szCs w:val="20"/>
              </w:rPr>
              <w:t>was</w:t>
            </w:r>
            <w:r w:rsidRPr="00652162">
              <w:rPr>
                <w:rFonts w:ascii="Arial Narrow" w:hAnsi="Arial Narrow"/>
                <w:sz w:val="20"/>
                <w:szCs w:val="20"/>
              </w:rPr>
              <w:t xml:space="preserve"> not sufficiently supported. Noteworthy is that the clinical need is higher in the paediatric population as these paediatric cancers are rare and available therapies are limited. There is also a high clinical need in paediatric patients for therapies other than current SoC which primarily consists of cytotoxic chemotherapy.</w:t>
            </w:r>
          </w:p>
        </w:tc>
      </w:tr>
      <w:tr w:rsidR="00444ECA" w:rsidRPr="006F1B0E" w:rsidTr="00D117CD">
        <w:trPr>
          <w:cantSplit/>
        </w:trPr>
        <w:tc>
          <w:tcPr>
            <w:tcW w:w="2749" w:type="pct"/>
          </w:tcPr>
          <w:p w:rsidR="00444ECA" w:rsidRPr="00E74302" w:rsidRDefault="00444ECA" w:rsidP="00EA1DF5">
            <w:pPr>
              <w:spacing w:before="40"/>
              <w:jc w:val="left"/>
              <w:rPr>
                <w:rFonts w:ascii="Arial Narrow" w:hAnsi="Arial Narrow" w:cs="Tahoma"/>
                <w:iCs/>
                <w:sz w:val="20"/>
              </w:rPr>
            </w:pPr>
            <w:r w:rsidRPr="00E74302">
              <w:rPr>
                <w:rFonts w:ascii="Arial Narrow" w:hAnsi="Arial Narrow" w:cs="Tahoma"/>
                <w:iCs/>
                <w:sz w:val="20"/>
              </w:rPr>
              <w:t>Paragraph 7.20</w:t>
            </w:r>
          </w:p>
          <w:p w:rsidR="00444ECA" w:rsidRPr="00E74302" w:rsidRDefault="00444ECA" w:rsidP="00EA1DF5">
            <w:pPr>
              <w:spacing w:before="40"/>
              <w:jc w:val="left"/>
              <w:rPr>
                <w:rFonts w:ascii="Arial Narrow" w:hAnsi="Arial Narrow" w:cs="Tahoma"/>
                <w:bCs/>
                <w:sz w:val="20"/>
              </w:rPr>
            </w:pPr>
            <w:r w:rsidRPr="00E74302">
              <w:rPr>
                <w:rFonts w:ascii="Arial Narrow" w:hAnsi="Arial Narrow" w:cs="Tahoma"/>
                <w:bCs/>
                <w:sz w:val="20"/>
              </w:rPr>
              <w:t>The PBAC also requested the Department approach the Sponsor to seek a suitable price reduction for larotrectinib</w:t>
            </w:r>
            <w:r w:rsidRPr="00E74302">
              <w:rPr>
                <w:rFonts w:ascii="Arial Narrow" w:hAnsi="Arial Narrow" w:cs="Tahoma"/>
                <w:sz w:val="20"/>
              </w:rPr>
              <w:t xml:space="preserve"> </w:t>
            </w:r>
            <w:r w:rsidRPr="00E74302">
              <w:rPr>
                <w:rFonts w:ascii="Arial Narrow" w:hAnsi="Arial Narrow" w:cs="Tahoma"/>
                <w:iCs/>
                <w:sz w:val="20"/>
              </w:rPr>
              <w:t>(para. 7.1 larotrectinib November 2020 PSD)</w:t>
            </w:r>
            <w:r w:rsidRPr="00E74302">
              <w:rPr>
                <w:rFonts w:ascii="Arial Narrow" w:hAnsi="Arial Narrow" w:cs="Tahoma"/>
                <w:sz w:val="20"/>
              </w:rPr>
              <w:t>. The PBAC considered that the price reduction could be achieved through either a SPA or an alternative means such as an RSA which does not impose an unnecessary administrative burden or privacy issues</w:t>
            </w:r>
            <w:r w:rsidR="004E3033">
              <w:rPr>
                <w:rFonts w:ascii="Arial Narrow" w:hAnsi="Arial Narrow" w:cs="Tahoma"/>
                <w:sz w:val="20"/>
              </w:rPr>
              <w:t>.</w:t>
            </w:r>
          </w:p>
        </w:tc>
        <w:tc>
          <w:tcPr>
            <w:tcW w:w="2251" w:type="pct"/>
          </w:tcPr>
          <w:p w:rsidR="00444ECA" w:rsidRPr="00FB6FEE" w:rsidRDefault="00211FBA" w:rsidP="00A86DA9">
            <w:pPr>
              <w:spacing w:before="20"/>
              <w:jc w:val="left"/>
              <w:rPr>
                <w:rFonts w:ascii="Arial Narrow" w:hAnsi="Arial Narrow"/>
                <w:sz w:val="20"/>
                <w:szCs w:val="20"/>
              </w:rPr>
            </w:pPr>
            <w:r>
              <w:rPr>
                <w:rFonts w:ascii="Arial Narrow" w:hAnsi="Arial Narrow"/>
                <w:sz w:val="20"/>
                <w:szCs w:val="20"/>
              </w:rPr>
              <w:t>T</w:t>
            </w:r>
            <w:r w:rsidR="00B4584A" w:rsidRPr="00B4584A">
              <w:rPr>
                <w:rFonts w:ascii="Arial Narrow" w:hAnsi="Arial Narrow"/>
                <w:sz w:val="20"/>
                <w:szCs w:val="20"/>
              </w:rPr>
              <w:t xml:space="preserve">he Sponsor proposed a revised SPA </w:t>
            </w:r>
            <w:r>
              <w:rPr>
                <w:rFonts w:ascii="Arial Narrow" w:hAnsi="Arial Narrow"/>
                <w:sz w:val="20"/>
                <w:szCs w:val="20"/>
              </w:rPr>
              <w:t>(</w:t>
            </w:r>
            <w:r w:rsidRPr="00053DB1">
              <w:rPr>
                <w:rFonts w:ascii="Arial Narrow" w:hAnsi="Arial Narrow"/>
                <w:sz w:val="20"/>
                <w:szCs w:val="20"/>
              </w:rPr>
              <w:t>33.7</w:t>
            </w:r>
            <w:r>
              <w:rPr>
                <w:rFonts w:ascii="Arial Narrow" w:hAnsi="Arial Narrow"/>
                <w:sz w:val="20"/>
                <w:szCs w:val="20"/>
              </w:rPr>
              <w:t xml:space="preserve">% </w:t>
            </w:r>
            <w:r w:rsidR="00892E1C">
              <w:rPr>
                <w:rFonts w:ascii="Arial Narrow" w:hAnsi="Arial Narrow"/>
                <w:sz w:val="20"/>
                <w:szCs w:val="20"/>
              </w:rPr>
              <w:t>reduction compared to previous</w:t>
            </w:r>
            <w:r>
              <w:rPr>
                <w:rFonts w:ascii="Arial Narrow" w:hAnsi="Arial Narrow"/>
                <w:sz w:val="20"/>
                <w:szCs w:val="20"/>
              </w:rPr>
              <w:t xml:space="preserve"> effective price) with a</w:t>
            </w:r>
            <w:r w:rsidR="00A86DA9">
              <w:rPr>
                <w:rFonts w:ascii="Arial Narrow" w:hAnsi="Arial Narrow"/>
                <w:sz w:val="20"/>
                <w:szCs w:val="20"/>
              </w:rPr>
              <w:t xml:space="preserve"> further </w:t>
            </w:r>
            <w:r w:rsidR="00675CB4">
              <w:rPr>
                <w:rFonts w:ascii="Arial Narrow" w:hAnsi="Arial Narrow"/>
                <w:noProof/>
                <w:color w:val="000000"/>
                <w:sz w:val="20"/>
                <w:szCs w:val="20"/>
                <w:highlight w:val="black"/>
              </w:rPr>
              <w:t>''''''</w:t>
            </w:r>
            <w:r>
              <w:rPr>
                <w:rFonts w:ascii="Arial Narrow" w:hAnsi="Arial Narrow"/>
                <w:sz w:val="20"/>
                <w:szCs w:val="20"/>
              </w:rPr>
              <w:t>%</w:t>
            </w:r>
            <w:r w:rsidR="00183CEB">
              <w:rPr>
                <w:rFonts w:ascii="Arial Narrow" w:hAnsi="Arial Narrow"/>
                <w:sz w:val="20"/>
                <w:szCs w:val="20"/>
              </w:rPr>
              <w:t xml:space="preserve"> </w:t>
            </w:r>
            <w:r w:rsidR="00892E1C">
              <w:rPr>
                <w:rFonts w:ascii="Arial Narrow" w:hAnsi="Arial Narrow"/>
                <w:sz w:val="20"/>
                <w:szCs w:val="20"/>
              </w:rPr>
              <w:t xml:space="preserve">price </w:t>
            </w:r>
            <w:r w:rsidR="00A86DA9">
              <w:rPr>
                <w:rFonts w:ascii="Arial Narrow" w:hAnsi="Arial Narrow"/>
                <w:sz w:val="20"/>
                <w:szCs w:val="20"/>
              </w:rPr>
              <w:t xml:space="preserve">reduction </w:t>
            </w:r>
            <w:r>
              <w:rPr>
                <w:rFonts w:ascii="Arial Narrow" w:hAnsi="Arial Narrow"/>
                <w:sz w:val="20"/>
                <w:szCs w:val="20"/>
              </w:rPr>
              <w:t>proposed on init</w:t>
            </w:r>
            <w:r w:rsidR="00BA6FE2">
              <w:rPr>
                <w:rFonts w:ascii="Arial Narrow" w:hAnsi="Arial Narrow"/>
                <w:sz w:val="20"/>
                <w:szCs w:val="20"/>
              </w:rPr>
              <w:t xml:space="preserve">ial scripts </w:t>
            </w:r>
            <w:r w:rsidR="00183CEB">
              <w:rPr>
                <w:rFonts w:ascii="Arial Narrow" w:hAnsi="Arial Narrow"/>
                <w:sz w:val="20"/>
                <w:szCs w:val="20"/>
              </w:rPr>
              <w:t>(estimated based on responders in the pooled analyses)</w:t>
            </w:r>
            <w:r w:rsidR="00B4584A" w:rsidRPr="00B4584A">
              <w:rPr>
                <w:rFonts w:ascii="Arial Narrow" w:hAnsi="Arial Narrow"/>
                <w:sz w:val="20"/>
                <w:szCs w:val="20"/>
              </w:rPr>
              <w:t>.</w:t>
            </w:r>
          </w:p>
        </w:tc>
      </w:tr>
      <w:tr w:rsidR="00444ECA" w:rsidRPr="006F1B0E" w:rsidTr="00D117CD">
        <w:trPr>
          <w:cantSplit/>
        </w:trPr>
        <w:tc>
          <w:tcPr>
            <w:tcW w:w="2749" w:type="pct"/>
          </w:tcPr>
          <w:p w:rsidR="00444ECA" w:rsidRPr="00E74302" w:rsidRDefault="00444ECA" w:rsidP="00EA1DF5">
            <w:pPr>
              <w:spacing w:before="40"/>
              <w:jc w:val="left"/>
              <w:rPr>
                <w:rFonts w:ascii="Arial Narrow" w:hAnsi="Arial Narrow" w:cs="Tahoma"/>
                <w:iCs/>
                <w:sz w:val="20"/>
              </w:rPr>
            </w:pPr>
            <w:r w:rsidRPr="00E74302">
              <w:rPr>
                <w:rFonts w:ascii="Arial Narrow" w:hAnsi="Arial Narrow" w:cs="Tahoma"/>
                <w:iCs/>
                <w:sz w:val="20"/>
              </w:rPr>
              <w:t>Paragraph 7.23</w:t>
            </w:r>
          </w:p>
          <w:p w:rsidR="00444ECA" w:rsidRPr="00E74302" w:rsidRDefault="00444ECA" w:rsidP="00EA1DF5">
            <w:pPr>
              <w:spacing w:before="40"/>
              <w:jc w:val="left"/>
              <w:rPr>
                <w:rFonts w:ascii="Arial Narrow" w:hAnsi="Arial Narrow" w:cs="Tahoma"/>
                <w:bCs/>
                <w:sz w:val="20"/>
              </w:rPr>
            </w:pPr>
            <w:r w:rsidRPr="00E74302">
              <w:rPr>
                <w:rFonts w:ascii="Arial Narrow" w:hAnsi="Arial Narrow" w:cs="Tahoma"/>
                <w:sz w:val="20"/>
              </w:rPr>
              <w:t xml:space="preserve">The PBAC </w:t>
            </w:r>
            <w:r w:rsidRPr="00E74302">
              <w:rPr>
                <w:rFonts w:ascii="Arial Narrow" w:hAnsi="Arial Narrow" w:cs="Arial"/>
                <w:snapToGrid w:val="0"/>
                <w:sz w:val="20"/>
                <w:szCs w:val="24"/>
              </w:rPr>
              <w:t>advised</w:t>
            </w:r>
            <w:r w:rsidRPr="00E74302">
              <w:rPr>
                <w:rFonts w:ascii="Arial Narrow" w:hAnsi="Arial Narrow" w:cs="Tahoma"/>
                <w:sz w:val="20"/>
              </w:rPr>
              <w:t xml:space="preserve"> that any further consideration of listing larotrectinib for adult patients with low </w:t>
            </w:r>
            <w:r w:rsidRPr="00623261">
              <w:rPr>
                <w:rFonts w:ascii="Arial Narrow" w:hAnsi="Arial Narrow" w:cs="Tahoma"/>
                <w:i/>
                <w:iCs/>
                <w:sz w:val="20"/>
              </w:rPr>
              <w:t>NTRK</w:t>
            </w:r>
            <w:r w:rsidRPr="00E74302">
              <w:rPr>
                <w:rFonts w:ascii="Arial Narrow" w:hAnsi="Arial Narrow" w:cs="Tahoma"/>
                <w:sz w:val="20"/>
              </w:rPr>
              <w:t xml:space="preserve"> fusion frequency tumours would need to be through a future major resubmission which includes the forthcoming data from NAVIGATE and MoST trials to address the uncertainty of the treatment effect of larotrectinib in this patient population with modified cost-effectiveness analyses incorporating more conservative assumptions and a price reduction</w:t>
            </w:r>
            <w:r w:rsidR="004E3033">
              <w:rPr>
                <w:rFonts w:ascii="Arial Narrow" w:hAnsi="Arial Narrow" w:cs="Tahoma"/>
                <w:sz w:val="20"/>
              </w:rPr>
              <w:t>.</w:t>
            </w:r>
          </w:p>
        </w:tc>
        <w:tc>
          <w:tcPr>
            <w:tcW w:w="2251" w:type="pct"/>
          </w:tcPr>
          <w:p w:rsidR="00444ECA" w:rsidRDefault="00444ECA" w:rsidP="00EA1DF5">
            <w:pPr>
              <w:spacing w:before="20"/>
              <w:jc w:val="left"/>
              <w:rPr>
                <w:rFonts w:ascii="Arial Narrow" w:hAnsi="Arial Narrow"/>
                <w:sz w:val="20"/>
                <w:szCs w:val="20"/>
              </w:rPr>
            </w:pPr>
            <w:r w:rsidRPr="00FB6FEE">
              <w:rPr>
                <w:rFonts w:ascii="Arial Narrow" w:hAnsi="Arial Narrow"/>
                <w:sz w:val="20"/>
                <w:szCs w:val="20"/>
              </w:rPr>
              <w:t xml:space="preserve">Updated data across the larotrectinib trials (ePAS5+SAS3 – July 2020 data cut-off) are provided with two additional comparators for adult low frequency </w:t>
            </w:r>
            <w:r w:rsidRPr="00FB6FEE">
              <w:rPr>
                <w:rFonts w:ascii="Arial Narrow" w:hAnsi="Arial Narrow"/>
                <w:i/>
                <w:iCs/>
                <w:sz w:val="20"/>
                <w:szCs w:val="20"/>
              </w:rPr>
              <w:t>NTRK</w:t>
            </w:r>
            <w:r w:rsidRPr="00FB6FEE">
              <w:rPr>
                <w:rFonts w:ascii="Arial Narrow" w:hAnsi="Arial Narrow"/>
                <w:sz w:val="20"/>
                <w:szCs w:val="20"/>
              </w:rPr>
              <w:t xml:space="preserve"> tumours (thyroid and lung).</w:t>
            </w:r>
          </w:p>
          <w:p w:rsidR="00444ECA" w:rsidRPr="00652162" w:rsidRDefault="00444ECA" w:rsidP="00870130">
            <w:pPr>
              <w:spacing w:before="20"/>
              <w:jc w:val="left"/>
              <w:rPr>
                <w:rFonts w:ascii="Arial Narrow" w:hAnsi="Arial Narrow"/>
                <w:iCs/>
                <w:sz w:val="20"/>
                <w:szCs w:val="20"/>
              </w:rPr>
            </w:pPr>
            <w:r w:rsidRPr="00652162">
              <w:rPr>
                <w:rFonts w:ascii="Arial Narrow" w:hAnsi="Arial Narrow"/>
                <w:iCs/>
                <w:sz w:val="20"/>
                <w:szCs w:val="20"/>
              </w:rPr>
              <w:t xml:space="preserve">The uncertainty of the incremental benefit of larotrectinib remains outstanding particularly for the adult low frequency subgroup. </w:t>
            </w:r>
            <w:r w:rsidR="000C0C4F" w:rsidRPr="00652162">
              <w:rPr>
                <w:rFonts w:ascii="Arial Narrow" w:hAnsi="Arial Narrow"/>
                <w:iCs/>
                <w:sz w:val="20"/>
                <w:szCs w:val="20"/>
              </w:rPr>
              <w:t xml:space="preserve">The resubmission noted that </w:t>
            </w:r>
            <w:r w:rsidR="001511BF" w:rsidRPr="00652162">
              <w:rPr>
                <w:rFonts w:ascii="Arial Narrow" w:hAnsi="Arial Narrow"/>
                <w:iCs/>
                <w:sz w:val="20"/>
                <w:szCs w:val="20"/>
              </w:rPr>
              <w:t xml:space="preserve">updated </w:t>
            </w:r>
            <w:r w:rsidR="000C0C4F" w:rsidRPr="00652162">
              <w:rPr>
                <w:rFonts w:ascii="Arial Narrow" w:hAnsi="Arial Narrow"/>
                <w:iCs/>
                <w:sz w:val="20"/>
                <w:szCs w:val="20"/>
              </w:rPr>
              <w:t>data from MoST were not available.</w:t>
            </w:r>
            <w:r w:rsidR="00AE06A7" w:rsidRPr="00652162">
              <w:rPr>
                <w:rFonts w:ascii="Arial Narrow" w:hAnsi="Arial Narrow"/>
                <w:iCs/>
                <w:sz w:val="20"/>
                <w:szCs w:val="20"/>
              </w:rPr>
              <w:t xml:space="preserve"> </w:t>
            </w:r>
            <w:r w:rsidR="00870130" w:rsidRPr="00652162">
              <w:rPr>
                <w:rFonts w:ascii="Arial Narrow" w:hAnsi="Arial Narrow"/>
                <w:iCs/>
                <w:sz w:val="20"/>
                <w:szCs w:val="20"/>
              </w:rPr>
              <w:t>C</w:t>
            </w:r>
            <w:r w:rsidR="00B4584A" w:rsidRPr="00652162">
              <w:rPr>
                <w:rFonts w:ascii="Arial Narrow" w:hAnsi="Arial Narrow"/>
                <w:iCs/>
                <w:sz w:val="20"/>
                <w:szCs w:val="20"/>
              </w:rPr>
              <w:t xml:space="preserve">onservative extrapolations were </w:t>
            </w:r>
            <w:r w:rsidR="00870130" w:rsidRPr="00652162">
              <w:rPr>
                <w:rFonts w:ascii="Arial Narrow" w:hAnsi="Arial Narrow"/>
                <w:iCs/>
                <w:sz w:val="20"/>
                <w:szCs w:val="20"/>
              </w:rPr>
              <w:t xml:space="preserve">not </w:t>
            </w:r>
            <w:r w:rsidR="00B4584A" w:rsidRPr="00652162">
              <w:rPr>
                <w:rFonts w:ascii="Arial Narrow" w:hAnsi="Arial Narrow"/>
                <w:iCs/>
                <w:sz w:val="20"/>
                <w:szCs w:val="20"/>
              </w:rPr>
              <w:t>chosen for the larotrectinib tumour type</w:t>
            </w:r>
            <w:r w:rsidR="00870130" w:rsidRPr="00652162">
              <w:rPr>
                <w:rFonts w:ascii="Arial Narrow" w:hAnsi="Arial Narrow"/>
                <w:iCs/>
                <w:sz w:val="20"/>
                <w:szCs w:val="20"/>
              </w:rPr>
              <w:t xml:space="preserve"> </w:t>
            </w:r>
            <w:r w:rsidR="00B4584A" w:rsidRPr="00652162">
              <w:rPr>
                <w:rFonts w:ascii="Arial Narrow" w:hAnsi="Arial Narrow"/>
                <w:iCs/>
                <w:sz w:val="20"/>
                <w:szCs w:val="20"/>
              </w:rPr>
              <w:t>s</w:t>
            </w:r>
            <w:r w:rsidR="00870130" w:rsidRPr="00652162">
              <w:rPr>
                <w:rFonts w:ascii="Arial Narrow" w:hAnsi="Arial Narrow"/>
                <w:iCs/>
                <w:sz w:val="20"/>
                <w:szCs w:val="20"/>
              </w:rPr>
              <w:t>ubgroup analyses</w:t>
            </w:r>
            <w:r w:rsidR="004E3033">
              <w:rPr>
                <w:rFonts w:ascii="Arial Narrow" w:hAnsi="Arial Narrow"/>
                <w:iCs/>
                <w:sz w:val="20"/>
                <w:szCs w:val="20"/>
              </w:rPr>
              <w:t>.</w:t>
            </w:r>
          </w:p>
        </w:tc>
      </w:tr>
      <w:tr w:rsidR="00DE3841" w:rsidRPr="00DE3841" w:rsidTr="00D117CD">
        <w:trPr>
          <w:cantSplit/>
        </w:trPr>
        <w:tc>
          <w:tcPr>
            <w:tcW w:w="2749" w:type="pct"/>
          </w:tcPr>
          <w:p w:rsidR="00152475" w:rsidRDefault="00152475" w:rsidP="00152475">
            <w:pPr>
              <w:pStyle w:val="TableText"/>
            </w:pPr>
            <w:r>
              <w:t>Paragraph 7.20</w:t>
            </w:r>
          </w:p>
          <w:p w:rsidR="00152475" w:rsidRDefault="00152475" w:rsidP="00152475">
            <w:pPr>
              <w:pStyle w:val="TableText"/>
            </w:pPr>
            <w:r>
              <w:t xml:space="preserve">The PBAC advised </w:t>
            </w:r>
            <w:r w:rsidRPr="00152475">
              <w:t xml:space="preserve">that a price reduction for adult patients with high frequency </w:t>
            </w:r>
            <w:r w:rsidRPr="00472493">
              <w:rPr>
                <w:i/>
              </w:rPr>
              <w:t>NTRK</w:t>
            </w:r>
            <w:r w:rsidRPr="00152475">
              <w:t xml:space="preserve"> fusion tumours and all paediatric patients</w:t>
            </w:r>
            <w:r>
              <w:t xml:space="preserve"> </w:t>
            </w:r>
            <w:r w:rsidRPr="0011346D">
              <w:t>should be of a magnitude sufficient to achieve an ICER within the range of $70,000/QALY to $80,000/QALY</w:t>
            </w:r>
            <w:r>
              <w:t xml:space="preserve">. </w:t>
            </w:r>
            <w:r w:rsidRPr="0011346D">
              <w:t>The PBAC advised that the adjustments to the economic analysis, as specified in paragraph 6.7</w:t>
            </w:r>
            <w:r>
              <w:t>3</w:t>
            </w:r>
            <w:r w:rsidRPr="0011346D">
              <w:t xml:space="preserve"> to account for the uncertainties of the larotrectinib data, should be used to determine the magnitude of price reduction required.</w:t>
            </w:r>
          </w:p>
          <w:p w:rsidR="00152475" w:rsidRDefault="00152475" w:rsidP="00152475">
            <w:pPr>
              <w:pStyle w:val="TableText"/>
            </w:pPr>
          </w:p>
          <w:p w:rsidR="00152475" w:rsidRDefault="00152475" w:rsidP="00152475">
            <w:pPr>
              <w:pStyle w:val="TableText"/>
            </w:pPr>
            <w:r>
              <w:t>Paragraph 6.73</w:t>
            </w:r>
          </w:p>
          <w:p w:rsidR="00472493" w:rsidRPr="00DE3841" w:rsidRDefault="00472493" w:rsidP="00472493">
            <w:pPr>
              <w:pStyle w:val="TableText"/>
            </w:pPr>
            <w:r w:rsidRPr="0011346D">
              <w:t xml:space="preserve">The PBAC noted that the resulting ICER for the combined high </w:t>
            </w:r>
            <w:r w:rsidRPr="0011346D">
              <w:rPr>
                <w:i/>
              </w:rPr>
              <w:t xml:space="preserve">NTRK </w:t>
            </w:r>
            <w:r w:rsidRPr="0011346D">
              <w:t xml:space="preserve">fusion frequency population was </w:t>
            </w:r>
            <w:r>
              <w:t xml:space="preserve">$155,000 to &lt; $255,000 </w:t>
            </w:r>
            <w:r w:rsidRPr="0011346D">
              <w:t xml:space="preserve">/QALY when i) the most conservative OS and PFS extrapolations; ii) an </w:t>
            </w:r>
            <w:r w:rsidRPr="0011346D">
              <w:rPr>
                <w:i/>
              </w:rPr>
              <w:t>NTRK</w:t>
            </w:r>
            <w:r w:rsidRPr="0011346D">
              <w:t xml:space="preserve"> fusion frequency of 0.68% for paediatric STS and; iii) exclusion of the RSA rebate was applied in the economic analysis.</w:t>
            </w:r>
          </w:p>
        </w:tc>
        <w:tc>
          <w:tcPr>
            <w:tcW w:w="2251" w:type="pct"/>
          </w:tcPr>
          <w:p w:rsidR="00906DA3" w:rsidRPr="00472493" w:rsidRDefault="00152475" w:rsidP="00972F81">
            <w:pPr>
              <w:pStyle w:val="TableText"/>
              <w:rPr>
                <w:i/>
              </w:rPr>
            </w:pPr>
            <w:r w:rsidRPr="00906DA3">
              <w:t>The changes described in ii) and iii)</w:t>
            </w:r>
            <w:r w:rsidR="00F06665">
              <w:t xml:space="preserve"> of paragraph 6.73</w:t>
            </w:r>
            <w:r w:rsidRPr="00906DA3">
              <w:t xml:space="preserve"> have been adopted in the resubmission’s base case.</w:t>
            </w:r>
            <w:r w:rsidRPr="005550BF">
              <w:rPr>
                <w:i/>
              </w:rPr>
              <w:t xml:space="preserve"> </w:t>
            </w:r>
            <w:r w:rsidR="00472493" w:rsidRPr="00652162">
              <w:rPr>
                <w:iCs/>
              </w:rPr>
              <w:t>When the</w:t>
            </w:r>
            <w:r w:rsidR="00972F81" w:rsidRPr="00652162">
              <w:rPr>
                <w:iCs/>
              </w:rPr>
              <w:t xml:space="preserve"> additional changes </w:t>
            </w:r>
            <w:r w:rsidR="00472493" w:rsidRPr="00652162">
              <w:rPr>
                <w:iCs/>
              </w:rPr>
              <w:t>have been accounted for</w:t>
            </w:r>
            <w:r w:rsidR="00972F81" w:rsidRPr="00652162">
              <w:rPr>
                <w:iCs/>
              </w:rPr>
              <w:t>,</w:t>
            </w:r>
            <w:r w:rsidR="00472493" w:rsidRPr="00652162">
              <w:rPr>
                <w:iCs/>
              </w:rPr>
              <w:t xml:space="preserve"> the ICER for adult patients with high frequency </w:t>
            </w:r>
            <w:r w:rsidR="00472493" w:rsidRPr="00652162">
              <w:rPr>
                <w:i/>
                <w:iCs/>
              </w:rPr>
              <w:t xml:space="preserve">NTRK </w:t>
            </w:r>
            <w:r w:rsidR="00472493" w:rsidRPr="00652162">
              <w:t xml:space="preserve">fusion tumours and all paediatric patients is within the </w:t>
            </w:r>
            <w:r w:rsidR="00246D05" w:rsidRPr="00652162">
              <w:t xml:space="preserve">requested </w:t>
            </w:r>
            <w:r w:rsidR="00472493" w:rsidRPr="00652162">
              <w:t xml:space="preserve">range of $70,000/QALY to $80,000/QALY requested. This was achieved in part </w:t>
            </w:r>
            <w:r w:rsidR="00762141" w:rsidRPr="00652162">
              <w:t>through</w:t>
            </w:r>
            <w:r w:rsidR="00472493" w:rsidRPr="00652162">
              <w:t xml:space="preserve"> a price reduction, but also with the presentation of updated data. The updated data</w:t>
            </w:r>
            <w:r w:rsidR="00246D05" w:rsidRPr="00652162">
              <w:t>, however,</w:t>
            </w:r>
            <w:r w:rsidR="00472493" w:rsidRPr="00652162">
              <w:t xml:space="preserve"> lead to substantial differences in the long term modelled estimates.</w:t>
            </w:r>
          </w:p>
        </w:tc>
      </w:tr>
      <w:tr w:rsidR="00906DA3" w:rsidRPr="00DE3841" w:rsidTr="00D117CD">
        <w:trPr>
          <w:cantSplit/>
        </w:trPr>
        <w:tc>
          <w:tcPr>
            <w:tcW w:w="2749" w:type="pct"/>
          </w:tcPr>
          <w:p w:rsidR="00906DA3" w:rsidRDefault="00906DA3" w:rsidP="00152475">
            <w:pPr>
              <w:pStyle w:val="TableText"/>
            </w:pPr>
            <w:r>
              <w:t>Paragraph 7.17</w:t>
            </w:r>
          </w:p>
          <w:p w:rsidR="00906DA3" w:rsidRDefault="00906DA3" w:rsidP="00152475">
            <w:pPr>
              <w:pStyle w:val="TableText"/>
            </w:pPr>
            <w:r w:rsidRPr="0011346D">
              <w:t>The 20-year time horizon used in the economic analysis is substantially longer than the median duration of follow-up (16 months) in the pooled larotrectinib analysis.</w:t>
            </w:r>
          </w:p>
        </w:tc>
        <w:tc>
          <w:tcPr>
            <w:tcW w:w="2251" w:type="pct"/>
          </w:tcPr>
          <w:p w:rsidR="00906DA3" w:rsidRPr="006D354B" w:rsidRDefault="00906DA3" w:rsidP="00906DA3">
            <w:pPr>
              <w:pStyle w:val="TableText"/>
            </w:pPr>
            <w:r w:rsidRPr="006D354B">
              <w:t xml:space="preserve">To mitigate this uncertainty, the time horizon in the model base-case was amended to 15 years. The 15 year time horizon remains longer than the median duration of </w:t>
            </w:r>
            <w:r w:rsidR="007A40DF" w:rsidRPr="006D354B">
              <w:t>follow-up</w:t>
            </w:r>
            <w:r w:rsidRPr="006D354B">
              <w:t xml:space="preserve"> in the larotrectinib studies (2 years). In adult tumour types that have a low frequency of NTRK fusions a shorter time horizon (5 years) may be more appropriate.</w:t>
            </w:r>
          </w:p>
        </w:tc>
      </w:tr>
    </w:tbl>
    <w:p w:rsidR="00444ECA" w:rsidRDefault="00444ECA" w:rsidP="00444ECA">
      <w:pPr>
        <w:pStyle w:val="TableFooter"/>
        <w:rPr>
          <w:lang w:eastAsia="en-AU"/>
        </w:rPr>
      </w:pPr>
      <w:r>
        <w:rPr>
          <w:lang w:eastAsia="en-AU"/>
        </w:rPr>
        <w:t>Source: Table ES 1 page 2 of the resubmission and the larotrectinib PSD November 2020</w:t>
      </w:r>
      <w:r w:rsidR="00E74302">
        <w:rPr>
          <w:lang w:eastAsia="en-AU"/>
        </w:rPr>
        <w:t xml:space="preserve"> </w:t>
      </w:r>
      <w:r w:rsidR="00E74302" w:rsidRPr="00652162">
        <w:rPr>
          <w:lang w:eastAsia="en-AU"/>
        </w:rPr>
        <w:t xml:space="preserve">(Additional concerns </w:t>
      </w:r>
      <w:r w:rsidR="00EA1DF5" w:rsidRPr="00652162">
        <w:rPr>
          <w:lang w:eastAsia="en-AU"/>
        </w:rPr>
        <w:t xml:space="preserve">to Table ES1 of the resubmission </w:t>
      </w:r>
      <w:r w:rsidR="00E74302" w:rsidRPr="00652162">
        <w:rPr>
          <w:lang w:eastAsia="en-AU"/>
        </w:rPr>
        <w:t>were incorporated from the PSD)</w:t>
      </w:r>
      <w:r w:rsidRPr="00652162">
        <w:rPr>
          <w:lang w:eastAsia="en-AU"/>
        </w:rPr>
        <w:t>.</w:t>
      </w:r>
    </w:p>
    <w:p w:rsidR="00444ECA" w:rsidRDefault="00444ECA" w:rsidP="00444ECA">
      <w:pPr>
        <w:pStyle w:val="TableFooter"/>
        <w:rPr>
          <w:lang w:eastAsia="en-AU"/>
        </w:rPr>
      </w:pPr>
      <w:r>
        <w:rPr>
          <w:lang w:eastAsia="en-AU"/>
        </w:rPr>
        <w:t>B</w:t>
      </w:r>
      <w:r w:rsidRPr="00FB6FEE">
        <w:rPr>
          <w:lang w:eastAsia="en-AU"/>
        </w:rPr>
        <w:t>SC</w:t>
      </w:r>
      <w:r w:rsidR="00246D05">
        <w:rPr>
          <w:lang w:eastAsia="en-AU"/>
        </w:rPr>
        <w:t xml:space="preserve"> =</w:t>
      </w:r>
      <w:r w:rsidRPr="00FB6FEE">
        <w:rPr>
          <w:lang w:eastAsia="en-AU"/>
        </w:rPr>
        <w:t xml:space="preserve"> best supportive care; CRC</w:t>
      </w:r>
      <w:r w:rsidR="00246D05">
        <w:rPr>
          <w:lang w:eastAsia="en-AU"/>
        </w:rPr>
        <w:t xml:space="preserve"> =</w:t>
      </w:r>
      <w:r w:rsidR="00246D05" w:rsidRPr="00FB6FEE">
        <w:rPr>
          <w:lang w:eastAsia="en-AU"/>
        </w:rPr>
        <w:t xml:space="preserve"> </w:t>
      </w:r>
      <w:r w:rsidRPr="00FB6FEE">
        <w:rPr>
          <w:lang w:eastAsia="en-AU"/>
        </w:rPr>
        <w:t>colorectal cancer; ECOG</w:t>
      </w:r>
      <w:r w:rsidR="00246D05">
        <w:rPr>
          <w:lang w:eastAsia="en-AU"/>
        </w:rPr>
        <w:t xml:space="preserve"> =</w:t>
      </w:r>
      <w:r w:rsidR="00246D05" w:rsidRPr="00FB6FEE">
        <w:rPr>
          <w:lang w:eastAsia="en-AU"/>
        </w:rPr>
        <w:t xml:space="preserve"> </w:t>
      </w:r>
      <w:r w:rsidRPr="00FB6FEE">
        <w:rPr>
          <w:lang w:eastAsia="en-AU"/>
        </w:rPr>
        <w:t>Eastern Cooperative Oncology Group; ePAS</w:t>
      </w:r>
      <w:r w:rsidR="00246D05">
        <w:rPr>
          <w:lang w:eastAsia="en-AU"/>
        </w:rPr>
        <w:t xml:space="preserve"> =</w:t>
      </w:r>
      <w:r w:rsidR="00246D05" w:rsidRPr="00FB6FEE">
        <w:rPr>
          <w:lang w:eastAsia="en-AU"/>
        </w:rPr>
        <w:t xml:space="preserve"> </w:t>
      </w:r>
      <w:r w:rsidRPr="00FB6FEE">
        <w:rPr>
          <w:lang w:eastAsia="en-AU"/>
        </w:rPr>
        <w:t>extended primary analysis set; ESC</w:t>
      </w:r>
      <w:r w:rsidR="00AB5906">
        <w:rPr>
          <w:lang w:eastAsia="en-AU"/>
        </w:rPr>
        <w:t>s</w:t>
      </w:r>
      <w:r w:rsidR="00246D05">
        <w:rPr>
          <w:lang w:eastAsia="en-AU"/>
        </w:rPr>
        <w:t xml:space="preserve"> =</w:t>
      </w:r>
      <w:r w:rsidR="00246D05" w:rsidRPr="00FB6FEE">
        <w:rPr>
          <w:lang w:eastAsia="en-AU"/>
        </w:rPr>
        <w:t xml:space="preserve"> </w:t>
      </w:r>
      <w:r w:rsidR="00AB5906">
        <w:rPr>
          <w:lang w:eastAsia="en-AU"/>
        </w:rPr>
        <w:t>E</w:t>
      </w:r>
      <w:r w:rsidRPr="00FB6FEE">
        <w:rPr>
          <w:lang w:eastAsia="en-AU"/>
        </w:rPr>
        <w:t>conomic</w:t>
      </w:r>
      <w:r w:rsidR="00AB5906">
        <w:rPr>
          <w:lang w:eastAsia="en-AU"/>
        </w:rPr>
        <w:t>s and Evaluation</w:t>
      </w:r>
      <w:r w:rsidRPr="00FB6FEE">
        <w:rPr>
          <w:lang w:eastAsia="en-AU"/>
        </w:rPr>
        <w:t xml:space="preserve"> </w:t>
      </w:r>
      <w:r w:rsidR="00AB5906">
        <w:rPr>
          <w:lang w:eastAsia="en-AU"/>
        </w:rPr>
        <w:t>S</w:t>
      </w:r>
      <w:r w:rsidRPr="00FB6FEE">
        <w:rPr>
          <w:lang w:eastAsia="en-AU"/>
        </w:rPr>
        <w:t>ubcommittee</w:t>
      </w:r>
      <w:r w:rsidR="00AB5906">
        <w:rPr>
          <w:lang w:eastAsia="en-AU"/>
        </w:rPr>
        <w:t>s</w:t>
      </w:r>
      <w:r w:rsidRPr="006F1B0E">
        <w:rPr>
          <w:lang w:eastAsia="en-AU"/>
        </w:rPr>
        <w:t xml:space="preserve">; </w:t>
      </w:r>
      <w:r w:rsidRPr="006F1B0E">
        <w:rPr>
          <w:i/>
          <w:iCs/>
          <w:lang w:eastAsia="en-AU"/>
        </w:rPr>
        <w:t>NTRK</w:t>
      </w:r>
      <w:r w:rsidR="00246D05">
        <w:rPr>
          <w:lang w:eastAsia="en-AU"/>
        </w:rPr>
        <w:t xml:space="preserve"> =</w:t>
      </w:r>
      <w:r w:rsidR="00246D05" w:rsidRPr="00FB6FEE">
        <w:rPr>
          <w:lang w:eastAsia="en-AU"/>
        </w:rPr>
        <w:t xml:space="preserve"> </w:t>
      </w:r>
      <w:r w:rsidRPr="00FB6FEE">
        <w:rPr>
          <w:lang w:eastAsia="en-AU"/>
        </w:rPr>
        <w:t>neurotrophic tyrosine receptor kinase; NSCLC</w:t>
      </w:r>
      <w:r w:rsidR="00246D05">
        <w:rPr>
          <w:lang w:eastAsia="en-AU"/>
        </w:rPr>
        <w:t xml:space="preserve"> =</w:t>
      </w:r>
      <w:r w:rsidR="00246D05" w:rsidRPr="00FB6FEE">
        <w:rPr>
          <w:lang w:eastAsia="en-AU"/>
        </w:rPr>
        <w:t xml:space="preserve"> </w:t>
      </w:r>
      <w:r w:rsidRPr="00FB6FEE">
        <w:rPr>
          <w:lang w:eastAsia="en-AU"/>
        </w:rPr>
        <w:t>non-small cell lung cancer; OS</w:t>
      </w:r>
      <w:r w:rsidR="00246D05">
        <w:rPr>
          <w:lang w:eastAsia="en-AU"/>
        </w:rPr>
        <w:t xml:space="preserve"> =</w:t>
      </w:r>
      <w:r w:rsidR="00246D05" w:rsidRPr="00FB6FEE">
        <w:rPr>
          <w:lang w:eastAsia="en-AU"/>
        </w:rPr>
        <w:t xml:space="preserve"> </w:t>
      </w:r>
      <w:r w:rsidRPr="00FB6FEE">
        <w:rPr>
          <w:lang w:eastAsia="en-AU"/>
        </w:rPr>
        <w:t>overall survival; PBAC</w:t>
      </w:r>
      <w:r w:rsidR="00246D05">
        <w:rPr>
          <w:lang w:eastAsia="en-AU"/>
        </w:rPr>
        <w:t xml:space="preserve"> =</w:t>
      </w:r>
      <w:r w:rsidR="00246D05" w:rsidRPr="00FB6FEE">
        <w:rPr>
          <w:lang w:eastAsia="en-AU"/>
        </w:rPr>
        <w:t xml:space="preserve"> </w:t>
      </w:r>
      <w:r w:rsidRPr="00FB6FEE">
        <w:rPr>
          <w:lang w:eastAsia="en-AU"/>
        </w:rPr>
        <w:t>Pharmaceutical Benefits Advisory Committee; PBS</w:t>
      </w:r>
      <w:r w:rsidR="00246D05">
        <w:rPr>
          <w:lang w:eastAsia="en-AU"/>
        </w:rPr>
        <w:t xml:space="preserve"> =</w:t>
      </w:r>
      <w:r w:rsidR="00246D05" w:rsidRPr="00FB6FEE">
        <w:rPr>
          <w:lang w:eastAsia="en-AU"/>
        </w:rPr>
        <w:t xml:space="preserve"> </w:t>
      </w:r>
      <w:r w:rsidRPr="00FB6FEE">
        <w:rPr>
          <w:lang w:eastAsia="en-AU"/>
        </w:rPr>
        <w:t>Pharmaceutical Benefits Scheme; PfP</w:t>
      </w:r>
      <w:r w:rsidR="00246D05">
        <w:rPr>
          <w:lang w:eastAsia="en-AU"/>
        </w:rPr>
        <w:t xml:space="preserve"> =</w:t>
      </w:r>
      <w:r w:rsidR="00246D05" w:rsidRPr="00FB6FEE">
        <w:rPr>
          <w:lang w:eastAsia="en-AU"/>
        </w:rPr>
        <w:t xml:space="preserve"> </w:t>
      </w:r>
      <w:r w:rsidRPr="00FB6FEE">
        <w:rPr>
          <w:lang w:eastAsia="en-AU"/>
        </w:rPr>
        <w:t>pay for performance; PFS</w:t>
      </w:r>
      <w:r w:rsidR="00246D05">
        <w:rPr>
          <w:lang w:eastAsia="en-AU"/>
        </w:rPr>
        <w:t xml:space="preserve"> =</w:t>
      </w:r>
      <w:r w:rsidR="00246D05" w:rsidRPr="00FB6FEE">
        <w:rPr>
          <w:lang w:eastAsia="en-AU"/>
        </w:rPr>
        <w:t xml:space="preserve"> </w:t>
      </w:r>
      <w:r w:rsidRPr="00FB6FEE">
        <w:rPr>
          <w:lang w:eastAsia="en-AU"/>
        </w:rPr>
        <w:t>progression-free survival; PSD</w:t>
      </w:r>
      <w:r w:rsidR="00246D05">
        <w:rPr>
          <w:lang w:eastAsia="en-AU"/>
        </w:rPr>
        <w:t xml:space="preserve"> =</w:t>
      </w:r>
      <w:r w:rsidR="00246D05" w:rsidRPr="00FB6FEE">
        <w:rPr>
          <w:lang w:eastAsia="en-AU"/>
        </w:rPr>
        <w:t xml:space="preserve"> </w:t>
      </w:r>
      <w:r w:rsidRPr="00FB6FEE">
        <w:rPr>
          <w:lang w:eastAsia="en-AU"/>
        </w:rPr>
        <w:t>public summary document; R/R</w:t>
      </w:r>
      <w:r w:rsidR="00246D05">
        <w:rPr>
          <w:lang w:eastAsia="en-AU"/>
        </w:rPr>
        <w:t xml:space="preserve"> =</w:t>
      </w:r>
      <w:r w:rsidR="00246D05" w:rsidRPr="00FB6FEE">
        <w:rPr>
          <w:lang w:eastAsia="en-AU"/>
        </w:rPr>
        <w:t xml:space="preserve"> </w:t>
      </w:r>
      <w:r w:rsidRPr="00FB6FEE">
        <w:rPr>
          <w:lang w:eastAsia="en-AU"/>
        </w:rPr>
        <w:t>relapsed/refractory; RSA</w:t>
      </w:r>
      <w:r w:rsidR="00246D05">
        <w:rPr>
          <w:lang w:eastAsia="en-AU"/>
        </w:rPr>
        <w:t xml:space="preserve"> =</w:t>
      </w:r>
      <w:r w:rsidR="00246D05" w:rsidRPr="00FB6FEE">
        <w:rPr>
          <w:lang w:eastAsia="en-AU"/>
        </w:rPr>
        <w:t xml:space="preserve"> </w:t>
      </w:r>
      <w:r w:rsidRPr="00FB6FEE">
        <w:rPr>
          <w:lang w:eastAsia="en-AU"/>
        </w:rPr>
        <w:t>risk-share arrangement; SAS</w:t>
      </w:r>
      <w:r w:rsidR="00246D05">
        <w:rPr>
          <w:lang w:eastAsia="en-AU"/>
        </w:rPr>
        <w:t xml:space="preserve"> =</w:t>
      </w:r>
      <w:r w:rsidR="00246D05" w:rsidRPr="00FB6FEE">
        <w:rPr>
          <w:lang w:eastAsia="en-AU"/>
        </w:rPr>
        <w:t xml:space="preserve"> </w:t>
      </w:r>
      <w:r w:rsidRPr="00FB6FEE">
        <w:rPr>
          <w:lang w:eastAsia="en-AU"/>
        </w:rPr>
        <w:t>supplemental analysis set; SoC</w:t>
      </w:r>
      <w:r w:rsidR="00246D05">
        <w:rPr>
          <w:lang w:eastAsia="en-AU"/>
        </w:rPr>
        <w:t xml:space="preserve"> =</w:t>
      </w:r>
      <w:r w:rsidR="00246D05" w:rsidRPr="00FB6FEE">
        <w:rPr>
          <w:lang w:eastAsia="en-AU"/>
        </w:rPr>
        <w:t xml:space="preserve"> </w:t>
      </w:r>
      <w:r w:rsidRPr="00FB6FEE">
        <w:rPr>
          <w:lang w:eastAsia="en-AU"/>
        </w:rPr>
        <w:t>standard of care; SPA</w:t>
      </w:r>
      <w:r w:rsidR="00246D05">
        <w:rPr>
          <w:lang w:eastAsia="en-AU"/>
        </w:rPr>
        <w:t xml:space="preserve"> =</w:t>
      </w:r>
      <w:r w:rsidR="00246D05" w:rsidRPr="00FB6FEE">
        <w:rPr>
          <w:lang w:eastAsia="en-AU"/>
        </w:rPr>
        <w:t xml:space="preserve"> </w:t>
      </w:r>
      <w:r w:rsidRPr="00FB6FEE">
        <w:rPr>
          <w:lang w:eastAsia="en-AU"/>
        </w:rPr>
        <w:t>special pricing arrangement; STS</w:t>
      </w:r>
      <w:r w:rsidR="00246D05">
        <w:rPr>
          <w:lang w:eastAsia="en-AU"/>
        </w:rPr>
        <w:t xml:space="preserve"> =</w:t>
      </w:r>
      <w:r w:rsidR="00246D05" w:rsidRPr="00FB6FEE">
        <w:rPr>
          <w:lang w:eastAsia="en-AU"/>
        </w:rPr>
        <w:t xml:space="preserve"> </w:t>
      </w:r>
      <w:r w:rsidRPr="00FB6FEE">
        <w:rPr>
          <w:lang w:eastAsia="en-AU"/>
        </w:rPr>
        <w:t>soft tissue sarcoma; ToT</w:t>
      </w:r>
      <w:r w:rsidR="00246D05">
        <w:rPr>
          <w:lang w:eastAsia="en-AU"/>
        </w:rPr>
        <w:t xml:space="preserve"> =</w:t>
      </w:r>
      <w:r w:rsidR="00246D05" w:rsidRPr="00FB6FEE">
        <w:rPr>
          <w:lang w:eastAsia="en-AU"/>
        </w:rPr>
        <w:t xml:space="preserve"> </w:t>
      </w:r>
      <w:r w:rsidRPr="00FB6FEE">
        <w:rPr>
          <w:lang w:eastAsia="en-AU"/>
        </w:rPr>
        <w:t>time on treatment; WHO</w:t>
      </w:r>
      <w:r w:rsidR="00246D05">
        <w:rPr>
          <w:lang w:eastAsia="en-AU"/>
        </w:rPr>
        <w:t xml:space="preserve"> =</w:t>
      </w:r>
      <w:r w:rsidR="00246D05" w:rsidRPr="00FB6FEE">
        <w:rPr>
          <w:lang w:eastAsia="en-AU"/>
        </w:rPr>
        <w:t xml:space="preserve"> </w:t>
      </w:r>
      <w:r w:rsidRPr="00FB6FEE">
        <w:rPr>
          <w:lang w:eastAsia="en-AU"/>
        </w:rPr>
        <w:t>World Health Organization</w:t>
      </w:r>
    </w:p>
    <w:p w:rsidR="00D117CD" w:rsidRPr="00D117CD" w:rsidRDefault="00D117CD" w:rsidP="00D117CD">
      <w:pPr>
        <w:rPr>
          <w:i/>
          <w:iCs/>
        </w:rPr>
      </w:pPr>
      <w:r>
        <w:tab/>
      </w:r>
      <w:r w:rsidRPr="00D117CD">
        <w:rPr>
          <w:i/>
          <w:iCs/>
        </w:rPr>
        <w:t>For more detail on PBAC’s decision, see section 7 PBAC outcome</w:t>
      </w:r>
      <w:r>
        <w:rPr>
          <w:i/>
          <w:iCs/>
        </w:rPr>
        <w:t>.</w:t>
      </w:r>
    </w:p>
    <w:p w:rsidR="008D7BF5" w:rsidRPr="00F3195B" w:rsidRDefault="008D7BF5" w:rsidP="0009334C">
      <w:pPr>
        <w:pStyle w:val="PBACESHeading1"/>
        <w:rPr>
          <w:rFonts w:asciiTheme="minorHAnsi" w:hAnsiTheme="minorHAnsi" w:cstheme="minorHAnsi"/>
          <w:sz w:val="32"/>
          <w:szCs w:val="40"/>
        </w:rPr>
      </w:pPr>
      <w:bookmarkStart w:id="19" w:name="_Toc82597074"/>
      <w:r w:rsidRPr="00F3195B">
        <w:rPr>
          <w:rFonts w:asciiTheme="minorHAnsi" w:hAnsiTheme="minorHAnsi" w:cstheme="minorHAnsi"/>
          <w:sz w:val="32"/>
          <w:szCs w:val="40"/>
        </w:rPr>
        <w:t>Population and disease</w:t>
      </w:r>
      <w:bookmarkEnd w:id="16"/>
      <w:bookmarkEnd w:id="19"/>
    </w:p>
    <w:p w:rsidR="00D744A5" w:rsidRPr="006F058B" w:rsidRDefault="00D744A5" w:rsidP="00D744A5">
      <w:pPr>
        <w:pStyle w:val="ListParagraph"/>
        <w:ind w:left="709"/>
      </w:pPr>
      <w:r w:rsidRPr="00623261">
        <w:rPr>
          <w:i/>
        </w:rPr>
        <w:t>NTRK</w:t>
      </w:r>
      <w:r w:rsidRPr="00CA086E">
        <w:t xml:space="preserve"> gene fusions occur in &lt;5% of most solid tumour types, both common (such as lung cancer, breast cancer, melanoma, prostate cancer and CRC) and less common (thyroid cancer, pancreatic cancer, bone carcinomas and hepatic cancer). CNS </w:t>
      </w:r>
      <w:r w:rsidR="008B11EC">
        <w:t xml:space="preserve">tumours </w:t>
      </w:r>
      <w:r w:rsidRPr="00CA086E">
        <w:t xml:space="preserve">(mainly brain tumours) account for the largest number of cancer deaths for children in Australia with the frequency of </w:t>
      </w:r>
      <w:r w:rsidRPr="00623261">
        <w:rPr>
          <w:i/>
        </w:rPr>
        <w:t>NTRK</w:t>
      </w:r>
      <w:r w:rsidRPr="00CA086E">
        <w:t xml:space="preserve"> fusions in CNS/glioma tumours being estimated at 2.2%. However, in some rare solid tumour types, such as MASC, SBC, infantile fibrosarcoma (IFS) and congenital mesoblastic nephroma (CMN), </w:t>
      </w:r>
      <w:r w:rsidRPr="00CA086E">
        <w:rPr>
          <w:i/>
        </w:rPr>
        <w:t>NTRK</w:t>
      </w:r>
      <w:r w:rsidRPr="00CA086E">
        <w:t xml:space="preserve"> gene fusions are found at </w:t>
      </w:r>
      <w:r w:rsidRPr="006F058B">
        <w:t>frequencies above 75%</w:t>
      </w:r>
      <w:r w:rsidRPr="006F058B">
        <w:rPr>
          <w:rStyle w:val="FootnoteReference"/>
        </w:rPr>
        <w:footnoteReference w:id="5"/>
      </w:r>
      <w:r w:rsidRPr="006F058B">
        <w:t>.</w:t>
      </w:r>
    </w:p>
    <w:p w:rsidR="001F3C55" w:rsidRPr="001F3C55" w:rsidRDefault="001F3C55" w:rsidP="001F3C55">
      <w:pPr>
        <w:pStyle w:val="ListParagraph"/>
      </w:pPr>
      <w:r w:rsidRPr="001F3C55">
        <w:t xml:space="preserve">Consistent with the previous submission and the PICO Advisory Sub-Committee (PASC) recommendations, four subpopulations based on age (adult and paediatric patients) and </w:t>
      </w:r>
      <w:r w:rsidRPr="006B71B1">
        <w:rPr>
          <w:i/>
        </w:rPr>
        <w:t>NTRK</w:t>
      </w:r>
      <w:r w:rsidRPr="001F3C55">
        <w:t xml:space="preserve"> fusion frequency were proposed in the resubmission.</w:t>
      </w:r>
    </w:p>
    <w:p w:rsidR="002A08C0" w:rsidRDefault="00D744A5" w:rsidP="00D744A5">
      <w:pPr>
        <w:pStyle w:val="ListParagraph"/>
      </w:pPr>
      <w:r w:rsidRPr="006F058B">
        <w:rPr>
          <w:b/>
        </w:rPr>
        <w:t xml:space="preserve">Paediatric high-frequency </w:t>
      </w:r>
      <w:r w:rsidRPr="006F058B">
        <w:rPr>
          <w:b/>
          <w:i/>
        </w:rPr>
        <w:t>NTRK</w:t>
      </w:r>
      <w:r w:rsidRPr="006F058B">
        <w:rPr>
          <w:b/>
        </w:rPr>
        <w:t xml:space="preserve"> fusions</w:t>
      </w:r>
      <w:r>
        <w:rPr>
          <w:b/>
        </w:rPr>
        <w:t xml:space="preserve"> (no treatment line specified)</w:t>
      </w:r>
      <w:r w:rsidRPr="006F058B">
        <w:rPr>
          <w:b/>
        </w:rPr>
        <w:t>:</w:t>
      </w:r>
      <w:r w:rsidRPr="006F058B">
        <w:t xml:space="preserve"> Based on the most recent data </w:t>
      </w:r>
      <w:r w:rsidR="006D66BE" w:rsidRPr="006F058B">
        <w:t>cut-off</w:t>
      </w:r>
      <w:r w:rsidRPr="006F058B">
        <w:t xml:space="preserve"> of July 2020, there were </w:t>
      </w:r>
      <w:r w:rsidR="00543577">
        <w:t>62</w:t>
      </w:r>
      <w:r w:rsidRPr="006F058B">
        <w:t xml:space="preserve"> IFS</w:t>
      </w:r>
      <w:r w:rsidR="00543577">
        <w:t xml:space="preserve"> and STS </w:t>
      </w:r>
      <w:r w:rsidRPr="006F058B">
        <w:t xml:space="preserve">patients </w:t>
      </w:r>
      <w:r w:rsidR="00543577">
        <w:t>(patient numbers were not provided separately</w:t>
      </w:r>
      <w:r w:rsidR="00F06665">
        <w:t xml:space="preserve"> for IFS and STS</w:t>
      </w:r>
      <w:r w:rsidR="00543577">
        <w:t>) included from the larotrectinib studies</w:t>
      </w:r>
      <w:r w:rsidRPr="006F058B">
        <w:t>. As no SoC data were identified for IFS in both the previous and current submissions, for the indirect comparison, paediatric IFS and STS patients were combined in the larotrectinib arm and compared with historical So</w:t>
      </w:r>
      <w:r w:rsidR="002A08C0">
        <w:t>C data for non-IFS STS tumours.</w:t>
      </w:r>
    </w:p>
    <w:p w:rsidR="00620607" w:rsidRPr="00620607" w:rsidRDefault="00D744A5" w:rsidP="006B5681">
      <w:pPr>
        <w:pStyle w:val="ListParagraph"/>
        <w:ind w:left="709"/>
        <w:rPr>
          <w:color w:val="auto"/>
        </w:rPr>
      </w:pPr>
      <w:r>
        <w:t>The resubmission recognised</w:t>
      </w:r>
      <w:r w:rsidRPr="006F058B">
        <w:t xml:space="preserve"> that the prevalence of the </w:t>
      </w:r>
      <w:r w:rsidRPr="006B71B1">
        <w:rPr>
          <w:i/>
        </w:rPr>
        <w:t>NTRK</w:t>
      </w:r>
      <w:r w:rsidRPr="006F058B">
        <w:t xml:space="preserve"> fusion oncogenic drive</w:t>
      </w:r>
      <w:r>
        <w:t xml:space="preserve">r mutations </w:t>
      </w:r>
      <w:r w:rsidR="00543577">
        <w:t xml:space="preserve">in STS </w:t>
      </w:r>
      <w:r>
        <w:t xml:space="preserve">is likely to be low. </w:t>
      </w:r>
      <w:r w:rsidRPr="0002488A">
        <w:rPr>
          <w:iCs/>
        </w:rPr>
        <w:t xml:space="preserve">The PBAC </w:t>
      </w:r>
      <w:r w:rsidR="005E2F26" w:rsidRPr="0002488A">
        <w:rPr>
          <w:iCs/>
        </w:rPr>
        <w:t xml:space="preserve">previously </w:t>
      </w:r>
      <w:r w:rsidRPr="0002488A">
        <w:rPr>
          <w:iCs/>
        </w:rPr>
        <w:t xml:space="preserve">noted that </w:t>
      </w:r>
      <w:r w:rsidR="002D5993" w:rsidRPr="0002488A">
        <w:rPr>
          <w:iCs/>
        </w:rPr>
        <w:t>i</w:t>
      </w:r>
      <w:r w:rsidRPr="0002488A">
        <w:rPr>
          <w:iCs/>
        </w:rPr>
        <w:t xml:space="preserve">) it was not possible to exclude the paediatric STS data from the analysis of the paediatric high frequency </w:t>
      </w:r>
      <w:r w:rsidRPr="0002488A">
        <w:rPr>
          <w:i/>
        </w:rPr>
        <w:t>NTRK</w:t>
      </w:r>
      <w:r w:rsidRPr="0002488A">
        <w:rPr>
          <w:iCs/>
        </w:rPr>
        <w:t xml:space="preserve"> fusion subpopulation based on the available data , and </w:t>
      </w:r>
      <w:r w:rsidR="002D5993" w:rsidRPr="0002488A">
        <w:rPr>
          <w:iCs/>
        </w:rPr>
        <w:t>ii</w:t>
      </w:r>
      <w:r w:rsidRPr="0002488A">
        <w:rPr>
          <w:iCs/>
        </w:rPr>
        <w:t>) excluding STS from the analysis of the high frequency paediatric population was not possible as the Kaplan-Meier data included in the submission combined both paediatric STS with the IFS patients, and so the individual patient level data would be required to generate the new Kaplan-Meier curves (which would then require extrapolation).</w:t>
      </w:r>
    </w:p>
    <w:p w:rsidR="00D744A5" w:rsidRPr="006C26BA" w:rsidRDefault="00D744A5" w:rsidP="006B5681">
      <w:pPr>
        <w:pStyle w:val="ListParagraph"/>
        <w:ind w:left="709"/>
        <w:rPr>
          <w:color w:val="auto"/>
        </w:rPr>
      </w:pPr>
      <w:r w:rsidRPr="006C26BA">
        <w:rPr>
          <w:b/>
        </w:rPr>
        <w:t>Adult</w:t>
      </w:r>
      <w:r w:rsidRPr="006C26BA">
        <w:t xml:space="preserve"> </w:t>
      </w:r>
      <w:r w:rsidRPr="006C26BA">
        <w:rPr>
          <w:b/>
        </w:rPr>
        <w:t>high-frequency</w:t>
      </w:r>
      <w:r w:rsidRPr="006C26BA">
        <w:t xml:space="preserve"> </w:t>
      </w:r>
      <w:r w:rsidRPr="006C26BA">
        <w:rPr>
          <w:b/>
          <w:i/>
        </w:rPr>
        <w:t>NTRK</w:t>
      </w:r>
      <w:r w:rsidRPr="006C26BA">
        <w:t xml:space="preserve"> </w:t>
      </w:r>
      <w:r w:rsidRPr="006C26BA">
        <w:rPr>
          <w:b/>
        </w:rPr>
        <w:t>fusions</w:t>
      </w:r>
      <w:r>
        <w:rPr>
          <w:b/>
        </w:rPr>
        <w:t xml:space="preserve"> (no treatment line specified)</w:t>
      </w:r>
      <w:r w:rsidRPr="006C26BA">
        <w:rPr>
          <w:b/>
        </w:rPr>
        <w:t>:</w:t>
      </w:r>
      <w:r w:rsidRPr="006C26BA">
        <w:t xml:space="preserve"> The representative tumour type for this subpopulation remains MASC </w:t>
      </w:r>
      <w:r w:rsidR="002E6750">
        <w:t xml:space="preserve">(a type of salivary gland tumour) </w:t>
      </w:r>
      <w:r w:rsidRPr="006C26BA">
        <w:t>as in the previous submission</w:t>
      </w:r>
      <w:r w:rsidR="007A40DF">
        <w:t>.</w:t>
      </w:r>
      <w:r w:rsidR="000E52DB">
        <w:t xml:space="preserve"> A total of</w:t>
      </w:r>
      <w:r w:rsidRPr="006C26BA">
        <w:t xml:space="preserve"> 23 patients with MASC were used from the larotrectinib studies in the indirect comparison.</w:t>
      </w:r>
      <w:r w:rsidR="002E6750" w:rsidRPr="002E6750">
        <w:t xml:space="preserve"> </w:t>
      </w:r>
      <w:r w:rsidR="002E6750" w:rsidRPr="006C26BA">
        <w:t>Two tumour types were specified in the requested restriction of the resubmission: salivary gland</w:t>
      </w:r>
      <w:r w:rsidR="00660EA0">
        <w:t xml:space="preserve"> </w:t>
      </w:r>
      <w:r w:rsidR="00660EA0" w:rsidRPr="00620607">
        <w:t>(amended to MASC in the PSCR</w:t>
      </w:r>
      <w:r w:rsidR="00660EA0" w:rsidRPr="00660EA0">
        <w:rPr>
          <w:i/>
        </w:rPr>
        <w:t>)</w:t>
      </w:r>
      <w:r w:rsidR="002E6750" w:rsidRPr="006C26BA">
        <w:t xml:space="preserve"> and SBC tumours.</w:t>
      </w:r>
    </w:p>
    <w:p w:rsidR="00D744A5" w:rsidRPr="00C24769" w:rsidRDefault="00D744A5" w:rsidP="00D744A5">
      <w:pPr>
        <w:pStyle w:val="ListParagraph"/>
        <w:ind w:left="709"/>
      </w:pPr>
      <w:r w:rsidRPr="006C26BA">
        <w:rPr>
          <w:b/>
        </w:rPr>
        <w:t xml:space="preserve">Paediatric low frequency </w:t>
      </w:r>
      <w:r w:rsidRPr="006C26BA">
        <w:rPr>
          <w:b/>
          <w:i/>
        </w:rPr>
        <w:t>NTRK</w:t>
      </w:r>
      <w:r w:rsidRPr="006C26BA">
        <w:rPr>
          <w:b/>
        </w:rPr>
        <w:t xml:space="preserve"> fusions</w:t>
      </w:r>
      <w:r>
        <w:rPr>
          <w:b/>
        </w:rPr>
        <w:t xml:space="preserve"> (no treatment line specified)</w:t>
      </w:r>
      <w:r w:rsidRPr="006C26BA">
        <w:rPr>
          <w:b/>
        </w:rPr>
        <w:t>:</w:t>
      </w:r>
      <w:r w:rsidRPr="006C26BA">
        <w:t xml:space="preserve"> As in the previous submission, the representative tumour type for this subpopulation is primary central nervous system (CNS)</w:t>
      </w:r>
      <w:r w:rsidR="002E6750">
        <w:t xml:space="preserve"> tumours</w:t>
      </w:r>
      <w:r w:rsidRPr="006C26BA">
        <w:t xml:space="preserve">/glioma. </w:t>
      </w:r>
      <w:r w:rsidR="002E6750">
        <w:t xml:space="preserve">A total of </w:t>
      </w:r>
      <w:r w:rsidRPr="006C26BA">
        <w:t xml:space="preserve">26 patients with a primary CNS tumour were used from the larotrectinib </w:t>
      </w:r>
      <w:r w:rsidRPr="00C24769">
        <w:t>studies in the indirect comparison. Of these, the most commonly diagnosed tumour subtype was glioblastoma multiforme (GBM), which is a grade IV tumour</w:t>
      </w:r>
      <w:r w:rsidRPr="00C24769">
        <w:rPr>
          <w:color w:val="0070C0"/>
        </w:rPr>
        <w:t>.</w:t>
      </w:r>
    </w:p>
    <w:p w:rsidR="00032738" w:rsidRDefault="00D744A5" w:rsidP="00C90E71">
      <w:pPr>
        <w:pStyle w:val="ListParagraph"/>
        <w:ind w:left="709"/>
      </w:pPr>
      <w:r w:rsidRPr="00C24769">
        <w:rPr>
          <w:b/>
        </w:rPr>
        <w:t xml:space="preserve">Adult low-frequency </w:t>
      </w:r>
      <w:r w:rsidRPr="00C24769">
        <w:rPr>
          <w:b/>
          <w:i/>
        </w:rPr>
        <w:t>NTRK</w:t>
      </w:r>
      <w:r w:rsidRPr="00C24769">
        <w:rPr>
          <w:b/>
        </w:rPr>
        <w:t xml:space="preserve"> fusions</w:t>
      </w:r>
      <w:r>
        <w:rPr>
          <w:b/>
        </w:rPr>
        <w:t xml:space="preserve"> (refractory line specified)</w:t>
      </w:r>
      <w:r w:rsidRPr="00C24769">
        <w:rPr>
          <w:b/>
        </w:rPr>
        <w:t>:</w:t>
      </w:r>
      <w:r w:rsidRPr="00C24769">
        <w:t xml:space="preserve"> The </w:t>
      </w:r>
      <w:r w:rsidR="006B71B1">
        <w:t>re</w:t>
      </w:r>
      <w:r w:rsidRPr="00C24769">
        <w:t>submission specified four tumour types in the requested restriction</w:t>
      </w:r>
      <w:r w:rsidR="001C3679">
        <w:t xml:space="preserve">: </w:t>
      </w:r>
      <w:bookmarkStart w:id="20" w:name="_Hlk89353905"/>
      <w:r w:rsidR="001C3679">
        <w:t>adult STS; CRC; thyr</w:t>
      </w:r>
      <w:r w:rsidR="002E6750">
        <w:t>o</w:t>
      </w:r>
      <w:r w:rsidR="007A40DF">
        <w:t xml:space="preserve">id cancer, </w:t>
      </w:r>
      <w:r w:rsidR="001C3679">
        <w:t>and NSCLC</w:t>
      </w:r>
      <w:r w:rsidRPr="00C24769">
        <w:t>.</w:t>
      </w:r>
      <w:bookmarkEnd w:id="20"/>
      <w:r w:rsidRPr="00C24769">
        <w:t xml:space="preserve"> Indirect comparisons were conducted for each of these tumour</w:t>
      </w:r>
      <w:r w:rsidR="007B73DB">
        <w:t xml:space="preserve"> types</w:t>
      </w:r>
      <w:r w:rsidRPr="00C24769">
        <w:t xml:space="preserve">. The </w:t>
      </w:r>
      <w:r w:rsidR="001C3679">
        <w:t>re</w:t>
      </w:r>
      <w:r w:rsidRPr="00C24769">
        <w:t xml:space="preserve">submission noted that </w:t>
      </w:r>
      <w:r w:rsidRPr="006B71B1">
        <w:rPr>
          <w:i/>
        </w:rPr>
        <w:t>NTRK</w:t>
      </w:r>
      <w:r w:rsidRPr="00C24769">
        <w:t xml:space="preserve"> fusions have been extensively characterised in CRC and it is likely that </w:t>
      </w:r>
      <w:r w:rsidRPr="006B71B1">
        <w:rPr>
          <w:i/>
        </w:rPr>
        <w:t>NTRK</w:t>
      </w:r>
      <w:r w:rsidRPr="00C24769">
        <w:t xml:space="preserve"> fusion testing may be more prevalent in this cancer typ</w:t>
      </w:r>
      <w:r w:rsidRPr="00032738">
        <w:rPr>
          <w:color w:val="auto"/>
        </w:rPr>
        <w:t>e.</w:t>
      </w:r>
      <w:r w:rsidR="00404499" w:rsidRPr="00032738" w:rsidDel="00404499">
        <w:t xml:space="preserve"> </w:t>
      </w:r>
      <w:bookmarkStart w:id="21" w:name="_Hlk84500039"/>
      <w:r w:rsidR="00BB3DD1">
        <w:t>Table</w:t>
      </w:r>
      <w:r w:rsidR="00E37EC3">
        <w:t xml:space="preserve"> </w:t>
      </w:r>
      <w:r w:rsidR="00BB3DD1">
        <w:rPr>
          <w:noProof/>
        </w:rPr>
        <w:t>4</w:t>
      </w:r>
      <w:bookmarkEnd w:id="21"/>
      <w:r w:rsidR="00BB3DD1">
        <w:t xml:space="preserve"> </w:t>
      </w:r>
      <w:r w:rsidR="00032738" w:rsidRPr="00032738">
        <w:t>reports the proportion of patients with diverse solid tumours that were treated with larotrectinib and had a response. The response rate varied from 37.5-86.7% in the four tumour types proposed for PBS listing.</w:t>
      </w:r>
    </w:p>
    <w:p w:rsidR="009105DC" w:rsidRDefault="00BB3DD1" w:rsidP="00D117CD">
      <w:pPr>
        <w:pStyle w:val="Caption"/>
        <w:ind w:left="0" w:firstLine="0"/>
      </w:pPr>
      <w:bookmarkStart w:id="22" w:name="_Ref83211174"/>
      <w:bookmarkStart w:id="23" w:name="Table4"/>
      <w:r>
        <w:t>Table</w:t>
      </w:r>
      <w:r w:rsidR="00E37EC3">
        <w:t xml:space="preserve"> </w:t>
      </w:r>
      <w:r>
        <w:rPr>
          <w:noProof/>
        </w:rPr>
        <w:t>4</w:t>
      </w:r>
      <w:bookmarkEnd w:id="22"/>
      <w:r w:rsidR="00E37EC3">
        <w:rPr>
          <w:noProof/>
        </w:rPr>
        <w:t>:</w:t>
      </w:r>
      <w:r w:rsidR="00D117CD">
        <w:rPr>
          <w:noProof/>
        </w:rPr>
        <w:t xml:space="preserve"> </w:t>
      </w:r>
      <w:r w:rsidR="009105DC" w:rsidRPr="006C2F34">
        <w:rPr>
          <w:noProof/>
        </w:rPr>
        <w:t xml:space="preserve">Summary of larotrectinib efficacy, based on tumour types </w:t>
      </w:r>
      <w:r w:rsidR="009105DC">
        <w:rPr>
          <w:noProof/>
        </w:rPr>
        <w:t>by</w:t>
      </w:r>
      <w:r w:rsidR="009105DC" w:rsidRPr="006C2F34">
        <w:rPr>
          <w:noProof/>
        </w:rPr>
        <w:t xml:space="preserve"> primary diagnosis</w:t>
      </w:r>
      <w:r w:rsidR="009105DC">
        <w:rPr>
          <w:noProof/>
        </w:rPr>
        <w:t>,</w:t>
      </w:r>
      <w:r w:rsidR="009105DC" w:rsidRPr="006C2F34">
        <w:rPr>
          <w:noProof/>
        </w:rPr>
        <w:t xml:space="preserve"> in the adult low </w:t>
      </w:r>
      <w:r w:rsidR="009105DC" w:rsidRPr="00BB3DD1">
        <w:rPr>
          <w:noProof/>
        </w:rPr>
        <w:t>NTRK</w:t>
      </w:r>
      <w:r w:rsidR="009105DC" w:rsidRPr="006C2F34">
        <w:rPr>
          <w:noProof/>
        </w:rPr>
        <w:t xml:space="preserve"> fusion frequency sub</w:t>
      </w:r>
      <w:r w:rsidR="009105DC">
        <w:rPr>
          <w:noProof/>
        </w:rPr>
        <w:t>group</w:t>
      </w:r>
    </w:p>
    <w:tbl>
      <w:tblPr>
        <w:tblStyle w:val="HTATableshaded"/>
        <w:tblW w:w="5000" w:type="pct"/>
        <w:tblLook w:val="04A0" w:firstRow="1" w:lastRow="0" w:firstColumn="1" w:lastColumn="0" w:noHBand="0" w:noVBand="1"/>
        <w:tblCaption w:val="Table 4: Summary of larotrectinib efficacy, based on tumour types by primary diagnosis, in the adult low NTRK fusion frequency subgroup"/>
      </w:tblPr>
      <w:tblGrid>
        <w:gridCol w:w="2405"/>
        <w:gridCol w:w="1558"/>
        <w:gridCol w:w="3477"/>
        <w:gridCol w:w="1576"/>
      </w:tblGrid>
      <w:tr w:rsidR="009105DC" w:rsidRPr="00E512E2" w:rsidTr="003B6B2C">
        <w:trPr>
          <w:cnfStyle w:val="100000000000" w:firstRow="1" w:lastRow="0" w:firstColumn="0" w:lastColumn="0" w:oddVBand="0" w:evenVBand="0" w:oddHBand="0" w:evenHBand="0" w:firstRowFirstColumn="0" w:firstRowLastColumn="0" w:lastRowFirstColumn="0" w:lastRowLastColumn="0"/>
          <w:trHeight w:val="818"/>
          <w:tblHeader/>
        </w:trPr>
        <w:tc>
          <w:tcPr>
            <w:tcW w:w="1334" w:type="pct"/>
          </w:tcPr>
          <w:p w:rsidR="009105DC" w:rsidRPr="00277CF4" w:rsidRDefault="009105DC" w:rsidP="00203ACF">
            <w:pPr>
              <w:pStyle w:val="TableText"/>
              <w:keepNext/>
              <w:keepLines/>
              <w:rPr>
                <w:b/>
              </w:rPr>
            </w:pPr>
            <w:r w:rsidRPr="00277CF4">
              <w:rPr>
                <w:b/>
              </w:rPr>
              <w:t xml:space="preserve">Adult low </w:t>
            </w:r>
            <w:r w:rsidRPr="00277CF4">
              <w:rPr>
                <w:b/>
                <w:i/>
                <w:iCs/>
              </w:rPr>
              <w:t>NTRK</w:t>
            </w:r>
            <w:r w:rsidRPr="00277CF4">
              <w:rPr>
                <w:b/>
              </w:rPr>
              <w:t xml:space="preserve"> frequency tumour assessed in </w:t>
            </w:r>
            <w:r>
              <w:rPr>
                <w:b/>
              </w:rPr>
              <w:t xml:space="preserve">the </w:t>
            </w:r>
            <w:r w:rsidRPr="00277CF4">
              <w:rPr>
                <w:b/>
              </w:rPr>
              <w:t xml:space="preserve">larotrectinib </w:t>
            </w:r>
            <w:r>
              <w:rPr>
                <w:b/>
              </w:rPr>
              <w:t>studies</w:t>
            </w:r>
          </w:p>
        </w:tc>
        <w:tc>
          <w:tcPr>
            <w:tcW w:w="864" w:type="pct"/>
          </w:tcPr>
          <w:p w:rsidR="009105DC" w:rsidRPr="00277CF4" w:rsidRDefault="009105DC" w:rsidP="004E3033">
            <w:pPr>
              <w:pStyle w:val="TableText"/>
              <w:keepNext/>
              <w:keepLines/>
              <w:jc w:val="center"/>
              <w:rPr>
                <w:b/>
              </w:rPr>
            </w:pPr>
            <w:r w:rsidRPr="00277CF4">
              <w:rPr>
                <w:b/>
                <w:i/>
                <w:iCs/>
              </w:rPr>
              <w:t>NTRK</w:t>
            </w:r>
            <w:r w:rsidRPr="00277CF4">
              <w:rPr>
                <w:b/>
              </w:rPr>
              <w:t xml:space="preserve"> frequency (epidemiology)</w:t>
            </w:r>
          </w:p>
        </w:tc>
        <w:tc>
          <w:tcPr>
            <w:tcW w:w="1928" w:type="pct"/>
          </w:tcPr>
          <w:p w:rsidR="009105DC" w:rsidRPr="00277CF4" w:rsidRDefault="009105DC" w:rsidP="004E3033">
            <w:pPr>
              <w:pStyle w:val="TableText"/>
              <w:keepNext/>
              <w:keepLines/>
              <w:jc w:val="center"/>
              <w:rPr>
                <w:b/>
                <w:iCs/>
              </w:rPr>
            </w:pPr>
            <w:r w:rsidRPr="00277CF4">
              <w:rPr>
                <w:b/>
                <w:iCs/>
              </w:rPr>
              <w:t>Number of patients within adult low frequency subpopulation in pooled trial analysis set (ePAS5+SAS3</w:t>
            </w:r>
            <w:r>
              <w:rPr>
                <w:b/>
                <w:iCs/>
              </w:rPr>
              <w:t xml:space="preserve"> New</w:t>
            </w:r>
            <w:r w:rsidRPr="00277CF4">
              <w:rPr>
                <w:b/>
                <w:iCs/>
              </w:rPr>
              <w:t xml:space="preserve">, </w:t>
            </w:r>
            <w:r>
              <w:rPr>
                <w:b/>
                <w:iCs/>
              </w:rPr>
              <w:t>N</w:t>
            </w:r>
            <w:r w:rsidRPr="00277CF4">
              <w:rPr>
                <w:b/>
                <w:iCs/>
              </w:rPr>
              <w:t>)</w:t>
            </w:r>
            <w:r w:rsidR="004E3033">
              <w:rPr>
                <w:b/>
                <w:iCs/>
              </w:rPr>
              <w:br/>
            </w:r>
            <w:r>
              <w:rPr>
                <w:b/>
                <w:iCs/>
              </w:rPr>
              <w:t xml:space="preserve">Most recent data </w:t>
            </w:r>
            <w:r w:rsidR="006D66BE">
              <w:rPr>
                <w:b/>
                <w:iCs/>
              </w:rPr>
              <w:t>cut-off</w:t>
            </w:r>
            <w:r>
              <w:rPr>
                <w:b/>
                <w:iCs/>
              </w:rPr>
              <w:t xml:space="preserve"> July 2020</w:t>
            </w:r>
          </w:p>
        </w:tc>
        <w:tc>
          <w:tcPr>
            <w:tcW w:w="874" w:type="pct"/>
          </w:tcPr>
          <w:p w:rsidR="009105DC" w:rsidRPr="00277CF4" w:rsidRDefault="009105DC" w:rsidP="004E3033">
            <w:pPr>
              <w:pStyle w:val="TableText"/>
              <w:keepNext/>
              <w:keepLines/>
              <w:jc w:val="center"/>
              <w:rPr>
                <w:b/>
                <w:iCs/>
              </w:rPr>
            </w:pPr>
            <w:r w:rsidRPr="00277CF4">
              <w:rPr>
                <w:b/>
                <w:iCs/>
              </w:rPr>
              <w:t xml:space="preserve">Overall </w:t>
            </w:r>
            <w:r w:rsidR="004E3033" w:rsidRPr="00277CF4">
              <w:rPr>
                <w:b/>
                <w:iCs/>
              </w:rPr>
              <w:t>response r</w:t>
            </w:r>
            <w:r w:rsidRPr="00277CF4">
              <w:rPr>
                <w:b/>
                <w:iCs/>
              </w:rPr>
              <w:t>ate (ORR)</w:t>
            </w:r>
            <w:r w:rsidRPr="00277CF4">
              <w:rPr>
                <w:b/>
                <w:iCs/>
                <w:vertAlign w:val="superscript"/>
              </w:rPr>
              <w:t>a</w:t>
            </w:r>
            <w:r w:rsidR="004E3033">
              <w:rPr>
                <w:b/>
                <w:iCs/>
              </w:rPr>
              <w:br/>
            </w:r>
            <w:r w:rsidRPr="00277CF4">
              <w:rPr>
                <w:b/>
                <w:iCs/>
              </w:rPr>
              <w:t>n</w:t>
            </w:r>
            <w:r>
              <w:rPr>
                <w:b/>
                <w:iCs/>
              </w:rPr>
              <w:t xml:space="preserve"> (</w:t>
            </w:r>
            <w:r w:rsidRPr="00277CF4">
              <w:rPr>
                <w:b/>
                <w:iCs/>
              </w:rPr>
              <w:t>%)</w:t>
            </w:r>
          </w:p>
        </w:tc>
      </w:tr>
      <w:tr w:rsidR="009105DC" w:rsidRPr="00E512E2" w:rsidTr="004E3033">
        <w:tc>
          <w:tcPr>
            <w:tcW w:w="1334" w:type="pct"/>
            <w:vAlign w:val="center"/>
          </w:tcPr>
          <w:p w:rsidR="009105DC" w:rsidRPr="00E512E2" w:rsidRDefault="009105DC" w:rsidP="00203ACF">
            <w:pPr>
              <w:pStyle w:val="TableText"/>
              <w:keepNext/>
              <w:keepLines/>
              <w:rPr>
                <w:b/>
              </w:rPr>
            </w:pPr>
            <w:r w:rsidRPr="00E512E2">
              <w:t>Adult STS</w:t>
            </w:r>
          </w:p>
        </w:tc>
        <w:tc>
          <w:tcPr>
            <w:tcW w:w="864" w:type="pct"/>
            <w:vAlign w:val="center"/>
          </w:tcPr>
          <w:p w:rsidR="009105DC" w:rsidRPr="00E512E2" w:rsidRDefault="009105DC" w:rsidP="004E3033">
            <w:pPr>
              <w:pStyle w:val="TableText"/>
              <w:keepNext/>
              <w:keepLines/>
              <w:jc w:val="center"/>
              <w:rPr>
                <w:b/>
              </w:rPr>
            </w:pPr>
            <w:r w:rsidRPr="00E512E2">
              <w:t>1.40%</w:t>
            </w:r>
          </w:p>
        </w:tc>
        <w:tc>
          <w:tcPr>
            <w:tcW w:w="1928" w:type="pct"/>
            <w:vAlign w:val="center"/>
          </w:tcPr>
          <w:p w:rsidR="009105DC" w:rsidRPr="00E512E2" w:rsidRDefault="009105DC" w:rsidP="004E3033">
            <w:pPr>
              <w:pStyle w:val="TableText"/>
              <w:keepNext/>
              <w:keepLines/>
              <w:jc w:val="center"/>
              <w:rPr>
                <w:b/>
              </w:rPr>
            </w:pPr>
            <w:r>
              <w:t>23</w:t>
            </w:r>
          </w:p>
        </w:tc>
        <w:tc>
          <w:tcPr>
            <w:tcW w:w="874" w:type="pct"/>
            <w:vAlign w:val="center"/>
          </w:tcPr>
          <w:p w:rsidR="009105DC" w:rsidRPr="00E512E2" w:rsidRDefault="009105DC" w:rsidP="004E3033">
            <w:pPr>
              <w:pStyle w:val="TableText"/>
              <w:keepNext/>
              <w:keepLines/>
              <w:jc w:val="center"/>
              <w:rPr>
                <w:b/>
              </w:rPr>
            </w:pPr>
            <w:r>
              <w:t>12 (52.2)</w:t>
            </w:r>
          </w:p>
        </w:tc>
      </w:tr>
      <w:tr w:rsidR="009105DC" w:rsidRPr="00E512E2" w:rsidTr="004E3033">
        <w:tc>
          <w:tcPr>
            <w:tcW w:w="1334" w:type="pct"/>
            <w:vAlign w:val="center"/>
          </w:tcPr>
          <w:p w:rsidR="009105DC" w:rsidRPr="00E512E2" w:rsidRDefault="009105DC" w:rsidP="00203ACF">
            <w:pPr>
              <w:pStyle w:val="TableText"/>
              <w:keepNext/>
              <w:keepLines/>
              <w:rPr>
                <w:b/>
              </w:rPr>
            </w:pPr>
            <w:r w:rsidRPr="00E512E2">
              <w:t>Lung</w:t>
            </w:r>
          </w:p>
        </w:tc>
        <w:tc>
          <w:tcPr>
            <w:tcW w:w="864" w:type="pct"/>
            <w:vAlign w:val="center"/>
          </w:tcPr>
          <w:p w:rsidR="009105DC" w:rsidRPr="00E512E2" w:rsidRDefault="009105DC" w:rsidP="004E3033">
            <w:pPr>
              <w:pStyle w:val="TableText"/>
              <w:keepNext/>
              <w:keepLines/>
              <w:jc w:val="center"/>
              <w:rPr>
                <w:b/>
              </w:rPr>
            </w:pPr>
            <w:r w:rsidRPr="00E512E2">
              <w:t>0.23%</w:t>
            </w:r>
          </w:p>
        </w:tc>
        <w:tc>
          <w:tcPr>
            <w:tcW w:w="1928" w:type="pct"/>
            <w:vAlign w:val="center"/>
          </w:tcPr>
          <w:p w:rsidR="009105DC" w:rsidRPr="00E512E2" w:rsidRDefault="009105DC" w:rsidP="004E3033">
            <w:pPr>
              <w:pStyle w:val="TableText"/>
              <w:keepNext/>
              <w:keepLines/>
              <w:jc w:val="center"/>
              <w:rPr>
                <w:b/>
              </w:rPr>
            </w:pPr>
            <w:r>
              <w:t>15</w:t>
            </w:r>
          </w:p>
        </w:tc>
        <w:tc>
          <w:tcPr>
            <w:tcW w:w="874" w:type="pct"/>
            <w:vAlign w:val="center"/>
          </w:tcPr>
          <w:p w:rsidR="009105DC" w:rsidRPr="00E512E2" w:rsidRDefault="009105DC" w:rsidP="004E3033">
            <w:pPr>
              <w:pStyle w:val="TableText"/>
              <w:keepNext/>
              <w:keepLines/>
              <w:jc w:val="center"/>
              <w:rPr>
                <w:b/>
              </w:rPr>
            </w:pPr>
            <w:r>
              <w:t>13 (86.7)</w:t>
            </w:r>
          </w:p>
        </w:tc>
      </w:tr>
      <w:tr w:rsidR="009105DC" w:rsidRPr="00E512E2" w:rsidTr="004E3033">
        <w:tc>
          <w:tcPr>
            <w:tcW w:w="1334" w:type="pct"/>
            <w:vAlign w:val="center"/>
          </w:tcPr>
          <w:p w:rsidR="009105DC" w:rsidRPr="00E512E2" w:rsidRDefault="009105DC" w:rsidP="00203ACF">
            <w:pPr>
              <w:pStyle w:val="TableText"/>
              <w:keepNext/>
              <w:keepLines/>
              <w:rPr>
                <w:b/>
              </w:rPr>
            </w:pPr>
            <w:r w:rsidRPr="00E512E2">
              <w:t>Colorectal</w:t>
            </w:r>
          </w:p>
        </w:tc>
        <w:tc>
          <w:tcPr>
            <w:tcW w:w="864" w:type="pct"/>
            <w:vAlign w:val="center"/>
          </w:tcPr>
          <w:p w:rsidR="009105DC" w:rsidRPr="00E512E2" w:rsidRDefault="009105DC" w:rsidP="004E3033">
            <w:pPr>
              <w:pStyle w:val="TableText"/>
              <w:keepNext/>
              <w:keepLines/>
              <w:jc w:val="center"/>
              <w:rPr>
                <w:b/>
              </w:rPr>
            </w:pPr>
            <w:r w:rsidRPr="00E512E2">
              <w:t>0.30%</w:t>
            </w:r>
          </w:p>
        </w:tc>
        <w:tc>
          <w:tcPr>
            <w:tcW w:w="1928" w:type="pct"/>
            <w:vAlign w:val="center"/>
          </w:tcPr>
          <w:p w:rsidR="009105DC" w:rsidRPr="00E512E2" w:rsidRDefault="009105DC" w:rsidP="004E3033">
            <w:pPr>
              <w:pStyle w:val="TableText"/>
              <w:keepNext/>
              <w:keepLines/>
              <w:jc w:val="center"/>
              <w:rPr>
                <w:b/>
              </w:rPr>
            </w:pPr>
            <w:r>
              <w:t>8</w:t>
            </w:r>
          </w:p>
        </w:tc>
        <w:tc>
          <w:tcPr>
            <w:tcW w:w="874" w:type="pct"/>
            <w:vAlign w:val="center"/>
          </w:tcPr>
          <w:p w:rsidR="009105DC" w:rsidRPr="00E512E2" w:rsidRDefault="009105DC" w:rsidP="004E3033">
            <w:pPr>
              <w:pStyle w:val="TableText"/>
              <w:keepNext/>
              <w:keepLines/>
              <w:jc w:val="center"/>
              <w:rPr>
                <w:b/>
              </w:rPr>
            </w:pPr>
            <w:r>
              <w:t>3 (37.5)</w:t>
            </w:r>
          </w:p>
        </w:tc>
      </w:tr>
      <w:tr w:rsidR="009105DC" w:rsidRPr="00E512E2" w:rsidTr="004E3033">
        <w:tc>
          <w:tcPr>
            <w:tcW w:w="1334" w:type="pct"/>
            <w:vAlign w:val="center"/>
          </w:tcPr>
          <w:p w:rsidR="009105DC" w:rsidRPr="00E512E2" w:rsidRDefault="009105DC" w:rsidP="00203ACF">
            <w:pPr>
              <w:pStyle w:val="TableText"/>
              <w:keepNext/>
              <w:keepLines/>
              <w:rPr>
                <w:b/>
              </w:rPr>
            </w:pPr>
            <w:r w:rsidRPr="00E512E2">
              <w:t>Thyroid</w:t>
            </w:r>
          </w:p>
        </w:tc>
        <w:tc>
          <w:tcPr>
            <w:tcW w:w="864" w:type="pct"/>
            <w:vAlign w:val="center"/>
          </w:tcPr>
          <w:p w:rsidR="009105DC" w:rsidRPr="00E512E2" w:rsidRDefault="009105DC" w:rsidP="004E3033">
            <w:pPr>
              <w:pStyle w:val="TableText"/>
              <w:keepNext/>
              <w:keepLines/>
              <w:jc w:val="center"/>
              <w:rPr>
                <w:b/>
              </w:rPr>
            </w:pPr>
            <w:r w:rsidRPr="00E512E2">
              <w:t>3.65%</w:t>
            </w:r>
          </w:p>
        </w:tc>
        <w:tc>
          <w:tcPr>
            <w:tcW w:w="1928" w:type="pct"/>
            <w:vAlign w:val="center"/>
          </w:tcPr>
          <w:p w:rsidR="009105DC" w:rsidRPr="00E512E2" w:rsidRDefault="009105DC" w:rsidP="004E3033">
            <w:pPr>
              <w:pStyle w:val="TableText"/>
              <w:keepNext/>
              <w:keepLines/>
              <w:jc w:val="center"/>
              <w:rPr>
                <w:b/>
              </w:rPr>
            </w:pPr>
            <w:r>
              <w:t>28</w:t>
            </w:r>
          </w:p>
        </w:tc>
        <w:tc>
          <w:tcPr>
            <w:tcW w:w="874" w:type="pct"/>
            <w:vAlign w:val="center"/>
          </w:tcPr>
          <w:p w:rsidR="009105DC" w:rsidRPr="00E512E2" w:rsidRDefault="009105DC" w:rsidP="004E3033">
            <w:pPr>
              <w:pStyle w:val="TableText"/>
              <w:keepNext/>
              <w:keepLines/>
              <w:jc w:val="center"/>
              <w:rPr>
                <w:b/>
              </w:rPr>
            </w:pPr>
            <w:r>
              <w:t>18 (64.2)</w:t>
            </w:r>
          </w:p>
        </w:tc>
      </w:tr>
      <w:tr w:rsidR="009105DC" w:rsidRPr="00E512E2" w:rsidTr="004E3033">
        <w:tc>
          <w:tcPr>
            <w:tcW w:w="1334" w:type="pct"/>
            <w:vAlign w:val="center"/>
          </w:tcPr>
          <w:p w:rsidR="009105DC" w:rsidRPr="00E512E2" w:rsidRDefault="009105DC" w:rsidP="00203ACF">
            <w:pPr>
              <w:pStyle w:val="TableText"/>
              <w:keepNext/>
              <w:keepLines/>
              <w:rPr>
                <w:b/>
              </w:rPr>
            </w:pPr>
            <w:r w:rsidRPr="00E512E2">
              <w:t>Melanoma</w:t>
            </w:r>
          </w:p>
        </w:tc>
        <w:tc>
          <w:tcPr>
            <w:tcW w:w="864" w:type="pct"/>
            <w:vAlign w:val="center"/>
          </w:tcPr>
          <w:p w:rsidR="009105DC" w:rsidRPr="00E512E2" w:rsidRDefault="009105DC" w:rsidP="004E3033">
            <w:pPr>
              <w:pStyle w:val="TableText"/>
              <w:keepNext/>
              <w:keepLines/>
              <w:jc w:val="center"/>
              <w:rPr>
                <w:b/>
              </w:rPr>
            </w:pPr>
            <w:r w:rsidRPr="00E512E2">
              <w:t>0.34%</w:t>
            </w:r>
          </w:p>
        </w:tc>
        <w:tc>
          <w:tcPr>
            <w:tcW w:w="1928" w:type="pct"/>
            <w:vAlign w:val="center"/>
          </w:tcPr>
          <w:p w:rsidR="009105DC" w:rsidRPr="00E512E2" w:rsidRDefault="009105DC" w:rsidP="004E3033">
            <w:pPr>
              <w:pStyle w:val="TableText"/>
              <w:keepNext/>
              <w:keepLines/>
              <w:jc w:val="center"/>
              <w:rPr>
                <w:b/>
              </w:rPr>
            </w:pPr>
            <w:r>
              <w:t>7</w:t>
            </w:r>
          </w:p>
        </w:tc>
        <w:tc>
          <w:tcPr>
            <w:tcW w:w="874" w:type="pct"/>
            <w:vAlign w:val="center"/>
          </w:tcPr>
          <w:p w:rsidR="009105DC" w:rsidRPr="00E512E2" w:rsidRDefault="009105DC" w:rsidP="004E3033">
            <w:pPr>
              <w:pStyle w:val="TableText"/>
              <w:keepNext/>
              <w:keepLines/>
              <w:jc w:val="center"/>
              <w:rPr>
                <w:b/>
              </w:rPr>
            </w:pPr>
            <w:r>
              <w:t>3 (42.9)</w:t>
            </w:r>
          </w:p>
        </w:tc>
      </w:tr>
      <w:tr w:rsidR="009105DC" w:rsidRPr="00E512E2" w:rsidTr="004E3033">
        <w:tc>
          <w:tcPr>
            <w:tcW w:w="1334" w:type="pct"/>
            <w:vAlign w:val="center"/>
          </w:tcPr>
          <w:p w:rsidR="009105DC" w:rsidRPr="00E512E2" w:rsidRDefault="009105DC" w:rsidP="00203ACF">
            <w:pPr>
              <w:pStyle w:val="TableText"/>
              <w:keepNext/>
              <w:keepLines/>
              <w:rPr>
                <w:b/>
              </w:rPr>
            </w:pPr>
            <w:r w:rsidRPr="00E512E2">
              <w:t>GIST</w:t>
            </w:r>
          </w:p>
        </w:tc>
        <w:tc>
          <w:tcPr>
            <w:tcW w:w="864" w:type="pct"/>
            <w:vAlign w:val="center"/>
          </w:tcPr>
          <w:p w:rsidR="009105DC" w:rsidRPr="00E512E2" w:rsidRDefault="009105DC" w:rsidP="004E3033">
            <w:pPr>
              <w:pStyle w:val="TableText"/>
              <w:keepNext/>
              <w:keepLines/>
              <w:jc w:val="center"/>
              <w:rPr>
                <w:b/>
              </w:rPr>
            </w:pPr>
            <w:r w:rsidRPr="00E512E2">
              <w:t>2.20%</w:t>
            </w:r>
          </w:p>
        </w:tc>
        <w:tc>
          <w:tcPr>
            <w:tcW w:w="1928" w:type="pct"/>
            <w:vAlign w:val="center"/>
          </w:tcPr>
          <w:p w:rsidR="009105DC" w:rsidRPr="00E512E2" w:rsidRDefault="009105DC" w:rsidP="004E3033">
            <w:pPr>
              <w:pStyle w:val="TableText"/>
              <w:keepNext/>
              <w:keepLines/>
              <w:jc w:val="center"/>
              <w:rPr>
                <w:b/>
              </w:rPr>
            </w:pPr>
            <w:r>
              <w:t>4</w:t>
            </w:r>
          </w:p>
        </w:tc>
        <w:tc>
          <w:tcPr>
            <w:tcW w:w="874" w:type="pct"/>
            <w:vAlign w:val="center"/>
          </w:tcPr>
          <w:p w:rsidR="009105DC" w:rsidRPr="00E512E2" w:rsidRDefault="009105DC" w:rsidP="004E3033">
            <w:pPr>
              <w:pStyle w:val="TableText"/>
              <w:keepNext/>
              <w:keepLines/>
              <w:jc w:val="center"/>
              <w:rPr>
                <w:b/>
              </w:rPr>
            </w:pPr>
            <w:r>
              <w:t>4 (100)</w:t>
            </w:r>
          </w:p>
        </w:tc>
      </w:tr>
      <w:tr w:rsidR="009105DC" w:rsidRPr="00E512E2" w:rsidTr="004E3033">
        <w:tc>
          <w:tcPr>
            <w:tcW w:w="1334" w:type="pct"/>
            <w:vAlign w:val="center"/>
          </w:tcPr>
          <w:p w:rsidR="009105DC" w:rsidRPr="00E512E2" w:rsidRDefault="009105DC" w:rsidP="00203ACF">
            <w:pPr>
              <w:pStyle w:val="TableText"/>
              <w:keepNext/>
              <w:keepLines/>
              <w:rPr>
                <w:b/>
              </w:rPr>
            </w:pPr>
            <w:r w:rsidRPr="00E512E2">
              <w:t>Pancreas</w:t>
            </w:r>
          </w:p>
        </w:tc>
        <w:tc>
          <w:tcPr>
            <w:tcW w:w="864" w:type="pct"/>
            <w:vAlign w:val="center"/>
          </w:tcPr>
          <w:p w:rsidR="009105DC" w:rsidRPr="00E512E2" w:rsidRDefault="009105DC" w:rsidP="004E3033">
            <w:pPr>
              <w:pStyle w:val="TableText"/>
              <w:keepNext/>
              <w:keepLines/>
              <w:jc w:val="center"/>
              <w:rPr>
                <w:b/>
              </w:rPr>
            </w:pPr>
            <w:r w:rsidRPr="00E512E2">
              <w:t>0.75%</w:t>
            </w:r>
          </w:p>
        </w:tc>
        <w:tc>
          <w:tcPr>
            <w:tcW w:w="1928" w:type="pct"/>
            <w:vAlign w:val="center"/>
          </w:tcPr>
          <w:p w:rsidR="009105DC" w:rsidRPr="00E512E2" w:rsidRDefault="009105DC" w:rsidP="004E3033">
            <w:pPr>
              <w:pStyle w:val="TableText"/>
              <w:keepNext/>
              <w:keepLines/>
              <w:jc w:val="center"/>
              <w:rPr>
                <w:b/>
              </w:rPr>
            </w:pPr>
            <w:r>
              <w:t>2</w:t>
            </w:r>
          </w:p>
        </w:tc>
        <w:tc>
          <w:tcPr>
            <w:tcW w:w="874" w:type="pct"/>
            <w:vAlign w:val="center"/>
          </w:tcPr>
          <w:p w:rsidR="009105DC" w:rsidRPr="00E512E2" w:rsidRDefault="009105DC" w:rsidP="004E3033">
            <w:pPr>
              <w:pStyle w:val="TableText"/>
              <w:keepNext/>
              <w:keepLines/>
              <w:jc w:val="center"/>
              <w:rPr>
                <w:b/>
              </w:rPr>
            </w:pPr>
            <w:r>
              <w:t>0</w:t>
            </w:r>
          </w:p>
        </w:tc>
      </w:tr>
      <w:tr w:rsidR="009105DC" w:rsidRPr="00E512E2" w:rsidTr="004E3033">
        <w:tc>
          <w:tcPr>
            <w:tcW w:w="1334" w:type="pct"/>
            <w:vAlign w:val="center"/>
          </w:tcPr>
          <w:p w:rsidR="009105DC" w:rsidRPr="00E512E2" w:rsidRDefault="009105DC" w:rsidP="00203ACF">
            <w:pPr>
              <w:pStyle w:val="TableText"/>
              <w:keepNext/>
              <w:keepLines/>
              <w:rPr>
                <w:b/>
              </w:rPr>
            </w:pPr>
            <w:r w:rsidRPr="00E512E2">
              <w:t>Adult bone sarcoma</w:t>
            </w:r>
          </w:p>
        </w:tc>
        <w:tc>
          <w:tcPr>
            <w:tcW w:w="864" w:type="pct"/>
            <w:vAlign w:val="center"/>
          </w:tcPr>
          <w:p w:rsidR="009105DC" w:rsidRPr="00E512E2" w:rsidRDefault="009105DC" w:rsidP="004E3033">
            <w:pPr>
              <w:pStyle w:val="TableText"/>
              <w:keepNext/>
              <w:keepLines/>
              <w:jc w:val="center"/>
              <w:rPr>
                <w:b/>
              </w:rPr>
            </w:pPr>
            <w:r w:rsidRPr="00E512E2">
              <w:t>1.24%</w:t>
            </w:r>
          </w:p>
        </w:tc>
        <w:tc>
          <w:tcPr>
            <w:tcW w:w="1928" w:type="pct"/>
            <w:vAlign w:val="center"/>
          </w:tcPr>
          <w:p w:rsidR="009105DC" w:rsidRPr="00E512E2" w:rsidRDefault="009105DC" w:rsidP="004E3033">
            <w:pPr>
              <w:pStyle w:val="TableText"/>
              <w:keepNext/>
              <w:keepLines/>
              <w:jc w:val="center"/>
              <w:rPr>
                <w:b/>
              </w:rPr>
            </w:pPr>
            <w:r>
              <w:t>2</w:t>
            </w:r>
          </w:p>
        </w:tc>
        <w:tc>
          <w:tcPr>
            <w:tcW w:w="874" w:type="pct"/>
            <w:vAlign w:val="center"/>
          </w:tcPr>
          <w:p w:rsidR="009105DC" w:rsidRPr="00E512E2" w:rsidRDefault="009105DC" w:rsidP="004E3033">
            <w:pPr>
              <w:pStyle w:val="TableText"/>
              <w:keepNext/>
              <w:keepLines/>
              <w:jc w:val="center"/>
              <w:rPr>
                <w:b/>
              </w:rPr>
            </w:pPr>
            <w:r>
              <w:t>1 (50)</w:t>
            </w:r>
          </w:p>
        </w:tc>
      </w:tr>
      <w:tr w:rsidR="009105DC" w:rsidRPr="00E512E2" w:rsidTr="004E3033">
        <w:tc>
          <w:tcPr>
            <w:tcW w:w="1334" w:type="pct"/>
            <w:vAlign w:val="center"/>
          </w:tcPr>
          <w:p w:rsidR="009105DC" w:rsidRPr="00E512E2" w:rsidRDefault="009105DC" w:rsidP="00203ACF">
            <w:pPr>
              <w:pStyle w:val="TableText"/>
              <w:keepNext/>
              <w:keepLines/>
              <w:rPr>
                <w:b/>
              </w:rPr>
            </w:pPr>
            <w:r w:rsidRPr="00E512E2">
              <w:t>Cholangiocarcinoma</w:t>
            </w:r>
          </w:p>
        </w:tc>
        <w:tc>
          <w:tcPr>
            <w:tcW w:w="864" w:type="pct"/>
            <w:vAlign w:val="center"/>
          </w:tcPr>
          <w:p w:rsidR="009105DC" w:rsidRPr="00E512E2" w:rsidRDefault="009105DC" w:rsidP="004E3033">
            <w:pPr>
              <w:pStyle w:val="TableText"/>
              <w:keepNext/>
              <w:keepLines/>
              <w:jc w:val="center"/>
              <w:rPr>
                <w:b/>
              </w:rPr>
            </w:pPr>
            <w:r w:rsidRPr="00E512E2">
              <w:t>0.26%</w:t>
            </w:r>
          </w:p>
        </w:tc>
        <w:tc>
          <w:tcPr>
            <w:tcW w:w="1928" w:type="pct"/>
            <w:vAlign w:val="center"/>
          </w:tcPr>
          <w:p w:rsidR="009105DC" w:rsidRPr="00E512E2" w:rsidRDefault="009105DC" w:rsidP="004E3033">
            <w:pPr>
              <w:pStyle w:val="TableText"/>
              <w:keepNext/>
              <w:keepLines/>
              <w:jc w:val="center"/>
              <w:rPr>
                <w:b/>
              </w:rPr>
            </w:pPr>
            <w:r>
              <w:t>2</w:t>
            </w:r>
          </w:p>
        </w:tc>
        <w:tc>
          <w:tcPr>
            <w:tcW w:w="874" w:type="pct"/>
            <w:vAlign w:val="center"/>
          </w:tcPr>
          <w:p w:rsidR="009105DC" w:rsidRPr="00E512E2" w:rsidRDefault="009105DC" w:rsidP="004E3033">
            <w:pPr>
              <w:pStyle w:val="TableText"/>
              <w:keepNext/>
              <w:keepLines/>
              <w:jc w:val="center"/>
              <w:rPr>
                <w:b/>
              </w:rPr>
            </w:pPr>
            <w:r>
              <w:t>0</w:t>
            </w:r>
          </w:p>
        </w:tc>
      </w:tr>
      <w:tr w:rsidR="009105DC" w:rsidRPr="00E512E2" w:rsidTr="004E3033">
        <w:tc>
          <w:tcPr>
            <w:tcW w:w="1334" w:type="pct"/>
            <w:vAlign w:val="center"/>
          </w:tcPr>
          <w:p w:rsidR="009105DC" w:rsidRPr="00E512E2" w:rsidRDefault="009105DC" w:rsidP="00203ACF">
            <w:pPr>
              <w:pStyle w:val="TableText"/>
              <w:keepNext/>
              <w:keepLines/>
              <w:rPr>
                <w:b/>
              </w:rPr>
            </w:pPr>
            <w:r w:rsidRPr="00E512E2">
              <w:t>Appendix</w:t>
            </w:r>
          </w:p>
        </w:tc>
        <w:tc>
          <w:tcPr>
            <w:tcW w:w="864" w:type="pct"/>
            <w:vAlign w:val="center"/>
          </w:tcPr>
          <w:p w:rsidR="009105DC" w:rsidRPr="00E512E2" w:rsidRDefault="009105DC" w:rsidP="004E3033">
            <w:pPr>
              <w:pStyle w:val="TableText"/>
              <w:keepNext/>
              <w:keepLines/>
              <w:jc w:val="center"/>
              <w:rPr>
                <w:b/>
              </w:rPr>
            </w:pPr>
            <w:r w:rsidRPr="00E512E2">
              <w:t>0.58%</w:t>
            </w:r>
          </w:p>
        </w:tc>
        <w:tc>
          <w:tcPr>
            <w:tcW w:w="1928" w:type="pct"/>
            <w:vAlign w:val="center"/>
          </w:tcPr>
          <w:p w:rsidR="009105DC" w:rsidRPr="00E512E2" w:rsidRDefault="009105DC" w:rsidP="004E3033">
            <w:pPr>
              <w:pStyle w:val="TableText"/>
              <w:keepNext/>
              <w:keepLines/>
              <w:jc w:val="center"/>
              <w:rPr>
                <w:b/>
              </w:rPr>
            </w:pPr>
            <w:r>
              <w:t>1</w:t>
            </w:r>
          </w:p>
        </w:tc>
        <w:tc>
          <w:tcPr>
            <w:tcW w:w="874" w:type="pct"/>
            <w:vAlign w:val="center"/>
          </w:tcPr>
          <w:p w:rsidR="009105DC" w:rsidRPr="00E512E2" w:rsidRDefault="009105DC" w:rsidP="004E3033">
            <w:pPr>
              <w:pStyle w:val="TableText"/>
              <w:keepNext/>
              <w:keepLines/>
              <w:jc w:val="center"/>
              <w:rPr>
                <w:b/>
              </w:rPr>
            </w:pPr>
            <w:r>
              <w:t>0</w:t>
            </w:r>
          </w:p>
        </w:tc>
      </w:tr>
      <w:tr w:rsidR="009105DC" w:rsidRPr="00E512E2" w:rsidTr="004E3033">
        <w:tc>
          <w:tcPr>
            <w:tcW w:w="1334" w:type="pct"/>
            <w:vAlign w:val="center"/>
          </w:tcPr>
          <w:p w:rsidR="009105DC" w:rsidRPr="00E512E2" w:rsidRDefault="009105DC" w:rsidP="00203ACF">
            <w:pPr>
              <w:pStyle w:val="TableText"/>
              <w:keepNext/>
              <w:keepLines/>
              <w:rPr>
                <w:b/>
              </w:rPr>
            </w:pPr>
            <w:r w:rsidRPr="00E512E2">
              <w:t>Hepatic</w:t>
            </w:r>
          </w:p>
        </w:tc>
        <w:tc>
          <w:tcPr>
            <w:tcW w:w="864" w:type="pct"/>
            <w:vAlign w:val="center"/>
          </w:tcPr>
          <w:p w:rsidR="009105DC" w:rsidRPr="00E512E2" w:rsidRDefault="009105DC" w:rsidP="004E3033">
            <w:pPr>
              <w:pStyle w:val="TableText"/>
              <w:keepNext/>
              <w:keepLines/>
              <w:jc w:val="center"/>
              <w:rPr>
                <w:b/>
              </w:rPr>
            </w:pPr>
            <w:r w:rsidRPr="00E512E2">
              <w:t>1.24%</w:t>
            </w:r>
          </w:p>
        </w:tc>
        <w:tc>
          <w:tcPr>
            <w:tcW w:w="1928" w:type="pct"/>
            <w:vAlign w:val="center"/>
          </w:tcPr>
          <w:p w:rsidR="009105DC" w:rsidRPr="00E512E2" w:rsidRDefault="009105DC" w:rsidP="004E3033">
            <w:pPr>
              <w:pStyle w:val="TableText"/>
              <w:keepNext/>
              <w:keepLines/>
              <w:jc w:val="center"/>
              <w:rPr>
                <w:b/>
              </w:rPr>
            </w:pPr>
            <w:r>
              <w:t>1</w:t>
            </w:r>
          </w:p>
        </w:tc>
        <w:tc>
          <w:tcPr>
            <w:tcW w:w="874" w:type="pct"/>
            <w:vAlign w:val="center"/>
          </w:tcPr>
          <w:p w:rsidR="009105DC" w:rsidRPr="00E512E2" w:rsidRDefault="009105DC" w:rsidP="004E3033">
            <w:pPr>
              <w:pStyle w:val="TableText"/>
              <w:keepNext/>
              <w:keepLines/>
              <w:jc w:val="center"/>
              <w:rPr>
                <w:b/>
              </w:rPr>
            </w:pPr>
            <w:r>
              <w:t>0</w:t>
            </w:r>
          </w:p>
        </w:tc>
      </w:tr>
      <w:tr w:rsidR="009105DC" w:rsidRPr="00E512E2" w:rsidTr="004E3033">
        <w:tc>
          <w:tcPr>
            <w:tcW w:w="1334" w:type="pct"/>
            <w:vAlign w:val="center"/>
          </w:tcPr>
          <w:p w:rsidR="009105DC" w:rsidRPr="00E512E2" w:rsidRDefault="009105DC" w:rsidP="00203ACF">
            <w:pPr>
              <w:pStyle w:val="TableText"/>
              <w:keepNext/>
              <w:keepLines/>
              <w:rPr>
                <w:b/>
              </w:rPr>
            </w:pPr>
            <w:r w:rsidRPr="00E512E2">
              <w:t>Prostate</w:t>
            </w:r>
          </w:p>
        </w:tc>
        <w:tc>
          <w:tcPr>
            <w:tcW w:w="864" w:type="pct"/>
            <w:vAlign w:val="center"/>
          </w:tcPr>
          <w:p w:rsidR="009105DC" w:rsidRPr="00E512E2" w:rsidRDefault="009105DC" w:rsidP="004E3033">
            <w:pPr>
              <w:pStyle w:val="TableText"/>
              <w:keepNext/>
              <w:keepLines/>
              <w:jc w:val="center"/>
              <w:rPr>
                <w:b/>
              </w:rPr>
            </w:pPr>
            <w:r w:rsidRPr="00E512E2">
              <w:t>0.24%</w:t>
            </w:r>
          </w:p>
        </w:tc>
        <w:tc>
          <w:tcPr>
            <w:tcW w:w="1928" w:type="pct"/>
            <w:vAlign w:val="center"/>
          </w:tcPr>
          <w:p w:rsidR="009105DC" w:rsidRPr="00E512E2" w:rsidRDefault="009105DC" w:rsidP="004E3033">
            <w:pPr>
              <w:pStyle w:val="TableText"/>
              <w:keepNext/>
              <w:keepLines/>
              <w:jc w:val="center"/>
              <w:rPr>
                <w:b/>
              </w:rPr>
            </w:pPr>
            <w:r>
              <w:t>1</w:t>
            </w:r>
          </w:p>
        </w:tc>
        <w:tc>
          <w:tcPr>
            <w:tcW w:w="874" w:type="pct"/>
            <w:vAlign w:val="center"/>
          </w:tcPr>
          <w:p w:rsidR="009105DC" w:rsidRPr="00E512E2" w:rsidRDefault="009105DC" w:rsidP="004E3033">
            <w:pPr>
              <w:pStyle w:val="TableText"/>
              <w:keepNext/>
              <w:keepLines/>
              <w:jc w:val="center"/>
              <w:rPr>
                <w:b/>
              </w:rPr>
            </w:pPr>
            <w:r>
              <w:t>0</w:t>
            </w:r>
          </w:p>
        </w:tc>
      </w:tr>
      <w:tr w:rsidR="009105DC" w:rsidRPr="00E512E2" w:rsidTr="004E3033">
        <w:tc>
          <w:tcPr>
            <w:tcW w:w="1334" w:type="pct"/>
            <w:vAlign w:val="center"/>
          </w:tcPr>
          <w:p w:rsidR="009105DC" w:rsidRPr="00E512E2" w:rsidRDefault="009105DC" w:rsidP="00203ACF">
            <w:pPr>
              <w:pStyle w:val="TableText"/>
              <w:keepNext/>
              <w:keepLines/>
              <w:rPr>
                <w:b/>
              </w:rPr>
            </w:pPr>
            <w:r w:rsidRPr="00E512E2">
              <w:t>Adult CNS</w:t>
            </w:r>
          </w:p>
        </w:tc>
        <w:tc>
          <w:tcPr>
            <w:tcW w:w="864" w:type="pct"/>
            <w:vAlign w:val="center"/>
          </w:tcPr>
          <w:p w:rsidR="009105DC" w:rsidRPr="00E512E2" w:rsidRDefault="009105DC" w:rsidP="004E3033">
            <w:pPr>
              <w:pStyle w:val="TableText"/>
              <w:keepNext/>
              <w:keepLines/>
              <w:jc w:val="center"/>
              <w:rPr>
                <w:b/>
              </w:rPr>
            </w:pPr>
            <w:r w:rsidRPr="00E512E2">
              <w:t>2.20%</w:t>
            </w:r>
          </w:p>
        </w:tc>
        <w:tc>
          <w:tcPr>
            <w:tcW w:w="1928" w:type="pct"/>
            <w:vAlign w:val="center"/>
          </w:tcPr>
          <w:p w:rsidR="009105DC" w:rsidRPr="00E512E2" w:rsidRDefault="009105DC" w:rsidP="004E3033">
            <w:pPr>
              <w:pStyle w:val="TableText"/>
              <w:keepNext/>
              <w:keepLines/>
              <w:jc w:val="center"/>
              <w:rPr>
                <w:b/>
              </w:rPr>
            </w:pPr>
            <w:r>
              <w:t>7</w:t>
            </w:r>
          </w:p>
        </w:tc>
        <w:tc>
          <w:tcPr>
            <w:tcW w:w="874" w:type="pct"/>
            <w:vAlign w:val="center"/>
          </w:tcPr>
          <w:p w:rsidR="009105DC" w:rsidRPr="00E512E2" w:rsidRDefault="009105DC" w:rsidP="004E3033">
            <w:pPr>
              <w:pStyle w:val="TableText"/>
              <w:keepNext/>
              <w:keepLines/>
              <w:jc w:val="center"/>
              <w:rPr>
                <w:b/>
              </w:rPr>
            </w:pPr>
            <w:r>
              <w:t>0</w:t>
            </w:r>
          </w:p>
        </w:tc>
      </w:tr>
    </w:tbl>
    <w:p w:rsidR="009105DC" w:rsidRDefault="009105DC" w:rsidP="00203ACF">
      <w:pPr>
        <w:pStyle w:val="TableFooter"/>
        <w:keepNext/>
        <w:keepLines/>
      </w:pPr>
      <w:r>
        <w:t>Source: Table 1.4, p37 of the resubmission.</w:t>
      </w:r>
    </w:p>
    <w:p w:rsidR="009105DC" w:rsidRDefault="009105DC" w:rsidP="00203ACF">
      <w:pPr>
        <w:pStyle w:val="TableFooter"/>
        <w:keepNext/>
        <w:keepLines/>
      </w:pPr>
      <w:r w:rsidRPr="00277CF4">
        <w:rPr>
          <w:vertAlign w:val="superscript"/>
        </w:rPr>
        <w:t xml:space="preserve">a </w:t>
      </w:r>
      <w:r w:rsidRPr="00BD7399">
        <w:t>Overall response rate (%)</w:t>
      </w:r>
      <w:r>
        <w:t>:</w:t>
      </w:r>
      <w:r w:rsidRPr="00BD7399">
        <w:t xml:space="preserve"> the proportion of patients with best overall response </w:t>
      </w:r>
      <w:r>
        <w:t>in the adult low frequency subpopulation based on IRC assessments.</w:t>
      </w:r>
    </w:p>
    <w:p w:rsidR="009105DC" w:rsidRDefault="009105DC" w:rsidP="00203ACF">
      <w:pPr>
        <w:pStyle w:val="TableFooter"/>
        <w:keepNext/>
        <w:keepLines/>
      </w:pPr>
      <w:r>
        <w:t xml:space="preserve">CR, complete response; </w:t>
      </w:r>
      <w:r w:rsidRPr="009F3F0D">
        <w:t xml:space="preserve">CRC, colorectal cancer; CNS, central nervous system; </w:t>
      </w:r>
      <w:r>
        <w:t xml:space="preserve">GIST, gastrointestinal stromal tumours; IRC, institute review committee; NE, not evaluable; </w:t>
      </w:r>
      <w:r w:rsidRPr="007B7466">
        <w:rPr>
          <w:i/>
          <w:iCs/>
        </w:rPr>
        <w:t>NTRK</w:t>
      </w:r>
      <w:r w:rsidRPr="009F3F0D">
        <w:t>, Neurotrophic tropomyosin receptor kinase</w:t>
      </w:r>
      <w:r>
        <w:t xml:space="preserve">; </w:t>
      </w:r>
      <w:r w:rsidRPr="009F3F0D">
        <w:t>STS, soft tissue sarcoma</w:t>
      </w:r>
      <w:r>
        <w:t>;</w:t>
      </w:r>
      <w:r w:rsidRPr="00277CF4">
        <w:t xml:space="preserve"> </w:t>
      </w:r>
      <w:r w:rsidRPr="00C853BA">
        <w:t>ePAS</w:t>
      </w:r>
      <w:r>
        <w:t xml:space="preserve">, </w:t>
      </w:r>
      <w:r w:rsidRPr="00C853BA">
        <w:t>extended primary analysis set</w:t>
      </w:r>
      <w:r>
        <w:t xml:space="preserve">; </w:t>
      </w:r>
      <w:r w:rsidRPr="00277CF4">
        <w:t>SAS, supplementary analysis set</w:t>
      </w:r>
    </w:p>
    <w:p w:rsidR="00D117CD" w:rsidRPr="00D117CD" w:rsidRDefault="00D117CD" w:rsidP="00D117CD">
      <w:pPr>
        <w:rPr>
          <w:i/>
          <w:iCs/>
        </w:rPr>
      </w:pPr>
      <w:r>
        <w:tab/>
      </w:r>
      <w:r w:rsidRPr="00D117CD">
        <w:rPr>
          <w:i/>
          <w:iCs/>
        </w:rPr>
        <w:t>For more detail on PBAC’s decision, see section 7 PBAC outcome</w:t>
      </w:r>
      <w:r>
        <w:rPr>
          <w:i/>
          <w:iCs/>
        </w:rPr>
        <w:t>.</w:t>
      </w:r>
    </w:p>
    <w:p w:rsidR="00C317F3" w:rsidRPr="00F3195B" w:rsidRDefault="00C317F3" w:rsidP="0009334C">
      <w:pPr>
        <w:pStyle w:val="PBACESHeading1"/>
        <w:rPr>
          <w:rFonts w:asciiTheme="minorHAnsi" w:hAnsiTheme="minorHAnsi" w:cstheme="minorHAnsi"/>
          <w:sz w:val="32"/>
          <w:szCs w:val="40"/>
        </w:rPr>
      </w:pPr>
      <w:bookmarkStart w:id="24" w:name="_Toc82597075"/>
      <w:bookmarkEnd w:id="23"/>
      <w:r w:rsidRPr="00F3195B">
        <w:rPr>
          <w:rFonts w:asciiTheme="minorHAnsi" w:hAnsiTheme="minorHAnsi" w:cstheme="minorHAnsi"/>
          <w:sz w:val="32"/>
          <w:szCs w:val="40"/>
        </w:rPr>
        <w:t>Comparator</w:t>
      </w:r>
      <w:bookmarkEnd w:id="17"/>
      <w:bookmarkEnd w:id="24"/>
    </w:p>
    <w:p w:rsidR="00D744A5" w:rsidRPr="00D744A5" w:rsidRDefault="00D744A5" w:rsidP="00D744A5">
      <w:pPr>
        <w:numPr>
          <w:ilvl w:val="4"/>
          <w:numId w:val="1"/>
        </w:numPr>
        <w:rPr>
          <w:color w:val="000000" w:themeColor="text1"/>
        </w:rPr>
      </w:pPr>
      <w:bookmarkStart w:id="25" w:name="_Toc413139276"/>
      <w:bookmarkStart w:id="26" w:name="_Ref496885030"/>
      <w:r w:rsidRPr="00D744A5">
        <w:rPr>
          <w:color w:val="000000" w:themeColor="text1"/>
        </w:rPr>
        <w:t>The nominated representative comparators in the resubmission were unchanged from the original submission for the paediatric population (both high and low frequency tumour subgroups) and the adult high frequency subgroup.</w:t>
      </w:r>
    </w:p>
    <w:p w:rsidR="00D744A5" w:rsidRPr="00A82A0C" w:rsidRDefault="00D744A5" w:rsidP="00D744A5">
      <w:pPr>
        <w:numPr>
          <w:ilvl w:val="4"/>
          <w:numId w:val="1"/>
        </w:numPr>
        <w:rPr>
          <w:color w:val="000000" w:themeColor="text1"/>
        </w:rPr>
      </w:pPr>
      <w:r w:rsidRPr="00D744A5">
        <w:rPr>
          <w:color w:val="000000" w:themeColor="text1"/>
        </w:rPr>
        <w:t xml:space="preserve">For the adult low frequency subgroup, new comparators were added for the </w:t>
      </w:r>
      <w:bookmarkStart w:id="27" w:name="_Hlk89354737"/>
      <w:r w:rsidRPr="00D744A5">
        <w:rPr>
          <w:color w:val="000000" w:themeColor="text1"/>
        </w:rPr>
        <w:t xml:space="preserve">specified NSCLC (docetaxel and placebo) and thyroid cancer (lenvatinib) tumours. The nominated comparator for CRC in the resubmission is now the trifluridine/tipiracil (TT) </w:t>
      </w:r>
      <w:bookmarkEnd w:id="27"/>
      <w:r w:rsidRPr="00D744A5">
        <w:rPr>
          <w:color w:val="000000" w:themeColor="text1"/>
        </w:rPr>
        <w:t>arm, rather than the placebo arm in the previous submission, from the same historical study. The comparators for adult STS (dacarbazine or BSC) remain the same.</w:t>
      </w:r>
      <w:r w:rsidR="005E2F26">
        <w:rPr>
          <w:color w:val="000000" w:themeColor="text1"/>
        </w:rPr>
        <w:t xml:space="preserve"> </w:t>
      </w:r>
      <w:bookmarkStart w:id="28" w:name="_Hlk89355243"/>
      <w:r w:rsidR="001063DE" w:rsidRPr="00C82523">
        <w:rPr>
          <w:color w:val="000000" w:themeColor="text1"/>
        </w:rPr>
        <w:t>The ESCs considered t</w:t>
      </w:r>
      <w:r w:rsidR="005E2F26" w:rsidRPr="00C82523">
        <w:rPr>
          <w:color w:val="000000" w:themeColor="text1"/>
        </w:rPr>
        <w:t>hese comparators</w:t>
      </w:r>
      <w:r w:rsidR="001063DE" w:rsidRPr="00C82523">
        <w:rPr>
          <w:color w:val="000000" w:themeColor="text1"/>
        </w:rPr>
        <w:t xml:space="preserve"> </w:t>
      </w:r>
      <w:r w:rsidR="00ED5DF9" w:rsidRPr="00C82523">
        <w:rPr>
          <w:color w:val="000000" w:themeColor="text1"/>
        </w:rPr>
        <w:t>represent</w:t>
      </w:r>
      <w:r w:rsidR="001063DE" w:rsidRPr="00C82523">
        <w:rPr>
          <w:color w:val="000000" w:themeColor="text1"/>
        </w:rPr>
        <w:t>ed</w:t>
      </w:r>
      <w:r w:rsidR="001C4730" w:rsidRPr="00C82523">
        <w:rPr>
          <w:color w:val="000000" w:themeColor="text1"/>
        </w:rPr>
        <w:t xml:space="preserve"> current SoC in</w:t>
      </w:r>
      <w:r w:rsidR="00ED5DF9" w:rsidRPr="00C82523">
        <w:rPr>
          <w:color w:val="000000" w:themeColor="text1"/>
        </w:rPr>
        <w:t xml:space="preserve"> the last treatment line setting</w:t>
      </w:r>
      <w:r w:rsidR="001C4730" w:rsidRPr="00C82523">
        <w:rPr>
          <w:color w:val="000000" w:themeColor="text1"/>
        </w:rPr>
        <w:t xml:space="preserve"> where larotrectinib is intended to be used for adult low frequency tumours</w:t>
      </w:r>
      <w:r w:rsidR="005E2F26" w:rsidRPr="00C82523">
        <w:rPr>
          <w:color w:val="000000" w:themeColor="text1"/>
        </w:rPr>
        <w:t xml:space="preserve">. </w:t>
      </w:r>
      <w:bookmarkEnd w:id="28"/>
      <w:r w:rsidR="005E2F26" w:rsidRPr="00C82523">
        <w:rPr>
          <w:color w:val="000000" w:themeColor="text1"/>
        </w:rPr>
        <w:t>Lenvatinib is a reasonable second line comparator for progressed thyroid cancer</w:t>
      </w:r>
      <w:r w:rsidR="00412F57" w:rsidRPr="00C82523">
        <w:rPr>
          <w:color w:val="000000" w:themeColor="text1"/>
        </w:rPr>
        <w:t>, with subsequent treatment options limited</w:t>
      </w:r>
      <w:r w:rsidR="005E2F26" w:rsidRPr="00D02805">
        <w:rPr>
          <w:color w:val="000000" w:themeColor="text1"/>
        </w:rPr>
        <w:t>.</w:t>
      </w:r>
    </w:p>
    <w:p w:rsidR="00D744A5" w:rsidRPr="00D744A5" w:rsidRDefault="00796D25" w:rsidP="00D744A5">
      <w:pPr>
        <w:numPr>
          <w:ilvl w:val="4"/>
          <w:numId w:val="1"/>
        </w:numPr>
        <w:rPr>
          <w:color w:val="000000" w:themeColor="text1"/>
        </w:rPr>
      </w:pPr>
      <w:r w:rsidRPr="00796D25">
        <w:rPr>
          <w:color w:val="000000" w:themeColor="text1"/>
        </w:rPr>
        <w:t>Table</w:t>
      </w:r>
      <w:r w:rsidR="00E37EC3">
        <w:rPr>
          <w:color w:val="000000" w:themeColor="text1"/>
        </w:rPr>
        <w:t xml:space="preserve"> </w:t>
      </w:r>
      <w:r w:rsidRPr="00796D25">
        <w:rPr>
          <w:noProof/>
          <w:color w:val="000000" w:themeColor="text1"/>
        </w:rPr>
        <w:t>5</w:t>
      </w:r>
      <w:r w:rsidR="00D744A5" w:rsidRPr="00D744A5">
        <w:rPr>
          <w:color w:val="000000" w:themeColor="text1"/>
        </w:rPr>
        <w:t xml:space="preserve"> summarises the SoC comparators nominated in the resubmission, by subgroup, representative tumour type, SoC study population and line of therapy.</w:t>
      </w:r>
    </w:p>
    <w:p w:rsidR="00D744A5" w:rsidRPr="00D744A5" w:rsidRDefault="00D744A5" w:rsidP="00D51B2C">
      <w:pPr>
        <w:pStyle w:val="Caption"/>
      </w:pPr>
      <w:bookmarkStart w:id="29" w:name="_Ref47880827"/>
      <w:r w:rsidRPr="00D744A5">
        <w:t>Table</w:t>
      </w:r>
      <w:r w:rsidR="00E37EC3">
        <w:t xml:space="preserve"> </w:t>
      </w:r>
      <w:r w:rsidR="00BB3DD1">
        <w:rPr>
          <w:noProof/>
        </w:rPr>
        <w:t>5</w:t>
      </w:r>
      <w:bookmarkEnd w:id="29"/>
      <w:r w:rsidR="00E37EC3">
        <w:rPr>
          <w:noProof/>
        </w:rPr>
        <w:t>:</w:t>
      </w:r>
      <w:r w:rsidR="00D117CD">
        <w:rPr>
          <w:noProof/>
        </w:rPr>
        <w:t xml:space="preserve"> </w:t>
      </w:r>
      <w:r w:rsidRPr="00D744A5">
        <w:t>SoC comparators by subgroup, representative tumour type, SoC study population and line of therapy</w:t>
      </w:r>
    </w:p>
    <w:tbl>
      <w:tblPr>
        <w:tblStyle w:val="HTATableshaded"/>
        <w:tblW w:w="9252" w:type="dxa"/>
        <w:tblLayout w:type="fixed"/>
        <w:tblLook w:val="0420" w:firstRow="1" w:lastRow="0" w:firstColumn="0" w:lastColumn="0" w:noHBand="0" w:noVBand="1"/>
        <w:tblCaption w:val="Table 5: SoC comparators by subgroup, representative tumour type, SoC study population and line of therapy"/>
      </w:tblPr>
      <w:tblGrid>
        <w:gridCol w:w="1066"/>
        <w:gridCol w:w="1339"/>
        <w:gridCol w:w="1276"/>
        <w:gridCol w:w="1512"/>
        <w:gridCol w:w="1984"/>
        <w:gridCol w:w="2075"/>
      </w:tblGrid>
      <w:tr w:rsidR="00D744A5" w:rsidRPr="00D744A5" w:rsidTr="003804EB">
        <w:trPr>
          <w:cnfStyle w:val="100000000000" w:firstRow="1" w:lastRow="0" w:firstColumn="0" w:lastColumn="0" w:oddVBand="0" w:evenVBand="0" w:oddHBand="0" w:evenHBand="0" w:firstRowFirstColumn="0" w:firstRowLastColumn="0" w:lastRowFirstColumn="0" w:lastRowLastColumn="0"/>
          <w:trHeight w:val="20"/>
          <w:tblHeader/>
        </w:trPr>
        <w:tc>
          <w:tcPr>
            <w:tcW w:w="1066" w:type="dxa"/>
            <w:shd w:val="clear" w:color="auto" w:fill="auto"/>
            <w:hideMark/>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b/>
                <w:sz w:val="20"/>
              </w:rPr>
              <w:t>Population sub-group</w:t>
            </w:r>
          </w:p>
        </w:tc>
        <w:tc>
          <w:tcPr>
            <w:tcW w:w="1339" w:type="dxa"/>
            <w:shd w:val="clear" w:color="auto" w:fill="auto"/>
            <w:hideMark/>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b/>
                <w:sz w:val="20"/>
              </w:rPr>
              <w:t>Representative/</w:t>
            </w:r>
            <w:r w:rsidR="00057EDA">
              <w:rPr>
                <w:rFonts w:ascii="Arial Narrow" w:hAnsi="Arial Narrow"/>
                <w:b/>
                <w:sz w:val="20"/>
              </w:rPr>
              <w:t xml:space="preserve"> </w:t>
            </w:r>
            <w:r w:rsidRPr="00D744A5">
              <w:rPr>
                <w:rFonts w:ascii="Arial Narrow" w:hAnsi="Arial Narrow"/>
                <w:b/>
                <w:sz w:val="20"/>
              </w:rPr>
              <w:t>specified tumour type</w:t>
            </w:r>
          </w:p>
        </w:tc>
        <w:tc>
          <w:tcPr>
            <w:tcW w:w="1276" w:type="dxa"/>
            <w:shd w:val="clear" w:color="auto" w:fill="auto"/>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b/>
                <w:sz w:val="20"/>
              </w:rPr>
              <w:t>SoC (single</w:t>
            </w:r>
            <w:r w:rsidR="00057EDA">
              <w:rPr>
                <w:rFonts w:ascii="Arial Narrow" w:hAnsi="Arial Narrow"/>
                <w:b/>
                <w:sz w:val="20"/>
              </w:rPr>
              <w:t>-</w:t>
            </w:r>
            <w:r w:rsidRPr="00D744A5">
              <w:rPr>
                <w:rFonts w:ascii="Arial Narrow" w:hAnsi="Arial Narrow"/>
                <w:b/>
                <w:sz w:val="20"/>
              </w:rPr>
              <w:t>arm)</w:t>
            </w:r>
          </w:p>
        </w:tc>
        <w:tc>
          <w:tcPr>
            <w:tcW w:w="1512" w:type="dxa"/>
            <w:shd w:val="clear" w:color="auto" w:fill="auto"/>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b/>
                <w:sz w:val="20"/>
              </w:rPr>
              <w:t>Study</w:t>
            </w:r>
          </w:p>
        </w:tc>
        <w:tc>
          <w:tcPr>
            <w:tcW w:w="1984" w:type="dxa"/>
            <w:shd w:val="clear" w:color="auto" w:fill="auto"/>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b/>
                <w:sz w:val="20"/>
              </w:rPr>
              <w:t>Line of therapy/</w:t>
            </w:r>
            <w:r w:rsidR="00057EDA" w:rsidRPr="00D744A5">
              <w:rPr>
                <w:rFonts w:ascii="Arial Narrow" w:hAnsi="Arial Narrow"/>
                <w:b/>
                <w:sz w:val="20"/>
              </w:rPr>
              <w:t>p</w:t>
            </w:r>
            <w:r w:rsidRPr="00D744A5">
              <w:rPr>
                <w:rFonts w:ascii="Arial Narrow" w:hAnsi="Arial Narrow"/>
                <w:b/>
                <w:sz w:val="20"/>
              </w:rPr>
              <w:t>opulation</w:t>
            </w:r>
          </w:p>
        </w:tc>
        <w:tc>
          <w:tcPr>
            <w:tcW w:w="2075" w:type="dxa"/>
            <w:shd w:val="clear" w:color="auto" w:fill="auto"/>
          </w:tcPr>
          <w:p w:rsidR="00D744A5" w:rsidRPr="00E047C9" w:rsidRDefault="00D744A5" w:rsidP="00D744A5">
            <w:pPr>
              <w:widowControl w:val="0"/>
              <w:spacing w:before="40" w:after="40" w:line="256" w:lineRule="auto"/>
              <w:jc w:val="left"/>
              <w:rPr>
                <w:rFonts w:ascii="Arial Narrow" w:hAnsi="Arial Narrow"/>
                <w:b/>
                <w:iCs/>
                <w:sz w:val="20"/>
              </w:rPr>
            </w:pPr>
            <w:r w:rsidRPr="00E047C9">
              <w:rPr>
                <w:rFonts w:ascii="Arial Narrow" w:hAnsi="Arial Narrow"/>
                <w:b/>
                <w:iCs/>
                <w:sz w:val="20"/>
              </w:rPr>
              <w:t xml:space="preserve">Outstanding/new limitations </w:t>
            </w:r>
          </w:p>
        </w:tc>
      </w:tr>
      <w:tr w:rsidR="00D744A5" w:rsidRPr="00D744A5" w:rsidTr="003804EB">
        <w:trPr>
          <w:trHeight w:val="20"/>
        </w:trPr>
        <w:tc>
          <w:tcPr>
            <w:tcW w:w="1066" w:type="dxa"/>
            <w:vMerge w:val="restart"/>
            <w:shd w:val="clear" w:color="auto" w:fill="auto"/>
            <w:hideMark/>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 xml:space="preserve">Paediatric high </w:t>
            </w:r>
            <w:r w:rsidRPr="00D744A5">
              <w:rPr>
                <w:rFonts w:ascii="Arial Narrow" w:hAnsi="Arial Narrow"/>
                <w:i/>
                <w:sz w:val="20"/>
              </w:rPr>
              <w:t>NTRK</w:t>
            </w:r>
            <w:r w:rsidRPr="00D744A5">
              <w:rPr>
                <w:rFonts w:ascii="Arial Narrow" w:hAnsi="Arial Narrow"/>
                <w:sz w:val="20"/>
              </w:rPr>
              <w:t xml:space="preserve"> fusion frequency</w:t>
            </w:r>
          </w:p>
        </w:tc>
        <w:tc>
          <w:tcPr>
            <w:tcW w:w="1339" w:type="dxa"/>
            <w:shd w:val="clear" w:color="auto" w:fill="auto"/>
            <w:hideMark/>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Infantile fibrosarcoma</w:t>
            </w:r>
          </w:p>
        </w:tc>
        <w:tc>
          <w:tcPr>
            <w:tcW w:w="1276" w:type="dxa"/>
            <w:shd w:val="clear" w:color="auto" w:fill="auto"/>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VAC</w:t>
            </w:r>
          </w:p>
        </w:tc>
        <w:tc>
          <w:tcPr>
            <w:tcW w:w="1512" w:type="dxa"/>
            <w:shd w:val="clear" w:color="auto" w:fill="auto"/>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No</w:t>
            </w:r>
            <w:r w:rsidR="008C4E0E">
              <w:rPr>
                <w:rFonts w:ascii="Arial Narrow" w:hAnsi="Arial Narrow"/>
                <w:sz w:val="20"/>
              </w:rPr>
              <w:t>ne</w:t>
            </w:r>
            <w:r w:rsidRPr="00D744A5">
              <w:rPr>
                <w:rFonts w:ascii="Arial Narrow" w:hAnsi="Arial Narrow"/>
                <w:sz w:val="20"/>
              </w:rPr>
              <w:t xml:space="preserve"> identified in the submission</w:t>
            </w:r>
          </w:p>
        </w:tc>
        <w:tc>
          <w:tcPr>
            <w:tcW w:w="1984" w:type="dxa"/>
            <w:shd w:val="clear" w:color="auto" w:fill="auto"/>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w:t>
            </w:r>
          </w:p>
        </w:tc>
        <w:tc>
          <w:tcPr>
            <w:tcW w:w="2075" w:type="dxa"/>
            <w:shd w:val="clear" w:color="auto" w:fill="auto"/>
          </w:tcPr>
          <w:p w:rsidR="00D744A5" w:rsidRPr="00D744A5" w:rsidRDefault="00D744A5" w:rsidP="00D744A5">
            <w:pPr>
              <w:widowControl w:val="0"/>
              <w:spacing w:before="40" w:after="40" w:line="256" w:lineRule="auto"/>
              <w:jc w:val="left"/>
              <w:rPr>
                <w:rFonts w:ascii="Arial Narrow" w:hAnsi="Arial Narrow"/>
                <w:sz w:val="20"/>
              </w:rPr>
            </w:pPr>
          </w:p>
        </w:tc>
      </w:tr>
      <w:tr w:rsidR="00246D05" w:rsidRPr="00D744A5" w:rsidTr="003804EB">
        <w:trPr>
          <w:trHeight w:val="20"/>
        </w:trPr>
        <w:tc>
          <w:tcPr>
            <w:tcW w:w="1066" w:type="dxa"/>
            <w:vMerge/>
            <w:shd w:val="clear" w:color="auto" w:fill="auto"/>
            <w:hideMark/>
          </w:tcPr>
          <w:p w:rsidR="00246D05" w:rsidRPr="00D744A5" w:rsidRDefault="00246D05" w:rsidP="00D744A5">
            <w:pPr>
              <w:widowControl w:val="0"/>
              <w:spacing w:before="40" w:after="40" w:line="256" w:lineRule="auto"/>
              <w:jc w:val="left"/>
              <w:rPr>
                <w:rFonts w:ascii="Arial Narrow" w:hAnsi="Arial Narrow"/>
                <w:b/>
                <w:sz w:val="20"/>
              </w:rPr>
            </w:pPr>
          </w:p>
        </w:tc>
        <w:tc>
          <w:tcPr>
            <w:tcW w:w="1339" w:type="dxa"/>
            <w:vMerge w:val="restart"/>
            <w:shd w:val="clear" w:color="auto" w:fill="auto"/>
            <w:hideMark/>
          </w:tcPr>
          <w:p w:rsidR="00246D05" w:rsidRPr="00D744A5" w:rsidRDefault="00246D05" w:rsidP="00D744A5">
            <w:pPr>
              <w:widowControl w:val="0"/>
              <w:spacing w:before="40" w:after="40" w:line="256" w:lineRule="auto"/>
              <w:jc w:val="left"/>
              <w:rPr>
                <w:rFonts w:ascii="Arial Narrow" w:hAnsi="Arial Narrow"/>
                <w:b/>
                <w:sz w:val="20"/>
              </w:rPr>
            </w:pPr>
            <w:r w:rsidRPr="00D744A5">
              <w:rPr>
                <w:rFonts w:ascii="Arial Narrow" w:hAnsi="Arial Narrow"/>
                <w:sz w:val="20"/>
              </w:rPr>
              <w:t xml:space="preserve">Soft </w:t>
            </w:r>
            <w:r w:rsidR="00057EDA" w:rsidRPr="00D744A5">
              <w:rPr>
                <w:rFonts w:ascii="Arial Narrow" w:hAnsi="Arial Narrow"/>
                <w:sz w:val="20"/>
              </w:rPr>
              <w:t>tissue sarc</w:t>
            </w:r>
            <w:r w:rsidRPr="00D744A5">
              <w:rPr>
                <w:rFonts w:ascii="Arial Narrow" w:hAnsi="Arial Narrow"/>
                <w:sz w:val="20"/>
              </w:rPr>
              <w:t>oma</w:t>
            </w:r>
          </w:p>
        </w:tc>
        <w:tc>
          <w:tcPr>
            <w:tcW w:w="1276" w:type="dxa"/>
            <w:shd w:val="clear" w:color="auto" w:fill="auto"/>
          </w:tcPr>
          <w:p w:rsidR="00246D05" w:rsidRPr="00D744A5" w:rsidRDefault="00246D05" w:rsidP="00D744A5">
            <w:pPr>
              <w:widowControl w:val="0"/>
              <w:spacing w:before="40" w:after="40" w:line="256" w:lineRule="auto"/>
              <w:jc w:val="left"/>
              <w:rPr>
                <w:rFonts w:ascii="Arial Narrow" w:hAnsi="Arial Narrow"/>
                <w:b/>
                <w:sz w:val="20"/>
              </w:rPr>
            </w:pPr>
            <w:r w:rsidRPr="00D744A5">
              <w:rPr>
                <w:rFonts w:ascii="Arial Narrow" w:hAnsi="Arial Narrow"/>
                <w:sz w:val="20"/>
              </w:rPr>
              <w:t>Ifosfamide + doxorubicin</w:t>
            </w:r>
          </w:p>
        </w:tc>
        <w:tc>
          <w:tcPr>
            <w:tcW w:w="1512" w:type="dxa"/>
            <w:shd w:val="clear" w:color="auto" w:fill="auto"/>
          </w:tcPr>
          <w:p w:rsidR="00246D05" w:rsidRPr="00D744A5" w:rsidRDefault="00246D05" w:rsidP="00D744A5">
            <w:pPr>
              <w:widowControl w:val="0"/>
              <w:spacing w:before="40" w:after="40" w:line="256" w:lineRule="auto"/>
              <w:jc w:val="left"/>
              <w:rPr>
                <w:rFonts w:ascii="Arial Narrow" w:hAnsi="Arial Narrow"/>
                <w:b/>
                <w:sz w:val="20"/>
              </w:rPr>
            </w:pPr>
            <w:r w:rsidRPr="00D744A5">
              <w:rPr>
                <w:rFonts w:ascii="Arial Narrow" w:hAnsi="Arial Narrow"/>
                <w:sz w:val="20"/>
              </w:rPr>
              <w:t>Sandler 2001</w:t>
            </w:r>
          </w:p>
        </w:tc>
        <w:tc>
          <w:tcPr>
            <w:tcW w:w="1984" w:type="dxa"/>
            <w:shd w:val="clear" w:color="auto" w:fill="auto"/>
          </w:tcPr>
          <w:p w:rsidR="00246D05" w:rsidRPr="00D744A5" w:rsidRDefault="00246D05" w:rsidP="00D744A5">
            <w:pPr>
              <w:widowControl w:val="0"/>
              <w:spacing w:before="40" w:after="40" w:line="256" w:lineRule="auto"/>
              <w:jc w:val="left"/>
              <w:rPr>
                <w:rFonts w:ascii="Arial Narrow" w:hAnsi="Arial Narrow"/>
                <w:sz w:val="20"/>
              </w:rPr>
            </w:pPr>
            <w:r w:rsidRPr="00D744A5">
              <w:rPr>
                <w:rFonts w:ascii="Arial Narrow" w:hAnsi="Arial Narrow"/>
                <w:sz w:val="20"/>
              </w:rPr>
              <w:t>First line</w:t>
            </w:r>
          </w:p>
          <w:p w:rsidR="00246D05" w:rsidRPr="00D744A5" w:rsidRDefault="00246D05" w:rsidP="00D744A5">
            <w:pPr>
              <w:widowControl w:val="0"/>
              <w:spacing w:before="40" w:after="40" w:line="256" w:lineRule="auto"/>
              <w:jc w:val="left"/>
              <w:rPr>
                <w:rFonts w:ascii="Arial Narrow" w:hAnsi="Arial Narrow"/>
                <w:b/>
                <w:sz w:val="20"/>
              </w:rPr>
            </w:pPr>
            <w:r w:rsidRPr="00D744A5">
              <w:rPr>
                <w:rFonts w:ascii="Arial Narrow" w:hAnsi="Arial Narrow"/>
                <w:sz w:val="20"/>
              </w:rPr>
              <w:t xml:space="preserve">Metastatic (Stage 4) rhabdomyosarcoma patients (aged &lt;21 years) </w:t>
            </w:r>
          </w:p>
        </w:tc>
        <w:tc>
          <w:tcPr>
            <w:tcW w:w="2075" w:type="dxa"/>
            <w:vMerge w:val="restart"/>
            <w:shd w:val="clear" w:color="auto" w:fill="auto"/>
          </w:tcPr>
          <w:p w:rsidR="00246D05" w:rsidRPr="00E047C9" w:rsidRDefault="00246D05" w:rsidP="00D744A5">
            <w:pPr>
              <w:widowControl w:val="0"/>
              <w:spacing w:before="40" w:after="40" w:line="256" w:lineRule="auto"/>
              <w:jc w:val="left"/>
              <w:rPr>
                <w:rFonts w:ascii="Arial Narrow" w:hAnsi="Arial Narrow"/>
                <w:iCs/>
                <w:sz w:val="20"/>
              </w:rPr>
            </w:pPr>
            <w:r w:rsidRPr="00E047C9">
              <w:rPr>
                <w:rFonts w:ascii="Arial Narrow" w:hAnsi="Arial Narrow"/>
                <w:iCs/>
                <w:sz w:val="20"/>
              </w:rPr>
              <w:t>The treatment of sarcoma is complex with combined modality therapy.</w:t>
            </w:r>
          </w:p>
          <w:p w:rsidR="00246D05" w:rsidRPr="00D744A5" w:rsidRDefault="00246D05" w:rsidP="00246D05">
            <w:pPr>
              <w:widowControl w:val="0"/>
              <w:spacing w:before="40" w:after="40" w:line="256" w:lineRule="auto"/>
              <w:jc w:val="left"/>
              <w:rPr>
                <w:rFonts w:ascii="Arial Narrow" w:hAnsi="Arial Narrow"/>
                <w:i/>
                <w:sz w:val="20"/>
              </w:rPr>
            </w:pPr>
            <w:r w:rsidRPr="00E047C9">
              <w:rPr>
                <w:rFonts w:ascii="Arial Narrow" w:hAnsi="Arial Narrow"/>
                <w:iCs/>
                <w:sz w:val="20"/>
              </w:rPr>
              <w:t xml:space="preserve">Sandler study is &gt;2 decades old. </w:t>
            </w:r>
            <w:r w:rsidR="00FD1492" w:rsidRPr="00E047C9">
              <w:rPr>
                <w:rFonts w:ascii="Arial Narrow" w:hAnsi="Arial Narrow"/>
                <w:iCs/>
                <w:sz w:val="20"/>
              </w:rPr>
              <w:t>Survival with o</w:t>
            </w:r>
            <w:r w:rsidRPr="00E047C9">
              <w:rPr>
                <w:rFonts w:ascii="Arial Narrow" w:hAnsi="Arial Narrow"/>
                <w:iCs/>
                <w:sz w:val="20"/>
              </w:rPr>
              <w:t xml:space="preserve">ld SoC may </w:t>
            </w:r>
            <w:r w:rsidR="00FD1492" w:rsidRPr="00E047C9">
              <w:rPr>
                <w:rFonts w:ascii="Arial Narrow" w:hAnsi="Arial Narrow"/>
                <w:iCs/>
                <w:sz w:val="20"/>
              </w:rPr>
              <w:t xml:space="preserve">not reflect </w:t>
            </w:r>
            <w:r w:rsidRPr="00E047C9">
              <w:rPr>
                <w:rFonts w:ascii="Arial Narrow" w:hAnsi="Arial Narrow"/>
                <w:iCs/>
                <w:sz w:val="20"/>
              </w:rPr>
              <w:t xml:space="preserve">survival </w:t>
            </w:r>
            <w:r w:rsidR="00FD1492" w:rsidRPr="00E047C9">
              <w:rPr>
                <w:rFonts w:ascii="Arial Narrow" w:hAnsi="Arial Narrow"/>
                <w:iCs/>
                <w:sz w:val="20"/>
              </w:rPr>
              <w:t>with</w:t>
            </w:r>
            <w:r w:rsidRPr="00E047C9">
              <w:rPr>
                <w:rFonts w:ascii="Arial Narrow" w:hAnsi="Arial Narrow"/>
                <w:iCs/>
                <w:sz w:val="20"/>
              </w:rPr>
              <w:t xml:space="preserve"> current SoC.</w:t>
            </w:r>
          </w:p>
        </w:tc>
      </w:tr>
      <w:tr w:rsidR="00246D05" w:rsidRPr="00D744A5" w:rsidTr="003804EB">
        <w:trPr>
          <w:trHeight w:val="20"/>
        </w:trPr>
        <w:tc>
          <w:tcPr>
            <w:tcW w:w="1066" w:type="dxa"/>
            <w:vMerge/>
            <w:shd w:val="clear" w:color="auto" w:fill="auto"/>
          </w:tcPr>
          <w:p w:rsidR="00246D05" w:rsidRPr="00D744A5" w:rsidRDefault="00246D05" w:rsidP="00D744A5">
            <w:pPr>
              <w:widowControl w:val="0"/>
              <w:spacing w:before="40" w:after="40" w:line="256" w:lineRule="auto"/>
              <w:jc w:val="left"/>
              <w:rPr>
                <w:rFonts w:ascii="Arial Narrow" w:hAnsi="Arial Narrow"/>
                <w:b/>
                <w:sz w:val="20"/>
                <w:highlight w:val="yellow"/>
              </w:rPr>
            </w:pPr>
          </w:p>
        </w:tc>
        <w:tc>
          <w:tcPr>
            <w:tcW w:w="1339" w:type="dxa"/>
            <w:vMerge/>
            <w:shd w:val="clear" w:color="auto" w:fill="auto"/>
          </w:tcPr>
          <w:p w:rsidR="00246D05" w:rsidRPr="00D744A5" w:rsidRDefault="00246D05" w:rsidP="00D744A5">
            <w:pPr>
              <w:widowControl w:val="0"/>
              <w:spacing w:before="40" w:after="40" w:line="256" w:lineRule="auto"/>
              <w:jc w:val="left"/>
              <w:rPr>
                <w:rFonts w:ascii="Arial Narrow" w:hAnsi="Arial Narrow"/>
                <w:b/>
                <w:sz w:val="20"/>
                <w:highlight w:val="yellow"/>
              </w:rPr>
            </w:pPr>
          </w:p>
        </w:tc>
        <w:tc>
          <w:tcPr>
            <w:tcW w:w="1276" w:type="dxa"/>
            <w:shd w:val="clear" w:color="auto" w:fill="auto"/>
          </w:tcPr>
          <w:p w:rsidR="00246D05" w:rsidRPr="00D744A5" w:rsidRDefault="00246D05" w:rsidP="00D744A5">
            <w:pPr>
              <w:widowControl w:val="0"/>
              <w:spacing w:before="40" w:after="40" w:line="256" w:lineRule="auto"/>
              <w:jc w:val="left"/>
              <w:rPr>
                <w:rFonts w:ascii="Arial Narrow" w:hAnsi="Arial Narrow"/>
                <w:b/>
                <w:sz w:val="20"/>
                <w:vertAlign w:val="superscript"/>
              </w:rPr>
            </w:pPr>
            <w:r w:rsidRPr="00D744A5">
              <w:rPr>
                <w:rFonts w:ascii="Arial Narrow" w:hAnsi="Arial Narrow"/>
                <w:sz w:val="20"/>
              </w:rPr>
              <w:t>Irinotecan + Vincristine</w:t>
            </w:r>
            <w:r w:rsidRPr="00D744A5">
              <w:rPr>
                <w:rFonts w:ascii="Arial Narrow" w:hAnsi="Arial Narrow"/>
                <w:sz w:val="20"/>
                <w:vertAlign w:val="superscript"/>
              </w:rPr>
              <w:t>a</w:t>
            </w:r>
          </w:p>
        </w:tc>
        <w:tc>
          <w:tcPr>
            <w:tcW w:w="1512" w:type="dxa"/>
            <w:shd w:val="clear" w:color="auto" w:fill="auto"/>
          </w:tcPr>
          <w:p w:rsidR="00246D05" w:rsidRPr="00D744A5" w:rsidRDefault="00246D05" w:rsidP="00D744A5">
            <w:pPr>
              <w:widowControl w:val="0"/>
              <w:spacing w:before="40" w:after="40" w:line="256" w:lineRule="auto"/>
              <w:jc w:val="left"/>
              <w:rPr>
                <w:rFonts w:ascii="Arial Narrow" w:hAnsi="Arial Narrow"/>
                <w:b/>
                <w:sz w:val="20"/>
              </w:rPr>
            </w:pPr>
            <w:r w:rsidRPr="00D744A5">
              <w:rPr>
                <w:rFonts w:ascii="Arial Narrow" w:hAnsi="Arial Narrow"/>
                <w:sz w:val="20"/>
              </w:rPr>
              <w:t>Mascarenhas 2010</w:t>
            </w:r>
          </w:p>
        </w:tc>
        <w:tc>
          <w:tcPr>
            <w:tcW w:w="1984" w:type="dxa"/>
            <w:shd w:val="clear" w:color="auto" w:fill="auto"/>
          </w:tcPr>
          <w:p w:rsidR="00246D05" w:rsidRPr="00D744A5" w:rsidRDefault="00246D05" w:rsidP="00D744A5">
            <w:pPr>
              <w:widowControl w:val="0"/>
              <w:spacing w:before="40" w:after="40" w:line="256" w:lineRule="auto"/>
              <w:jc w:val="left"/>
              <w:rPr>
                <w:rFonts w:ascii="Arial Narrow" w:hAnsi="Arial Narrow"/>
                <w:sz w:val="20"/>
              </w:rPr>
            </w:pPr>
            <w:r w:rsidRPr="00D744A5">
              <w:rPr>
                <w:rFonts w:ascii="Arial Narrow" w:hAnsi="Arial Narrow"/>
                <w:sz w:val="20"/>
              </w:rPr>
              <w:t>Later line</w:t>
            </w:r>
          </w:p>
          <w:p w:rsidR="00246D05" w:rsidRPr="00D744A5" w:rsidRDefault="00246D05" w:rsidP="00D744A5">
            <w:pPr>
              <w:widowControl w:val="0"/>
              <w:spacing w:before="40" w:after="40" w:line="256" w:lineRule="auto"/>
              <w:jc w:val="left"/>
              <w:rPr>
                <w:rFonts w:ascii="Arial Narrow" w:hAnsi="Arial Narrow"/>
                <w:sz w:val="20"/>
              </w:rPr>
            </w:pPr>
            <w:r w:rsidRPr="00D744A5">
              <w:rPr>
                <w:rFonts w:ascii="Arial Narrow" w:hAnsi="Arial Narrow"/>
                <w:sz w:val="20"/>
              </w:rPr>
              <w:t>Progressed rhabdomyosarcoma</w:t>
            </w:r>
          </w:p>
        </w:tc>
        <w:tc>
          <w:tcPr>
            <w:tcW w:w="2075" w:type="dxa"/>
            <w:vMerge/>
            <w:shd w:val="clear" w:color="auto" w:fill="auto"/>
          </w:tcPr>
          <w:p w:rsidR="00246D05" w:rsidRPr="00D744A5" w:rsidRDefault="00246D05" w:rsidP="00246D05">
            <w:pPr>
              <w:widowControl w:val="0"/>
              <w:spacing w:before="40" w:after="40" w:line="256" w:lineRule="auto"/>
              <w:jc w:val="left"/>
              <w:rPr>
                <w:rFonts w:ascii="Arial Narrow" w:hAnsi="Arial Narrow"/>
                <w:i/>
                <w:sz w:val="20"/>
              </w:rPr>
            </w:pPr>
          </w:p>
        </w:tc>
      </w:tr>
      <w:tr w:rsidR="00D744A5" w:rsidRPr="00D744A5" w:rsidTr="003804EB">
        <w:trPr>
          <w:trHeight w:val="20"/>
        </w:trPr>
        <w:tc>
          <w:tcPr>
            <w:tcW w:w="1066" w:type="dxa"/>
            <w:shd w:val="clear" w:color="auto" w:fill="auto"/>
            <w:hideMark/>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 xml:space="preserve">Adults high </w:t>
            </w:r>
            <w:r w:rsidRPr="00D744A5">
              <w:rPr>
                <w:rFonts w:ascii="Arial Narrow" w:hAnsi="Arial Narrow"/>
                <w:i/>
                <w:sz w:val="20"/>
              </w:rPr>
              <w:t>NTRK</w:t>
            </w:r>
            <w:r w:rsidRPr="00D744A5">
              <w:rPr>
                <w:rFonts w:ascii="Arial Narrow" w:hAnsi="Arial Narrow"/>
                <w:sz w:val="20"/>
              </w:rPr>
              <w:t xml:space="preserve"> fusion frequency</w:t>
            </w:r>
          </w:p>
        </w:tc>
        <w:tc>
          <w:tcPr>
            <w:tcW w:w="1339" w:type="dxa"/>
            <w:shd w:val="clear" w:color="auto" w:fill="auto"/>
            <w:hideMark/>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Salivary gland</w:t>
            </w:r>
          </w:p>
        </w:tc>
        <w:tc>
          <w:tcPr>
            <w:tcW w:w="1276" w:type="dxa"/>
            <w:shd w:val="clear" w:color="auto" w:fill="auto"/>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Cisplatin + vinorelbine</w:t>
            </w:r>
          </w:p>
        </w:tc>
        <w:tc>
          <w:tcPr>
            <w:tcW w:w="1512" w:type="dxa"/>
            <w:shd w:val="clear" w:color="auto" w:fill="auto"/>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Airoldi 2001</w:t>
            </w:r>
          </w:p>
        </w:tc>
        <w:tc>
          <w:tcPr>
            <w:tcW w:w="1984" w:type="dxa"/>
            <w:shd w:val="clear" w:color="auto" w:fill="auto"/>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First line</w:t>
            </w:r>
          </w:p>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Between April 1993 and February 1997, 36 patients (aged &gt;20 y</w:t>
            </w:r>
            <w:r w:rsidR="006D66BE">
              <w:rPr>
                <w:rFonts w:ascii="Arial Narrow" w:hAnsi="Arial Narrow"/>
                <w:sz w:val="20"/>
              </w:rPr>
              <w:t>ea</w:t>
            </w:r>
            <w:r w:rsidRPr="00D744A5">
              <w:rPr>
                <w:rFonts w:ascii="Arial Narrow" w:hAnsi="Arial Narrow"/>
                <w:sz w:val="20"/>
              </w:rPr>
              <w:t>rs) were entered into the study</w:t>
            </w:r>
            <w:r w:rsidRPr="00D744A5">
              <w:rPr>
                <w:rFonts w:ascii="Arial Narrow" w:hAnsi="Arial Narrow"/>
                <w:sz w:val="20"/>
                <w:vertAlign w:val="superscript"/>
              </w:rPr>
              <w:t>b</w:t>
            </w:r>
            <w:r w:rsidRPr="00D744A5">
              <w:rPr>
                <w:rFonts w:ascii="Arial Narrow" w:hAnsi="Arial Narrow"/>
                <w:b/>
                <w:sz w:val="20"/>
              </w:rPr>
              <w:t>.</w:t>
            </w:r>
          </w:p>
        </w:tc>
        <w:tc>
          <w:tcPr>
            <w:tcW w:w="2075" w:type="dxa"/>
            <w:shd w:val="clear" w:color="auto" w:fill="auto"/>
          </w:tcPr>
          <w:p w:rsidR="00D744A5" w:rsidRPr="00E047C9" w:rsidRDefault="00D744A5" w:rsidP="00D744A5">
            <w:pPr>
              <w:widowControl w:val="0"/>
              <w:spacing w:before="40" w:after="40" w:line="256" w:lineRule="auto"/>
              <w:jc w:val="left"/>
              <w:rPr>
                <w:rFonts w:ascii="Arial Narrow" w:hAnsi="Arial Narrow"/>
                <w:iCs/>
                <w:sz w:val="20"/>
              </w:rPr>
            </w:pPr>
            <w:r w:rsidRPr="00E047C9">
              <w:rPr>
                <w:rFonts w:ascii="Arial Narrow" w:hAnsi="Arial Narrow"/>
                <w:iCs/>
                <w:sz w:val="20"/>
              </w:rPr>
              <w:t xml:space="preserve">Old study (&gt; two decades </w:t>
            </w:r>
            <w:r w:rsidR="00412F57" w:rsidRPr="00E047C9">
              <w:rPr>
                <w:rFonts w:ascii="Arial Narrow" w:hAnsi="Arial Narrow"/>
                <w:iCs/>
                <w:sz w:val="20"/>
              </w:rPr>
              <w:t>old</w:t>
            </w:r>
            <w:r w:rsidR="00FD1492" w:rsidRPr="00E047C9">
              <w:rPr>
                <w:rFonts w:ascii="Arial Narrow" w:hAnsi="Arial Narrow"/>
                <w:iCs/>
                <w:sz w:val="20"/>
              </w:rPr>
              <w:t xml:space="preserve">) </w:t>
            </w:r>
            <w:r w:rsidRPr="00E047C9">
              <w:rPr>
                <w:rFonts w:ascii="Arial Narrow" w:hAnsi="Arial Narrow"/>
                <w:iCs/>
                <w:sz w:val="20"/>
              </w:rPr>
              <w:t>may</w:t>
            </w:r>
            <w:r w:rsidR="00412F57" w:rsidRPr="00E047C9">
              <w:rPr>
                <w:rFonts w:ascii="Arial Narrow" w:hAnsi="Arial Narrow"/>
                <w:iCs/>
                <w:sz w:val="20"/>
              </w:rPr>
              <w:t xml:space="preserve"> not reflect</w:t>
            </w:r>
            <w:r w:rsidRPr="00E047C9">
              <w:rPr>
                <w:rFonts w:ascii="Arial Narrow" w:hAnsi="Arial Narrow"/>
                <w:iCs/>
                <w:sz w:val="20"/>
              </w:rPr>
              <w:t xml:space="preserve"> survival </w:t>
            </w:r>
            <w:r w:rsidR="00FD1492" w:rsidRPr="00E047C9">
              <w:rPr>
                <w:rFonts w:ascii="Arial Narrow" w:hAnsi="Arial Narrow"/>
                <w:iCs/>
                <w:sz w:val="20"/>
              </w:rPr>
              <w:t>with</w:t>
            </w:r>
            <w:r w:rsidRPr="00E047C9">
              <w:rPr>
                <w:rFonts w:ascii="Arial Narrow" w:hAnsi="Arial Narrow"/>
                <w:iCs/>
                <w:sz w:val="20"/>
              </w:rPr>
              <w:t xml:space="preserve"> current SoC.</w:t>
            </w:r>
          </w:p>
          <w:p w:rsidR="00D744A5" w:rsidRPr="00D744A5" w:rsidRDefault="00D744A5" w:rsidP="00D744A5">
            <w:pPr>
              <w:widowControl w:val="0"/>
              <w:spacing w:before="40" w:after="40" w:line="256" w:lineRule="auto"/>
              <w:jc w:val="left"/>
              <w:rPr>
                <w:rFonts w:ascii="Arial Narrow" w:hAnsi="Arial Narrow"/>
                <w:i/>
                <w:sz w:val="20"/>
              </w:rPr>
            </w:pPr>
            <w:r w:rsidRPr="00E047C9">
              <w:rPr>
                <w:rFonts w:ascii="Arial Narrow" w:hAnsi="Arial Narrow"/>
                <w:iCs/>
                <w:sz w:val="20"/>
              </w:rPr>
              <w:t>MASC was the salivary gland subtype included in the larotrectinib studies whereas for this study, MASC was not recognised as a distinct form of salivary gland carcinoma</w:t>
            </w:r>
            <w:r w:rsidRPr="00E047C9">
              <w:rPr>
                <w:rFonts w:ascii="Arial Narrow" w:hAnsi="Arial Narrow"/>
                <w:iCs/>
                <w:sz w:val="20"/>
                <w:vertAlign w:val="superscript"/>
              </w:rPr>
              <w:t>e</w:t>
            </w:r>
            <w:r w:rsidRPr="00E047C9">
              <w:rPr>
                <w:rFonts w:ascii="Arial Narrow" w:hAnsi="Arial Narrow"/>
                <w:iCs/>
                <w:sz w:val="20"/>
              </w:rPr>
              <w:t>. MASC represents 4.5 % of salivary gland tumours.</w:t>
            </w:r>
          </w:p>
        </w:tc>
      </w:tr>
      <w:tr w:rsidR="00D744A5" w:rsidRPr="00D744A5" w:rsidTr="003804EB">
        <w:trPr>
          <w:trHeight w:val="20"/>
        </w:trPr>
        <w:tc>
          <w:tcPr>
            <w:tcW w:w="1066" w:type="dxa"/>
            <w:vMerge w:val="restart"/>
            <w:shd w:val="clear" w:color="auto" w:fill="auto"/>
            <w:hideMark/>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 xml:space="preserve">Paediatric low </w:t>
            </w:r>
            <w:r w:rsidRPr="00D744A5">
              <w:rPr>
                <w:rFonts w:ascii="Arial Narrow" w:hAnsi="Arial Narrow"/>
                <w:i/>
                <w:sz w:val="20"/>
              </w:rPr>
              <w:t>NTRK</w:t>
            </w:r>
            <w:r w:rsidRPr="00D744A5">
              <w:rPr>
                <w:rFonts w:ascii="Arial Narrow" w:hAnsi="Arial Narrow"/>
                <w:sz w:val="20"/>
              </w:rPr>
              <w:t xml:space="preserve"> fusion frequency</w:t>
            </w:r>
          </w:p>
        </w:tc>
        <w:tc>
          <w:tcPr>
            <w:tcW w:w="1339" w:type="dxa"/>
            <w:vMerge w:val="restart"/>
            <w:shd w:val="clear" w:color="auto" w:fill="auto"/>
            <w:hideMark/>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CNS/glioma</w:t>
            </w:r>
          </w:p>
        </w:tc>
        <w:tc>
          <w:tcPr>
            <w:tcW w:w="1276" w:type="dxa"/>
            <w:shd w:val="clear" w:color="auto" w:fill="auto"/>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TMZ</w:t>
            </w:r>
            <w:r w:rsidRPr="00D744A5">
              <w:rPr>
                <w:rFonts w:ascii="Arial Narrow" w:hAnsi="Arial Narrow"/>
                <w:sz w:val="20"/>
                <w:vertAlign w:val="superscript"/>
              </w:rPr>
              <w:t>c</w:t>
            </w:r>
            <w:r w:rsidRPr="00D744A5">
              <w:rPr>
                <w:rFonts w:ascii="Arial Narrow" w:hAnsi="Arial Narrow"/>
                <w:sz w:val="20"/>
              </w:rPr>
              <w:t xml:space="preserve"> </w:t>
            </w:r>
          </w:p>
        </w:tc>
        <w:tc>
          <w:tcPr>
            <w:tcW w:w="1512" w:type="dxa"/>
            <w:shd w:val="clear" w:color="auto" w:fill="auto"/>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Grill 2018</w:t>
            </w:r>
          </w:p>
        </w:tc>
        <w:tc>
          <w:tcPr>
            <w:tcW w:w="1984" w:type="dxa"/>
            <w:shd w:val="clear" w:color="auto" w:fill="auto"/>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First line</w:t>
            </w:r>
          </w:p>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Patients aged between 3 and 18 with localised, centrally neuropathology-confirmed, non-brainstem high grade glioma (HGG)</w:t>
            </w:r>
            <w:r w:rsidRPr="00D744A5">
              <w:rPr>
                <w:rFonts w:ascii="Arial Narrow" w:hAnsi="Arial Narrow"/>
                <w:sz w:val="20"/>
                <w:vertAlign w:val="superscript"/>
              </w:rPr>
              <w:t>c</w:t>
            </w:r>
            <w:r w:rsidRPr="00D744A5">
              <w:rPr>
                <w:rFonts w:ascii="Arial Narrow" w:hAnsi="Arial Narrow"/>
                <w:sz w:val="20"/>
              </w:rPr>
              <w:t>.</w:t>
            </w:r>
          </w:p>
        </w:tc>
        <w:tc>
          <w:tcPr>
            <w:tcW w:w="2075" w:type="dxa"/>
            <w:shd w:val="clear" w:color="auto" w:fill="auto"/>
          </w:tcPr>
          <w:p w:rsidR="00D744A5" w:rsidRPr="00D744A5" w:rsidRDefault="00D744A5" w:rsidP="00D744A5">
            <w:pPr>
              <w:widowControl w:val="0"/>
              <w:spacing w:before="40" w:after="40" w:line="256" w:lineRule="auto"/>
              <w:jc w:val="left"/>
              <w:rPr>
                <w:rFonts w:ascii="Arial Narrow" w:hAnsi="Arial Narrow"/>
                <w:i/>
                <w:sz w:val="20"/>
              </w:rPr>
            </w:pPr>
          </w:p>
        </w:tc>
      </w:tr>
      <w:tr w:rsidR="00D744A5" w:rsidRPr="00D744A5" w:rsidTr="003804EB">
        <w:trPr>
          <w:trHeight w:val="20"/>
        </w:trPr>
        <w:tc>
          <w:tcPr>
            <w:tcW w:w="1066" w:type="dxa"/>
            <w:vMerge/>
            <w:shd w:val="clear" w:color="auto" w:fill="auto"/>
          </w:tcPr>
          <w:p w:rsidR="00D744A5" w:rsidRPr="00D744A5" w:rsidRDefault="00D744A5" w:rsidP="00D744A5">
            <w:pPr>
              <w:widowControl w:val="0"/>
              <w:spacing w:before="40" w:after="40" w:line="256" w:lineRule="auto"/>
              <w:jc w:val="left"/>
              <w:rPr>
                <w:rFonts w:ascii="Arial Narrow" w:hAnsi="Arial Narrow"/>
                <w:b/>
                <w:sz w:val="20"/>
              </w:rPr>
            </w:pPr>
          </w:p>
        </w:tc>
        <w:tc>
          <w:tcPr>
            <w:tcW w:w="1339" w:type="dxa"/>
            <w:vMerge/>
            <w:shd w:val="clear" w:color="auto" w:fill="auto"/>
          </w:tcPr>
          <w:p w:rsidR="00D744A5" w:rsidRPr="00D744A5" w:rsidRDefault="00D744A5" w:rsidP="00D744A5">
            <w:pPr>
              <w:widowControl w:val="0"/>
              <w:spacing w:before="40" w:after="40" w:line="256" w:lineRule="auto"/>
              <w:jc w:val="left"/>
              <w:rPr>
                <w:rFonts w:ascii="Arial Narrow" w:hAnsi="Arial Narrow"/>
                <w:b/>
                <w:sz w:val="20"/>
              </w:rPr>
            </w:pPr>
          </w:p>
        </w:tc>
        <w:tc>
          <w:tcPr>
            <w:tcW w:w="1276" w:type="dxa"/>
            <w:shd w:val="clear" w:color="auto" w:fill="auto"/>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Lomustine</w:t>
            </w:r>
          </w:p>
        </w:tc>
        <w:tc>
          <w:tcPr>
            <w:tcW w:w="1512" w:type="dxa"/>
            <w:shd w:val="clear" w:color="auto" w:fill="auto"/>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Wick 2017</w:t>
            </w:r>
          </w:p>
        </w:tc>
        <w:tc>
          <w:tcPr>
            <w:tcW w:w="1984" w:type="dxa"/>
            <w:shd w:val="clear" w:color="auto" w:fill="auto"/>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Later line</w:t>
            </w:r>
          </w:p>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Between November 2011 through to December 2014, adult</w:t>
            </w:r>
            <w:r w:rsidRPr="00D744A5">
              <w:rPr>
                <w:rFonts w:ascii="Arial Narrow" w:hAnsi="Arial Narrow"/>
                <w:sz w:val="20"/>
                <w:vertAlign w:val="superscript"/>
              </w:rPr>
              <w:t>d</w:t>
            </w:r>
            <w:r w:rsidRPr="00D744A5">
              <w:rPr>
                <w:rFonts w:ascii="Arial Narrow" w:hAnsi="Arial Narrow"/>
                <w:sz w:val="20"/>
              </w:rPr>
              <w:t xml:space="preserve"> patients aged &gt;21 y</w:t>
            </w:r>
            <w:r w:rsidR="006D66BE">
              <w:rPr>
                <w:rFonts w:ascii="Arial Narrow" w:hAnsi="Arial Narrow"/>
                <w:sz w:val="20"/>
              </w:rPr>
              <w:t>ea</w:t>
            </w:r>
            <w:r w:rsidRPr="00D744A5">
              <w:rPr>
                <w:rFonts w:ascii="Arial Narrow" w:hAnsi="Arial Narrow"/>
                <w:sz w:val="20"/>
              </w:rPr>
              <w:t>rs with progressed glioblastoma received lomustine alone or lomustine + bevacizumab over a period of 37 months</w:t>
            </w:r>
          </w:p>
        </w:tc>
        <w:tc>
          <w:tcPr>
            <w:tcW w:w="2075" w:type="dxa"/>
            <w:shd w:val="clear" w:color="auto" w:fill="auto"/>
          </w:tcPr>
          <w:p w:rsidR="00D744A5" w:rsidRPr="00E047C9" w:rsidRDefault="00D744A5" w:rsidP="00D744A5">
            <w:pPr>
              <w:widowControl w:val="0"/>
              <w:spacing w:before="40" w:after="40" w:line="256" w:lineRule="auto"/>
              <w:jc w:val="left"/>
              <w:rPr>
                <w:rFonts w:ascii="Arial Narrow" w:hAnsi="Arial Narrow"/>
                <w:iCs/>
                <w:sz w:val="20"/>
              </w:rPr>
            </w:pPr>
            <w:r w:rsidRPr="00E047C9">
              <w:rPr>
                <w:rFonts w:ascii="Arial Narrow" w:hAnsi="Arial Narrow"/>
                <w:iCs/>
                <w:sz w:val="20"/>
              </w:rPr>
              <w:t xml:space="preserve">Applicability issue. This study was </w:t>
            </w:r>
            <w:r w:rsidR="00FD1492" w:rsidRPr="00E047C9">
              <w:rPr>
                <w:rFonts w:ascii="Arial Narrow" w:hAnsi="Arial Narrow"/>
                <w:iCs/>
                <w:sz w:val="20"/>
              </w:rPr>
              <w:t>in</w:t>
            </w:r>
            <w:r w:rsidRPr="00E047C9">
              <w:rPr>
                <w:rFonts w:ascii="Arial Narrow" w:hAnsi="Arial Narrow"/>
                <w:iCs/>
                <w:sz w:val="20"/>
              </w:rPr>
              <w:t xml:space="preserve"> adult</w:t>
            </w:r>
            <w:r w:rsidR="00246D05" w:rsidRPr="00E047C9">
              <w:rPr>
                <w:rFonts w:ascii="Arial Narrow" w:hAnsi="Arial Narrow"/>
                <w:iCs/>
                <w:sz w:val="20"/>
              </w:rPr>
              <w:t>s</w:t>
            </w:r>
            <w:r w:rsidRPr="00E047C9">
              <w:rPr>
                <w:rFonts w:ascii="Arial Narrow" w:hAnsi="Arial Narrow"/>
                <w:iCs/>
                <w:sz w:val="20"/>
              </w:rPr>
              <w:t xml:space="preserve"> (used in the resubmission as a proxy for paediatric patients).</w:t>
            </w:r>
          </w:p>
        </w:tc>
      </w:tr>
      <w:tr w:rsidR="00D744A5" w:rsidRPr="00D744A5" w:rsidTr="003804EB">
        <w:trPr>
          <w:trHeight w:val="1283"/>
        </w:trPr>
        <w:tc>
          <w:tcPr>
            <w:tcW w:w="1066" w:type="dxa"/>
            <w:vMerge w:val="restart"/>
            <w:shd w:val="clear" w:color="auto" w:fill="auto"/>
            <w:hideMark/>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 xml:space="preserve">Adults low </w:t>
            </w:r>
            <w:r w:rsidRPr="00D744A5">
              <w:rPr>
                <w:rFonts w:ascii="Arial Narrow" w:hAnsi="Arial Narrow"/>
                <w:i/>
                <w:sz w:val="20"/>
              </w:rPr>
              <w:t>NTRK</w:t>
            </w:r>
            <w:r w:rsidRPr="00D744A5">
              <w:rPr>
                <w:rFonts w:ascii="Arial Narrow" w:hAnsi="Arial Narrow"/>
                <w:sz w:val="20"/>
              </w:rPr>
              <w:t xml:space="preserve"> fusion frequency</w:t>
            </w:r>
          </w:p>
        </w:tc>
        <w:tc>
          <w:tcPr>
            <w:tcW w:w="1339" w:type="dxa"/>
            <w:vMerge w:val="restart"/>
            <w:shd w:val="clear" w:color="auto" w:fill="auto"/>
            <w:hideMark/>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 xml:space="preserve">Soft </w:t>
            </w:r>
            <w:r w:rsidR="008C4E0E">
              <w:rPr>
                <w:rFonts w:ascii="Arial Narrow" w:hAnsi="Arial Narrow"/>
                <w:sz w:val="20"/>
              </w:rPr>
              <w:t>t</w:t>
            </w:r>
            <w:r w:rsidRPr="00D744A5">
              <w:rPr>
                <w:rFonts w:ascii="Arial Narrow" w:hAnsi="Arial Narrow"/>
                <w:sz w:val="20"/>
              </w:rPr>
              <w:t xml:space="preserve">issue </w:t>
            </w:r>
            <w:r w:rsidR="008C4E0E">
              <w:rPr>
                <w:rFonts w:ascii="Arial Narrow" w:hAnsi="Arial Narrow"/>
                <w:sz w:val="20"/>
              </w:rPr>
              <w:t>s</w:t>
            </w:r>
            <w:r w:rsidRPr="00D744A5">
              <w:rPr>
                <w:rFonts w:ascii="Arial Narrow" w:hAnsi="Arial Narrow"/>
                <w:sz w:val="20"/>
              </w:rPr>
              <w:t>arcoma</w:t>
            </w:r>
          </w:p>
        </w:tc>
        <w:tc>
          <w:tcPr>
            <w:tcW w:w="1276" w:type="dxa"/>
            <w:shd w:val="clear" w:color="auto" w:fill="auto"/>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Dacarbazine</w:t>
            </w:r>
          </w:p>
        </w:tc>
        <w:tc>
          <w:tcPr>
            <w:tcW w:w="1512" w:type="dxa"/>
            <w:shd w:val="clear" w:color="auto" w:fill="auto"/>
          </w:tcPr>
          <w:p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Schöffski 2016</w:t>
            </w:r>
          </w:p>
        </w:tc>
        <w:tc>
          <w:tcPr>
            <w:tcW w:w="1984" w:type="dxa"/>
            <w:shd w:val="clear" w:color="auto" w:fill="auto"/>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Later line (not specified as last line).</w:t>
            </w:r>
          </w:p>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Patients aged ≥18 y</w:t>
            </w:r>
            <w:r w:rsidR="006D66BE">
              <w:rPr>
                <w:rFonts w:ascii="Arial Narrow" w:hAnsi="Arial Narrow"/>
                <w:sz w:val="20"/>
              </w:rPr>
              <w:t>ea</w:t>
            </w:r>
            <w:r w:rsidRPr="00D744A5">
              <w:rPr>
                <w:rFonts w:ascii="Arial Narrow" w:hAnsi="Arial Narrow"/>
                <w:sz w:val="20"/>
              </w:rPr>
              <w:t xml:space="preserve">rs with locally recurrent, advanced, or metastatic liposarcoma (de-differentiated, myxoid or round-cell, or pleomorphic liposarcoma) or leiomyosarcoma. For eligibility, patients were required to have disease that was not amenable to curative surgery or radiotherapy </w:t>
            </w:r>
          </w:p>
        </w:tc>
        <w:tc>
          <w:tcPr>
            <w:tcW w:w="2075" w:type="dxa"/>
            <w:shd w:val="clear" w:color="auto" w:fill="auto"/>
          </w:tcPr>
          <w:p w:rsidR="00D744A5" w:rsidRPr="00E047C9" w:rsidRDefault="00D744A5" w:rsidP="00D744A5">
            <w:pPr>
              <w:widowControl w:val="0"/>
              <w:spacing w:before="40" w:after="40" w:line="256" w:lineRule="auto"/>
              <w:jc w:val="left"/>
              <w:rPr>
                <w:rFonts w:ascii="Arial Narrow" w:hAnsi="Arial Narrow"/>
                <w:iCs/>
                <w:sz w:val="20"/>
              </w:rPr>
            </w:pPr>
            <w:r w:rsidRPr="00E047C9">
              <w:rPr>
                <w:rFonts w:ascii="Arial Narrow" w:hAnsi="Arial Narrow"/>
                <w:iCs/>
                <w:sz w:val="20"/>
              </w:rPr>
              <w:t>Eribulin (available on the PBS for liposarcoma</w:t>
            </w:r>
            <w:r w:rsidR="00FC7CF6" w:rsidRPr="00E047C9">
              <w:rPr>
                <w:rFonts w:ascii="Arial Narrow" w:hAnsi="Arial Narrow"/>
                <w:iCs/>
                <w:sz w:val="20"/>
              </w:rPr>
              <w:t xml:space="preserve"> </w:t>
            </w:r>
            <w:r w:rsidRPr="00E047C9">
              <w:rPr>
                <w:rFonts w:ascii="Arial Narrow" w:hAnsi="Arial Narrow"/>
                <w:iCs/>
                <w:sz w:val="20"/>
                <w:vertAlign w:val="superscript"/>
              </w:rPr>
              <w:t>f</w:t>
            </w:r>
            <w:r w:rsidRPr="00E047C9">
              <w:rPr>
                <w:rFonts w:ascii="Arial Narrow" w:hAnsi="Arial Narrow"/>
                <w:iCs/>
                <w:sz w:val="20"/>
              </w:rPr>
              <w:t>), was determined by the PBAC to provide, for some patients, a significant improvement in efficacy over dacarbazine (paragraph 7.2, eribulin PSD, November 2016).</w:t>
            </w:r>
          </w:p>
        </w:tc>
      </w:tr>
      <w:tr w:rsidR="00D744A5" w:rsidRPr="00D744A5" w:rsidTr="003804EB">
        <w:trPr>
          <w:trHeight w:val="1282"/>
        </w:trPr>
        <w:tc>
          <w:tcPr>
            <w:tcW w:w="1066" w:type="dxa"/>
            <w:vMerge/>
            <w:shd w:val="clear" w:color="auto" w:fill="auto"/>
          </w:tcPr>
          <w:p w:rsidR="00D744A5" w:rsidRPr="00D744A5" w:rsidRDefault="00D744A5" w:rsidP="00D744A5">
            <w:pPr>
              <w:widowControl w:val="0"/>
              <w:spacing w:before="40" w:after="40" w:line="256" w:lineRule="auto"/>
              <w:jc w:val="left"/>
              <w:rPr>
                <w:rFonts w:ascii="Arial Narrow" w:hAnsi="Arial Narrow"/>
                <w:sz w:val="20"/>
              </w:rPr>
            </w:pPr>
          </w:p>
        </w:tc>
        <w:tc>
          <w:tcPr>
            <w:tcW w:w="1339" w:type="dxa"/>
            <w:vMerge/>
            <w:shd w:val="clear" w:color="auto" w:fill="auto"/>
          </w:tcPr>
          <w:p w:rsidR="00D744A5" w:rsidRPr="00D744A5" w:rsidRDefault="00D744A5" w:rsidP="00D744A5">
            <w:pPr>
              <w:widowControl w:val="0"/>
              <w:spacing w:before="40" w:after="40" w:line="256" w:lineRule="auto"/>
              <w:jc w:val="left"/>
              <w:rPr>
                <w:rFonts w:ascii="Arial Narrow" w:hAnsi="Arial Narrow"/>
                <w:sz w:val="20"/>
              </w:rPr>
            </w:pPr>
          </w:p>
        </w:tc>
        <w:tc>
          <w:tcPr>
            <w:tcW w:w="1276" w:type="dxa"/>
            <w:shd w:val="clear" w:color="auto" w:fill="auto"/>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Placebo/</w:t>
            </w:r>
            <w:r w:rsidR="008C4E0E">
              <w:rPr>
                <w:rFonts w:ascii="Arial Narrow" w:hAnsi="Arial Narrow"/>
                <w:sz w:val="20"/>
              </w:rPr>
              <w:t xml:space="preserve"> </w:t>
            </w:r>
            <w:r w:rsidRPr="00D744A5">
              <w:rPr>
                <w:rFonts w:ascii="Arial Narrow" w:hAnsi="Arial Narrow"/>
                <w:sz w:val="20"/>
              </w:rPr>
              <w:t>BSC</w:t>
            </w:r>
          </w:p>
        </w:tc>
        <w:tc>
          <w:tcPr>
            <w:tcW w:w="1512" w:type="dxa"/>
            <w:shd w:val="clear" w:color="auto" w:fill="auto"/>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van der Graaf 2012</w:t>
            </w:r>
          </w:p>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(PALETTE)</w:t>
            </w:r>
          </w:p>
        </w:tc>
        <w:tc>
          <w:tcPr>
            <w:tcW w:w="1984" w:type="dxa"/>
            <w:shd w:val="clear" w:color="auto" w:fill="auto"/>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Later/last line.</w:t>
            </w:r>
          </w:p>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Patients with metastatic non-adipocytic soft-tissue sarcoma after failure of standard chemotherapy. Patients were randomly assigned to receive pazopanib (n=246) or placebo (n=123).</w:t>
            </w:r>
          </w:p>
        </w:tc>
        <w:tc>
          <w:tcPr>
            <w:tcW w:w="2075" w:type="dxa"/>
            <w:shd w:val="clear" w:color="auto" w:fill="auto"/>
          </w:tcPr>
          <w:p w:rsidR="00D744A5" w:rsidRPr="00E047C9" w:rsidRDefault="00D744A5" w:rsidP="00D744A5">
            <w:pPr>
              <w:widowControl w:val="0"/>
              <w:spacing w:before="40" w:after="40" w:line="256" w:lineRule="auto"/>
              <w:jc w:val="left"/>
              <w:rPr>
                <w:rFonts w:ascii="Arial Narrow" w:hAnsi="Arial Narrow"/>
                <w:iCs/>
                <w:sz w:val="20"/>
              </w:rPr>
            </w:pPr>
            <w:r w:rsidRPr="00E047C9">
              <w:rPr>
                <w:rFonts w:ascii="Arial Narrow" w:hAnsi="Arial Narrow"/>
                <w:iCs/>
                <w:sz w:val="20"/>
              </w:rPr>
              <w:t>56% had received ≥2 lines of therapy, and 21% had received ≥3 lines of therapy. Should earlier use of larotrectinib occur, placebo would not be an appropriate comparator.</w:t>
            </w:r>
          </w:p>
        </w:tc>
      </w:tr>
      <w:tr w:rsidR="007C3942" w:rsidRPr="00D744A5" w:rsidTr="003804EB">
        <w:trPr>
          <w:trHeight w:val="20"/>
        </w:trPr>
        <w:tc>
          <w:tcPr>
            <w:tcW w:w="1066" w:type="dxa"/>
            <w:vMerge/>
            <w:shd w:val="clear" w:color="auto" w:fill="auto"/>
            <w:hideMark/>
          </w:tcPr>
          <w:p w:rsidR="007C3942" w:rsidRPr="00D744A5" w:rsidRDefault="007C3942" w:rsidP="00D744A5">
            <w:pPr>
              <w:widowControl w:val="0"/>
              <w:spacing w:before="40" w:after="40" w:line="256" w:lineRule="auto"/>
              <w:jc w:val="left"/>
              <w:rPr>
                <w:rFonts w:ascii="Arial Narrow" w:hAnsi="Arial Narrow"/>
                <w:b/>
                <w:sz w:val="20"/>
                <w:highlight w:val="yellow"/>
              </w:rPr>
            </w:pPr>
          </w:p>
        </w:tc>
        <w:tc>
          <w:tcPr>
            <w:tcW w:w="1339" w:type="dxa"/>
            <w:shd w:val="clear" w:color="auto" w:fill="auto"/>
            <w:hideMark/>
          </w:tcPr>
          <w:p w:rsidR="007C3942" w:rsidRPr="00D744A5" w:rsidRDefault="007C3942" w:rsidP="00D744A5">
            <w:pPr>
              <w:widowControl w:val="0"/>
              <w:spacing w:before="40" w:after="40" w:line="256" w:lineRule="auto"/>
              <w:jc w:val="left"/>
              <w:rPr>
                <w:rFonts w:ascii="Arial Narrow" w:hAnsi="Arial Narrow"/>
                <w:b/>
                <w:sz w:val="20"/>
              </w:rPr>
            </w:pPr>
            <w:r w:rsidRPr="00D744A5">
              <w:rPr>
                <w:rFonts w:ascii="Arial Narrow" w:hAnsi="Arial Narrow"/>
                <w:sz w:val="20"/>
              </w:rPr>
              <w:t xml:space="preserve">Colorectal </w:t>
            </w:r>
            <w:r w:rsidR="008C4E0E">
              <w:rPr>
                <w:rFonts w:ascii="Arial Narrow" w:hAnsi="Arial Narrow"/>
                <w:sz w:val="20"/>
              </w:rPr>
              <w:t>c</w:t>
            </w:r>
            <w:r w:rsidRPr="00D744A5">
              <w:rPr>
                <w:rFonts w:ascii="Arial Narrow" w:hAnsi="Arial Narrow"/>
                <w:sz w:val="20"/>
              </w:rPr>
              <w:t>arcinoma</w:t>
            </w:r>
          </w:p>
        </w:tc>
        <w:tc>
          <w:tcPr>
            <w:tcW w:w="1276" w:type="dxa"/>
            <w:shd w:val="clear" w:color="auto" w:fill="auto"/>
          </w:tcPr>
          <w:p w:rsidR="007C3942" w:rsidRPr="00D744A5" w:rsidRDefault="007C3942" w:rsidP="00D744A5">
            <w:pPr>
              <w:widowControl w:val="0"/>
              <w:spacing w:before="40" w:after="40" w:line="256" w:lineRule="auto"/>
              <w:jc w:val="left"/>
              <w:rPr>
                <w:rFonts w:ascii="Arial Narrow" w:hAnsi="Arial Narrow"/>
                <w:b/>
                <w:sz w:val="20"/>
              </w:rPr>
            </w:pPr>
            <w:r w:rsidRPr="00D744A5">
              <w:rPr>
                <w:rFonts w:ascii="Arial Narrow" w:hAnsi="Arial Narrow"/>
                <w:sz w:val="20"/>
              </w:rPr>
              <w:t>BSC represented by TT</w:t>
            </w:r>
          </w:p>
        </w:tc>
        <w:tc>
          <w:tcPr>
            <w:tcW w:w="1512" w:type="dxa"/>
            <w:shd w:val="clear" w:color="auto" w:fill="auto"/>
          </w:tcPr>
          <w:p w:rsidR="007C3942" w:rsidRPr="00D744A5" w:rsidRDefault="007C3942" w:rsidP="00D744A5">
            <w:pPr>
              <w:widowControl w:val="0"/>
              <w:spacing w:before="40" w:after="40" w:line="256" w:lineRule="auto"/>
              <w:jc w:val="left"/>
              <w:rPr>
                <w:rFonts w:ascii="Arial Narrow" w:hAnsi="Arial Narrow"/>
                <w:b/>
                <w:sz w:val="20"/>
              </w:rPr>
            </w:pPr>
            <w:r w:rsidRPr="00D744A5">
              <w:rPr>
                <w:rFonts w:ascii="Arial Narrow" w:hAnsi="Arial Narrow"/>
                <w:sz w:val="20"/>
              </w:rPr>
              <w:t>Mayer 2015</w:t>
            </w:r>
          </w:p>
        </w:tc>
        <w:tc>
          <w:tcPr>
            <w:tcW w:w="1984" w:type="dxa"/>
            <w:shd w:val="clear" w:color="auto" w:fill="auto"/>
          </w:tcPr>
          <w:p w:rsidR="00412F57"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Last line</w:t>
            </w:r>
            <w:r w:rsidR="00412F57">
              <w:rPr>
                <w:rFonts w:ascii="Arial Narrow" w:hAnsi="Arial Narrow"/>
                <w:sz w:val="20"/>
              </w:rPr>
              <w:t>.</w:t>
            </w:r>
            <w:r w:rsidRPr="00D744A5">
              <w:rPr>
                <w:rFonts w:ascii="Arial Narrow" w:hAnsi="Arial Narrow"/>
                <w:sz w:val="20"/>
              </w:rPr>
              <w:t xml:space="preserve"> </w:t>
            </w:r>
          </w:p>
          <w:p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Patients &gt;27 y</w:t>
            </w:r>
            <w:r w:rsidR="006D66BE">
              <w:rPr>
                <w:rFonts w:ascii="Arial Narrow" w:hAnsi="Arial Narrow"/>
                <w:sz w:val="20"/>
              </w:rPr>
              <w:t>ea</w:t>
            </w:r>
            <w:r w:rsidRPr="00D744A5">
              <w:rPr>
                <w:rFonts w:ascii="Arial Narrow" w:hAnsi="Arial Narrow"/>
                <w:sz w:val="20"/>
              </w:rPr>
              <w:t>rs with refractory metastatic colorectal cancer or who had had clinically significant adverse events that precluded the re</w:t>
            </w:r>
            <w:r w:rsidR="006D66BE">
              <w:rPr>
                <w:rFonts w:ascii="Arial Narrow" w:hAnsi="Arial Narrow"/>
                <w:sz w:val="20"/>
              </w:rPr>
              <w:t>-</w:t>
            </w:r>
            <w:r w:rsidRPr="00D744A5">
              <w:rPr>
                <w:rFonts w:ascii="Arial Narrow" w:hAnsi="Arial Narrow"/>
                <w:sz w:val="20"/>
              </w:rPr>
              <w:t>administration of prior therapies</w:t>
            </w:r>
          </w:p>
        </w:tc>
        <w:tc>
          <w:tcPr>
            <w:tcW w:w="2075" w:type="dxa"/>
            <w:vMerge w:val="restart"/>
            <w:shd w:val="clear" w:color="auto" w:fill="auto"/>
          </w:tcPr>
          <w:p w:rsidR="007C3942" w:rsidRPr="00E047C9" w:rsidRDefault="007C3942" w:rsidP="007C3942">
            <w:pPr>
              <w:widowControl w:val="0"/>
              <w:spacing w:before="40" w:after="40" w:line="256" w:lineRule="auto"/>
              <w:jc w:val="left"/>
              <w:rPr>
                <w:rFonts w:ascii="Arial Narrow" w:hAnsi="Arial Narrow"/>
                <w:iCs/>
                <w:sz w:val="20"/>
              </w:rPr>
            </w:pPr>
            <w:r w:rsidRPr="00E047C9">
              <w:rPr>
                <w:rFonts w:ascii="Arial Narrow" w:hAnsi="Arial Narrow"/>
                <w:iCs/>
                <w:sz w:val="20"/>
              </w:rPr>
              <w:t xml:space="preserve">Comparators appear to be reasonable for the last line/BSC for heavily </w:t>
            </w:r>
            <w:r w:rsidR="006D66BE" w:rsidRPr="00E047C9">
              <w:rPr>
                <w:rFonts w:ascii="Arial Narrow" w:hAnsi="Arial Narrow"/>
                <w:iCs/>
                <w:sz w:val="20"/>
              </w:rPr>
              <w:t>pre-treated</w:t>
            </w:r>
            <w:r w:rsidRPr="00E047C9">
              <w:rPr>
                <w:rFonts w:ascii="Arial Narrow" w:hAnsi="Arial Narrow"/>
                <w:iCs/>
                <w:sz w:val="20"/>
              </w:rPr>
              <w:t xml:space="preserve"> patients. </w:t>
            </w:r>
          </w:p>
        </w:tc>
      </w:tr>
      <w:tr w:rsidR="007C3942" w:rsidRPr="00D744A5" w:rsidTr="003804EB">
        <w:trPr>
          <w:trHeight w:val="20"/>
        </w:trPr>
        <w:tc>
          <w:tcPr>
            <w:tcW w:w="1066" w:type="dxa"/>
            <w:vMerge/>
            <w:shd w:val="clear" w:color="auto" w:fill="auto"/>
          </w:tcPr>
          <w:p w:rsidR="007C3942" w:rsidRPr="00D744A5" w:rsidRDefault="007C3942" w:rsidP="00D744A5">
            <w:pPr>
              <w:widowControl w:val="0"/>
              <w:spacing w:before="40" w:after="40" w:line="256" w:lineRule="auto"/>
              <w:jc w:val="left"/>
              <w:rPr>
                <w:rFonts w:ascii="Arial Narrow" w:hAnsi="Arial Narrow"/>
                <w:b/>
                <w:sz w:val="20"/>
                <w:highlight w:val="yellow"/>
              </w:rPr>
            </w:pPr>
          </w:p>
        </w:tc>
        <w:tc>
          <w:tcPr>
            <w:tcW w:w="1339" w:type="dxa"/>
            <w:vMerge w:val="restart"/>
            <w:shd w:val="clear" w:color="auto" w:fill="auto"/>
          </w:tcPr>
          <w:p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N</w:t>
            </w:r>
            <w:r w:rsidR="008C4E0E">
              <w:rPr>
                <w:rFonts w:ascii="Arial Narrow" w:hAnsi="Arial Narrow"/>
                <w:sz w:val="20"/>
              </w:rPr>
              <w:t>on-small cell lung cancer</w:t>
            </w:r>
          </w:p>
        </w:tc>
        <w:tc>
          <w:tcPr>
            <w:tcW w:w="1276" w:type="dxa"/>
            <w:shd w:val="clear" w:color="auto" w:fill="auto"/>
          </w:tcPr>
          <w:p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Docetaxel</w:t>
            </w:r>
          </w:p>
        </w:tc>
        <w:tc>
          <w:tcPr>
            <w:tcW w:w="1512" w:type="dxa"/>
            <w:shd w:val="clear" w:color="auto" w:fill="auto"/>
          </w:tcPr>
          <w:p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Borghaei 2015</w:t>
            </w:r>
          </w:p>
          <w:p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(CheckMate 057)</w:t>
            </w:r>
          </w:p>
        </w:tc>
        <w:tc>
          <w:tcPr>
            <w:tcW w:w="1984" w:type="dxa"/>
            <w:shd w:val="clear" w:color="auto" w:fill="auto"/>
          </w:tcPr>
          <w:p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Second line</w:t>
            </w:r>
          </w:p>
          <w:p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Patients</w:t>
            </w:r>
          </w:p>
          <w:p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with non-squamous NSCLC that had progressed during</w:t>
            </w:r>
          </w:p>
          <w:p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or after platinum-based doublet chemotherapy Randomised to receive nivolumab (N=292) or docetaxel (N=290)</w:t>
            </w:r>
          </w:p>
        </w:tc>
        <w:tc>
          <w:tcPr>
            <w:tcW w:w="2075" w:type="dxa"/>
            <w:vMerge/>
            <w:shd w:val="clear" w:color="auto" w:fill="auto"/>
          </w:tcPr>
          <w:p w:rsidR="007C3942" w:rsidRPr="00D744A5" w:rsidRDefault="007C3942" w:rsidP="007C3942">
            <w:pPr>
              <w:widowControl w:val="0"/>
              <w:spacing w:before="40" w:after="40" w:line="256" w:lineRule="auto"/>
              <w:jc w:val="left"/>
              <w:rPr>
                <w:rFonts w:ascii="Arial Narrow" w:hAnsi="Arial Narrow"/>
                <w:i/>
                <w:sz w:val="20"/>
              </w:rPr>
            </w:pPr>
          </w:p>
        </w:tc>
      </w:tr>
      <w:tr w:rsidR="007C3942" w:rsidRPr="00D744A5" w:rsidTr="003804EB">
        <w:trPr>
          <w:trHeight w:val="20"/>
        </w:trPr>
        <w:tc>
          <w:tcPr>
            <w:tcW w:w="1066" w:type="dxa"/>
            <w:vMerge/>
            <w:shd w:val="clear" w:color="auto" w:fill="auto"/>
          </w:tcPr>
          <w:p w:rsidR="007C3942" w:rsidRPr="00D744A5" w:rsidRDefault="007C3942" w:rsidP="00D744A5">
            <w:pPr>
              <w:widowControl w:val="0"/>
              <w:spacing w:before="40" w:after="40" w:line="256" w:lineRule="auto"/>
              <w:jc w:val="left"/>
              <w:rPr>
                <w:rFonts w:ascii="Arial Narrow" w:hAnsi="Arial Narrow"/>
                <w:b/>
                <w:sz w:val="20"/>
                <w:highlight w:val="yellow"/>
              </w:rPr>
            </w:pPr>
          </w:p>
        </w:tc>
        <w:tc>
          <w:tcPr>
            <w:tcW w:w="1339" w:type="dxa"/>
            <w:vMerge/>
            <w:shd w:val="clear" w:color="auto" w:fill="auto"/>
          </w:tcPr>
          <w:p w:rsidR="007C3942" w:rsidRPr="00D744A5" w:rsidRDefault="007C3942" w:rsidP="00D744A5">
            <w:pPr>
              <w:widowControl w:val="0"/>
              <w:spacing w:before="40" w:after="40" w:line="256" w:lineRule="auto"/>
              <w:jc w:val="left"/>
              <w:rPr>
                <w:rFonts w:ascii="Arial Narrow" w:hAnsi="Arial Narrow"/>
                <w:sz w:val="20"/>
              </w:rPr>
            </w:pPr>
          </w:p>
        </w:tc>
        <w:tc>
          <w:tcPr>
            <w:tcW w:w="1276" w:type="dxa"/>
            <w:shd w:val="clear" w:color="auto" w:fill="auto"/>
          </w:tcPr>
          <w:p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BSC (placebo)</w:t>
            </w:r>
          </w:p>
        </w:tc>
        <w:tc>
          <w:tcPr>
            <w:tcW w:w="1512" w:type="dxa"/>
            <w:shd w:val="clear" w:color="auto" w:fill="auto"/>
          </w:tcPr>
          <w:p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Shepherd et al (2005)</w:t>
            </w:r>
          </w:p>
        </w:tc>
        <w:tc>
          <w:tcPr>
            <w:tcW w:w="1984" w:type="dxa"/>
            <w:shd w:val="clear" w:color="auto" w:fill="auto"/>
          </w:tcPr>
          <w:p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Last line</w:t>
            </w:r>
          </w:p>
          <w:p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NSCLC Patients ≥18 years of age, ECOG PS between 0 and 3, and had to have received one or two regimens of combination chemotherapy and not be eligible for further chemotherapy.</w:t>
            </w:r>
          </w:p>
        </w:tc>
        <w:tc>
          <w:tcPr>
            <w:tcW w:w="2075" w:type="dxa"/>
            <w:vMerge/>
            <w:shd w:val="clear" w:color="auto" w:fill="auto"/>
          </w:tcPr>
          <w:p w:rsidR="007C3942" w:rsidRPr="00D744A5" w:rsidRDefault="007C3942" w:rsidP="00D744A5">
            <w:pPr>
              <w:widowControl w:val="0"/>
              <w:spacing w:before="40" w:after="40" w:line="256" w:lineRule="auto"/>
              <w:jc w:val="left"/>
              <w:rPr>
                <w:rFonts w:ascii="Arial Narrow" w:hAnsi="Arial Narrow"/>
                <w:i/>
                <w:sz w:val="20"/>
              </w:rPr>
            </w:pPr>
          </w:p>
        </w:tc>
      </w:tr>
      <w:tr w:rsidR="00D744A5" w:rsidRPr="00D744A5" w:rsidTr="003804EB">
        <w:trPr>
          <w:trHeight w:val="20"/>
        </w:trPr>
        <w:tc>
          <w:tcPr>
            <w:tcW w:w="1066" w:type="dxa"/>
            <w:vMerge/>
            <w:shd w:val="clear" w:color="auto" w:fill="auto"/>
          </w:tcPr>
          <w:p w:rsidR="00D744A5" w:rsidRPr="00D744A5" w:rsidRDefault="00D744A5" w:rsidP="00D744A5">
            <w:pPr>
              <w:widowControl w:val="0"/>
              <w:spacing w:before="40" w:after="40" w:line="256" w:lineRule="auto"/>
              <w:jc w:val="left"/>
              <w:rPr>
                <w:rFonts w:ascii="Arial Narrow" w:hAnsi="Arial Narrow"/>
                <w:b/>
                <w:sz w:val="20"/>
                <w:highlight w:val="yellow"/>
              </w:rPr>
            </w:pPr>
          </w:p>
        </w:tc>
        <w:tc>
          <w:tcPr>
            <w:tcW w:w="1339" w:type="dxa"/>
            <w:shd w:val="clear" w:color="auto" w:fill="auto"/>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Thyroid</w:t>
            </w:r>
          </w:p>
        </w:tc>
        <w:tc>
          <w:tcPr>
            <w:tcW w:w="1276" w:type="dxa"/>
            <w:shd w:val="clear" w:color="auto" w:fill="auto"/>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Placebo/</w:t>
            </w:r>
            <w:r w:rsidR="008C4E0E">
              <w:rPr>
                <w:rFonts w:ascii="Arial Narrow" w:hAnsi="Arial Narrow"/>
                <w:sz w:val="20"/>
              </w:rPr>
              <w:t xml:space="preserve"> </w:t>
            </w:r>
            <w:r w:rsidRPr="00D744A5">
              <w:rPr>
                <w:rFonts w:ascii="Arial Narrow" w:hAnsi="Arial Narrow"/>
                <w:sz w:val="20"/>
              </w:rPr>
              <w:t>BSC</w:t>
            </w:r>
          </w:p>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Lenvatinib</w:t>
            </w:r>
          </w:p>
        </w:tc>
        <w:tc>
          <w:tcPr>
            <w:tcW w:w="1512" w:type="dxa"/>
            <w:shd w:val="clear" w:color="auto" w:fill="auto"/>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Schlumberger 2015</w:t>
            </w:r>
          </w:p>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(SELECT)</w:t>
            </w:r>
          </w:p>
        </w:tc>
        <w:tc>
          <w:tcPr>
            <w:tcW w:w="1984" w:type="dxa"/>
            <w:shd w:val="clear" w:color="auto" w:fill="auto"/>
          </w:tcPr>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Second/last line.</w:t>
            </w:r>
          </w:p>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Patients with</w:t>
            </w:r>
          </w:p>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progressive thyroid cancer that was refractory to iodine-131 randomised to lenvatinib (N=261)</w:t>
            </w:r>
          </w:p>
          <w:p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or placebo (N=131).</w:t>
            </w:r>
          </w:p>
        </w:tc>
        <w:tc>
          <w:tcPr>
            <w:tcW w:w="2075" w:type="dxa"/>
            <w:shd w:val="clear" w:color="auto" w:fill="auto"/>
          </w:tcPr>
          <w:p w:rsidR="00D744A5" w:rsidRPr="00E047C9" w:rsidRDefault="00D744A5" w:rsidP="00D744A5">
            <w:pPr>
              <w:widowControl w:val="0"/>
              <w:spacing w:before="40" w:after="40" w:line="256" w:lineRule="auto"/>
              <w:jc w:val="left"/>
              <w:rPr>
                <w:rFonts w:ascii="Arial Narrow" w:hAnsi="Arial Narrow"/>
                <w:iCs/>
                <w:sz w:val="20"/>
              </w:rPr>
            </w:pPr>
            <w:r w:rsidRPr="00E047C9">
              <w:rPr>
                <w:rFonts w:ascii="Arial Narrow" w:hAnsi="Arial Narrow"/>
                <w:iCs/>
                <w:sz w:val="20"/>
              </w:rPr>
              <w:t>Appears reasonable for this tumour type. Those with differentiated thyroid cancer who develop relapse</w:t>
            </w:r>
            <w:r w:rsidR="007C3942" w:rsidRPr="00E047C9">
              <w:rPr>
                <w:rFonts w:ascii="Arial Narrow" w:hAnsi="Arial Narrow"/>
                <w:iCs/>
                <w:sz w:val="20"/>
              </w:rPr>
              <w:t>d</w:t>
            </w:r>
            <w:r w:rsidRPr="00E047C9">
              <w:rPr>
                <w:rFonts w:ascii="Arial Narrow" w:hAnsi="Arial Narrow"/>
                <w:iCs/>
                <w:sz w:val="20"/>
              </w:rPr>
              <w:t>/refractory disease can be treated with PBS-subsidised lenvatinib or chemotherapy where lenvatinib is contraindicated</w:t>
            </w:r>
          </w:p>
        </w:tc>
      </w:tr>
    </w:tbl>
    <w:p w:rsidR="00D744A5" w:rsidRPr="00D744A5" w:rsidRDefault="00D744A5" w:rsidP="003A12E6">
      <w:pPr>
        <w:pStyle w:val="TableFooter"/>
      </w:pPr>
      <w:r w:rsidRPr="00D744A5">
        <w:t>Sources: Individual CSRs for the larotrectinib studies, publications for SoC comparator studies and Section 2D.4 of the submission.</w:t>
      </w:r>
    </w:p>
    <w:p w:rsidR="00D744A5" w:rsidRPr="00D744A5" w:rsidRDefault="00D744A5" w:rsidP="003A12E6">
      <w:pPr>
        <w:pStyle w:val="TableFooter"/>
      </w:pPr>
      <w:r w:rsidRPr="00D744A5">
        <w:t>Shaded: SoC studies previously considered by PBAC (Larotrectinib PSD, November 2020 PBAC Meeting).</w:t>
      </w:r>
    </w:p>
    <w:p w:rsidR="00D744A5" w:rsidRPr="00D744A5" w:rsidRDefault="00D744A5" w:rsidP="003A12E6">
      <w:pPr>
        <w:pStyle w:val="TableFooter"/>
      </w:pPr>
      <w:r w:rsidRPr="00D744A5">
        <w:rPr>
          <w:vertAlign w:val="superscript"/>
        </w:rPr>
        <w:t>a</w:t>
      </w:r>
      <w:r w:rsidRPr="00D744A5">
        <w:t>Two treatment schedules of I+V: regimen 1A included irinotecan 20 mg/m2/day IV for 5 days at weeks 1, 2, 4, and 5 with vincristine 1.5 mg/m2 administered IV on day 1 of weeks 1, 2, 4, and 5; regimen. 1B included irinotecan 50 mg/m</w:t>
      </w:r>
      <w:r w:rsidRPr="00D744A5">
        <w:rPr>
          <w:vertAlign w:val="superscript"/>
        </w:rPr>
        <w:t>2</w:t>
      </w:r>
      <w:r w:rsidRPr="00D744A5">
        <w:t>/day intravenously for 5 days at weeks 1 and 4 with vincristine as in regimen 1A. Disease response was assessed at week 6. Those with responsive disease continued to receive 44 weeks of multi-agent chemotherapy that incorporated the assigned I+V regimen. Only Regimen 1B was considered in the indirect comparison.</w:t>
      </w:r>
    </w:p>
    <w:p w:rsidR="00D744A5" w:rsidRPr="00D744A5" w:rsidRDefault="00D744A5" w:rsidP="003A12E6">
      <w:pPr>
        <w:pStyle w:val="TableFooter"/>
      </w:pPr>
      <w:r w:rsidRPr="00D744A5">
        <w:rPr>
          <w:vertAlign w:val="superscript"/>
        </w:rPr>
        <w:t>b</w:t>
      </w:r>
      <w:r w:rsidRPr="00D744A5">
        <w:t>Recurrent malignancy of major (parotid, submandibular, sublingual) or minor (hard palate, buccal mucosa, base of tongue, floor of mouth, paranasal sinus, nasopharynx, retromolar trigone, or other) salivary gland origin and one of the following histologies: adenoid cystic carcinoma, malignant mixed carcinoma, adenocarcinoma, or poorly differentiated mucoepidermoid carcinoma.</w:t>
      </w:r>
    </w:p>
    <w:p w:rsidR="00D744A5" w:rsidRPr="00D744A5" w:rsidRDefault="00D744A5" w:rsidP="003A12E6">
      <w:pPr>
        <w:pStyle w:val="TableFooter"/>
      </w:pPr>
      <w:r w:rsidRPr="00D744A5">
        <w:rPr>
          <w:vertAlign w:val="superscript"/>
        </w:rPr>
        <w:t>c</w:t>
      </w:r>
      <w:r w:rsidRPr="00D744A5">
        <w:t xml:space="preserve">Study aimed to evaluate the efficacy and safety of adding bevacizumab to postoperative radiotherapy + temozolomide (RT+TMZ+BEV) in in these patients. </w:t>
      </w:r>
    </w:p>
    <w:p w:rsidR="00D744A5" w:rsidRPr="00D744A5" w:rsidRDefault="00D744A5" w:rsidP="003A12E6">
      <w:pPr>
        <w:pStyle w:val="TableFooter"/>
      </w:pPr>
      <w:r w:rsidRPr="00D744A5">
        <w:rPr>
          <w:vertAlign w:val="superscript"/>
        </w:rPr>
        <w:t>d</w:t>
      </w:r>
      <w:r w:rsidRPr="00D744A5">
        <w:t xml:space="preserve">Study conducted in adult patients – used as a proxy as paediatric studies were not identified </w:t>
      </w:r>
    </w:p>
    <w:p w:rsidR="00D744A5" w:rsidRPr="00D117CD" w:rsidRDefault="00D744A5" w:rsidP="003A12E6">
      <w:pPr>
        <w:pStyle w:val="TableFooter"/>
        <w:rPr>
          <w:iCs/>
        </w:rPr>
      </w:pPr>
      <w:r w:rsidRPr="00D117CD">
        <w:rPr>
          <w:iCs/>
          <w:vertAlign w:val="superscript"/>
        </w:rPr>
        <w:t>e</w:t>
      </w:r>
      <w:r w:rsidRPr="00D117CD">
        <w:rPr>
          <w:iCs/>
        </w:rPr>
        <w:t>Skálová A, Vanecek T, Majewska H, Laco J, Grossmann P, Simpson RH, et al. Mammary analogue secretory carcinoma of salivary glands with high-grade transformation: report of 3 cases with the ETV6-NTRK3 gene fusion and analysis of TP53, β-catenin, EGFR, and CCND1 genes. The American journal of surgical pathology. 2014;38(1):23-33.</w:t>
      </w:r>
    </w:p>
    <w:p w:rsidR="00D744A5" w:rsidRPr="00D117CD" w:rsidRDefault="00D744A5" w:rsidP="003A12E6">
      <w:pPr>
        <w:pStyle w:val="TableFooter"/>
        <w:rPr>
          <w:iCs/>
        </w:rPr>
      </w:pPr>
      <w:r w:rsidRPr="00D117CD">
        <w:rPr>
          <w:iCs/>
        </w:rPr>
        <w:t>f The Surveillance, Epidemiology, and End Results (SEER) Program indicated the most common sarcomas were liposarcomas (17.1%), leiomyosarcomas (13.6%), and malignant fibrous histiocytoma (8.2%). – Refer to Paragraph 4.1, eribulin PSD, November 2016.</w:t>
      </w:r>
    </w:p>
    <w:p w:rsidR="00D744A5" w:rsidRPr="00D744A5" w:rsidRDefault="00D744A5" w:rsidP="003A12E6">
      <w:pPr>
        <w:pStyle w:val="TableFooter"/>
      </w:pPr>
      <w:r w:rsidRPr="00D117CD">
        <w:rPr>
          <w:iCs/>
        </w:rPr>
        <w:t>BSC</w:t>
      </w:r>
      <w:r w:rsidR="007C3942" w:rsidRPr="00D117CD">
        <w:rPr>
          <w:iCs/>
          <w:lang w:eastAsia="en-AU"/>
        </w:rPr>
        <w:t xml:space="preserve"> = </w:t>
      </w:r>
      <w:r w:rsidRPr="00D117CD">
        <w:rPr>
          <w:iCs/>
        </w:rPr>
        <w:t>best supportive care (TT=Trifluridine with tipiracil also known as TAS-102); CNS</w:t>
      </w:r>
      <w:r w:rsidR="007C3942" w:rsidRPr="00D117CD">
        <w:rPr>
          <w:iCs/>
          <w:lang w:eastAsia="en-AU"/>
        </w:rPr>
        <w:t xml:space="preserve"> = </w:t>
      </w:r>
      <w:r w:rsidRPr="00D117CD">
        <w:rPr>
          <w:iCs/>
        </w:rPr>
        <w:t>central nervous system; NTRK</w:t>
      </w:r>
      <w:r w:rsidR="007C3942" w:rsidRPr="00D117CD">
        <w:rPr>
          <w:iCs/>
          <w:lang w:eastAsia="en-AU"/>
        </w:rPr>
        <w:t xml:space="preserve"> = </w:t>
      </w:r>
      <w:r w:rsidRPr="00D117CD">
        <w:rPr>
          <w:iCs/>
        </w:rPr>
        <w:t>tropomyosin receptor kinase; PSD</w:t>
      </w:r>
      <w:r w:rsidR="007C3942" w:rsidRPr="00D117CD">
        <w:rPr>
          <w:iCs/>
          <w:lang w:eastAsia="en-AU"/>
        </w:rPr>
        <w:t xml:space="preserve"> = </w:t>
      </w:r>
      <w:r w:rsidRPr="00D117CD">
        <w:rPr>
          <w:iCs/>
        </w:rPr>
        <w:t>public summary document; TMZ</w:t>
      </w:r>
      <w:r w:rsidR="007C3942" w:rsidRPr="00D117CD">
        <w:rPr>
          <w:iCs/>
          <w:lang w:eastAsia="en-AU"/>
        </w:rPr>
        <w:t xml:space="preserve"> = </w:t>
      </w:r>
      <w:r w:rsidRPr="00D117CD">
        <w:rPr>
          <w:iCs/>
        </w:rPr>
        <w:t>temozolomide; VAC</w:t>
      </w:r>
      <w:r w:rsidR="007C3942" w:rsidRPr="00D117CD">
        <w:rPr>
          <w:iCs/>
          <w:lang w:eastAsia="en-AU"/>
        </w:rPr>
        <w:t xml:space="preserve"> = </w:t>
      </w:r>
      <w:r w:rsidRPr="00D117CD">
        <w:rPr>
          <w:iCs/>
        </w:rPr>
        <w:t>vincristine, actinomycin D, and cyclophosphamide; I+V</w:t>
      </w:r>
      <w:r w:rsidR="007C3942" w:rsidRPr="00D117CD">
        <w:rPr>
          <w:iCs/>
          <w:lang w:eastAsia="en-AU"/>
        </w:rPr>
        <w:t xml:space="preserve"> =</w:t>
      </w:r>
      <w:r w:rsidR="007C3942" w:rsidRPr="00FB6FEE">
        <w:rPr>
          <w:lang w:eastAsia="en-AU"/>
        </w:rPr>
        <w:t xml:space="preserve"> </w:t>
      </w:r>
      <w:r w:rsidRPr="00D744A5">
        <w:t>irinotecan + vincristine</w:t>
      </w:r>
    </w:p>
    <w:p w:rsidR="00D744A5" w:rsidRPr="00D744A5" w:rsidRDefault="00D744A5" w:rsidP="00D744A5">
      <w:pPr>
        <w:numPr>
          <w:ilvl w:val="4"/>
          <w:numId w:val="1"/>
        </w:numPr>
        <w:rPr>
          <w:color w:val="000000" w:themeColor="text1"/>
        </w:rPr>
      </w:pPr>
      <w:r w:rsidRPr="00D744A5">
        <w:rPr>
          <w:color w:val="000000" w:themeColor="text1"/>
        </w:rPr>
        <w:t xml:space="preserve">There were no comparator data by tumour type, or by the proposed subgroups for listing, in </w:t>
      </w:r>
      <w:r w:rsidRPr="006B71B1">
        <w:rPr>
          <w:i/>
          <w:color w:val="000000" w:themeColor="text1"/>
        </w:rPr>
        <w:t>NTRK</w:t>
      </w:r>
      <w:r w:rsidRPr="00D744A5">
        <w:rPr>
          <w:color w:val="000000" w:themeColor="text1"/>
        </w:rPr>
        <w:t xml:space="preserve"> fusion patients. Some additional SoC therapies used in the later-line setting were selected for some tumour types to match the refractory population in the larotrectinib studies.</w:t>
      </w:r>
    </w:p>
    <w:p w:rsidR="00D744A5" w:rsidRPr="007B73DB" w:rsidRDefault="00D744A5" w:rsidP="00D744A5">
      <w:pPr>
        <w:numPr>
          <w:ilvl w:val="4"/>
          <w:numId w:val="1"/>
        </w:numPr>
        <w:rPr>
          <w:iCs/>
          <w:color w:val="000000" w:themeColor="text1"/>
        </w:rPr>
      </w:pPr>
      <w:r w:rsidRPr="007B73DB">
        <w:rPr>
          <w:iCs/>
          <w:color w:val="000000" w:themeColor="text1"/>
        </w:rPr>
        <w:t xml:space="preserve">Concerns relating to the SoC comparators, nominated for the </w:t>
      </w:r>
      <w:r w:rsidR="009C7786" w:rsidRPr="007B73DB">
        <w:rPr>
          <w:iCs/>
          <w:color w:val="000000" w:themeColor="text1"/>
        </w:rPr>
        <w:t xml:space="preserve">proposed </w:t>
      </w:r>
      <w:r w:rsidRPr="007B73DB">
        <w:rPr>
          <w:iCs/>
          <w:color w:val="000000" w:themeColor="text1"/>
        </w:rPr>
        <w:t>four subgroups</w:t>
      </w:r>
      <w:r w:rsidR="009C7786" w:rsidRPr="007B73DB">
        <w:rPr>
          <w:iCs/>
          <w:color w:val="000000" w:themeColor="text1"/>
        </w:rPr>
        <w:t xml:space="preserve"> for listing</w:t>
      </w:r>
      <w:r w:rsidRPr="007B73DB">
        <w:rPr>
          <w:iCs/>
          <w:color w:val="000000" w:themeColor="text1"/>
        </w:rPr>
        <w:t>, largely remain the same as those raised for the previous submission. These concerns mainly related to the appropriateness and applicability of the SoC data, the transitivity of the populations and whether these factors favoured larotrectinib in the naïve indirect comparisons</w:t>
      </w:r>
      <w:r w:rsidR="009C7786" w:rsidRPr="007B73DB">
        <w:rPr>
          <w:iCs/>
          <w:color w:val="000000" w:themeColor="text1"/>
        </w:rPr>
        <w:t xml:space="preserve"> (paragraphs 5.2-5.8, larotrectinib PSD, November 2020)</w:t>
      </w:r>
      <w:r w:rsidRPr="007B73DB">
        <w:rPr>
          <w:iCs/>
          <w:color w:val="000000" w:themeColor="text1"/>
        </w:rPr>
        <w:t>. A summary is provided below</w:t>
      </w:r>
      <w:r w:rsidR="00CF7964" w:rsidRPr="007B73DB">
        <w:rPr>
          <w:iCs/>
          <w:color w:val="000000" w:themeColor="text1"/>
        </w:rPr>
        <w:t>.</w:t>
      </w:r>
    </w:p>
    <w:p w:rsidR="00D744A5" w:rsidRPr="007B73DB" w:rsidRDefault="00D744A5" w:rsidP="00D744A5">
      <w:pPr>
        <w:numPr>
          <w:ilvl w:val="4"/>
          <w:numId w:val="1"/>
        </w:numPr>
        <w:ind w:left="709"/>
        <w:rPr>
          <w:iCs/>
          <w:color w:val="000000" w:themeColor="text1"/>
        </w:rPr>
      </w:pPr>
      <w:r w:rsidRPr="007B73DB">
        <w:rPr>
          <w:b/>
          <w:iCs/>
          <w:color w:val="000000" w:themeColor="text1"/>
        </w:rPr>
        <w:t>For paediatric high fusion frequency</w:t>
      </w:r>
      <w:r w:rsidRPr="007B73DB">
        <w:rPr>
          <w:iCs/>
          <w:color w:val="000000" w:themeColor="text1"/>
        </w:rPr>
        <w:t>, the key issues were that 1) there were no SoC data identified for IFS and thus a comparison with paediatric STS (generally consisting of low frequency tumour types) had to be conducted, and 2) the SoC data for STS were sourced from a study more than two decades old</w:t>
      </w:r>
      <w:r w:rsidRPr="007B73DB">
        <w:rPr>
          <w:iCs/>
          <w:color w:val="000000" w:themeColor="text1"/>
          <w:vertAlign w:val="superscript"/>
        </w:rPr>
        <w:footnoteReference w:id="6"/>
      </w:r>
      <w:r w:rsidRPr="007B73DB">
        <w:rPr>
          <w:iCs/>
          <w:color w:val="000000" w:themeColor="text1"/>
        </w:rPr>
        <w:t xml:space="preserve"> which was unlikely to represent current SoC treatment outcomes. With the exclusion of paediatric STS, there are no available SoC data for paediatric high fusion frequency tumours (paragraph 5.4, larotrectinib PSD, November 2020).</w:t>
      </w:r>
    </w:p>
    <w:p w:rsidR="00D744A5" w:rsidRPr="007B73DB" w:rsidRDefault="00D744A5" w:rsidP="00D744A5">
      <w:pPr>
        <w:numPr>
          <w:ilvl w:val="4"/>
          <w:numId w:val="1"/>
        </w:numPr>
        <w:ind w:left="709"/>
        <w:rPr>
          <w:iCs/>
          <w:color w:val="000000" w:themeColor="text1"/>
        </w:rPr>
      </w:pPr>
      <w:r w:rsidRPr="007B73DB">
        <w:rPr>
          <w:b/>
          <w:iCs/>
          <w:color w:val="000000" w:themeColor="text1"/>
        </w:rPr>
        <w:t>For paediatric low frequency</w:t>
      </w:r>
      <w:r w:rsidRPr="007B73DB">
        <w:rPr>
          <w:iCs/>
          <w:color w:val="000000" w:themeColor="text1"/>
        </w:rPr>
        <w:t xml:space="preserve"> (representative tumour CNS/glioma), a SoC study conducted specifically in </w:t>
      </w:r>
      <w:r w:rsidRPr="007B73DB">
        <w:rPr>
          <w:iCs/>
          <w:color w:val="000000" w:themeColor="text1"/>
          <w:u w:val="single"/>
        </w:rPr>
        <w:t>adults</w:t>
      </w:r>
      <w:r w:rsidRPr="007B73DB">
        <w:rPr>
          <w:iCs/>
          <w:color w:val="000000" w:themeColor="text1"/>
        </w:rPr>
        <w:t xml:space="preserve"> with progressive glioblastoma</w:t>
      </w:r>
      <w:r w:rsidRPr="007B73DB">
        <w:rPr>
          <w:iCs/>
          <w:color w:val="000000" w:themeColor="text1"/>
          <w:vertAlign w:val="superscript"/>
        </w:rPr>
        <w:footnoteReference w:id="7"/>
      </w:r>
      <w:r w:rsidRPr="007B73DB">
        <w:rPr>
          <w:iCs/>
          <w:color w:val="000000" w:themeColor="text1"/>
        </w:rPr>
        <w:t>, was included as a proxy for SoC in paediatric CNS in a later-line setting, as other studies were not identified. This may not be conservative and the comparator study has limited applicability.</w:t>
      </w:r>
    </w:p>
    <w:p w:rsidR="00D744A5" w:rsidRPr="007B73DB" w:rsidRDefault="00D744A5" w:rsidP="00D744A5">
      <w:pPr>
        <w:numPr>
          <w:ilvl w:val="4"/>
          <w:numId w:val="1"/>
        </w:numPr>
        <w:ind w:left="709"/>
        <w:rPr>
          <w:iCs/>
          <w:color w:val="000000" w:themeColor="text1"/>
        </w:rPr>
      </w:pPr>
      <w:r w:rsidRPr="007B73DB">
        <w:rPr>
          <w:b/>
          <w:iCs/>
          <w:color w:val="000000" w:themeColor="text1"/>
        </w:rPr>
        <w:t xml:space="preserve">For adult high frequency </w:t>
      </w:r>
      <w:r w:rsidRPr="007B73DB">
        <w:rPr>
          <w:iCs/>
          <w:color w:val="000000" w:themeColor="text1"/>
        </w:rPr>
        <w:t>(specified tumour types MASC and SBC, representative tumour type MASC), there are applicability concerns with the SoC study which was conducted more than two decades ago (Airoldi 2001), and</w:t>
      </w:r>
      <w:r w:rsidR="00744B48" w:rsidRPr="007B73DB">
        <w:rPr>
          <w:iCs/>
          <w:color w:val="000000" w:themeColor="text1"/>
        </w:rPr>
        <w:t xml:space="preserve"> therefore</w:t>
      </w:r>
      <w:r w:rsidRPr="007B73DB">
        <w:rPr>
          <w:iCs/>
          <w:color w:val="000000" w:themeColor="text1"/>
        </w:rPr>
        <w:t xml:space="preserve"> may not represent survival outcomes associated with current SoC. Furthermore, MASC was also not recognised as a distinct form of salivary gland carcinoma. MASC makes up approximately 4.5 % of salivary gland tumours</w:t>
      </w:r>
      <w:r w:rsidRPr="007B73DB">
        <w:rPr>
          <w:iCs/>
          <w:color w:val="000000" w:themeColor="text1"/>
          <w:vertAlign w:val="superscript"/>
        </w:rPr>
        <w:footnoteReference w:id="8"/>
      </w:r>
      <w:r w:rsidRPr="007B73DB">
        <w:rPr>
          <w:iCs/>
          <w:color w:val="000000" w:themeColor="text1"/>
          <w:vertAlign w:val="superscript"/>
        </w:rPr>
        <w:footnoteReference w:id="9"/>
      </w:r>
      <w:r w:rsidRPr="007B73DB">
        <w:rPr>
          <w:iCs/>
          <w:color w:val="000000" w:themeColor="text1"/>
        </w:rPr>
        <w:t xml:space="preserve">. </w:t>
      </w:r>
    </w:p>
    <w:p w:rsidR="00D744A5" w:rsidRPr="00D744A5" w:rsidRDefault="00D744A5" w:rsidP="00D744A5">
      <w:pPr>
        <w:numPr>
          <w:ilvl w:val="4"/>
          <w:numId w:val="1"/>
        </w:numPr>
        <w:ind w:left="709"/>
        <w:rPr>
          <w:color w:val="000000" w:themeColor="text1"/>
        </w:rPr>
      </w:pPr>
      <w:r w:rsidRPr="00D744A5">
        <w:rPr>
          <w:b/>
          <w:color w:val="000000" w:themeColor="text1"/>
        </w:rPr>
        <w:t>For adult low frequency,</w:t>
      </w:r>
      <w:r w:rsidRPr="00D744A5">
        <w:rPr>
          <w:color w:val="000000" w:themeColor="text1"/>
        </w:rPr>
        <w:t xml:space="preserve"> the SoC comparators nominated for the specified tumour types were dacarbazine and placebo/BSC for STS, trifluridine/tipiracil for CRC, docetaxel and placebo for NSCLC, and lenvatinib for thyroid.</w:t>
      </w:r>
    </w:p>
    <w:p w:rsidR="00D744A5" w:rsidRPr="007B73DB" w:rsidRDefault="00D744A5" w:rsidP="00D744A5">
      <w:pPr>
        <w:ind w:left="720"/>
        <w:rPr>
          <w:iCs/>
          <w:color w:val="000000" w:themeColor="text1"/>
        </w:rPr>
      </w:pPr>
      <w:r w:rsidRPr="007B73DB">
        <w:rPr>
          <w:iCs/>
          <w:color w:val="000000" w:themeColor="text1"/>
        </w:rPr>
        <w:t xml:space="preserve">These comparators and </w:t>
      </w:r>
      <w:r w:rsidR="005E2F26" w:rsidRPr="007B73DB">
        <w:rPr>
          <w:iCs/>
          <w:color w:val="000000" w:themeColor="text1"/>
        </w:rPr>
        <w:t xml:space="preserve">their </w:t>
      </w:r>
      <w:r w:rsidRPr="007B73DB">
        <w:rPr>
          <w:iCs/>
          <w:color w:val="000000" w:themeColor="text1"/>
        </w:rPr>
        <w:t xml:space="preserve">corresponding studies </w:t>
      </w:r>
      <w:r w:rsidR="005E2F26" w:rsidRPr="007B73DB">
        <w:rPr>
          <w:iCs/>
          <w:color w:val="000000" w:themeColor="text1"/>
        </w:rPr>
        <w:t xml:space="preserve">in the resubmission </w:t>
      </w:r>
      <w:r w:rsidRPr="007B73DB">
        <w:rPr>
          <w:iCs/>
          <w:color w:val="000000" w:themeColor="text1"/>
        </w:rPr>
        <w:t xml:space="preserve">represent heavily </w:t>
      </w:r>
      <w:r w:rsidR="006D66BE" w:rsidRPr="007B73DB">
        <w:rPr>
          <w:iCs/>
          <w:color w:val="000000" w:themeColor="text1"/>
        </w:rPr>
        <w:t>pre-treated</w:t>
      </w:r>
      <w:r w:rsidRPr="007B73DB">
        <w:rPr>
          <w:iCs/>
          <w:color w:val="000000" w:themeColor="text1"/>
        </w:rPr>
        <w:t xml:space="preserve"> patient populations that have progressed on several lines of therapy</w:t>
      </w:r>
      <w:r w:rsidR="005E2F26" w:rsidRPr="007B73DB">
        <w:rPr>
          <w:iCs/>
          <w:color w:val="000000" w:themeColor="text1"/>
        </w:rPr>
        <w:t>,</w:t>
      </w:r>
      <w:r w:rsidRPr="007B73DB">
        <w:rPr>
          <w:iCs/>
          <w:color w:val="000000" w:themeColor="text1"/>
        </w:rPr>
        <w:t xml:space="preserve"> or for whom</w:t>
      </w:r>
      <w:r w:rsidR="00284F96" w:rsidRPr="007B73DB">
        <w:rPr>
          <w:iCs/>
          <w:color w:val="000000" w:themeColor="text1"/>
        </w:rPr>
        <w:t>,</w:t>
      </w:r>
      <w:r w:rsidRPr="007B73DB">
        <w:rPr>
          <w:iCs/>
          <w:color w:val="000000" w:themeColor="text1"/>
        </w:rPr>
        <w:t xml:space="preserve"> there are no </w:t>
      </w:r>
      <w:r w:rsidR="005E2F26" w:rsidRPr="007B73DB">
        <w:rPr>
          <w:iCs/>
          <w:color w:val="000000" w:themeColor="text1"/>
        </w:rPr>
        <w:t>alternative</w:t>
      </w:r>
      <w:r w:rsidRPr="007B73DB">
        <w:rPr>
          <w:iCs/>
          <w:color w:val="000000" w:themeColor="text1"/>
        </w:rPr>
        <w:t xml:space="preserve"> therapies. </w:t>
      </w:r>
      <w:r w:rsidR="006A679E" w:rsidRPr="007B73DB">
        <w:rPr>
          <w:iCs/>
          <w:color w:val="000000" w:themeColor="text1"/>
        </w:rPr>
        <w:t>Their applicability will be limited if l</w:t>
      </w:r>
      <w:r w:rsidR="007C3942" w:rsidRPr="007B73DB">
        <w:rPr>
          <w:iCs/>
          <w:color w:val="000000" w:themeColor="text1"/>
        </w:rPr>
        <w:t xml:space="preserve">arotrectinib </w:t>
      </w:r>
      <w:r w:rsidR="006A679E" w:rsidRPr="007B73DB">
        <w:rPr>
          <w:iCs/>
          <w:color w:val="000000" w:themeColor="text1"/>
        </w:rPr>
        <w:t xml:space="preserve">is </w:t>
      </w:r>
      <w:r w:rsidR="007C3942" w:rsidRPr="007B73DB">
        <w:rPr>
          <w:iCs/>
          <w:color w:val="000000" w:themeColor="text1"/>
        </w:rPr>
        <w:t>used</w:t>
      </w:r>
      <w:r w:rsidR="005E2F26" w:rsidRPr="007B73DB">
        <w:rPr>
          <w:iCs/>
          <w:color w:val="000000" w:themeColor="text1"/>
        </w:rPr>
        <w:t xml:space="preserve"> </w:t>
      </w:r>
      <w:r w:rsidR="00284F96" w:rsidRPr="007B73DB">
        <w:rPr>
          <w:iCs/>
          <w:color w:val="000000" w:themeColor="text1"/>
        </w:rPr>
        <w:t>earlier than intended</w:t>
      </w:r>
      <w:r w:rsidR="006A679E" w:rsidRPr="007B73DB">
        <w:rPr>
          <w:iCs/>
          <w:color w:val="000000" w:themeColor="text1"/>
        </w:rPr>
        <w:t xml:space="preserve">. </w:t>
      </w:r>
      <w:r w:rsidRPr="007B73DB">
        <w:rPr>
          <w:iCs/>
          <w:color w:val="000000" w:themeColor="text1"/>
        </w:rPr>
        <w:t xml:space="preserve">In addition, both the previous and current submissions did not fully address the </w:t>
      </w:r>
      <w:r w:rsidR="00284F96" w:rsidRPr="007B73DB">
        <w:rPr>
          <w:iCs/>
          <w:color w:val="000000" w:themeColor="text1"/>
        </w:rPr>
        <w:t xml:space="preserve">possible implications of the </w:t>
      </w:r>
      <w:r w:rsidRPr="007B73DB">
        <w:rPr>
          <w:iCs/>
          <w:color w:val="000000" w:themeColor="text1"/>
        </w:rPr>
        <w:t xml:space="preserve">co-occurrence of other predictive biomarkers in </w:t>
      </w:r>
      <w:r w:rsidRPr="007B73DB">
        <w:rPr>
          <w:i/>
          <w:color w:val="000000" w:themeColor="text1"/>
        </w:rPr>
        <w:t>NTRK</w:t>
      </w:r>
      <w:r w:rsidRPr="007B73DB">
        <w:rPr>
          <w:iCs/>
          <w:color w:val="000000" w:themeColor="text1"/>
        </w:rPr>
        <w:t xml:space="preserve"> fusion positive tumours</w:t>
      </w:r>
      <w:r w:rsidR="00744B48" w:rsidRPr="007B73DB">
        <w:rPr>
          <w:iCs/>
          <w:color w:val="000000" w:themeColor="text1"/>
        </w:rPr>
        <w:t xml:space="preserve"> for other targeted treatment options</w:t>
      </w:r>
      <w:r w:rsidRPr="007B73DB">
        <w:rPr>
          <w:iCs/>
          <w:color w:val="000000" w:themeColor="text1"/>
        </w:rPr>
        <w:t>.</w:t>
      </w:r>
    </w:p>
    <w:p w:rsidR="00D744A5" w:rsidRPr="007B73DB" w:rsidRDefault="00D744A5" w:rsidP="00D744A5">
      <w:pPr>
        <w:ind w:left="720"/>
        <w:rPr>
          <w:iCs/>
          <w:color w:val="000000" w:themeColor="text1"/>
        </w:rPr>
      </w:pPr>
      <w:r w:rsidRPr="007B73DB">
        <w:rPr>
          <w:iCs/>
          <w:color w:val="000000" w:themeColor="text1"/>
        </w:rPr>
        <w:t>As for the previous submission, for STS, the SoC study compared dacarbazine with eribulin in patients with advanced STS</w:t>
      </w:r>
      <w:r w:rsidRPr="007B73DB">
        <w:rPr>
          <w:iCs/>
          <w:color w:val="000000" w:themeColor="text1"/>
          <w:vertAlign w:val="superscript"/>
        </w:rPr>
        <w:footnoteReference w:id="10"/>
      </w:r>
      <w:r w:rsidRPr="007B73DB">
        <w:rPr>
          <w:iCs/>
          <w:color w:val="000000" w:themeColor="text1"/>
        </w:rPr>
        <w:t>.</w:t>
      </w:r>
      <w:r w:rsidR="00284F96" w:rsidRPr="007B73DB">
        <w:rPr>
          <w:iCs/>
          <w:color w:val="000000" w:themeColor="text1"/>
        </w:rPr>
        <w:t xml:space="preserve"> </w:t>
      </w:r>
      <w:r w:rsidRPr="007B73DB">
        <w:rPr>
          <w:iCs/>
          <w:color w:val="000000" w:themeColor="text1"/>
        </w:rPr>
        <w:t>However, eribulin was determined to be superior to dacarbazine in terms of OS benefit, which formed the clinical basis for listing eribulin on the PBS for liposarcoma, a common STS subtype</w:t>
      </w:r>
      <w:r w:rsidRPr="007B73DB">
        <w:rPr>
          <w:iCs/>
          <w:color w:val="000000" w:themeColor="text1"/>
          <w:vertAlign w:val="superscript"/>
        </w:rPr>
        <w:footnoteReference w:id="11"/>
      </w:r>
      <w:r w:rsidRPr="007B73DB">
        <w:rPr>
          <w:iCs/>
          <w:color w:val="000000" w:themeColor="text1"/>
        </w:rPr>
        <w:t xml:space="preserve">. Therefore, at least for liposarcoma, eribulin may be a more reasonable comparator. </w:t>
      </w:r>
    </w:p>
    <w:p w:rsidR="00D744A5" w:rsidRDefault="00ED5DF9" w:rsidP="00D744A5">
      <w:pPr>
        <w:numPr>
          <w:ilvl w:val="4"/>
          <w:numId w:val="1"/>
        </w:numPr>
        <w:ind w:left="709"/>
        <w:rPr>
          <w:iCs/>
          <w:color w:val="000000" w:themeColor="text1"/>
        </w:rPr>
      </w:pPr>
      <w:r w:rsidRPr="007B73DB">
        <w:rPr>
          <w:iCs/>
          <w:color w:val="000000" w:themeColor="text1"/>
        </w:rPr>
        <w:t xml:space="preserve">Aside from </w:t>
      </w:r>
      <w:r w:rsidR="00D744A5" w:rsidRPr="007B73DB">
        <w:rPr>
          <w:iCs/>
          <w:color w:val="000000" w:themeColor="text1"/>
        </w:rPr>
        <w:t xml:space="preserve">concerns </w:t>
      </w:r>
      <w:r w:rsidRPr="007B73DB">
        <w:rPr>
          <w:iCs/>
          <w:color w:val="000000" w:themeColor="text1"/>
        </w:rPr>
        <w:t>relating to t</w:t>
      </w:r>
      <w:r w:rsidR="00D744A5" w:rsidRPr="007B73DB">
        <w:rPr>
          <w:iCs/>
          <w:color w:val="000000" w:themeColor="text1"/>
        </w:rPr>
        <w:t xml:space="preserve">he age and applicability of the SoC studies, </w:t>
      </w:r>
      <w:r w:rsidR="00343DAD" w:rsidRPr="00066CBD">
        <w:rPr>
          <w:iCs/>
          <w:color w:val="000000" w:themeColor="text1"/>
        </w:rPr>
        <w:t xml:space="preserve">the ESCs noted </w:t>
      </w:r>
      <w:r w:rsidR="00D744A5" w:rsidRPr="00066CBD">
        <w:rPr>
          <w:iCs/>
          <w:color w:val="000000" w:themeColor="text1"/>
        </w:rPr>
        <w:t xml:space="preserve">there </w:t>
      </w:r>
      <w:r w:rsidR="00343DAD" w:rsidRPr="00066CBD">
        <w:rPr>
          <w:iCs/>
          <w:color w:val="000000" w:themeColor="text1"/>
        </w:rPr>
        <w:t xml:space="preserve">remained </w:t>
      </w:r>
      <w:r w:rsidR="00D744A5" w:rsidRPr="00066CBD">
        <w:rPr>
          <w:iCs/>
          <w:color w:val="000000" w:themeColor="text1"/>
        </w:rPr>
        <w:t>high heterogeneity in efficacy outcomes within and between</w:t>
      </w:r>
      <w:r w:rsidR="00D744A5" w:rsidRPr="007B73DB">
        <w:rPr>
          <w:iCs/>
          <w:color w:val="000000" w:themeColor="text1"/>
        </w:rPr>
        <w:t xml:space="preserve"> specific tumour types, treatment lines, and types of SoC therapy. This is reflective of clinical heterogeneity by </w:t>
      </w:r>
      <w:r w:rsidRPr="007B73DB">
        <w:rPr>
          <w:iCs/>
          <w:color w:val="000000" w:themeColor="text1"/>
        </w:rPr>
        <w:t xml:space="preserve">disease </w:t>
      </w:r>
      <w:r w:rsidR="00D744A5" w:rsidRPr="007B73DB">
        <w:rPr>
          <w:iCs/>
          <w:color w:val="000000" w:themeColor="text1"/>
        </w:rPr>
        <w:t>site/histology</w:t>
      </w:r>
      <w:r w:rsidR="000C434C" w:rsidRPr="007B73DB">
        <w:rPr>
          <w:iCs/>
          <w:color w:val="000000" w:themeColor="text1"/>
        </w:rPr>
        <w:t>,</w:t>
      </w:r>
      <w:r w:rsidR="00D744A5" w:rsidRPr="007B73DB">
        <w:rPr>
          <w:iCs/>
          <w:color w:val="000000" w:themeColor="text1"/>
        </w:rPr>
        <w:t xml:space="preserve"> tumour type</w:t>
      </w:r>
      <w:r w:rsidRPr="007B73DB">
        <w:rPr>
          <w:iCs/>
          <w:color w:val="000000" w:themeColor="text1"/>
        </w:rPr>
        <w:t>, other clinical patient characteristics,</w:t>
      </w:r>
      <w:r w:rsidR="00F6049A" w:rsidRPr="007B73DB">
        <w:rPr>
          <w:iCs/>
          <w:color w:val="000000" w:themeColor="text1"/>
        </w:rPr>
        <w:t xml:space="preserve"> and different treatment options</w:t>
      </w:r>
      <w:r w:rsidRPr="007B73DB">
        <w:rPr>
          <w:iCs/>
          <w:color w:val="000000" w:themeColor="text1"/>
        </w:rPr>
        <w:t xml:space="preserve"> and corresponding efficacy </w:t>
      </w:r>
      <w:r w:rsidR="00F6049A" w:rsidRPr="007B73DB">
        <w:rPr>
          <w:iCs/>
          <w:color w:val="000000" w:themeColor="text1"/>
        </w:rPr>
        <w:t>by treatment line. T</w:t>
      </w:r>
      <w:r w:rsidR="00D744A5" w:rsidRPr="007B73DB">
        <w:rPr>
          <w:iCs/>
          <w:color w:val="000000" w:themeColor="text1"/>
        </w:rPr>
        <w:t xml:space="preserve">he SoC data included in the resubmission may not reliably inform </w:t>
      </w:r>
      <w:r w:rsidRPr="007B73DB">
        <w:rPr>
          <w:iCs/>
          <w:color w:val="000000" w:themeColor="text1"/>
        </w:rPr>
        <w:t>any</w:t>
      </w:r>
      <w:r w:rsidR="00D744A5" w:rsidRPr="007B73DB">
        <w:rPr>
          <w:iCs/>
          <w:color w:val="000000" w:themeColor="text1"/>
        </w:rPr>
        <w:t xml:space="preserve"> incremental benefit of larotrectinib.</w:t>
      </w:r>
    </w:p>
    <w:p w:rsidR="00D117CD" w:rsidRPr="00D117CD" w:rsidRDefault="00D117CD" w:rsidP="00D117CD">
      <w:pPr>
        <w:ind w:firstLine="709"/>
        <w:rPr>
          <w:i/>
          <w:iCs/>
        </w:rPr>
      </w:pPr>
      <w:r w:rsidRPr="00D117CD">
        <w:rPr>
          <w:i/>
          <w:iCs/>
        </w:rPr>
        <w:t>For more detail on PBAC’s decision, see section 7 PBAC outcome</w:t>
      </w:r>
      <w:r>
        <w:rPr>
          <w:i/>
          <w:iCs/>
        </w:rPr>
        <w:t>.</w:t>
      </w:r>
    </w:p>
    <w:p w:rsidR="00C317F3" w:rsidRDefault="00C317F3" w:rsidP="0009334C">
      <w:pPr>
        <w:pStyle w:val="PBACESHeading1"/>
        <w:rPr>
          <w:rFonts w:asciiTheme="minorHAnsi" w:hAnsiTheme="minorHAnsi" w:cstheme="minorHAnsi"/>
          <w:sz w:val="32"/>
          <w:szCs w:val="40"/>
        </w:rPr>
      </w:pPr>
      <w:bookmarkStart w:id="30" w:name="_Toc82597076"/>
      <w:bookmarkStart w:id="31" w:name="_Hlk89182596"/>
      <w:r w:rsidRPr="00F3195B">
        <w:rPr>
          <w:rFonts w:asciiTheme="minorHAnsi" w:hAnsiTheme="minorHAnsi" w:cstheme="minorHAnsi"/>
          <w:sz w:val="32"/>
          <w:szCs w:val="40"/>
        </w:rPr>
        <w:t>Consideration of the evidence</w:t>
      </w:r>
      <w:bookmarkEnd w:id="25"/>
      <w:bookmarkEnd w:id="26"/>
      <w:bookmarkEnd w:id="30"/>
    </w:p>
    <w:p w:rsidR="004F1EA7" w:rsidRPr="00962538" w:rsidRDefault="004F1EA7" w:rsidP="004F1EA7">
      <w:pPr>
        <w:pStyle w:val="PBACESHeading2"/>
      </w:pPr>
      <w:bookmarkStart w:id="32" w:name="_Hlk88555356"/>
      <w:bookmarkStart w:id="33" w:name="_Toc82597077"/>
      <w:bookmarkEnd w:id="31"/>
      <w:r>
        <w:t xml:space="preserve">Sponsor hearing </w:t>
      </w:r>
    </w:p>
    <w:p w:rsidR="004F1EA7" w:rsidRDefault="004F1EA7" w:rsidP="004F1EA7">
      <w:pPr>
        <w:pStyle w:val="ListParagraph"/>
        <w:rPr>
          <w:color w:val="auto"/>
        </w:rPr>
      </w:pPr>
      <w:bookmarkStart w:id="34" w:name="_Hlk88555596"/>
      <w:bookmarkStart w:id="35" w:name="_Hlk88555605"/>
      <w:bookmarkEnd w:id="32"/>
      <w:r>
        <w:rPr>
          <w:color w:val="auto"/>
        </w:rPr>
        <w:t xml:space="preserve">The sponsor requested a hearing for this item and provided a written statement from a clinician which was specific to use of larotrectinib in sarcomas harbouring </w:t>
      </w:r>
      <w:r w:rsidRPr="00F87280">
        <w:rPr>
          <w:i/>
          <w:iCs/>
          <w:color w:val="auto"/>
        </w:rPr>
        <w:t>NTRK</w:t>
      </w:r>
      <w:r>
        <w:rPr>
          <w:color w:val="auto"/>
        </w:rPr>
        <w:t xml:space="preserve"> fusions</w:t>
      </w:r>
      <w:bookmarkEnd w:id="34"/>
      <w:r>
        <w:rPr>
          <w:color w:val="auto"/>
        </w:rPr>
        <w:t xml:space="preserve">. The clinician noted that </w:t>
      </w:r>
      <w:r w:rsidRPr="00817D91">
        <w:rPr>
          <w:i/>
          <w:iCs/>
          <w:color w:val="auto"/>
        </w:rPr>
        <w:t>NTRK</w:t>
      </w:r>
      <w:r>
        <w:rPr>
          <w:color w:val="auto"/>
        </w:rPr>
        <w:t xml:space="preserve"> fusion</w:t>
      </w:r>
      <w:r w:rsidR="00817D91">
        <w:rPr>
          <w:color w:val="auto"/>
        </w:rPr>
        <w:t>s are characteristic in certain subtypes of sarcomas such as infantile fibrosarcoma.</w:t>
      </w:r>
      <w:r w:rsidR="00B94F28">
        <w:rPr>
          <w:color w:val="auto"/>
        </w:rPr>
        <w:t xml:space="preserve"> The clinician described results from Demetri </w:t>
      </w:r>
      <w:bookmarkEnd w:id="35"/>
      <w:r w:rsidR="00B94F28">
        <w:rPr>
          <w:color w:val="auto"/>
        </w:rPr>
        <w:t xml:space="preserve">et al., 2019 </w:t>
      </w:r>
      <w:r w:rsidR="00B17BC8">
        <w:rPr>
          <w:color w:val="auto"/>
        </w:rPr>
        <w:t xml:space="preserve">of patients with </w:t>
      </w:r>
      <w:r w:rsidR="00B17BC8" w:rsidRPr="00B17BC8">
        <w:rPr>
          <w:i/>
          <w:iCs/>
          <w:color w:val="auto"/>
        </w:rPr>
        <w:t xml:space="preserve">NTRK </w:t>
      </w:r>
      <w:r w:rsidR="00B17BC8">
        <w:rPr>
          <w:color w:val="auto"/>
        </w:rPr>
        <w:t xml:space="preserve">fusion sarcomas treated with </w:t>
      </w:r>
      <w:r w:rsidR="00673803">
        <w:rPr>
          <w:color w:val="auto"/>
        </w:rPr>
        <w:t xml:space="preserve">larotrectinib from the three larotrectinib trials </w:t>
      </w:r>
      <w:r w:rsidR="00673803" w:rsidRPr="00673803">
        <w:rPr>
          <w:color w:val="auto"/>
        </w:rPr>
        <w:t>LOXO-001, NAVIGATE, and SCOUT</w:t>
      </w:r>
      <w:r w:rsidR="00B17BC8">
        <w:rPr>
          <w:color w:val="auto"/>
        </w:rPr>
        <w:t xml:space="preserve">. </w:t>
      </w:r>
      <w:r w:rsidR="000439CE">
        <w:rPr>
          <w:color w:val="auto"/>
        </w:rPr>
        <w:t xml:space="preserve">The clinician noted that the objective response rate </w:t>
      </w:r>
      <w:r w:rsidR="00723CB0">
        <w:rPr>
          <w:color w:val="auto"/>
        </w:rPr>
        <w:t xml:space="preserve">and </w:t>
      </w:r>
      <w:r w:rsidR="000C4881">
        <w:rPr>
          <w:color w:val="auto"/>
        </w:rPr>
        <w:t>median overall survival</w:t>
      </w:r>
      <w:r w:rsidR="000439CE">
        <w:rPr>
          <w:color w:val="auto"/>
        </w:rPr>
        <w:t xml:space="preserve"> </w:t>
      </w:r>
      <w:r w:rsidR="00186FAD">
        <w:rPr>
          <w:color w:val="auto"/>
        </w:rPr>
        <w:t>in Demetri et al., 201</w:t>
      </w:r>
      <w:r w:rsidR="00331066">
        <w:rPr>
          <w:color w:val="auto"/>
        </w:rPr>
        <w:t>9</w:t>
      </w:r>
      <w:r w:rsidR="00186FAD">
        <w:rPr>
          <w:color w:val="auto"/>
        </w:rPr>
        <w:t xml:space="preserve"> </w:t>
      </w:r>
      <w:r w:rsidR="00136C41">
        <w:rPr>
          <w:color w:val="auto"/>
        </w:rPr>
        <w:t>of</w:t>
      </w:r>
      <w:r w:rsidR="00186FAD">
        <w:rPr>
          <w:color w:val="auto"/>
        </w:rPr>
        <w:t xml:space="preserve"> 88% (</w:t>
      </w:r>
      <w:r w:rsidR="00186FAD" w:rsidRPr="00186FAD">
        <w:rPr>
          <w:color w:val="auto"/>
        </w:rPr>
        <w:t>95% CI:</w:t>
      </w:r>
      <w:r w:rsidR="00186FAD">
        <w:rPr>
          <w:color w:val="auto"/>
        </w:rPr>
        <w:t>77</w:t>
      </w:r>
      <w:r w:rsidR="00186FAD" w:rsidRPr="00186FAD">
        <w:rPr>
          <w:color w:val="auto"/>
        </w:rPr>
        <w:t xml:space="preserve">, </w:t>
      </w:r>
      <w:r w:rsidR="00186FAD">
        <w:rPr>
          <w:color w:val="auto"/>
        </w:rPr>
        <w:t>94</w:t>
      </w:r>
      <w:r w:rsidR="00186FAD" w:rsidRPr="00186FAD">
        <w:rPr>
          <w:color w:val="auto"/>
        </w:rPr>
        <w:t>)</w:t>
      </w:r>
      <w:r w:rsidR="000C4881">
        <w:rPr>
          <w:color w:val="auto"/>
        </w:rPr>
        <w:t xml:space="preserve"> and 44.4 months respectively, </w:t>
      </w:r>
      <w:r w:rsidR="00136C41">
        <w:rPr>
          <w:color w:val="auto"/>
        </w:rPr>
        <w:t xml:space="preserve">was higher than that previously observed </w:t>
      </w:r>
      <w:r w:rsidR="00723CB0">
        <w:rPr>
          <w:color w:val="auto"/>
        </w:rPr>
        <w:t>for doxorubicin</w:t>
      </w:r>
      <w:r w:rsidR="00444DB1">
        <w:rPr>
          <w:color w:val="auto"/>
        </w:rPr>
        <w:t xml:space="preserve"> (18%</w:t>
      </w:r>
      <w:r w:rsidR="004B0AE6">
        <w:rPr>
          <w:color w:val="auto"/>
        </w:rPr>
        <w:t xml:space="preserve"> - </w:t>
      </w:r>
      <w:r w:rsidR="00444DB1">
        <w:rPr>
          <w:color w:val="auto"/>
        </w:rPr>
        <w:t>23%</w:t>
      </w:r>
      <w:r w:rsidR="000203BE">
        <w:rPr>
          <w:color w:val="auto"/>
        </w:rPr>
        <w:t xml:space="preserve">, approximately 24 months median overall survival) </w:t>
      </w:r>
      <w:r w:rsidR="000C4881">
        <w:rPr>
          <w:color w:val="auto"/>
        </w:rPr>
        <w:t xml:space="preserve">in patients with </w:t>
      </w:r>
      <w:r w:rsidR="00444DB1">
        <w:rPr>
          <w:color w:val="auto"/>
        </w:rPr>
        <w:t>metastatic soft-tissue sarcoma</w:t>
      </w:r>
      <w:r w:rsidR="00331066">
        <w:rPr>
          <w:color w:val="auto"/>
        </w:rPr>
        <w:t>.</w:t>
      </w:r>
      <w:r w:rsidR="00202F19">
        <w:rPr>
          <w:color w:val="auto"/>
        </w:rPr>
        <w:t xml:space="preserve"> The clinician</w:t>
      </w:r>
      <w:r w:rsidR="003A0C71">
        <w:rPr>
          <w:color w:val="auto"/>
        </w:rPr>
        <w:t xml:space="preserve"> considered </w:t>
      </w:r>
      <w:r w:rsidR="00021BEB">
        <w:rPr>
          <w:color w:val="auto"/>
        </w:rPr>
        <w:t xml:space="preserve">it would be appropriate to position larotrectinib </w:t>
      </w:r>
      <w:r w:rsidR="007B7A41">
        <w:rPr>
          <w:color w:val="auto"/>
        </w:rPr>
        <w:t>as first-line therapy for soft-tissue sarcoma on the basis of the benefit observed</w:t>
      </w:r>
      <w:r w:rsidR="00E9114D">
        <w:rPr>
          <w:color w:val="auto"/>
        </w:rPr>
        <w:t xml:space="preserve">. The clinician indicated that </w:t>
      </w:r>
      <w:r w:rsidR="004B0AE6">
        <w:rPr>
          <w:color w:val="auto"/>
        </w:rPr>
        <w:t>first-line combination chemotherapy with doxorubicin and ifosfamide would likely have a substantially smaller benefit compared with larotrectinib</w:t>
      </w:r>
      <w:r w:rsidR="0006645B">
        <w:rPr>
          <w:color w:val="auto"/>
        </w:rPr>
        <w:t xml:space="preserve"> for soft-tissue sarcoma</w:t>
      </w:r>
      <w:r w:rsidR="004B0AE6">
        <w:rPr>
          <w:color w:val="auto"/>
        </w:rPr>
        <w:t xml:space="preserve"> and would be associated with costs due to inpatient management of ifosfamide and greater toxicities compared to larotrectinib.   </w:t>
      </w:r>
    </w:p>
    <w:p w:rsidR="004F157D" w:rsidRPr="00962538" w:rsidRDefault="004F157D" w:rsidP="004F157D">
      <w:pPr>
        <w:pStyle w:val="PBACESHeading2"/>
      </w:pPr>
      <w:r>
        <w:t xml:space="preserve">Consumer comments </w:t>
      </w:r>
    </w:p>
    <w:p w:rsidR="00EB38E8" w:rsidRPr="00EB38E8" w:rsidRDefault="00A551DE" w:rsidP="00A551DE">
      <w:pPr>
        <w:pStyle w:val="ListParagraph"/>
        <w:rPr>
          <w:color w:val="auto"/>
        </w:rPr>
      </w:pPr>
      <w:r w:rsidRPr="00210905">
        <w:t xml:space="preserve">The </w:t>
      </w:r>
      <w:r w:rsidR="00D97A7E" w:rsidRPr="00D97A7E">
        <w:t>PBAC noted and welcomed the input from health care professionals (</w:t>
      </w:r>
      <w:r w:rsidR="00D97258">
        <w:t>3</w:t>
      </w:r>
      <w:r w:rsidR="00D97A7E" w:rsidRPr="00D97A7E">
        <w:t>) and organisations (</w:t>
      </w:r>
      <w:r w:rsidR="00E577A5">
        <w:t>2</w:t>
      </w:r>
      <w:r w:rsidR="00D97A7E" w:rsidRPr="00D97A7E">
        <w:t>) via the Consumer Comments facility on the PBS website.</w:t>
      </w:r>
      <w:r w:rsidR="00D97258">
        <w:t xml:space="preserve"> </w:t>
      </w:r>
      <w:r w:rsidR="00C84E15">
        <w:t xml:space="preserve">The comments </w:t>
      </w:r>
      <w:r w:rsidR="00690549">
        <w:t>noted that most treatment with larotrectinib</w:t>
      </w:r>
      <w:r w:rsidR="000F31F4">
        <w:t xml:space="preserve"> in Australia</w:t>
      </w:r>
      <w:r w:rsidR="00690549">
        <w:t xml:space="preserve"> to date has been in paediatric patients </w:t>
      </w:r>
      <w:r w:rsidR="00E91DA7">
        <w:t xml:space="preserve">with unresectable tumours. </w:t>
      </w:r>
      <w:r w:rsidR="000F31F4">
        <w:t xml:space="preserve">The comments </w:t>
      </w:r>
      <w:r w:rsidR="000D03F7">
        <w:t xml:space="preserve">highlighted the high response rates and tolerability of larotrectinib </w:t>
      </w:r>
      <w:r w:rsidR="00E60EE3">
        <w:t xml:space="preserve">and that treatment with larotrectinib has </w:t>
      </w:r>
      <w:r w:rsidR="00783DBF">
        <w:t xml:space="preserve">resulted in </w:t>
      </w:r>
      <w:r w:rsidR="00766CB9">
        <w:t xml:space="preserve">several paediatric patients </w:t>
      </w:r>
      <w:r w:rsidR="00783DBF">
        <w:t>avoiding</w:t>
      </w:r>
      <w:r w:rsidR="00766CB9">
        <w:t xml:space="preserve"> disfi</w:t>
      </w:r>
      <w:r w:rsidR="00C67273">
        <w:t>g</w:t>
      </w:r>
      <w:r w:rsidR="00766CB9">
        <w:t xml:space="preserve">uring surgery and ongoing cytotoxic chemotherapy. </w:t>
      </w:r>
    </w:p>
    <w:p w:rsidR="004F157D" w:rsidRPr="008E32CC" w:rsidRDefault="005A671F" w:rsidP="00A551DE">
      <w:pPr>
        <w:pStyle w:val="ListParagraph"/>
        <w:rPr>
          <w:color w:val="auto"/>
        </w:rPr>
      </w:pPr>
      <w:r>
        <w:t>One of the comments</w:t>
      </w:r>
      <w:r w:rsidR="00D272B5">
        <w:t xml:space="preserve"> </w:t>
      </w:r>
      <w:r w:rsidR="00CF25CA">
        <w:t>from a clinician</w:t>
      </w:r>
      <w:r w:rsidR="00D272B5">
        <w:t xml:space="preserve"> involved in the ongoing MoST study, indicated that</w:t>
      </w:r>
      <w:r w:rsidR="00BB61BE">
        <w:t xml:space="preserve"> the MoST study may</w:t>
      </w:r>
      <w:r w:rsidR="00D272B5">
        <w:t xml:space="preserve"> </w:t>
      </w:r>
      <w:r w:rsidR="00FB6919">
        <w:t xml:space="preserve">only </w:t>
      </w:r>
      <w:r w:rsidR="00BB61BE">
        <w:t xml:space="preserve">identify a </w:t>
      </w:r>
      <w:r w:rsidR="00606838">
        <w:t>small number of</w:t>
      </w:r>
      <w:r w:rsidR="00BB61BE">
        <w:t xml:space="preserve"> additional individuals with </w:t>
      </w:r>
      <w:r w:rsidR="00606838">
        <w:rPr>
          <w:i/>
          <w:iCs/>
        </w:rPr>
        <w:t xml:space="preserve">NTRK </w:t>
      </w:r>
      <w:r w:rsidR="00606838">
        <w:t>fusion tumours. The clinician</w:t>
      </w:r>
      <w:r w:rsidR="00D21342">
        <w:t xml:space="preserve"> indicated that based on experience to date, there would likely be tumour types identified which are not included in those proposed for PBS listing. </w:t>
      </w:r>
      <w:r w:rsidR="00EB38E8">
        <w:t>The clinician considered that patients with tumour type</w:t>
      </w:r>
      <w:r w:rsidR="00891BC1">
        <w:t xml:space="preserve">s outside of those proposed for listing would still benefit from treatment with larotrectinib </w:t>
      </w:r>
      <w:r w:rsidR="00547860">
        <w:t xml:space="preserve">and that the total number of this population would likely be similar to that of the population proposed for listing. </w:t>
      </w:r>
    </w:p>
    <w:p w:rsidR="008E32CC" w:rsidRPr="008F5AE3" w:rsidRDefault="005E4C99" w:rsidP="00BA1E4D">
      <w:pPr>
        <w:pStyle w:val="ListParagraph"/>
      </w:pPr>
      <w:r>
        <w:t xml:space="preserve">The Spark of Gold alliance and the </w:t>
      </w:r>
      <w:r w:rsidR="001A6433">
        <w:t xml:space="preserve">Zero Childhood Cancer </w:t>
      </w:r>
      <w:r w:rsidR="005B26B5">
        <w:t xml:space="preserve">program </w:t>
      </w:r>
      <w:r w:rsidR="005B26B5" w:rsidRPr="005B26B5">
        <w:t>supported listing larotrectinib on the PBS for the treatment of patients with NTRK fusion solid tumours.</w:t>
      </w:r>
      <w:r w:rsidR="005B26B5">
        <w:t xml:space="preserve"> </w:t>
      </w:r>
      <w:r w:rsidR="00FA790C">
        <w:t xml:space="preserve">The Spark of Gold alliance </w:t>
      </w:r>
      <w:r w:rsidR="00F24ECF">
        <w:t xml:space="preserve">emphasised that there are significant barriers and challenges </w:t>
      </w:r>
      <w:r w:rsidR="00FC3953">
        <w:t xml:space="preserve">for paediatric cancer patients in terms of accessing </w:t>
      </w:r>
      <w:r w:rsidR="007B50A8">
        <w:t>novel targeted therapies as it is often difficult to obtain evidence of efficacy</w:t>
      </w:r>
      <w:r w:rsidR="00ED697E">
        <w:t xml:space="preserve"> through randomised trials due to</w:t>
      </w:r>
      <w:r w:rsidR="007B50A8">
        <w:t xml:space="preserve"> the rarity of certain paediatric cancers</w:t>
      </w:r>
      <w:r w:rsidR="00ED697E">
        <w:t>. The Spark of Gold alliance</w:t>
      </w:r>
      <w:r w:rsidR="00FF2751">
        <w:t xml:space="preserve"> noted that subsidy of larotrectinib </w:t>
      </w:r>
      <w:r w:rsidR="00497BED">
        <w:t xml:space="preserve">through the PBS would allow further evidence of its efficacy and safety to be collected in the clinical setting. </w:t>
      </w:r>
      <w:r w:rsidR="00194F5D">
        <w:t xml:space="preserve">The Zero Childhood Cancer program </w:t>
      </w:r>
      <w:r w:rsidR="004E2B87">
        <w:t xml:space="preserve">noted that current standard of care chemotherapy is associated with acute and long term effects which reduce </w:t>
      </w:r>
      <w:r w:rsidR="006D5D72">
        <w:t>patients’ quality of life. The Zero Childhood Cancer program described benefits of treatment with larotrectinib for paediatric and adolescent patients including</w:t>
      </w:r>
      <w:r w:rsidR="001C0612">
        <w:t xml:space="preserve"> </w:t>
      </w:r>
      <w:r w:rsidR="006D66BE">
        <w:t>stabilising</w:t>
      </w:r>
      <w:r w:rsidR="001C0612">
        <w:t xml:space="preserve"> disease and increasing survival,</w:t>
      </w:r>
      <w:r w:rsidR="006D5D72">
        <w:t xml:space="preserve"> minimal toxicity, </w:t>
      </w:r>
      <w:r w:rsidR="001C0612">
        <w:t>improved quality of life and reduced hospitalisation as a result of fewer side-effects.</w:t>
      </w:r>
      <w:r w:rsidR="00C33973">
        <w:t xml:space="preserve"> The Zero Childhood Cancer program </w:t>
      </w:r>
      <w:r w:rsidR="00AC3D58">
        <w:t>referred to unpublished results from the program</w:t>
      </w:r>
      <w:r w:rsidR="005521BA">
        <w:t xml:space="preserve"> nothing</w:t>
      </w:r>
      <w:r w:rsidR="00005AF7">
        <w:t xml:space="preserve"> that of the </w:t>
      </w:r>
      <w:r w:rsidR="00BA1E4D">
        <w:t xml:space="preserve">&lt; 500 </w:t>
      </w:r>
      <w:r w:rsidR="00005AF7">
        <w:t>patients</w:t>
      </w:r>
      <w:r w:rsidR="00DA7605">
        <w:t xml:space="preserve"> </w:t>
      </w:r>
      <w:r w:rsidR="00645463">
        <w:t xml:space="preserve">with </w:t>
      </w:r>
      <w:r w:rsidR="00645463" w:rsidRPr="00645463">
        <w:rPr>
          <w:i/>
          <w:iCs/>
        </w:rPr>
        <w:t>NTRK</w:t>
      </w:r>
      <w:r w:rsidR="00645463">
        <w:t xml:space="preserve"> fusion cancers identified from approximately </w:t>
      </w:r>
      <w:r w:rsidR="00BA1E4D" w:rsidRPr="00BA1E4D">
        <w:rPr>
          <w:color w:val="auto"/>
        </w:rPr>
        <w:t>500 to &lt; 5,000</w:t>
      </w:r>
      <w:r w:rsidR="00645463">
        <w:t xml:space="preserve"> patients screened, </w:t>
      </w:r>
      <w:r w:rsidR="00BA1E4D">
        <w:t xml:space="preserve">&lt; 500 </w:t>
      </w:r>
      <w:r w:rsidR="00645463">
        <w:t>have</w:t>
      </w:r>
      <w:r w:rsidR="00AC3D58">
        <w:t xml:space="preserve"> had a clinical response to larotrectinib. </w:t>
      </w:r>
    </w:p>
    <w:p w:rsidR="008F5AE3" w:rsidRPr="004F157D" w:rsidRDefault="00A321EB" w:rsidP="00A551DE">
      <w:pPr>
        <w:pStyle w:val="ListParagraph"/>
        <w:rPr>
          <w:color w:val="auto"/>
        </w:rPr>
      </w:pPr>
      <w:r w:rsidRPr="00A321EB">
        <w:rPr>
          <w:color w:val="auto"/>
        </w:rPr>
        <w:t xml:space="preserve">The Medical Oncology Group of Australia (MOGA) also expressed its strong support for the </w:t>
      </w:r>
      <w:r>
        <w:rPr>
          <w:color w:val="auto"/>
        </w:rPr>
        <w:t>larotrectinib</w:t>
      </w:r>
      <w:r w:rsidRPr="00A321EB">
        <w:rPr>
          <w:color w:val="auto"/>
        </w:rPr>
        <w:t xml:space="preserve"> submission, categorising it as one of the therapies of “highest priority for PBS listing” on the basis of </w:t>
      </w:r>
      <w:r w:rsidR="0099252B">
        <w:rPr>
          <w:color w:val="auto"/>
        </w:rPr>
        <w:t>pooled analysis of the</w:t>
      </w:r>
      <w:r w:rsidR="00A511EE">
        <w:rPr>
          <w:color w:val="auto"/>
        </w:rPr>
        <w:t xml:space="preserve"> single-arm</w:t>
      </w:r>
      <w:r w:rsidR="0099252B">
        <w:rPr>
          <w:color w:val="auto"/>
        </w:rPr>
        <w:t xml:space="preserve"> </w:t>
      </w:r>
      <w:r w:rsidR="00401499" w:rsidRPr="00401499">
        <w:rPr>
          <w:color w:val="auto"/>
        </w:rPr>
        <w:t>LOXO-001, NAVIGATE, and SCOUT</w:t>
      </w:r>
      <w:r w:rsidRPr="00A321EB">
        <w:rPr>
          <w:color w:val="auto"/>
        </w:rPr>
        <w:t xml:space="preserve"> trial</w:t>
      </w:r>
      <w:r w:rsidR="0099252B">
        <w:rPr>
          <w:color w:val="auto"/>
        </w:rPr>
        <w:t>s</w:t>
      </w:r>
      <w:r w:rsidRPr="00A321EB">
        <w:rPr>
          <w:color w:val="auto"/>
        </w:rPr>
        <w:t xml:space="preserve">. The PBAC noted that the MOGA presented a European Society for Medical Oncology Magnitude of Clinical Benefit Scale (ESMO-MCBS) for </w:t>
      </w:r>
      <w:r w:rsidR="00401499">
        <w:rPr>
          <w:color w:val="auto"/>
        </w:rPr>
        <w:t>larotrectinib</w:t>
      </w:r>
      <w:r w:rsidRPr="00A321EB">
        <w:rPr>
          <w:color w:val="auto"/>
        </w:rPr>
        <w:t xml:space="preserve">, which was limited to </w:t>
      </w:r>
      <w:r w:rsidR="00401499">
        <w:rPr>
          <w:color w:val="auto"/>
        </w:rPr>
        <w:t>3</w:t>
      </w:r>
      <w:r w:rsidRPr="00A321EB">
        <w:rPr>
          <w:color w:val="auto"/>
        </w:rPr>
        <w:t xml:space="preserve"> (out of a maximum of 5, where 5 and 4 represent the grades with substantial improvement)</w:t>
      </w:r>
      <w:r w:rsidR="00A511EE">
        <w:rPr>
          <w:rStyle w:val="FootnoteReference"/>
          <w:color w:val="auto"/>
        </w:rPr>
        <w:footnoteReference w:id="12"/>
      </w:r>
      <w:r w:rsidR="00A511EE">
        <w:rPr>
          <w:color w:val="auto"/>
        </w:rPr>
        <w:t>.</w:t>
      </w:r>
    </w:p>
    <w:p w:rsidR="00214438" w:rsidRPr="00962538" w:rsidRDefault="00214438" w:rsidP="007E2F09">
      <w:pPr>
        <w:pStyle w:val="PBACESHeading2"/>
      </w:pPr>
      <w:r w:rsidRPr="00962538">
        <w:t>Overview of the evidence base</w:t>
      </w:r>
      <w:bookmarkEnd w:id="33"/>
    </w:p>
    <w:p w:rsidR="00210905" w:rsidRPr="00210905" w:rsidRDefault="00210905" w:rsidP="00210905">
      <w:pPr>
        <w:pStyle w:val="ListParagraph"/>
        <w:rPr>
          <w:color w:val="auto"/>
        </w:rPr>
      </w:pPr>
      <w:bookmarkStart w:id="36" w:name="_Hlk88232784"/>
      <w:r w:rsidRPr="00210905">
        <w:rPr>
          <w:color w:val="auto"/>
        </w:rPr>
        <w:t xml:space="preserve">The approach taken in the </w:t>
      </w:r>
      <w:r w:rsidR="006B71B1">
        <w:rPr>
          <w:color w:val="auto"/>
        </w:rPr>
        <w:t>re</w:t>
      </w:r>
      <w:r w:rsidRPr="00210905">
        <w:rPr>
          <w:color w:val="auto"/>
        </w:rPr>
        <w:t xml:space="preserve">submission is to present evidence that </w:t>
      </w:r>
      <w:r w:rsidRPr="00210905">
        <w:rPr>
          <w:i/>
          <w:color w:val="auto"/>
        </w:rPr>
        <w:t>NTRK</w:t>
      </w:r>
      <w:r w:rsidRPr="00210905">
        <w:rPr>
          <w:color w:val="auto"/>
        </w:rPr>
        <w:t xml:space="preserve"> fusion testing (FISH or NGS ± IHC) plus larotrectinib is superior to no </w:t>
      </w:r>
      <w:r w:rsidRPr="00210905">
        <w:rPr>
          <w:i/>
          <w:color w:val="auto"/>
        </w:rPr>
        <w:t>NTRK</w:t>
      </w:r>
      <w:r w:rsidRPr="00210905">
        <w:rPr>
          <w:color w:val="auto"/>
        </w:rPr>
        <w:t>-testing plus SoC in terms of efficacy and safety, in the proposed testing and treatment population</w:t>
      </w:r>
      <w:r w:rsidR="00A551DE">
        <w:rPr>
          <w:color w:val="auto"/>
        </w:rPr>
        <w:t>.</w:t>
      </w:r>
    </w:p>
    <w:p w:rsidR="00C164A4" w:rsidRDefault="00C164A4" w:rsidP="00D117CD">
      <w:pPr>
        <w:pStyle w:val="Caption"/>
        <w:keepLines/>
      </w:pPr>
      <w:bookmarkStart w:id="37" w:name="_Ref490140772"/>
      <w:bookmarkEnd w:id="36"/>
      <w:r>
        <w:t xml:space="preserve">Table </w:t>
      </w:r>
      <w:r w:rsidR="00BB3DD1">
        <w:rPr>
          <w:noProof/>
        </w:rPr>
        <w:t>6</w:t>
      </w:r>
      <w:bookmarkEnd w:id="37"/>
      <w:r w:rsidR="00E37EC3">
        <w:rPr>
          <w:noProof/>
        </w:rPr>
        <w:t>:</w:t>
      </w:r>
      <w:r w:rsidR="00D117CD">
        <w:rPr>
          <w:noProof/>
        </w:rPr>
        <w:t xml:space="preserve"> </w:t>
      </w:r>
      <w:r>
        <w:t>Summary of the linked evidence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4234"/>
        <w:gridCol w:w="2469"/>
      </w:tblGrid>
      <w:tr w:rsidR="003645D5" w:rsidTr="00FA47A2">
        <w:trPr>
          <w:tblHeader/>
        </w:trPr>
        <w:tc>
          <w:tcPr>
            <w:tcW w:w="1283" w:type="pct"/>
            <w:tcBorders>
              <w:top w:val="single" w:sz="4" w:space="0" w:color="auto"/>
              <w:left w:val="single" w:sz="4" w:space="0" w:color="auto"/>
              <w:bottom w:val="single" w:sz="4" w:space="0" w:color="auto"/>
              <w:right w:val="single" w:sz="4" w:space="0" w:color="auto"/>
            </w:tcBorders>
            <w:vAlign w:val="bottom"/>
          </w:tcPr>
          <w:p w:rsidR="003645D5" w:rsidRPr="00AA1CEE" w:rsidRDefault="003645D5" w:rsidP="00D117CD">
            <w:pPr>
              <w:pStyle w:val="TableText"/>
              <w:keepNext/>
              <w:keepLines/>
              <w:rPr>
                <w:b/>
              </w:rPr>
            </w:pPr>
          </w:p>
        </w:tc>
        <w:tc>
          <w:tcPr>
            <w:tcW w:w="2348" w:type="pct"/>
            <w:tcBorders>
              <w:top w:val="single" w:sz="4" w:space="0" w:color="auto"/>
              <w:left w:val="single" w:sz="4" w:space="0" w:color="auto"/>
              <w:bottom w:val="single" w:sz="4" w:space="0" w:color="auto"/>
              <w:right w:val="single" w:sz="4" w:space="0" w:color="auto"/>
            </w:tcBorders>
            <w:vAlign w:val="bottom"/>
            <w:hideMark/>
          </w:tcPr>
          <w:p w:rsidR="003645D5" w:rsidRPr="00AA1CEE" w:rsidRDefault="003645D5" w:rsidP="00D117CD">
            <w:pPr>
              <w:pStyle w:val="TableText"/>
              <w:keepNext/>
              <w:keepLines/>
              <w:rPr>
                <w:b/>
              </w:rPr>
            </w:pPr>
            <w:r w:rsidRPr="00AA1CEE">
              <w:rPr>
                <w:b/>
              </w:rPr>
              <w:t>Type of evidence supplied</w:t>
            </w:r>
          </w:p>
        </w:tc>
        <w:tc>
          <w:tcPr>
            <w:tcW w:w="1369" w:type="pct"/>
            <w:tcBorders>
              <w:top w:val="single" w:sz="4" w:space="0" w:color="auto"/>
              <w:left w:val="single" w:sz="4" w:space="0" w:color="auto"/>
              <w:bottom w:val="single" w:sz="4" w:space="0" w:color="auto"/>
              <w:right w:val="single" w:sz="4" w:space="0" w:color="auto"/>
            </w:tcBorders>
            <w:vAlign w:val="bottom"/>
            <w:hideMark/>
          </w:tcPr>
          <w:p w:rsidR="003645D5" w:rsidRPr="00AA1CEE" w:rsidRDefault="003645D5" w:rsidP="00D117CD">
            <w:pPr>
              <w:pStyle w:val="TableText"/>
              <w:keepNext/>
              <w:keepLines/>
              <w:rPr>
                <w:b/>
              </w:rPr>
            </w:pPr>
            <w:r w:rsidRPr="00AA1CEE">
              <w:rPr>
                <w:b/>
              </w:rPr>
              <w:t>Extent of evidence supplied</w:t>
            </w:r>
          </w:p>
        </w:tc>
      </w:tr>
      <w:tr w:rsidR="00210905" w:rsidTr="003645D5">
        <w:tc>
          <w:tcPr>
            <w:tcW w:w="1283" w:type="pct"/>
            <w:tcBorders>
              <w:top w:val="single" w:sz="4" w:space="0" w:color="auto"/>
              <w:left w:val="single" w:sz="4" w:space="0" w:color="auto"/>
              <w:bottom w:val="single" w:sz="4" w:space="0" w:color="auto"/>
              <w:right w:val="single" w:sz="4" w:space="0" w:color="auto"/>
            </w:tcBorders>
            <w:hideMark/>
          </w:tcPr>
          <w:p w:rsidR="00210905" w:rsidRPr="00F16BE1" w:rsidRDefault="00210905" w:rsidP="00D117CD">
            <w:pPr>
              <w:pStyle w:val="TableText"/>
              <w:keepNext/>
              <w:keepLines/>
            </w:pPr>
            <w:r w:rsidRPr="00F16BE1">
              <w:t>Accuracy and performance of the test (analytical validity)</w:t>
            </w:r>
          </w:p>
        </w:tc>
        <w:tc>
          <w:tcPr>
            <w:tcW w:w="2348" w:type="pct"/>
            <w:tcBorders>
              <w:top w:val="single" w:sz="4" w:space="0" w:color="auto"/>
              <w:left w:val="single" w:sz="4" w:space="0" w:color="auto"/>
              <w:bottom w:val="single" w:sz="4" w:space="0" w:color="auto"/>
              <w:right w:val="single" w:sz="4" w:space="0" w:color="auto"/>
            </w:tcBorders>
            <w:hideMark/>
          </w:tcPr>
          <w:p w:rsidR="00210905" w:rsidRPr="00F16BE1" w:rsidRDefault="00210905" w:rsidP="00D117CD">
            <w:pPr>
              <w:pStyle w:val="TableText"/>
              <w:keepNext/>
              <w:keepLines/>
              <w:spacing w:line="240" w:lineRule="auto"/>
            </w:pPr>
            <w:r w:rsidRPr="00F16BE1">
              <w:t xml:space="preserve">DNA- vs RNA-NGS: </w:t>
            </w:r>
            <w:r>
              <w:t>4</w:t>
            </w:r>
            <w:r w:rsidRPr="00F16BE1">
              <w:t xml:space="preserve"> comparative studies</w:t>
            </w:r>
          </w:p>
          <w:p w:rsidR="00210905" w:rsidRPr="00F16BE1" w:rsidRDefault="00210905" w:rsidP="00D117CD">
            <w:pPr>
              <w:pStyle w:val="TableText"/>
              <w:keepNext/>
              <w:keepLines/>
              <w:spacing w:line="240" w:lineRule="auto"/>
            </w:pPr>
            <w:r w:rsidRPr="00F16BE1">
              <w:t>FISH vs RNA-NGS:</w:t>
            </w:r>
            <w:r>
              <w:t xml:space="preserve"> </w:t>
            </w:r>
            <w:r w:rsidRPr="00F16BE1">
              <w:t>1 comparative study</w:t>
            </w:r>
          </w:p>
          <w:p w:rsidR="00210905" w:rsidRDefault="00210905" w:rsidP="00D117CD">
            <w:pPr>
              <w:pStyle w:val="TableText"/>
              <w:keepNext/>
              <w:keepLines/>
              <w:tabs>
                <w:tab w:val="left" w:pos="1413"/>
              </w:tabs>
              <w:spacing w:line="240" w:lineRule="auto"/>
            </w:pPr>
            <w:r>
              <w:t>IHC vs FISH: 2 comparative studies</w:t>
            </w:r>
          </w:p>
          <w:p w:rsidR="00210905" w:rsidRPr="00F16BE1" w:rsidRDefault="00210905" w:rsidP="00D117CD">
            <w:pPr>
              <w:pStyle w:val="TableText"/>
              <w:keepNext/>
              <w:keepLines/>
              <w:tabs>
                <w:tab w:val="left" w:pos="1413"/>
              </w:tabs>
              <w:spacing w:line="240" w:lineRule="auto"/>
            </w:pPr>
            <w:r w:rsidRPr="00F16BE1">
              <w:t xml:space="preserve">IHC vs RNA-NGS: </w:t>
            </w:r>
            <w:r>
              <w:t>3</w:t>
            </w:r>
            <w:r w:rsidRPr="00F16BE1">
              <w:t xml:space="preserve"> comparative stud</w:t>
            </w:r>
            <w:r>
              <w:t>ies</w:t>
            </w:r>
            <w:r w:rsidRPr="00F16BE1">
              <w:br/>
            </w:r>
            <w:r w:rsidRPr="00F16BE1">
              <w:tab/>
              <w:t>2 case-control studies</w:t>
            </w:r>
          </w:p>
          <w:p w:rsidR="00210905" w:rsidRDefault="00210905" w:rsidP="00D117CD">
            <w:pPr>
              <w:pStyle w:val="TableText"/>
              <w:keepNext/>
              <w:keepLines/>
              <w:spacing w:line="240" w:lineRule="auto"/>
            </w:pPr>
            <w:r w:rsidRPr="00F16BE1">
              <w:t>IHC vs DNA-NGS: 1 case-control study</w:t>
            </w:r>
          </w:p>
          <w:p w:rsidR="00210905" w:rsidRPr="00F16BE1" w:rsidRDefault="00210905" w:rsidP="00D117CD">
            <w:pPr>
              <w:pStyle w:val="TableText"/>
              <w:keepNext/>
              <w:keepLines/>
              <w:spacing w:line="240" w:lineRule="auto"/>
            </w:pPr>
            <w:r>
              <w:t xml:space="preserve">IHC positive vs RNA-NGS or FISH: </w:t>
            </w:r>
            <w:r w:rsidR="001F1C99">
              <w:t>6</w:t>
            </w:r>
            <w:r>
              <w:t xml:space="preserve"> </w:t>
            </w:r>
            <w:r w:rsidR="00843AE8">
              <w:t>cohort</w:t>
            </w:r>
            <w:r>
              <w:t xml:space="preserve"> studies</w:t>
            </w:r>
          </w:p>
        </w:tc>
        <w:tc>
          <w:tcPr>
            <w:tcW w:w="1369" w:type="pct"/>
            <w:tcBorders>
              <w:top w:val="single" w:sz="4" w:space="0" w:color="auto"/>
              <w:left w:val="single" w:sz="4" w:space="0" w:color="auto"/>
              <w:bottom w:val="single" w:sz="4" w:space="0" w:color="auto"/>
              <w:right w:val="single" w:sz="4" w:space="0" w:color="auto"/>
            </w:tcBorders>
            <w:hideMark/>
          </w:tcPr>
          <w:p w:rsidR="00210905" w:rsidRPr="00F16BE1" w:rsidRDefault="00210905" w:rsidP="00D117CD">
            <w:pPr>
              <w:pStyle w:val="TableText"/>
              <w:keepNext/>
              <w:keepLines/>
              <w:tabs>
                <w:tab w:val="left" w:pos="492"/>
                <w:tab w:val="left" w:pos="1168"/>
              </w:tabs>
              <w:spacing w:after="0" w:line="240" w:lineRule="auto"/>
              <w:ind w:right="-57"/>
            </w:pPr>
            <w:r w:rsidRPr="00F16BE1">
              <w:rPr>
                <w:rFonts w:ascii="Segoe UI Symbol" w:hAnsi="Segoe UI Symbol" w:cs="Segoe UI Symbol"/>
              </w:rPr>
              <w:t>☒</w:t>
            </w:r>
            <w:r w:rsidRPr="00F16BE1">
              <w:tab/>
              <w:t>k=</w:t>
            </w:r>
            <w:r>
              <w:t>4</w:t>
            </w:r>
            <w:r w:rsidRPr="00F16BE1">
              <w:t>;</w:t>
            </w:r>
            <w:r w:rsidRPr="00F16BE1">
              <w:tab/>
              <w:t>n=34,</w:t>
            </w:r>
            <w:r>
              <w:t>807</w:t>
            </w:r>
          </w:p>
          <w:p w:rsidR="00210905" w:rsidRDefault="00210905" w:rsidP="00D117CD">
            <w:pPr>
              <w:pStyle w:val="TableText"/>
              <w:keepNext/>
              <w:keepLines/>
              <w:tabs>
                <w:tab w:val="left" w:pos="492"/>
                <w:tab w:val="left" w:pos="1168"/>
              </w:tabs>
              <w:spacing w:before="0" w:after="0" w:line="240" w:lineRule="auto"/>
              <w:ind w:right="-57"/>
            </w:pPr>
            <w:r w:rsidRPr="00F16BE1">
              <w:rPr>
                <w:rFonts w:ascii="Segoe UI Symbol" w:hAnsi="Segoe UI Symbol" w:cs="Segoe UI Symbol"/>
              </w:rPr>
              <w:t>☒</w:t>
            </w:r>
            <w:r w:rsidRPr="00F16BE1">
              <w:tab/>
              <w:t>k=1;</w:t>
            </w:r>
            <w:r w:rsidRPr="00F16BE1">
              <w:tab/>
              <w:t>n=44</w:t>
            </w:r>
          </w:p>
          <w:p w:rsidR="00210905" w:rsidRPr="00F16BE1" w:rsidRDefault="00210905" w:rsidP="00D117CD">
            <w:pPr>
              <w:pStyle w:val="TableText"/>
              <w:keepNext/>
              <w:keepLines/>
              <w:tabs>
                <w:tab w:val="left" w:pos="492"/>
                <w:tab w:val="left" w:pos="1168"/>
              </w:tabs>
              <w:spacing w:before="0" w:after="0" w:line="240" w:lineRule="auto"/>
              <w:ind w:right="-57"/>
            </w:pPr>
            <w:r w:rsidRPr="007766AC">
              <w:rPr>
                <w:rFonts w:ascii="Segoe UI Symbol" w:hAnsi="Segoe UI Symbol" w:cs="Segoe UI Symbol"/>
              </w:rPr>
              <w:t>☒</w:t>
            </w:r>
            <w:r w:rsidRPr="007766AC">
              <w:tab/>
              <w:t>k=</w:t>
            </w:r>
            <w:r>
              <w:t>2</w:t>
            </w:r>
            <w:r w:rsidRPr="007766AC">
              <w:t>;</w:t>
            </w:r>
            <w:r w:rsidRPr="007766AC">
              <w:tab/>
              <w:t>n=</w:t>
            </w:r>
            <w:r>
              <w:t>75</w:t>
            </w:r>
          </w:p>
          <w:p w:rsidR="00210905" w:rsidRPr="00F16BE1" w:rsidRDefault="00210905" w:rsidP="00D117CD">
            <w:pPr>
              <w:pStyle w:val="TableText"/>
              <w:keepNext/>
              <w:keepLines/>
              <w:tabs>
                <w:tab w:val="left" w:pos="492"/>
                <w:tab w:val="left" w:pos="1168"/>
              </w:tabs>
              <w:spacing w:before="0" w:after="240" w:line="240" w:lineRule="auto"/>
              <w:ind w:right="-57"/>
            </w:pPr>
            <w:r w:rsidRPr="00F16BE1">
              <w:rPr>
                <w:rFonts w:ascii="Segoe UI Symbol" w:hAnsi="Segoe UI Symbol" w:cs="Segoe UI Symbol"/>
              </w:rPr>
              <w:t>☒</w:t>
            </w:r>
            <w:r w:rsidRPr="00F16BE1">
              <w:tab/>
              <w:t>k=</w:t>
            </w:r>
            <w:r>
              <w:t>5</w:t>
            </w:r>
            <w:r w:rsidRPr="00F16BE1">
              <w:t>;</w:t>
            </w:r>
            <w:r w:rsidRPr="00F16BE1">
              <w:tab/>
              <w:t>n=4,</w:t>
            </w:r>
            <w:r>
              <w:t>982</w:t>
            </w:r>
          </w:p>
          <w:p w:rsidR="00210905" w:rsidRDefault="00210905" w:rsidP="00D117CD">
            <w:pPr>
              <w:pStyle w:val="TableText"/>
              <w:keepNext/>
              <w:keepLines/>
              <w:tabs>
                <w:tab w:val="left" w:pos="492"/>
                <w:tab w:val="left" w:pos="1168"/>
              </w:tabs>
              <w:spacing w:before="120" w:line="240" w:lineRule="auto"/>
              <w:ind w:right="-57"/>
              <w:contextualSpacing/>
              <w:rPr>
                <w:rFonts w:cs="Segoe UI Symbol"/>
              </w:rPr>
            </w:pPr>
            <w:r w:rsidRPr="00F16BE1">
              <w:rPr>
                <w:rFonts w:ascii="Segoe UI Symbol" w:hAnsi="Segoe UI Symbol" w:cs="Segoe UI Symbol"/>
              </w:rPr>
              <w:t>☒</w:t>
            </w:r>
            <w:r w:rsidRPr="00F16BE1">
              <w:rPr>
                <w:rFonts w:cs="Segoe UI Symbol"/>
              </w:rPr>
              <w:tab/>
              <w:t>k=1;</w:t>
            </w:r>
            <w:r w:rsidRPr="00F16BE1">
              <w:rPr>
                <w:rFonts w:cs="Segoe UI Symbol"/>
              </w:rPr>
              <w:tab/>
              <w:t>n=78</w:t>
            </w:r>
          </w:p>
          <w:p w:rsidR="00210905" w:rsidRPr="00F16BE1" w:rsidRDefault="00210905" w:rsidP="00D117CD">
            <w:pPr>
              <w:pStyle w:val="TableText"/>
              <w:keepNext/>
              <w:keepLines/>
              <w:tabs>
                <w:tab w:val="left" w:pos="492"/>
                <w:tab w:val="left" w:pos="1168"/>
              </w:tabs>
              <w:spacing w:line="240" w:lineRule="auto"/>
              <w:ind w:right="-57"/>
            </w:pPr>
            <w:r w:rsidRPr="007766AC">
              <w:rPr>
                <w:rFonts w:ascii="Segoe UI Symbol" w:hAnsi="Segoe UI Symbol" w:cs="Segoe UI Symbol"/>
              </w:rPr>
              <w:t>☒</w:t>
            </w:r>
            <w:r>
              <w:tab/>
            </w:r>
            <w:r w:rsidR="009C13CD" w:rsidRPr="009C13CD">
              <w:t>k=</w:t>
            </w:r>
            <w:r w:rsidR="001F1C99">
              <w:t>6</w:t>
            </w:r>
            <w:r w:rsidR="009C13CD" w:rsidRPr="009C13CD">
              <w:t>;</w:t>
            </w:r>
            <w:r w:rsidR="009C13CD" w:rsidRPr="009C13CD">
              <w:tab/>
              <w:t>n=13,4</w:t>
            </w:r>
            <w:r w:rsidR="001F1C99">
              <w:t>7</w:t>
            </w:r>
            <w:r w:rsidR="009C13CD" w:rsidRPr="009C13CD">
              <w:t>0</w:t>
            </w:r>
          </w:p>
        </w:tc>
      </w:tr>
      <w:tr w:rsidR="00210905" w:rsidTr="003645D5">
        <w:tc>
          <w:tcPr>
            <w:tcW w:w="1283" w:type="pct"/>
            <w:tcBorders>
              <w:top w:val="single" w:sz="4" w:space="0" w:color="auto"/>
              <w:left w:val="single" w:sz="4" w:space="0" w:color="auto"/>
              <w:bottom w:val="single" w:sz="4" w:space="0" w:color="auto"/>
              <w:right w:val="single" w:sz="4" w:space="0" w:color="auto"/>
            </w:tcBorders>
            <w:hideMark/>
          </w:tcPr>
          <w:p w:rsidR="00210905" w:rsidRPr="00F16BE1" w:rsidRDefault="00210905" w:rsidP="00D117CD">
            <w:pPr>
              <w:pStyle w:val="TableText"/>
              <w:keepLines/>
            </w:pPr>
            <w:r w:rsidRPr="00F16BE1">
              <w:t>Prognostic evidence</w:t>
            </w:r>
          </w:p>
        </w:tc>
        <w:tc>
          <w:tcPr>
            <w:tcW w:w="2348" w:type="pct"/>
            <w:tcBorders>
              <w:top w:val="single" w:sz="4" w:space="0" w:color="auto"/>
              <w:left w:val="single" w:sz="4" w:space="0" w:color="auto"/>
              <w:bottom w:val="single" w:sz="4" w:space="0" w:color="auto"/>
              <w:right w:val="single" w:sz="4" w:space="0" w:color="auto"/>
            </w:tcBorders>
            <w:hideMark/>
          </w:tcPr>
          <w:p w:rsidR="00210905" w:rsidRDefault="00210905" w:rsidP="00D117CD">
            <w:pPr>
              <w:pStyle w:val="TableText"/>
              <w:keepLines/>
            </w:pPr>
            <w:r w:rsidRPr="00990147">
              <w:rPr>
                <w:i/>
              </w:rPr>
              <w:t>NTRK</w:t>
            </w:r>
            <w:r w:rsidRPr="00990147">
              <w:t xml:space="preserve"> fusion positive cancers</w:t>
            </w:r>
            <w:r>
              <w:t>:</w:t>
            </w:r>
            <w:r w:rsidRPr="00990147">
              <w:t xml:space="preserve"> </w:t>
            </w:r>
            <w:r>
              <w:t>2</w:t>
            </w:r>
            <w:r w:rsidRPr="00F16BE1">
              <w:t xml:space="preserve"> prospective </w:t>
            </w:r>
            <w:r>
              <w:t>case-control studies</w:t>
            </w:r>
            <w:r w:rsidR="00843AE8">
              <w:t>,</w:t>
            </w:r>
            <w:r>
              <w:t xml:space="preserve"> 2 retrospective cohort studies </w:t>
            </w:r>
            <w:r w:rsidRPr="00F16BE1">
              <w:t xml:space="preserve">and </w:t>
            </w:r>
            <w:r>
              <w:t>1</w:t>
            </w:r>
            <w:r w:rsidRPr="00F16BE1">
              <w:t xml:space="preserve"> retrospective </w:t>
            </w:r>
            <w:r>
              <w:t>case-control study</w:t>
            </w:r>
          </w:p>
          <w:p w:rsidR="00210905" w:rsidRPr="00F16BE1" w:rsidRDefault="00210905" w:rsidP="00D117CD">
            <w:pPr>
              <w:pStyle w:val="TableText"/>
              <w:keepLines/>
            </w:pPr>
            <w:r w:rsidRPr="00990147">
              <w:t>Trk IHC positive cancers</w:t>
            </w:r>
            <w:r>
              <w:t>: 3</w:t>
            </w:r>
            <w:r w:rsidRPr="00914422">
              <w:t xml:space="preserve"> retrospective cohort studies</w:t>
            </w:r>
            <w:r>
              <w:t xml:space="preserve"> </w:t>
            </w:r>
            <w:r w:rsidRPr="00914422">
              <w:t xml:space="preserve">and 1 </w:t>
            </w:r>
            <w:r>
              <w:t>ret</w:t>
            </w:r>
            <w:r w:rsidRPr="00914422">
              <w:t xml:space="preserve">rospective </w:t>
            </w:r>
            <w:r>
              <w:t>case-control study</w:t>
            </w:r>
          </w:p>
        </w:tc>
        <w:tc>
          <w:tcPr>
            <w:tcW w:w="1369" w:type="pct"/>
            <w:tcBorders>
              <w:top w:val="single" w:sz="4" w:space="0" w:color="auto"/>
              <w:left w:val="single" w:sz="4" w:space="0" w:color="auto"/>
              <w:bottom w:val="single" w:sz="4" w:space="0" w:color="auto"/>
              <w:right w:val="single" w:sz="4" w:space="0" w:color="auto"/>
            </w:tcBorders>
            <w:hideMark/>
          </w:tcPr>
          <w:p w:rsidR="00210905" w:rsidRDefault="00B976A9" w:rsidP="00D117CD">
            <w:pPr>
              <w:pStyle w:val="TableText"/>
              <w:keepLines/>
              <w:tabs>
                <w:tab w:val="left" w:pos="492"/>
                <w:tab w:val="left" w:pos="1168"/>
              </w:tabs>
              <w:ind w:right="-57"/>
            </w:pPr>
            <w:sdt>
              <w:sdtPr>
                <w:id w:val="-1511439212"/>
                <w14:checkbox>
                  <w14:checked w14:val="1"/>
                  <w14:checkedState w14:val="2612" w14:font="MS Gothic"/>
                  <w14:uncheckedState w14:val="2610" w14:font="MS Gothic"/>
                </w14:checkbox>
              </w:sdtPr>
              <w:sdtContent>
                <w:r w:rsidR="00210905">
                  <w:rPr>
                    <w:rFonts w:ascii="MS Gothic" w:eastAsia="MS Gothic" w:hAnsi="MS Gothic" w:hint="eastAsia"/>
                  </w:rPr>
                  <w:t>☒</w:t>
                </w:r>
              </w:sdtContent>
            </w:sdt>
            <w:r w:rsidR="00210905" w:rsidRPr="00F16BE1">
              <w:tab/>
              <w:t>k=</w:t>
            </w:r>
            <w:r w:rsidR="00210905">
              <w:t>5</w:t>
            </w:r>
            <w:r w:rsidR="00210905" w:rsidRPr="00F16BE1">
              <w:tab/>
              <w:t>n=</w:t>
            </w:r>
            <w:r w:rsidR="00210905">
              <w:t>5,345</w:t>
            </w:r>
            <w:r w:rsidR="00210905">
              <w:br/>
            </w:r>
            <w:r w:rsidR="00210905">
              <w:br/>
            </w:r>
          </w:p>
          <w:p w:rsidR="00210905" w:rsidRPr="00F16BE1" w:rsidRDefault="00B976A9" w:rsidP="00D117CD">
            <w:pPr>
              <w:pStyle w:val="TableText"/>
              <w:keepLines/>
              <w:tabs>
                <w:tab w:val="left" w:pos="492"/>
                <w:tab w:val="left" w:pos="1168"/>
              </w:tabs>
              <w:ind w:right="-57"/>
            </w:pPr>
            <w:sdt>
              <w:sdtPr>
                <w:id w:val="1063684916"/>
                <w14:checkbox>
                  <w14:checked w14:val="1"/>
                  <w14:checkedState w14:val="2612" w14:font="MS Gothic"/>
                  <w14:uncheckedState w14:val="2610" w14:font="MS Gothic"/>
                </w14:checkbox>
              </w:sdtPr>
              <w:sdtContent>
                <w:r w:rsidR="00210905">
                  <w:rPr>
                    <w:rFonts w:ascii="MS Gothic" w:eastAsia="MS Gothic" w:hAnsi="MS Gothic" w:hint="eastAsia"/>
                  </w:rPr>
                  <w:t>☒</w:t>
                </w:r>
              </w:sdtContent>
            </w:sdt>
            <w:r w:rsidR="00210905" w:rsidRPr="00F16BE1">
              <w:tab/>
              <w:t>k=</w:t>
            </w:r>
            <w:r w:rsidR="00210905">
              <w:t>4</w:t>
            </w:r>
            <w:r w:rsidR="00210905" w:rsidRPr="00F16BE1">
              <w:tab/>
              <w:t>n=</w:t>
            </w:r>
            <w:r w:rsidR="00210905">
              <w:t>858</w:t>
            </w:r>
          </w:p>
        </w:tc>
      </w:tr>
      <w:tr w:rsidR="00210905" w:rsidTr="003645D5">
        <w:tc>
          <w:tcPr>
            <w:tcW w:w="1283" w:type="pct"/>
            <w:tcBorders>
              <w:top w:val="single" w:sz="4" w:space="0" w:color="auto"/>
              <w:left w:val="single" w:sz="4" w:space="0" w:color="auto"/>
              <w:bottom w:val="single" w:sz="4" w:space="0" w:color="auto"/>
              <w:right w:val="single" w:sz="4" w:space="0" w:color="auto"/>
            </w:tcBorders>
            <w:hideMark/>
          </w:tcPr>
          <w:p w:rsidR="00210905" w:rsidRPr="00F16BE1" w:rsidRDefault="00210905" w:rsidP="00D117CD">
            <w:pPr>
              <w:pStyle w:val="TableText"/>
              <w:keepLines/>
            </w:pPr>
            <w:r w:rsidRPr="00F16BE1">
              <w:t xml:space="preserve">Change in patient management </w:t>
            </w:r>
          </w:p>
        </w:tc>
        <w:tc>
          <w:tcPr>
            <w:tcW w:w="2348" w:type="pct"/>
            <w:tcBorders>
              <w:top w:val="single" w:sz="4" w:space="0" w:color="auto"/>
              <w:left w:val="single" w:sz="4" w:space="0" w:color="auto"/>
              <w:bottom w:val="single" w:sz="4" w:space="0" w:color="auto"/>
              <w:right w:val="single" w:sz="4" w:space="0" w:color="auto"/>
            </w:tcBorders>
            <w:hideMark/>
          </w:tcPr>
          <w:p w:rsidR="00210905" w:rsidRPr="00F16BE1" w:rsidRDefault="00210905" w:rsidP="00D117CD">
            <w:pPr>
              <w:pStyle w:val="TableText"/>
              <w:keepLines/>
            </w:pPr>
            <w:r w:rsidRPr="00F16BE1">
              <w:t>No evidence provided</w:t>
            </w:r>
          </w:p>
        </w:tc>
        <w:tc>
          <w:tcPr>
            <w:tcW w:w="1369" w:type="pct"/>
            <w:tcBorders>
              <w:top w:val="single" w:sz="4" w:space="0" w:color="auto"/>
              <w:left w:val="single" w:sz="4" w:space="0" w:color="auto"/>
              <w:bottom w:val="single" w:sz="4" w:space="0" w:color="auto"/>
              <w:right w:val="single" w:sz="4" w:space="0" w:color="auto"/>
            </w:tcBorders>
            <w:hideMark/>
          </w:tcPr>
          <w:p w:rsidR="00210905" w:rsidRPr="00F16BE1" w:rsidRDefault="00B976A9" w:rsidP="00D117CD">
            <w:pPr>
              <w:pStyle w:val="TableText"/>
              <w:keepLines/>
              <w:tabs>
                <w:tab w:val="left" w:pos="492"/>
                <w:tab w:val="left" w:pos="1168"/>
              </w:tabs>
              <w:ind w:right="-57"/>
            </w:pPr>
            <w:sdt>
              <w:sdtPr>
                <w:id w:val="-1789576551"/>
                <w14:checkbox>
                  <w14:checked w14:val="0"/>
                  <w14:checkedState w14:val="2612" w14:font="MS Gothic"/>
                  <w14:uncheckedState w14:val="2610" w14:font="MS Gothic"/>
                </w14:checkbox>
              </w:sdtPr>
              <w:sdtContent>
                <w:r w:rsidR="00210905">
                  <w:rPr>
                    <w:rFonts w:ascii="MS Gothic" w:eastAsia="MS Gothic" w:hAnsi="MS Gothic" w:hint="eastAsia"/>
                  </w:rPr>
                  <w:t>☐</w:t>
                </w:r>
              </w:sdtContent>
            </w:sdt>
            <w:r w:rsidR="00210905" w:rsidRPr="00F16BE1">
              <w:tab/>
              <w:t>k=0</w:t>
            </w:r>
          </w:p>
        </w:tc>
      </w:tr>
      <w:tr w:rsidR="00210905" w:rsidTr="003A12E6">
        <w:trPr>
          <w:cantSplit/>
        </w:trPr>
        <w:tc>
          <w:tcPr>
            <w:tcW w:w="1283" w:type="pct"/>
            <w:tcBorders>
              <w:top w:val="single" w:sz="4" w:space="0" w:color="auto"/>
              <w:left w:val="single" w:sz="4" w:space="0" w:color="auto"/>
              <w:bottom w:val="nil"/>
              <w:right w:val="single" w:sz="4" w:space="0" w:color="auto"/>
            </w:tcBorders>
          </w:tcPr>
          <w:p w:rsidR="00210905" w:rsidRPr="00F16BE1" w:rsidRDefault="00210905" w:rsidP="00D117CD">
            <w:pPr>
              <w:pStyle w:val="TableText"/>
              <w:keepLines/>
              <w:spacing w:line="257" w:lineRule="auto"/>
              <w:rPr>
                <w:highlight w:val="yellow"/>
              </w:rPr>
            </w:pPr>
            <w:r w:rsidRPr="00F16BE1">
              <w:t xml:space="preserve">Treatment effectiveness </w:t>
            </w:r>
          </w:p>
        </w:tc>
        <w:tc>
          <w:tcPr>
            <w:tcW w:w="2348" w:type="pct"/>
            <w:tcBorders>
              <w:top w:val="single" w:sz="4" w:space="0" w:color="auto"/>
              <w:left w:val="single" w:sz="4" w:space="0" w:color="auto"/>
              <w:bottom w:val="nil"/>
              <w:right w:val="single" w:sz="4" w:space="0" w:color="auto"/>
            </w:tcBorders>
          </w:tcPr>
          <w:p w:rsidR="00210905" w:rsidRPr="00F16BE1" w:rsidRDefault="00210905" w:rsidP="00D117CD">
            <w:pPr>
              <w:pStyle w:val="TableText"/>
              <w:keepLines/>
              <w:spacing w:line="257" w:lineRule="auto"/>
              <w:rPr>
                <w:highlight w:val="yellow"/>
              </w:rPr>
            </w:pPr>
          </w:p>
        </w:tc>
        <w:tc>
          <w:tcPr>
            <w:tcW w:w="1369" w:type="pct"/>
            <w:tcBorders>
              <w:top w:val="single" w:sz="4" w:space="0" w:color="auto"/>
              <w:left w:val="single" w:sz="4" w:space="0" w:color="auto"/>
              <w:bottom w:val="nil"/>
              <w:right w:val="single" w:sz="4" w:space="0" w:color="auto"/>
            </w:tcBorders>
          </w:tcPr>
          <w:p w:rsidR="00210905" w:rsidRPr="00F16BE1" w:rsidRDefault="00210905" w:rsidP="00D117CD">
            <w:pPr>
              <w:pStyle w:val="TableText"/>
              <w:keepLines/>
              <w:tabs>
                <w:tab w:val="left" w:pos="492"/>
                <w:tab w:val="left" w:pos="700"/>
                <w:tab w:val="left" w:pos="985"/>
                <w:tab w:val="left" w:pos="1168"/>
              </w:tabs>
              <w:spacing w:line="257" w:lineRule="auto"/>
              <w:ind w:right="-57"/>
              <w:rPr>
                <w:highlight w:val="yellow"/>
              </w:rPr>
            </w:pPr>
          </w:p>
        </w:tc>
      </w:tr>
      <w:tr w:rsidR="00210905" w:rsidTr="003645D5">
        <w:tc>
          <w:tcPr>
            <w:tcW w:w="1283" w:type="pct"/>
            <w:tcBorders>
              <w:top w:val="nil"/>
              <w:left w:val="single" w:sz="4" w:space="0" w:color="auto"/>
              <w:bottom w:val="nil"/>
              <w:right w:val="single" w:sz="4" w:space="0" w:color="auto"/>
            </w:tcBorders>
          </w:tcPr>
          <w:p w:rsidR="00210905" w:rsidRPr="00F16BE1" w:rsidRDefault="00210905" w:rsidP="00D117CD">
            <w:pPr>
              <w:pStyle w:val="TableText"/>
              <w:keepLines/>
              <w:spacing w:line="240" w:lineRule="auto"/>
            </w:pPr>
            <w:r w:rsidRPr="00F16BE1">
              <w:t>Predictive effect</w:t>
            </w:r>
          </w:p>
          <w:p w:rsidR="00210905" w:rsidRPr="00FA47A2" w:rsidRDefault="00FA47A2" w:rsidP="00D117CD">
            <w:pPr>
              <w:pStyle w:val="TableText"/>
              <w:keepLines/>
              <w:spacing w:line="240" w:lineRule="auto"/>
            </w:pPr>
            <w:r>
              <w:t>(treatment effect variation)</w:t>
            </w:r>
          </w:p>
        </w:tc>
        <w:tc>
          <w:tcPr>
            <w:tcW w:w="2348" w:type="pct"/>
            <w:tcBorders>
              <w:top w:val="nil"/>
              <w:left w:val="single" w:sz="4" w:space="0" w:color="auto"/>
              <w:bottom w:val="nil"/>
              <w:right w:val="single" w:sz="4" w:space="0" w:color="auto"/>
            </w:tcBorders>
          </w:tcPr>
          <w:p w:rsidR="00210905" w:rsidRPr="00FA47A2" w:rsidRDefault="00210905" w:rsidP="00D117CD">
            <w:pPr>
              <w:pStyle w:val="TableText"/>
              <w:keepLines/>
              <w:spacing w:line="240" w:lineRule="auto"/>
            </w:pPr>
            <w:r w:rsidRPr="00F16BE1">
              <w:t xml:space="preserve">[Comparison of outcomes in patients with and without the biomarker who receive </w:t>
            </w:r>
            <w:r w:rsidR="00FA47A2">
              <w:t>the medicine or its comparator]</w:t>
            </w:r>
          </w:p>
        </w:tc>
        <w:tc>
          <w:tcPr>
            <w:tcW w:w="1369" w:type="pct"/>
            <w:tcBorders>
              <w:top w:val="nil"/>
              <w:left w:val="single" w:sz="4" w:space="0" w:color="auto"/>
              <w:bottom w:val="nil"/>
              <w:right w:val="single" w:sz="4" w:space="0" w:color="auto"/>
            </w:tcBorders>
          </w:tcPr>
          <w:p w:rsidR="00210905" w:rsidRPr="00FA47A2" w:rsidRDefault="00B976A9" w:rsidP="00D117CD">
            <w:pPr>
              <w:pStyle w:val="TableText"/>
              <w:keepLines/>
              <w:tabs>
                <w:tab w:val="left" w:pos="460"/>
                <w:tab w:val="left" w:pos="1168"/>
              </w:tabs>
              <w:spacing w:line="240" w:lineRule="auto"/>
              <w:ind w:right="-57"/>
            </w:pPr>
            <w:sdt>
              <w:sdtPr>
                <w:id w:val="1625195694"/>
                <w14:checkbox>
                  <w14:checked w14:val="0"/>
                  <w14:checkedState w14:val="2612" w14:font="MS Gothic"/>
                  <w14:uncheckedState w14:val="2610" w14:font="MS Gothic"/>
                </w14:checkbox>
              </w:sdtPr>
              <w:sdtContent>
                <w:r w:rsidR="00210905" w:rsidRPr="00F16BE1">
                  <w:rPr>
                    <w:rFonts w:ascii="Segoe UI Symbol" w:eastAsia="MS Gothic" w:hAnsi="Segoe UI Symbol" w:cs="Segoe UI Symbol"/>
                  </w:rPr>
                  <w:t>☐</w:t>
                </w:r>
              </w:sdtContent>
            </w:sdt>
            <w:r w:rsidR="00FA47A2">
              <w:tab/>
              <w:t>k=0</w:t>
            </w:r>
            <w:r w:rsidR="00FA47A2">
              <w:tab/>
              <w:t>n=0</w:t>
            </w:r>
          </w:p>
        </w:tc>
      </w:tr>
      <w:tr w:rsidR="00210905" w:rsidTr="00210905">
        <w:tc>
          <w:tcPr>
            <w:tcW w:w="1283" w:type="pct"/>
            <w:tcBorders>
              <w:top w:val="nil"/>
              <w:left w:val="single" w:sz="4" w:space="0" w:color="auto"/>
              <w:bottom w:val="nil"/>
              <w:right w:val="single" w:sz="4" w:space="0" w:color="auto"/>
            </w:tcBorders>
          </w:tcPr>
          <w:p w:rsidR="00210905" w:rsidRPr="00F16BE1" w:rsidRDefault="00210905" w:rsidP="00D117CD">
            <w:pPr>
              <w:pStyle w:val="TableText"/>
              <w:keepLines/>
              <w:rPr>
                <w:highlight w:val="yellow"/>
              </w:rPr>
            </w:pPr>
            <w:r w:rsidRPr="00F16BE1">
              <w:t>Treatment effect (enriched)</w:t>
            </w:r>
          </w:p>
        </w:tc>
        <w:tc>
          <w:tcPr>
            <w:tcW w:w="2348" w:type="pct"/>
            <w:tcBorders>
              <w:top w:val="nil"/>
              <w:left w:val="single" w:sz="4" w:space="0" w:color="auto"/>
              <w:bottom w:val="nil"/>
              <w:right w:val="single" w:sz="4" w:space="0" w:color="auto"/>
            </w:tcBorders>
          </w:tcPr>
          <w:p w:rsidR="00210905" w:rsidRPr="00F16BE1" w:rsidRDefault="00210905" w:rsidP="00D117CD">
            <w:pPr>
              <w:pStyle w:val="TableText"/>
              <w:keepLines/>
              <w:rPr>
                <w:highlight w:val="yellow"/>
              </w:rPr>
            </w:pPr>
            <w:r w:rsidRPr="00F16BE1">
              <w:t>[Single randomised controlled trial of medicine vs usual care in patients that are test positive in both arms]</w:t>
            </w:r>
          </w:p>
        </w:tc>
        <w:tc>
          <w:tcPr>
            <w:tcW w:w="1369" w:type="pct"/>
            <w:tcBorders>
              <w:top w:val="nil"/>
              <w:left w:val="single" w:sz="4" w:space="0" w:color="auto"/>
              <w:bottom w:val="nil"/>
              <w:right w:val="single" w:sz="4" w:space="0" w:color="auto"/>
            </w:tcBorders>
          </w:tcPr>
          <w:p w:rsidR="00210905" w:rsidRPr="00F16BE1" w:rsidRDefault="00B976A9" w:rsidP="00D117CD">
            <w:pPr>
              <w:pStyle w:val="TableText"/>
              <w:keepLines/>
              <w:tabs>
                <w:tab w:val="left" w:pos="492"/>
                <w:tab w:val="left" w:pos="1168"/>
              </w:tabs>
              <w:ind w:right="-57"/>
              <w:rPr>
                <w:highlight w:val="yellow"/>
              </w:rPr>
            </w:pPr>
            <w:sdt>
              <w:sdtPr>
                <w:id w:val="1486275097"/>
                <w14:checkbox>
                  <w14:checked w14:val="0"/>
                  <w14:checkedState w14:val="2612" w14:font="MS Gothic"/>
                  <w14:uncheckedState w14:val="2610" w14:font="MS Gothic"/>
                </w14:checkbox>
              </w:sdtPr>
              <w:sdtContent>
                <w:r w:rsidR="00210905" w:rsidRPr="00F16BE1">
                  <w:rPr>
                    <w:rFonts w:ascii="Segoe UI Symbol" w:eastAsia="MS Gothic" w:hAnsi="Segoe UI Symbol" w:cs="Segoe UI Symbol"/>
                  </w:rPr>
                  <w:t>☐</w:t>
                </w:r>
              </w:sdtContent>
            </w:sdt>
            <w:r w:rsidR="00210905" w:rsidRPr="00F16BE1">
              <w:tab/>
              <w:t>k=0</w:t>
            </w:r>
            <w:r w:rsidR="00210905" w:rsidRPr="00F16BE1">
              <w:tab/>
              <w:t>n=0</w:t>
            </w:r>
          </w:p>
        </w:tc>
      </w:tr>
      <w:tr w:rsidR="00210905" w:rsidTr="003645D5">
        <w:tc>
          <w:tcPr>
            <w:tcW w:w="1283" w:type="pct"/>
            <w:tcBorders>
              <w:top w:val="nil"/>
              <w:left w:val="single" w:sz="4" w:space="0" w:color="auto"/>
              <w:bottom w:val="single" w:sz="4" w:space="0" w:color="auto"/>
              <w:right w:val="single" w:sz="4" w:space="0" w:color="auto"/>
            </w:tcBorders>
          </w:tcPr>
          <w:p w:rsidR="00210905" w:rsidRPr="00F16BE1" w:rsidRDefault="00210905" w:rsidP="00D117CD">
            <w:pPr>
              <w:pStyle w:val="TableText"/>
              <w:keepLines/>
              <w:rPr>
                <w:highlight w:val="yellow"/>
              </w:rPr>
            </w:pPr>
            <w:r w:rsidRPr="00F16BE1">
              <w:t>Naïve indirect comparison</w:t>
            </w:r>
          </w:p>
        </w:tc>
        <w:tc>
          <w:tcPr>
            <w:tcW w:w="2348" w:type="pct"/>
            <w:tcBorders>
              <w:top w:val="nil"/>
              <w:left w:val="single" w:sz="4" w:space="0" w:color="auto"/>
              <w:bottom w:val="single" w:sz="4" w:space="0" w:color="auto"/>
              <w:right w:val="single" w:sz="4" w:space="0" w:color="auto"/>
            </w:tcBorders>
          </w:tcPr>
          <w:p w:rsidR="00210905" w:rsidRDefault="00210905" w:rsidP="00D117CD">
            <w:pPr>
              <w:pStyle w:val="TableText"/>
              <w:keepLines/>
            </w:pPr>
            <w:r w:rsidRPr="00F16BE1">
              <w:t>[</w:t>
            </w:r>
            <w:r w:rsidRPr="00990147">
              <w:rPr>
                <w:i/>
              </w:rPr>
              <w:t>NTRK</w:t>
            </w:r>
            <w:r>
              <w:t xml:space="preserve"> fusion positive patients from 3 single</w:t>
            </w:r>
            <w:r w:rsidR="00057EDA">
              <w:t>-</w:t>
            </w:r>
            <w:r>
              <w:t xml:space="preserve">arm larotrectinib studies and SoC patients, regardless of </w:t>
            </w:r>
            <w:r w:rsidRPr="00990147">
              <w:rPr>
                <w:i/>
              </w:rPr>
              <w:t>NTRK</w:t>
            </w:r>
            <w:r>
              <w:t xml:space="preserve"> fusion status, from single arms of </w:t>
            </w:r>
            <w:r w:rsidRPr="006E0181">
              <w:t>11 historical studies]</w:t>
            </w:r>
          </w:p>
          <w:p w:rsidR="00F6049A" w:rsidRDefault="00F6049A" w:rsidP="00D117CD">
            <w:pPr>
              <w:pStyle w:val="TableText"/>
              <w:keepLines/>
            </w:pPr>
          </w:p>
          <w:p w:rsidR="00F6049A" w:rsidRPr="00F6049A" w:rsidRDefault="00F6049A" w:rsidP="00D117CD">
            <w:pPr>
              <w:pStyle w:val="TableText"/>
              <w:keepLines/>
            </w:pPr>
            <w:r>
              <w:t>N</w:t>
            </w:r>
            <w:r w:rsidRPr="00F6049A">
              <w:t xml:space="preserve">aïve indirect comparison </w:t>
            </w:r>
            <w:r>
              <w:t xml:space="preserve">was </w:t>
            </w:r>
            <w:r w:rsidRPr="00F6049A">
              <w:t xml:space="preserve">between updated pooled data from </w:t>
            </w:r>
            <w:r w:rsidR="00B97AB8">
              <w:t xml:space="preserve">three </w:t>
            </w:r>
            <w:r w:rsidRPr="00F6049A">
              <w:t>single</w:t>
            </w:r>
            <w:r w:rsidR="00057EDA">
              <w:t>-</w:t>
            </w:r>
            <w:r w:rsidRPr="00F6049A">
              <w:t xml:space="preserve">arm larotrectinib studies </w:t>
            </w:r>
            <w:r w:rsidR="00F01472">
              <w:t xml:space="preserve">(ePAS5 </w:t>
            </w:r>
            <w:r w:rsidRPr="00F6049A">
              <w:t xml:space="preserve">and </w:t>
            </w:r>
            <w:r w:rsidR="00F01472">
              <w:t xml:space="preserve">SAS3 New) and </w:t>
            </w:r>
            <w:r w:rsidRPr="00F6049A">
              <w:t>single</w:t>
            </w:r>
            <w:r w:rsidR="00057EDA">
              <w:t>-</w:t>
            </w:r>
            <w:r w:rsidRPr="00F6049A">
              <w:t>arm SoC data</w:t>
            </w:r>
          </w:p>
        </w:tc>
        <w:tc>
          <w:tcPr>
            <w:tcW w:w="1369" w:type="pct"/>
            <w:tcBorders>
              <w:top w:val="nil"/>
              <w:left w:val="single" w:sz="4" w:space="0" w:color="auto"/>
              <w:bottom w:val="single" w:sz="4" w:space="0" w:color="auto"/>
              <w:right w:val="single" w:sz="4" w:space="0" w:color="auto"/>
            </w:tcBorders>
          </w:tcPr>
          <w:p w:rsidR="00210905" w:rsidRPr="00F16BE1" w:rsidRDefault="00B976A9" w:rsidP="00D117CD">
            <w:pPr>
              <w:pStyle w:val="TableText"/>
              <w:keepLines/>
              <w:tabs>
                <w:tab w:val="left" w:pos="492"/>
                <w:tab w:val="left" w:pos="1168"/>
              </w:tabs>
              <w:spacing w:line="240" w:lineRule="auto"/>
              <w:ind w:right="-57"/>
            </w:pPr>
            <w:sdt>
              <w:sdtPr>
                <w:id w:val="-1831753470"/>
                <w14:checkbox>
                  <w14:checked w14:val="1"/>
                  <w14:checkedState w14:val="2612" w14:font="MS Gothic"/>
                  <w14:uncheckedState w14:val="2610" w14:font="MS Gothic"/>
                </w14:checkbox>
              </w:sdtPr>
              <w:sdtContent>
                <w:r w:rsidR="00F6049A">
                  <w:rPr>
                    <w:rFonts w:ascii="MS Gothic" w:eastAsia="MS Gothic" w:hAnsi="MS Gothic" w:hint="eastAsia"/>
                  </w:rPr>
                  <w:t>☒</w:t>
                </w:r>
              </w:sdtContent>
            </w:sdt>
            <w:r w:rsidR="00210905" w:rsidRPr="00F16BE1">
              <w:tab/>
              <w:t>k=3</w:t>
            </w:r>
            <w:r w:rsidR="00210905" w:rsidRPr="00F16BE1">
              <w:tab/>
            </w:r>
            <w:r w:rsidR="00210905" w:rsidRPr="006E0181">
              <w:t>n=</w:t>
            </w:r>
            <w:r w:rsidR="00210905">
              <w:t>225</w:t>
            </w:r>
          </w:p>
          <w:p w:rsidR="00210905" w:rsidRDefault="00B976A9" w:rsidP="00D117CD">
            <w:pPr>
              <w:pStyle w:val="TableText"/>
              <w:keepLines/>
              <w:tabs>
                <w:tab w:val="left" w:pos="492"/>
                <w:tab w:val="left" w:pos="1168"/>
              </w:tabs>
              <w:ind w:right="-57"/>
            </w:pPr>
            <w:sdt>
              <w:sdtPr>
                <w:id w:val="181782553"/>
                <w14:checkbox>
                  <w14:checked w14:val="1"/>
                  <w14:checkedState w14:val="2612" w14:font="MS Gothic"/>
                  <w14:uncheckedState w14:val="2610" w14:font="MS Gothic"/>
                </w14:checkbox>
              </w:sdtPr>
              <w:sdtContent>
                <w:r w:rsidR="00210905" w:rsidRPr="00F16BE1">
                  <w:rPr>
                    <w:rFonts w:ascii="Segoe UI Symbol" w:eastAsia="MS Gothic" w:hAnsi="Segoe UI Symbol" w:cs="Segoe UI Symbol"/>
                  </w:rPr>
                  <w:t>☒</w:t>
                </w:r>
              </w:sdtContent>
            </w:sdt>
            <w:r w:rsidR="00210905" w:rsidRPr="00F16BE1">
              <w:tab/>
            </w:r>
            <w:r w:rsidR="00210905" w:rsidRPr="006E0181">
              <w:t>k=11</w:t>
            </w:r>
            <w:r w:rsidR="00210905" w:rsidRPr="006E0181">
              <w:tab/>
            </w:r>
            <w:r w:rsidR="00210905" w:rsidRPr="00872350">
              <w:t>n=2,356</w:t>
            </w:r>
          </w:p>
          <w:p w:rsidR="00210905" w:rsidRDefault="00210905" w:rsidP="00D117CD">
            <w:pPr>
              <w:pStyle w:val="TableText"/>
              <w:keepLines/>
              <w:tabs>
                <w:tab w:val="left" w:pos="492"/>
                <w:tab w:val="left" w:pos="1168"/>
              </w:tabs>
              <w:ind w:right="-57"/>
            </w:pPr>
            <w:r>
              <w:t>Population 1: n= 62 vs 199</w:t>
            </w:r>
          </w:p>
          <w:p w:rsidR="00210905" w:rsidRDefault="00210905" w:rsidP="00D117CD">
            <w:pPr>
              <w:pStyle w:val="TableText"/>
              <w:keepLines/>
              <w:tabs>
                <w:tab w:val="left" w:pos="492"/>
                <w:tab w:val="left" w:pos="1168"/>
              </w:tabs>
              <w:ind w:right="-57"/>
            </w:pPr>
            <w:r>
              <w:t>Population 2: n= 23 vs 20</w:t>
            </w:r>
          </w:p>
          <w:p w:rsidR="00210905" w:rsidRDefault="00210905" w:rsidP="00D117CD">
            <w:pPr>
              <w:pStyle w:val="TableText"/>
              <w:keepLines/>
              <w:tabs>
                <w:tab w:val="left" w:pos="492"/>
                <w:tab w:val="left" w:pos="1168"/>
              </w:tabs>
              <w:ind w:right="-57"/>
            </w:pPr>
            <w:r>
              <w:t>Population 3: n= 26 vs 208</w:t>
            </w:r>
          </w:p>
          <w:p w:rsidR="00210905" w:rsidRPr="00F16BE1" w:rsidRDefault="00210905" w:rsidP="00D117CD">
            <w:pPr>
              <w:pStyle w:val="TableText"/>
              <w:keepLines/>
              <w:tabs>
                <w:tab w:val="left" w:pos="492"/>
                <w:tab w:val="left" w:pos="1168"/>
              </w:tabs>
              <w:ind w:right="-57"/>
              <w:rPr>
                <w:highlight w:val="yellow"/>
              </w:rPr>
            </w:pPr>
            <w:r w:rsidRPr="00565F1D">
              <w:t>Population 4: n=</w:t>
            </w:r>
            <w:r>
              <w:t xml:space="preserve"> 74 vs 1,929</w:t>
            </w:r>
          </w:p>
        </w:tc>
      </w:tr>
    </w:tbl>
    <w:p w:rsidR="00C853BA" w:rsidRPr="00C853BA" w:rsidRDefault="00C853BA" w:rsidP="00D117CD">
      <w:pPr>
        <w:pStyle w:val="TableFooter"/>
        <w:keepLines/>
      </w:pPr>
      <w:r w:rsidRPr="00C853BA">
        <w:t>Source: Sections 2B and 2D of the previous submission and the resubmission</w:t>
      </w:r>
      <w:r>
        <w:t>, as well as</w:t>
      </w:r>
      <w:r w:rsidRPr="00C853BA">
        <w:t xml:space="preserve"> </w:t>
      </w:r>
      <w:r>
        <w:t>additional data identified during evaluation. New</w:t>
      </w:r>
      <w:r w:rsidRPr="00C853BA">
        <w:t xml:space="preserve"> data sources in the resubmission</w:t>
      </w:r>
      <w:r>
        <w:t xml:space="preserve"> and the commentary</w:t>
      </w:r>
      <w:r w:rsidRPr="00C853BA">
        <w:t xml:space="preserve"> have been </w:t>
      </w:r>
      <w:r w:rsidRPr="00C853BA">
        <w:rPr>
          <w:u w:val="single"/>
        </w:rPr>
        <w:t>underlined</w:t>
      </w:r>
      <w:r w:rsidRPr="00C853BA">
        <w:t xml:space="preserve">. </w:t>
      </w:r>
    </w:p>
    <w:p w:rsidR="001F3C55" w:rsidRDefault="00CF178C" w:rsidP="00D117CD">
      <w:pPr>
        <w:pStyle w:val="TableFooter"/>
        <w:keepLines/>
      </w:pPr>
      <w:r w:rsidRPr="00CF178C">
        <w:t xml:space="preserve">k = number of studies, n = number of patients; </w:t>
      </w:r>
      <w:r w:rsidR="001F3C55">
        <w:t>Population 1=</w:t>
      </w:r>
      <w:r w:rsidR="00F01472">
        <w:t>P</w:t>
      </w:r>
      <w:r w:rsidR="001F3C55">
        <w:t>aediatric high frequency; Population 2=</w:t>
      </w:r>
      <w:r w:rsidR="003E4021">
        <w:t>Adult high frequency; Population 3=Paediatric low frequency; Population 4=Adult low frequency.</w:t>
      </w:r>
    </w:p>
    <w:p w:rsidR="00C853BA" w:rsidRPr="00C853BA" w:rsidRDefault="00C853BA" w:rsidP="00D117CD">
      <w:pPr>
        <w:pStyle w:val="TableFooter"/>
        <w:keepLines/>
      </w:pPr>
      <w:r w:rsidRPr="00C853BA">
        <w:t>ePAS5</w:t>
      </w:r>
      <w:r w:rsidR="00BC1190">
        <w:t xml:space="preserve"> includes</w:t>
      </w:r>
      <w:r w:rsidRPr="00C853BA">
        <w:t xml:space="preserve"> paediatric and adult tumour types other than primary CNS with documented </w:t>
      </w:r>
      <w:r w:rsidRPr="00C853BA">
        <w:rPr>
          <w:i/>
        </w:rPr>
        <w:t>NTRK</w:t>
      </w:r>
      <w:r w:rsidRPr="00C853BA">
        <w:t xml:space="preserve"> fusion (N=192, median </w:t>
      </w:r>
      <w:r w:rsidR="007A40DF">
        <w:t>follow-up</w:t>
      </w:r>
      <w:r w:rsidRPr="00C853BA">
        <w:t xml:space="preserve"> for overall survival 24 months compared to 15.8 months for the ePAS4 (N=164) in the previous submission; SAS</w:t>
      </w:r>
      <w:r w:rsidR="00F01472">
        <w:t>3</w:t>
      </w:r>
      <w:r w:rsidRPr="00C853BA">
        <w:t xml:space="preserve"> New</w:t>
      </w:r>
      <w:r>
        <w:t xml:space="preserve"> </w:t>
      </w:r>
      <w:r w:rsidR="00BC1190">
        <w:t>includes</w:t>
      </w:r>
      <w:r w:rsidRPr="00C853BA">
        <w:t xml:space="preserve"> paediatric and adult primary CNS patients with documented </w:t>
      </w:r>
      <w:r w:rsidRPr="00C853BA">
        <w:rPr>
          <w:i/>
        </w:rPr>
        <w:t>NTRK</w:t>
      </w:r>
      <w:r w:rsidRPr="00C853BA">
        <w:t xml:space="preserve"> fusion tumours (N=33; median </w:t>
      </w:r>
      <w:r w:rsidR="007A40DF">
        <w:t>follow-up</w:t>
      </w:r>
      <w:r w:rsidRPr="00C853BA">
        <w:t xml:space="preserve"> for overall survival 16.5 months compared to 6 months for the SAS3 (N=</w:t>
      </w:r>
      <w:r w:rsidR="00BC1190">
        <w:t>24) in the previous submission)</w:t>
      </w:r>
    </w:p>
    <w:p w:rsidR="00C853BA" w:rsidRPr="00C853BA" w:rsidRDefault="00C853BA" w:rsidP="00D117CD">
      <w:pPr>
        <w:pStyle w:val="TableFooter"/>
        <w:keepLines/>
      </w:pPr>
      <w:r w:rsidRPr="00C853BA">
        <w:t>ePAS</w:t>
      </w:r>
      <w:r w:rsidR="00BC1190">
        <w:t xml:space="preserve">, </w:t>
      </w:r>
      <w:r w:rsidRPr="00C853BA">
        <w:t xml:space="preserve">extended primary analysis set; </w:t>
      </w:r>
      <w:r w:rsidR="00BC1190" w:rsidRPr="00BC1190">
        <w:rPr>
          <w:rStyle w:val="TableFooterChar"/>
        </w:rPr>
        <w:t>k</w:t>
      </w:r>
      <w:r w:rsidR="00BC1190">
        <w:rPr>
          <w:rStyle w:val="TableFooterChar"/>
        </w:rPr>
        <w:t xml:space="preserve">, </w:t>
      </w:r>
      <w:r w:rsidR="00BC1190" w:rsidRPr="00BC1190">
        <w:rPr>
          <w:rStyle w:val="TableFooterChar"/>
        </w:rPr>
        <w:t>number of studies, n</w:t>
      </w:r>
      <w:r w:rsidR="00BC1190">
        <w:rPr>
          <w:rStyle w:val="TableFooterChar"/>
        </w:rPr>
        <w:t xml:space="preserve">, </w:t>
      </w:r>
      <w:r w:rsidR="00BC1190" w:rsidRPr="00BC1190">
        <w:rPr>
          <w:rStyle w:val="TableFooterChar"/>
        </w:rPr>
        <w:t>number of patients</w:t>
      </w:r>
      <w:r w:rsidR="00BC1190">
        <w:rPr>
          <w:rStyle w:val="TableFooterChar"/>
          <w:rFonts w:eastAsiaTheme="minorHAnsi"/>
        </w:rPr>
        <w:t>;</w:t>
      </w:r>
      <w:r w:rsidR="00BC1190" w:rsidRPr="00BC1190">
        <w:rPr>
          <w:rStyle w:val="TableFooterChar"/>
        </w:rPr>
        <w:t xml:space="preserve"> </w:t>
      </w:r>
      <w:r w:rsidRPr="00C853BA">
        <w:t>SAS</w:t>
      </w:r>
      <w:r w:rsidR="00BC1190">
        <w:t xml:space="preserve">, </w:t>
      </w:r>
      <w:r w:rsidRPr="00C853BA">
        <w:t>supplementary analysis set.</w:t>
      </w:r>
    </w:p>
    <w:p w:rsidR="003A12E6" w:rsidRDefault="003A12E6" w:rsidP="003A12E6">
      <w:pPr>
        <w:pStyle w:val="ListParagraph"/>
        <w:ind w:left="709"/>
        <w:rPr>
          <w:color w:val="auto"/>
        </w:rPr>
      </w:pPr>
      <w:bookmarkStart w:id="38" w:name="_Ref77944955"/>
      <w:r w:rsidRPr="00F16BE1">
        <w:rPr>
          <w:color w:val="auto"/>
        </w:rPr>
        <w:t xml:space="preserve">The </w:t>
      </w:r>
      <w:r w:rsidR="006B71B1">
        <w:rPr>
          <w:color w:val="auto"/>
        </w:rPr>
        <w:t>re</w:t>
      </w:r>
      <w:r w:rsidRPr="00017F50">
        <w:rPr>
          <w:color w:val="auto"/>
        </w:rPr>
        <w:t>submission presented evidence as outlined in</w:t>
      </w:r>
      <w:r w:rsidR="00C10C26">
        <w:rPr>
          <w:color w:val="auto"/>
        </w:rPr>
        <w:t xml:space="preserve"> </w:t>
      </w:r>
      <w:r w:rsidR="00796D25">
        <w:t>Table</w:t>
      </w:r>
      <w:r w:rsidR="00E37EC3">
        <w:t xml:space="preserve"> </w:t>
      </w:r>
      <w:r w:rsidR="00796D25">
        <w:rPr>
          <w:noProof/>
        </w:rPr>
        <w:t>7</w:t>
      </w:r>
      <w:r w:rsidRPr="00017F50">
        <w:rPr>
          <w:color w:val="auto"/>
        </w:rPr>
        <w:t>.</w:t>
      </w:r>
    </w:p>
    <w:p w:rsidR="003A12E6" w:rsidRPr="007B73DB" w:rsidRDefault="003A12E6" w:rsidP="003A12E6">
      <w:pPr>
        <w:pStyle w:val="ListParagraph"/>
        <w:rPr>
          <w:iCs/>
        </w:rPr>
      </w:pPr>
      <w:r w:rsidRPr="007B73DB">
        <w:rPr>
          <w:iCs/>
        </w:rPr>
        <w:t xml:space="preserve">The PBAC </w:t>
      </w:r>
      <w:r w:rsidR="00B97AB8" w:rsidRPr="007B73DB">
        <w:rPr>
          <w:iCs/>
        </w:rPr>
        <w:t xml:space="preserve">previously considered that additional data from the ongoing NAVIGATE and MoST trials would be useful for assessing the overall efficacy of larotrectinib in the adult low frequency </w:t>
      </w:r>
      <w:r w:rsidR="00B97AB8" w:rsidRPr="007B73DB">
        <w:rPr>
          <w:i/>
        </w:rPr>
        <w:t xml:space="preserve">NTRK </w:t>
      </w:r>
      <w:r w:rsidR="00B97AB8" w:rsidRPr="007B73DB">
        <w:rPr>
          <w:iCs/>
        </w:rPr>
        <w:t xml:space="preserve">fusion subpopulation </w:t>
      </w:r>
      <w:r w:rsidRPr="007B73DB">
        <w:rPr>
          <w:iCs/>
        </w:rPr>
        <w:t>(paragraph 7.13, larotrectinib PSD, November 2020). Additional data were provided for NAVIGATE. However, no published data</w:t>
      </w:r>
      <w:r w:rsidR="001C4730">
        <w:rPr>
          <w:iCs/>
        </w:rPr>
        <w:t xml:space="preserve"> was</w:t>
      </w:r>
      <w:r w:rsidRPr="007B73DB">
        <w:rPr>
          <w:iCs/>
        </w:rPr>
        <w:t xml:space="preserve"> identified in the resubmission for the MoST study</w:t>
      </w:r>
      <w:r w:rsidR="00D97063">
        <w:rPr>
          <w:iCs/>
        </w:rPr>
        <w:t xml:space="preserve"> </w:t>
      </w:r>
      <w:r w:rsidR="000644FA">
        <w:rPr>
          <w:iCs/>
        </w:rPr>
        <w:t xml:space="preserve">and there </w:t>
      </w:r>
      <w:r w:rsidR="009C7786" w:rsidRPr="007B73DB">
        <w:rPr>
          <w:iCs/>
        </w:rPr>
        <w:t>was</w:t>
      </w:r>
      <w:r w:rsidRPr="007B73DB">
        <w:rPr>
          <w:iCs/>
        </w:rPr>
        <w:t xml:space="preserve"> insufficient information </w:t>
      </w:r>
      <w:r w:rsidR="009C7786" w:rsidRPr="007B73DB">
        <w:rPr>
          <w:iCs/>
        </w:rPr>
        <w:t xml:space="preserve">in the public domain </w:t>
      </w:r>
      <w:r w:rsidRPr="007B73DB">
        <w:rPr>
          <w:iCs/>
        </w:rPr>
        <w:t>on the status of th</w:t>
      </w:r>
      <w:r w:rsidR="009C7786" w:rsidRPr="007B73DB">
        <w:rPr>
          <w:iCs/>
        </w:rPr>
        <w:t>e MoST</w:t>
      </w:r>
      <w:r w:rsidRPr="007B73DB">
        <w:rPr>
          <w:iCs/>
        </w:rPr>
        <w:t xml:space="preserve"> substudy</w:t>
      </w:r>
      <w:r w:rsidRPr="0015714E">
        <w:rPr>
          <w:rStyle w:val="FootnoteReference"/>
          <w:bCs/>
          <w:iCs/>
          <w:color w:val="auto"/>
        </w:rPr>
        <w:footnoteReference w:id="13"/>
      </w:r>
      <w:r w:rsidRPr="0015714E">
        <w:rPr>
          <w:bCs/>
          <w:iCs/>
        </w:rPr>
        <w:t>.</w:t>
      </w:r>
      <w:r w:rsidR="00E03D8D">
        <w:rPr>
          <w:i/>
        </w:rPr>
        <w:t xml:space="preserve"> </w:t>
      </w:r>
    </w:p>
    <w:p w:rsidR="003A12E6" w:rsidRPr="00843DB8" w:rsidRDefault="003A12E6" w:rsidP="00195166">
      <w:pPr>
        <w:pStyle w:val="ListParagraph"/>
      </w:pPr>
      <w:r>
        <w:t>As in the previous submission, t</w:t>
      </w:r>
      <w:r w:rsidRPr="00843DB8">
        <w:t xml:space="preserve">he evidence to support the comparative clinical benefit of larotrectinib was based on a naïve indirect comparison between </w:t>
      </w:r>
      <w:r>
        <w:t xml:space="preserve">updated </w:t>
      </w:r>
      <w:r w:rsidRPr="00843DB8">
        <w:t xml:space="preserve">pooled data </w:t>
      </w:r>
      <w:bookmarkStart w:id="39" w:name="_Hlk89260919"/>
      <w:r w:rsidRPr="00843DB8">
        <w:t xml:space="preserve">from </w:t>
      </w:r>
      <w:r w:rsidR="000644FA">
        <w:t xml:space="preserve">the same </w:t>
      </w:r>
      <w:r w:rsidRPr="00843DB8">
        <w:t>single</w:t>
      </w:r>
      <w:r w:rsidR="00057EDA">
        <w:t>-</w:t>
      </w:r>
      <w:r w:rsidRPr="00843DB8">
        <w:t>arm larotrectinib studies</w:t>
      </w:r>
      <w:r w:rsidR="000644FA">
        <w:t xml:space="preserve"> in the previous submission</w:t>
      </w:r>
      <w:r>
        <w:t xml:space="preserve"> (</w:t>
      </w:r>
      <w:bookmarkStart w:id="40" w:name="_Hlk88652164"/>
      <w:r w:rsidR="000644FA">
        <w:t>LOXO-001, NAVIGATE, and SCOUT</w:t>
      </w:r>
      <w:r>
        <w:t>)</w:t>
      </w:r>
      <w:r w:rsidRPr="00843DB8">
        <w:t xml:space="preserve"> </w:t>
      </w:r>
      <w:bookmarkEnd w:id="40"/>
      <w:r w:rsidRPr="00843DB8">
        <w:t xml:space="preserve">and SoC data from historical </w:t>
      </w:r>
      <w:r w:rsidR="00057EDA" w:rsidRPr="00843DB8">
        <w:t>single</w:t>
      </w:r>
      <w:r w:rsidR="00057EDA">
        <w:t>-</w:t>
      </w:r>
      <w:r w:rsidR="00057EDA" w:rsidRPr="00843DB8">
        <w:t xml:space="preserve">arm </w:t>
      </w:r>
      <w:r w:rsidRPr="00843DB8">
        <w:t>studies</w:t>
      </w:r>
      <w:r>
        <w:t>.</w:t>
      </w:r>
      <w:bookmarkEnd w:id="39"/>
      <w:r w:rsidR="00195166" w:rsidRPr="00195166">
        <w:t xml:space="preserve"> </w:t>
      </w:r>
      <w:r w:rsidR="00195166" w:rsidRPr="00195166">
        <w:rPr>
          <w:color w:val="auto"/>
        </w:rPr>
        <w:t>The justification provided in the resubmission for using pooled larotrectinib data was because of “the small patient numbers in each individual trial and to increase statistical validity of the results”.</w:t>
      </w:r>
      <w:r w:rsidR="001433C2">
        <w:rPr>
          <w:color w:val="auto"/>
        </w:rPr>
        <w:t xml:space="preserve"> The updated pooled data included in the resubmission was based on a more recent data </w:t>
      </w:r>
      <w:r w:rsidR="006D66BE">
        <w:rPr>
          <w:color w:val="auto"/>
        </w:rPr>
        <w:t>cut-off</w:t>
      </w:r>
      <w:r w:rsidR="001433C2">
        <w:rPr>
          <w:color w:val="auto"/>
        </w:rPr>
        <w:t xml:space="preserve">, July 2020 (July 2019 </w:t>
      </w:r>
      <w:r w:rsidR="006D66BE">
        <w:rPr>
          <w:color w:val="auto"/>
        </w:rPr>
        <w:t>cut-off</w:t>
      </w:r>
      <w:r w:rsidR="001433C2">
        <w:rPr>
          <w:color w:val="auto"/>
        </w:rPr>
        <w:t xml:space="preserve"> in the previous submission).</w:t>
      </w:r>
    </w:p>
    <w:p w:rsidR="00C91A66" w:rsidRPr="0015714E" w:rsidRDefault="00C91A66" w:rsidP="0015714E">
      <w:pPr>
        <w:pStyle w:val="ListParagraph"/>
        <w:rPr>
          <w:color w:val="auto"/>
        </w:rPr>
      </w:pPr>
      <w:r w:rsidRPr="0015714E">
        <w:t xml:space="preserve">There were an additional 23 and 29 patients from NAVIGATE (n=139) and SCOUT (n=108), respectively, in the July 2020 </w:t>
      </w:r>
      <w:r w:rsidR="006D66BE" w:rsidRPr="0015714E">
        <w:t>cut-off</w:t>
      </w:r>
      <w:r w:rsidRPr="0015714E">
        <w:t xml:space="preserve"> compared to the July 2019 </w:t>
      </w:r>
      <w:r w:rsidR="006D66BE" w:rsidRPr="0015714E">
        <w:t>cut-off</w:t>
      </w:r>
      <w:r w:rsidRPr="0015714E">
        <w:t xml:space="preserve">. No additional patients were included from the previous data </w:t>
      </w:r>
      <w:r w:rsidR="006D66BE" w:rsidRPr="0015714E">
        <w:t>cut-off</w:t>
      </w:r>
      <w:r w:rsidRPr="0015714E">
        <w:t xml:space="preserve"> for LOXO-001.</w:t>
      </w:r>
    </w:p>
    <w:p w:rsidR="007D1875" w:rsidRPr="007D1875" w:rsidRDefault="003A12E6" w:rsidP="007D1875">
      <w:pPr>
        <w:pStyle w:val="ListParagraph"/>
        <w:rPr>
          <w:color w:val="auto"/>
        </w:rPr>
      </w:pPr>
      <w:r>
        <w:rPr>
          <w:color w:val="auto"/>
        </w:rPr>
        <w:t>Pooled analysis</w:t>
      </w:r>
      <w:r w:rsidR="00ED5DF9">
        <w:rPr>
          <w:color w:val="auto"/>
        </w:rPr>
        <w:t xml:space="preserve"> across LOXO-001, NAVIGATE, and SCOUT</w:t>
      </w:r>
      <w:r w:rsidRPr="00017F50">
        <w:rPr>
          <w:color w:val="auto"/>
        </w:rPr>
        <w:t xml:space="preserve"> –</w:t>
      </w:r>
      <w:r>
        <w:rPr>
          <w:color w:val="auto"/>
        </w:rPr>
        <w:t xml:space="preserve"> </w:t>
      </w:r>
      <w:r w:rsidRPr="00FC4A23">
        <w:rPr>
          <w:color w:val="auto"/>
        </w:rPr>
        <w:t xml:space="preserve">An updated </w:t>
      </w:r>
      <w:r>
        <w:rPr>
          <w:color w:val="auto"/>
        </w:rPr>
        <w:t>extended primary analysis set (</w:t>
      </w:r>
      <w:r w:rsidRPr="00FC4A23">
        <w:rPr>
          <w:color w:val="auto"/>
        </w:rPr>
        <w:t>ePAS5</w:t>
      </w:r>
      <w:r>
        <w:rPr>
          <w:color w:val="auto"/>
        </w:rPr>
        <w:t xml:space="preserve">, </w:t>
      </w:r>
      <w:r w:rsidRPr="00FC4A23">
        <w:rPr>
          <w:color w:val="auto"/>
        </w:rPr>
        <w:t xml:space="preserve">N=192; median </w:t>
      </w:r>
      <w:r w:rsidR="007A40DF">
        <w:rPr>
          <w:color w:val="auto"/>
        </w:rPr>
        <w:t>follow-up</w:t>
      </w:r>
      <w:r w:rsidRPr="00FC4A23">
        <w:rPr>
          <w:color w:val="auto"/>
        </w:rPr>
        <w:t xml:space="preserve"> for OS 24 months compared to 15.8 months for the ePAS4 dataset) and an updated </w:t>
      </w:r>
      <w:r>
        <w:rPr>
          <w:color w:val="auto"/>
        </w:rPr>
        <w:t>supplementary analysis set (</w:t>
      </w:r>
      <w:r w:rsidRPr="00FC4A23">
        <w:rPr>
          <w:color w:val="auto"/>
        </w:rPr>
        <w:t>SAS3</w:t>
      </w:r>
      <w:r>
        <w:rPr>
          <w:color w:val="auto"/>
        </w:rPr>
        <w:t>)</w:t>
      </w:r>
      <w:r w:rsidRPr="00FC4A23">
        <w:rPr>
          <w:color w:val="auto"/>
        </w:rPr>
        <w:t xml:space="preserve"> (</w:t>
      </w:r>
      <w:r w:rsidRPr="008F1529">
        <w:rPr>
          <w:iCs/>
          <w:color w:val="auto"/>
        </w:rPr>
        <w:t>henceforth referred to as “SAS3 New”</w:t>
      </w:r>
      <w:r w:rsidRPr="008326AA">
        <w:rPr>
          <w:i/>
          <w:color w:val="auto"/>
        </w:rPr>
        <w:t xml:space="preserve">, </w:t>
      </w:r>
      <w:r w:rsidRPr="00FC4A23">
        <w:rPr>
          <w:color w:val="auto"/>
        </w:rPr>
        <w:t xml:space="preserve">N=33; median </w:t>
      </w:r>
      <w:r w:rsidR="007A40DF">
        <w:rPr>
          <w:color w:val="auto"/>
        </w:rPr>
        <w:t>follow-up</w:t>
      </w:r>
      <w:r w:rsidRPr="00FC4A23">
        <w:rPr>
          <w:color w:val="auto"/>
        </w:rPr>
        <w:t xml:space="preserve"> for OS 16.5 months </w:t>
      </w:r>
      <w:r w:rsidRPr="007B73DB">
        <w:rPr>
          <w:color w:val="auto"/>
        </w:rPr>
        <w:t xml:space="preserve">compared to 6 months for the previous SAS3 dataset) were presented in the resubmission </w:t>
      </w:r>
      <w:r w:rsidR="00C853BA" w:rsidRPr="007B73DB">
        <w:rPr>
          <w:color w:val="auto"/>
        </w:rPr>
        <w:t xml:space="preserve">based on the most recent data </w:t>
      </w:r>
      <w:r w:rsidR="006D66BE" w:rsidRPr="007B73DB">
        <w:rPr>
          <w:color w:val="auto"/>
        </w:rPr>
        <w:t>cut-off</w:t>
      </w:r>
      <w:r w:rsidR="00C853BA" w:rsidRPr="007B73DB">
        <w:rPr>
          <w:color w:val="auto"/>
        </w:rPr>
        <w:t xml:space="preserve"> (July 2020). The presentation of separate pooled analyses of efficacy by CNS status (ePAS5 included all tumour types except for primary CNS and SAS3 New which only included primary CNS tumours) appears inconsistent with the site agnostic listing proposal for larotrectinib.</w:t>
      </w:r>
    </w:p>
    <w:p w:rsidR="003A12E6" w:rsidRPr="007D1875" w:rsidRDefault="003A12E6" w:rsidP="007D1875">
      <w:pPr>
        <w:pStyle w:val="ListParagraph"/>
        <w:numPr>
          <w:ilvl w:val="0"/>
          <w:numId w:val="0"/>
        </w:numPr>
        <w:ind w:left="720"/>
        <w:rPr>
          <w:color w:val="auto"/>
        </w:rPr>
      </w:pPr>
      <w:r w:rsidRPr="00FC4A23">
        <w:t>The tumour types included in the updated pooled larotrectinib analysis sets are summarised in</w:t>
      </w:r>
      <w:r w:rsidR="007D1875">
        <w:t xml:space="preserve"> </w:t>
      </w:r>
      <w:r w:rsidR="00796D25" w:rsidRPr="003A12E6">
        <w:t>Table</w:t>
      </w:r>
      <w:r w:rsidR="00D944C2">
        <w:t xml:space="preserve"> </w:t>
      </w:r>
      <w:r w:rsidR="00796D25">
        <w:rPr>
          <w:noProof/>
        </w:rPr>
        <w:t>8</w:t>
      </w:r>
      <w:r w:rsidRPr="007D1875">
        <w:rPr>
          <w:color w:val="auto"/>
        </w:rPr>
        <w:t>.</w:t>
      </w:r>
      <w:r w:rsidR="00C853BA" w:rsidRPr="00C853BA">
        <w:t xml:space="preserve"> </w:t>
      </w:r>
      <w:r w:rsidR="00C853BA" w:rsidRPr="007D1875">
        <w:rPr>
          <w:color w:val="auto"/>
        </w:rPr>
        <w:t xml:space="preserve">The pooled datasets in the previous submission (July 2019 data </w:t>
      </w:r>
      <w:r w:rsidR="006D66BE" w:rsidRPr="007D1875">
        <w:rPr>
          <w:color w:val="auto"/>
        </w:rPr>
        <w:t>cut-off</w:t>
      </w:r>
      <w:r w:rsidR="00C853BA" w:rsidRPr="007D1875">
        <w:rPr>
          <w:color w:val="auto"/>
        </w:rPr>
        <w:t>) have been included for comparative purposes.</w:t>
      </w:r>
    </w:p>
    <w:p w:rsidR="003A12E6" w:rsidRPr="00F16BE1" w:rsidRDefault="003A12E6" w:rsidP="003A12E6">
      <w:pPr>
        <w:pStyle w:val="ListParagraph"/>
        <w:rPr>
          <w:color w:val="auto"/>
        </w:rPr>
      </w:pPr>
      <w:r w:rsidRPr="008326AA">
        <w:rPr>
          <w:color w:val="auto"/>
        </w:rPr>
        <w:t>For the paediatric and the adult high frequency subgroups, the SoC studies remain the same as in the previous submission. For the adult low frequency subgroup, the resubmission specified four tumour types (CRC, NSCLC, STS, and thyroid tumours) in the requested restriction. Thus, additional SoC studies for this subgroup have been included in the resubmission</w:t>
      </w:r>
      <w:r w:rsidRPr="00F16BE1">
        <w:rPr>
          <w:color w:val="auto"/>
        </w:rPr>
        <w:t>.</w:t>
      </w:r>
    </w:p>
    <w:p w:rsidR="00C8296F" w:rsidRDefault="00C164A4" w:rsidP="0009334C">
      <w:pPr>
        <w:pStyle w:val="Caption"/>
        <w:keepLines/>
      </w:pPr>
      <w:bookmarkStart w:id="41" w:name="_Ref79072881"/>
      <w:r>
        <w:t>Table</w:t>
      </w:r>
      <w:r w:rsidR="00E37EC3">
        <w:t xml:space="preserve"> </w:t>
      </w:r>
      <w:r w:rsidR="00BB3DD1">
        <w:rPr>
          <w:noProof/>
        </w:rPr>
        <w:t>7</w:t>
      </w:r>
      <w:bookmarkEnd w:id="38"/>
      <w:bookmarkEnd w:id="41"/>
      <w:r w:rsidR="00E37EC3">
        <w:rPr>
          <w:noProof/>
        </w:rPr>
        <w:t>:</w:t>
      </w:r>
      <w:r w:rsidR="00D117CD">
        <w:rPr>
          <w:noProof/>
        </w:rPr>
        <w:t xml:space="preserve"> </w:t>
      </w:r>
      <w:r>
        <w:t>Data availability to inform comparisons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632"/>
        <w:gridCol w:w="3688"/>
      </w:tblGrid>
      <w:tr w:rsidR="00210905" w:rsidTr="008C4E0E">
        <w:tc>
          <w:tcPr>
            <w:tcW w:w="941" w:type="pct"/>
            <w:tcBorders>
              <w:top w:val="single" w:sz="4" w:space="0" w:color="000000"/>
              <w:left w:val="single" w:sz="4" w:space="0" w:color="000000"/>
              <w:bottom w:val="single" w:sz="4" w:space="0" w:color="000000"/>
              <w:right w:val="single" w:sz="4" w:space="0" w:color="000000"/>
            </w:tcBorders>
            <w:hideMark/>
          </w:tcPr>
          <w:p w:rsidR="00210905" w:rsidRDefault="00210905" w:rsidP="0009334C">
            <w:pPr>
              <w:pStyle w:val="TableText"/>
              <w:keepNext/>
              <w:keepLines/>
            </w:pPr>
            <w:r>
              <w:t>Proposed test vs alternate test</w:t>
            </w:r>
          </w:p>
        </w:tc>
        <w:tc>
          <w:tcPr>
            <w:tcW w:w="4059" w:type="pct"/>
            <w:gridSpan w:val="2"/>
            <w:tcBorders>
              <w:top w:val="single" w:sz="4" w:space="0" w:color="000000"/>
              <w:left w:val="single" w:sz="4" w:space="0" w:color="000000"/>
              <w:bottom w:val="single" w:sz="4" w:space="0" w:color="000000"/>
              <w:right w:val="single" w:sz="4" w:space="0" w:color="000000"/>
            </w:tcBorders>
            <w:hideMark/>
          </w:tcPr>
          <w:p w:rsidR="00210905" w:rsidRDefault="00210905" w:rsidP="0009334C">
            <w:pPr>
              <w:pStyle w:val="TableText"/>
              <w:keepNext/>
              <w:keepLines/>
            </w:pPr>
            <w:r>
              <w:t xml:space="preserve">DNA-NGS vs RNA-NGS: 3 </w:t>
            </w:r>
            <w:r w:rsidRPr="008A4090">
              <w:t>(</w:t>
            </w:r>
            <w:r w:rsidRPr="008A4090">
              <w:rPr>
                <w:u w:val="single"/>
              </w:rPr>
              <w:t>plus 1 new</w:t>
            </w:r>
            <w:r w:rsidRPr="008A4090">
              <w:t>)</w:t>
            </w:r>
            <w:r>
              <w:t xml:space="preserve"> comparative studies</w:t>
            </w:r>
          </w:p>
          <w:p w:rsidR="00210905" w:rsidRDefault="00210905" w:rsidP="0009334C">
            <w:pPr>
              <w:pStyle w:val="TableText"/>
              <w:keepNext/>
              <w:keepLines/>
            </w:pPr>
            <w:r>
              <w:t>FISH vs RNA-NGS: 1 comparative study</w:t>
            </w:r>
          </w:p>
          <w:p w:rsidR="00210905" w:rsidRDefault="00210905" w:rsidP="0009334C">
            <w:pPr>
              <w:pStyle w:val="TableText"/>
              <w:keepNext/>
              <w:keepLines/>
            </w:pPr>
            <w:r>
              <w:t xml:space="preserve">IHC vs FISH: </w:t>
            </w:r>
            <w:r w:rsidRPr="00967541">
              <w:rPr>
                <w:u w:val="single"/>
              </w:rPr>
              <w:t>2 comparative studies</w:t>
            </w:r>
          </w:p>
          <w:p w:rsidR="00210905" w:rsidRDefault="00210905" w:rsidP="0009334C">
            <w:pPr>
              <w:pStyle w:val="TableText"/>
              <w:keepNext/>
              <w:keepLines/>
            </w:pPr>
            <w:r>
              <w:t>IHC vs RNA-NGS: 1 (</w:t>
            </w:r>
            <w:r w:rsidRPr="00967541">
              <w:rPr>
                <w:u w:val="single"/>
              </w:rPr>
              <w:t xml:space="preserve">plus </w:t>
            </w:r>
            <w:r>
              <w:rPr>
                <w:u w:val="single"/>
              </w:rPr>
              <w:t>2</w:t>
            </w:r>
            <w:r w:rsidRPr="00967541">
              <w:rPr>
                <w:u w:val="single"/>
              </w:rPr>
              <w:t xml:space="preserve"> new</w:t>
            </w:r>
            <w:r>
              <w:t>) comparative studies, 2 case-control studies</w:t>
            </w:r>
          </w:p>
          <w:p w:rsidR="00210905" w:rsidRDefault="00210905" w:rsidP="0009334C">
            <w:pPr>
              <w:pStyle w:val="TableText"/>
              <w:keepNext/>
              <w:keepLines/>
            </w:pPr>
            <w:r>
              <w:t>IHC vs DNA-NGS: 1 case-control study</w:t>
            </w:r>
          </w:p>
          <w:p w:rsidR="00210905" w:rsidRDefault="00210905" w:rsidP="0009334C">
            <w:pPr>
              <w:pStyle w:val="TableText"/>
              <w:keepNext/>
              <w:keepLines/>
              <w:rPr>
                <w:b/>
              </w:rPr>
            </w:pPr>
            <w:r>
              <w:t xml:space="preserve">IHC </w:t>
            </w:r>
            <w:r w:rsidRPr="00C367E6">
              <w:t>positive vs RNA-NGS or FISH</w:t>
            </w:r>
            <w:r>
              <w:t xml:space="preserve">: </w:t>
            </w:r>
            <w:r w:rsidR="001F1C99">
              <w:t>6</w:t>
            </w:r>
            <w:r w:rsidRPr="00967541">
              <w:rPr>
                <w:u w:val="single"/>
              </w:rPr>
              <w:t xml:space="preserve"> </w:t>
            </w:r>
            <w:r w:rsidR="00843AE8">
              <w:rPr>
                <w:u w:val="single"/>
              </w:rPr>
              <w:t>cohort</w:t>
            </w:r>
            <w:r w:rsidRPr="00967541">
              <w:rPr>
                <w:u w:val="single"/>
              </w:rPr>
              <w:t xml:space="preserve"> studies</w:t>
            </w:r>
          </w:p>
        </w:tc>
      </w:tr>
      <w:tr w:rsidR="00210905" w:rsidTr="008C4E0E">
        <w:tc>
          <w:tcPr>
            <w:tcW w:w="941" w:type="pct"/>
            <w:tcBorders>
              <w:top w:val="single" w:sz="4" w:space="0" w:color="000000"/>
              <w:left w:val="single" w:sz="4" w:space="0" w:color="000000"/>
              <w:bottom w:val="single" w:sz="4" w:space="0" w:color="000000"/>
              <w:right w:val="single" w:sz="4" w:space="0" w:color="000000"/>
            </w:tcBorders>
          </w:tcPr>
          <w:p w:rsidR="00210905" w:rsidRDefault="00210905" w:rsidP="0009334C">
            <w:pPr>
              <w:pStyle w:val="TableText"/>
              <w:keepNext/>
              <w:keepLines/>
              <w:spacing w:line="257" w:lineRule="auto"/>
            </w:pPr>
          </w:p>
        </w:tc>
        <w:tc>
          <w:tcPr>
            <w:tcW w:w="2014" w:type="pct"/>
            <w:tcBorders>
              <w:top w:val="single" w:sz="4" w:space="0" w:color="000000"/>
              <w:left w:val="single" w:sz="4" w:space="0" w:color="000000"/>
              <w:bottom w:val="single" w:sz="4" w:space="0" w:color="000000"/>
              <w:right w:val="single" w:sz="4" w:space="0" w:color="000000"/>
            </w:tcBorders>
            <w:hideMark/>
          </w:tcPr>
          <w:p w:rsidR="00210905" w:rsidRPr="0018443E" w:rsidRDefault="00210905" w:rsidP="0009334C">
            <w:pPr>
              <w:pStyle w:val="TableText"/>
              <w:keepNext/>
              <w:keepLines/>
              <w:spacing w:line="257" w:lineRule="auto"/>
              <w:rPr>
                <w:b/>
              </w:rPr>
            </w:pPr>
            <w:r w:rsidRPr="0018443E">
              <w:rPr>
                <w:b/>
              </w:rPr>
              <w:t>Proposed medicine</w:t>
            </w:r>
          </w:p>
        </w:tc>
        <w:tc>
          <w:tcPr>
            <w:tcW w:w="2046" w:type="pct"/>
            <w:tcBorders>
              <w:top w:val="single" w:sz="4" w:space="0" w:color="000000"/>
              <w:left w:val="single" w:sz="4" w:space="0" w:color="000000"/>
              <w:bottom w:val="single" w:sz="4" w:space="0" w:color="000000"/>
              <w:right w:val="single" w:sz="4" w:space="0" w:color="000000"/>
            </w:tcBorders>
            <w:hideMark/>
          </w:tcPr>
          <w:p w:rsidR="00210905" w:rsidRPr="0018443E" w:rsidRDefault="00210905" w:rsidP="0009334C">
            <w:pPr>
              <w:pStyle w:val="TableText"/>
              <w:keepNext/>
              <w:keepLines/>
              <w:spacing w:line="257" w:lineRule="auto"/>
              <w:rPr>
                <w:b/>
              </w:rPr>
            </w:pPr>
            <w:r w:rsidRPr="0018443E">
              <w:rPr>
                <w:b/>
              </w:rPr>
              <w:t>Comparator medicine</w:t>
            </w:r>
          </w:p>
        </w:tc>
      </w:tr>
      <w:tr w:rsidR="00C853BA" w:rsidTr="008C4E0E">
        <w:tc>
          <w:tcPr>
            <w:tcW w:w="941" w:type="pct"/>
            <w:tcBorders>
              <w:top w:val="single" w:sz="4" w:space="0" w:color="000000"/>
              <w:left w:val="single" w:sz="4" w:space="0" w:color="000000"/>
              <w:bottom w:val="single" w:sz="4" w:space="0" w:color="000000"/>
              <w:right w:val="single" w:sz="4" w:space="0" w:color="000000"/>
            </w:tcBorders>
            <w:hideMark/>
          </w:tcPr>
          <w:p w:rsidR="00C853BA" w:rsidRDefault="00C853BA" w:rsidP="0009334C">
            <w:pPr>
              <w:pStyle w:val="TableText"/>
              <w:keepNext/>
              <w:keepLines/>
            </w:pPr>
            <w:r>
              <w:t>Biomarker test positive</w:t>
            </w:r>
          </w:p>
        </w:tc>
        <w:tc>
          <w:tcPr>
            <w:tcW w:w="2014" w:type="pct"/>
            <w:tcBorders>
              <w:top w:val="single" w:sz="4" w:space="0" w:color="000000"/>
              <w:left w:val="single" w:sz="4" w:space="0" w:color="000000"/>
              <w:bottom w:val="single" w:sz="4" w:space="0" w:color="000000"/>
              <w:right w:val="single" w:sz="4" w:space="0" w:color="000000"/>
            </w:tcBorders>
            <w:hideMark/>
          </w:tcPr>
          <w:p w:rsidR="00C853BA" w:rsidRDefault="00C853BA" w:rsidP="0009334C">
            <w:pPr>
              <w:pStyle w:val="TableText"/>
              <w:keepNext/>
              <w:keepLines/>
            </w:pPr>
            <w:r w:rsidRPr="00AB5F81">
              <w:t>LOXO-001, NAVIGATE, SCOUT single-arm studies</w:t>
            </w:r>
            <w:r>
              <w:t xml:space="preserve"> </w:t>
            </w:r>
            <w:r w:rsidRPr="00843DB8">
              <w:t>(</w:t>
            </w:r>
            <w:r w:rsidRPr="001D3D5F">
              <w:rPr>
                <w:u w:val="single"/>
              </w:rPr>
              <w:t xml:space="preserve">updated data from NAVIGATE and SCOUT; July 2020 data </w:t>
            </w:r>
            <w:r w:rsidR="006D66BE" w:rsidRPr="001D3D5F">
              <w:rPr>
                <w:u w:val="single"/>
              </w:rPr>
              <w:t>cut-off</w:t>
            </w:r>
            <w:r w:rsidRPr="00843DB8">
              <w:t>)</w:t>
            </w:r>
          </w:p>
          <w:p w:rsidR="00C853BA" w:rsidRPr="00AB5F81" w:rsidRDefault="00C853BA" w:rsidP="0009334C">
            <w:pPr>
              <w:pStyle w:val="TableText"/>
              <w:keepNext/>
              <w:keepLines/>
            </w:pPr>
            <w:r>
              <w:t>Updated pooled data across the LOXO-001, NAVIGA</w:t>
            </w:r>
            <w:r w:rsidR="00843AE8">
              <w:t xml:space="preserve">TE, and SCOUT studies bases on </w:t>
            </w:r>
            <w:r>
              <w:t xml:space="preserve">new July 2020 </w:t>
            </w:r>
            <w:r w:rsidR="006D66BE">
              <w:t>cut-off</w:t>
            </w:r>
            <w:r>
              <w:t xml:space="preserve"> (</w:t>
            </w:r>
            <w:r w:rsidRPr="007C35CB">
              <w:rPr>
                <w:u w:val="single"/>
              </w:rPr>
              <w:t xml:space="preserve">ePAS5 and </w:t>
            </w:r>
            <w:r>
              <w:rPr>
                <w:u w:val="single"/>
              </w:rPr>
              <w:t>“</w:t>
            </w:r>
            <w:r w:rsidRPr="007C35CB">
              <w:rPr>
                <w:u w:val="single"/>
              </w:rPr>
              <w:t>SAS New</w:t>
            </w:r>
            <w:r>
              <w:rPr>
                <w:u w:val="single"/>
              </w:rPr>
              <w:t>”</w:t>
            </w:r>
            <w:r>
              <w:t>)</w:t>
            </w:r>
          </w:p>
        </w:tc>
        <w:tc>
          <w:tcPr>
            <w:tcW w:w="2046" w:type="pct"/>
            <w:tcBorders>
              <w:top w:val="single" w:sz="4" w:space="0" w:color="000000"/>
              <w:left w:val="single" w:sz="4" w:space="0" w:color="000000"/>
              <w:bottom w:val="single" w:sz="4" w:space="0" w:color="000000"/>
              <w:right w:val="single" w:sz="4" w:space="0" w:color="000000"/>
            </w:tcBorders>
            <w:hideMark/>
          </w:tcPr>
          <w:p w:rsidR="00C853BA" w:rsidRPr="00EE3FDB" w:rsidRDefault="00C853BA" w:rsidP="0009334C">
            <w:pPr>
              <w:pStyle w:val="TableText"/>
              <w:keepNext/>
              <w:keepLines/>
              <w:rPr>
                <w:iCs/>
              </w:rPr>
            </w:pPr>
            <w:r w:rsidRPr="00EE3FDB">
              <w:rPr>
                <w:iCs/>
                <w:u w:val="single"/>
              </w:rPr>
              <w:t>Exploratory analysis in NTRK fusion patients (N=29) from a genomic database (VOYAGER) were presented but did not inform the economic evaluation</w:t>
            </w:r>
          </w:p>
        </w:tc>
      </w:tr>
      <w:tr w:rsidR="00210905" w:rsidTr="008C4E0E">
        <w:tc>
          <w:tcPr>
            <w:tcW w:w="941" w:type="pct"/>
            <w:tcBorders>
              <w:top w:val="single" w:sz="4" w:space="0" w:color="000000"/>
              <w:left w:val="single" w:sz="4" w:space="0" w:color="000000"/>
              <w:bottom w:val="single" w:sz="4" w:space="0" w:color="000000"/>
              <w:right w:val="single" w:sz="4" w:space="0" w:color="000000"/>
            </w:tcBorders>
            <w:hideMark/>
          </w:tcPr>
          <w:p w:rsidR="00210905" w:rsidRDefault="00210905" w:rsidP="0009334C">
            <w:pPr>
              <w:pStyle w:val="TableText"/>
              <w:keepNext/>
              <w:keepLines/>
            </w:pPr>
            <w:r>
              <w:t>Biomarker test negative</w:t>
            </w:r>
            <w:r>
              <w:rPr>
                <w:b/>
              </w:rPr>
              <w:t xml:space="preserve"> </w:t>
            </w:r>
          </w:p>
        </w:tc>
        <w:tc>
          <w:tcPr>
            <w:tcW w:w="2014" w:type="pct"/>
            <w:tcBorders>
              <w:top w:val="single" w:sz="4" w:space="0" w:color="000000"/>
              <w:left w:val="single" w:sz="4" w:space="0" w:color="000000"/>
              <w:bottom w:val="single" w:sz="4" w:space="0" w:color="000000"/>
              <w:right w:val="single" w:sz="4" w:space="0" w:color="000000"/>
            </w:tcBorders>
            <w:hideMark/>
          </w:tcPr>
          <w:p w:rsidR="00210905" w:rsidRPr="00AB5F81" w:rsidRDefault="00210905" w:rsidP="0009334C">
            <w:pPr>
              <w:pStyle w:val="TableText"/>
              <w:keepNext/>
              <w:keepLines/>
            </w:pPr>
            <w:r w:rsidRPr="00AB5F81">
              <w:t>LOXO-001 and SCOUT single-arm studies</w:t>
            </w:r>
            <w:r w:rsidR="002C587A">
              <w:t xml:space="preserve"> </w:t>
            </w:r>
            <w:r w:rsidR="002C587A" w:rsidRPr="002C587A">
              <w:t xml:space="preserve">(updated data from NAVIGATE and SCOUT; July 2020 data </w:t>
            </w:r>
            <w:r w:rsidR="006D66BE" w:rsidRPr="002C587A">
              <w:t>cut-off</w:t>
            </w:r>
            <w:r w:rsidR="002C587A" w:rsidRPr="002C587A">
              <w:t>)</w:t>
            </w:r>
          </w:p>
        </w:tc>
        <w:tc>
          <w:tcPr>
            <w:tcW w:w="2046" w:type="pct"/>
            <w:tcBorders>
              <w:top w:val="single" w:sz="4" w:space="0" w:color="000000"/>
              <w:left w:val="single" w:sz="4" w:space="0" w:color="000000"/>
              <w:bottom w:val="single" w:sz="4" w:space="0" w:color="000000"/>
              <w:right w:val="single" w:sz="4" w:space="0" w:color="000000"/>
            </w:tcBorders>
            <w:hideMark/>
          </w:tcPr>
          <w:p w:rsidR="00210905" w:rsidRDefault="00210905" w:rsidP="0009334C">
            <w:pPr>
              <w:pStyle w:val="TableText"/>
              <w:keepNext/>
              <w:keepLines/>
            </w:pPr>
            <w:r w:rsidRPr="00AB5F81">
              <w:t>No evidence presented</w:t>
            </w:r>
          </w:p>
        </w:tc>
      </w:tr>
      <w:tr w:rsidR="00210905" w:rsidTr="008C4E0E">
        <w:tc>
          <w:tcPr>
            <w:tcW w:w="941" w:type="pct"/>
            <w:tcBorders>
              <w:top w:val="single" w:sz="4" w:space="0" w:color="000000"/>
              <w:left w:val="single" w:sz="4" w:space="0" w:color="000000"/>
              <w:bottom w:val="single" w:sz="4" w:space="0" w:color="000000"/>
              <w:right w:val="single" w:sz="4" w:space="0" w:color="000000"/>
            </w:tcBorders>
          </w:tcPr>
          <w:p w:rsidR="00210905" w:rsidRPr="00F16BE1" w:rsidRDefault="00210905" w:rsidP="0009334C">
            <w:pPr>
              <w:pStyle w:val="TableText"/>
              <w:keepNext/>
              <w:keepLines/>
            </w:pPr>
            <w:r w:rsidRPr="00F16BE1">
              <w:t>Biomarker untested</w:t>
            </w:r>
          </w:p>
        </w:tc>
        <w:tc>
          <w:tcPr>
            <w:tcW w:w="2014" w:type="pct"/>
            <w:tcBorders>
              <w:top w:val="single" w:sz="4" w:space="0" w:color="000000"/>
              <w:left w:val="single" w:sz="4" w:space="0" w:color="000000"/>
              <w:bottom w:val="single" w:sz="4" w:space="0" w:color="000000"/>
              <w:right w:val="single" w:sz="4" w:space="0" w:color="000000"/>
            </w:tcBorders>
          </w:tcPr>
          <w:p w:rsidR="00210905" w:rsidRPr="00F16BE1" w:rsidRDefault="00210905" w:rsidP="0009334C">
            <w:pPr>
              <w:pStyle w:val="TableText"/>
              <w:keepNext/>
              <w:keepLines/>
            </w:pPr>
            <w:r w:rsidRPr="00F16BE1">
              <w:t>No evidence presented</w:t>
            </w:r>
          </w:p>
        </w:tc>
        <w:tc>
          <w:tcPr>
            <w:tcW w:w="2046" w:type="pct"/>
            <w:tcBorders>
              <w:top w:val="single" w:sz="4" w:space="0" w:color="000000"/>
              <w:left w:val="single" w:sz="4" w:space="0" w:color="000000"/>
              <w:bottom w:val="single" w:sz="4" w:space="0" w:color="000000"/>
              <w:right w:val="single" w:sz="4" w:space="0" w:color="000000"/>
            </w:tcBorders>
          </w:tcPr>
          <w:p w:rsidR="00210905" w:rsidRPr="00F16BE1" w:rsidRDefault="00210905" w:rsidP="0009334C">
            <w:pPr>
              <w:pStyle w:val="TableText"/>
              <w:keepNext/>
              <w:keepLines/>
              <w:rPr>
                <w:highlight w:val="yellow"/>
              </w:rPr>
            </w:pPr>
            <w:r w:rsidRPr="00F16BE1">
              <w:t xml:space="preserve">Sandler </w:t>
            </w:r>
            <w:r>
              <w:t>et al. (</w:t>
            </w:r>
            <w:r w:rsidRPr="00F16BE1">
              <w:t>2001</w:t>
            </w:r>
            <w:r>
              <w:t>)</w:t>
            </w:r>
            <w:r w:rsidRPr="00F16BE1">
              <w:t>, Mascarenhas</w:t>
            </w:r>
            <w:r>
              <w:t xml:space="preserve"> et al. (</w:t>
            </w:r>
            <w:r w:rsidRPr="00F16BE1">
              <w:t>2010</w:t>
            </w:r>
            <w:r>
              <w:t>)</w:t>
            </w:r>
            <w:r w:rsidRPr="00F16BE1">
              <w:t xml:space="preserve">, Airoldi </w:t>
            </w:r>
            <w:r>
              <w:t>et al. (</w:t>
            </w:r>
            <w:r w:rsidRPr="00F16BE1">
              <w:t>2001</w:t>
            </w:r>
            <w:r>
              <w:t>)</w:t>
            </w:r>
            <w:r w:rsidRPr="00F16BE1">
              <w:t xml:space="preserve">, Grill </w:t>
            </w:r>
            <w:r>
              <w:t>et al. (</w:t>
            </w:r>
            <w:r w:rsidRPr="00F16BE1">
              <w:t>2018</w:t>
            </w:r>
            <w:r>
              <w:t>)</w:t>
            </w:r>
            <w:r w:rsidRPr="00F16BE1">
              <w:t xml:space="preserve">, Wick </w:t>
            </w:r>
            <w:r>
              <w:t>et al. (</w:t>
            </w:r>
            <w:r w:rsidRPr="00F16BE1">
              <w:t>2017</w:t>
            </w:r>
            <w:r>
              <w:t>)</w:t>
            </w:r>
            <w:r w:rsidRPr="00F16BE1">
              <w:t xml:space="preserve">, Schöffski </w:t>
            </w:r>
            <w:r>
              <w:t>et al. (</w:t>
            </w:r>
            <w:r w:rsidRPr="00F16BE1">
              <w:t>2016</w:t>
            </w:r>
            <w:r>
              <w:t>)</w:t>
            </w:r>
            <w:r w:rsidRPr="00F16BE1">
              <w:t xml:space="preserve">, </w:t>
            </w:r>
            <w:r w:rsidRPr="00967541">
              <w:rPr>
                <w:u w:val="single"/>
              </w:rPr>
              <w:t>van der Graaf et al. (2012)</w:t>
            </w:r>
            <w:r>
              <w:t xml:space="preserve">, </w:t>
            </w:r>
            <w:r w:rsidRPr="00F16BE1">
              <w:t xml:space="preserve">Mayer </w:t>
            </w:r>
            <w:r>
              <w:t>et al. (</w:t>
            </w:r>
            <w:r w:rsidRPr="00F16BE1">
              <w:t>2015</w:t>
            </w:r>
            <w:r>
              <w:t xml:space="preserve">), </w:t>
            </w:r>
            <w:r w:rsidRPr="00967541">
              <w:rPr>
                <w:u w:val="single"/>
              </w:rPr>
              <w:t>Borghaei et al. (2015)</w:t>
            </w:r>
            <w:r>
              <w:t xml:space="preserve">, </w:t>
            </w:r>
            <w:r w:rsidRPr="00967541">
              <w:rPr>
                <w:u w:val="single"/>
              </w:rPr>
              <w:t>Shepherd et al. (2005)</w:t>
            </w:r>
            <w:r>
              <w:t xml:space="preserve">, </w:t>
            </w:r>
            <w:r w:rsidRPr="00967541">
              <w:rPr>
                <w:u w:val="single"/>
              </w:rPr>
              <w:t>Schlumberger et al. (2015)</w:t>
            </w:r>
          </w:p>
        </w:tc>
      </w:tr>
    </w:tbl>
    <w:p w:rsidR="00843AE8" w:rsidRPr="00843AE8" w:rsidRDefault="00843AE8" w:rsidP="00D117CD">
      <w:pPr>
        <w:keepLines/>
        <w:widowControl w:val="0"/>
        <w:spacing w:before="0" w:after="240"/>
        <w:contextualSpacing/>
        <w:rPr>
          <w:rFonts w:ascii="Arial Narrow" w:eastAsia="Times New Roman" w:hAnsi="Arial Narrow" w:cs="Arial"/>
          <w:snapToGrid w:val="0"/>
          <w:sz w:val="18"/>
          <w:szCs w:val="20"/>
        </w:rPr>
      </w:pPr>
      <w:bookmarkStart w:id="42" w:name="_Ref79061100"/>
      <w:bookmarkStart w:id="43" w:name="_Ref79154159"/>
      <w:r w:rsidRPr="00843AE8">
        <w:rPr>
          <w:rFonts w:ascii="Arial Narrow" w:eastAsia="Times New Roman" w:hAnsi="Arial Narrow" w:cs="Arial"/>
          <w:snapToGrid w:val="0"/>
          <w:sz w:val="18"/>
          <w:szCs w:val="20"/>
        </w:rPr>
        <w:t xml:space="preserve">Source: Sections 2B and 2D of the previous submission and the resubmission, as well as additional data identified during evaluation. New data sources in the resubmission and the commentary have been </w:t>
      </w:r>
      <w:r w:rsidRPr="00843AE8">
        <w:rPr>
          <w:rFonts w:ascii="Arial Narrow" w:eastAsia="Times New Roman" w:hAnsi="Arial Narrow" w:cs="Arial"/>
          <w:snapToGrid w:val="0"/>
          <w:sz w:val="18"/>
          <w:szCs w:val="20"/>
          <w:u w:val="single"/>
        </w:rPr>
        <w:t>underlined</w:t>
      </w:r>
      <w:r w:rsidRPr="00843AE8">
        <w:rPr>
          <w:rFonts w:ascii="Arial Narrow" w:eastAsia="Times New Roman" w:hAnsi="Arial Narrow" w:cs="Arial"/>
          <w:snapToGrid w:val="0"/>
          <w:sz w:val="18"/>
          <w:szCs w:val="20"/>
        </w:rPr>
        <w:t xml:space="preserve">. </w:t>
      </w:r>
    </w:p>
    <w:p w:rsidR="00843AE8" w:rsidRPr="00843AE8" w:rsidRDefault="00843AE8" w:rsidP="00D117CD">
      <w:pPr>
        <w:keepLines/>
        <w:widowControl w:val="0"/>
        <w:spacing w:before="0" w:after="240"/>
        <w:contextualSpacing/>
        <w:rPr>
          <w:rFonts w:ascii="Arial Narrow" w:eastAsia="Times New Roman" w:hAnsi="Arial Narrow" w:cs="Arial"/>
          <w:snapToGrid w:val="0"/>
          <w:sz w:val="18"/>
          <w:szCs w:val="20"/>
        </w:rPr>
      </w:pPr>
      <w:r w:rsidRPr="00843AE8">
        <w:rPr>
          <w:rFonts w:ascii="Arial Narrow" w:eastAsia="Times New Roman" w:hAnsi="Arial Narrow" w:cs="Arial"/>
          <w:snapToGrid w:val="0"/>
          <w:sz w:val="18"/>
          <w:szCs w:val="20"/>
        </w:rPr>
        <w:t xml:space="preserve">ePAS5 includes paediatric and adult tumour types other than primary CNS with documented </w:t>
      </w:r>
      <w:r w:rsidRPr="00843AE8">
        <w:rPr>
          <w:rFonts w:ascii="Arial Narrow" w:eastAsia="Times New Roman" w:hAnsi="Arial Narrow" w:cs="Arial"/>
          <w:i/>
          <w:snapToGrid w:val="0"/>
          <w:sz w:val="18"/>
          <w:szCs w:val="20"/>
        </w:rPr>
        <w:t>NTRK</w:t>
      </w:r>
      <w:r w:rsidRPr="00843AE8">
        <w:rPr>
          <w:rFonts w:ascii="Arial Narrow" w:eastAsia="Times New Roman" w:hAnsi="Arial Narrow" w:cs="Arial"/>
          <w:snapToGrid w:val="0"/>
          <w:sz w:val="18"/>
          <w:szCs w:val="20"/>
        </w:rPr>
        <w:t xml:space="preserve"> fusion (N=192, median </w:t>
      </w:r>
      <w:r w:rsidR="007A40DF">
        <w:rPr>
          <w:rFonts w:ascii="Arial Narrow" w:eastAsia="Times New Roman" w:hAnsi="Arial Narrow" w:cs="Arial"/>
          <w:snapToGrid w:val="0"/>
          <w:sz w:val="18"/>
          <w:szCs w:val="20"/>
        </w:rPr>
        <w:t>follow-up</w:t>
      </w:r>
      <w:r w:rsidRPr="00843AE8">
        <w:rPr>
          <w:rFonts w:ascii="Arial Narrow" w:eastAsia="Times New Roman" w:hAnsi="Arial Narrow" w:cs="Arial"/>
          <w:snapToGrid w:val="0"/>
          <w:sz w:val="18"/>
          <w:szCs w:val="20"/>
        </w:rPr>
        <w:t xml:space="preserve"> for overall survival 24 months compared to 15.8 months for the ePAS4 (N=164) in the previous submission; SAS New includes paediatric and adult primary CNS patients with documented </w:t>
      </w:r>
      <w:r w:rsidRPr="00843AE8">
        <w:rPr>
          <w:rFonts w:ascii="Arial Narrow" w:eastAsia="Times New Roman" w:hAnsi="Arial Narrow" w:cs="Arial"/>
          <w:i/>
          <w:snapToGrid w:val="0"/>
          <w:sz w:val="18"/>
          <w:szCs w:val="20"/>
        </w:rPr>
        <w:t>NTRK</w:t>
      </w:r>
      <w:r w:rsidRPr="00843AE8">
        <w:rPr>
          <w:rFonts w:ascii="Arial Narrow" w:eastAsia="Times New Roman" w:hAnsi="Arial Narrow" w:cs="Arial"/>
          <w:snapToGrid w:val="0"/>
          <w:sz w:val="18"/>
          <w:szCs w:val="20"/>
        </w:rPr>
        <w:t xml:space="preserve"> fusion tumours (N=33; median </w:t>
      </w:r>
      <w:r w:rsidR="007A40DF">
        <w:rPr>
          <w:rFonts w:ascii="Arial Narrow" w:eastAsia="Times New Roman" w:hAnsi="Arial Narrow" w:cs="Arial"/>
          <w:snapToGrid w:val="0"/>
          <w:sz w:val="18"/>
          <w:szCs w:val="20"/>
        </w:rPr>
        <w:t>follow-up</w:t>
      </w:r>
      <w:r w:rsidRPr="00843AE8">
        <w:rPr>
          <w:rFonts w:ascii="Arial Narrow" w:eastAsia="Times New Roman" w:hAnsi="Arial Narrow" w:cs="Arial"/>
          <w:snapToGrid w:val="0"/>
          <w:sz w:val="18"/>
          <w:szCs w:val="20"/>
        </w:rPr>
        <w:t xml:space="preserve"> for overall survival 16.5 months compared to 6 months for the SAS3 (N=24) in the previous submission)</w:t>
      </w:r>
    </w:p>
    <w:p w:rsidR="00843AE8" w:rsidRPr="00843AE8" w:rsidRDefault="00843AE8" w:rsidP="00D117CD">
      <w:pPr>
        <w:keepLines/>
        <w:widowControl w:val="0"/>
        <w:spacing w:before="0" w:after="240"/>
        <w:contextualSpacing/>
        <w:rPr>
          <w:rFonts w:ascii="Arial Narrow" w:eastAsia="Times New Roman" w:hAnsi="Arial Narrow" w:cs="Arial"/>
          <w:snapToGrid w:val="0"/>
          <w:sz w:val="18"/>
          <w:szCs w:val="20"/>
        </w:rPr>
      </w:pPr>
      <w:r w:rsidRPr="00843AE8">
        <w:rPr>
          <w:rFonts w:ascii="Arial Narrow" w:eastAsia="Times New Roman" w:hAnsi="Arial Narrow" w:cs="Arial"/>
          <w:snapToGrid w:val="0"/>
          <w:sz w:val="18"/>
          <w:szCs w:val="20"/>
        </w:rPr>
        <w:t xml:space="preserve">ePAS = extended primary analysis set; </w:t>
      </w:r>
      <w:r w:rsidRPr="00843AE8">
        <w:rPr>
          <w:rFonts w:ascii="Arial Narrow" w:eastAsia="Times New Roman" w:hAnsi="Arial Narrow" w:cs="Arial"/>
          <w:sz w:val="18"/>
          <w:szCs w:val="20"/>
        </w:rPr>
        <w:t>k=number of studies, n=number of patients</w:t>
      </w:r>
      <w:r w:rsidRPr="00843AE8">
        <w:rPr>
          <w:rFonts w:ascii="Arial Narrow" w:hAnsi="Arial Narrow" w:cs="Arial"/>
          <w:sz w:val="18"/>
          <w:szCs w:val="20"/>
        </w:rPr>
        <w:t>;</w:t>
      </w:r>
      <w:r w:rsidRPr="00843AE8">
        <w:rPr>
          <w:rFonts w:ascii="Arial Narrow" w:eastAsia="Times New Roman" w:hAnsi="Arial Narrow" w:cs="Arial"/>
          <w:sz w:val="18"/>
          <w:szCs w:val="20"/>
        </w:rPr>
        <w:t xml:space="preserve"> </w:t>
      </w:r>
      <w:r w:rsidRPr="00843AE8">
        <w:rPr>
          <w:rFonts w:ascii="Arial Narrow" w:eastAsia="Times New Roman" w:hAnsi="Arial Narrow" w:cs="Arial"/>
          <w:snapToGrid w:val="0"/>
          <w:sz w:val="18"/>
          <w:szCs w:val="20"/>
        </w:rPr>
        <w:t>SAS = supplementary analysis set.</w:t>
      </w:r>
    </w:p>
    <w:p w:rsidR="003A12E6" w:rsidRPr="003A12E6" w:rsidRDefault="003A12E6" w:rsidP="00D117CD">
      <w:pPr>
        <w:pStyle w:val="Caption"/>
        <w:keepLines/>
        <w:ind w:left="0" w:firstLine="0"/>
      </w:pPr>
      <w:bookmarkStart w:id="44" w:name="_Ref80031799"/>
      <w:r w:rsidRPr="003A12E6">
        <w:t xml:space="preserve">Table </w:t>
      </w:r>
      <w:r w:rsidR="00BB3DD1">
        <w:rPr>
          <w:noProof/>
        </w:rPr>
        <w:t>8</w:t>
      </w:r>
      <w:bookmarkEnd w:id="42"/>
      <w:bookmarkEnd w:id="43"/>
      <w:bookmarkEnd w:id="44"/>
      <w:r w:rsidR="00E37EC3">
        <w:rPr>
          <w:noProof/>
        </w:rPr>
        <w:t>:</w:t>
      </w:r>
      <w:r w:rsidR="00D117CD">
        <w:rPr>
          <w:noProof/>
        </w:rPr>
        <w:t xml:space="preserve"> </w:t>
      </w:r>
      <w:r w:rsidRPr="003A12E6">
        <w:t>Primary diagnosis of patients (</w:t>
      </w:r>
      <w:r w:rsidRPr="00623261">
        <w:rPr>
          <w:i/>
        </w:rPr>
        <w:t>NTRK</w:t>
      </w:r>
      <w:r w:rsidRPr="003A12E6">
        <w:t xml:space="preserve"> fusion positive tumours types) included in the pooled analyses from the larotrectinib studies (previous July 2019 and updated July 2020 data </w:t>
      </w:r>
      <w:r w:rsidR="006D66BE" w:rsidRPr="003A12E6">
        <w:t>cut-offs</w:t>
      </w:r>
      <w:r w:rsidRPr="003A12E6">
        <w:t>)</w:t>
      </w:r>
    </w:p>
    <w:tbl>
      <w:tblPr>
        <w:tblStyle w:val="HTATableshaded"/>
        <w:tblW w:w="5000" w:type="pct"/>
        <w:tblLook w:val="04A0" w:firstRow="1" w:lastRow="0" w:firstColumn="1" w:lastColumn="0" w:noHBand="0" w:noVBand="1"/>
        <w:tblCaption w:val="Table 8: Primary diagnosis of patients (NTRK fusion positive tumours types) included in the pooled analyses from the larotrectinib studies (previous July 2019 and updated July 2020 data cut-offs)"/>
      </w:tblPr>
      <w:tblGrid>
        <w:gridCol w:w="3573"/>
        <w:gridCol w:w="1372"/>
        <w:gridCol w:w="1078"/>
        <w:gridCol w:w="1491"/>
        <w:gridCol w:w="1502"/>
      </w:tblGrid>
      <w:tr w:rsidR="003A12E6" w:rsidRPr="009F1A25" w:rsidTr="00C10C26">
        <w:trPr>
          <w:cnfStyle w:val="100000000000" w:firstRow="1" w:lastRow="0" w:firstColumn="0" w:lastColumn="0" w:oddVBand="0" w:evenVBand="0" w:oddHBand="0" w:evenHBand="0" w:firstRowFirstColumn="0" w:firstRowLastColumn="0" w:lastRowFirstColumn="0" w:lastRowLastColumn="0"/>
          <w:tblHeader/>
        </w:trPr>
        <w:tc>
          <w:tcPr>
            <w:tcW w:w="1981" w:type="pct"/>
            <w:vMerge w:val="restart"/>
          </w:tcPr>
          <w:p w:rsidR="003A12E6" w:rsidRPr="009F1A25" w:rsidRDefault="003A12E6" w:rsidP="00D117CD">
            <w:pPr>
              <w:pStyle w:val="TableText"/>
              <w:keepNext/>
              <w:keepLines/>
              <w:rPr>
                <w:b/>
              </w:rPr>
            </w:pPr>
            <w:r>
              <w:rPr>
                <w:b/>
              </w:rPr>
              <w:t>Proposed subgroups</w:t>
            </w:r>
          </w:p>
        </w:tc>
        <w:tc>
          <w:tcPr>
            <w:tcW w:w="1359" w:type="pct"/>
            <w:gridSpan w:val="2"/>
          </w:tcPr>
          <w:p w:rsidR="003A12E6" w:rsidRDefault="003A12E6" w:rsidP="00D117CD">
            <w:pPr>
              <w:pStyle w:val="TableText"/>
              <w:keepNext/>
              <w:keepLines/>
              <w:jc w:val="center"/>
              <w:rPr>
                <w:b/>
              </w:rPr>
            </w:pPr>
            <w:r>
              <w:rPr>
                <w:b/>
              </w:rPr>
              <w:t xml:space="preserve">July 2019 data </w:t>
            </w:r>
            <w:r w:rsidR="006D66BE">
              <w:rPr>
                <w:b/>
              </w:rPr>
              <w:t>cut-off</w:t>
            </w:r>
          </w:p>
          <w:p w:rsidR="003A12E6" w:rsidRPr="009F1A25" w:rsidRDefault="003A12E6" w:rsidP="00D117CD">
            <w:pPr>
              <w:pStyle w:val="TableText"/>
              <w:keepNext/>
              <w:keepLines/>
              <w:jc w:val="center"/>
              <w:rPr>
                <w:b/>
              </w:rPr>
            </w:pPr>
            <w:r>
              <w:rPr>
                <w:b/>
              </w:rPr>
              <w:t>(Previous submission)</w:t>
            </w:r>
          </w:p>
        </w:tc>
        <w:tc>
          <w:tcPr>
            <w:tcW w:w="1660" w:type="pct"/>
            <w:gridSpan w:val="2"/>
          </w:tcPr>
          <w:p w:rsidR="003A12E6" w:rsidRDefault="003A12E6" w:rsidP="00D117CD">
            <w:pPr>
              <w:pStyle w:val="TableText"/>
              <w:keepNext/>
              <w:keepLines/>
              <w:jc w:val="center"/>
              <w:rPr>
                <w:b/>
              </w:rPr>
            </w:pPr>
            <w:r>
              <w:rPr>
                <w:b/>
              </w:rPr>
              <w:t xml:space="preserve">July 2020 data </w:t>
            </w:r>
            <w:r w:rsidR="006D66BE">
              <w:rPr>
                <w:b/>
              </w:rPr>
              <w:t>cut-off</w:t>
            </w:r>
          </w:p>
          <w:p w:rsidR="003A12E6" w:rsidRPr="009F1A25" w:rsidRDefault="003A12E6" w:rsidP="00D117CD">
            <w:pPr>
              <w:pStyle w:val="TableText"/>
              <w:keepNext/>
              <w:keepLines/>
              <w:jc w:val="center"/>
              <w:rPr>
                <w:b/>
              </w:rPr>
            </w:pPr>
            <w:r>
              <w:rPr>
                <w:b/>
              </w:rPr>
              <w:t>(Resubmission)</w:t>
            </w:r>
          </w:p>
        </w:tc>
      </w:tr>
      <w:tr w:rsidR="003A12E6" w:rsidRPr="009F1A25" w:rsidTr="00C10C26">
        <w:trPr>
          <w:cnfStyle w:val="100000000000" w:firstRow="1" w:lastRow="0" w:firstColumn="0" w:lastColumn="0" w:oddVBand="0" w:evenVBand="0" w:oddHBand="0" w:evenHBand="0" w:firstRowFirstColumn="0" w:firstRowLastColumn="0" w:lastRowFirstColumn="0" w:lastRowLastColumn="0"/>
          <w:tblHeader/>
        </w:trPr>
        <w:tc>
          <w:tcPr>
            <w:tcW w:w="1981" w:type="pct"/>
            <w:vMerge/>
          </w:tcPr>
          <w:p w:rsidR="003A12E6" w:rsidRPr="009F1A25" w:rsidRDefault="003A12E6" w:rsidP="00D117CD">
            <w:pPr>
              <w:pStyle w:val="TableText"/>
              <w:keepNext/>
              <w:keepLines/>
              <w:rPr>
                <w:b/>
              </w:rPr>
            </w:pPr>
          </w:p>
        </w:tc>
        <w:tc>
          <w:tcPr>
            <w:tcW w:w="761" w:type="pct"/>
          </w:tcPr>
          <w:p w:rsidR="003A12E6" w:rsidRPr="009F1A25" w:rsidRDefault="003A12E6" w:rsidP="00D117CD">
            <w:pPr>
              <w:pStyle w:val="TableText"/>
              <w:keepNext/>
              <w:keepLines/>
              <w:jc w:val="center"/>
              <w:rPr>
                <w:b/>
              </w:rPr>
            </w:pPr>
            <w:r w:rsidRPr="009F1A25">
              <w:rPr>
                <w:b/>
              </w:rPr>
              <w:t>ePAS4</w:t>
            </w:r>
          </w:p>
          <w:p w:rsidR="003A12E6" w:rsidRPr="009F1A25" w:rsidRDefault="003A12E6" w:rsidP="00D117CD">
            <w:pPr>
              <w:pStyle w:val="TableText"/>
              <w:keepNext/>
              <w:keepLines/>
              <w:jc w:val="center"/>
              <w:rPr>
                <w:b/>
              </w:rPr>
            </w:pPr>
            <w:r w:rsidRPr="009F1A25">
              <w:rPr>
                <w:b/>
              </w:rPr>
              <w:t>N = 164</w:t>
            </w:r>
          </w:p>
          <w:p w:rsidR="003A12E6" w:rsidRPr="009F1A25" w:rsidRDefault="003A12E6" w:rsidP="00D117CD">
            <w:pPr>
              <w:pStyle w:val="TableText"/>
              <w:keepNext/>
              <w:keepLines/>
              <w:jc w:val="center"/>
              <w:rPr>
                <w:b/>
              </w:rPr>
            </w:pPr>
            <w:r w:rsidRPr="009F1A25">
              <w:rPr>
                <w:b/>
              </w:rPr>
              <w:t>n, (%</w:t>
            </w:r>
            <w:r>
              <w:rPr>
                <w:b/>
              </w:rPr>
              <w:t xml:space="preserve"> of N</w:t>
            </w:r>
            <w:r w:rsidRPr="009F1A25">
              <w:rPr>
                <w:b/>
              </w:rPr>
              <w:t>)</w:t>
            </w:r>
          </w:p>
        </w:tc>
        <w:tc>
          <w:tcPr>
            <w:tcW w:w="598" w:type="pct"/>
          </w:tcPr>
          <w:p w:rsidR="003A12E6" w:rsidRPr="009F1A25" w:rsidRDefault="003A12E6" w:rsidP="00D117CD">
            <w:pPr>
              <w:pStyle w:val="TableText"/>
              <w:keepNext/>
              <w:keepLines/>
              <w:jc w:val="center"/>
              <w:rPr>
                <w:b/>
              </w:rPr>
            </w:pPr>
            <w:r w:rsidRPr="009F1A25">
              <w:rPr>
                <w:b/>
              </w:rPr>
              <w:t>SAS3</w:t>
            </w:r>
          </w:p>
          <w:p w:rsidR="003A12E6" w:rsidRPr="009F1A25" w:rsidRDefault="003A12E6" w:rsidP="00D117CD">
            <w:pPr>
              <w:pStyle w:val="TableText"/>
              <w:keepNext/>
              <w:keepLines/>
              <w:jc w:val="center"/>
              <w:rPr>
                <w:b/>
              </w:rPr>
            </w:pPr>
            <w:r w:rsidRPr="009F1A25">
              <w:rPr>
                <w:b/>
              </w:rPr>
              <w:t>N = 24</w:t>
            </w:r>
          </w:p>
          <w:p w:rsidR="003A12E6" w:rsidRPr="009F1A25" w:rsidRDefault="003A12E6" w:rsidP="00D117CD">
            <w:pPr>
              <w:pStyle w:val="TableText"/>
              <w:keepNext/>
              <w:keepLines/>
              <w:jc w:val="center"/>
              <w:rPr>
                <w:b/>
              </w:rPr>
            </w:pPr>
            <w:r w:rsidRPr="009F1A25">
              <w:rPr>
                <w:b/>
              </w:rPr>
              <w:t>n, (%</w:t>
            </w:r>
            <w:r>
              <w:rPr>
                <w:b/>
              </w:rPr>
              <w:t xml:space="preserve"> of N</w:t>
            </w:r>
            <w:r w:rsidRPr="009F1A25">
              <w:rPr>
                <w:b/>
              </w:rPr>
              <w:t>)</w:t>
            </w:r>
          </w:p>
        </w:tc>
        <w:tc>
          <w:tcPr>
            <w:tcW w:w="827" w:type="pct"/>
          </w:tcPr>
          <w:p w:rsidR="003A12E6" w:rsidRPr="009F1A25" w:rsidRDefault="003A12E6" w:rsidP="00D117CD">
            <w:pPr>
              <w:pStyle w:val="TableText"/>
              <w:keepNext/>
              <w:keepLines/>
              <w:jc w:val="center"/>
              <w:rPr>
                <w:b/>
              </w:rPr>
            </w:pPr>
            <w:r w:rsidRPr="009F1A25">
              <w:rPr>
                <w:b/>
              </w:rPr>
              <w:t>ePAS5</w:t>
            </w:r>
          </w:p>
          <w:p w:rsidR="003A12E6" w:rsidRPr="009F1A25" w:rsidRDefault="003A12E6" w:rsidP="00D117CD">
            <w:pPr>
              <w:pStyle w:val="TableText"/>
              <w:keepNext/>
              <w:keepLines/>
              <w:jc w:val="center"/>
              <w:rPr>
                <w:b/>
              </w:rPr>
            </w:pPr>
            <w:r w:rsidRPr="009F1A25">
              <w:rPr>
                <w:b/>
              </w:rPr>
              <w:t>N = 192</w:t>
            </w:r>
          </w:p>
          <w:p w:rsidR="003A12E6" w:rsidRPr="009F1A25" w:rsidRDefault="003A12E6" w:rsidP="00D117CD">
            <w:pPr>
              <w:pStyle w:val="TableText"/>
              <w:keepNext/>
              <w:keepLines/>
              <w:jc w:val="center"/>
              <w:rPr>
                <w:b/>
              </w:rPr>
            </w:pPr>
            <w:r w:rsidRPr="009F1A25">
              <w:rPr>
                <w:b/>
              </w:rPr>
              <w:t>n, (%</w:t>
            </w:r>
            <w:r>
              <w:rPr>
                <w:b/>
              </w:rPr>
              <w:t xml:space="preserve"> of N</w:t>
            </w:r>
            <w:r w:rsidRPr="009F1A25">
              <w:rPr>
                <w:b/>
              </w:rPr>
              <w:t>)</w:t>
            </w:r>
          </w:p>
        </w:tc>
        <w:tc>
          <w:tcPr>
            <w:tcW w:w="833" w:type="pct"/>
          </w:tcPr>
          <w:p w:rsidR="003A12E6" w:rsidRPr="009F1A25" w:rsidRDefault="003A12E6" w:rsidP="00D117CD">
            <w:pPr>
              <w:pStyle w:val="TableText"/>
              <w:keepNext/>
              <w:keepLines/>
              <w:jc w:val="center"/>
              <w:rPr>
                <w:b/>
              </w:rPr>
            </w:pPr>
            <w:r w:rsidRPr="009F1A25">
              <w:rPr>
                <w:b/>
              </w:rPr>
              <w:t>SAS3</w:t>
            </w:r>
            <w:r>
              <w:rPr>
                <w:b/>
              </w:rPr>
              <w:t xml:space="preserve"> New</w:t>
            </w:r>
            <w:r w:rsidRPr="00B65ECB">
              <w:rPr>
                <w:b/>
                <w:vertAlign w:val="superscript"/>
              </w:rPr>
              <w:t>a</w:t>
            </w:r>
          </w:p>
          <w:p w:rsidR="003A12E6" w:rsidRPr="009F1A25" w:rsidRDefault="003A12E6" w:rsidP="00D117CD">
            <w:pPr>
              <w:pStyle w:val="TableText"/>
              <w:keepNext/>
              <w:keepLines/>
              <w:jc w:val="center"/>
              <w:rPr>
                <w:b/>
              </w:rPr>
            </w:pPr>
            <w:r w:rsidRPr="009F1A25">
              <w:rPr>
                <w:b/>
              </w:rPr>
              <w:t>N = 33</w:t>
            </w:r>
          </w:p>
          <w:p w:rsidR="003A12E6" w:rsidRPr="009F1A25" w:rsidRDefault="003A12E6" w:rsidP="00D117CD">
            <w:pPr>
              <w:pStyle w:val="TableText"/>
              <w:keepNext/>
              <w:keepLines/>
              <w:jc w:val="center"/>
              <w:rPr>
                <w:b/>
              </w:rPr>
            </w:pPr>
            <w:r w:rsidRPr="009F1A25">
              <w:rPr>
                <w:b/>
              </w:rPr>
              <w:t>n, (%</w:t>
            </w:r>
            <w:r>
              <w:rPr>
                <w:b/>
              </w:rPr>
              <w:t xml:space="preserve"> of N</w:t>
            </w:r>
            <w:r w:rsidRPr="009F1A25">
              <w:rPr>
                <w:b/>
              </w:rPr>
              <w:t>)</w:t>
            </w:r>
          </w:p>
        </w:tc>
      </w:tr>
      <w:tr w:rsidR="003A12E6" w:rsidRPr="009F1A25" w:rsidTr="00F37B89">
        <w:tc>
          <w:tcPr>
            <w:tcW w:w="3340" w:type="pct"/>
            <w:gridSpan w:val="3"/>
          </w:tcPr>
          <w:p w:rsidR="003A12E6" w:rsidRPr="00B65ECB" w:rsidRDefault="003A12E6" w:rsidP="00D117CD">
            <w:pPr>
              <w:pStyle w:val="TableText"/>
              <w:keepNext/>
              <w:keepLines/>
              <w:spacing w:line="257" w:lineRule="auto"/>
              <w:rPr>
                <w:b/>
              </w:rPr>
            </w:pPr>
            <w:r w:rsidRPr="00B65ECB">
              <w:rPr>
                <w:b/>
              </w:rPr>
              <w:t xml:space="preserve">Adult high frequency </w:t>
            </w:r>
            <w:r w:rsidRPr="00623261">
              <w:rPr>
                <w:b/>
                <w:i/>
              </w:rPr>
              <w:t>NTRK</w:t>
            </w:r>
            <w:r w:rsidRPr="00B65ECB">
              <w:rPr>
                <w:b/>
              </w:rPr>
              <w:t xml:space="preserve"> tumours</w:t>
            </w:r>
          </w:p>
        </w:tc>
        <w:tc>
          <w:tcPr>
            <w:tcW w:w="827" w:type="pct"/>
          </w:tcPr>
          <w:p w:rsidR="003A12E6" w:rsidRPr="009F1A25" w:rsidRDefault="003A12E6" w:rsidP="00D117CD">
            <w:pPr>
              <w:pStyle w:val="TableText"/>
              <w:keepNext/>
              <w:keepLines/>
              <w:spacing w:line="257" w:lineRule="auto"/>
              <w:jc w:val="center"/>
            </w:pPr>
          </w:p>
        </w:tc>
        <w:tc>
          <w:tcPr>
            <w:tcW w:w="833" w:type="pct"/>
          </w:tcPr>
          <w:p w:rsidR="003A12E6" w:rsidRPr="009F1A25" w:rsidRDefault="003A12E6" w:rsidP="00D117CD">
            <w:pPr>
              <w:pStyle w:val="TableText"/>
              <w:keepNext/>
              <w:keepLines/>
              <w:spacing w:line="257" w:lineRule="auto"/>
              <w:jc w:val="center"/>
            </w:pPr>
          </w:p>
        </w:tc>
      </w:tr>
      <w:tr w:rsidR="003A12E6" w:rsidRPr="009F1A25" w:rsidTr="00F37B89">
        <w:tc>
          <w:tcPr>
            <w:tcW w:w="1981" w:type="pct"/>
          </w:tcPr>
          <w:p w:rsidR="003A12E6" w:rsidRPr="009F1A25" w:rsidRDefault="003A12E6" w:rsidP="00D117CD">
            <w:pPr>
              <w:pStyle w:val="TableText"/>
              <w:keepNext/>
              <w:keepLines/>
            </w:pPr>
            <w:r w:rsidRPr="009F1A25">
              <w:t>Salivary gland (MASC)</w:t>
            </w:r>
          </w:p>
        </w:tc>
        <w:tc>
          <w:tcPr>
            <w:tcW w:w="761" w:type="pct"/>
          </w:tcPr>
          <w:p w:rsidR="003A12E6" w:rsidRPr="009F1A25" w:rsidRDefault="003A12E6" w:rsidP="00D117CD">
            <w:pPr>
              <w:pStyle w:val="TableText"/>
              <w:keepNext/>
              <w:keepLines/>
              <w:jc w:val="center"/>
            </w:pPr>
            <w:r w:rsidRPr="009F1A25">
              <w:t>21 (13)</w:t>
            </w:r>
          </w:p>
        </w:tc>
        <w:tc>
          <w:tcPr>
            <w:tcW w:w="598" w:type="pct"/>
          </w:tcPr>
          <w:p w:rsidR="003A12E6" w:rsidRPr="009F1A25" w:rsidRDefault="003A12E6" w:rsidP="00D117CD">
            <w:pPr>
              <w:pStyle w:val="TableText"/>
              <w:keepNext/>
              <w:keepLines/>
              <w:jc w:val="center"/>
            </w:pPr>
            <w:r w:rsidRPr="009F1A25">
              <w:t>0</w:t>
            </w:r>
          </w:p>
        </w:tc>
        <w:tc>
          <w:tcPr>
            <w:tcW w:w="827" w:type="pct"/>
          </w:tcPr>
          <w:p w:rsidR="003A12E6" w:rsidRPr="00FC5C77" w:rsidRDefault="003A12E6" w:rsidP="00D117CD">
            <w:pPr>
              <w:pStyle w:val="TableText"/>
              <w:keepNext/>
              <w:keepLines/>
              <w:jc w:val="center"/>
              <w:rPr>
                <w:vertAlign w:val="superscript"/>
              </w:rPr>
            </w:pPr>
            <w:r w:rsidRPr="009F1A25">
              <w:t>22 (10)</w:t>
            </w:r>
            <w:r>
              <w:rPr>
                <w:vertAlign w:val="superscript"/>
              </w:rPr>
              <w:t>a</w:t>
            </w:r>
          </w:p>
        </w:tc>
        <w:tc>
          <w:tcPr>
            <w:tcW w:w="833" w:type="pct"/>
          </w:tcPr>
          <w:p w:rsidR="003A12E6" w:rsidRPr="009F1A25" w:rsidRDefault="003A12E6" w:rsidP="00D117CD">
            <w:pPr>
              <w:pStyle w:val="TableText"/>
              <w:keepNext/>
              <w:keepLines/>
              <w:jc w:val="center"/>
            </w:pPr>
            <w:r w:rsidRPr="009F1A25">
              <w:t>0</w:t>
            </w:r>
          </w:p>
        </w:tc>
      </w:tr>
      <w:tr w:rsidR="003A12E6" w:rsidRPr="009F1A25" w:rsidTr="00F37B89">
        <w:tc>
          <w:tcPr>
            <w:tcW w:w="1981" w:type="pct"/>
          </w:tcPr>
          <w:p w:rsidR="003A12E6" w:rsidRPr="009F1A25" w:rsidRDefault="003A12E6" w:rsidP="00D117CD">
            <w:pPr>
              <w:pStyle w:val="TableText"/>
              <w:keepNext/>
              <w:keepLines/>
            </w:pPr>
            <w:r w:rsidRPr="009F1A25">
              <w:t xml:space="preserve">Breast </w:t>
            </w:r>
          </w:p>
        </w:tc>
        <w:tc>
          <w:tcPr>
            <w:tcW w:w="761" w:type="pct"/>
          </w:tcPr>
          <w:p w:rsidR="003A12E6" w:rsidRPr="009F1A25" w:rsidRDefault="003A12E6" w:rsidP="00D117CD">
            <w:pPr>
              <w:pStyle w:val="TableText"/>
              <w:keepNext/>
              <w:keepLines/>
              <w:jc w:val="center"/>
            </w:pPr>
            <w:r w:rsidRPr="009F1A25">
              <w:t>5 (3)</w:t>
            </w:r>
          </w:p>
        </w:tc>
        <w:tc>
          <w:tcPr>
            <w:tcW w:w="598" w:type="pct"/>
          </w:tcPr>
          <w:p w:rsidR="003A12E6" w:rsidRPr="009F1A25" w:rsidRDefault="003A12E6" w:rsidP="00D117CD">
            <w:pPr>
              <w:pStyle w:val="TableText"/>
              <w:keepNext/>
              <w:keepLines/>
              <w:jc w:val="center"/>
            </w:pPr>
            <w:r w:rsidRPr="009F1A25">
              <w:t>0</w:t>
            </w:r>
          </w:p>
        </w:tc>
        <w:tc>
          <w:tcPr>
            <w:tcW w:w="827" w:type="pct"/>
          </w:tcPr>
          <w:p w:rsidR="003A12E6" w:rsidRPr="009F1A25" w:rsidRDefault="003A12E6" w:rsidP="00D117CD">
            <w:pPr>
              <w:pStyle w:val="TableText"/>
              <w:keepNext/>
              <w:keepLines/>
              <w:jc w:val="center"/>
            </w:pPr>
            <w:r w:rsidRPr="009F1A25">
              <w:t>7 (3)</w:t>
            </w:r>
          </w:p>
        </w:tc>
        <w:tc>
          <w:tcPr>
            <w:tcW w:w="833" w:type="pct"/>
          </w:tcPr>
          <w:p w:rsidR="003A12E6" w:rsidRPr="009F1A25" w:rsidRDefault="003A12E6" w:rsidP="00D117CD">
            <w:pPr>
              <w:pStyle w:val="TableText"/>
              <w:keepNext/>
              <w:keepLines/>
              <w:jc w:val="center"/>
            </w:pPr>
            <w:r w:rsidRPr="009F1A25">
              <w:t>0</w:t>
            </w:r>
          </w:p>
        </w:tc>
      </w:tr>
      <w:tr w:rsidR="003A12E6" w:rsidRPr="009F1A25" w:rsidTr="00F37B89">
        <w:tc>
          <w:tcPr>
            <w:tcW w:w="5000" w:type="pct"/>
            <w:gridSpan w:val="5"/>
          </w:tcPr>
          <w:p w:rsidR="003A12E6" w:rsidRPr="00B65ECB" w:rsidRDefault="003A12E6" w:rsidP="00D117CD">
            <w:pPr>
              <w:pStyle w:val="TableText"/>
              <w:keepNext/>
              <w:keepLines/>
              <w:rPr>
                <w:b/>
              </w:rPr>
            </w:pPr>
            <w:r w:rsidRPr="00B65ECB">
              <w:rPr>
                <w:b/>
              </w:rPr>
              <w:t xml:space="preserve">Adult low frequency </w:t>
            </w:r>
            <w:r w:rsidRPr="00623261">
              <w:rPr>
                <w:b/>
                <w:i/>
              </w:rPr>
              <w:t>NTRK</w:t>
            </w:r>
            <w:r w:rsidRPr="00B65ECB">
              <w:rPr>
                <w:b/>
              </w:rPr>
              <w:t xml:space="preserve"> tumours</w:t>
            </w:r>
          </w:p>
        </w:tc>
      </w:tr>
      <w:tr w:rsidR="003A12E6" w:rsidRPr="009F1A25" w:rsidTr="00F37B89">
        <w:tc>
          <w:tcPr>
            <w:tcW w:w="1981" w:type="pct"/>
          </w:tcPr>
          <w:p w:rsidR="003A12E6" w:rsidRPr="009F1A25" w:rsidRDefault="003A12E6" w:rsidP="00D117CD">
            <w:pPr>
              <w:pStyle w:val="TableText"/>
              <w:keepNext/>
              <w:keepLines/>
            </w:pPr>
            <w:r w:rsidRPr="009F1A25">
              <w:t>Thyroid</w:t>
            </w:r>
          </w:p>
        </w:tc>
        <w:tc>
          <w:tcPr>
            <w:tcW w:w="761" w:type="pct"/>
          </w:tcPr>
          <w:p w:rsidR="003A12E6" w:rsidRPr="009F1A25" w:rsidRDefault="003A12E6" w:rsidP="00D117CD">
            <w:pPr>
              <w:pStyle w:val="TableText"/>
              <w:keepNext/>
              <w:keepLines/>
              <w:jc w:val="center"/>
            </w:pPr>
            <w:r w:rsidRPr="009F1A25">
              <w:t>27 (16)</w:t>
            </w:r>
          </w:p>
        </w:tc>
        <w:tc>
          <w:tcPr>
            <w:tcW w:w="598" w:type="pct"/>
          </w:tcPr>
          <w:p w:rsidR="003A12E6" w:rsidRPr="009F1A25" w:rsidRDefault="003A12E6" w:rsidP="00D117CD">
            <w:pPr>
              <w:pStyle w:val="TableText"/>
              <w:keepNext/>
              <w:keepLines/>
              <w:jc w:val="center"/>
            </w:pPr>
            <w:r w:rsidRPr="009F1A25">
              <w:t>0</w:t>
            </w:r>
          </w:p>
        </w:tc>
        <w:tc>
          <w:tcPr>
            <w:tcW w:w="827" w:type="pct"/>
          </w:tcPr>
          <w:p w:rsidR="003A12E6" w:rsidRPr="009F1A25" w:rsidRDefault="003A12E6" w:rsidP="00D117CD">
            <w:pPr>
              <w:pStyle w:val="TableText"/>
              <w:keepNext/>
              <w:keepLines/>
              <w:jc w:val="center"/>
            </w:pPr>
            <w:r w:rsidRPr="009F1A25">
              <w:t>28 (12)</w:t>
            </w:r>
          </w:p>
        </w:tc>
        <w:tc>
          <w:tcPr>
            <w:tcW w:w="833" w:type="pct"/>
          </w:tcPr>
          <w:p w:rsidR="003A12E6" w:rsidRPr="009F1A25" w:rsidRDefault="003A12E6" w:rsidP="00D117CD">
            <w:pPr>
              <w:pStyle w:val="TableText"/>
              <w:keepNext/>
              <w:keepLines/>
              <w:jc w:val="center"/>
            </w:pPr>
            <w:r w:rsidRPr="009F1A25">
              <w:t>0</w:t>
            </w:r>
          </w:p>
        </w:tc>
      </w:tr>
      <w:tr w:rsidR="003A12E6" w:rsidRPr="009F1A25" w:rsidTr="00F37B89">
        <w:tc>
          <w:tcPr>
            <w:tcW w:w="1981" w:type="pct"/>
          </w:tcPr>
          <w:p w:rsidR="003A12E6" w:rsidRPr="009F1A25" w:rsidRDefault="003A12E6" w:rsidP="00D117CD">
            <w:pPr>
              <w:pStyle w:val="TableText"/>
              <w:keepNext/>
              <w:keepLines/>
            </w:pPr>
            <w:r w:rsidRPr="009F1A25">
              <w:t>Adult soft tissue sarcoma</w:t>
            </w:r>
          </w:p>
        </w:tc>
        <w:tc>
          <w:tcPr>
            <w:tcW w:w="761" w:type="pct"/>
          </w:tcPr>
          <w:p w:rsidR="003A12E6" w:rsidRPr="009F1A25" w:rsidRDefault="003A12E6" w:rsidP="00D117CD">
            <w:pPr>
              <w:pStyle w:val="TableText"/>
              <w:keepNext/>
              <w:keepLines/>
              <w:jc w:val="center"/>
            </w:pPr>
            <w:r w:rsidRPr="009F1A25">
              <w:t>17 (10)</w:t>
            </w:r>
          </w:p>
        </w:tc>
        <w:tc>
          <w:tcPr>
            <w:tcW w:w="598" w:type="pct"/>
          </w:tcPr>
          <w:p w:rsidR="003A12E6" w:rsidRPr="009F1A25" w:rsidRDefault="003A12E6" w:rsidP="00D117CD">
            <w:pPr>
              <w:pStyle w:val="TableText"/>
              <w:keepNext/>
              <w:keepLines/>
              <w:jc w:val="center"/>
            </w:pPr>
            <w:r w:rsidRPr="009F1A25">
              <w:t>0</w:t>
            </w:r>
          </w:p>
        </w:tc>
        <w:tc>
          <w:tcPr>
            <w:tcW w:w="827" w:type="pct"/>
          </w:tcPr>
          <w:p w:rsidR="003A12E6" w:rsidRPr="009F1A25" w:rsidRDefault="003A12E6" w:rsidP="00D117CD">
            <w:pPr>
              <w:pStyle w:val="TableText"/>
              <w:keepNext/>
              <w:keepLines/>
              <w:jc w:val="center"/>
            </w:pPr>
            <w:r w:rsidRPr="009F1A25">
              <w:t>23 (10)</w:t>
            </w:r>
          </w:p>
        </w:tc>
        <w:tc>
          <w:tcPr>
            <w:tcW w:w="833" w:type="pct"/>
          </w:tcPr>
          <w:p w:rsidR="003A12E6" w:rsidRPr="009F1A25" w:rsidRDefault="003A12E6" w:rsidP="00D117CD">
            <w:pPr>
              <w:pStyle w:val="TableText"/>
              <w:keepNext/>
              <w:keepLines/>
              <w:jc w:val="center"/>
            </w:pPr>
            <w:r w:rsidRPr="009F1A25">
              <w:t>0</w:t>
            </w:r>
          </w:p>
        </w:tc>
      </w:tr>
      <w:tr w:rsidR="003A12E6" w:rsidRPr="009F1A25" w:rsidTr="00F37B89">
        <w:tc>
          <w:tcPr>
            <w:tcW w:w="1981" w:type="pct"/>
          </w:tcPr>
          <w:p w:rsidR="003A12E6" w:rsidRPr="009F1A25" w:rsidRDefault="003A12E6" w:rsidP="00D117CD">
            <w:pPr>
              <w:pStyle w:val="TableText"/>
              <w:keepNext/>
              <w:keepLines/>
            </w:pPr>
            <w:r w:rsidRPr="009F1A25">
              <w:t>Lung</w:t>
            </w:r>
            <w:r>
              <w:t xml:space="preserve"> (NSCLC)</w:t>
            </w:r>
          </w:p>
        </w:tc>
        <w:tc>
          <w:tcPr>
            <w:tcW w:w="761" w:type="pct"/>
          </w:tcPr>
          <w:p w:rsidR="003A12E6" w:rsidRPr="009F1A25" w:rsidRDefault="003A12E6" w:rsidP="00D117CD">
            <w:pPr>
              <w:pStyle w:val="TableText"/>
              <w:keepNext/>
              <w:keepLines/>
              <w:jc w:val="center"/>
            </w:pPr>
            <w:r w:rsidRPr="009F1A25">
              <w:t>13 (8)</w:t>
            </w:r>
          </w:p>
        </w:tc>
        <w:tc>
          <w:tcPr>
            <w:tcW w:w="598" w:type="pct"/>
          </w:tcPr>
          <w:p w:rsidR="003A12E6" w:rsidRPr="009F1A25" w:rsidRDefault="003A12E6" w:rsidP="00D117CD">
            <w:pPr>
              <w:pStyle w:val="TableText"/>
              <w:keepNext/>
              <w:keepLines/>
              <w:jc w:val="center"/>
            </w:pPr>
            <w:r w:rsidRPr="009F1A25">
              <w:t>0</w:t>
            </w:r>
          </w:p>
        </w:tc>
        <w:tc>
          <w:tcPr>
            <w:tcW w:w="827" w:type="pct"/>
          </w:tcPr>
          <w:p w:rsidR="003A12E6" w:rsidRPr="009F1A25" w:rsidRDefault="003A12E6" w:rsidP="00D117CD">
            <w:pPr>
              <w:pStyle w:val="TableText"/>
              <w:keepNext/>
              <w:keepLines/>
              <w:jc w:val="center"/>
            </w:pPr>
            <w:r w:rsidRPr="009F1A25">
              <w:t>15 (7)</w:t>
            </w:r>
          </w:p>
        </w:tc>
        <w:tc>
          <w:tcPr>
            <w:tcW w:w="833" w:type="pct"/>
          </w:tcPr>
          <w:p w:rsidR="003A12E6" w:rsidRPr="009F1A25" w:rsidRDefault="003A12E6" w:rsidP="00D117CD">
            <w:pPr>
              <w:pStyle w:val="TableText"/>
              <w:keepNext/>
              <w:keepLines/>
              <w:jc w:val="center"/>
            </w:pPr>
            <w:r w:rsidRPr="009F1A25">
              <w:t>0</w:t>
            </w:r>
          </w:p>
        </w:tc>
      </w:tr>
      <w:tr w:rsidR="003A12E6" w:rsidRPr="009F1A25" w:rsidTr="00F37B89">
        <w:tc>
          <w:tcPr>
            <w:tcW w:w="1981" w:type="pct"/>
          </w:tcPr>
          <w:p w:rsidR="003A12E6" w:rsidRPr="009F1A25" w:rsidRDefault="003A12E6" w:rsidP="00D117CD">
            <w:pPr>
              <w:pStyle w:val="TableText"/>
              <w:keepNext/>
              <w:keepLines/>
            </w:pPr>
            <w:r w:rsidRPr="009F1A25">
              <w:t>Colorectal</w:t>
            </w:r>
          </w:p>
        </w:tc>
        <w:tc>
          <w:tcPr>
            <w:tcW w:w="761" w:type="pct"/>
          </w:tcPr>
          <w:p w:rsidR="003A12E6" w:rsidRPr="009F1A25" w:rsidRDefault="003A12E6" w:rsidP="00D117CD">
            <w:pPr>
              <w:pStyle w:val="TableText"/>
              <w:keepNext/>
              <w:keepLines/>
              <w:jc w:val="center"/>
            </w:pPr>
            <w:r w:rsidRPr="009F1A25">
              <w:t>8 (5)</w:t>
            </w:r>
          </w:p>
        </w:tc>
        <w:tc>
          <w:tcPr>
            <w:tcW w:w="598" w:type="pct"/>
          </w:tcPr>
          <w:p w:rsidR="003A12E6" w:rsidRPr="009F1A25" w:rsidRDefault="003A12E6" w:rsidP="00D117CD">
            <w:pPr>
              <w:pStyle w:val="TableText"/>
              <w:keepNext/>
              <w:keepLines/>
              <w:jc w:val="center"/>
            </w:pPr>
            <w:r w:rsidRPr="009F1A25">
              <w:t>0</w:t>
            </w:r>
          </w:p>
        </w:tc>
        <w:tc>
          <w:tcPr>
            <w:tcW w:w="827" w:type="pct"/>
          </w:tcPr>
          <w:p w:rsidR="003A12E6" w:rsidRPr="009F1A25" w:rsidRDefault="003A12E6" w:rsidP="00D117CD">
            <w:pPr>
              <w:pStyle w:val="TableText"/>
              <w:keepNext/>
              <w:keepLines/>
              <w:jc w:val="center"/>
            </w:pPr>
            <w:r w:rsidRPr="009F1A25">
              <w:t>8 (4)</w:t>
            </w:r>
          </w:p>
        </w:tc>
        <w:tc>
          <w:tcPr>
            <w:tcW w:w="833" w:type="pct"/>
          </w:tcPr>
          <w:p w:rsidR="003A12E6" w:rsidRPr="009F1A25" w:rsidRDefault="003A12E6" w:rsidP="00D117CD">
            <w:pPr>
              <w:pStyle w:val="TableText"/>
              <w:keepNext/>
              <w:keepLines/>
              <w:jc w:val="center"/>
            </w:pPr>
            <w:r w:rsidRPr="009F1A25">
              <w:t>0</w:t>
            </w:r>
          </w:p>
        </w:tc>
      </w:tr>
      <w:tr w:rsidR="003A12E6" w:rsidRPr="009F1A25" w:rsidTr="00F37B89">
        <w:tc>
          <w:tcPr>
            <w:tcW w:w="1981" w:type="pct"/>
          </w:tcPr>
          <w:p w:rsidR="003A12E6" w:rsidRPr="009F1A25" w:rsidRDefault="003A12E6" w:rsidP="00D117CD">
            <w:pPr>
              <w:pStyle w:val="TableText"/>
              <w:keepNext/>
              <w:keepLines/>
            </w:pPr>
            <w:r w:rsidRPr="009F1A25">
              <w:t>Melanoma</w:t>
            </w:r>
          </w:p>
        </w:tc>
        <w:tc>
          <w:tcPr>
            <w:tcW w:w="761" w:type="pct"/>
          </w:tcPr>
          <w:p w:rsidR="003A12E6" w:rsidRPr="009F1A25" w:rsidRDefault="003A12E6" w:rsidP="00D117CD">
            <w:pPr>
              <w:pStyle w:val="TableText"/>
              <w:keepNext/>
              <w:keepLines/>
              <w:jc w:val="center"/>
            </w:pPr>
            <w:r w:rsidRPr="009F1A25">
              <w:t>7 (4)</w:t>
            </w:r>
          </w:p>
        </w:tc>
        <w:tc>
          <w:tcPr>
            <w:tcW w:w="598" w:type="pct"/>
          </w:tcPr>
          <w:p w:rsidR="003A12E6" w:rsidRPr="009F1A25" w:rsidRDefault="003A12E6" w:rsidP="00D117CD">
            <w:pPr>
              <w:pStyle w:val="TableText"/>
              <w:keepNext/>
              <w:keepLines/>
              <w:jc w:val="center"/>
            </w:pPr>
            <w:r w:rsidRPr="009F1A25">
              <w:t>0</w:t>
            </w:r>
          </w:p>
        </w:tc>
        <w:tc>
          <w:tcPr>
            <w:tcW w:w="827" w:type="pct"/>
          </w:tcPr>
          <w:p w:rsidR="003A12E6" w:rsidRPr="009F1A25" w:rsidRDefault="003A12E6" w:rsidP="00D117CD">
            <w:pPr>
              <w:pStyle w:val="TableText"/>
              <w:keepNext/>
              <w:keepLines/>
              <w:jc w:val="center"/>
            </w:pPr>
            <w:r w:rsidRPr="009F1A25">
              <w:t>7 (3)</w:t>
            </w:r>
          </w:p>
        </w:tc>
        <w:tc>
          <w:tcPr>
            <w:tcW w:w="833" w:type="pct"/>
          </w:tcPr>
          <w:p w:rsidR="003A12E6" w:rsidRPr="009F1A25" w:rsidRDefault="003A12E6" w:rsidP="00D117CD">
            <w:pPr>
              <w:pStyle w:val="TableText"/>
              <w:keepNext/>
              <w:keepLines/>
              <w:jc w:val="center"/>
            </w:pPr>
            <w:r w:rsidRPr="009F1A25">
              <w:t>0</w:t>
            </w:r>
          </w:p>
        </w:tc>
      </w:tr>
      <w:tr w:rsidR="003A12E6" w:rsidRPr="009F1A25" w:rsidTr="00F37B89">
        <w:tc>
          <w:tcPr>
            <w:tcW w:w="1981" w:type="pct"/>
          </w:tcPr>
          <w:p w:rsidR="003A12E6" w:rsidRPr="009F1A25" w:rsidRDefault="003A12E6" w:rsidP="00D117CD">
            <w:pPr>
              <w:pStyle w:val="TableText"/>
              <w:keepNext/>
              <w:keepLines/>
            </w:pPr>
            <w:r w:rsidRPr="009F1A25">
              <w:t>GIST</w:t>
            </w:r>
          </w:p>
        </w:tc>
        <w:tc>
          <w:tcPr>
            <w:tcW w:w="761" w:type="pct"/>
          </w:tcPr>
          <w:p w:rsidR="003A12E6" w:rsidRPr="009F1A25" w:rsidRDefault="003A12E6" w:rsidP="00D117CD">
            <w:pPr>
              <w:pStyle w:val="TableText"/>
              <w:keepNext/>
              <w:keepLines/>
              <w:jc w:val="center"/>
            </w:pPr>
            <w:r w:rsidRPr="009F1A25">
              <w:t>4 (2)</w:t>
            </w:r>
          </w:p>
        </w:tc>
        <w:tc>
          <w:tcPr>
            <w:tcW w:w="598" w:type="pct"/>
          </w:tcPr>
          <w:p w:rsidR="003A12E6" w:rsidRPr="009F1A25" w:rsidRDefault="003A12E6" w:rsidP="00D117CD">
            <w:pPr>
              <w:pStyle w:val="TableText"/>
              <w:keepNext/>
              <w:keepLines/>
              <w:jc w:val="center"/>
            </w:pPr>
            <w:r w:rsidRPr="009F1A25">
              <w:t>0</w:t>
            </w:r>
          </w:p>
        </w:tc>
        <w:tc>
          <w:tcPr>
            <w:tcW w:w="827" w:type="pct"/>
          </w:tcPr>
          <w:p w:rsidR="003A12E6" w:rsidRPr="009F1A25" w:rsidRDefault="003A12E6" w:rsidP="00D117CD">
            <w:pPr>
              <w:pStyle w:val="TableText"/>
              <w:keepNext/>
              <w:keepLines/>
              <w:jc w:val="center"/>
            </w:pPr>
            <w:r w:rsidRPr="009F1A25">
              <w:t>4 (2)</w:t>
            </w:r>
          </w:p>
        </w:tc>
        <w:tc>
          <w:tcPr>
            <w:tcW w:w="833" w:type="pct"/>
          </w:tcPr>
          <w:p w:rsidR="003A12E6" w:rsidRPr="009F1A25" w:rsidRDefault="003A12E6" w:rsidP="00D117CD">
            <w:pPr>
              <w:pStyle w:val="TableText"/>
              <w:keepNext/>
              <w:keepLines/>
              <w:jc w:val="center"/>
            </w:pPr>
            <w:r w:rsidRPr="009F1A25">
              <w:t>0</w:t>
            </w:r>
          </w:p>
        </w:tc>
      </w:tr>
      <w:tr w:rsidR="003A12E6" w:rsidRPr="009F1A25" w:rsidTr="00F37B89">
        <w:tc>
          <w:tcPr>
            <w:tcW w:w="1981" w:type="pct"/>
          </w:tcPr>
          <w:p w:rsidR="003A12E6" w:rsidRPr="009F1A25" w:rsidRDefault="003A12E6" w:rsidP="00D117CD">
            <w:pPr>
              <w:pStyle w:val="TableText"/>
              <w:keepNext/>
              <w:keepLines/>
            </w:pPr>
            <w:r w:rsidRPr="009F1A25">
              <w:t>Adult bone sarcoma</w:t>
            </w:r>
          </w:p>
        </w:tc>
        <w:tc>
          <w:tcPr>
            <w:tcW w:w="761" w:type="pct"/>
          </w:tcPr>
          <w:p w:rsidR="003A12E6" w:rsidRPr="009F1A25" w:rsidRDefault="003A12E6" w:rsidP="00D117CD">
            <w:pPr>
              <w:pStyle w:val="TableText"/>
              <w:keepNext/>
              <w:keepLines/>
              <w:jc w:val="center"/>
            </w:pPr>
            <w:r w:rsidRPr="009F1A25">
              <w:t>2 (1)</w:t>
            </w:r>
          </w:p>
        </w:tc>
        <w:tc>
          <w:tcPr>
            <w:tcW w:w="598" w:type="pct"/>
          </w:tcPr>
          <w:p w:rsidR="003A12E6" w:rsidRPr="009F1A25" w:rsidRDefault="003A12E6" w:rsidP="00D117CD">
            <w:pPr>
              <w:pStyle w:val="TableText"/>
              <w:keepNext/>
              <w:keepLines/>
              <w:jc w:val="center"/>
            </w:pPr>
            <w:r w:rsidRPr="009F1A25">
              <w:t>0</w:t>
            </w:r>
          </w:p>
        </w:tc>
        <w:tc>
          <w:tcPr>
            <w:tcW w:w="827" w:type="pct"/>
          </w:tcPr>
          <w:p w:rsidR="003A12E6" w:rsidRPr="009F1A25" w:rsidRDefault="003A12E6" w:rsidP="00D117CD">
            <w:pPr>
              <w:pStyle w:val="TableText"/>
              <w:keepNext/>
              <w:keepLines/>
              <w:jc w:val="center"/>
            </w:pPr>
            <w:r w:rsidRPr="009F1A25">
              <w:t>2 (1)</w:t>
            </w:r>
          </w:p>
        </w:tc>
        <w:tc>
          <w:tcPr>
            <w:tcW w:w="833" w:type="pct"/>
          </w:tcPr>
          <w:p w:rsidR="003A12E6" w:rsidRPr="009F1A25" w:rsidRDefault="003A12E6" w:rsidP="00D117CD">
            <w:pPr>
              <w:pStyle w:val="TableText"/>
              <w:keepNext/>
              <w:keepLines/>
              <w:jc w:val="center"/>
            </w:pPr>
            <w:r w:rsidRPr="009F1A25">
              <w:t>0</w:t>
            </w:r>
          </w:p>
        </w:tc>
      </w:tr>
      <w:tr w:rsidR="003A12E6" w:rsidRPr="009F1A25" w:rsidTr="00F37B89">
        <w:tc>
          <w:tcPr>
            <w:tcW w:w="1981" w:type="pct"/>
          </w:tcPr>
          <w:p w:rsidR="003A12E6" w:rsidRPr="009F1A25" w:rsidRDefault="003A12E6" w:rsidP="00D117CD">
            <w:pPr>
              <w:pStyle w:val="TableText"/>
              <w:keepNext/>
              <w:keepLines/>
            </w:pPr>
            <w:r w:rsidRPr="009F1A25">
              <w:t>Pancreas</w:t>
            </w:r>
          </w:p>
        </w:tc>
        <w:tc>
          <w:tcPr>
            <w:tcW w:w="761" w:type="pct"/>
          </w:tcPr>
          <w:p w:rsidR="003A12E6" w:rsidRPr="009F1A25" w:rsidRDefault="003A12E6" w:rsidP="00D117CD">
            <w:pPr>
              <w:pStyle w:val="TableText"/>
              <w:keepNext/>
              <w:keepLines/>
              <w:jc w:val="center"/>
            </w:pPr>
            <w:r w:rsidRPr="009F1A25">
              <w:t>2 (1)</w:t>
            </w:r>
          </w:p>
        </w:tc>
        <w:tc>
          <w:tcPr>
            <w:tcW w:w="598" w:type="pct"/>
          </w:tcPr>
          <w:p w:rsidR="003A12E6" w:rsidRPr="009F1A25" w:rsidRDefault="003A12E6" w:rsidP="00D117CD">
            <w:pPr>
              <w:pStyle w:val="TableText"/>
              <w:keepNext/>
              <w:keepLines/>
              <w:jc w:val="center"/>
            </w:pPr>
            <w:r w:rsidRPr="009F1A25">
              <w:t>0</w:t>
            </w:r>
          </w:p>
        </w:tc>
        <w:tc>
          <w:tcPr>
            <w:tcW w:w="827" w:type="pct"/>
          </w:tcPr>
          <w:p w:rsidR="003A12E6" w:rsidRPr="009F1A25" w:rsidRDefault="003A12E6" w:rsidP="00D117CD">
            <w:pPr>
              <w:pStyle w:val="TableText"/>
              <w:keepNext/>
              <w:keepLines/>
              <w:jc w:val="center"/>
            </w:pPr>
            <w:r w:rsidRPr="009F1A25">
              <w:t>2 (1)</w:t>
            </w:r>
          </w:p>
        </w:tc>
        <w:tc>
          <w:tcPr>
            <w:tcW w:w="833" w:type="pct"/>
          </w:tcPr>
          <w:p w:rsidR="003A12E6" w:rsidRPr="009F1A25" w:rsidRDefault="003A12E6" w:rsidP="00D117CD">
            <w:pPr>
              <w:pStyle w:val="TableText"/>
              <w:keepNext/>
              <w:keepLines/>
              <w:jc w:val="center"/>
            </w:pPr>
            <w:r w:rsidRPr="009F1A25">
              <w:t>0</w:t>
            </w:r>
          </w:p>
        </w:tc>
      </w:tr>
      <w:tr w:rsidR="003A12E6" w:rsidRPr="009F1A25" w:rsidTr="00F37B89">
        <w:tc>
          <w:tcPr>
            <w:tcW w:w="1981" w:type="pct"/>
          </w:tcPr>
          <w:p w:rsidR="003A12E6" w:rsidRPr="009F1A25" w:rsidRDefault="003A12E6" w:rsidP="00D117CD">
            <w:pPr>
              <w:pStyle w:val="TableText"/>
              <w:keepNext/>
              <w:keepLines/>
            </w:pPr>
            <w:r w:rsidRPr="009F1A25">
              <w:t>Cholangiocarcinoma</w:t>
            </w:r>
          </w:p>
        </w:tc>
        <w:tc>
          <w:tcPr>
            <w:tcW w:w="761" w:type="pct"/>
          </w:tcPr>
          <w:p w:rsidR="003A12E6" w:rsidRPr="009F1A25" w:rsidRDefault="003A12E6" w:rsidP="00D117CD">
            <w:pPr>
              <w:pStyle w:val="TableText"/>
              <w:keepNext/>
              <w:keepLines/>
              <w:jc w:val="center"/>
            </w:pPr>
            <w:r w:rsidRPr="009F1A25">
              <w:t>2 (1)</w:t>
            </w:r>
          </w:p>
        </w:tc>
        <w:tc>
          <w:tcPr>
            <w:tcW w:w="598" w:type="pct"/>
          </w:tcPr>
          <w:p w:rsidR="003A12E6" w:rsidRPr="009F1A25" w:rsidRDefault="003A12E6" w:rsidP="00D117CD">
            <w:pPr>
              <w:pStyle w:val="TableText"/>
              <w:keepNext/>
              <w:keepLines/>
              <w:jc w:val="center"/>
            </w:pPr>
            <w:r w:rsidRPr="009F1A25">
              <w:t>0</w:t>
            </w:r>
          </w:p>
        </w:tc>
        <w:tc>
          <w:tcPr>
            <w:tcW w:w="827" w:type="pct"/>
          </w:tcPr>
          <w:p w:rsidR="003A12E6" w:rsidRPr="009F1A25" w:rsidRDefault="003A12E6" w:rsidP="00D117CD">
            <w:pPr>
              <w:pStyle w:val="TableText"/>
              <w:keepNext/>
              <w:keepLines/>
              <w:jc w:val="center"/>
            </w:pPr>
            <w:r w:rsidRPr="009F1A25">
              <w:t>2 (1)</w:t>
            </w:r>
          </w:p>
        </w:tc>
        <w:tc>
          <w:tcPr>
            <w:tcW w:w="833" w:type="pct"/>
          </w:tcPr>
          <w:p w:rsidR="003A12E6" w:rsidRPr="009F1A25" w:rsidRDefault="003A12E6" w:rsidP="00D117CD">
            <w:pPr>
              <w:pStyle w:val="TableText"/>
              <w:keepNext/>
              <w:keepLines/>
              <w:jc w:val="center"/>
            </w:pPr>
            <w:r w:rsidRPr="009F1A25">
              <w:t>0</w:t>
            </w:r>
          </w:p>
        </w:tc>
      </w:tr>
      <w:tr w:rsidR="003A12E6" w:rsidRPr="009F1A25" w:rsidTr="00F37B89">
        <w:tc>
          <w:tcPr>
            <w:tcW w:w="1981" w:type="pct"/>
          </w:tcPr>
          <w:p w:rsidR="003A12E6" w:rsidRPr="009F1A25" w:rsidRDefault="003A12E6" w:rsidP="00F37B89">
            <w:pPr>
              <w:pStyle w:val="TableText"/>
            </w:pPr>
            <w:r w:rsidRPr="009F1A25">
              <w:t>Appendix</w:t>
            </w:r>
          </w:p>
        </w:tc>
        <w:tc>
          <w:tcPr>
            <w:tcW w:w="761" w:type="pct"/>
          </w:tcPr>
          <w:p w:rsidR="003A12E6" w:rsidRPr="009F1A25" w:rsidRDefault="003A12E6" w:rsidP="008C4E0E">
            <w:pPr>
              <w:pStyle w:val="TableText"/>
              <w:jc w:val="center"/>
            </w:pPr>
            <w:r w:rsidRPr="009F1A25">
              <w:t>1 (1)</w:t>
            </w:r>
          </w:p>
        </w:tc>
        <w:tc>
          <w:tcPr>
            <w:tcW w:w="598" w:type="pct"/>
          </w:tcPr>
          <w:p w:rsidR="003A12E6" w:rsidRPr="009F1A25" w:rsidRDefault="003A12E6" w:rsidP="008C4E0E">
            <w:pPr>
              <w:pStyle w:val="TableText"/>
              <w:jc w:val="center"/>
            </w:pPr>
            <w:r w:rsidRPr="009F1A25">
              <w:t>0</w:t>
            </w:r>
          </w:p>
        </w:tc>
        <w:tc>
          <w:tcPr>
            <w:tcW w:w="827" w:type="pct"/>
          </w:tcPr>
          <w:p w:rsidR="003A12E6" w:rsidRPr="009F1A25" w:rsidRDefault="003A12E6" w:rsidP="008C4E0E">
            <w:pPr>
              <w:pStyle w:val="TableText"/>
              <w:jc w:val="center"/>
            </w:pPr>
            <w:r w:rsidRPr="009F1A25">
              <w:t>1 (0)</w:t>
            </w:r>
          </w:p>
        </w:tc>
        <w:tc>
          <w:tcPr>
            <w:tcW w:w="833" w:type="pct"/>
          </w:tcPr>
          <w:p w:rsidR="003A12E6" w:rsidRPr="009F1A25" w:rsidRDefault="003A12E6" w:rsidP="008C4E0E">
            <w:pPr>
              <w:pStyle w:val="TableText"/>
              <w:jc w:val="center"/>
            </w:pPr>
            <w:r w:rsidRPr="009F1A25">
              <w:t>0</w:t>
            </w:r>
          </w:p>
        </w:tc>
      </w:tr>
      <w:tr w:rsidR="003A12E6" w:rsidRPr="009F1A25" w:rsidTr="00F37B89">
        <w:tc>
          <w:tcPr>
            <w:tcW w:w="1981" w:type="pct"/>
          </w:tcPr>
          <w:p w:rsidR="003A12E6" w:rsidRPr="009F1A25" w:rsidRDefault="003A12E6" w:rsidP="00F37B89">
            <w:pPr>
              <w:pStyle w:val="TableText"/>
            </w:pPr>
            <w:r w:rsidRPr="009F1A25">
              <w:t>Hepatic</w:t>
            </w:r>
          </w:p>
        </w:tc>
        <w:tc>
          <w:tcPr>
            <w:tcW w:w="761" w:type="pct"/>
          </w:tcPr>
          <w:p w:rsidR="003A12E6" w:rsidRPr="009F1A25" w:rsidRDefault="003A12E6" w:rsidP="008C4E0E">
            <w:pPr>
              <w:pStyle w:val="TableText"/>
              <w:jc w:val="center"/>
            </w:pPr>
            <w:r w:rsidRPr="009F1A25">
              <w:t>1 (1)</w:t>
            </w:r>
          </w:p>
        </w:tc>
        <w:tc>
          <w:tcPr>
            <w:tcW w:w="598" w:type="pct"/>
          </w:tcPr>
          <w:p w:rsidR="003A12E6" w:rsidRPr="009F1A25" w:rsidRDefault="003A12E6" w:rsidP="008C4E0E">
            <w:pPr>
              <w:pStyle w:val="TableText"/>
              <w:jc w:val="center"/>
            </w:pPr>
            <w:r w:rsidRPr="009F1A25">
              <w:t>0</w:t>
            </w:r>
          </w:p>
        </w:tc>
        <w:tc>
          <w:tcPr>
            <w:tcW w:w="827" w:type="pct"/>
          </w:tcPr>
          <w:p w:rsidR="003A12E6" w:rsidRPr="009F1A25" w:rsidRDefault="003A12E6" w:rsidP="008C4E0E">
            <w:pPr>
              <w:pStyle w:val="TableText"/>
              <w:jc w:val="center"/>
            </w:pPr>
            <w:r w:rsidRPr="009F1A25">
              <w:t>1 (0)</w:t>
            </w:r>
          </w:p>
        </w:tc>
        <w:tc>
          <w:tcPr>
            <w:tcW w:w="833" w:type="pct"/>
          </w:tcPr>
          <w:p w:rsidR="003A12E6" w:rsidRPr="009F1A25" w:rsidRDefault="003A12E6" w:rsidP="008C4E0E">
            <w:pPr>
              <w:pStyle w:val="TableText"/>
              <w:jc w:val="center"/>
            </w:pPr>
            <w:r w:rsidRPr="009F1A25">
              <w:t>0</w:t>
            </w:r>
          </w:p>
        </w:tc>
      </w:tr>
      <w:tr w:rsidR="003A12E6" w:rsidRPr="009F1A25" w:rsidTr="00F37B89">
        <w:tc>
          <w:tcPr>
            <w:tcW w:w="1981" w:type="pct"/>
          </w:tcPr>
          <w:p w:rsidR="003A12E6" w:rsidRPr="009F1A25" w:rsidRDefault="003A12E6" w:rsidP="00F37B89">
            <w:pPr>
              <w:pStyle w:val="TableText"/>
            </w:pPr>
            <w:r w:rsidRPr="009F1A25">
              <w:t>Cervix</w:t>
            </w:r>
          </w:p>
        </w:tc>
        <w:tc>
          <w:tcPr>
            <w:tcW w:w="761" w:type="pct"/>
          </w:tcPr>
          <w:p w:rsidR="003A12E6" w:rsidRPr="009F1A25" w:rsidRDefault="003A12E6" w:rsidP="008C4E0E">
            <w:pPr>
              <w:pStyle w:val="TableText"/>
              <w:jc w:val="center"/>
            </w:pPr>
            <w:r w:rsidRPr="009F1A25">
              <w:t>0</w:t>
            </w:r>
          </w:p>
        </w:tc>
        <w:tc>
          <w:tcPr>
            <w:tcW w:w="598" w:type="pct"/>
          </w:tcPr>
          <w:p w:rsidR="003A12E6" w:rsidRPr="009F1A25" w:rsidRDefault="003A12E6" w:rsidP="008C4E0E">
            <w:pPr>
              <w:pStyle w:val="TableText"/>
              <w:jc w:val="center"/>
            </w:pPr>
            <w:r w:rsidRPr="009F1A25">
              <w:t>0</w:t>
            </w:r>
          </w:p>
        </w:tc>
        <w:tc>
          <w:tcPr>
            <w:tcW w:w="827" w:type="pct"/>
          </w:tcPr>
          <w:p w:rsidR="003A12E6" w:rsidRPr="009F1A25" w:rsidRDefault="003A12E6" w:rsidP="008C4E0E">
            <w:pPr>
              <w:pStyle w:val="TableText"/>
              <w:jc w:val="center"/>
            </w:pPr>
            <w:r w:rsidRPr="009F1A25">
              <w:t>1 (0)</w:t>
            </w:r>
          </w:p>
        </w:tc>
        <w:tc>
          <w:tcPr>
            <w:tcW w:w="833" w:type="pct"/>
          </w:tcPr>
          <w:p w:rsidR="003A12E6" w:rsidRPr="009F1A25" w:rsidRDefault="003A12E6" w:rsidP="008C4E0E">
            <w:pPr>
              <w:pStyle w:val="TableText"/>
              <w:jc w:val="center"/>
            </w:pPr>
            <w:r w:rsidRPr="009F1A25">
              <w:t>0</w:t>
            </w:r>
          </w:p>
        </w:tc>
      </w:tr>
      <w:tr w:rsidR="003A12E6" w:rsidRPr="009F1A25" w:rsidTr="00F37B89">
        <w:tc>
          <w:tcPr>
            <w:tcW w:w="1981" w:type="pct"/>
          </w:tcPr>
          <w:p w:rsidR="003A12E6" w:rsidRPr="009F1A25" w:rsidRDefault="003A12E6" w:rsidP="00F37B89">
            <w:pPr>
              <w:pStyle w:val="TableText"/>
            </w:pPr>
            <w:r w:rsidRPr="009F1A25">
              <w:t>Prostate</w:t>
            </w:r>
          </w:p>
        </w:tc>
        <w:tc>
          <w:tcPr>
            <w:tcW w:w="761" w:type="pct"/>
          </w:tcPr>
          <w:p w:rsidR="003A12E6" w:rsidRPr="009F1A25" w:rsidRDefault="003A12E6" w:rsidP="008C4E0E">
            <w:pPr>
              <w:pStyle w:val="TableText"/>
              <w:jc w:val="center"/>
            </w:pPr>
            <w:r w:rsidRPr="009F1A25">
              <w:t>1 (1)</w:t>
            </w:r>
          </w:p>
        </w:tc>
        <w:tc>
          <w:tcPr>
            <w:tcW w:w="598" w:type="pct"/>
          </w:tcPr>
          <w:p w:rsidR="003A12E6" w:rsidRPr="009F1A25" w:rsidRDefault="003A12E6" w:rsidP="008C4E0E">
            <w:pPr>
              <w:pStyle w:val="TableText"/>
              <w:jc w:val="center"/>
            </w:pPr>
            <w:r w:rsidRPr="009F1A25">
              <w:t>0</w:t>
            </w:r>
          </w:p>
        </w:tc>
        <w:tc>
          <w:tcPr>
            <w:tcW w:w="827" w:type="pct"/>
          </w:tcPr>
          <w:p w:rsidR="003A12E6" w:rsidRPr="009F1A25" w:rsidRDefault="003A12E6" w:rsidP="008C4E0E">
            <w:pPr>
              <w:pStyle w:val="TableText"/>
              <w:jc w:val="center"/>
            </w:pPr>
            <w:r w:rsidRPr="009F1A25">
              <w:t>1 (0)</w:t>
            </w:r>
          </w:p>
        </w:tc>
        <w:tc>
          <w:tcPr>
            <w:tcW w:w="833" w:type="pct"/>
          </w:tcPr>
          <w:p w:rsidR="003A12E6" w:rsidRPr="009F1A25" w:rsidRDefault="003A12E6" w:rsidP="008C4E0E">
            <w:pPr>
              <w:pStyle w:val="TableText"/>
              <w:jc w:val="center"/>
            </w:pPr>
            <w:r w:rsidRPr="009F1A25">
              <w:t>0</w:t>
            </w:r>
          </w:p>
        </w:tc>
      </w:tr>
      <w:tr w:rsidR="003A12E6" w:rsidRPr="009F1A25" w:rsidTr="00F37B89">
        <w:tc>
          <w:tcPr>
            <w:tcW w:w="1981" w:type="pct"/>
          </w:tcPr>
          <w:p w:rsidR="003A12E6" w:rsidRPr="009F1A25" w:rsidRDefault="003A12E6" w:rsidP="00F37B89">
            <w:pPr>
              <w:pStyle w:val="TableText"/>
            </w:pPr>
            <w:r w:rsidRPr="009F1A25">
              <w:t>Adult CNS</w:t>
            </w:r>
            <w:r>
              <w:rPr>
                <w:vertAlign w:val="superscript"/>
              </w:rPr>
              <w:t>b</w:t>
            </w:r>
          </w:p>
        </w:tc>
        <w:tc>
          <w:tcPr>
            <w:tcW w:w="761" w:type="pct"/>
          </w:tcPr>
          <w:p w:rsidR="003A12E6" w:rsidRPr="009F1A25" w:rsidRDefault="003A12E6" w:rsidP="008C4E0E">
            <w:pPr>
              <w:pStyle w:val="TableText"/>
              <w:jc w:val="center"/>
            </w:pPr>
            <w:r w:rsidRPr="009F1A25">
              <w:t>0</w:t>
            </w:r>
          </w:p>
        </w:tc>
        <w:tc>
          <w:tcPr>
            <w:tcW w:w="598" w:type="pct"/>
          </w:tcPr>
          <w:p w:rsidR="003A12E6" w:rsidRPr="009F1A25" w:rsidRDefault="003A12E6" w:rsidP="008C4E0E">
            <w:pPr>
              <w:pStyle w:val="TableText"/>
              <w:jc w:val="center"/>
            </w:pPr>
            <w:r w:rsidRPr="009F1A25">
              <w:t>3 (12)</w:t>
            </w:r>
          </w:p>
        </w:tc>
        <w:tc>
          <w:tcPr>
            <w:tcW w:w="827" w:type="pct"/>
          </w:tcPr>
          <w:p w:rsidR="003A12E6" w:rsidRPr="009F1A25" w:rsidRDefault="003A12E6" w:rsidP="008C4E0E">
            <w:pPr>
              <w:pStyle w:val="TableText"/>
              <w:jc w:val="center"/>
            </w:pPr>
            <w:r w:rsidRPr="009F1A25">
              <w:t>0</w:t>
            </w:r>
          </w:p>
        </w:tc>
        <w:tc>
          <w:tcPr>
            <w:tcW w:w="833" w:type="pct"/>
          </w:tcPr>
          <w:p w:rsidR="003A12E6" w:rsidRPr="009F1A25" w:rsidRDefault="003A12E6" w:rsidP="008C4E0E">
            <w:pPr>
              <w:pStyle w:val="TableText"/>
              <w:jc w:val="center"/>
            </w:pPr>
            <w:r w:rsidRPr="009F1A25">
              <w:t>7 (21)</w:t>
            </w:r>
          </w:p>
        </w:tc>
      </w:tr>
      <w:tr w:rsidR="003A12E6" w:rsidRPr="009F1A25" w:rsidTr="00F37B89">
        <w:tc>
          <w:tcPr>
            <w:tcW w:w="5000" w:type="pct"/>
            <w:gridSpan w:val="5"/>
          </w:tcPr>
          <w:p w:rsidR="003A12E6" w:rsidRPr="00B65ECB" w:rsidRDefault="003A12E6" w:rsidP="008C4E0E">
            <w:pPr>
              <w:pStyle w:val="TableText"/>
              <w:rPr>
                <w:b/>
              </w:rPr>
            </w:pPr>
            <w:r w:rsidRPr="00B65ECB">
              <w:rPr>
                <w:b/>
              </w:rPr>
              <w:t xml:space="preserve">Paediatric high frequency </w:t>
            </w:r>
            <w:r w:rsidRPr="00623261">
              <w:rPr>
                <w:b/>
                <w:i/>
              </w:rPr>
              <w:t>NTRK</w:t>
            </w:r>
            <w:r w:rsidRPr="00B65ECB">
              <w:rPr>
                <w:b/>
              </w:rPr>
              <w:t xml:space="preserve"> tumours</w:t>
            </w:r>
          </w:p>
        </w:tc>
      </w:tr>
      <w:tr w:rsidR="003A12E6" w:rsidRPr="009F1A25" w:rsidTr="00F37B89">
        <w:tc>
          <w:tcPr>
            <w:tcW w:w="1981" w:type="pct"/>
          </w:tcPr>
          <w:p w:rsidR="003A12E6" w:rsidRPr="009F1A25" w:rsidRDefault="003A12E6" w:rsidP="00F37B89">
            <w:pPr>
              <w:pStyle w:val="TableText"/>
            </w:pPr>
            <w:r w:rsidRPr="009F1A25">
              <w:t>Infantile fibrosarcoma</w:t>
            </w:r>
          </w:p>
        </w:tc>
        <w:tc>
          <w:tcPr>
            <w:tcW w:w="761" w:type="pct"/>
          </w:tcPr>
          <w:p w:rsidR="003A12E6" w:rsidRPr="009F1A25" w:rsidRDefault="003A12E6" w:rsidP="008C4E0E">
            <w:pPr>
              <w:pStyle w:val="TableText"/>
              <w:jc w:val="center"/>
            </w:pPr>
            <w:r w:rsidRPr="009F1A25">
              <w:t>32 (20)</w:t>
            </w:r>
          </w:p>
        </w:tc>
        <w:tc>
          <w:tcPr>
            <w:tcW w:w="598" w:type="pct"/>
          </w:tcPr>
          <w:p w:rsidR="003A12E6" w:rsidRPr="009F1A25" w:rsidRDefault="003A12E6" w:rsidP="008C4E0E">
            <w:pPr>
              <w:pStyle w:val="TableText"/>
              <w:jc w:val="center"/>
            </w:pPr>
            <w:r w:rsidRPr="009F1A25">
              <w:t>0</w:t>
            </w:r>
          </w:p>
        </w:tc>
        <w:tc>
          <w:tcPr>
            <w:tcW w:w="827" w:type="pct"/>
          </w:tcPr>
          <w:p w:rsidR="003A12E6" w:rsidRPr="009F1A25" w:rsidRDefault="003A12E6" w:rsidP="008C4E0E">
            <w:pPr>
              <w:pStyle w:val="TableText"/>
              <w:jc w:val="center"/>
            </w:pPr>
            <w:r w:rsidRPr="009F1A25">
              <w:t>40 (18)</w:t>
            </w:r>
          </w:p>
        </w:tc>
        <w:tc>
          <w:tcPr>
            <w:tcW w:w="833" w:type="pct"/>
          </w:tcPr>
          <w:p w:rsidR="003A12E6" w:rsidRPr="009F1A25" w:rsidRDefault="003A12E6" w:rsidP="008C4E0E">
            <w:pPr>
              <w:pStyle w:val="TableText"/>
              <w:jc w:val="center"/>
            </w:pPr>
            <w:r w:rsidRPr="009F1A25">
              <w:t>0</w:t>
            </w:r>
          </w:p>
        </w:tc>
      </w:tr>
      <w:tr w:rsidR="003A12E6" w:rsidRPr="009F1A25" w:rsidTr="00F37B89">
        <w:tc>
          <w:tcPr>
            <w:tcW w:w="1981" w:type="pct"/>
          </w:tcPr>
          <w:p w:rsidR="003A12E6" w:rsidRPr="009F1A25" w:rsidRDefault="003A12E6" w:rsidP="00F37B89">
            <w:pPr>
              <w:pStyle w:val="TableText"/>
            </w:pPr>
            <w:r w:rsidRPr="009F1A25">
              <w:t>Congenital mesoblastic nephroma</w:t>
            </w:r>
          </w:p>
        </w:tc>
        <w:tc>
          <w:tcPr>
            <w:tcW w:w="761" w:type="pct"/>
          </w:tcPr>
          <w:p w:rsidR="003A12E6" w:rsidRPr="009F1A25" w:rsidRDefault="003A12E6" w:rsidP="008C4E0E">
            <w:pPr>
              <w:pStyle w:val="TableText"/>
              <w:jc w:val="center"/>
            </w:pPr>
            <w:r w:rsidRPr="009F1A25">
              <w:t>1 (1)</w:t>
            </w:r>
          </w:p>
        </w:tc>
        <w:tc>
          <w:tcPr>
            <w:tcW w:w="598" w:type="pct"/>
          </w:tcPr>
          <w:p w:rsidR="003A12E6" w:rsidRPr="009F1A25" w:rsidRDefault="003A12E6" w:rsidP="008C4E0E">
            <w:pPr>
              <w:pStyle w:val="TableText"/>
              <w:jc w:val="center"/>
            </w:pPr>
            <w:r w:rsidRPr="009F1A25">
              <w:t>0</w:t>
            </w:r>
          </w:p>
        </w:tc>
        <w:tc>
          <w:tcPr>
            <w:tcW w:w="827" w:type="pct"/>
          </w:tcPr>
          <w:p w:rsidR="003A12E6" w:rsidRPr="009F1A25" w:rsidRDefault="003A12E6" w:rsidP="008C4E0E">
            <w:pPr>
              <w:pStyle w:val="TableText"/>
              <w:jc w:val="center"/>
            </w:pPr>
            <w:r w:rsidRPr="009F1A25">
              <w:t>2 (1)</w:t>
            </w:r>
          </w:p>
        </w:tc>
        <w:tc>
          <w:tcPr>
            <w:tcW w:w="833" w:type="pct"/>
          </w:tcPr>
          <w:p w:rsidR="003A12E6" w:rsidRPr="009F1A25" w:rsidRDefault="003A12E6" w:rsidP="008C4E0E">
            <w:pPr>
              <w:pStyle w:val="TableText"/>
              <w:jc w:val="center"/>
            </w:pPr>
            <w:r w:rsidRPr="009F1A25">
              <w:t>0</w:t>
            </w:r>
          </w:p>
        </w:tc>
      </w:tr>
      <w:tr w:rsidR="003A12E6" w:rsidRPr="009F1A25" w:rsidTr="00F37B89">
        <w:tc>
          <w:tcPr>
            <w:tcW w:w="1981" w:type="pct"/>
          </w:tcPr>
          <w:p w:rsidR="003A12E6" w:rsidRPr="00B65ECB" w:rsidRDefault="003A12E6" w:rsidP="00F37B89">
            <w:pPr>
              <w:pStyle w:val="TableText"/>
              <w:rPr>
                <w:vertAlign w:val="superscript"/>
              </w:rPr>
            </w:pPr>
            <w:r w:rsidRPr="009F1A25">
              <w:t>Paediatric soft tissue sarcoma (proxy)</w:t>
            </w:r>
            <w:r>
              <w:rPr>
                <w:vertAlign w:val="superscript"/>
              </w:rPr>
              <w:t>c</w:t>
            </w:r>
          </w:p>
        </w:tc>
        <w:tc>
          <w:tcPr>
            <w:tcW w:w="761" w:type="pct"/>
          </w:tcPr>
          <w:p w:rsidR="003A12E6" w:rsidRPr="009F1A25" w:rsidRDefault="003A12E6" w:rsidP="008C4E0E">
            <w:pPr>
              <w:pStyle w:val="TableText"/>
              <w:jc w:val="center"/>
            </w:pPr>
            <w:r w:rsidRPr="009F1A25">
              <w:t>19 (12)</w:t>
            </w:r>
          </w:p>
        </w:tc>
        <w:tc>
          <w:tcPr>
            <w:tcW w:w="598" w:type="pct"/>
          </w:tcPr>
          <w:p w:rsidR="003A12E6" w:rsidRPr="009F1A25" w:rsidRDefault="003A12E6" w:rsidP="008C4E0E">
            <w:pPr>
              <w:pStyle w:val="TableText"/>
              <w:jc w:val="center"/>
            </w:pPr>
            <w:r w:rsidRPr="009F1A25">
              <w:t>0</w:t>
            </w:r>
          </w:p>
        </w:tc>
        <w:tc>
          <w:tcPr>
            <w:tcW w:w="827" w:type="pct"/>
          </w:tcPr>
          <w:p w:rsidR="003A12E6" w:rsidRPr="009F1A25" w:rsidRDefault="003A12E6" w:rsidP="008C4E0E">
            <w:pPr>
              <w:pStyle w:val="TableText"/>
              <w:jc w:val="center"/>
            </w:pPr>
            <w:r w:rsidRPr="009F1A25">
              <w:t>25 (11)</w:t>
            </w:r>
          </w:p>
        </w:tc>
        <w:tc>
          <w:tcPr>
            <w:tcW w:w="833" w:type="pct"/>
          </w:tcPr>
          <w:p w:rsidR="003A12E6" w:rsidRPr="009F1A25" w:rsidRDefault="003A12E6" w:rsidP="008C4E0E">
            <w:pPr>
              <w:pStyle w:val="TableText"/>
              <w:jc w:val="center"/>
            </w:pPr>
            <w:r w:rsidRPr="009F1A25">
              <w:t>0</w:t>
            </w:r>
          </w:p>
        </w:tc>
      </w:tr>
      <w:tr w:rsidR="003A12E6" w:rsidRPr="009F1A25" w:rsidTr="00F37B89">
        <w:tc>
          <w:tcPr>
            <w:tcW w:w="3340" w:type="pct"/>
            <w:gridSpan w:val="3"/>
          </w:tcPr>
          <w:p w:rsidR="003A12E6" w:rsidRPr="00B65ECB" w:rsidRDefault="003A12E6" w:rsidP="008C4E0E">
            <w:pPr>
              <w:pStyle w:val="TableText"/>
              <w:rPr>
                <w:b/>
              </w:rPr>
            </w:pPr>
            <w:r w:rsidRPr="00B65ECB">
              <w:rPr>
                <w:b/>
              </w:rPr>
              <w:t xml:space="preserve">Paediatric low frequency </w:t>
            </w:r>
            <w:r w:rsidRPr="00623261">
              <w:rPr>
                <w:b/>
                <w:i/>
              </w:rPr>
              <w:t>NTRK</w:t>
            </w:r>
            <w:r w:rsidRPr="00B65ECB">
              <w:rPr>
                <w:b/>
              </w:rPr>
              <w:t xml:space="preserve"> tumours</w:t>
            </w:r>
          </w:p>
        </w:tc>
        <w:tc>
          <w:tcPr>
            <w:tcW w:w="827" w:type="pct"/>
          </w:tcPr>
          <w:p w:rsidR="003A12E6" w:rsidRPr="009F1A25" w:rsidRDefault="003A12E6" w:rsidP="008C4E0E">
            <w:pPr>
              <w:pStyle w:val="TableText"/>
              <w:jc w:val="center"/>
            </w:pPr>
          </w:p>
        </w:tc>
        <w:tc>
          <w:tcPr>
            <w:tcW w:w="833" w:type="pct"/>
          </w:tcPr>
          <w:p w:rsidR="003A12E6" w:rsidRPr="009F1A25" w:rsidRDefault="003A12E6" w:rsidP="008C4E0E">
            <w:pPr>
              <w:pStyle w:val="TableText"/>
              <w:jc w:val="center"/>
            </w:pPr>
          </w:p>
        </w:tc>
      </w:tr>
      <w:tr w:rsidR="003A12E6" w:rsidRPr="009F1A25" w:rsidTr="00F37B89">
        <w:tc>
          <w:tcPr>
            <w:tcW w:w="1981" w:type="pct"/>
          </w:tcPr>
          <w:p w:rsidR="003A12E6" w:rsidRPr="009F1A25" w:rsidRDefault="003A12E6" w:rsidP="00F37B89">
            <w:pPr>
              <w:pStyle w:val="TableText"/>
            </w:pPr>
            <w:r w:rsidRPr="009F1A25">
              <w:t xml:space="preserve">Paediatric bone sarcoma </w:t>
            </w:r>
          </w:p>
        </w:tc>
        <w:tc>
          <w:tcPr>
            <w:tcW w:w="761" w:type="pct"/>
          </w:tcPr>
          <w:p w:rsidR="003A12E6" w:rsidRPr="009F1A25" w:rsidRDefault="003A12E6" w:rsidP="008C4E0E">
            <w:pPr>
              <w:pStyle w:val="TableText"/>
              <w:jc w:val="center"/>
            </w:pPr>
            <w:r w:rsidRPr="009F1A25">
              <w:t>0</w:t>
            </w:r>
          </w:p>
        </w:tc>
        <w:tc>
          <w:tcPr>
            <w:tcW w:w="598" w:type="pct"/>
          </w:tcPr>
          <w:p w:rsidR="003A12E6" w:rsidRPr="009F1A25" w:rsidRDefault="003A12E6" w:rsidP="008C4E0E">
            <w:pPr>
              <w:pStyle w:val="TableText"/>
              <w:jc w:val="center"/>
            </w:pPr>
            <w:r w:rsidRPr="009F1A25">
              <w:t>0</w:t>
            </w:r>
          </w:p>
        </w:tc>
        <w:tc>
          <w:tcPr>
            <w:tcW w:w="827" w:type="pct"/>
          </w:tcPr>
          <w:p w:rsidR="003A12E6" w:rsidRPr="009F1A25" w:rsidRDefault="003A12E6" w:rsidP="008C4E0E">
            <w:pPr>
              <w:pStyle w:val="TableText"/>
              <w:jc w:val="center"/>
            </w:pPr>
            <w:r w:rsidRPr="009F1A25">
              <w:t>0 (0)</w:t>
            </w:r>
          </w:p>
        </w:tc>
        <w:tc>
          <w:tcPr>
            <w:tcW w:w="833" w:type="pct"/>
          </w:tcPr>
          <w:p w:rsidR="003A12E6" w:rsidRPr="009F1A25" w:rsidRDefault="003A12E6" w:rsidP="008C4E0E">
            <w:pPr>
              <w:pStyle w:val="TableText"/>
              <w:jc w:val="center"/>
            </w:pPr>
            <w:r w:rsidRPr="009F1A25">
              <w:t>0</w:t>
            </w:r>
          </w:p>
        </w:tc>
      </w:tr>
      <w:tr w:rsidR="003A12E6" w:rsidRPr="009F1A25" w:rsidTr="00F37B89">
        <w:tc>
          <w:tcPr>
            <w:tcW w:w="1981" w:type="pct"/>
          </w:tcPr>
          <w:p w:rsidR="003A12E6" w:rsidRPr="009F1A25" w:rsidRDefault="003A12E6" w:rsidP="00F37B89">
            <w:pPr>
              <w:pStyle w:val="TableText"/>
            </w:pPr>
            <w:r w:rsidRPr="009F1A25">
              <w:t>Paediatric CNS</w:t>
            </w:r>
            <w:r>
              <w:rPr>
                <w:vertAlign w:val="superscript"/>
              </w:rPr>
              <w:t>b</w:t>
            </w:r>
          </w:p>
        </w:tc>
        <w:tc>
          <w:tcPr>
            <w:tcW w:w="761" w:type="pct"/>
          </w:tcPr>
          <w:p w:rsidR="003A12E6" w:rsidRPr="009F1A25" w:rsidRDefault="003A12E6" w:rsidP="008C4E0E">
            <w:pPr>
              <w:pStyle w:val="TableText"/>
              <w:jc w:val="center"/>
            </w:pPr>
            <w:r w:rsidRPr="009F1A25">
              <w:t>0</w:t>
            </w:r>
          </w:p>
        </w:tc>
        <w:tc>
          <w:tcPr>
            <w:tcW w:w="598" w:type="pct"/>
          </w:tcPr>
          <w:p w:rsidR="003A12E6" w:rsidRPr="009F1A25" w:rsidRDefault="003A12E6" w:rsidP="008C4E0E">
            <w:pPr>
              <w:pStyle w:val="TableText"/>
              <w:jc w:val="center"/>
            </w:pPr>
            <w:r w:rsidRPr="009F1A25">
              <w:t>21 (88)</w:t>
            </w:r>
          </w:p>
        </w:tc>
        <w:tc>
          <w:tcPr>
            <w:tcW w:w="827" w:type="pct"/>
          </w:tcPr>
          <w:p w:rsidR="003A12E6" w:rsidRPr="009F1A25" w:rsidRDefault="003A12E6" w:rsidP="008C4E0E">
            <w:pPr>
              <w:pStyle w:val="TableText"/>
              <w:jc w:val="center"/>
            </w:pPr>
            <w:r w:rsidRPr="009F1A25">
              <w:t>0 (0)</w:t>
            </w:r>
          </w:p>
        </w:tc>
        <w:tc>
          <w:tcPr>
            <w:tcW w:w="833" w:type="pct"/>
          </w:tcPr>
          <w:p w:rsidR="003A12E6" w:rsidRPr="009F1A25" w:rsidRDefault="003A12E6" w:rsidP="008C4E0E">
            <w:pPr>
              <w:pStyle w:val="TableText"/>
              <w:jc w:val="center"/>
            </w:pPr>
            <w:r w:rsidRPr="009F1A25">
              <w:t>26 (76)</w:t>
            </w:r>
          </w:p>
        </w:tc>
      </w:tr>
      <w:tr w:rsidR="003A12E6" w:rsidRPr="009F1A25" w:rsidTr="00F37B89">
        <w:tc>
          <w:tcPr>
            <w:tcW w:w="5000" w:type="pct"/>
            <w:gridSpan w:val="5"/>
          </w:tcPr>
          <w:p w:rsidR="003A12E6" w:rsidRPr="00992B2E" w:rsidRDefault="003A12E6" w:rsidP="008C4E0E">
            <w:pPr>
              <w:pStyle w:val="TableText"/>
              <w:rPr>
                <w:b/>
              </w:rPr>
            </w:pPr>
            <w:r w:rsidRPr="00992B2E">
              <w:rPr>
                <w:b/>
              </w:rPr>
              <w:t>Other</w:t>
            </w:r>
          </w:p>
        </w:tc>
      </w:tr>
      <w:tr w:rsidR="003A12E6" w:rsidRPr="009F1A25" w:rsidTr="00F37B89">
        <w:tc>
          <w:tcPr>
            <w:tcW w:w="1981" w:type="pct"/>
          </w:tcPr>
          <w:p w:rsidR="003A12E6" w:rsidRPr="009F1A25" w:rsidRDefault="003A12E6" w:rsidP="00F37B89">
            <w:pPr>
              <w:pStyle w:val="TableText"/>
            </w:pPr>
            <w:r w:rsidRPr="009F1A25">
              <w:t>Cancer of unknown primary</w:t>
            </w:r>
          </w:p>
        </w:tc>
        <w:tc>
          <w:tcPr>
            <w:tcW w:w="761" w:type="pct"/>
          </w:tcPr>
          <w:p w:rsidR="003A12E6" w:rsidRPr="009F1A25" w:rsidRDefault="003A12E6" w:rsidP="008C4E0E">
            <w:pPr>
              <w:pStyle w:val="TableText"/>
              <w:jc w:val="center"/>
            </w:pPr>
            <w:r w:rsidRPr="009F1A25">
              <w:t>1 (1)</w:t>
            </w:r>
          </w:p>
        </w:tc>
        <w:tc>
          <w:tcPr>
            <w:tcW w:w="598" w:type="pct"/>
          </w:tcPr>
          <w:p w:rsidR="003A12E6" w:rsidRPr="009F1A25" w:rsidRDefault="003A12E6" w:rsidP="008C4E0E">
            <w:pPr>
              <w:pStyle w:val="TableText"/>
              <w:jc w:val="center"/>
            </w:pPr>
            <w:r w:rsidRPr="009F1A25">
              <w:t>0</w:t>
            </w:r>
          </w:p>
        </w:tc>
        <w:tc>
          <w:tcPr>
            <w:tcW w:w="827" w:type="pct"/>
          </w:tcPr>
          <w:p w:rsidR="003A12E6" w:rsidRPr="009F1A25" w:rsidRDefault="003A12E6" w:rsidP="008C4E0E">
            <w:pPr>
              <w:pStyle w:val="TableText"/>
              <w:jc w:val="center"/>
            </w:pPr>
            <w:r w:rsidRPr="009F1A25">
              <w:t>1 (0)</w:t>
            </w:r>
          </w:p>
        </w:tc>
        <w:tc>
          <w:tcPr>
            <w:tcW w:w="833" w:type="pct"/>
          </w:tcPr>
          <w:p w:rsidR="003A12E6" w:rsidRPr="009F1A25" w:rsidRDefault="003A12E6" w:rsidP="008C4E0E">
            <w:pPr>
              <w:pStyle w:val="TableText"/>
              <w:jc w:val="center"/>
            </w:pPr>
            <w:r w:rsidRPr="009F1A25">
              <w:t>0</w:t>
            </w:r>
          </w:p>
        </w:tc>
      </w:tr>
    </w:tbl>
    <w:p w:rsidR="003A12E6" w:rsidRPr="003A12E6" w:rsidRDefault="003A12E6" w:rsidP="003A12E6">
      <w:pPr>
        <w:pStyle w:val="TableFooter"/>
      </w:pPr>
      <w:r w:rsidRPr="003A12E6">
        <w:t>Source: Table 2.75, p225 of the resubmission.</w:t>
      </w:r>
    </w:p>
    <w:p w:rsidR="003A12E6" w:rsidRPr="003A12E6" w:rsidRDefault="003A12E6" w:rsidP="003A12E6">
      <w:pPr>
        <w:pStyle w:val="TableFooter"/>
      </w:pPr>
      <w:r w:rsidRPr="003A12E6">
        <w:rPr>
          <w:vertAlign w:val="superscript"/>
        </w:rPr>
        <w:t>a</w:t>
      </w:r>
      <w:r w:rsidRPr="003A12E6">
        <w:t xml:space="preserve">There were some inconsistencies in the number of patients with salivary gland tumours from the data in the resubmission: 22 in this table for ePAS5 (source Table 2.75, p225 of the resubmission), 25 (5 from LOXO-001 and 20 from NAVIGATE) in </w:t>
      </w:r>
      <w:r w:rsidR="00796D25" w:rsidRPr="00615F95">
        <w:t xml:space="preserve">Table </w:t>
      </w:r>
      <w:r w:rsidR="00796D25">
        <w:t>129</w:t>
      </w:r>
      <w:r w:rsidRPr="003A12E6">
        <w:t xml:space="preserve"> of the Commentary (sources interim CSRs for LOXO-001 (Table 14.1.5.1, p17 of CSR “Cancer History by Dose Level”, July 2020 </w:t>
      </w:r>
      <w:r w:rsidR="006D66BE" w:rsidRPr="003A12E6">
        <w:t>cut-off</w:t>
      </w:r>
      <w:r w:rsidRPr="003A12E6">
        <w:t xml:space="preserve">) and NAVIGATE (Cohort 5, Table 14.1.2.1, July 2020 data </w:t>
      </w:r>
      <w:r w:rsidR="006D66BE" w:rsidRPr="003A12E6">
        <w:t>cut-off</w:t>
      </w:r>
      <w:r w:rsidRPr="003A12E6">
        <w:t>) and 23 in the indirect comparison (Table 2.143, p348 of the resubmission).</w:t>
      </w:r>
    </w:p>
    <w:p w:rsidR="003A12E6" w:rsidRPr="003A12E6" w:rsidRDefault="003A12E6" w:rsidP="003A12E6">
      <w:pPr>
        <w:pStyle w:val="TableFooter"/>
      </w:pPr>
      <w:r w:rsidRPr="003A12E6">
        <w:rPr>
          <w:vertAlign w:val="superscript"/>
        </w:rPr>
        <w:t>b</w:t>
      </w:r>
      <w:r w:rsidRPr="003A12E6">
        <w:t>Glioblastoma was the most prevalent subtype in patients with primary CNS tumour (n=7). This informed the comparator choice for CNS tumours in the resubmission</w:t>
      </w:r>
    </w:p>
    <w:p w:rsidR="003A12E6" w:rsidRPr="003A12E6" w:rsidRDefault="003A12E6" w:rsidP="003A12E6">
      <w:pPr>
        <w:pStyle w:val="TableFooter"/>
      </w:pPr>
      <w:r w:rsidRPr="003A12E6">
        <w:rPr>
          <w:vertAlign w:val="superscript"/>
        </w:rPr>
        <w:t>c</w:t>
      </w:r>
      <w:r w:rsidRPr="003A12E6">
        <w:t>Proxy as these tumours are actually low frequency tumours. As there were no comparator data for IFS, and only 2 patients with congenital mesoblastic nephroma, STS was included in this group as a proxy.</w:t>
      </w:r>
    </w:p>
    <w:p w:rsidR="003A12E6" w:rsidRPr="003A12E6" w:rsidRDefault="003A12E6" w:rsidP="003A12E6">
      <w:pPr>
        <w:pStyle w:val="TableFooter"/>
      </w:pPr>
      <w:r w:rsidRPr="003A12E6">
        <w:t xml:space="preserve">Notes: High frequency </w:t>
      </w:r>
      <w:r w:rsidRPr="00623261">
        <w:rPr>
          <w:i/>
        </w:rPr>
        <w:t>NTRK</w:t>
      </w:r>
      <w:r w:rsidRPr="003A12E6">
        <w:t xml:space="preserve"> refer to cancer histologies where </w:t>
      </w:r>
      <w:r w:rsidRPr="00623261">
        <w:rPr>
          <w:i/>
        </w:rPr>
        <w:t>NTRK</w:t>
      </w:r>
      <w:r w:rsidRPr="003A12E6">
        <w:t xml:space="preserve"> fusion occurs in ≥75% of cancers of that histology. All other tumours, where </w:t>
      </w:r>
      <w:r w:rsidRPr="00623261">
        <w:rPr>
          <w:i/>
        </w:rPr>
        <w:t>NTRK</w:t>
      </w:r>
      <w:r w:rsidRPr="003A12E6">
        <w:t xml:space="preserve"> frequency occur at frequencies below 75% are described as low frequency.</w:t>
      </w:r>
    </w:p>
    <w:p w:rsidR="003A12E6" w:rsidRPr="003A12E6" w:rsidRDefault="003A12E6" w:rsidP="003A12E6">
      <w:pPr>
        <w:pStyle w:val="TableFooter"/>
      </w:pPr>
      <w:r w:rsidRPr="003A12E6">
        <w:t>CNS</w:t>
      </w:r>
      <w:r w:rsidR="006A679E">
        <w:rPr>
          <w:lang w:eastAsia="en-AU"/>
        </w:rPr>
        <w:t xml:space="preserve"> =</w:t>
      </w:r>
      <w:r w:rsidR="006A679E" w:rsidRPr="00FB6FEE">
        <w:rPr>
          <w:lang w:eastAsia="en-AU"/>
        </w:rPr>
        <w:t xml:space="preserve"> </w:t>
      </w:r>
      <w:r w:rsidRPr="003A12E6">
        <w:t>central nervous system; GIST</w:t>
      </w:r>
      <w:r w:rsidR="006A679E">
        <w:rPr>
          <w:lang w:eastAsia="en-AU"/>
        </w:rPr>
        <w:t xml:space="preserve"> =</w:t>
      </w:r>
      <w:r w:rsidR="006A679E" w:rsidRPr="00FB6FEE">
        <w:rPr>
          <w:lang w:eastAsia="en-AU"/>
        </w:rPr>
        <w:t xml:space="preserve"> </w:t>
      </w:r>
      <w:r w:rsidRPr="003A12E6">
        <w:t>gastrointestinal stromal tumour; MASC</w:t>
      </w:r>
      <w:r w:rsidR="006A679E">
        <w:rPr>
          <w:lang w:eastAsia="en-AU"/>
        </w:rPr>
        <w:t xml:space="preserve"> =</w:t>
      </w:r>
      <w:r w:rsidR="006A679E" w:rsidRPr="00FB6FEE">
        <w:rPr>
          <w:lang w:eastAsia="en-AU"/>
        </w:rPr>
        <w:t xml:space="preserve"> </w:t>
      </w:r>
      <w:r w:rsidRPr="003A12E6">
        <w:t>Mammary analogue secretory carcinoma; N/a</w:t>
      </w:r>
      <w:r w:rsidR="006A679E">
        <w:rPr>
          <w:lang w:eastAsia="en-AU"/>
        </w:rPr>
        <w:t xml:space="preserve"> =</w:t>
      </w:r>
      <w:r w:rsidR="006A679E" w:rsidRPr="00FB6FEE">
        <w:rPr>
          <w:lang w:eastAsia="en-AU"/>
        </w:rPr>
        <w:t xml:space="preserve"> </w:t>
      </w:r>
      <w:r w:rsidRPr="003A12E6">
        <w:t>not applicable; SAS</w:t>
      </w:r>
      <w:r w:rsidR="006A679E">
        <w:rPr>
          <w:lang w:eastAsia="en-AU"/>
        </w:rPr>
        <w:t xml:space="preserve"> =</w:t>
      </w:r>
      <w:r w:rsidR="006A679E" w:rsidRPr="00FB6FEE">
        <w:rPr>
          <w:lang w:eastAsia="en-AU"/>
        </w:rPr>
        <w:t xml:space="preserve"> </w:t>
      </w:r>
      <w:r w:rsidRPr="003A12E6">
        <w:t>supplementary analysis set; ePAS</w:t>
      </w:r>
      <w:r w:rsidR="006A679E">
        <w:rPr>
          <w:lang w:eastAsia="en-AU"/>
        </w:rPr>
        <w:t xml:space="preserve"> =</w:t>
      </w:r>
      <w:r w:rsidR="006A679E" w:rsidRPr="00FB6FEE">
        <w:rPr>
          <w:lang w:eastAsia="en-AU"/>
        </w:rPr>
        <w:t xml:space="preserve"> </w:t>
      </w:r>
      <w:r w:rsidRPr="003A12E6">
        <w:t>extended primary analysis set; STS</w:t>
      </w:r>
      <w:r w:rsidR="006A679E">
        <w:rPr>
          <w:lang w:eastAsia="en-AU"/>
        </w:rPr>
        <w:t xml:space="preserve"> =</w:t>
      </w:r>
      <w:r w:rsidR="006A679E" w:rsidRPr="00FB6FEE">
        <w:rPr>
          <w:lang w:eastAsia="en-AU"/>
        </w:rPr>
        <w:t xml:space="preserve"> </w:t>
      </w:r>
      <w:r w:rsidRPr="003A12E6">
        <w:t>soft tissue sarcoma; CNS</w:t>
      </w:r>
      <w:r w:rsidR="006A679E">
        <w:rPr>
          <w:lang w:eastAsia="en-AU"/>
        </w:rPr>
        <w:t xml:space="preserve"> =</w:t>
      </w:r>
      <w:r w:rsidR="006A679E" w:rsidRPr="00FB6FEE">
        <w:rPr>
          <w:lang w:eastAsia="en-AU"/>
        </w:rPr>
        <w:t xml:space="preserve"> </w:t>
      </w:r>
      <w:r w:rsidRPr="003A12E6">
        <w:t>central nervous system; GIST</w:t>
      </w:r>
      <w:r w:rsidR="006A679E">
        <w:rPr>
          <w:lang w:eastAsia="en-AU"/>
        </w:rPr>
        <w:t xml:space="preserve"> =</w:t>
      </w:r>
      <w:r w:rsidR="006A679E" w:rsidRPr="00FB6FEE">
        <w:rPr>
          <w:lang w:eastAsia="en-AU"/>
        </w:rPr>
        <w:t xml:space="preserve"> </w:t>
      </w:r>
      <w:r w:rsidRPr="003A12E6">
        <w:t>Gastrointestinal Stromal Tumour; MASC</w:t>
      </w:r>
      <w:r w:rsidR="006A679E">
        <w:rPr>
          <w:lang w:eastAsia="en-AU"/>
        </w:rPr>
        <w:t xml:space="preserve"> =</w:t>
      </w:r>
      <w:r w:rsidR="006A679E" w:rsidRPr="00FB6FEE">
        <w:rPr>
          <w:lang w:eastAsia="en-AU"/>
        </w:rPr>
        <w:t xml:space="preserve"> </w:t>
      </w:r>
      <w:r w:rsidRPr="003A12E6">
        <w:t xml:space="preserve">Mammary analogue secretory carcinoma; </w:t>
      </w:r>
      <w:r w:rsidRPr="00623261">
        <w:rPr>
          <w:i/>
        </w:rPr>
        <w:t>NTRK</w:t>
      </w:r>
      <w:r w:rsidR="006A679E">
        <w:rPr>
          <w:lang w:eastAsia="en-AU"/>
        </w:rPr>
        <w:t xml:space="preserve"> =</w:t>
      </w:r>
      <w:r w:rsidR="006A679E" w:rsidRPr="00FB6FEE">
        <w:rPr>
          <w:lang w:eastAsia="en-AU"/>
        </w:rPr>
        <w:t xml:space="preserve"> </w:t>
      </w:r>
      <w:r w:rsidRPr="003A12E6">
        <w:t>Neurotrophic Tropomyosin-Related Kinase</w:t>
      </w:r>
    </w:p>
    <w:p w:rsidR="003A12E6" w:rsidRPr="007B73DB" w:rsidRDefault="003A12E6" w:rsidP="003A12E6">
      <w:pPr>
        <w:numPr>
          <w:ilvl w:val="4"/>
          <w:numId w:val="1"/>
        </w:numPr>
        <w:rPr>
          <w:iCs/>
          <w:color w:val="000000" w:themeColor="text1"/>
        </w:rPr>
      </w:pPr>
      <w:r w:rsidRPr="007B73DB">
        <w:rPr>
          <w:iCs/>
          <w:color w:val="000000" w:themeColor="text1"/>
        </w:rPr>
        <w:t>The three larotrectinib studies had different</w:t>
      </w:r>
      <w:r w:rsidR="0015714E">
        <w:rPr>
          <w:iCs/>
          <w:color w:val="000000" w:themeColor="text1"/>
        </w:rPr>
        <w:t xml:space="preserve"> </w:t>
      </w:r>
      <w:r w:rsidRPr="007B73DB">
        <w:rPr>
          <w:iCs/>
          <w:color w:val="000000" w:themeColor="text1"/>
        </w:rPr>
        <w:t>design</w:t>
      </w:r>
      <w:r w:rsidR="0015714E">
        <w:rPr>
          <w:iCs/>
          <w:color w:val="000000" w:themeColor="text1"/>
        </w:rPr>
        <w:t>s</w:t>
      </w:r>
      <w:r w:rsidRPr="007B73DB">
        <w:rPr>
          <w:iCs/>
          <w:color w:val="000000" w:themeColor="text1"/>
        </w:rPr>
        <w:t>/objectives, patient/disease characteristics. There was an indication of heterogeneity of treatment effects by tumour type</w:t>
      </w:r>
      <w:r w:rsidR="0040461D" w:rsidRPr="007B73DB">
        <w:rPr>
          <w:iCs/>
          <w:color w:val="000000" w:themeColor="text1"/>
        </w:rPr>
        <w:t xml:space="preserve"> (within and between the studies)</w:t>
      </w:r>
      <w:r w:rsidRPr="007B73DB">
        <w:rPr>
          <w:iCs/>
          <w:color w:val="000000" w:themeColor="text1"/>
        </w:rPr>
        <w:t>, although the small patient numbers hampered this assessment.</w:t>
      </w:r>
      <w:r w:rsidR="0015714E">
        <w:rPr>
          <w:iCs/>
          <w:color w:val="000000" w:themeColor="text1"/>
        </w:rPr>
        <w:t xml:space="preserve"> </w:t>
      </w:r>
      <w:r w:rsidR="00FA2D8D" w:rsidRPr="0015714E">
        <w:rPr>
          <w:iCs/>
          <w:color w:val="000000" w:themeColor="text1"/>
        </w:rPr>
        <w:t>The ESCs maintained</w:t>
      </w:r>
      <w:r w:rsidRPr="0015714E">
        <w:rPr>
          <w:iCs/>
          <w:color w:val="000000" w:themeColor="text1"/>
        </w:rPr>
        <w:t xml:space="preserve"> the</w:t>
      </w:r>
      <w:r w:rsidRPr="007B73DB">
        <w:rPr>
          <w:iCs/>
          <w:color w:val="000000" w:themeColor="text1"/>
        </w:rPr>
        <w:t xml:space="preserve"> pooled results should be interpreted with caution. These issues</w:t>
      </w:r>
      <w:r w:rsidR="0040461D" w:rsidRPr="007B73DB">
        <w:rPr>
          <w:iCs/>
          <w:color w:val="000000" w:themeColor="text1"/>
        </w:rPr>
        <w:t>,</w:t>
      </w:r>
      <w:r w:rsidRPr="007B73DB">
        <w:rPr>
          <w:iCs/>
          <w:color w:val="000000" w:themeColor="text1"/>
        </w:rPr>
        <w:t xml:space="preserve"> taken together with the limitations of the SoC data discussed previously, contributed to high uncertainty associated with the incremental benefit of larotrectinib.</w:t>
      </w:r>
    </w:p>
    <w:p w:rsidR="00CE7A3F" w:rsidRDefault="00E60005" w:rsidP="00404B7C">
      <w:pPr>
        <w:pStyle w:val="PBACESHeading2"/>
        <w:numPr>
          <w:ilvl w:val="0"/>
          <w:numId w:val="0"/>
        </w:numPr>
      </w:pPr>
      <w:bookmarkStart w:id="45" w:name="_Toc82597078"/>
      <w:r w:rsidRPr="00962538">
        <w:t>C</w:t>
      </w:r>
      <w:r>
        <w:t xml:space="preserve">omparative </w:t>
      </w:r>
      <w:r w:rsidR="00623454">
        <w:t>e</w:t>
      </w:r>
      <w:r w:rsidR="00CE7A3F" w:rsidRPr="00962538">
        <w:t xml:space="preserve">ffectiveness </w:t>
      </w:r>
      <w:r w:rsidR="00F825B5">
        <w:t>(based on linked evidence)</w:t>
      </w:r>
      <w:bookmarkEnd w:id="45"/>
    </w:p>
    <w:p w:rsidR="003A12E6" w:rsidRPr="003A12E6" w:rsidRDefault="003A12E6" w:rsidP="003A12E6">
      <w:pPr>
        <w:numPr>
          <w:ilvl w:val="4"/>
          <w:numId w:val="1"/>
        </w:numPr>
        <w:ind w:left="709"/>
        <w:rPr>
          <w:color w:val="000000" w:themeColor="text1"/>
        </w:rPr>
      </w:pPr>
      <w:r w:rsidRPr="003A12E6">
        <w:rPr>
          <w:color w:val="000000" w:themeColor="text1"/>
        </w:rPr>
        <w:t>Details of the included studies in the submission for the naïve indirect comparisons are provided in the table below.</w:t>
      </w:r>
    </w:p>
    <w:p w:rsidR="00C164A4" w:rsidRDefault="00C164A4" w:rsidP="00D51B2C">
      <w:pPr>
        <w:pStyle w:val="Caption"/>
      </w:pPr>
      <w:r>
        <w:t>Table</w:t>
      </w:r>
      <w:r w:rsidR="00E37EC3">
        <w:t xml:space="preserve"> </w:t>
      </w:r>
      <w:r w:rsidR="00BB3DD1">
        <w:rPr>
          <w:noProof/>
        </w:rPr>
        <w:t>9</w:t>
      </w:r>
      <w:r w:rsidR="00E37EC3">
        <w:rPr>
          <w:noProof/>
        </w:rPr>
        <w:t>:</w:t>
      </w:r>
      <w:r w:rsidR="00D117CD">
        <w:rPr>
          <w:noProof/>
        </w:rPr>
        <w:t xml:space="preserve"> </w:t>
      </w:r>
      <w:r w:rsidR="00D51B2C" w:rsidRPr="00D51B2C">
        <w:t>Listing of the relevant studies included for the naive indirect comparisons</w:t>
      </w:r>
    </w:p>
    <w:tbl>
      <w:tblPr>
        <w:tblStyle w:val="PBACTableStyle"/>
        <w:tblW w:w="5000" w:type="pct"/>
        <w:tblInd w:w="-5" w:type="dxa"/>
        <w:tblLook w:val="01E0" w:firstRow="1" w:lastRow="1" w:firstColumn="1" w:lastColumn="1" w:noHBand="0" w:noVBand="0"/>
        <w:tblCaption w:val="Table 9: Listing of the relevant studies included for the naive indirect comparisons"/>
      </w:tblPr>
      <w:tblGrid>
        <w:gridCol w:w="1908"/>
        <w:gridCol w:w="5000"/>
        <w:gridCol w:w="2108"/>
      </w:tblGrid>
      <w:tr w:rsidR="000F243A" w:rsidTr="002527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22" w:type="pct"/>
            <w:tcBorders>
              <w:top w:val="single" w:sz="4" w:space="0" w:color="auto"/>
              <w:left w:val="single" w:sz="4" w:space="0" w:color="auto"/>
              <w:bottom w:val="single" w:sz="4" w:space="0" w:color="auto"/>
              <w:right w:val="single" w:sz="4" w:space="0" w:color="auto"/>
            </w:tcBorders>
            <w:hideMark/>
          </w:tcPr>
          <w:p w:rsidR="000F243A" w:rsidRPr="002A391F" w:rsidRDefault="000F243A" w:rsidP="00F0152D">
            <w:pPr>
              <w:pStyle w:val="TableText"/>
            </w:pPr>
            <w:r w:rsidRPr="002A391F">
              <w:t>Trial ID/First Author</w:t>
            </w:r>
          </w:p>
        </w:tc>
        <w:tc>
          <w:tcPr>
            <w:tcW w:w="2791" w:type="pct"/>
            <w:tcBorders>
              <w:top w:val="single" w:sz="4" w:space="0" w:color="auto"/>
              <w:left w:val="single" w:sz="4" w:space="0" w:color="auto"/>
              <w:bottom w:val="single" w:sz="4" w:space="0" w:color="auto"/>
              <w:right w:val="single" w:sz="4" w:space="0" w:color="auto"/>
            </w:tcBorders>
            <w:hideMark/>
          </w:tcPr>
          <w:p w:rsidR="000F243A" w:rsidRPr="002A391F" w:rsidRDefault="000F243A" w:rsidP="00F0152D">
            <w:pPr>
              <w:pStyle w:val="TableText"/>
              <w:cnfStyle w:val="100000000000" w:firstRow="1" w:lastRow="0" w:firstColumn="0" w:lastColumn="0" w:oddVBand="0" w:evenVBand="0" w:oddHBand="0" w:evenHBand="0" w:firstRowFirstColumn="0" w:firstRowLastColumn="0" w:lastRowFirstColumn="0" w:lastRowLastColumn="0"/>
            </w:pPr>
            <w:r w:rsidRPr="002A391F">
              <w:t>Protocol title/ Publication title</w:t>
            </w:r>
          </w:p>
        </w:tc>
        <w:tc>
          <w:tcPr>
            <w:cnfStyle w:val="000100000000" w:firstRow="0" w:lastRow="0" w:firstColumn="0" w:lastColumn="1" w:oddVBand="0" w:evenVBand="0" w:oddHBand="0" w:evenHBand="0" w:firstRowFirstColumn="0" w:firstRowLastColumn="0" w:lastRowFirstColumn="0" w:lastRowLastColumn="0"/>
            <w:tcW w:w="1187" w:type="pct"/>
            <w:hideMark/>
          </w:tcPr>
          <w:p w:rsidR="000F243A" w:rsidRPr="00D51B2C" w:rsidRDefault="000F243A" w:rsidP="00F0152D">
            <w:pPr>
              <w:pStyle w:val="TableText"/>
              <w:rPr>
                <w:i w:val="0"/>
              </w:rPr>
            </w:pPr>
            <w:r w:rsidRPr="00D51B2C">
              <w:rPr>
                <w:i w:val="0"/>
              </w:rPr>
              <w:t>Publication citation</w:t>
            </w:r>
          </w:p>
        </w:tc>
      </w:tr>
      <w:tr w:rsidR="003A12E6" w:rsidTr="002527C6">
        <w:tc>
          <w:tcPr>
            <w:cnfStyle w:val="001000000000" w:firstRow="0" w:lastRow="0" w:firstColumn="1" w:lastColumn="0" w:oddVBand="0" w:evenVBand="0" w:oddHBand="0" w:evenHBand="0" w:firstRowFirstColumn="0" w:firstRowLastColumn="0" w:lastRowFirstColumn="0" w:lastRowLastColumn="0"/>
            <w:tcW w:w="1022" w:type="pct"/>
            <w:vMerge w:val="restart"/>
            <w:vAlign w:val="top"/>
            <w:hideMark/>
          </w:tcPr>
          <w:p w:rsidR="003A12E6" w:rsidRPr="00B87F60" w:rsidRDefault="003A12E6" w:rsidP="003A12E6">
            <w:pPr>
              <w:pStyle w:val="TableText"/>
            </w:pPr>
            <w:r w:rsidRPr="00B87F60">
              <w:t>LOXO-TRK-14001</w:t>
            </w:r>
          </w:p>
          <w:p w:rsidR="003A12E6" w:rsidRDefault="003A12E6" w:rsidP="003A12E6">
            <w:pPr>
              <w:pStyle w:val="TableText"/>
            </w:pPr>
            <w:r w:rsidRPr="00B87F60">
              <w:t>(LOXO-001)</w:t>
            </w:r>
          </w:p>
        </w:tc>
        <w:tc>
          <w:tcPr>
            <w:tcW w:w="2791" w:type="pct"/>
            <w:tcBorders>
              <w:bottom w:val="nil"/>
            </w:tcBorders>
            <w:vAlign w:val="top"/>
          </w:tcPr>
          <w:p w:rsidR="003A12E6" w:rsidRPr="00C32AB9" w:rsidRDefault="003A12E6" w:rsidP="003A12E6">
            <w:pPr>
              <w:pStyle w:val="TableText"/>
              <w:cnfStyle w:val="000000000000" w:firstRow="0" w:lastRow="0" w:firstColumn="0" w:lastColumn="0" w:oddVBand="0" w:evenVBand="0" w:oddHBand="0" w:evenHBand="0" w:firstRowFirstColumn="0" w:firstRowLastColumn="0" w:lastRowFirstColumn="0" w:lastRowLastColumn="0"/>
            </w:pPr>
            <w:r w:rsidRPr="00C32AB9">
              <w:t>LOXO-TRK-14001 CSR: A Phase 1 Study of the Oral TRK Inhibitor LOXO-101 in Adult Patients with Solid Tumours Interim CSR.</w:t>
            </w:r>
          </w:p>
          <w:p w:rsidR="003A12E6" w:rsidRDefault="003A12E6" w:rsidP="003A12E6">
            <w:pPr>
              <w:pStyle w:val="TableText"/>
              <w:cnfStyle w:val="000000000000" w:firstRow="0" w:lastRow="0" w:firstColumn="0" w:lastColumn="0" w:oddVBand="0" w:evenVBand="0" w:oddHBand="0" w:evenHBand="0" w:firstRowFirstColumn="0" w:firstRowLastColumn="0" w:lastRowFirstColumn="0" w:lastRowLastColumn="0"/>
            </w:pPr>
            <w:r w:rsidRPr="00C32AB9">
              <w:t>LOXO-TRK-14001 CSR: A Phase 1 Study of the Oral TRK Inhibitor LOXO-101 in Adult Patients with Solid Tumors Interim CSR. July 2020 Update.</w:t>
            </w:r>
          </w:p>
        </w:tc>
        <w:tc>
          <w:tcPr>
            <w:cnfStyle w:val="000100000000" w:firstRow="0" w:lastRow="0" w:firstColumn="0" w:lastColumn="1" w:oddVBand="0" w:evenVBand="0" w:oddHBand="0" w:evenHBand="0" w:firstRowFirstColumn="0" w:firstRowLastColumn="0" w:lastRowFirstColumn="0" w:lastRowLastColumn="0"/>
            <w:tcW w:w="1187" w:type="pct"/>
            <w:tcBorders>
              <w:bottom w:val="nil"/>
            </w:tcBorders>
            <w:vAlign w:val="top"/>
          </w:tcPr>
          <w:p w:rsidR="003A12E6" w:rsidRPr="00D51B2C" w:rsidRDefault="003A12E6" w:rsidP="003A12E6">
            <w:pPr>
              <w:pStyle w:val="TableText"/>
              <w:rPr>
                <w:i w:val="0"/>
              </w:rPr>
            </w:pPr>
            <w:r w:rsidRPr="00D51B2C">
              <w:rPr>
                <w:i w:val="0"/>
              </w:rPr>
              <w:t>February 2020.</w:t>
            </w:r>
            <w:r w:rsidRPr="00D51B2C">
              <w:rPr>
                <w:i w:val="0"/>
              </w:rPr>
              <w:br/>
            </w:r>
            <w:r w:rsidRPr="00D51B2C">
              <w:rPr>
                <w:i w:val="0"/>
              </w:rPr>
              <w:br/>
            </w:r>
          </w:p>
          <w:p w:rsidR="003A12E6" w:rsidRPr="00D51B2C" w:rsidRDefault="003A12E6" w:rsidP="003A12E6">
            <w:pPr>
              <w:pStyle w:val="TableText"/>
              <w:rPr>
                <w:i w:val="0"/>
              </w:rPr>
            </w:pPr>
            <w:r w:rsidRPr="00D51B2C">
              <w:rPr>
                <w:i w:val="0"/>
              </w:rPr>
              <w:t>July 2020</w:t>
            </w:r>
          </w:p>
        </w:tc>
      </w:tr>
      <w:tr w:rsidR="003A12E6" w:rsidTr="002527C6">
        <w:tc>
          <w:tcPr>
            <w:cnfStyle w:val="001000000000" w:firstRow="0" w:lastRow="0" w:firstColumn="1" w:lastColumn="0" w:oddVBand="0" w:evenVBand="0" w:oddHBand="0" w:evenHBand="0" w:firstRowFirstColumn="0" w:firstRowLastColumn="0" w:lastRowFirstColumn="0" w:lastRowLastColumn="0"/>
            <w:tcW w:w="1022" w:type="pct"/>
            <w:vMerge/>
            <w:vAlign w:val="top"/>
          </w:tcPr>
          <w:p w:rsidR="003A12E6" w:rsidRDefault="003A12E6" w:rsidP="003A12E6">
            <w:pPr>
              <w:pStyle w:val="TableText"/>
            </w:pPr>
          </w:p>
        </w:tc>
        <w:tc>
          <w:tcPr>
            <w:tcW w:w="2791" w:type="pct"/>
            <w:tcBorders>
              <w:top w:val="nil"/>
            </w:tcBorders>
            <w:vAlign w:val="top"/>
            <w:hideMark/>
          </w:tcPr>
          <w:p w:rsidR="003A12E6" w:rsidRDefault="003A12E6" w:rsidP="003A12E6">
            <w:pPr>
              <w:pStyle w:val="TableText"/>
              <w:cnfStyle w:val="000000000000" w:firstRow="0" w:lastRow="0" w:firstColumn="0" w:lastColumn="0" w:oddVBand="0" w:evenVBand="0" w:oddHBand="0" w:evenHBand="0" w:firstRowFirstColumn="0" w:firstRowLastColumn="0" w:lastRowFirstColumn="0" w:lastRowLastColumn="0"/>
            </w:pPr>
            <w:r w:rsidRPr="00C32AB9">
              <w:t>Hong D, Bauer T, Lee J, Dowlati A, Brose M, Farago A et al. Larotrectinib in adult patients with solid tumours: A multi-centre, open-label, phase I dose-escalation study.</w:t>
            </w:r>
          </w:p>
        </w:tc>
        <w:tc>
          <w:tcPr>
            <w:cnfStyle w:val="000100000000" w:firstRow="0" w:lastRow="0" w:firstColumn="0" w:lastColumn="1" w:oddVBand="0" w:evenVBand="0" w:oddHBand="0" w:evenHBand="0" w:firstRowFirstColumn="0" w:firstRowLastColumn="0" w:lastRowFirstColumn="0" w:lastRowLastColumn="0"/>
            <w:tcW w:w="1187" w:type="pct"/>
            <w:tcBorders>
              <w:top w:val="nil"/>
            </w:tcBorders>
            <w:vAlign w:val="top"/>
            <w:hideMark/>
          </w:tcPr>
          <w:p w:rsidR="003A12E6" w:rsidRPr="00D51B2C" w:rsidRDefault="003A12E6" w:rsidP="003A12E6">
            <w:pPr>
              <w:pStyle w:val="TableText"/>
              <w:rPr>
                <w:i w:val="0"/>
              </w:rPr>
            </w:pPr>
            <w:r w:rsidRPr="00D51B2C">
              <w:rPr>
                <w:i w:val="0"/>
              </w:rPr>
              <w:t>Annals of Oncology. 2019;30(2):325-331</w:t>
            </w:r>
          </w:p>
        </w:tc>
      </w:tr>
      <w:tr w:rsidR="003A12E6" w:rsidTr="002527C6">
        <w:tc>
          <w:tcPr>
            <w:cnfStyle w:val="001000000000" w:firstRow="0" w:lastRow="0" w:firstColumn="1" w:lastColumn="0" w:oddVBand="0" w:evenVBand="0" w:oddHBand="0" w:evenHBand="0" w:firstRowFirstColumn="0" w:firstRowLastColumn="0" w:lastRowFirstColumn="0" w:lastRowLastColumn="0"/>
            <w:tcW w:w="1022" w:type="pct"/>
            <w:vAlign w:val="top"/>
            <w:hideMark/>
          </w:tcPr>
          <w:p w:rsidR="003A12E6" w:rsidRPr="00753362" w:rsidRDefault="003A12E6" w:rsidP="003A12E6">
            <w:pPr>
              <w:pStyle w:val="TableText"/>
            </w:pPr>
            <w:r w:rsidRPr="00753362">
              <w:t>LOXO-TRK-14002</w:t>
            </w:r>
          </w:p>
          <w:p w:rsidR="003A12E6" w:rsidRDefault="003A12E6" w:rsidP="003A12E6">
            <w:pPr>
              <w:pStyle w:val="TableText"/>
            </w:pPr>
            <w:r w:rsidRPr="00753362">
              <w:t>(LOXO-002 or NAVIGATE)</w:t>
            </w:r>
          </w:p>
        </w:tc>
        <w:tc>
          <w:tcPr>
            <w:tcW w:w="2791" w:type="pct"/>
            <w:tcBorders>
              <w:bottom w:val="single" w:sz="4" w:space="0" w:color="auto"/>
            </w:tcBorders>
            <w:vAlign w:val="top"/>
            <w:hideMark/>
          </w:tcPr>
          <w:p w:rsidR="003A12E6" w:rsidRPr="00C32AB9" w:rsidRDefault="003A12E6" w:rsidP="003A12E6">
            <w:pPr>
              <w:pStyle w:val="TableText"/>
              <w:cnfStyle w:val="000000000000" w:firstRow="0" w:lastRow="0" w:firstColumn="0" w:lastColumn="0" w:oddVBand="0" w:evenVBand="0" w:oddHBand="0" w:evenHBand="0" w:firstRowFirstColumn="0" w:firstRowLastColumn="0" w:lastRowFirstColumn="0" w:lastRowLastColumn="0"/>
            </w:pPr>
            <w:r w:rsidRPr="00C32AB9">
              <w:t xml:space="preserve">LOXO-TRK-15002 (NAVIGATE) CSR: A Phase 2 Basket Study of the Oral TRK Inhibitor Larotrectinib in Subjects with </w:t>
            </w:r>
            <w:r w:rsidRPr="00434975">
              <w:rPr>
                <w:i/>
              </w:rPr>
              <w:t>NTRK</w:t>
            </w:r>
            <w:r w:rsidRPr="00C32AB9">
              <w:t xml:space="preserve"> Fusion-Positive Tumours Interim CSR</w:t>
            </w:r>
          </w:p>
          <w:p w:rsidR="003A12E6" w:rsidRDefault="003A12E6" w:rsidP="003A12E6">
            <w:pPr>
              <w:pStyle w:val="TableText"/>
              <w:cnfStyle w:val="000000000000" w:firstRow="0" w:lastRow="0" w:firstColumn="0" w:lastColumn="0" w:oddVBand="0" w:evenVBand="0" w:oddHBand="0" w:evenHBand="0" w:firstRowFirstColumn="0" w:firstRowLastColumn="0" w:lastRowFirstColumn="0" w:lastRowLastColumn="0"/>
            </w:pPr>
            <w:r w:rsidRPr="00C32AB9">
              <w:t xml:space="preserve">LOXO-TRK-15002 (NAVIGATE) CSR: A Phase 2 Basket Study of the Oral TRK Inhibitor Larotrectinib in Subjects with </w:t>
            </w:r>
            <w:r w:rsidRPr="00434975">
              <w:rPr>
                <w:i/>
              </w:rPr>
              <w:t>NTRK</w:t>
            </w:r>
            <w:r w:rsidRPr="00C32AB9">
              <w:t xml:space="preserve"> Fusion-Positive Tumors. July 2020 update.</w:t>
            </w:r>
          </w:p>
          <w:p w:rsidR="003A12E6" w:rsidRDefault="003A12E6" w:rsidP="003A12E6">
            <w:pPr>
              <w:pStyle w:val="TableText"/>
              <w:cnfStyle w:val="000000000000" w:firstRow="0" w:lastRow="0" w:firstColumn="0" w:lastColumn="0" w:oddVBand="0" w:evenVBand="0" w:oddHBand="0" w:evenHBand="0" w:firstRowFirstColumn="0" w:firstRowLastColumn="0" w:lastRowFirstColumn="0" w:lastRowLastColumn="0"/>
            </w:pPr>
            <w:r>
              <w:t>Rosen E, Italiano A. et al.</w:t>
            </w:r>
            <w:r w:rsidRPr="00DD29F1">
              <w:t>: Efficacy and safety of larotrectinib in patients with TRK fusion breast cancer</w:t>
            </w:r>
            <w:r>
              <w:t>.</w:t>
            </w:r>
            <w:r w:rsidRPr="00DD29F1">
              <w:t xml:space="preserve"> 2020 San Antonio Breast Cancer Virtual Symposium</w:t>
            </w:r>
            <w:r>
              <w:t>.</w:t>
            </w:r>
            <w:r w:rsidRPr="00DD29F1">
              <w:t xml:space="preserve"> Abstract PS11-06</w:t>
            </w:r>
          </w:p>
          <w:p w:rsidR="003A12E6" w:rsidRDefault="003A12E6" w:rsidP="003A12E6">
            <w:pPr>
              <w:pStyle w:val="TableText"/>
              <w:cnfStyle w:val="000000000000" w:firstRow="0" w:lastRow="0" w:firstColumn="0" w:lastColumn="0" w:oddVBand="0" w:evenVBand="0" w:oddHBand="0" w:evenHBand="0" w:firstRowFirstColumn="0" w:firstRowLastColumn="0" w:lastRowFirstColumn="0" w:lastRowLastColumn="0"/>
            </w:pPr>
            <w:r w:rsidRPr="00DD29F1">
              <w:t>Drilon A, Moreno V, et al. Efficacy and safety of larotrectinib in patients with tropomyosin receptor kinase (TRK) fusion lung cancer.</w:t>
            </w:r>
          </w:p>
        </w:tc>
        <w:tc>
          <w:tcPr>
            <w:cnfStyle w:val="000100000000" w:firstRow="0" w:lastRow="0" w:firstColumn="0" w:lastColumn="1" w:oddVBand="0" w:evenVBand="0" w:oddHBand="0" w:evenHBand="0" w:firstRowFirstColumn="0" w:firstRowLastColumn="0" w:lastRowFirstColumn="0" w:lastRowLastColumn="0"/>
            <w:tcW w:w="1187" w:type="pct"/>
            <w:vAlign w:val="top"/>
            <w:hideMark/>
          </w:tcPr>
          <w:p w:rsidR="003A12E6" w:rsidRPr="00D51B2C" w:rsidRDefault="003A12E6" w:rsidP="003A12E6">
            <w:pPr>
              <w:pStyle w:val="TableText"/>
              <w:rPr>
                <w:i w:val="0"/>
              </w:rPr>
            </w:pPr>
            <w:r w:rsidRPr="00D51B2C">
              <w:rPr>
                <w:i w:val="0"/>
              </w:rPr>
              <w:t>February 2020</w:t>
            </w:r>
          </w:p>
          <w:p w:rsidR="003A12E6" w:rsidRPr="00D51B2C" w:rsidRDefault="003A12E6" w:rsidP="003A12E6">
            <w:pPr>
              <w:pStyle w:val="TableText"/>
              <w:rPr>
                <w:i w:val="0"/>
              </w:rPr>
            </w:pPr>
          </w:p>
          <w:p w:rsidR="003A12E6" w:rsidRPr="00D51B2C" w:rsidRDefault="003A12E6" w:rsidP="003A12E6">
            <w:pPr>
              <w:pStyle w:val="TableText"/>
              <w:rPr>
                <w:i w:val="0"/>
              </w:rPr>
            </w:pPr>
          </w:p>
          <w:p w:rsidR="003A12E6" w:rsidRPr="00D51B2C" w:rsidRDefault="003A12E6" w:rsidP="003A12E6">
            <w:pPr>
              <w:pStyle w:val="TableText"/>
              <w:rPr>
                <w:i w:val="0"/>
              </w:rPr>
            </w:pPr>
            <w:r w:rsidRPr="00D51B2C">
              <w:rPr>
                <w:i w:val="0"/>
              </w:rPr>
              <w:t>July 2020</w:t>
            </w:r>
          </w:p>
          <w:p w:rsidR="003A12E6" w:rsidRPr="00D51B2C" w:rsidRDefault="003A12E6" w:rsidP="003A12E6">
            <w:pPr>
              <w:pStyle w:val="TableText"/>
              <w:rPr>
                <w:i w:val="0"/>
              </w:rPr>
            </w:pPr>
          </w:p>
          <w:p w:rsidR="003A12E6" w:rsidRPr="00D51B2C" w:rsidRDefault="003A12E6" w:rsidP="003A12E6">
            <w:pPr>
              <w:pStyle w:val="TableText"/>
              <w:rPr>
                <w:i w:val="0"/>
              </w:rPr>
            </w:pPr>
          </w:p>
          <w:p w:rsidR="003A12E6" w:rsidRPr="00D51B2C" w:rsidRDefault="003A12E6" w:rsidP="003A12E6">
            <w:pPr>
              <w:pStyle w:val="TableText"/>
              <w:rPr>
                <w:i w:val="0"/>
              </w:rPr>
            </w:pPr>
            <w:r w:rsidRPr="00D51B2C">
              <w:rPr>
                <w:i w:val="0"/>
              </w:rPr>
              <w:t>February 2021.</w:t>
            </w:r>
          </w:p>
          <w:p w:rsidR="003A12E6" w:rsidRPr="00D51B2C" w:rsidRDefault="003A12E6" w:rsidP="003A12E6">
            <w:pPr>
              <w:pStyle w:val="TableText"/>
              <w:rPr>
                <w:i w:val="0"/>
              </w:rPr>
            </w:pPr>
            <w:r w:rsidRPr="00D51B2C">
              <w:rPr>
                <w:i w:val="0"/>
              </w:rPr>
              <w:br/>
            </w:r>
          </w:p>
          <w:p w:rsidR="003A12E6" w:rsidRPr="00D51B2C" w:rsidRDefault="003A12E6" w:rsidP="003A12E6">
            <w:pPr>
              <w:pStyle w:val="TableText"/>
              <w:rPr>
                <w:i w:val="0"/>
              </w:rPr>
            </w:pPr>
            <w:r w:rsidRPr="00D51B2C">
              <w:rPr>
                <w:i w:val="0"/>
              </w:rPr>
              <w:t>Annals of Oncology. 2020;31 (Supplement 4):S834.</w:t>
            </w:r>
          </w:p>
        </w:tc>
      </w:tr>
      <w:tr w:rsidR="009817F3" w:rsidTr="002527C6">
        <w:tc>
          <w:tcPr>
            <w:cnfStyle w:val="001000000000" w:firstRow="0" w:lastRow="0" w:firstColumn="1" w:lastColumn="0" w:oddVBand="0" w:evenVBand="0" w:oddHBand="0" w:evenHBand="0" w:firstRowFirstColumn="0" w:firstRowLastColumn="0" w:lastRowFirstColumn="0" w:lastRowLastColumn="0"/>
            <w:tcW w:w="1022" w:type="pct"/>
            <w:vMerge w:val="restart"/>
            <w:vAlign w:val="top"/>
            <w:hideMark/>
          </w:tcPr>
          <w:p w:rsidR="009817F3" w:rsidRPr="00753362" w:rsidRDefault="009817F3" w:rsidP="003A12E6">
            <w:pPr>
              <w:pStyle w:val="TableText"/>
            </w:pPr>
            <w:r w:rsidRPr="00753362">
              <w:t>LOXO-TRK-14003</w:t>
            </w:r>
          </w:p>
          <w:p w:rsidR="009817F3" w:rsidRDefault="009817F3" w:rsidP="003A12E6">
            <w:pPr>
              <w:pStyle w:val="TableText"/>
            </w:pPr>
            <w:r w:rsidRPr="00753362">
              <w:t>(LOXO-003 or SCOUT)</w:t>
            </w:r>
          </w:p>
        </w:tc>
        <w:tc>
          <w:tcPr>
            <w:tcW w:w="2791" w:type="pct"/>
            <w:tcBorders>
              <w:bottom w:val="nil"/>
            </w:tcBorders>
            <w:vAlign w:val="top"/>
          </w:tcPr>
          <w:p w:rsidR="009817F3" w:rsidRDefault="009817F3" w:rsidP="003A12E6">
            <w:pPr>
              <w:pStyle w:val="TableText"/>
              <w:cnfStyle w:val="000000000000" w:firstRow="0" w:lastRow="0" w:firstColumn="0" w:lastColumn="0" w:oddVBand="0" w:evenVBand="0" w:oddHBand="0" w:evenHBand="0" w:firstRowFirstColumn="0" w:firstRowLastColumn="0" w:lastRowFirstColumn="0" w:lastRowLastColumn="0"/>
            </w:pPr>
            <w:r w:rsidRPr="00C32AB9">
              <w:t>LOXO-TRK-15003 (SCOUT) CSR: A Phase 1/2 Study of the Oral TRK Inhibitor LOXO-101 in Pediatric Patients with Advanced Solid or Primary Central Nervous System Tumors. Update.</w:t>
            </w:r>
          </w:p>
          <w:p w:rsidR="009817F3" w:rsidRDefault="009817F3" w:rsidP="003A12E6">
            <w:pPr>
              <w:pStyle w:val="TableText"/>
              <w:cnfStyle w:val="000000000000" w:firstRow="0" w:lastRow="0" w:firstColumn="0" w:lastColumn="0" w:oddVBand="0" w:evenVBand="0" w:oddHBand="0" w:evenHBand="0" w:firstRowFirstColumn="0" w:firstRowLastColumn="0" w:lastRowFirstColumn="0" w:lastRowLastColumn="0"/>
            </w:pPr>
            <w:r w:rsidRPr="00C32AB9">
              <w:t xml:space="preserve">Laetsch T, DuBois S, Mascarenhas L, Turpin B, Federman N, Albert C et al. Larotrectinib for paediatric solid tumours harbouring </w:t>
            </w:r>
            <w:r w:rsidRPr="00434975">
              <w:rPr>
                <w:i/>
              </w:rPr>
              <w:t>NTRK</w:t>
            </w:r>
            <w:r w:rsidRPr="00C32AB9">
              <w:t xml:space="preserve"> gene fusions: phase 1 results from a multicentre, open-label, phase 1/2 study.</w:t>
            </w:r>
          </w:p>
        </w:tc>
        <w:tc>
          <w:tcPr>
            <w:cnfStyle w:val="000100000000" w:firstRow="0" w:lastRow="0" w:firstColumn="0" w:lastColumn="1" w:oddVBand="0" w:evenVBand="0" w:oddHBand="0" w:evenHBand="0" w:firstRowFirstColumn="0" w:firstRowLastColumn="0" w:lastRowFirstColumn="0" w:lastRowLastColumn="0"/>
            <w:tcW w:w="1187" w:type="pct"/>
            <w:tcBorders>
              <w:bottom w:val="nil"/>
            </w:tcBorders>
            <w:vAlign w:val="top"/>
          </w:tcPr>
          <w:p w:rsidR="009817F3" w:rsidRDefault="009817F3" w:rsidP="003A12E6">
            <w:pPr>
              <w:pStyle w:val="TableText"/>
              <w:rPr>
                <w:iCs w:val="0"/>
              </w:rPr>
            </w:pPr>
            <w:r w:rsidRPr="00D51B2C">
              <w:rPr>
                <w:i w:val="0"/>
              </w:rPr>
              <w:t>July 2020</w:t>
            </w:r>
            <w:r w:rsidRPr="00D51B2C">
              <w:rPr>
                <w:i w:val="0"/>
              </w:rPr>
              <w:br/>
            </w:r>
            <w:r w:rsidRPr="00D51B2C">
              <w:rPr>
                <w:i w:val="0"/>
              </w:rPr>
              <w:br/>
            </w:r>
          </w:p>
          <w:p w:rsidR="009817F3" w:rsidRPr="00D51B2C" w:rsidRDefault="009817F3" w:rsidP="003A12E6">
            <w:pPr>
              <w:pStyle w:val="TableText"/>
              <w:rPr>
                <w:i w:val="0"/>
              </w:rPr>
            </w:pPr>
            <w:r w:rsidRPr="00D51B2C">
              <w:rPr>
                <w:i w:val="0"/>
              </w:rPr>
              <w:t>The Lancet Oncology. 2018;19(5):705-714</w:t>
            </w:r>
          </w:p>
        </w:tc>
      </w:tr>
      <w:tr w:rsidR="009817F3" w:rsidTr="002527C6">
        <w:tc>
          <w:tcPr>
            <w:cnfStyle w:val="001000000000" w:firstRow="0" w:lastRow="0" w:firstColumn="1" w:lastColumn="0" w:oddVBand="0" w:evenVBand="0" w:oddHBand="0" w:evenHBand="0" w:firstRowFirstColumn="0" w:firstRowLastColumn="0" w:lastRowFirstColumn="0" w:lastRowLastColumn="0"/>
            <w:tcW w:w="1022" w:type="pct"/>
            <w:vMerge/>
            <w:vAlign w:val="top"/>
            <w:hideMark/>
          </w:tcPr>
          <w:p w:rsidR="009817F3" w:rsidRDefault="009817F3" w:rsidP="003A12E6">
            <w:pPr>
              <w:pStyle w:val="TableText"/>
            </w:pPr>
          </w:p>
        </w:tc>
        <w:tc>
          <w:tcPr>
            <w:tcW w:w="2791" w:type="pct"/>
            <w:tcBorders>
              <w:top w:val="nil"/>
            </w:tcBorders>
            <w:vAlign w:val="top"/>
            <w:hideMark/>
          </w:tcPr>
          <w:p w:rsidR="009817F3" w:rsidRDefault="009817F3" w:rsidP="003A12E6">
            <w:pPr>
              <w:pStyle w:val="TableText"/>
              <w:cnfStyle w:val="000000000000" w:firstRow="0" w:lastRow="0" w:firstColumn="0" w:lastColumn="0" w:oddVBand="0" w:evenVBand="0" w:oddHBand="0" w:evenHBand="0" w:firstRowFirstColumn="0" w:firstRowLastColumn="0" w:lastRowFirstColumn="0" w:lastRowLastColumn="0"/>
            </w:pPr>
            <w:r w:rsidRPr="00C32AB9">
              <w:t xml:space="preserve">DuBois S, Laetsch T, Federman N, Turpin B, Albert C, Nagasubramanian R et al. The use of neoadjuvant larotrectinib in the management of children with locally advanced TRK fusion sarcomas. </w:t>
            </w:r>
          </w:p>
        </w:tc>
        <w:tc>
          <w:tcPr>
            <w:cnfStyle w:val="000100000000" w:firstRow="0" w:lastRow="0" w:firstColumn="0" w:lastColumn="1" w:oddVBand="0" w:evenVBand="0" w:oddHBand="0" w:evenHBand="0" w:firstRowFirstColumn="0" w:firstRowLastColumn="0" w:lastRowFirstColumn="0" w:lastRowLastColumn="0"/>
            <w:tcW w:w="1187" w:type="pct"/>
            <w:tcBorders>
              <w:top w:val="nil"/>
            </w:tcBorders>
            <w:vAlign w:val="top"/>
            <w:hideMark/>
          </w:tcPr>
          <w:p w:rsidR="009817F3" w:rsidRPr="00D51B2C" w:rsidRDefault="009817F3" w:rsidP="003A12E6">
            <w:pPr>
              <w:pStyle w:val="TableText"/>
              <w:rPr>
                <w:i w:val="0"/>
              </w:rPr>
            </w:pPr>
            <w:r w:rsidRPr="00D51B2C">
              <w:rPr>
                <w:i w:val="0"/>
              </w:rPr>
              <w:t>Cancer. 2018;124(21):4241-4247</w:t>
            </w:r>
          </w:p>
        </w:tc>
      </w:tr>
      <w:tr w:rsidR="009817F3" w:rsidTr="002527C6">
        <w:tc>
          <w:tcPr>
            <w:cnfStyle w:val="001000000000" w:firstRow="0" w:lastRow="0" w:firstColumn="1" w:lastColumn="0" w:oddVBand="0" w:evenVBand="0" w:oddHBand="0" w:evenHBand="0" w:firstRowFirstColumn="0" w:firstRowLastColumn="0" w:lastRowFirstColumn="0" w:lastRowLastColumn="0"/>
            <w:tcW w:w="1022" w:type="pct"/>
            <w:vMerge w:val="restart"/>
            <w:vAlign w:val="top"/>
            <w:hideMark/>
          </w:tcPr>
          <w:p w:rsidR="009817F3" w:rsidRDefault="009817F3" w:rsidP="003A12E6">
            <w:pPr>
              <w:pStyle w:val="TableText"/>
            </w:pPr>
            <w:r w:rsidRPr="008E0C81">
              <w:t>Pooled/combined larotrectinib studies/exploratory analyses: LOXO-001, NAVIGATE, SCOUT</w:t>
            </w:r>
          </w:p>
        </w:tc>
        <w:tc>
          <w:tcPr>
            <w:tcW w:w="2791" w:type="pct"/>
            <w:tcBorders>
              <w:bottom w:val="nil"/>
            </w:tcBorders>
            <w:vAlign w:val="top"/>
            <w:hideMark/>
          </w:tcPr>
          <w:p w:rsidR="009817F3" w:rsidRPr="00C32AB9" w:rsidRDefault="009817F3" w:rsidP="003A12E6">
            <w:pPr>
              <w:pStyle w:val="TableText"/>
              <w:cnfStyle w:val="000000000000" w:firstRow="0" w:lastRow="0" w:firstColumn="0" w:lastColumn="0" w:oddVBand="0" w:evenVBand="0" w:oddHBand="0" w:evenHBand="0" w:firstRowFirstColumn="0" w:firstRowLastColumn="0" w:lastRowFirstColumn="0" w:lastRowLastColumn="0"/>
            </w:pPr>
            <w:r w:rsidRPr="00C32AB9">
              <w:t>LOXO-TRK-14001, NAVIGATE and SCOUT pooled efficacy and safety analysis based on July 2019 interim data</w:t>
            </w:r>
            <w:r w:rsidR="006D66BE">
              <w:t>-</w:t>
            </w:r>
            <w:r w:rsidRPr="00C32AB9">
              <w:t>cut</w:t>
            </w:r>
          </w:p>
          <w:p w:rsidR="009817F3" w:rsidRPr="00C32AB9" w:rsidRDefault="009817F3" w:rsidP="003A12E6">
            <w:pPr>
              <w:pStyle w:val="TableText"/>
              <w:cnfStyle w:val="000000000000" w:firstRow="0" w:lastRow="0" w:firstColumn="0" w:lastColumn="0" w:oddVBand="0" w:evenVBand="0" w:oddHBand="0" w:evenHBand="0" w:firstRowFirstColumn="0" w:firstRowLastColumn="0" w:lastRowFirstColumn="0" w:lastRowLastColumn="0"/>
            </w:pPr>
            <w:r w:rsidRPr="00C32AB9">
              <w:t>LOXO-TRK-14001, NAVIGATE and SCOUT pooled efficacy and safety analysis based on July 2020 interim data-cut</w:t>
            </w:r>
          </w:p>
          <w:p w:rsidR="009817F3" w:rsidRPr="00C32AB9" w:rsidRDefault="009817F3" w:rsidP="003A12E6">
            <w:pPr>
              <w:pStyle w:val="TableText"/>
              <w:cnfStyle w:val="000000000000" w:firstRow="0" w:lastRow="0" w:firstColumn="0" w:lastColumn="0" w:oddVBand="0" w:evenVBand="0" w:oddHBand="0" w:evenHBand="0" w:firstRowFirstColumn="0" w:firstRowLastColumn="0" w:lastRowFirstColumn="0" w:lastRowLastColumn="0"/>
            </w:pPr>
            <w:r w:rsidRPr="00C32AB9">
              <w:t>LOXO-TRK-14001, NAVIGATE and SCOUT pooled efficacy and safety analysis Statistical Analysis Plan.</w:t>
            </w:r>
          </w:p>
          <w:p w:rsidR="009817F3" w:rsidRPr="00C32AB9" w:rsidRDefault="009817F3" w:rsidP="003A12E6">
            <w:pPr>
              <w:pStyle w:val="TableText"/>
              <w:cnfStyle w:val="000000000000" w:firstRow="0" w:lastRow="0" w:firstColumn="0" w:lastColumn="0" w:oddVBand="0" w:evenVBand="0" w:oddHBand="0" w:evenHBand="0" w:firstRowFirstColumn="0" w:firstRowLastColumn="0" w:lastRowFirstColumn="0" w:lastRowLastColumn="0"/>
            </w:pPr>
            <w:r w:rsidRPr="00C32AB9">
              <w:t xml:space="preserve">Bayer post-hoc analysis (data on file). Matching-Adjusted Indirect Comparison Applied to Treatment of </w:t>
            </w:r>
            <w:r w:rsidRPr="00434975">
              <w:rPr>
                <w:i/>
              </w:rPr>
              <w:t>NTRK</w:t>
            </w:r>
            <w:r w:rsidRPr="00C32AB9">
              <w:t xml:space="preserve"> Gene Fusion with Larotrectinib or Best Supportive Care from the Voyager-1 Study</w:t>
            </w:r>
          </w:p>
          <w:p w:rsidR="009817F3" w:rsidRDefault="009817F3" w:rsidP="003A12E6">
            <w:pPr>
              <w:pStyle w:val="TableText"/>
              <w:cnfStyle w:val="000000000000" w:firstRow="0" w:lastRow="0" w:firstColumn="0" w:lastColumn="0" w:oddVBand="0" w:evenVBand="0" w:oddHBand="0" w:evenHBand="0" w:firstRowFirstColumn="0" w:firstRowLastColumn="0" w:lastRowFirstColumn="0" w:lastRowLastColumn="0"/>
            </w:pPr>
            <w:r w:rsidRPr="00C32AB9">
              <w:t xml:space="preserve">Drilon A, Laetsch T, Kummar S, DuBois S, Lassen U, Demetri G et al. Efficacy of larotrectinib in TRK fusion-positive cancers in adults and children. </w:t>
            </w:r>
          </w:p>
        </w:tc>
        <w:tc>
          <w:tcPr>
            <w:cnfStyle w:val="000100000000" w:firstRow="0" w:lastRow="0" w:firstColumn="0" w:lastColumn="1" w:oddVBand="0" w:evenVBand="0" w:oddHBand="0" w:evenHBand="0" w:firstRowFirstColumn="0" w:firstRowLastColumn="0" w:lastRowFirstColumn="0" w:lastRowLastColumn="0"/>
            <w:tcW w:w="1187" w:type="pct"/>
            <w:tcBorders>
              <w:bottom w:val="nil"/>
            </w:tcBorders>
            <w:vAlign w:val="top"/>
            <w:hideMark/>
          </w:tcPr>
          <w:p w:rsidR="009817F3" w:rsidRPr="00D51B2C" w:rsidRDefault="009817F3" w:rsidP="003A12E6">
            <w:pPr>
              <w:pStyle w:val="TableText"/>
              <w:rPr>
                <w:i w:val="0"/>
              </w:rPr>
            </w:pPr>
            <w:r w:rsidRPr="00D51B2C">
              <w:rPr>
                <w:i w:val="0"/>
              </w:rPr>
              <w:t>July 2019</w:t>
            </w:r>
          </w:p>
          <w:p w:rsidR="009817F3" w:rsidRPr="00D51B2C" w:rsidRDefault="009817F3" w:rsidP="003A12E6">
            <w:pPr>
              <w:pStyle w:val="TableText"/>
              <w:rPr>
                <w:i w:val="0"/>
              </w:rPr>
            </w:pPr>
          </w:p>
          <w:p w:rsidR="009817F3" w:rsidRPr="00D51B2C" w:rsidRDefault="009817F3" w:rsidP="003A12E6">
            <w:pPr>
              <w:pStyle w:val="TableText"/>
              <w:rPr>
                <w:i w:val="0"/>
              </w:rPr>
            </w:pPr>
            <w:r w:rsidRPr="00D51B2C">
              <w:rPr>
                <w:i w:val="0"/>
              </w:rPr>
              <w:t>July 2020</w:t>
            </w:r>
          </w:p>
          <w:p w:rsidR="009817F3" w:rsidRPr="00D51B2C" w:rsidRDefault="009817F3" w:rsidP="003A12E6">
            <w:pPr>
              <w:pStyle w:val="TableText"/>
              <w:rPr>
                <w:i w:val="0"/>
              </w:rPr>
            </w:pPr>
          </w:p>
          <w:p w:rsidR="009817F3" w:rsidRPr="00D51B2C" w:rsidRDefault="009817F3" w:rsidP="003A12E6">
            <w:pPr>
              <w:pStyle w:val="TableText"/>
              <w:rPr>
                <w:i w:val="0"/>
              </w:rPr>
            </w:pPr>
            <w:r w:rsidRPr="00D51B2C">
              <w:rPr>
                <w:i w:val="0"/>
              </w:rPr>
              <w:t>July 2020</w:t>
            </w:r>
          </w:p>
          <w:p w:rsidR="009817F3" w:rsidRPr="00D51B2C" w:rsidRDefault="009817F3" w:rsidP="003A12E6">
            <w:pPr>
              <w:pStyle w:val="TableText"/>
              <w:rPr>
                <w:i w:val="0"/>
              </w:rPr>
            </w:pPr>
          </w:p>
          <w:p w:rsidR="009817F3" w:rsidRPr="00D51B2C" w:rsidRDefault="009817F3" w:rsidP="003A12E6">
            <w:pPr>
              <w:pStyle w:val="TableText"/>
              <w:rPr>
                <w:i w:val="0"/>
              </w:rPr>
            </w:pPr>
            <w:r w:rsidRPr="00D51B2C">
              <w:rPr>
                <w:i w:val="0"/>
              </w:rPr>
              <w:t>April 2021</w:t>
            </w:r>
          </w:p>
          <w:p w:rsidR="009817F3" w:rsidRPr="00D51B2C" w:rsidRDefault="009817F3" w:rsidP="003A12E6">
            <w:pPr>
              <w:pStyle w:val="TableText"/>
              <w:rPr>
                <w:i w:val="0"/>
              </w:rPr>
            </w:pPr>
          </w:p>
          <w:p w:rsidR="009817F3" w:rsidRPr="00D51B2C" w:rsidRDefault="009817F3" w:rsidP="003A12E6">
            <w:pPr>
              <w:pStyle w:val="TableText"/>
              <w:rPr>
                <w:i w:val="0"/>
              </w:rPr>
            </w:pPr>
          </w:p>
          <w:p w:rsidR="009817F3" w:rsidRPr="00D51B2C" w:rsidRDefault="009817F3" w:rsidP="003A12E6">
            <w:pPr>
              <w:pStyle w:val="TableText"/>
              <w:rPr>
                <w:i w:val="0"/>
              </w:rPr>
            </w:pPr>
            <w:r w:rsidRPr="00D51B2C">
              <w:rPr>
                <w:i w:val="0"/>
              </w:rPr>
              <w:t>New England Journal of Medicine. 2018;378(8):731-739</w:t>
            </w:r>
          </w:p>
        </w:tc>
      </w:tr>
      <w:tr w:rsidR="009817F3" w:rsidTr="002527C6">
        <w:tc>
          <w:tcPr>
            <w:cnfStyle w:val="001000000000" w:firstRow="0" w:lastRow="0" w:firstColumn="1" w:lastColumn="0" w:oddVBand="0" w:evenVBand="0" w:oddHBand="0" w:evenHBand="0" w:firstRowFirstColumn="0" w:firstRowLastColumn="0" w:lastRowFirstColumn="0" w:lastRowLastColumn="0"/>
            <w:tcW w:w="1022" w:type="pct"/>
            <w:vMerge/>
            <w:vAlign w:val="top"/>
            <w:hideMark/>
          </w:tcPr>
          <w:p w:rsidR="009817F3" w:rsidRDefault="009817F3" w:rsidP="003A12E6">
            <w:pPr>
              <w:pStyle w:val="TableText"/>
            </w:pPr>
          </w:p>
        </w:tc>
        <w:tc>
          <w:tcPr>
            <w:tcW w:w="2791" w:type="pct"/>
            <w:tcBorders>
              <w:top w:val="nil"/>
              <w:bottom w:val="nil"/>
            </w:tcBorders>
            <w:vAlign w:val="top"/>
          </w:tcPr>
          <w:p w:rsidR="009817F3" w:rsidRDefault="009817F3" w:rsidP="003A12E6">
            <w:pPr>
              <w:pStyle w:val="TableText"/>
              <w:cnfStyle w:val="000000000000" w:firstRow="0" w:lastRow="0" w:firstColumn="0" w:lastColumn="0" w:oddVBand="0" w:evenVBand="0" w:oddHBand="0" w:evenHBand="0" w:firstRowFirstColumn="0" w:firstRowLastColumn="0" w:lastRowFirstColumn="0" w:lastRowLastColumn="0"/>
            </w:pPr>
            <w:r w:rsidRPr="00C32AB9">
              <w:t>Hong D, DuBois S, Kummar S, Farago A, Albert C, Rohrberg K et al. Larotrectinib in patients with TRK fusion-positive solid tumours: a pooled analysis of three phase 1/2 clinical trials</w:t>
            </w:r>
          </w:p>
        </w:tc>
        <w:tc>
          <w:tcPr>
            <w:cnfStyle w:val="000100000000" w:firstRow="0" w:lastRow="0" w:firstColumn="0" w:lastColumn="1" w:oddVBand="0" w:evenVBand="0" w:oddHBand="0" w:evenHBand="0" w:firstRowFirstColumn="0" w:firstRowLastColumn="0" w:lastRowFirstColumn="0" w:lastRowLastColumn="0"/>
            <w:tcW w:w="1187" w:type="pct"/>
            <w:tcBorders>
              <w:top w:val="nil"/>
              <w:bottom w:val="nil"/>
            </w:tcBorders>
            <w:vAlign w:val="top"/>
          </w:tcPr>
          <w:p w:rsidR="009817F3" w:rsidRPr="00D51B2C" w:rsidRDefault="009817F3" w:rsidP="003A12E6">
            <w:pPr>
              <w:pStyle w:val="TableText"/>
              <w:rPr>
                <w:i w:val="0"/>
              </w:rPr>
            </w:pPr>
            <w:r w:rsidRPr="00D51B2C">
              <w:rPr>
                <w:i w:val="0"/>
              </w:rPr>
              <w:t>The Lancet Oncology. 2020; 21(4): 531-540</w:t>
            </w:r>
          </w:p>
        </w:tc>
      </w:tr>
      <w:tr w:rsidR="009817F3" w:rsidTr="002527C6">
        <w:tc>
          <w:tcPr>
            <w:cnfStyle w:val="001000000000" w:firstRow="0" w:lastRow="0" w:firstColumn="1" w:lastColumn="0" w:oddVBand="0" w:evenVBand="0" w:oddHBand="0" w:evenHBand="0" w:firstRowFirstColumn="0" w:firstRowLastColumn="0" w:lastRowFirstColumn="0" w:lastRowLastColumn="0"/>
            <w:tcW w:w="1022" w:type="pct"/>
            <w:vMerge/>
            <w:vAlign w:val="top"/>
          </w:tcPr>
          <w:p w:rsidR="009817F3" w:rsidRDefault="009817F3" w:rsidP="003A12E6">
            <w:pPr>
              <w:pStyle w:val="TableText"/>
            </w:pPr>
          </w:p>
        </w:tc>
        <w:tc>
          <w:tcPr>
            <w:tcW w:w="2791" w:type="pct"/>
            <w:tcBorders>
              <w:top w:val="nil"/>
              <w:bottom w:val="nil"/>
            </w:tcBorders>
            <w:vAlign w:val="top"/>
            <w:hideMark/>
          </w:tcPr>
          <w:p w:rsidR="009817F3" w:rsidRDefault="009817F3" w:rsidP="003A12E6">
            <w:pPr>
              <w:pStyle w:val="TableText"/>
              <w:cnfStyle w:val="000000000000" w:firstRow="0" w:lastRow="0" w:firstColumn="0" w:lastColumn="0" w:oddVBand="0" w:evenVBand="0" w:oddHBand="0" w:evenHBand="0" w:firstRowFirstColumn="0" w:firstRowLastColumn="0" w:lastRowFirstColumn="0" w:lastRowLastColumn="0"/>
            </w:pPr>
            <w:r w:rsidRPr="00C32AB9">
              <w:t xml:space="preserve">Italiano A, Nanda S, Keating K, Childs B, Fellous M, Drillon A et al. Retrospective Analysis to evaluate the growth modulation index (GMI) as a measure of clinical activity of larotrectinib in adult and paediatric TRK fusion cancers. </w:t>
            </w:r>
          </w:p>
        </w:tc>
        <w:tc>
          <w:tcPr>
            <w:cnfStyle w:val="000100000000" w:firstRow="0" w:lastRow="0" w:firstColumn="0" w:lastColumn="1" w:oddVBand="0" w:evenVBand="0" w:oddHBand="0" w:evenHBand="0" w:firstRowFirstColumn="0" w:firstRowLastColumn="0" w:lastRowFirstColumn="0" w:lastRowLastColumn="0"/>
            <w:tcW w:w="1187" w:type="pct"/>
            <w:tcBorders>
              <w:top w:val="nil"/>
              <w:bottom w:val="nil"/>
            </w:tcBorders>
            <w:vAlign w:val="top"/>
            <w:hideMark/>
          </w:tcPr>
          <w:p w:rsidR="009817F3" w:rsidRPr="00D51B2C" w:rsidRDefault="009817F3" w:rsidP="003A12E6">
            <w:pPr>
              <w:pStyle w:val="TableText"/>
              <w:rPr>
                <w:i w:val="0"/>
              </w:rPr>
            </w:pPr>
            <w:r w:rsidRPr="00D51B2C">
              <w:rPr>
                <w:i w:val="0"/>
              </w:rPr>
              <w:t>Annals of Oncology (2019) 30 (suppl_5): v159-v193.</w:t>
            </w:r>
          </w:p>
        </w:tc>
      </w:tr>
      <w:tr w:rsidR="009817F3" w:rsidTr="002527C6">
        <w:tc>
          <w:tcPr>
            <w:cnfStyle w:val="001000000000" w:firstRow="0" w:lastRow="0" w:firstColumn="1" w:lastColumn="0" w:oddVBand="0" w:evenVBand="0" w:oddHBand="0" w:evenHBand="0" w:firstRowFirstColumn="0" w:firstRowLastColumn="0" w:lastRowFirstColumn="0" w:lastRowLastColumn="0"/>
            <w:tcW w:w="1022" w:type="pct"/>
            <w:vMerge/>
            <w:tcBorders>
              <w:bottom w:val="single" w:sz="4" w:space="0" w:color="auto"/>
            </w:tcBorders>
            <w:vAlign w:val="top"/>
          </w:tcPr>
          <w:p w:rsidR="009817F3" w:rsidRDefault="009817F3" w:rsidP="003A12E6">
            <w:pPr>
              <w:pStyle w:val="TableText"/>
            </w:pPr>
          </w:p>
        </w:tc>
        <w:tc>
          <w:tcPr>
            <w:tcW w:w="2791" w:type="pct"/>
            <w:tcBorders>
              <w:top w:val="nil"/>
              <w:bottom w:val="single" w:sz="4" w:space="0" w:color="auto"/>
            </w:tcBorders>
            <w:vAlign w:val="top"/>
            <w:hideMark/>
          </w:tcPr>
          <w:p w:rsidR="009817F3" w:rsidRDefault="009817F3" w:rsidP="003A12E6">
            <w:pPr>
              <w:pStyle w:val="TableText"/>
              <w:cnfStyle w:val="000000000000" w:firstRow="0" w:lastRow="0" w:firstColumn="0" w:lastColumn="0" w:oddVBand="0" w:evenVBand="0" w:oddHBand="0" w:evenHBand="0" w:firstRowFirstColumn="0" w:firstRowLastColumn="0" w:lastRowFirstColumn="0" w:lastRowLastColumn="0"/>
            </w:pPr>
            <w:r w:rsidRPr="00C32AB9">
              <w:t xml:space="preserve">Drilon A et al. Activity and Safety of Larotrectinib in Adult Patients With TRK Fusion Cancer: An Expanded Data Set. </w:t>
            </w:r>
          </w:p>
          <w:p w:rsidR="009817F3" w:rsidRDefault="009817F3" w:rsidP="003A12E6">
            <w:pPr>
              <w:pStyle w:val="TableText"/>
              <w:cnfStyle w:val="000000000000" w:firstRow="0" w:lastRow="0" w:firstColumn="0" w:lastColumn="0" w:oddVBand="0" w:evenVBand="0" w:oddHBand="0" w:evenHBand="0" w:firstRowFirstColumn="0" w:firstRowLastColumn="0" w:lastRowFirstColumn="0" w:lastRowLastColumn="0"/>
            </w:pPr>
          </w:p>
          <w:p w:rsidR="009817F3" w:rsidRDefault="009817F3" w:rsidP="003A12E6">
            <w:pPr>
              <w:pStyle w:val="TableText"/>
              <w:cnfStyle w:val="000000000000" w:firstRow="0" w:lastRow="0" w:firstColumn="0" w:lastColumn="0" w:oddVBand="0" w:evenVBand="0" w:oddHBand="0" w:evenHBand="0" w:firstRowFirstColumn="0" w:firstRowLastColumn="0" w:lastRowFirstColumn="0" w:lastRowLastColumn="0"/>
            </w:pPr>
          </w:p>
          <w:p w:rsidR="009817F3" w:rsidRDefault="009817F3" w:rsidP="003A12E6">
            <w:pPr>
              <w:pStyle w:val="TableText"/>
              <w:cnfStyle w:val="000000000000" w:firstRow="0" w:lastRow="0" w:firstColumn="0" w:lastColumn="0" w:oddVBand="0" w:evenVBand="0" w:oddHBand="0" w:evenHBand="0" w:firstRowFirstColumn="0" w:firstRowLastColumn="0" w:lastRowFirstColumn="0" w:lastRowLastColumn="0"/>
            </w:pPr>
            <w:r w:rsidRPr="00FB22E5">
              <w:t xml:space="preserve">Leyvraz S, Hyman D, Van Tilburg C, Albert C, Tan D, Geoerger B, et al. Durability of response with larotrectinib in adult and pediatric patients with TRK fusion cancer. </w:t>
            </w:r>
          </w:p>
        </w:tc>
        <w:tc>
          <w:tcPr>
            <w:cnfStyle w:val="000100000000" w:firstRow="0" w:lastRow="0" w:firstColumn="0" w:lastColumn="1" w:oddVBand="0" w:evenVBand="0" w:oddHBand="0" w:evenHBand="0" w:firstRowFirstColumn="0" w:firstRowLastColumn="0" w:lastRowFirstColumn="0" w:lastRowLastColumn="0"/>
            <w:tcW w:w="1187" w:type="pct"/>
            <w:tcBorders>
              <w:top w:val="nil"/>
            </w:tcBorders>
            <w:vAlign w:val="top"/>
            <w:hideMark/>
          </w:tcPr>
          <w:p w:rsidR="009817F3" w:rsidRPr="00D51B2C" w:rsidRDefault="009817F3" w:rsidP="003A12E6">
            <w:pPr>
              <w:pStyle w:val="TableText"/>
              <w:rPr>
                <w:i w:val="0"/>
              </w:rPr>
            </w:pPr>
            <w:r w:rsidRPr="00D51B2C">
              <w:rPr>
                <w:i w:val="0"/>
              </w:rPr>
              <w:t>American Society of Clinical Oncology (ASCO) Virtual Scientific Program, May 29–31, 2020</w:t>
            </w:r>
          </w:p>
          <w:p w:rsidR="009817F3" w:rsidRPr="00D51B2C" w:rsidRDefault="009817F3" w:rsidP="003A12E6">
            <w:pPr>
              <w:pStyle w:val="TableText"/>
              <w:rPr>
                <w:i w:val="0"/>
              </w:rPr>
            </w:pPr>
            <w:r w:rsidRPr="00D51B2C">
              <w:rPr>
                <w:i w:val="0"/>
              </w:rPr>
              <w:t>Oncology Research and Treatment. 2020;43 (Supplement 1):204.</w:t>
            </w:r>
          </w:p>
        </w:tc>
      </w:tr>
      <w:tr w:rsidR="009817F3" w:rsidTr="002527C6">
        <w:tc>
          <w:tcPr>
            <w:cnfStyle w:val="001000000000" w:firstRow="0" w:lastRow="0" w:firstColumn="1" w:lastColumn="0" w:oddVBand="0" w:evenVBand="0" w:oddHBand="0" w:evenHBand="0" w:firstRowFirstColumn="0" w:firstRowLastColumn="0" w:lastRowFirstColumn="0" w:lastRowLastColumn="0"/>
            <w:tcW w:w="5000" w:type="pct"/>
            <w:gridSpan w:val="3"/>
            <w:vAlign w:val="top"/>
          </w:tcPr>
          <w:p w:rsidR="009817F3" w:rsidRPr="00D51B2C" w:rsidRDefault="009817F3" w:rsidP="009817F3">
            <w:pPr>
              <w:pStyle w:val="TableText"/>
            </w:pPr>
            <w:r w:rsidRPr="00D51B2C">
              <w:rPr>
                <w:b/>
              </w:rPr>
              <w:t>Single</w:t>
            </w:r>
            <w:r w:rsidR="00057EDA">
              <w:rPr>
                <w:b/>
              </w:rPr>
              <w:t>-</w:t>
            </w:r>
            <w:r w:rsidRPr="00D51B2C">
              <w:rPr>
                <w:b/>
              </w:rPr>
              <w:t xml:space="preserve">arm </w:t>
            </w:r>
            <w:r w:rsidR="00057EDA">
              <w:rPr>
                <w:b/>
              </w:rPr>
              <w:t xml:space="preserve">studies of </w:t>
            </w:r>
            <w:r w:rsidRPr="00D51B2C">
              <w:rPr>
                <w:b/>
              </w:rPr>
              <w:t>SoC</w:t>
            </w:r>
            <w:r w:rsidRPr="00D51B2C">
              <w:rPr>
                <w:b/>
                <w:vertAlign w:val="superscript"/>
              </w:rPr>
              <w:t>a</w:t>
            </w:r>
            <w:r w:rsidRPr="00D51B2C">
              <w:rPr>
                <w:b/>
              </w:rPr>
              <w:t xml:space="preserve"> by the four subgroups proposed in the resubmission</w:t>
            </w:r>
          </w:p>
        </w:tc>
      </w:tr>
      <w:tr w:rsidR="009817F3" w:rsidTr="002527C6">
        <w:tc>
          <w:tcPr>
            <w:cnfStyle w:val="001000000000" w:firstRow="0" w:lastRow="0" w:firstColumn="1" w:lastColumn="0" w:oddVBand="0" w:evenVBand="0" w:oddHBand="0" w:evenHBand="0" w:firstRowFirstColumn="0" w:firstRowLastColumn="0" w:lastRowFirstColumn="0" w:lastRowLastColumn="0"/>
            <w:tcW w:w="5000" w:type="pct"/>
            <w:gridSpan w:val="3"/>
            <w:vAlign w:val="top"/>
          </w:tcPr>
          <w:p w:rsidR="009817F3" w:rsidRPr="006A679E" w:rsidRDefault="009817F3" w:rsidP="009817F3">
            <w:pPr>
              <w:pStyle w:val="TableText"/>
              <w:rPr>
                <w:b/>
              </w:rPr>
            </w:pPr>
            <w:r w:rsidRPr="006A679E">
              <w:rPr>
                <w:b/>
              </w:rPr>
              <w:t xml:space="preserve">Subgroup 1: Paediatric tumour type with high </w:t>
            </w:r>
            <w:r w:rsidRPr="00623261">
              <w:rPr>
                <w:b/>
                <w:i/>
              </w:rPr>
              <w:t>NTRK</w:t>
            </w:r>
            <w:r w:rsidRPr="006A679E">
              <w:rPr>
                <w:b/>
              </w:rPr>
              <w:t xml:space="preserve"> fusion frequency</w:t>
            </w:r>
          </w:p>
        </w:tc>
      </w:tr>
      <w:tr w:rsidR="009817F3" w:rsidTr="002527C6">
        <w:tc>
          <w:tcPr>
            <w:cnfStyle w:val="001000000000" w:firstRow="0" w:lastRow="0" w:firstColumn="1" w:lastColumn="0" w:oddVBand="0" w:evenVBand="0" w:oddHBand="0" w:evenHBand="0" w:firstRowFirstColumn="0" w:firstRowLastColumn="0" w:lastRowFirstColumn="0" w:lastRowLastColumn="0"/>
            <w:tcW w:w="5000" w:type="pct"/>
            <w:gridSpan w:val="3"/>
            <w:vAlign w:val="top"/>
          </w:tcPr>
          <w:p w:rsidR="009817F3" w:rsidRPr="006A679E" w:rsidRDefault="009817F3" w:rsidP="009817F3">
            <w:pPr>
              <w:pStyle w:val="TableText"/>
              <w:rPr>
                <w:u w:val="single"/>
              </w:rPr>
            </w:pPr>
            <w:r w:rsidRPr="006A679E">
              <w:rPr>
                <w:u w:val="single"/>
              </w:rPr>
              <w:t>Representative tumour type - Soft tissue sarcoma</w:t>
            </w:r>
          </w:p>
        </w:tc>
      </w:tr>
      <w:tr w:rsidR="009817F3" w:rsidTr="002527C6">
        <w:tc>
          <w:tcPr>
            <w:cnfStyle w:val="001000000000" w:firstRow="0" w:lastRow="0" w:firstColumn="1" w:lastColumn="0" w:oddVBand="0" w:evenVBand="0" w:oddHBand="0" w:evenHBand="0" w:firstRowFirstColumn="0" w:firstRowLastColumn="0" w:lastRowFirstColumn="0" w:lastRowLastColumn="0"/>
            <w:tcW w:w="1022" w:type="pct"/>
            <w:tcBorders>
              <w:bottom w:val="nil"/>
            </w:tcBorders>
            <w:vAlign w:val="top"/>
          </w:tcPr>
          <w:p w:rsidR="009817F3" w:rsidRDefault="009817F3" w:rsidP="009817F3">
            <w:pPr>
              <w:pStyle w:val="TableText"/>
            </w:pPr>
            <w:r w:rsidRPr="008E0C81">
              <w:rPr>
                <w:u w:val="single"/>
              </w:rPr>
              <w:t>SoC</w:t>
            </w:r>
            <w:r>
              <w:t xml:space="preserve"> Ifosfamide+doxorubicin</w:t>
            </w:r>
          </w:p>
          <w:p w:rsidR="009817F3" w:rsidRDefault="009817F3" w:rsidP="009817F3">
            <w:pPr>
              <w:pStyle w:val="TableText"/>
            </w:pPr>
            <w:r w:rsidRPr="008E0C81">
              <w:t>Sandler (2001)</w:t>
            </w:r>
          </w:p>
        </w:tc>
        <w:tc>
          <w:tcPr>
            <w:tcW w:w="2791" w:type="pct"/>
            <w:tcBorders>
              <w:bottom w:val="nil"/>
            </w:tcBorders>
            <w:vAlign w:val="top"/>
          </w:tcPr>
          <w:p w:rsidR="009817F3" w:rsidRPr="00C32AB9" w:rsidRDefault="009817F3" w:rsidP="009817F3">
            <w:pPr>
              <w:pStyle w:val="TableText"/>
              <w:cnfStyle w:val="000000000000" w:firstRow="0" w:lastRow="0" w:firstColumn="0" w:lastColumn="0" w:oddVBand="0" w:evenVBand="0" w:oddHBand="0" w:evenHBand="0" w:firstRowFirstColumn="0" w:firstRowLastColumn="0" w:lastRowFirstColumn="0" w:lastRowLastColumn="0"/>
            </w:pPr>
            <w:r w:rsidRPr="008E0C81">
              <w:t xml:space="preserve">Sandler E, Lyden E, Ruymann F, Maurer H, Wharam M, Parham D, Link M, Crist W. Efficacy of ifosfamide and doxorubicin given as a phase II “window” in children with newly diagnosed metastatic rhabdomyosarcoma: a report from the Intergroup Rhabdomyosarcoma Study Group. </w:t>
            </w:r>
          </w:p>
        </w:tc>
        <w:tc>
          <w:tcPr>
            <w:cnfStyle w:val="000100000000" w:firstRow="0" w:lastRow="0" w:firstColumn="0" w:lastColumn="1" w:oddVBand="0" w:evenVBand="0" w:oddHBand="0" w:evenHBand="0" w:firstRowFirstColumn="0" w:firstRowLastColumn="0" w:lastRowFirstColumn="0" w:lastRowLastColumn="0"/>
            <w:tcW w:w="1187" w:type="pct"/>
            <w:tcBorders>
              <w:top w:val="none" w:sz="0" w:space="0" w:color="auto"/>
              <w:bottom w:val="nil"/>
            </w:tcBorders>
            <w:vAlign w:val="top"/>
          </w:tcPr>
          <w:p w:rsidR="009817F3" w:rsidRPr="00D51B2C" w:rsidRDefault="009817F3" w:rsidP="009817F3">
            <w:pPr>
              <w:pStyle w:val="TableText"/>
              <w:rPr>
                <w:i w:val="0"/>
              </w:rPr>
            </w:pPr>
            <w:r w:rsidRPr="00D51B2C">
              <w:rPr>
                <w:i w:val="0"/>
              </w:rPr>
              <w:t>Medical and Paediatric Oncology. 2001 Nov;37(5):442-8.</w:t>
            </w:r>
          </w:p>
        </w:tc>
      </w:tr>
      <w:tr w:rsidR="009817F3" w:rsidTr="002527C6">
        <w:tc>
          <w:tcPr>
            <w:cnfStyle w:val="001000000000" w:firstRow="0" w:lastRow="0" w:firstColumn="1" w:lastColumn="0" w:oddVBand="0" w:evenVBand="0" w:oddHBand="0" w:evenHBand="0" w:firstRowFirstColumn="0" w:firstRowLastColumn="0" w:lastRowFirstColumn="0" w:lastRowLastColumn="0"/>
            <w:tcW w:w="1022" w:type="pct"/>
            <w:tcBorders>
              <w:top w:val="nil"/>
            </w:tcBorders>
            <w:vAlign w:val="top"/>
          </w:tcPr>
          <w:p w:rsidR="009817F3" w:rsidRDefault="009817F3" w:rsidP="009817F3">
            <w:pPr>
              <w:pStyle w:val="TableText"/>
            </w:pPr>
            <w:r w:rsidRPr="008E0C81">
              <w:rPr>
                <w:u w:val="single"/>
              </w:rPr>
              <w:t>SoC</w:t>
            </w:r>
            <w:r>
              <w:t xml:space="preserve"> </w:t>
            </w:r>
          </w:p>
          <w:p w:rsidR="009817F3" w:rsidRDefault="009817F3" w:rsidP="009817F3">
            <w:pPr>
              <w:pStyle w:val="TableText"/>
            </w:pPr>
            <w:r w:rsidRPr="008E0C81">
              <w:t xml:space="preserve">Irinotecan + Vincristine </w:t>
            </w:r>
          </w:p>
          <w:p w:rsidR="009817F3" w:rsidRDefault="009817F3" w:rsidP="009817F3">
            <w:pPr>
              <w:pStyle w:val="TableText"/>
            </w:pPr>
            <w:r w:rsidRPr="008E0C81">
              <w:t>Mascarenhas (2010)</w:t>
            </w:r>
          </w:p>
        </w:tc>
        <w:tc>
          <w:tcPr>
            <w:tcW w:w="2791" w:type="pct"/>
            <w:tcBorders>
              <w:top w:val="nil"/>
            </w:tcBorders>
            <w:vAlign w:val="top"/>
          </w:tcPr>
          <w:p w:rsidR="009817F3" w:rsidRPr="00C32AB9" w:rsidRDefault="009817F3" w:rsidP="009817F3">
            <w:pPr>
              <w:pStyle w:val="TableText"/>
              <w:cnfStyle w:val="000000000000" w:firstRow="0" w:lastRow="0" w:firstColumn="0" w:lastColumn="0" w:oddVBand="0" w:evenVBand="0" w:oddHBand="0" w:evenHBand="0" w:firstRowFirstColumn="0" w:firstRowLastColumn="0" w:lastRowFirstColumn="0" w:lastRowLastColumn="0"/>
            </w:pPr>
            <w:r w:rsidRPr="008E0C81">
              <w:t>Mascarenhas L, Lyden ER, Breitfeld PP, Walterhouse DO, Donaldson SS, Paidas CN, Parham DM, Anderson JR, Meyer WH, Hawkins DS. Randomized phase II window trial of two schedules of irinotecan with vincristine in patients with first relapse or progression of rhabdomyosarcoma: a report from the Children's Oncology Group.</w:t>
            </w:r>
          </w:p>
        </w:tc>
        <w:tc>
          <w:tcPr>
            <w:cnfStyle w:val="000100000000" w:firstRow="0" w:lastRow="0" w:firstColumn="0" w:lastColumn="1" w:oddVBand="0" w:evenVBand="0" w:oddHBand="0" w:evenHBand="0" w:firstRowFirstColumn="0" w:firstRowLastColumn="0" w:lastRowFirstColumn="0" w:lastRowLastColumn="0"/>
            <w:tcW w:w="1187" w:type="pct"/>
            <w:tcBorders>
              <w:top w:val="nil"/>
              <w:bottom w:val="none" w:sz="0" w:space="0" w:color="auto"/>
            </w:tcBorders>
            <w:vAlign w:val="top"/>
          </w:tcPr>
          <w:p w:rsidR="009817F3" w:rsidRPr="00D51B2C" w:rsidRDefault="009817F3" w:rsidP="009817F3">
            <w:pPr>
              <w:pStyle w:val="TableText"/>
              <w:rPr>
                <w:i w:val="0"/>
              </w:rPr>
            </w:pPr>
            <w:r w:rsidRPr="00D51B2C">
              <w:rPr>
                <w:i w:val="0"/>
              </w:rPr>
              <w:t>Journal of clinical oncology. 2010 Oct 20;28(30):4658</w:t>
            </w:r>
          </w:p>
        </w:tc>
      </w:tr>
      <w:tr w:rsidR="009817F3" w:rsidTr="002527C6">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bottom w:val="single" w:sz="4" w:space="0" w:color="auto"/>
            </w:tcBorders>
            <w:vAlign w:val="top"/>
          </w:tcPr>
          <w:p w:rsidR="009817F3" w:rsidRPr="006A679E" w:rsidRDefault="009817F3" w:rsidP="009817F3">
            <w:pPr>
              <w:pStyle w:val="TableText"/>
              <w:rPr>
                <w:u w:val="single"/>
              </w:rPr>
            </w:pPr>
            <w:r w:rsidRPr="006A679E">
              <w:rPr>
                <w:u w:val="single"/>
              </w:rPr>
              <w:t>Representative tumour type - Infantile Fibrosarcoma</w:t>
            </w:r>
          </w:p>
        </w:tc>
      </w:tr>
      <w:tr w:rsidR="009817F3" w:rsidTr="002527C6">
        <w:tc>
          <w:tcPr>
            <w:cnfStyle w:val="001000000000" w:firstRow="0" w:lastRow="0" w:firstColumn="1" w:lastColumn="0" w:oddVBand="0" w:evenVBand="0" w:oddHBand="0" w:evenHBand="0" w:firstRowFirstColumn="0" w:firstRowLastColumn="0" w:lastRowFirstColumn="0" w:lastRowLastColumn="0"/>
            <w:tcW w:w="1022" w:type="pct"/>
            <w:vAlign w:val="top"/>
          </w:tcPr>
          <w:p w:rsidR="009817F3" w:rsidRDefault="009817F3" w:rsidP="009817F3">
            <w:pPr>
              <w:pStyle w:val="TableText"/>
            </w:pPr>
            <w:r w:rsidRPr="00F51294">
              <w:rPr>
                <w:u w:val="single"/>
              </w:rPr>
              <w:t>SoC</w:t>
            </w:r>
            <w:r>
              <w:t xml:space="preserve"> </w:t>
            </w:r>
          </w:p>
          <w:p w:rsidR="009817F3" w:rsidRDefault="009817F3" w:rsidP="009817F3">
            <w:pPr>
              <w:pStyle w:val="TableText"/>
            </w:pPr>
            <w:r>
              <w:t>VAC</w:t>
            </w:r>
            <w:r w:rsidRPr="00287EC2">
              <w:rPr>
                <w:vertAlign w:val="superscript"/>
              </w:rPr>
              <w:t>b</w:t>
            </w:r>
          </w:p>
          <w:p w:rsidR="009817F3" w:rsidRDefault="009817F3" w:rsidP="009817F3">
            <w:pPr>
              <w:pStyle w:val="TableText"/>
            </w:pPr>
            <w:r w:rsidRPr="008E0C81">
              <w:t>No</w:t>
            </w:r>
            <w:r>
              <w:t xml:space="preserve"> study </w:t>
            </w:r>
            <w:r w:rsidRPr="008E0C81">
              <w:t>identified</w:t>
            </w:r>
          </w:p>
        </w:tc>
        <w:tc>
          <w:tcPr>
            <w:tcW w:w="2791" w:type="pct"/>
            <w:vAlign w:val="top"/>
          </w:tcPr>
          <w:p w:rsidR="009817F3" w:rsidRPr="00C32AB9" w:rsidRDefault="009817F3" w:rsidP="009817F3">
            <w:pPr>
              <w:pStyle w:val="TableText"/>
              <w:cnfStyle w:val="000000000000" w:firstRow="0" w:lastRow="0" w:firstColumn="0" w:lastColumn="0" w:oddVBand="0" w:evenVBand="0" w:oddHBand="0" w:evenHBand="0" w:firstRowFirstColumn="0" w:firstRowLastColumn="0" w:lastRowFirstColumn="0" w:lastRowLastColumn="0"/>
            </w:pPr>
            <w:r w:rsidRPr="008E0C81">
              <w:t>-</w:t>
            </w:r>
          </w:p>
        </w:tc>
        <w:tc>
          <w:tcPr>
            <w:cnfStyle w:val="000100000000" w:firstRow="0" w:lastRow="0" w:firstColumn="0" w:lastColumn="1" w:oddVBand="0" w:evenVBand="0" w:oddHBand="0" w:evenHBand="0" w:firstRowFirstColumn="0" w:firstRowLastColumn="0" w:lastRowFirstColumn="0" w:lastRowLastColumn="0"/>
            <w:tcW w:w="1187" w:type="pct"/>
            <w:tcBorders>
              <w:top w:val="none" w:sz="0" w:space="0" w:color="auto"/>
              <w:bottom w:val="none" w:sz="0" w:space="0" w:color="auto"/>
            </w:tcBorders>
            <w:vAlign w:val="top"/>
          </w:tcPr>
          <w:p w:rsidR="009817F3" w:rsidRPr="00D51B2C" w:rsidRDefault="009817F3" w:rsidP="009817F3">
            <w:pPr>
              <w:pStyle w:val="TableText"/>
              <w:rPr>
                <w:i w:val="0"/>
              </w:rPr>
            </w:pPr>
            <w:r w:rsidRPr="00D51B2C">
              <w:rPr>
                <w:i w:val="0"/>
              </w:rPr>
              <w:t>-</w:t>
            </w:r>
          </w:p>
        </w:tc>
      </w:tr>
      <w:tr w:rsidR="009817F3" w:rsidTr="002527C6">
        <w:tc>
          <w:tcPr>
            <w:cnfStyle w:val="001000000000" w:firstRow="0" w:lastRow="0" w:firstColumn="1" w:lastColumn="0" w:oddVBand="0" w:evenVBand="0" w:oddHBand="0" w:evenHBand="0" w:firstRowFirstColumn="0" w:firstRowLastColumn="0" w:lastRowFirstColumn="0" w:lastRowLastColumn="0"/>
            <w:tcW w:w="5000" w:type="pct"/>
            <w:gridSpan w:val="3"/>
            <w:vAlign w:val="top"/>
          </w:tcPr>
          <w:p w:rsidR="009817F3" w:rsidRPr="006A679E" w:rsidRDefault="009817F3" w:rsidP="009817F3">
            <w:pPr>
              <w:pStyle w:val="TableText"/>
              <w:rPr>
                <w:b/>
              </w:rPr>
            </w:pPr>
            <w:r w:rsidRPr="006A679E">
              <w:rPr>
                <w:b/>
              </w:rPr>
              <w:t xml:space="preserve">Subgroup 2 – Adult tumour type with high </w:t>
            </w:r>
            <w:r w:rsidRPr="00623261">
              <w:rPr>
                <w:b/>
                <w:i/>
              </w:rPr>
              <w:t>NTRK</w:t>
            </w:r>
            <w:r w:rsidRPr="006A679E">
              <w:rPr>
                <w:b/>
              </w:rPr>
              <w:t xml:space="preserve"> fusion frequency</w:t>
            </w:r>
          </w:p>
        </w:tc>
      </w:tr>
      <w:tr w:rsidR="009817F3" w:rsidTr="002527C6">
        <w:tc>
          <w:tcPr>
            <w:cnfStyle w:val="001000000000" w:firstRow="0" w:lastRow="0" w:firstColumn="1" w:lastColumn="0" w:oddVBand="0" w:evenVBand="0" w:oddHBand="0" w:evenHBand="0" w:firstRowFirstColumn="0" w:firstRowLastColumn="0" w:lastRowFirstColumn="0" w:lastRowLastColumn="0"/>
            <w:tcW w:w="5000" w:type="pct"/>
            <w:gridSpan w:val="3"/>
            <w:vAlign w:val="top"/>
          </w:tcPr>
          <w:p w:rsidR="009817F3" w:rsidRPr="006A679E" w:rsidRDefault="009817F3" w:rsidP="009817F3">
            <w:pPr>
              <w:pStyle w:val="TableText"/>
              <w:rPr>
                <w:u w:val="single"/>
              </w:rPr>
            </w:pPr>
            <w:r w:rsidRPr="006A679E">
              <w:rPr>
                <w:u w:val="single"/>
              </w:rPr>
              <w:t>Representative tumour type - Salivary gland</w:t>
            </w:r>
          </w:p>
        </w:tc>
      </w:tr>
      <w:tr w:rsidR="009817F3" w:rsidTr="002527C6">
        <w:tc>
          <w:tcPr>
            <w:cnfStyle w:val="001000000000" w:firstRow="0" w:lastRow="0" w:firstColumn="1" w:lastColumn="0" w:oddVBand="0" w:evenVBand="0" w:oddHBand="0" w:evenHBand="0" w:firstRowFirstColumn="0" w:firstRowLastColumn="0" w:lastRowFirstColumn="0" w:lastRowLastColumn="0"/>
            <w:tcW w:w="1022" w:type="pct"/>
            <w:vAlign w:val="top"/>
          </w:tcPr>
          <w:p w:rsidR="009817F3" w:rsidRDefault="009817F3" w:rsidP="009817F3">
            <w:pPr>
              <w:pStyle w:val="TableText"/>
            </w:pPr>
            <w:r w:rsidRPr="00F51294">
              <w:rPr>
                <w:u w:val="single"/>
              </w:rPr>
              <w:t>SoC</w:t>
            </w:r>
            <w:r>
              <w:t xml:space="preserve"> </w:t>
            </w:r>
          </w:p>
          <w:p w:rsidR="009817F3" w:rsidRDefault="009817F3" w:rsidP="009817F3">
            <w:pPr>
              <w:pStyle w:val="TableText"/>
            </w:pPr>
            <w:r w:rsidRPr="00F51294">
              <w:t>Cisplatin + vinorelbine</w:t>
            </w:r>
          </w:p>
          <w:p w:rsidR="009817F3" w:rsidRDefault="009817F3" w:rsidP="009817F3">
            <w:pPr>
              <w:pStyle w:val="TableText"/>
            </w:pPr>
            <w:r w:rsidRPr="008E0C81">
              <w:t>Airoldi (2001)</w:t>
            </w:r>
          </w:p>
        </w:tc>
        <w:tc>
          <w:tcPr>
            <w:tcW w:w="2791" w:type="pct"/>
            <w:vAlign w:val="top"/>
          </w:tcPr>
          <w:p w:rsidR="009817F3" w:rsidRPr="00C32AB9" w:rsidRDefault="009817F3" w:rsidP="009817F3">
            <w:pPr>
              <w:pStyle w:val="TableText"/>
              <w:cnfStyle w:val="000000000000" w:firstRow="0" w:lastRow="0" w:firstColumn="0" w:lastColumn="0" w:oddVBand="0" w:evenVBand="0" w:oddHBand="0" w:evenHBand="0" w:firstRowFirstColumn="0" w:firstRowLastColumn="0" w:lastRowFirstColumn="0" w:lastRowLastColumn="0"/>
            </w:pPr>
            <w:r w:rsidRPr="008E0C81">
              <w:t xml:space="preserve">Airoldi M, Pedani F, Succo G, Gabriele AM, Ragona R, Marchionatti S, Bumma C. Phase II randomized trial comparing vinorelbine versus vinorelbine plus cisplatin in patients with recurrent salivary gland malignancies. </w:t>
            </w:r>
          </w:p>
        </w:tc>
        <w:tc>
          <w:tcPr>
            <w:cnfStyle w:val="000100000000" w:firstRow="0" w:lastRow="0" w:firstColumn="0" w:lastColumn="1" w:oddVBand="0" w:evenVBand="0" w:oddHBand="0" w:evenHBand="0" w:firstRowFirstColumn="0" w:firstRowLastColumn="0" w:lastRowFirstColumn="0" w:lastRowLastColumn="0"/>
            <w:tcW w:w="1187" w:type="pct"/>
            <w:tcBorders>
              <w:top w:val="none" w:sz="0" w:space="0" w:color="auto"/>
              <w:bottom w:val="none" w:sz="0" w:space="0" w:color="auto"/>
            </w:tcBorders>
            <w:vAlign w:val="top"/>
          </w:tcPr>
          <w:p w:rsidR="009817F3" w:rsidRPr="00D51B2C" w:rsidRDefault="009817F3" w:rsidP="009817F3">
            <w:pPr>
              <w:pStyle w:val="TableText"/>
              <w:rPr>
                <w:i w:val="0"/>
              </w:rPr>
            </w:pPr>
            <w:r w:rsidRPr="00D51B2C">
              <w:rPr>
                <w:i w:val="0"/>
              </w:rPr>
              <w:t>Cancer. 2001 Feb 1; 91(3):541-7.</w:t>
            </w:r>
          </w:p>
        </w:tc>
      </w:tr>
      <w:tr w:rsidR="009817F3" w:rsidTr="002527C6">
        <w:tc>
          <w:tcPr>
            <w:cnfStyle w:val="001000000000" w:firstRow="0" w:lastRow="0" w:firstColumn="1" w:lastColumn="0" w:oddVBand="0" w:evenVBand="0" w:oddHBand="0" w:evenHBand="0" w:firstRowFirstColumn="0" w:firstRowLastColumn="0" w:lastRowFirstColumn="0" w:lastRowLastColumn="0"/>
            <w:tcW w:w="5000" w:type="pct"/>
            <w:gridSpan w:val="3"/>
            <w:vAlign w:val="top"/>
          </w:tcPr>
          <w:p w:rsidR="009817F3" w:rsidRPr="006A679E" w:rsidRDefault="009817F3" w:rsidP="009817F3">
            <w:pPr>
              <w:pStyle w:val="TableText"/>
              <w:rPr>
                <w:b/>
              </w:rPr>
            </w:pPr>
            <w:r w:rsidRPr="006A679E">
              <w:rPr>
                <w:b/>
              </w:rPr>
              <w:t xml:space="preserve">Subgroup 3: “Paediatric” tumour type with low </w:t>
            </w:r>
            <w:r w:rsidRPr="00623261">
              <w:rPr>
                <w:b/>
                <w:i/>
              </w:rPr>
              <w:t>NTRK</w:t>
            </w:r>
            <w:r w:rsidRPr="006A679E">
              <w:rPr>
                <w:b/>
              </w:rPr>
              <w:t xml:space="preserve"> fusion frequency</w:t>
            </w:r>
          </w:p>
        </w:tc>
      </w:tr>
      <w:tr w:rsidR="009817F3" w:rsidTr="002527C6">
        <w:tc>
          <w:tcPr>
            <w:cnfStyle w:val="001000000000" w:firstRow="0" w:lastRow="0" w:firstColumn="1" w:lastColumn="0" w:oddVBand="0" w:evenVBand="0" w:oddHBand="0" w:evenHBand="0" w:firstRowFirstColumn="0" w:firstRowLastColumn="0" w:lastRowFirstColumn="0" w:lastRowLastColumn="0"/>
            <w:tcW w:w="5000" w:type="pct"/>
            <w:gridSpan w:val="3"/>
            <w:vAlign w:val="top"/>
          </w:tcPr>
          <w:p w:rsidR="009817F3" w:rsidRPr="006A679E" w:rsidRDefault="009817F3" w:rsidP="009817F3">
            <w:pPr>
              <w:pStyle w:val="TableText"/>
              <w:rPr>
                <w:u w:val="single"/>
              </w:rPr>
            </w:pPr>
            <w:r w:rsidRPr="006A679E">
              <w:rPr>
                <w:u w:val="single"/>
              </w:rPr>
              <w:t>Representative tumour type - CNS/glioma</w:t>
            </w:r>
          </w:p>
        </w:tc>
      </w:tr>
      <w:tr w:rsidR="009817F3" w:rsidTr="002527C6">
        <w:tc>
          <w:tcPr>
            <w:cnfStyle w:val="001000000000" w:firstRow="0" w:lastRow="0" w:firstColumn="1" w:lastColumn="0" w:oddVBand="0" w:evenVBand="0" w:oddHBand="0" w:evenHBand="0" w:firstRowFirstColumn="0" w:firstRowLastColumn="0" w:lastRowFirstColumn="0" w:lastRowLastColumn="0"/>
            <w:tcW w:w="1022" w:type="pct"/>
            <w:tcBorders>
              <w:bottom w:val="nil"/>
            </w:tcBorders>
            <w:vAlign w:val="top"/>
          </w:tcPr>
          <w:p w:rsidR="009817F3" w:rsidRDefault="009817F3" w:rsidP="009817F3">
            <w:pPr>
              <w:pStyle w:val="TableText"/>
            </w:pPr>
            <w:r w:rsidRPr="00F51294">
              <w:rPr>
                <w:u w:val="single"/>
              </w:rPr>
              <w:t>SoC</w:t>
            </w:r>
            <w:r w:rsidRPr="008E0C81">
              <w:t xml:space="preserve"> </w:t>
            </w:r>
          </w:p>
          <w:p w:rsidR="009817F3" w:rsidRDefault="009817F3" w:rsidP="009817F3">
            <w:pPr>
              <w:pStyle w:val="TableText"/>
            </w:pPr>
            <w:r>
              <w:t>Temozolomide (&gt;</w:t>
            </w:r>
            <w:r w:rsidRPr="00F51294">
              <w:t xml:space="preserve"> 3</w:t>
            </w:r>
            <w:r>
              <w:t xml:space="preserve"> y</w:t>
            </w:r>
            <w:r w:rsidR="006D66BE">
              <w:t>ea</w:t>
            </w:r>
            <w:r>
              <w:t>rs age)</w:t>
            </w:r>
          </w:p>
          <w:p w:rsidR="009817F3" w:rsidRDefault="009817F3" w:rsidP="009817F3">
            <w:pPr>
              <w:pStyle w:val="TableText"/>
            </w:pPr>
            <w:r w:rsidRPr="008E0C81">
              <w:t xml:space="preserve">Grill (2018): </w:t>
            </w:r>
          </w:p>
        </w:tc>
        <w:tc>
          <w:tcPr>
            <w:tcW w:w="2791" w:type="pct"/>
            <w:tcBorders>
              <w:bottom w:val="nil"/>
            </w:tcBorders>
            <w:vAlign w:val="top"/>
          </w:tcPr>
          <w:p w:rsidR="009817F3" w:rsidRPr="00C32AB9" w:rsidRDefault="009817F3" w:rsidP="009817F3">
            <w:pPr>
              <w:pStyle w:val="TableText"/>
              <w:cnfStyle w:val="000000000000" w:firstRow="0" w:lastRow="0" w:firstColumn="0" w:lastColumn="0" w:oddVBand="0" w:evenVBand="0" w:oddHBand="0" w:evenHBand="0" w:firstRowFirstColumn="0" w:firstRowLastColumn="0" w:lastRowFirstColumn="0" w:lastRowLastColumn="0"/>
            </w:pPr>
            <w:r w:rsidRPr="008E0C81">
              <w:t xml:space="preserve">Grill J, Massimino M, Bouffet E, Azizi AA, McCowage G, Cañete A, Saran F, Le Deley MC, Varlet P, Morgan PS, Jaspan T. Phase II, open-label, randomized, multicenter trial (HERBY) of bevacizumab in paediatric patients with newly diagnosed high-grade glioma. </w:t>
            </w:r>
          </w:p>
        </w:tc>
        <w:tc>
          <w:tcPr>
            <w:cnfStyle w:val="000100000000" w:firstRow="0" w:lastRow="0" w:firstColumn="0" w:lastColumn="1" w:oddVBand="0" w:evenVBand="0" w:oddHBand="0" w:evenHBand="0" w:firstRowFirstColumn="0" w:firstRowLastColumn="0" w:lastRowFirstColumn="0" w:lastRowLastColumn="0"/>
            <w:tcW w:w="1187" w:type="pct"/>
            <w:tcBorders>
              <w:top w:val="none" w:sz="0" w:space="0" w:color="auto"/>
              <w:bottom w:val="nil"/>
            </w:tcBorders>
            <w:vAlign w:val="top"/>
          </w:tcPr>
          <w:p w:rsidR="009817F3" w:rsidRPr="00D51B2C" w:rsidRDefault="009817F3" w:rsidP="009817F3">
            <w:pPr>
              <w:pStyle w:val="TableText"/>
              <w:rPr>
                <w:i w:val="0"/>
              </w:rPr>
            </w:pPr>
            <w:r w:rsidRPr="00D51B2C">
              <w:rPr>
                <w:i w:val="0"/>
              </w:rPr>
              <w:t>Journal of Clinical Oncology. 2018 Apr 1; 36(10):951-8.</w:t>
            </w:r>
          </w:p>
        </w:tc>
      </w:tr>
      <w:tr w:rsidR="009817F3" w:rsidTr="002527C6">
        <w:tc>
          <w:tcPr>
            <w:cnfStyle w:val="001000000000" w:firstRow="0" w:lastRow="0" w:firstColumn="1" w:lastColumn="0" w:oddVBand="0" w:evenVBand="0" w:oddHBand="0" w:evenHBand="0" w:firstRowFirstColumn="0" w:firstRowLastColumn="0" w:lastRowFirstColumn="0" w:lastRowLastColumn="0"/>
            <w:tcW w:w="1022" w:type="pct"/>
            <w:tcBorders>
              <w:top w:val="nil"/>
            </w:tcBorders>
            <w:vAlign w:val="top"/>
          </w:tcPr>
          <w:p w:rsidR="009817F3" w:rsidRPr="00F51294" w:rsidRDefault="009817F3" w:rsidP="009817F3">
            <w:pPr>
              <w:pStyle w:val="TableText"/>
              <w:rPr>
                <w:u w:val="single"/>
              </w:rPr>
            </w:pPr>
            <w:r w:rsidRPr="00F51294">
              <w:rPr>
                <w:u w:val="single"/>
              </w:rPr>
              <w:t>SoC</w:t>
            </w:r>
          </w:p>
          <w:p w:rsidR="009817F3" w:rsidRDefault="009817F3" w:rsidP="009817F3">
            <w:pPr>
              <w:pStyle w:val="TableText"/>
            </w:pPr>
            <w:r>
              <w:t>Lomustine</w:t>
            </w:r>
          </w:p>
          <w:p w:rsidR="009817F3" w:rsidRDefault="009817F3" w:rsidP="009817F3">
            <w:pPr>
              <w:pStyle w:val="TableText"/>
            </w:pPr>
            <w:r w:rsidRPr="008E0C81">
              <w:t xml:space="preserve">Wick (2017): </w:t>
            </w:r>
            <w:r w:rsidRPr="008E0C81">
              <w:rPr>
                <w:b/>
                <w:i/>
              </w:rPr>
              <w:t>Adults</w:t>
            </w:r>
            <w:r>
              <w:rPr>
                <w:vertAlign w:val="superscript"/>
              </w:rPr>
              <w:t>c</w:t>
            </w:r>
          </w:p>
        </w:tc>
        <w:tc>
          <w:tcPr>
            <w:tcW w:w="2791" w:type="pct"/>
            <w:tcBorders>
              <w:top w:val="nil"/>
            </w:tcBorders>
            <w:vAlign w:val="top"/>
          </w:tcPr>
          <w:p w:rsidR="009817F3" w:rsidRPr="00C32AB9" w:rsidRDefault="009817F3" w:rsidP="009817F3">
            <w:pPr>
              <w:pStyle w:val="TableText"/>
              <w:cnfStyle w:val="000000000000" w:firstRow="0" w:lastRow="0" w:firstColumn="0" w:lastColumn="0" w:oddVBand="0" w:evenVBand="0" w:oddHBand="0" w:evenHBand="0" w:firstRowFirstColumn="0" w:firstRowLastColumn="0" w:lastRowFirstColumn="0" w:lastRowLastColumn="0"/>
            </w:pPr>
            <w:r w:rsidRPr="008E0C81">
              <w:t xml:space="preserve">Wick W, Gorlia T, Bendszus M, Taphoorn M, Sahm F, Harting I, Brandes AA, Taal W, Domont J, Idbaih A, Campone M. Lomustine and bevacizumab in progressive glioblastoma. </w:t>
            </w:r>
          </w:p>
        </w:tc>
        <w:tc>
          <w:tcPr>
            <w:cnfStyle w:val="000100000000" w:firstRow="0" w:lastRow="0" w:firstColumn="0" w:lastColumn="1" w:oddVBand="0" w:evenVBand="0" w:oddHBand="0" w:evenHBand="0" w:firstRowFirstColumn="0" w:firstRowLastColumn="0" w:lastRowFirstColumn="0" w:lastRowLastColumn="0"/>
            <w:tcW w:w="1187" w:type="pct"/>
            <w:tcBorders>
              <w:top w:val="nil"/>
              <w:bottom w:val="none" w:sz="0" w:space="0" w:color="auto"/>
            </w:tcBorders>
            <w:vAlign w:val="top"/>
          </w:tcPr>
          <w:p w:rsidR="009817F3" w:rsidRPr="00D51B2C" w:rsidRDefault="009817F3" w:rsidP="009817F3">
            <w:pPr>
              <w:pStyle w:val="TableText"/>
              <w:rPr>
                <w:i w:val="0"/>
              </w:rPr>
            </w:pPr>
            <w:r w:rsidRPr="00D51B2C">
              <w:rPr>
                <w:i w:val="0"/>
              </w:rPr>
              <w:t>New England Journal of Medicine. 2017 Nov 16; 377(20):1954-63.</w:t>
            </w:r>
          </w:p>
        </w:tc>
      </w:tr>
      <w:tr w:rsidR="009817F3" w:rsidTr="002527C6">
        <w:tc>
          <w:tcPr>
            <w:cnfStyle w:val="001000000000" w:firstRow="0" w:lastRow="0" w:firstColumn="1" w:lastColumn="0" w:oddVBand="0" w:evenVBand="0" w:oddHBand="0" w:evenHBand="0" w:firstRowFirstColumn="0" w:firstRowLastColumn="0" w:lastRowFirstColumn="0" w:lastRowLastColumn="0"/>
            <w:tcW w:w="5000" w:type="pct"/>
            <w:gridSpan w:val="3"/>
            <w:vAlign w:val="top"/>
          </w:tcPr>
          <w:p w:rsidR="009817F3" w:rsidRPr="006A679E" w:rsidRDefault="009817F3" w:rsidP="009817F3">
            <w:pPr>
              <w:pStyle w:val="TableText"/>
              <w:rPr>
                <w:b/>
              </w:rPr>
            </w:pPr>
            <w:r w:rsidRPr="006A679E">
              <w:rPr>
                <w:b/>
              </w:rPr>
              <w:t xml:space="preserve">Subgroup 4 – Adult tumour type with low </w:t>
            </w:r>
            <w:r w:rsidRPr="00623261">
              <w:rPr>
                <w:b/>
                <w:i/>
              </w:rPr>
              <w:t>NTRK</w:t>
            </w:r>
            <w:r w:rsidRPr="006A679E">
              <w:rPr>
                <w:b/>
              </w:rPr>
              <w:t xml:space="preserve"> fusion frequency</w:t>
            </w:r>
          </w:p>
        </w:tc>
      </w:tr>
      <w:tr w:rsidR="009817F3" w:rsidTr="002527C6">
        <w:tc>
          <w:tcPr>
            <w:cnfStyle w:val="001000000000" w:firstRow="0" w:lastRow="0" w:firstColumn="1" w:lastColumn="0" w:oddVBand="0" w:evenVBand="0" w:oddHBand="0" w:evenHBand="0" w:firstRowFirstColumn="0" w:firstRowLastColumn="0" w:lastRowFirstColumn="0" w:lastRowLastColumn="0"/>
            <w:tcW w:w="5000" w:type="pct"/>
            <w:gridSpan w:val="3"/>
            <w:vAlign w:val="top"/>
          </w:tcPr>
          <w:p w:rsidR="009817F3" w:rsidRPr="006A679E" w:rsidRDefault="009817F3" w:rsidP="009817F3">
            <w:pPr>
              <w:pStyle w:val="TableText"/>
              <w:rPr>
                <w:u w:val="single"/>
              </w:rPr>
            </w:pPr>
            <w:r w:rsidRPr="006A679E">
              <w:rPr>
                <w:u w:val="single"/>
              </w:rPr>
              <w:t>Specified tumour type – Soft tissue sarcoma</w:t>
            </w:r>
          </w:p>
        </w:tc>
      </w:tr>
      <w:tr w:rsidR="009817F3" w:rsidTr="002527C6">
        <w:tc>
          <w:tcPr>
            <w:cnfStyle w:val="001000000000" w:firstRow="0" w:lastRow="0" w:firstColumn="1" w:lastColumn="0" w:oddVBand="0" w:evenVBand="0" w:oddHBand="0" w:evenHBand="0" w:firstRowFirstColumn="0" w:firstRowLastColumn="0" w:lastRowFirstColumn="0" w:lastRowLastColumn="0"/>
            <w:tcW w:w="1022" w:type="pct"/>
            <w:vAlign w:val="top"/>
          </w:tcPr>
          <w:p w:rsidR="009817F3" w:rsidRPr="00F51294" w:rsidRDefault="009817F3" w:rsidP="009817F3">
            <w:pPr>
              <w:pStyle w:val="TableText"/>
              <w:rPr>
                <w:u w:val="single"/>
              </w:rPr>
            </w:pPr>
            <w:r w:rsidRPr="00F51294">
              <w:rPr>
                <w:u w:val="single"/>
              </w:rPr>
              <w:t>SoC</w:t>
            </w:r>
          </w:p>
          <w:p w:rsidR="009817F3" w:rsidRDefault="009817F3" w:rsidP="009817F3">
            <w:pPr>
              <w:pStyle w:val="TableText"/>
            </w:pPr>
            <w:r>
              <w:t>Dacarbazine</w:t>
            </w:r>
          </w:p>
          <w:p w:rsidR="009817F3" w:rsidRDefault="009817F3" w:rsidP="009817F3">
            <w:pPr>
              <w:pStyle w:val="TableText"/>
            </w:pPr>
            <w:r w:rsidRPr="008E0C81">
              <w:t>Schöffski 2016</w:t>
            </w:r>
          </w:p>
        </w:tc>
        <w:tc>
          <w:tcPr>
            <w:tcW w:w="2791" w:type="pct"/>
            <w:vAlign w:val="top"/>
          </w:tcPr>
          <w:p w:rsidR="009817F3" w:rsidRPr="00C32AB9" w:rsidRDefault="009817F3" w:rsidP="009817F3">
            <w:pPr>
              <w:pStyle w:val="TableText"/>
              <w:cnfStyle w:val="000000000000" w:firstRow="0" w:lastRow="0" w:firstColumn="0" w:lastColumn="0" w:oddVBand="0" w:evenVBand="0" w:oddHBand="0" w:evenHBand="0" w:firstRowFirstColumn="0" w:firstRowLastColumn="0" w:lastRowFirstColumn="0" w:lastRowLastColumn="0"/>
            </w:pPr>
            <w:r w:rsidRPr="008E0C81">
              <w:t xml:space="preserve">Schöffski P, Chawla S, Maki RG, Italiano A, Gelderblom H, Choy E, Grignani G, Camargo V, Bauer S, Rha SY, Blay JY. Eribulin versus dacarbazine in previously treated patients with advanced liposarcoma or leiomyosarcoma: a randomised, open-label, multicentre, phase 3 trial. </w:t>
            </w:r>
          </w:p>
        </w:tc>
        <w:tc>
          <w:tcPr>
            <w:cnfStyle w:val="000100000000" w:firstRow="0" w:lastRow="0" w:firstColumn="0" w:lastColumn="1" w:oddVBand="0" w:evenVBand="0" w:oddHBand="0" w:evenHBand="0" w:firstRowFirstColumn="0" w:firstRowLastColumn="0" w:lastRowFirstColumn="0" w:lastRowLastColumn="0"/>
            <w:tcW w:w="1187" w:type="pct"/>
            <w:tcBorders>
              <w:top w:val="none" w:sz="0" w:space="0" w:color="auto"/>
              <w:bottom w:val="none" w:sz="0" w:space="0" w:color="auto"/>
            </w:tcBorders>
            <w:vAlign w:val="top"/>
          </w:tcPr>
          <w:p w:rsidR="009817F3" w:rsidRPr="00D51B2C" w:rsidRDefault="009817F3" w:rsidP="009817F3">
            <w:pPr>
              <w:pStyle w:val="TableText"/>
              <w:rPr>
                <w:i w:val="0"/>
              </w:rPr>
            </w:pPr>
            <w:r w:rsidRPr="00D51B2C">
              <w:rPr>
                <w:i w:val="0"/>
              </w:rPr>
              <w:t>Lancet. 2016. Apr 16;387(10028):1629-37.</w:t>
            </w:r>
          </w:p>
        </w:tc>
      </w:tr>
      <w:tr w:rsidR="009817F3" w:rsidTr="002527C6">
        <w:tc>
          <w:tcPr>
            <w:cnfStyle w:val="001000000000" w:firstRow="0" w:lastRow="0" w:firstColumn="1" w:lastColumn="0" w:oddVBand="0" w:evenVBand="0" w:oddHBand="0" w:evenHBand="0" w:firstRowFirstColumn="0" w:firstRowLastColumn="0" w:lastRowFirstColumn="0" w:lastRowLastColumn="0"/>
            <w:tcW w:w="1022" w:type="pct"/>
            <w:vAlign w:val="top"/>
          </w:tcPr>
          <w:p w:rsidR="009817F3" w:rsidRPr="00F51294" w:rsidRDefault="009817F3" w:rsidP="009817F3">
            <w:pPr>
              <w:pStyle w:val="TableText"/>
              <w:rPr>
                <w:u w:val="single"/>
              </w:rPr>
            </w:pPr>
            <w:r w:rsidRPr="00F51294">
              <w:rPr>
                <w:u w:val="single"/>
              </w:rPr>
              <w:t>SoC</w:t>
            </w:r>
          </w:p>
          <w:p w:rsidR="009817F3" w:rsidRDefault="009817F3" w:rsidP="009817F3">
            <w:pPr>
              <w:pStyle w:val="TableText"/>
            </w:pPr>
            <w:r>
              <w:t>Placebo/BSC</w:t>
            </w:r>
          </w:p>
          <w:p w:rsidR="009817F3" w:rsidRDefault="009817F3" w:rsidP="009817F3">
            <w:pPr>
              <w:pStyle w:val="TableText"/>
            </w:pPr>
            <w:r>
              <w:t>Van der Graaf 2012</w:t>
            </w:r>
          </w:p>
        </w:tc>
        <w:tc>
          <w:tcPr>
            <w:tcW w:w="2791" w:type="pct"/>
            <w:vAlign w:val="top"/>
          </w:tcPr>
          <w:p w:rsidR="009817F3" w:rsidRPr="00C32AB9" w:rsidRDefault="009817F3" w:rsidP="009817F3">
            <w:pPr>
              <w:pStyle w:val="TableText"/>
              <w:cnfStyle w:val="000000000000" w:firstRow="0" w:lastRow="0" w:firstColumn="0" w:lastColumn="0" w:oddVBand="0" w:evenVBand="0" w:oddHBand="0" w:evenHBand="0" w:firstRowFirstColumn="0" w:firstRowLastColumn="0" w:lastRowFirstColumn="0" w:lastRowLastColumn="0"/>
            </w:pPr>
            <w:r w:rsidRPr="008E0C81">
              <w:t xml:space="preserve">van der Graaf W, Blay J, et al. Pazopanib for metastatic soft-tissue sarcoma (PALETTE): a randomised, double-blind, placebo-controlled phase 3 trial. </w:t>
            </w:r>
          </w:p>
        </w:tc>
        <w:tc>
          <w:tcPr>
            <w:cnfStyle w:val="000100000000" w:firstRow="0" w:lastRow="0" w:firstColumn="0" w:lastColumn="1" w:oddVBand="0" w:evenVBand="0" w:oddHBand="0" w:evenHBand="0" w:firstRowFirstColumn="0" w:firstRowLastColumn="0" w:lastRowFirstColumn="0" w:lastRowLastColumn="0"/>
            <w:tcW w:w="1187" w:type="pct"/>
            <w:tcBorders>
              <w:top w:val="none" w:sz="0" w:space="0" w:color="auto"/>
              <w:bottom w:val="none" w:sz="0" w:space="0" w:color="auto"/>
            </w:tcBorders>
            <w:vAlign w:val="top"/>
          </w:tcPr>
          <w:p w:rsidR="009817F3" w:rsidRPr="00D51B2C" w:rsidRDefault="009817F3" w:rsidP="009817F3">
            <w:pPr>
              <w:pStyle w:val="TableText"/>
              <w:rPr>
                <w:i w:val="0"/>
              </w:rPr>
            </w:pPr>
            <w:r w:rsidRPr="00D51B2C">
              <w:rPr>
                <w:i w:val="0"/>
              </w:rPr>
              <w:t>Lancet. 2012. May 16; 379: 1879–86</w:t>
            </w:r>
          </w:p>
        </w:tc>
      </w:tr>
      <w:tr w:rsidR="009817F3" w:rsidTr="002527C6">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bottom w:val="single" w:sz="4" w:space="0" w:color="auto"/>
            </w:tcBorders>
            <w:vAlign w:val="top"/>
          </w:tcPr>
          <w:p w:rsidR="009817F3" w:rsidRPr="006A679E" w:rsidRDefault="009817F3" w:rsidP="009817F3">
            <w:pPr>
              <w:pStyle w:val="TableText"/>
              <w:rPr>
                <w:u w:val="single"/>
              </w:rPr>
            </w:pPr>
            <w:r w:rsidRPr="006A679E">
              <w:rPr>
                <w:u w:val="single"/>
              </w:rPr>
              <w:t>Specified tumour type – Colorectal carcinoma</w:t>
            </w:r>
          </w:p>
        </w:tc>
      </w:tr>
      <w:tr w:rsidR="009817F3" w:rsidTr="002527C6">
        <w:tc>
          <w:tcPr>
            <w:cnfStyle w:val="001000000000" w:firstRow="0" w:lastRow="0" w:firstColumn="1" w:lastColumn="0" w:oddVBand="0" w:evenVBand="0" w:oddHBand="0" w:evenHBand="0" w:firstRowFirstColumn="0" w:firstRowLastColumn="0" w:lastRowFirstColumn="0" w:lastRowLastColumn="0"/>
            <w:tcW w:w="1022" w:type="pct"/>
            <w:vAlign w:val="top"/>
          </w:tcPr>
          <w:p w:rsidR="009817F3" w:rsidRPr="00AE607C" w:rsidRDefault="009817F3" w:rsidP="009817F3">
            <w:pPr>
              <w:pStyle w:val="TableText"/>
              <w:rPr>
                <w:u w:val="single"/>
              </w:rPr>
            </w:pPr>
            <w:r w:rsidRPr="00AE607C">
              <w:rPr>
                <w:u w:val="single"/>
              </w:rPr>
              <w:t>SoC</w:t>
            </w:r>
          </w:p>
          <w:p w:rsidR="009817F3" w:rsidRDefault="009817F3" w:rsidP="009817F3">
            <w:pPr>
              <w:pStyle w:val="TableText"/>
            </w:pPr>
            <w:r w:rsidRPr="00AE607C">
              <w:t>Trifluridine/tipiracil Mayer 2015</w:t>
            </w:r>
          </w:p>
        </w:tc>
        <w:tc>
          <w:tcPr>
            <w:tcW w:w="2791" w:type="pct"/>
            <w:vAlign w:val="top"/>
          </w:tcPr>
          <w:p w:rsidR="009817F3" w:rsidRPr="00C32AB9" w:rsidRDefault="009817F3" w:rsidP="009817F3">
            <w:pPr>
              <w:pStyle w:val="TableText"/>
              <w:cnfStyle w:val="000000000000" w:firstRow="0" w:lastRow="0" w:firstColumn="0" w:lastColumn="0" w:oddVBand="0" w:evenVBand="0" w:oddHBand="0" w:evenHBand="0" w:firstRowFirstColumn="0" w:firstRowLastColumn="0" w:lastRowFirstColumn="0" w:lastRowLastColumn="0"/>
            </w:pPr>
            <w:r w:rsidRPr="00AE607C">
              <w:t xml:space="preserve">Mayer RJ, Van Cutsem E, </w:t>
            </w:r>
            <w:r>
              <w:t>et al.</w:t>
            </w:r>
            <w:r w:rsidRPr="00AE607C">
              <w:t xml:space="preserve"> A. Randomized trial of TAS-102 for refractory metastatic colorectal cancer. </w:t>
            </w:r>
          </w:p>
        </w:tc>
        <w:tc>
          <w:tcPr>
            <w:cnfStyle w:val="000100000000" w:firstRow="0" w:lastRow="0" w:firstColumn="0" w:lastColumn="1" w:oddVBand="0" w:evenVBand="0" w:oddHBand="0" w:evenHBand="0" w:firstRowFirstColumn="0" w:firstRowLastColumn="0" w:lastRowFirstColumn="0" w:lastRowLastColumn="0"/>
            <w:tcW w:w="1187" w:type="pct"/>
            <w:tcBorders>
              <w:top w:val="none" w:sz="0" w:space="0" w:color="auto"/>
              <w:bottom w:val="none" w:sz="0" w:space="0" w:color="auto"/>
            </w:tcBorders>
            <w:vAlign w:val="top"/>
          </w:tcPr>
          <w:p w:rsidR="009817F3" w:rsidRPr="00D51B2C" w:rsidRDefault="009817F3" w:rsidP="009817F3">
            <w:pPr>
              <w:pStyle w:val="TableText"/>
              <w:rPr>
                <w:i w:val="0"/>
              </w:rPr>
            </w:pPr>
            <w:r w:rsidRPr="00D51B2C">
              <w:rPr>
                <w:i w:val="0"/>
              </w:rPr>
              <w:t>New England Journal of Medicine 2015. May 14;372(20):1909-19</w:t>
            </w:r>
          </w:p>
        </w:tc>
      </w:tr>
      <w:tr w:rsidR="009817F3" w:rsidTr="002527C6">
        <w:tc>
          <w:tcPr>
            <w:cnfStyle w:val="001000000000" w:firstRow="0" w:lastRow="0" w:firstColumn="1" w:lastColumn="0" w:oddVBand="0" w:evenVBand="0" w:oddHBand="0" w:evenHBand="0" w:firstRowFirstColumn="0" w:firstRowLastColumn="0" w:lastRowFirstColumn="0" w:lastRowLastColumn="0"/>
            <w:tcW w:w="5000" w:type="pct"/>
            <w:gridSpan w:val="3"/>
            <w:vAlign w:val="top"/>
          </w:tcPr>
          <w:p w:rsidR="009817F3" w:rsidRPr="006A679E" w:rsidRDefault="009817F3" w:rsidP="009817F3">
            <w:pPr>
              <w:pStyle w:val="TableText"/>
              <w:rPr>
                <w:u w:val="single"/>
              </w:rPr>
            </w:pPr>
            <w:r w:rsidRPr="006A679E">
              <w:rPr>
                <w:u w:val="single"/>
              </w:rPr>
              <w:t>Specified tumour type – NSCLC</w:t>
            </w:r>
          </w:p>
        </w:tc>
      </w:tr>
      <w:tr w:rsidR="009817F3" w:rsidTr="002527C6">
        <w:tc>
          <w:tcPr>
            <w:cnfStyle w:val="001000000000" w:firstRow="0" w:lastRow="0" w:firstColumn="1" w:lastColumn="0" w:oddVBand="0" w:evenVBand="0" w:oddHBand="0" w:evenHBand="0" w:firstRowFirstColumn="0" w:firstRowLastColumn="0" w:lastRowFirstColumn="0" w:lastRowLastColumn="0"/>
            <w:tcW w:w="1022" w:type="pct"/>
            <w:tcBorders>
              <w:bottom w:val="nil"/>
            </w:tcBorders>
            <w:vAlign w:val="top"/>
          </w:tcPr>
          <w:p w:rsidR="009817F3" w:rsidRPr="00AE607C" w:rsidRDefault="009817F3" w:rsidP="009817F3">
            <w:pPr>
              <w:pStyle w:val="TableText"/>
              <w:rPr>
                <w:u w:val="single"/>
              </w:rPr>
            </w:pPr>
            <w:r w:rsidRPr="00AE607C">
              <w:rPr>
                <w:u w:val="single"/>
              </w:rPr>
              <w:t>SoC</w:t>
            </w:r>
          </w:p>
          <w:p w:rsidR="009817F3" w:rsidRDefault="009817F3" w:rsidP="009817F3">
            <w:pPr>
              <w:pStyle w:val="TableText"/>
            </w:pPr>
            <w:r w:rsidRPr="00AE607C">
              <w:t>Docetaxel</w:t>
            </w:r>
          </w:p>
          <w:p w:rsidR="009817F3" w:rsidRDefault="009817F3" w:rsidP="009817F3">
            <w:pPr>
              <w:pStyle w:val="TableText"/>
            </w:pPr>
            <w:r w:rsidRPr="00AE607C">
              <w:t>Borghaei</w:t>
            </w:r>
            <w:r>
              <w:t xml:space="preserve"> 2015</w:t>
            </w:r>
          </w:p>
          <w:p w:rsidR="009817F3" w:rsidRDefault="009817F3" w:rsidP="009817F3">
            <w:pPr>
              <w:pStyle w:val="TableText"/>
            </w:pPr>
          </w:p>
        </w:tc>
        <w:tc>
          <w:tcPr>
            <w:tcW w:w="2791" w:type="pct"/>
            <w:tcBorders>
              <w:bottom w:val="nil"/>
            </w:tcBorders>
            <w:vAlign w:val="top"/>
          </w:tcPr>
          <w:p w:rsidR="009817F3" w:rsidRPr="00C32AB9" w:rsidRDefault="009817F3" w:rsidP="009817F3">
            <w:pPr>
              <w:pStyle w:val="TableText"/>
              <w:cnfStyle w:val="000000000000" w:firstRow="0" w:lastRow="0" w:firstColumn="0" w:lastColumn="0" w:oddVBand="0" w:evenVBand="0" w:oddHBand="0" w:evenHBand="0" w:firstRowFirstColumn="0" w:firstRowLastColumn="0" w:lastRowFirstColumn="0" w:lastRowLastColumn="0"/>
            </w:pPr>
            <w:r w:rsidRPr="00AE607C">
              <w:t xml:space="preserve">Borghaei H, Paz-Ares L, et al. Nivolumab versus Docetaxel in Advanced Nonsquamous Non–Small-Cell Lung Cancer. </w:t>
            </w:r>
          </w:p>
        </w:tc>
        <w:tc>
          <w:tcPr>
            <w:cnfStyle w:val="000100000000" w:firstRow="0" w:lastRow="0" w:firstColumn="0" w:lastColumn="1" w:oddVBand="0" w:evenVBand="0" w:oddHBand="0" w:evenHBand="0" w:firstRowFirstColumn="0" w:firstRowLastColumn="0" w:lastRowFirstColumn="0" w:lastRowLastColumn="0"/>
            <w:tcW w:w="1187" w:type="pct"/>
            <w:tcBorders>
              <w:top w:val="none" w:sz="0" w:space="0" w:color="auto"/>
              <w:bottom w:val="nil"/>
            </w:tcBorders>
            <w:vAlign w:val="top"/>
          </w:tcPr>
          <w:p w:rsidR="009817F3" w:rsidRPr="00D51B2C" w:rsidRDefault="009817F3" w:rsidP="009817F3">
            <w:pPr>
              <w:pStyle w:val="TableText"/>
              <w:rPr>
                <w:i w:val="0"/>
              </w:rPr>
            </w:pPr>
            <w:r w:rsidRPr="00D51B2C">
              <w:rPr>
                <w:i w:val="0"/>
              </w:rPr>
              <w:t>New England Journal of Medicine. 2015. September 27;373:1627-39</w:t>
            </w:r>
          </w:p>
        </w:tc>
      </w:tr>
      <w:tr w:rsidR="009817F3" w:rsidTr="002527C6">
        <w:tc>
          <w:tcPr>
            <w:cnfStyle w:val="001000000000" w:firstRow="0" w:lastRow="0" w:firstColumn="1" w:lastColumn="0" w:oddVBand="0" w:evenVBand="0" w:oddHBand="0" w:evenHBand="0" w:firstRowFirstColumn="0" w:firstRowLastColumn="0" w:lastRowFirstColumn="0" w:lastRowLastColumn="0"/>
            <w:tcW w:w="1022" w:type="pct"/>
            <w:tcBorders>
              <w:top w:val="nil"/>
            </w:tcBorders>
            <w:vAlign w:val="top"/>
          </w:tcPr>
          <w:p w:rsidR="009817F3" w:rsidRDefault="009817F3" w:rsidP="009817F3">
            <w:pPr>
              <w:pStyle w:val="TableText"/>
              <w:rPr>
                <w:u w:val="single"/>
              </w:rPr>
            </w:pPr>
            <w:r>
              <w:rPr>
                <w:u w:val="single"/>
              </w:rPr>
              <w:t>SoC</w:t>
            </w:r>
          </w:p>
          <w:p w:rsidR="009817F3" w:rsidRDefault="009817F3" w:rsidP="009817F3">
            <w:pPr>
              <w:pStyle w:val="TableText"/>
            </w:pPr>
            <w:r>
              <w:t>Placebo/BSC</w:t>
            </w:r>
          </w:p>
          <w:p w:rsidR="009817F3" w:rsidRDefault="009817F3" w:rsidP="009817F3">
            <w:pPr>
              <w:pStyle w:val="TableText"/>
            </w:pPr>
            <w:r>
              <w:t>Sheperd 2005</w:t>
            </w:r>
          </w:p>
        </w:tc>
        <w:tc>
          <w:tcPr>
            <w:tcW w:w="2791" w:type="pct"/>
            <w:tcBorders>
              <w:top w:val="nil"/>
            </w:tcBorders>
            <w:vAlign w:val="top"/>
          </w:tcPr>
          <w:p w:rsidR="009817F3" w:rsidRPr="00C32AB9" w:rsidRDefault="009817F3" w:rsidP="009817F3">
            <w:pPr>
              <w:pStyle w:val="TableText"/>
              <w:cnfStyle w:val="000000000000" w:firstRow="0" w:lastRow="0" w:firstColumn="0" w:lastColumn="0" w:oddVBand="0" w:evenVBand="0" w:oddHBand="0" w:evenHBand="0" w:firstRowFirstColumn="0" w:firstRowLastColumn="0" w:lastRowFirstColumn="0" w:lastRowLastColumn="0"/>
            </w:pPr>
            <w:r w:rsidRPr="00AE607C">
              <w:t xml:space="preserve">Shepherd F, Rodrigues Pereira J, et al. Erlotinib in Previously Treated Non–Small-Cell Lung Cancer. </w:t>
            </w:r>
          </w:p>
        </w:tc>
        <w:tc>
          <w:tcPr>
            <w:cnfStyle w:val="000100000000" w:firstRow="0" w:lastRow="0" w:firstColumn="0" w:lastColumn="1" w:oddVBand="0" w:evenVBand="0" w:oddHBand="0" w:evenHBand="0" w:firstRowFirstColumn="0" w:firstRowLastColumn="0" w:lastRowFirstColumn="0" w:lastRowLastColumn="0"/>
            <w:tcW w:w="1187" w:type="pct"/>
            <w:tcBorders>
              <w:top w:val="nil"/>
              <w:bottom w:val="none" w:sz="0" w:space="0" w:color="auto"/>
            </w:tcBorders>
            <w:vAlign w:val="top"/>
          </w:tcPr>
          <w:p w:rsidR="009817F3" w:rsidRPr="00D51B2C" w:rsidRDefault="009817F3" w:rsidP="009817F3">
            <w:pPr>
              <w:pStyle w:val="TableText"/>
              <w:rPr>
                <w:i w:val="0"/>
              </w:rPr>
            </w:pPr>
            <w:r w:rsidRPr="00D51B2C">
              <w:rPr>
                <w:i w:val="0"/>
              </w:rPr>
              <w:t>New England Journal of Medicine. 2005. July 14;353:123-32</w:t>
            </w:r>
          </w:p>
        </w:tc>
      </w:tr>
      <w:tr w:rsidR="009817F3" w:rsidTr="002527C6">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vAlign w:val="top"/>
          </w:tcPr>
          <w:p w:rsidR="009817F3" w:rsidRPr="006A679E" w:rsidRDefault="009817F3" w:rsidP="009817F3">
            <w:pPr>
              <w:pStyle w:val="TableText"/>
              <w:rPr>
                <w:u w:val="single"/>
              </w:rPr>
            </w:pPr>
            <w:r w:rsidRPr="006A679E">
              <w:rPr>
                <w:u w:val="single"/>
              </w:rPr>
              <w:t>Specified tumour type – Thyroid</w:t>
            </w:r>
          </w:p>
        </w:tc>
      </w:tr>
      <w:tr w:rsidR="009817F3" w:rsidTr="002527C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pct"/>
            <w:tcBorders>
              <w:bottom w:val="single" w:sz="4" w:space="0" w:color="auto"/>
            </w:tcBorders>
            <w:vAlign w:val="top"/>
          </w:tcPr>
          <w:p w:rsidR="009817F3" w:rsidRPr="007A40DF" w:rsidRDefault="009817F3" w:rsidP="009817F3">
            <w:pPr>
              <w:pStyle w:val="TableText"/>
              <w:rPr>
                <w:i w:val="0"/>
                <w:u w:val="single"/>
              </w:rPr>
            </w:pPr>
            <w:r w:rsidRPr="007A40DF">
              <w:rPr>
                <w:i w:val="0"/>
                <w:u w:val="single"/>
              </w:rPr>
              <w:t>SoC</w:t>
            </w:r>
          </w:p>
          <w:p w:rsidR="009817F3" w:rsidRPr="007A40DF" w:rsidRDefault="009817F3" w:rsidP="009817F3">
            <w:pPr>
              <w:pStyle w:val="TableText"/>
              <w:rPr>
                <w:i w:val="0"/>
              </w:rPr>
            </w:pPr>
            <w:r w:rsidRPr="007A40DF">
              <w:rPr>
                <w:i w:val="0"/>
              </w:rPr>
              <w:t>Placebo/BSC</w:t>
            </w:r>
          </w:p>
          <w:p w:rsidR="009817F3" w:rsidRPr="007A40DF" w:rsidRDefault="009817F3" w:rsidP="009817F3">
            <w:pPr>
              <w:pStyle w:val="TableText"/>
              <w:rPr>
                <w:i w:val="0"/>
              </w:rPr>
            </w:pPr>
            <w:r w:rsidRPr="007A40DF">
              <w:rPr>
                <w:i w:val="0"/>
              </w:rPr>
              <w:t>Lenvatinib</w:t>
            </w:r>
          </w:p>
          <w:p w:rsidR="009817F3" w:rsidRPr="007A40DF" w:rsidRDefault="009817F3" w:rsidP="009817F3">
            <w:pPr>
              <w:pStyle w:val="TableText"/>
              <w:rPr>
                <w:i w:val="0"/>
              </w:rPr>
            </w:pPr>
            <w:r w:rsidRPr="007A40DF">
              <w:rPr>
                <w:i w:val="0"/>
              </w:rPr>
              <w:t>Schlumberger 2015</w:t>
            </w:r>
          </w:p>
        </w:tc>
        <w:tc>
          <w:tcPr>
            <w:tcW w:w="2791" w:type="pct"/>
            <w:tcBorders>
              <w:bottom w:val="single" w:sz="4" w:space="0" w:color="auto"/>
            </w:tcBorders>
            <w:vAlign w:val="top"/>
          </w:tcPr>
          <w:p w:rsidR="009817F3" w:rsidRPr="007A40DF" w:rsidRDefault="009817F3" w:rsidP="009817F3">
            <w:pPr>
              <w:pStyle w:val="TableText"/>
              <w:cnfStyle w:val="010000000000" w:firstRow="0" w:lastRow="1" w:firstColumn="0" w:lastColumn="0" w:oddVBand="0" w:evenVBand="0" w:oddHBand="0" w:evenHBand="0" w:firstRowFirstColumn="0" w:firstRowLastColumn="0" w:lastRowFirstColumn="0" w:lastRowLastColumn="0"/>
              <w:rPr>
                <w:i w:val="0"/>
              </w:rPr>
            </w:pPr>
            <w:r w:rsidRPr="007A40DF">
              <w:rPr>
                <w:i w:val="0"/>
              </w:rPr>
              <w:t xml:space="preserve">Schlumberger M, Tahara M, et al. Lenvatinib versus Placebo in Radioiodine Refractory Thyroid Cancer. </w:t>
            </w:r>
          </w:p>
        </w:tc>
        <w:tc>
          <w:tcPr>
            <w:cnfStyle w:val="000100000000" w:firstRow="0" w:lastRow="0" w:firstColumn="0" w:lastColumn="1" w:oddVBand="0" w:evenVBand="0" w:oddHBand="0" w:evenHBand="0" w:firstRowFirstColumn="0" w:firstRowLastColumn="0" w:lastRowFirstColumn="0" w:lastRowLastColumn="0"/>
            <w:tcW w:w="1187" w:type="pct"/>
            <w:tcBorders>
              <w:top w:val="none" w:sz="0" w:space="0" w:color="auto"/>
            </w:tcBorders>
            <w:vAlign w:val="top"/>
          </w:tcPr>
          <w:p w:rsidR="009817F3" w:rsidRPr="007A40DF" w:rsidRDefault="009817F3" w:rsidP="009817F3">
            <w:pPr>
              <w:pStyle w:val="TableText"/>
              <w:rPr>
                <w:i w:val="0"/>
              </w:rPr>
            </w:pPr>
            <w:r w:rsidRPr="007A40DF">
              <w:rPr>
                <w:i w:val="0"/>
              </w:rPr>
              <w:t>New England Journal of Medicine. 2015. February 12; 372:621-30</w:t>
            </w:r>
          </w:p>
        </w:tc>
      </w:tr>
    </w:tbl>
    <w:p w:rsidR="009817F3" w:rsidRPr="009817F3" w:rsidRDefault="009817F3" w:rsidP="009817F3">
      <w:pPr>
        <w:pStyle w:val="TableFooter"/>
      </w:pPr>
      <w:r w:rsidRPr="009817F3">
        <w:t>Source: Table 2.44, pp179-180 of the resubmission.</w:t>
      </w:r>
    </w:p>
    <w:p w:rsidR="009817F3" w:rsidRPr="009817F3" w:rsidRDefault="009817F3" w:rsidP="009817F3">
      <w:pPr>
        <w:pStyle w:val="TableFooter"/>
      </w:pPr>
      <w:r w:rsidRPr="009817F3">
        <w:t>SoC</w:t>
      </w:r>
      <w:r w:rsidR="006A679E">
        <w:rPr>
          <w:lang w:eastAsia="en-AU"/>
        </w:rPr>
        <w:t xml:space="preserve"> =</w:t>
      </w:r>
      <w:r w:rsidR="006A679E" w:rsidRPr="00FB6FEE">
        <w:rPr>
          <w:lang w:eastAsia="en-AU"/>
        </w:rPr>
        <w:t xml:space="preserve"> </w:t>
      </w:r>
      <w:r w:rsidRPr="009817F3">
        <w:t>standard of care; BSC</w:t>
      </w:r>
      <w:r w:rsidR="006A679E">
        <w:rPr>
          <w:lang w:eastAsia="en-AU"/>
        </w:rPr>
        <w:t xml:space="preserve"> =</w:t>
      </w:r>
      <w:r w:rsidR="006A679E" w:rsidRPr="00FB6FEE">
        <w:rPr>
          <w:lang w:eastAsia="en-AU"/>
        </w:rPr>
        <w:t xml:space="preserve"> </w:t>
      </w:r>
      <w:r w:rsidRPr="009817F3">
        <w:t>best supportive care; CNS</w:t>
      </w:r>
      <w:r w:rsidR="006A679E">
        <w:rPr>
          <w:lang w:eastAsia="en-AU"/>
        </w:rPr>
        <w:t xml:space="preserve"> =</w:t>
      </w:r>
      <w:r w:rsidR="006A679E" w:rsidRPr="00FB6FEE">
        <w:rPr>
          <w:lang w:eastAsia="en-AU"/>
        </w:rPr>
        <w:t xml:space="preserve"> </w:t>
      </w:r>
      <w:r w:rsidRPr="009817F3">
        <w:t>central nervous system; NSCLC</w:t>
      </w:r>
      <w:r w:rsidR="006A679E">
        <w:rPr>
          <w:lang w:eastAsia="en-AU"/>
        </w:rPr>
        <w:t xml:space="preserve"> =</w:t>
      </w:r>
      <w:r w:rsidR="006A679E" w:rsidRPr="00FB6FEE">
        <w:rPr>
          <w:lang w:eastAsia="en-AU"/>
        </w:rPr>
        <w:t xml:space="preserve"> </w:t>
      </w:r>
      <w:r w:rsidRPr="009817F3">
        <w:t xml:space="preserve">non-small cell lung cancer; </w:t>
      </w:r>
      <w:r w:rsidRPr="00623261">
        <w:rPr>
          <w:i/>
        </w:rPr>
        <w:t>NTRK</w:t>
      </w:r>
      <w:r w:rsidR="006A679E">
        <w:rPr>
          <w:lang w:eastAsia="en-AU"/>
        </w:rPr>
        <w:t xml:space="preserve"> =</w:t>
      </w:r>
      <w:r w:rsidR="006A679E" w:rsidRPr="00FB6FEE">
        <w:rPr>
          <w:lang w:eastAsia="en-AU"/>
        </w:rPr>
        <w:t xml:space="preserve"> </w:t>
      </w:r>
      <w:r w:rsidRPr="009817F3">
        <w:t>tropomyosin receptor kinase; TMZ</w:t>
      </w:r>
      <w:r w:rsidR="006A679E">
        <w:rPr>
          <w:lang w:eastAsia="en-AU"/>
        </w:rPr>
        <w:t xml:space="preserve"> =</w:t>
      </w:r>
      <w:r w:rsidR="006A679E" w:rsidRPr="00FB6FEE">
        <w:rPr>
          <w:lang w:eastAsia="en-AU"/>
        </w:rPr>
        <w:t xml:space="preserve"> </w:t>
      </w:r>
      <w:r w:rsidRPr="009817F3">
        <w:t>temozolomide; VAC</w:t>
      </w:r>
      <w:r w:rsidR="006A679E">
        <w:rPr>
          <w:lang w:eastAsia="en-AU"/>
        </w:rPr>
        <w:t xml:space="preserve"> =</w:t>
      </w:r>
      <w:r w:rsidR="006A679E" w:rsidRPr="00FB6FEE">
        <w:rPr>
          <w:lang w:eastAsia="en-AU"/>
        </w:rPr>
        <w:t xml:space="preserve"> </w:t>
      </w:r>
      <w:r w:rsidRPr="009817F3">
        <w:t>vincristine, actinomycin D, and cyclophosphamide</w:t>
      </w:r>
    </w:p>
    <w:p w:rsidR="009817F3" w:rsidRPr="009817F3" w:rsidRDefault="009817F3" w:rsidP="009817F3">
      <w:pPr>
        <w:pStyle w:val="TableFooter"/>
      </w:pPr>
      <w:r w:rsidRPr="009817F3">
        <w:t xml:space="preserve">Note: Tumour type representatives or exemplars were nominated for the subgroups and SoC studies provided for the exemplars to inform the comparative efficacy and safety for the subgroup of tumours they represent. For the adult high frequency subgroup, salivary gland was the exemplar for the salivary gland + secretory breast tumours. For the adult low frequency subgroup, four tumour types were specified and SoC evidence provided for each tumour type to inform the comparative effectiveness and safety of larotrectinib compared with SoC. </w:t>
      </w:r>
    </w:p>
    <w:p w:rsidR="009817F3" w:rsidRPr="00D117CD" w:rsidRDefault="009817F3" w:rsidP="009817F3">
      <w:pPr>
        <w:pStyle w:val="TableFooter"/>
        <w:rPr>
          <w:iCs/>
        </w:rPr>
      </w:pPr>
      <w:r w:rsidRPr="00D117CD">
        <w:rPr>
          <w:iCs/>
          <w:vertAlign w:val="superscript"/>
        </w:rPr>
        <w:t>a</w:t>
      </w:r>
      <w:r w:rsidRPr="00D117CD">
        <w:rPr>
          <w:iCs/>
        </w:rPr>
        <w:t xml:space="preserve">Regardless </w:t>
      </w:r>
      <w:r w:rsidR="00886412" w:rsidRPr="00D117CD">
        <w:rPr>
          <w:iCs/>
        </w:rPr>
        <w:t>of whether</w:t>
      </w:r>
      <w:r w:rsidRPr="00D117CD">
        <w:rPr>
          <w:iCs/>
        </w:rPr>
        <w:t xml:space="preserve"> the included studies were randomised, SOC data from these studies were essentially single arm in nature.</w:t>
      </w:r>
    </w:p>
    <w:p w:rsidR="009817F3" w:rsidRPr="00D117CD" w:rsidRDefault="009817F3" w:rsidP="009817F3">
      <w:pPr>
        <w:pStyle w:val="TableFooter"/>
        <w:rPr>
          <w:iCs/>
        </w:rPr>
      </w:pPr>
      <w:r w:rsidRPr="00D117CD">
        <w:rPr>
          <w:iCs/>
          <w:vertAlign w:val="superscript"/>
        </w:rPr>
        <w:t>b</w:t>
      </w:r>
      <w:r w:rsidRPr="00D117CD">
        <w:rPr>
          <w:iCs/>
        </w:rPr>
        <w:t>No studies examining VAC in advanced unresectable population were identified in the submission</w:t>
      </w:r>
    </w:p>
    <w:p w:rsidR="009817F3" w:rsidRPr="00D117CD" w:rsidRDefault="009817F3" w:rsidP="009817F3">
      <w:pPr>
        <w:pStyle w:val="TableFooter"/>
        <w:rPr>
          <w:iCs/>
        </w:rPr>
      </w:pPr>
      <w:r w:rsidRPr="00D117CD">
        <w:rPr>
          <w:iCs/>
          <w:vertAlign w:val="superscript"/>
        </w:rPr>
        <w:t>c</w:t>
      </w:r>
      <w:r w:rsidRPr="00D117CD">
        <w:rPr>
          <w:iCs/>
        </w:rPr>
        <w:t>Study conducted in adult patients – used as a proxy in the submission as paediatric studies were not identified</w:t>
      </w:r>
    </w:p>
    <w:p w:rsidR="00D51B2C" w:rsidRPr="00D51B2C" w:rsidRDefault="00D51B2C" w:rsidP="00D51B2C">
      <w:pPr>
        <w:numPr>
          <w:ilvl w:val="4"/>
          <w:numId w:val="1"/>
        </w:numPr>
        <w:ind w:left="709"/>
        <w:rPr>
          <w:color w:val="000000" w:themeColor="text1"/>
        </w:rPr>
      </w:pPr>
      <w:r w:rsidRPr="00D51B2C">
        <w:rPr>
          <w:color w:val="000000" w:themeColor="text1"/>
        </w:rPr>
        <w:t xml:space="preserve">A naïve indirect comparison was presented between pooled larotrectinib data and SoC data from </w:t>
      </w:r>
      <w:r w:rsidR="0040461D">
        <w:rPr>
          <w:color w:val="000000" w:themeColor="text1"/>
        </w:rPr>
        <w:t>11</w:t>
      </w:r>
      <w:r w:rsidRPr="00D51B2C">
        <w:rPr>
          <w:color w:val="000000" w:themeColor="text1"/>
        </w:rPr>
        <w:t xml:space="preserve"> </w:t>
      </w:r>
      <w:r w:rsidR="00057EDA" w:rsidRPr="00D51B2C">
        <w:rPr>
          <w:color w:val="000000" w:themeColor="text1"/>
        </w:rPr>
        <w:t>single</w:t>
      </w:r>
      <w:r w:rsidR="00057EDA">
        <w:rPr>
          <w:color w:val="000000" w:themeColor="text1"/>
        </w:rPr>
        <w:t>-</w:t>
      </w:r>
      <w:r w:rsidR="00057EDA" w:rsidRPr="00D51B2C">
        <w:rPr>
          <w:color w:val="000000" w:themeColor="text1"/>
        </w:rPr>
        <w:t xml:space="preserve">arm </w:t>
      </w:r>
      <w:r w:rsidRPr="00D51B2C">
        <w:rPr>
          <w:color w:val="000000" w:themeColor="text1"/>
        </w:rPr>
        <w:t>studies in “representative tumour types” for the paediatric and adult high frequency subgroups (IFS/paediatric STS, CNS/glioma, salivary gland (MASC)), and in the four specif</w:t>
      </w:r>
      <w:r w:rsidR="0040461D">
        <w:rPr>
          <w:color w:val="000000" w:themeColor="text1"/>
        </w:rPr>
        <w:t>ic</w:t>
      </w:r>
      <w:r w:rsidRPr="00D51B2C">
        <w:rPr>
          <w:color w:val="000000" w:themeColor="text1"/>
        </w:rPr>
        <w:t xml:space="preserve"> tumour </w:t>
      </w:r>
      <w:r w:rsidRPr="007B73DB">
        <w:rPr>
          <w:color w:val="000000" w:themeColor="text1"/>
        </w:rPr>
        <w:t>types for the adult low frequency subgroup (STS, CRC, NSCLC, and thyroid cancer). The risk of bias was high</w:t>
      </w:r>
      <w:r w:rsidR="0040461D" w:rsidRPr="007B73DB">
        <w:rPr>
          <w:color w:val="000000" w:themeColor="text1"/>
        </w:rPr>
        <w:t xml:space="preserve"> across the body of the evidence</w:t>
      </w:r>
      <w:r w:rsidRPr="007B73DB">
        <w:rPr>
          <w:color w:val="000000" w:themeColor="text1"/>
        </w:rPr>
        <w:t>.</w:t>
      </w:r>
    </w:p>
    <w:p w:rsidR="00D51B2C" w:rsidRPr="000F228F" w:rsidRDefault="00FA2D8D" w:rsidP="00D51B2C">
      <w:pPr>
        <w:numPr>
          <w:ilvl w:val="4"/>
          <w:numId w:val="1"/>
        </w:numPr>
        <w:ind w:left="709"/>
        <w:rPr>
          <w:iCs/>
          <w:color w:val="000000" w:themeColor="text1"/>
        </w:rPr>
      </w:pPr>
      <w:bookmarkStart w:id="46" w:name="_Ref89426730"/>
      <w:r w:rsidRPr="00E5073C">
        <w:rPr>
          <w:iCs/>
          <w:color w:val="000000" w:themeColor="text1"/>
        </w:rPr>
        <w:t>The ESCs considered that f</w:t>
      </w:r>
      <w:r w:rsidR="00D51B2C" w:rsidRPr="00E5073C">
        <w:rPr>
          <w:iCs/>
          <w:color w:val="000000" w:themeColor="text1"/>
        </w:rPr>
        <w:t xml:space="preserve">or the larotrectinib evidence, the following </w:t>
      </w:r>
      <w:r w:rsidR="0040461D" w:rsidRPr="00E5073C">
        <w:rPr>
          <w:iCs/>
          <w:color w:val="000000" w:themeColor="text1"/>
        </w:rPr>
        <w:t xml:space="preserve">specific </w:t>
      </w:r>
      <w:r w:rsidR="00D51B2C" w:rsidRPr="003E0694">
        <w:rPr>
          <w:iCs/>
          <w:color w:val="000000" w:themeColor="text1"/>
        </w:rPr>
        <w:t>concerns</w:t>
      </w:r>
      <w:r w:rsidR="0040461D" w:rsidRPr="003E0694">
        <w:rPr>
          <w:iCs/>
          <w:color w:val="000000" w:themeColor="text1"/>
        </w:rPr>
        <w:t>, raised in</w:t>
      </w:r>
      <w:r w:rsidR="00D51B2C" w:rsidRPr="000F228F">
        <w:rPr>
          <w:iCs/>
          <w:color w:val="000000" w:themeColor="text1"/>
        </w:rPr>
        <w:t xml:space="preserve"> </w:t>
      </w:r>
      <w:r w:rsidR="0040461D" w:rsidRPr="000F228F">
        <w:rPr>
          <w:iCs/>
          <w:color w:val="000000" w:themeColor="text1"/>
        </w:rPr>
        <w:t>the November 2020 PBAC Meeting, remain</w:t>
      </w:r>
      <w:r w:rsidR="00D51B2C" w:rsidRPr="000F228F">
        <w:rPr>
          <w:iCs/>
          <w:color w:val="000000" w:themeColor="text1"/>
        </w:rPr>
        <w:t>:</w:t>
      </w:r>
      <w:bookmarkEnd w:id="46"/>
    </w:p>
    <w:p w:rsidR="00537C11" w:rsidRPr="007B73DB" w:rsidRDefault="00537C11" w:rsidP="00D117CD">
      <w:pPr>
        <w:numPr>
          <w:ilvl w:val="0"/>
          <w:numId w:val="21"/>
        </w:numPr>
        <w:ind w:left="1077" w:hanging="357"/>
        <w:rPr>
          <w:iCs/>
          <w:color w:val="000000" w:themeColor="text1"/>
        </w:rPr>
      </w:pPr>
      <w:r w:rsidRPr="007B73DB">
        <w:rPr>
          <w:iCs/>
          <w:color w:val="000000" w:themeColor="text1"/>
        </w:rPr>
        <w:t xml:space="preserve">Pooling was conducted in the </w:t>
      </w:r>
      <w:r w:rsidR="00886412" w:rsidRPr="007B73DB">
        <w:rPr>
          <w:iCs/>
          <w:color w:val="000000" w:themeColor="text1"/>
        </w:rPr>
        <w:t>re</w:t>
      </w:r>
      <w:r w:rsidRPr="007B73DB">
        <w:rPr>
          <w:iCs/>
          <w:color w:val="000000" w:themeColor="text1"/>
        </w:rPr>
        <w:t>submission to address the limited reliability – however, interpreting the pooled results from the three different studies remained problematic</w:t>
      </w:r>
      <w:r w:rsidR="003D3EB8" w:rsidRPr="007B73DB">
        <w:rPr>
          <w:iCs/>
          <w:color w:val="000000" w:themeColor="text1"/>
        </w:rPr>
        <w:t>.</w:t>
      </w:r>
    </w:p>
    <w:p w:rsidR="00D51B2C" w:rsidRPr="007B73DB" w:rsidRDefault="00D51B2C" w:rsidP="00D117CD">
      <w:pPr>
        <w:numPr>
          <w:ilvl w:val="0"/>
          <w:numId w:val="21"/>
        </w:numPr>
        <w:ind w:left="1077" w:hanging="357"/>
        <w:rPr>
          <w:iCs/>
          <w:color w:val="000000" w:themeColor="text1"/>
        </w:rPr>
      </w:pPr>
      <w:r w:rsidRPr="007B73DB">
        <w:rPr>
          <w:iCs/>
          <w:color w:val="000000" w:themeColor="text1"/>
        </w:rPr>
        <w:t>Unreliability of the data due to small patient numbers</w:t>
      </w:r>
      <w:r w:rsidR="0040461D" w:rsidRPr="007B73DB">
        <w:rPr>
          <w:iCs/>
          <w:color w:val="000000" w:themeColor="text1"/>
        </w:rPr>
        <w:t xml:space="preserve"> (despite the additional data provided</w:t>
      </w:r>
      <w:r w:rsidR="00886412" w:rsidRPr="007B73DB">
        <w:rPr>
          <w:iCs/>
          <w:color w:val="000000" w:themeColor="text1"/>
        </w:rPr>
        <w:t xml:space="preserve"> in the resubmission</w:t>
      </w:r>
      <w:r w:rsidR="0040461D" w:rsidRPr="007B73DB">
        <w:rPr>
          <w:iCs/>
          <w:color w:val="000000" w:themeColor="text1"/>
        </w:rPr>
        <w:t>)</w:t>
      </w:r>
      <w:r w:rsidRPr="007B73DB">
        <w:rPr>
          <w:iCs/>
          <w:color w:val="000000" w:themeColor="text1"/>
        </w:rPr>
        <w:t xml:space="preserve">, and apparent differences within and between the studies in terms of design, patient characteristics, and </w:t>
      </w:r>
      <w:r w:rsidR="0040461D" w:rsidRPr="007B73DB">
        <w:rPr>
          <w:iCs/>
          <w:color w:val="000000" w:themeColor="text1"/>
        </w:rPr>
        <w:t>treatment outcomes</w:t>
      </w:r>
      <w:r w:rsidRPr="007B73DB">
        <w:rPr>
          <w:iCs/>
          <w:color w:val="000000" w:themeColor="text1"/>
        </w:rPr>
        <w:t>.</w:t>
      </w:r>
      <w:r w:rsidR="00ED5DF9" w:rsidRPr="007B73DB">
        <w:rPr>
          <w:iCs/>
          <w:color w:val="000000" w:themeColor="text1"/>
        </w:rPr>
        <w:t xml:space="preserve"> This limited reliability also hampered the assessment of whether the treatment effect was consistent across different tumour types.</w:t>
      </w:r>
    </w:p>
    <w:p w:rsidR="00D51B2C" w:rsidRPr="007B73DB" w:rsidRDefault="00D51B2C" w:rsidP="00D117CD">
      <w:pPr>
        <w:numPr>
          <w:ilvl w:val="0"/>
          <w:numId w:val="21"/>
        </w:numPr>
        <w:ind w:left="1077" w:hanging="357"/>
        <w:rPr>
          <w:iCs/>
          <w:color w:val="000000" w:themeColor="text1"/>
        </w:rPr>
      </w:pPr>
      <w:r w:rsidRPr="007B73DB">
        <w:rPr>
          <w:iCs/>
          <w:color w:val="000000" w:themeColor="text1"/>
        </w:rPr>
        <w:t xml:space="preserve">Subsequent therapies that </w:t>
      </w:r>
      <w:r w:rsidR="00ED5DF9" w:rsidRPr="007B73DB">
        <w:rPr>
          <w:iCs/>
          <w:color w:val="000000" w:themeColor="text1"/>
        </w:rPr>
        <w:t>were received by patients in the larotrectinib studies, post-</w:t>
      </w:r>
      <w:r w:rsidRPr="007B73DB">
        <w:rPr>
          <w:iCs/>
          <w:color w:val="000000" w:themeColor="text1"/>
        </w:rPr>
        <w:t xml:space="preserve">progression, — to treat resistance mutations to larotrectinib </w:t>
      </w:r>
      <w:r w:rsidR="00D90C2A" w:rsidRPr="007B73DB">
        <w:rPr>
          <w:iCs/>
          <w:color w:val="000000" w:themeColor="text1"/>
        </w:rPr>
        <w:t>—, may</w:t>
      </w:r>
      <w:r w:rsidRPr="007B73DB">
        <w:rPr>
          <w:iCs/>
          <w:color w:val="000000" w:themeColor="text1"/>
        </w:rPr>
        <w:t xml:space="preserve"> have contributed to gains in OS. Early clinical data suggest that target resistance mechanisms might be overcome by next generation TRK inhibitors, such as selitrectinib and repotrectinib (p27, Australian Public Assessment Report (AusPAR) for larotrectinib - PM-2019-03170-1-4, December 2020). Based on the July 2019 data cut-off (no data were provided for the July 2020 data </w:t>
      </w:r>
      <w:r w:rsidR="006D66BE" w:rsidRPr="007B73DB">
        <w:rPr>
          <w:iCs/>
          <w:color w:val="000000" w:themeColor="text1"/>
        </w:rPr>
        <w:t>cut-off</w:t>
      </w:r>
      <w:r w:rsidR="001C479D" w:rsidRPr="007B73DB">
        <w:rPr>
          <w:iCs/>
          <w:color w:val="000000" w:themeColor="text1"/>
        </w:rPr>
        <w:t xml:space="preserve"> with respect to subsequent therapies</w:t>
      </w:r>
      <w:r w:rsidRPr="007B73DB">
        <w:rPr>
          <w:iCs/>
          <w:color w:val="000000" w:themeColor="text1"/>
        </w:rPr>
        <w:t>), there were 41% (15/36) of patients in NAVIGATE who were administered either selitrectinib or entrectinib post progression. This proportion in SCOUT was 9%. Second generation TRK inhibitors are not currently PBS-subsidised and thus any observed OS benefit in the</w:t>
      </w:r>
      <w:r w:rsidR="00886412" w:rsidRPr="007B73DB">
        <w:rPr>
          <w:iCs/>
          <w:color w:val="000000" w:themeColor="text1"/>
        </w:rPr>
        <w:t>se</w:t>
      </w:r>
      <w:r w:rsidRPr="007B73DB">
        <w:rPr>
          <w:iCs/>
          <w:color w:val="000000" w:themeColor="text1"/>
        </w:rPr>
        <w:t xml:space="preserve"> studies may not be realised in Australian clinical practice.</w:t>
      </w:r>
      <w:r w:rsidR="00337802">
        <w:rPr>
          <w:i/>
          <w:color w:val="000000" w:themeColor="text1"/>
        </w:rPr>
        <w:t xml:space="preserve"> </w:t>
      </w:r>
      <w:r w:rsidR="00337802" w:rsidRPr="00CE283A">
        <w:rPr>
          <w:iCs/>
          <w:color w:val="000000" w:themeColor="text1"/>
        </w:rPr>
        <w:t xml:space="preserve">The PSCR contended that the </w:t>
      </w:r>
      <w:r w:rsidR="00BF7612" w:rsidRPr="00CE283A">
        <w:rPr>
          <w:iCs/>
          <w:color w:val="000000" w:themeColor="text1"/>
        </w:rPr>
        <w:t xml:space="preserve">impact of post-progression </w:t>
      </w:r>
      <w:r w:rsidR="006D66BE" w:rsidRPr="00CE283A">
        <w:rPr>
          <w:iCs/>
          <w:color w:val="000000" w:themeColor="text1"/>
        </w:rPr>
        <w:t>treatments</w:t>
      </w:r>
      <w:r w:rsidR="00BF7612" w:rsidRPr="00CE283A">
        <w:rPr>
          <w:iCs/>
          <w:color w:val="000000" w:themeColor="text1"/>
        </w:rPr>
        <w:t xml:space="preserve"> in the larotrectinib trials is not expected to be significantly different to Australian practice. The PSCR noted that in the updated ePAS5+SAS3 data,</w:t>
      </w:r>
      <w:r w:rsidR="007E2BA8" w:rsidRPr="00CE283A">
        <w:rPr>
          <w:iCs/>
          <w:color w:val="000000" w:themeColor="text1"/>
        </w:rPr>
        <w:t xml:space="preserve"> only</w:t>
      </w:r>
      <w:r w:rsidR="00BF7612" w:rsidRPr="00CE283A">
        <w:rPr>
          <w:iCs/>
          <w:color w:val="000000" w:themeColor="text1"/>
        </w:rPr>
        <w:t xml:space="preserve"> 1.8% (4/225)</w:t>
      </w:r>
      <w:r w:rsidR="00537749" w:rsidRPr="00CE283A">
        <w:rPr>
          <w:iCs/>
          <w:color w:val="000000" w:themeColor="text1"/>
        </w:rPr>
        <w:t>,</w:t>
      </w:r>
      <w:r w:rsidR="00BF7612" w:rsidRPr="00CE283A">
        <w:rPr>
          <w:iCs/>
          <w:color w:val="000000" w:themeColor="text1"/>
        </w:rPr>
        <w:t xml:space="preserve"> 11.6% (26/225)</w:t>
      </w:r>
      <w:r w:rsidR="007E2BA8" w:rsidRPr="00CE283A">
        <w:rPr>
          <w:iCs/>
          <w:color w:val="000000" w:themeColor="text1"/>
        </w:rPr>
        <w:t xml:space="preserve"> </w:t>
      </w:r>
      <w:r w:rsidR="00537749" w:rsidRPr="00CE283A">
        <w:rPr>
          <w:iCs/>
          <w:color w:val="000000" w:themeColor="text1"/>
        </w:rPr>
        <w:t xml:space="preserve">and 0.9% (2/225) </w:t>
      </w:r>
      <w:r w:rsidR="007E2BA8" w:rsidRPr="00CE283A">
        <w:rPr>
          <w:iCs/>
          <w:color w:val="000000" w:themeColor="text1"/>
        </w:rPr>
        <w:t>of patients were treated post-progression, with entrectinib</w:t>
      </w:r>
      <w:r w:rsidR="00537749" w:rsidRPr="00CE283A">
        <w:rPr>
          <w:iCs/>
          <w:color w:val="000000" w:themeColor="text1"/>
        </w:rPr>
        <w:t>,</w:t>
      </w:r>
      <w:r w:rsidR="007E2BA8" w:rsidRPr="00CE283A">
        <w:rPr>
          <w:iCs/>
          <w:color w:val="000000" w:themeColor="text1"/>
        </w:rPr>
        <w:t xml:space="preserve"> selitrectinib </w:t>
      </w:r>
      <w:r w:rsidR="00537749" w:rsidRPr="00CE283A">
        <w:rPr>
          <w:iCs/>
          <w:color w:val="000000" w:themeColor="text1"/>
        </w:rPr>
        <w:t xml:space="preserve">and repotrectinib, </w:t>
      </w:r>
      <w:r w:rsidR="007E2BA8" w:rsidRPr="00CE283A">
        <w:rPr>
          <w:iCs/>
          <w:color w:val="000000" w:themeColor="text1"/>
        </w:rPr>
        <w:t>respectively.</w:t>
      </w:r>
    </w:p>
    <w:p w:rsidR="00D51B2C" w:rsidRPr="007B73DB" w:rsidRDefault="00D51B2C" w:rsidP="00D117CD">
      <w:pPr>
        <w:numPr>
          <w:ilvl w:val="0"/>
          <w:numId w:val="21"/>
        </w:numPr>
        <w:ind w:left="1077" w:hanging="357"/>
        <w:rPr>
          <w:iCs/>
          <w:color w:val="000000" w:themeColor="text1"/>
        </w:rPr>
      </w:pPr>
      <w:r w:rsidRPr="007B73DB">
        <w:rPr>
          <w:iCs/>
          <w:color w:val="000000" w:themeColor="text1"/>
        </w:rPr>
        <w:t xml:space="preserve">NAVIGATE and SCOUT are ongoing open label studies. An applicability issue would arise if there is selective enrolment of patients </w:t>
      </w:r>
      <w:r w:rsidR="00537C11" w:rsidRPr="007B73DB">
        <w:rPr>
          <w:iCs/>
          <w:color w:val="000000" w:themeColor="text1"/>
        </w:rPr>
        <w:t xml:space="preserve">over time, </w:t>
      </w:r>
      <w:r w:rsidRPr="007B73DB">
        <w:rPr>
          <w:iCs/>
          <w:color w:val="000000" w:themeColor="text1"/>
        </w:rPr>
        <w:t>with highly responding tumour types</w:t>
      </w:r>
      <w:r w:rsidR="00537C11" w:rsidRPr="007B73DB">
        <w:rPr>
          <w:iCs/>
          <w:color w:val="000000" w:themeColor="text1"/>
        </w:rPr>
        <w:t>,</w:t>
      </w:r>
      <w:r w:rsidRPr="007B73DB">
        <w:rPr>
          <w:iCs/>
          <w:color w:val="000000" w:themeColor="text1"/>
        </w:rPr>
        <w:t xml:space="preserve"> which may </w:t>
      </w:r>
      <w:r w:rsidR="00D4725E" w:rsidRPr="007B73DB">
        <w:rPr>
          <w:iCs/>
          <w:color w:val="000000" w:themeColor="text1"/>
        </w:rPr>
        <w:t xml:space="preserve">result in </w:t>
      </w:r>
      <w:r w:rsidRPr="007B73DB">
        <w:rPr>
          <w:iCs/>
          <w:color w:val="000000" w:themeColor="text1"/>
        </w:rPr>
        <w:t>the distribution of tumour types</w:t>
      </w:r>
      <w:r w:rsidR="00D4725E" w:rsidRPr="007B73DB">
        <w:rPr>
          <w:iCs/>
          <w:color w:val="000000" w:themeColor="text1"/>
        </w:rPr>
        <w:t xml:space="preserve"> which are not representative of</w:t>
      </w:r>
      <w:r w:rsidRPr="007B73DB">
        <w:rPr>
          <w:iCs/>
          <w:color w:val="000000" w:themeColor="text1"/>
        </w:rPr>
        <w:t xml:space="preserve"> </w:t>
      </w:r>
      <w:r w:rsidR="00537C11" w:rsidRPr="007B73DB">
        <w:rPr>
          <w:iCs/>
          <w:color w:val="000000" w:themeColor="text1"/>
        </w:rPr>
        <w:t xml:space="preserve">Australian </w:t>
      </w:r>
      <w:r w:rsidRPr="007B73DB">
        <w:rPr>
          <w:iCs/>
          <w:color w:val="000000" w:themeColor="text1"/>
        </w:rPr>
        <w:t>clinical practice.</w:t>
      </w:r>
    </w:p>
    <w:p w:rsidR="00D51B2C" w:rsidRPr="00D51B2C" w:rsidRDefault="00D51B2C" w:rsidP="00D51B2C">
      <w:pPr>
        <w:numPr>
          <w:ilvl w:val="4"/>
          <w:numId w:val="1"/>
        </w:numPr>
        <w:ind w:left="709"/>
        <w:rPr>
          <w:color w:val="000000" w:themeColor="text1"/>
        </w:rPr>
      </w:pPr>
      <w:r w:rsidRPr="00D51B2C">
        <w:rPr>
          <w:color w:val="000000" w:themeColor="text1"/>
        </w:rPr>
        <w:t xml:space="preserve">OS and PFS outcomes by tumour type, were presented only for NAVIGATE. For LOXO-001, the number of participants by tumour type appears to be the same as for the previous data </w:t>
      </w:r>
      <w:r w:rsidR="006D66BE" w:rsidRPr="00D51B2C">
        <w:rPr>
          <w:color w:val="000000" w:themeColor="text1"/>
        </w:rPr>
        <w:t>cut-off</w:t>
      </w:r>
      <w:r w:rsidRPr="00D51B2C">
        <w:rPr>
          <w:color w:val="000000" w:themeColor="text1"/>
        </w:rPr>
        <w:t xml:space="preserve"> and remains too small to be informative (lung: 1; STS: 2; salivary: 3; thyroid: 4; GIST: 2; cancer of unknown origin: 1). </w:t>
      </w:r>
      <w:r w:rsidR="00796D25" w:rsidRPr="00796D25">
        <w:rPr>
          <w:color w:val="000000" w:themeColor="text1"/>
        </w:rPr>
        <w:t>Table</w:t>
      </w:r>
      <w:r w:rsidR="00E37EC3">
        <w:rPr>
          <w:color w:val="000000" w:themeColor="text1"/>
        </w:rPr>
        <w:t xml:space="preserve"> </w:t>
      </w:r>
      <w:r w:rsidR="00796D25" w:rsidRPr="00796D25">
        <w:rPr>
          <w:noProof/>
          <w:color w:val="000000" w:themeColor="text1"/>
        </w:rPr>
        <w:t>10</w:t>
      </w:r>
      <w:r w:rsidRPr="00D51B2C">
        <w:rPr>
          <w:color w:val="000000" w:themeColor="text1"/>
        </w:rPr>
        <w:t xml:space="preserve"> summarises the PFS results, by </w:t>
      </w:r>
      <w:r w:rsidRPr="00623261">
        <w:rPr>
          <w:i/>
          <w:color w:val="000000" w:themeColor="text1"/>
        </w:rPr>
        <w:t>NTRK</w:t>
      </w:r>
      <w:r w:rsidRPr="00D51B2C">
        <w:rPr>
          <w:color w:val="000000" w:themeColor="text1"/>
        </w:rPr>
        <w:t xml:space="preserve"> fusion status, from LOXO-001. OS results were not available in the resubmission. </w:t>
      </w:r>
      <w:r w:rsidR="00796D25" w:rsidRPr="00796D25">
        <w:rPr>
          <w:color w:val="000000" w:themeColor="text1"/>
        </w:rPr>
        <w:t>Table</w:t>
      </w:r>
      <w:r w:rsidR="00E37EC3">
        <w:rPr>
          <w:color w:val="000000" w:themeColor="text1"/>
        </w:rPr>
        <w:t xml:space="preserve"> </w:t>
      </w:r>
      <w:r w:rsidR="00796D25" w:rsidRPr="00796D25">
        <w:rPr>
          <w:noProof/>
          <w:color w:val="000000" w:themeColor="text1"/>
        </w:rPr>
        <w:t>11</w:t>
      </w:r>
      <w:r w:rsidRPr="00D51B2C">
        <w:rPr>
          <w:color w:val="000000" w:themeColor="text1"/>
        </w:rPr>
        <w:t xml:space="preserve"> and </w:t>
      </w:r>
      <w:r w:rsidR="00796D25" w:rsidRPr="00796D25">
        <w:rPr>
          <w:color w:val="000000" w:themeColor="text1"/>
        </w:rPr>
        <w:t>Table</w:t>
      </w:r>
      <w:r w:rsidR="00E37EC3">
        <w:rPr>
          <w:color w:val="000000" w:themeColor="text1"/>
        </w:rPr>
        <w:t xml:space="preserve"> </w:t>
      </w:r>
      <w:r w:rsidR="00796D25" w:rsidRPr="00796D25">
        <w:rPr>
          <w:noProof/>
          <w:color w:val="000000" w:themeColor="text1"/>
        </w:rPr>
        <w:t>12</w:t>
      </w:r>
      <w:r w:rsidRPr="00D51B2C">
        <w:rPr>
          <w:color w:val="000000" w:themeColor="text1"/>
        </w:rPr>
        <w:t xml:space="preserve"> summarise OS results from NAVIGATE and SCOUT, respectively.</w:t>
      </w:r>
    </w:p>
    <w:p w:rsidR="00D51B2C" w:rsidRPr="00D51B2C" w:rsidRDefault="00D51B2C" w:rsidP="00203ACF">
      <w:pPr>
        <w:pStyle w:val="Caption"/>
        <w:keepLines/>
      </w:pPr>
      <w:bookmarkStart w:id="47" w:name="_Ref79137457"/>
      <w:r w:rsidRPr="00D51B2C">
        <w:t>Table</w:t>
      </w:r>
      <w:r w:rsidR="00E37EC3">
        <w:t xml:space="preserve"> </w:t>
      </w:r>
      <w:r w:rsidR="00BB3DD1">
        <w:rPr>
          <w:noProof/>
        </w:rPr>
        <w:t>10</w:t>
      </w:r>
      <w:bookmarkEnd w:id="47"/>
      <w:r w:rsidR="00E37EC3">
        <w:rPr>
          <w:noProof/>
        </w:rPr>
        <w:t>:</w:t>
      </w:r>
      <w:r w:rsidR="00D117CD">
        <w:rPr>
          <w:noProof/>
        </w:rPr>
        <w:t xml:space="preserve"> </w:t>
      </w:r>
      <w:r w:rsidRPr="00D51B2C">
        <w:t xml:space="preserve">LOXO-001 - Progression-free survival in patients with and without </w:t>
      </w:r>
      <w:r w:rsidRPr="00623261">
        <w:rPr>
          <w:i/>
        </w:rPr>
        <w:t>NTRK</w:t>
      </w:r>
      <w:r w:rsidRPr="00D51B2C">
        <w:t xml:space="preserve"> fusion cancer</w:t>
      </w:r>
    </w:p>
    <w:tbl>
      <w:tblPr>
        <w:tblStyle w:val="HTATableshaded12"/>
        <w:tblW w:w="5000" w:type="pct"/>
        <w:tblLook w:val="04A0" w:firstRow="1" w:lastRow="0" w:firstColumn="1" w:lastColumn="0" w:noHBand="0" w:noVBand="1"/>
        <w:tblCaption w:val="Table 10: LOXO-001 - Progression-free survival in patients with and without NTRK fusion cancer"/>
      </w:tblPr>
      <w:tblGrid>
        <w:gridCol w:w="3114"/>
        <w:gridCol w:w="1264"/>
        <w:gridCol w:w="1713"/>
        <w:gridCol w:w="1275"/>
        <w:gridCol w:w="1650"/>
      </w:tblGrid>
      <w:tr w:rsidR="00D117CD" w:rsidRPr="00465EB9" w:rsidTr="00537749">
        <w:trPr>
          <w:cnfStyle w:val="100000000000" w:firstRow="1" w:lastRow="0" w:firstColumn="0" w:lastColumn="0" w:oddVBand="0" w:evenVBand="0" w:oddHBand="0" w:evenHBand="0" w:firstRowFirstColumn="0" w:firstRowLastColumn="0" w:lastRowFirstColumn="0" w:lastRowLastColumn="0"/>
          <w:tblHeader/>
        </w:trPr>
        <w:tc>
          <w:tcPr>
            <w:tcW w:w="1727" w:type="pct"/>
            <w:vMerge w:val="restart"/>
          </w:tcPr>
          <w:p w:rsidR="00D117CD" w:rsidRPr="00465EB9" w:rsidRDefault="00D117CD" w:rsidP="00203ACF">
            <w:pPr>
              <w:keepNext/>
              <w:keepLines/>
              <w:widowControl w:val="0"/>
              <w:spacing w:before="40" w:after="40" w:line="256" w:lineRule="auto"/>
              <w:jc w:val="left"/>
              <w:rPr>
                <w:rFonts w:ascii="Arial Narrow" w:hAnsi="Arial Narrow"/>
                <w:b/>
                <w:sz w:val="20"/>
              </w:rPr>
            </w:pPr>
            <w:r w:rsidRPr="00465EB9">
              <w:rPr>
                <w:rFonts w:ascii="Arial Narrow" w:hAnsi="Arial Narrow"/>
                <w:b/>
                <w:sz w:val="20"/>
              </w:rPr>
              <w:t>Status</w:t>
            </w:r>
            <w:r w:rsidRPr="00465EB9">
              <w:rPr>
                <w:rFonts w:ascii="Arial Narrow" w:hAnsi="Arial Narrow"/>
                <w:b/>
                <w:sz w:val="20"/>
                <w:vertAlign w:val="superscript"/>
              </w:rPr>
              <w:t xml:space="preserve"> </w:t>
            </w:r>
          </w:p>
        </w:tc>
        <w:tc>
          <w:tcPr>
            <w:tcW w:w="701" w:type="pct"/>
          </w:tcPr>
          <w:p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i/>
                <w:sz w:val="20"/>
              </w:rPr>
              <w:t>NTRK</w:t>
            </w:r>
            <w:r w:rsidRPr="00465EB9">
              <w:rPr>
                <w:rFonts w:ascii="Arial Narrow" w:hAnsi="Arial Narrow"/>
                <w:b/>
                <w:sz w:val="20"/>
              </w:rPr>
              <w:t xml:space="preserve"> fusion</w:t>
            </w:r>
          </w:p>
          <w:p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sz w:val="20"/>
              </w:rPr>
              <w:t>N = 13</w:t>
            </w:r>
          </w:p>
        </w:tc>
        <w:tc>
          <w:tcPr>
            <w:tcW w:w="950" w:type="pct"/>
          </w:tcPr>
          <w:p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sz w:val="20"/>
              </w:rPr>
              <w:t>Non-</w:t>
            </w:r>
            <w:r w:rsidRPr="00465EB9">
              <w:rPr>
                <w:rFonts w:ascii="Arial Narrow" w:hAnsi="Arial Narrow"/>
                <w:b/>
                <w:i/>
                <w:sz w:val="20"/>
              </w:rPr>
              <w:t>NTRK</w:t>
            </w:r>
            <w:r w:rsidRPr="00465EB9">
              <w:rPr>
                <w:rFonts w:ascii="Arial Narrow" w:hAnsi="Arial Narrow"/>
                <w:b/>
                <w:sz w:val="20"/>
              </w:rPr>
              <w:t xml:space="preserve"> fusion</w:t>
            </w:r>
          </w:p>
          <w:p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sz w:val="20"/>
              </w:rPr>
              <w:t>N = 62</w:t>
            </w:r>
          </w:p>
        </w:tc>
        <w:tc>
          <w:tcPr>
            <w:tcW w:w="707" w:type="pct"/>
          </w:tcPr>
          <w:p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i/>
                <w:sz w:val="20"/>
              </w:rPr>
              <w:t>NTRK</w:t>
            </w:r>
            <w:r w:rsidRPr="00465EB9">
              <w:rPr>
                <w:rFonts w:ascii="Arial Narrow" w:hAnsi="Arial Narrow"/>
                <w:b/>
                <w:sz w:val="20"/>
              </w:rPr>
              <w:t xml:space="preserve"> fusion</w:t>
            </w:r>
          </w:p>
          <w:p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sz w:val="20"/>
              </w:rPr>
              <w:t>N = 13</w:t>
            </w:r>
          </w:p>
        </w:tc>
        <w:tc>
          <w:tcPr>
            <w:tcW w:w="915" w:type="pct"/>
          </w:tcPr>
          <w:p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sz w:val="20"/>
              </w:rPr>
              <w:t>Non-</w:t>
            </w:r>
            <w:r w:rsidRPr="00465EB9">
              <w:rPr>
                <w:rFonts w:ascii="Arial Narrow" w:hAnsi="Arial Narrow"/>
                <w:b/>
                <w:i/>
                <w:sz w:val="20"/>
              </w:rPr>
              <w:t>NTRK</w:t>
            </w:r>
            <w:r w:rsidRPr="00465EB9">
              <w:rPr>
                <w:rFonts w:ascii="Arial Narrow" w:hAnsi="Arial Narrow"/>
                <w:b/>
                <w:sz w:val="20"/>
              </w:rPr>
              <w:t xml:space="preserve"> fusion</w:t>
            </w:r>
          </w:p>
          <w:p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sz w:val="20"/>
              </w:rPr>
              <w:t>N = 62</w:t>
            </w:r>
          </w:p>
        </w:tc>
      </w:tr>
      <w:tr w:rsidR="00D117CD" w:rsidRPr="00465EB9" w:rsidTr="00537749">
        <w:tc>
          <w:tcPr>
            <w:tcW w:w="1727" w:type="pct"/>
            <w:vMerge/>
          </w:tcPr>
          <w:p w:rsidR="00D117CD" w:rsidRPr="00465EB9" w:rsidRDefault="00D117CD" w:rsidP="00203ACF">
            <w:pPr>
              <w:keepNext/>
              <w:keepLines/>
              <w:widowControl w:val="0"/>
              <w:spacing w:before="40" w:after="40" w:line="256" w:lineRule="auto"/>
              <w:jc w:val="left"/>
              <w:rPr>
                <w:rFonts w:ascii="Arial Narrow" w:hAnsi="Arial Narrow"/>
                <w:b/>
                <w:sz w:val="20"/>
              </w:rPr>
            </w:pPr>
          </w:p>
        </w:tc>
        <w:tc>
          <w:tcPr>
            <w:tcW w:w="1651" w:type="pct"/>
            <w:gridSpan w:val="2"/>
          </w:tcPr>
          <w:p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sz w:val="20"/>
              </w:rPr>
              <w:t>Previous submission</w:t>
            </w:r>
          </w:p>
          <w:p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sz w:val="20"/>
              </w:rPr>
              <w:t>(July 2019 data cut-off)</w:t>
            </w:r>
          </w:p>
        </w:tc>
        <w:tc>
          <w:tcPr>
            <w:tcW w:w="1622" w:type="pct"/>
            <w:gridSpan w:val="2"/>
          </w:tcPr>
          <w:p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sz w:val="20"/>
              </w:rPr>
              <w:t>Resubmission</w:t>
            </w:r>
          </w:p>
          <w:p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sz w:val="20"/>
              </w:rPr>
              <w:t>(July 2020 data cut-off)</w:t>
            </w:r>
          </w:p>
        </w:tc>
      </w:tr>
      <w:tr w:rsidR="00D117CD" w:rsidRPr="00465EB9" w:rsidTr="00D117CD">
        <w:tc>
          <w:tcPr>
            <w:tcW w:w="5000" w:type="pct"/>
            <w:gridSpan w:val="5"/>
          </w:tcPr>
          <w:p w:rsidR="00D117CD" w:rsidRPr="00465EB9" w:rsidRDefault="00D117CD" w:rsidP="00D117CD">
            <w:pPr>
              <w:keepNext/>
              <w:keepLines/>
              <w:widowControl w:val="0"/>
              <w:spacing w:before="40" w:after="40" w:line="256" w:lineRule="auto"/>
              <w:jc w:val="left"/>
              <w:rPr>
                <w:rFonts w:ascii="Arial Narrow" w:hAnsi="Arial Narrow"/>
                <w:sz w:val="20"/>
                <w:highlight w:val="yellow"/>
              </w:rPr>
            </w:pPr>
            <w:r w:rsidRPr="00886412">
              <w:rPr>
                <w:rFonts w:ascii="Arial Narrow" w:hAnsi="Arial Narrow"/>
                <w:b/>
                <w:sz w:val="20"/>
              </w:rPr>
              <w:t xml:space="preserve">Progression status </w:t>
            </w:r>
            <w:r w:rsidRPr="00886412">
              <w:rPr>
                <w:rFonts w:ascii="Arial Narrow" w:hAnsi="Arial Narrow"/>
                <w:b/>
                <w:sz w:val="20"/>
                <w:vertAlign w:val="superscript"/>
              </w:rPr>
              <w:t>a,b</w:t>
            </w:r>
          </w:p>
        </w:tc>
      </w:tr>
      <w:tr w:rsidR="00797338" w:rsidRPr="00465EB9" w:rsidTr="00537749">
        <w:tc>
          <w:tcPr>
            <w:tcW w:w="1727" w:type="pct"/>
          </w:tcPr>
          <w:p w:rsidR="00797338" w:rsidRPr="00465EB9" w:rsidRDefault="00797338" w:rsidP="00203ACF">
            <w:pPr>
              <w:keepNext/>
              <w:keepLines/>
              <w:widowControl w:val="0"/>
              <w:spacing w:before="40" w:after="40" w:line="256" w:lineRule="auto"/>
              <w:jc w:val="left"/>
              <w:rPr>
                <w:rFonts w:ascii="Arial Narrow" w:hAnsi="Arial Narrow"/>
                <w:sz w:val="20"/>
              </w:rPr>
            </w:pPr>
            <w:r w:rsidRPr="00465EB9">
              <w:rPr>
                <w:rFonts w:ascii="Arial Narrow" w:hAnsi="Arial Narrow"/>
                <w:sz w:val="20"/>
              </w:rPr>
              <w:t>Progressed</w:t>
            </w:r>
          </w:p>
        </w:tc>
        <w:tc>
          <w:tcPr>
            <w:tcW w:w="701"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4 (31%)</w:t>
            </w:r>
          </w:p>
        </w:tc>
        <w:tc>
          <w:tcPr>
            <w:tcW w:w="950"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54 (87%)</w:t>
            </w:r>
          </w:p>
        </w:tc>
        <w:tc>
          <w:tcPr>
            <w:tcW w:w="707" w:type="pct"/>
          </w:tcPr>
          <w:p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6 (46</w:t>
            </w:r>
            <w:r>
              <w:rPr>
                <w:rFonts w:ascii="Arial Narrow" w:hAnsi="Arial Narrow"/>
                <w:sz w:val="20"/>
              </w:rPr>
              <w:t>%</w:t>
            </w:r>
            <w:r w:rsidRPr="00465EB9">
              <w:rPr>
                <w:rFonts w:ascii="Arial Narrow" w:hAnsi="Arial Narrow"/>
                <w:sz w:val="20"/>
              </w:rPr>
              <w:t>)</w:t>
            </w:r>
          </w:p>
        </w:tc>
        <w:tc>
          <w:tcPr>
            <w:tcW w:w="915" w:type="pct"/>
          </w:tcPr>
          <w:p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54 (87</w:t>
            </w:r>
            <w:r>
              <w:rPr>
                <w:rFonts w:ascii="Arial Narrow" w:hAnsi="Arial Narrow"/>
                <w:sz w:val="20"/>
              </w:rPr>
              <w:t>%</w:t>
            </w:r>
            <w:r w:rsidRPr="00465EB9">
              <w:rPr>
                <w:rFonts w:ascii="Arial Narrow" w:hAnsi="Arial Narrow"/>
                <w:sz w:val="20"/>
              </w:rPr>
              <w:t>)</w:t>
            </w:r>
          </w:p>
        </w:tc>
      </w:tr>
      <w:tr w:rsidR="00797338" w:rsidRPr="00465EB9" w:rsidTr="00537749">
        <w:tc>
          <w:tcPr>
            <w:tcW w:w="1727" w:type="pct"/>
          </w:tcPr>
          <w:p w:rsidR="00797338" w:rsidRPr="00465EB9" w:rsidRDefault="00797338" w:rsidP="00203ACF">
            <w:pPr>
              <w:keepNext/>
              <w:keepLines/>
              <w:widowControl w:val="0"/>
              <w:spacing w:before="40" w:after="40" w:line="256" w:lineRule="auto"/>
              <w:jc w:val="left"/>
              <w:rPr>
                <w:rFonts w:ascii="Arial Narrow" w:hAnsi="Arial Narrow"/>
                <w:sz w:val="20"/>
              </w:rPr>
            </w:pPr>
            <w:r w:rsidRPr="00465EB9">
              <w:rPr>
                <w:rFonts w:ascii="Arial Narrow" w:hAnsi="Arial Narrow"/>
                <w:sz w:val="20"/>
              </w:rPr>
              <w:t>Censored</w:t>
            </w:r>
          </w:p>
        </w:tc>
        <w:tc>
          <w:tcPr>
            <w:tcW w:w="701"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9 (69%)</w:t>
            </w:r>
          </w:p>
        </w:tc>
        <w:tc>
          <w:tcPr>
            <w:tcW w:w="950"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8 (13%)</w:t>
            </w:r>
          </w:p>
        </w:tc>
        <w:tc>
          <w:tcPr>
            <w:tcW w:w="707" w:type="pct"/>
          </w:tcPr>
          <w:p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7 (54</w:t>
            </w:r>
            <w:r>
              <w:rPr>
                <w:rFonts w:ascii="Arial Narrow" w:hAnsi="Arial Narrow"/>
                <w:sz w:val="20"/>
              </w:rPr>
              <w:t>%</w:t>
            </w:r>
            <w:r w:rsidRPr="00465EB9">
              <w:rPr>
                <w:rFonts w:ascii="Arial Narrow" w:hAnsi="Arial Narrow"/>
                <w:sz w:val="20"/>
              </w:rPr>
              <w:t>)</w:t>
            </w:r>
          </w:p>
        </w:tc>
        <w:tc>
          <w:tcPr>
            <w:tcW w:w="915" w:type="pct"/>
          </w:tcPr>
          <w:p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8 (13</w:t>
            </w:r>
            <w:r>
              <w:rPr>
                <w:rFonts w:ascii="Arial Narrow" w:hAnsi="Arial Narrow"/>
                <w:sz w:val="20"/>
              </w:rPr>
              <w:t>%</w:t>
            </w:r>
            <w:r w:rsidRPr="00465EB9">
              <w:rPr>
                <w:rFonts w:ascii="Arial Narrow" w:hAnsi="Arial Narrow"/>
                <w:sz w:val="20"/>
              </w:rPr>
              <w:t>)</w:t>
            </w:r>
          </w:p>
        </w:tc>
      </w:tr>
      <w:tr w:rsidR="00D117CD" w:rsidRPr="00465EB9" w:rsidTr="00D117CD">
        <w:tc>
          <w:tcPr>
            <w:tcW w:w="5000" w:type="pct"/>
            <w:gridSpan w:val="5"/>
          </w:tcPr>
          <w:p w:rsidR="00D117CD" w:rsidRPr="00465EB9" w:rsidRDefault="00D117CD" w:rsidP="00D117CD">
            <w:pPr>
              <w:keepNext/>
              <w:keepLines/>
              <w:widowControl w:val="0"/>
              <w:spacing w:before="40" w:after="40" w:line="256" w:lineRule="auto"/>
              <w:jc w:val="left"/>
              <w:rPr>
                <w:rFonts w:ascii="Arial Narrow" w:hAnsi="Arial Narrow"/>
                <w:sz w:val="20"/>
                <w:highlight w:val="yellow"/>
              </w:rPr>
            </w:pPr>
            <w:r w:rsidRPr="00465EB9">
              <w:rPr>
                <w:rFonts w:ascii="Arial Narrow" w:hAnsi="Arial Narrow"/>
                <w:b/>
                <w:sz w:val="20"/>
              </w:rPr>
              <w:t xml:space="preserve">Duration of PFS (months) </w:t>
            </w:r>
            <w:r w:rsidRPr="00465EB9">
              <w:rPr>
                <w:rFonts w:ascii="Arial Narrow" w:hAnsi="Arial Narrow"/>
                <w:b/>
                <w:sz w:val="20"/>
                <w:vertAlign w:val="superscript"/>
              </w:rPr>
              <w:t>c,d</w:t>
            </w:r>
          </w:p>
        </w:tc>
      </w:tr>
      <w:tr w:rsidR="00797338" w:rsidRPr="00465EB9" w:rsidTr="00537749">
        <w:tc>
          <w:tcPr>
            <w:tcW w:w="1727" w:type="pct"/>
          </w:tcPr>
          <w:p w:rsidR="00797338" w:rsidRPr="00465EB9" w:rsidRDefault="00797338" w:rsidP="00203ACF">
            <w:pPr>
              <w:keepNext/>
              <w:keepLines/>
              <w:widowControl w:val="0"/>
              <w:spacing w:before="40" w:after="40" w:line="256" w:lineRule="auto"/>
              <w:jc w:val="left"/>
              <w:rPr>
                <w:rFonts w:ascii="Arial Narrow" w:hAnsi="Arial Narrow"/>
                <w:sz w:val="20"/>
              </w:rPr>
            </w:pPr>
            <w:r w:rsidRPr="00465EB9">
              <w:rPr>
                <w:rFonts w:ascii="Arial Narrow" w:hAnsi="Arial Narrow"/>
                <w:sz w:val="20"/>
              </w:rPr>
              <w:t>Median</w:t>
            </w:r>
          </w:p>
        </w:tc>
        <w:tc>
          <w:tcPr>
            <w:tcW w:w="701"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NE</w:t>
            </w:r>
          </w:p>
        </w:tc>
        <w:tc>
          <w:tcPr>
            <w:tcW w:w="950"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1.8</w:t>
            </w:r>
          </w:p>
        </w:tc>
        <w:tc>
          <w:tcPr>
            <w:tcW w:w="707" w:type="pct"/>
          </w:tcPr>
          <w:p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51.1</w:t>
            </w:r>
          </w:p>
        </w:tc>
        <w:tc>
          <w:tcPr>
            <w:tcW w:w="915" w:type="pct"/>
          </w:tcPr>
          <w:p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1.8</w:t>
            </w:r>
          </w:p>
        </w:tc>
      </w:tr>
      <w:tr w:rsidR="00797338" w:rsidRPr="00465EB9" w:rsidTr="00537749">
        <w:tc>
          <w:tcPr>
            <w:tcW w:w="1727" w:type="pct"/>
          </w:tcPr>
          <w:p w:rsidR="00797338" w:rsidRPr="00465EB9" w:rsidRDefault="00797338" w:rsidP="00203ACF">
            <w:pPr>
              <w:keepNext/>
              <w:keepLines/>
              <w:widowControl w:val="0"/>
              <w:spacing w:before="40" w:after="40" w:line="256" w:lineRule="auto"/>
              <w:jc w:val="left"/>
              <w:rPr>
                <w:rFonts w:ascii="Arial Narrow" w:hAnsi="Arial Narrow"/>
                <w:sz w:val="20"/>
              </w:rPr>
            </w:pPr>
            <w:r w:rsidRPr="00465EB9">
              <w:rPr>
                <w:rFonts w:ascii="Arial Narrow" w:hAnsi="Arial Narrow"/>
                <w:sz w:val="20"/>
              </w:rPr>
              <w:t>95% CI for median</w:t>
            </w:r>
          </w:p>
        </w:tc>
        <w:tc>
          <w:tcPr>
            <w:tcW w:w="701"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9.9, NE</w:t>
            </w:r>
          </w:p>
        </w:tc>
        <w:tc>
          <w:tcPr>
            <w:tcW w:w="950"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1.4, 1.9</w:t>
            </w:r>
          </w:p>
        </w:tc>
        <w:tc>
          <w:tcPr>
            <w:tcW w:w="707" w:type="pct"/>
          </w:tcPr>
          <w:p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10.9, NE</w:t>
            </w:r>
          </w:p>
        </w:tc>
        <w:tc>
          <w:tcPr>
            <w:tcW w:w="915" w:type="pct"/>
          </w:tcPr>
          <w:p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1.4,</w:t>
            </w:r>
            <w:r>
              <w:rPr>
                <w:rFonts w:ascii="Arial Narrow" w:hAnsi="Arial Narrow"/>
                <w:sz w:val="20"/>
              </w:rPr>
              <w:t xml:space="preserve"> </w:t>
            </w:r>
            <w:r w:rsidRPr="00465EB9">
              <w:rPr>
                <w:rFonts w:ascii="Arial Narrow" w:hAnsi="Arial Narrow"/>
                <w:sz w:val="20"/>
              </w:rPr>
              <w:t>1.9</w:t>
            </w:r>
          </w:p>
        </w:tc>
      </w:tr>
      <w:tr w:rsidR="00797338" w:rsidRPr="00465EB9" w:rsidTr="00537749">
        <w:tc>
          <w:tcPr>
            <w:tcW w:w="1727" w:type="pct"/>
          </w:tcPr>
          <w:p w:rsidR="00797338" w:rsidRPr="00465EB9" w:rsidRDefault="00797338" w:rsidP="00203ACF">
            <w:pPr>
              <w:keepNext/>
              <w:keepLines/>
              <w:widowControl w:val="0"/>
              <w:spacing w:before="40" w:after="40" w:line="256" w:lineRule="auto"/>
              <w:jc w:val="left"/>
              <w:rPr>
                <w:rFonts w:ascii="Arial Narrow" w:hAnsi="Arial Narrow"/>
                <w:sz w:val="20"/>
              </w:rPr>
            </w:pPr>
            <w:r w:rsidRPr="00465EB9">
              <w:rPr>
                <w:rFonts w:ascii="Arial Narrow" w:hAnsi="Arial Narrow"/>
                <w:sz w:val="20"/>
              </w:rPr>
              <w:t>Minimum, maximum</w:t>
            </w:r>
          </w:p>
        </w:tc>
        <w:tc>
          <w:tcPr>
            <w:tcW w:w="701"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0.0+, 51.6+</w:t>
            </w:r>
          </w:p>
        </w:tc>
        <w:tc>
          <w:tcPr>
            <w:tcW w:w="950"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0.0+, 25.2+</w:t>
            </w:r>
          </w:p>
        </w:tc>
        <w:tc>
          <w:tcPr>
            <w:tcW w:w="707" w:type="pct"/>
          </w:tcPr>
          <w:p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0.0+, 60.4+</w:t>
            </w:r>
          </w:p>
        </w:tc>
        <w:tc>
          <w:tcPr>
            <w:tcW w:w="915" w:type="pct"/>
          </w:tcPr>
          <w:p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0.0+, 25.2+</w:t>
            </w:r>
          </w:p>
        </w:tc>
      </w:tr>
      <w:tr w:rsidR="00D117CD" w:rsidRPr="00465EB9" w:rsidTr="00D117CD">
        <w:tc>
          <w:tcPr>
            <w:tcW w:w="5000" w:type="pct"/>
            <w:gridSpan w:val="5"/>
          </w:tcPr>
          <w:p w:rsidR="00D117CD" w:rsidRPr="00465EB9" w:rsidRDefault="00D117CD" w:rsidP="00D117CD">
            <w:pPr>
              <w:keepNext/>
              <w:keepLines/>
              <w:widowControl w:val="0"/>
              <w:spacing w:before="40" w:after="40" w:line="256" w:lineRule="auto"/>
              <w:jc w:val="left"/>
              <w:rPr>
                <w:rFonts w:ascii="Arial Narrow" w:hAnsi="Arial Narrow"/>
                <w:sz w:val="20"/>
                <w:highlight w:val="yellow"/>
              </w:rPr>
            </w:pPr>
            <w:r w:rsidRPr="00465EB9">
              <w:rPr>
                <w:rFonts w:ascii="Arial Narrow" w:hAnsi="Arial Narrow"/>
                <w:b/>
                <w:sz w:val="20"/>
              </w:rPr>
              <w:t>Duration of follow-up (months)</w:t>
            </w:r>
            <w:r w:rsidRPr="00465EB9">
              <w:rPr>
                <w:rFonts w:ascii="Arial Narrow" w:hAnsi="Arial Narrow"/>
                <w:b/>
                <w:sz w:val="20"/>
                <w:vertAlign w:val="superscript"/>
              </w:rPr>
              <w:t xml:space="preserve"> c,d</w:t>
            </w:r>
          </w:p>
        </w:tc>
      </w:tr>
      <w:tr w:rsidR="00797338" w:rsidRPr="00465EB9" w:rsidTr="00537749">
        <w:tc>
          <w:tcPr>
            <w:tcW w:w="1727" w:type="pct"/>
          </w:tcPr>
          <w:p w:rsidR="00797338" w:rsidRPr="00465EB9" w:rsidRDefault="00797338" w:rsidP="00203ACF">
            <w:pPr>
              <w:keepNext/>
              <w:keepLines/>
              <w:widowControl w:val="0"/>
              <w:spacing w:before="40" w:after="40" w:line="256" w:lineRule="auto"/>
              <w:jc w:val="left"/>
              <w:rPr>
                <w:rFonts w:ascii="Arial Narrow" w:hAnsi="Arial Narrow"/>
                <w:sz w:val="20"/>
              </w:rPr>
            </w:pPr>
            <w:r w:rsidRPr="00465EB9">
              <w:rPr>
                <w:rFonts w:ascii="Arial Narrow" w:hAnsi="Arial Narrow"/>
                <w:sz w:val="20"/>
              </w:rPr>
              <w:t>Median</w:t>
            </w:r>
          </w:p>
        </w:tc>
        <w:tc>
          <w:tcPr>
            <w:tcW w:w="701"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38.9</w:t>
            </w:r>
          </w:p>
        </w:tc>
        <w:tc>
          <w:tcPr>
            <w:tcW w:w="950"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25.2</w:t>
            </w:r>
          </w:p>
        </w:tc>
        <w:tc>
          <w:tcPr>
            <w:tcW w:w="707" w:type="pct"/>
          </w:tcPr>
          <w:p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51.5</w:t>
            </w:r>
          </w:p>
        </w:tc>
        <w:tc>
          <w:tcPr>
            <w:tcW w:w="915" w:type="pct"/>
          </w:tcPr>
          <w:p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25.2</w:t>
            </w:r>
          </w:p>
        </w:tc>
      </w:tr>
      <w:tr w:rsidR="00D117CD" w:rsidRPr="00465EB9" w:rsidTr="00D117CD">
        <w:tc>
          <w:tcPr>
            <w:tcW w:w="5000" w:type="pct"/>
            <w:gridSpan w:val="5"/>
          </w:tcPr>
          <w:p w:rsidR="00D117CD" w:rsidRPr="00465EB9" w:rsidRDefault="00D117CD" w:rsidP="00D117CD">
            <w:pPr>
              <w:keepNext/>
              <w:keepLines/>
              <w:widowControl w:val="0"/>
              <w:spacing w:before="40" w:after="40" w:line="256" w:lineRule="auto"/>
              <w:jc w:val="left"/>
              <w:rPr>
                <w:rFonts w:ascii="Arial Narrow" w:hAnsi="Arial Narrow"/>
                <w:sz w:val="20"/>
              </w:rPr>
            </w:pPr>
            <w:r w:rsidRPr="00465EB9">
              <w:rPr>
                <w:rFonts w:ascii="Arial Narrow" w:hAnsi="Arial Narrow"/>
                <w:b/>
                <w:sz w:val="20"/>
              </w:rPr>
              <w:t xml:space="preserve">Rate (%) of PFS (months) </w:t>
            </w:r>
            <w:r w:rsidRPr="00465EB9">
              <w:rPr>
                <w:rFonts w:ascii="Arial Narrow" w:hAnsi="Arial Narrow"/>
                <w:b/>
                <w:sz w:val="20"/>
                <w:vertAlign w:val="superscript"/>
              </w:rPr>
              <w:t>c,d</w:t>
            </w:r>
          </w:p>
        </w:tc>
      </w:tr>
      <w:tr w:rsidR="00797338" w:rsidRPr="00465EB9" w:rsidTr="00537749">
        <w:tc>
          <w:tcPr>
            <w:tcW w:w="1727" w:type="pct"/>
          </w:tcPr>
          <w:p w:rsidR="00797338" w:rsidRPr="00465EB9" w:rsidRDefault="00797338" w:rsidP="00203ACF">
            <w:pPr>
              <w:keepNext/>
              <w:keepLines/>
              <w:widowControl w:val="0"/>
              <w:spacing w:before="40" w:after="40" w:line="256" w:lineRule="auto"/>
              <w:jc w:val="left"/>
              <w:rPr>
                <w:rFonts w:ascii="Arial Narrow" w:hAnsi="Arial Narrow"/>
                <w:sz w:val="20"/>
              </w:rPr>
            </w:pPr>
            <w:r w:rsidRPr="00465EB9">
              <w:rPr>
                <w:rFonts w:ascii="Arial Narrow" w:hAnsi="Arial Narrow"/>
                <w:sz w:val="20"/>
              </w:rPr>
              <w:t>6 months or more</w:t>
            </w:r>
          </w:p>
        </w:tc>
        <w:tc>
          <w:tcPr>
            <w:tcW w:w="701"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100%</w:t>
            </w:r>
          </w:p>
        </w:tc>
        <w:tc>
          <w:tcPr>
            <w:tcW w:w="950"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10%</w:t>
            </w:r>
          </w:p>
        </w:tc>
        <w:tc>
          <w:tcPr>
            <w:tcW w:w="707"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100%</w:t>
            </w:r>
          </w:p>
        </w:tc>
        <w:tc>
          <w:tcPr>
            <w:tcW w:w="915"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10%</w:t>
            </w:r>
          </w:p>
        </w:tc>
      </w:tr>
      <w:tr w:rsidR="00797338" w:rsidRPr="00465EB9" w:rsidTr="00537749">
        <w:tc>
          <w:tcPr>
            <w:tcW w:w="1727" w:type="pct"/>
          </w:tcPr>
          <w:p w:rsidR="00797338" w:rsidRPr="00465EB9" w:rsidRDefault="00797338" w:rsidP="00203ACF">
            <w:pPr>
              <w:keepNext/>
              <w:keepLines/>
              <w:widowControl w:val="0"/>
              <w:spacing w:before="40" w:after="40" w:line="256" w:lineRule="auto"/>
              <w:jc w:val="left"/>
              <w:rPr>
                <w:rFonts w:ascii="Arial Narrow" w:hAnsi="Arial Narrow"/>
                <w:sz w:val="20"/>
              </w:rPr>
            </w:pPr>
            <w:r w:rsidRPr="00465EB9">
              <w:rPr>
                <w:rFonts w:ascii="Arial Narrow" w:hAnsi="Arial Narrow"/>
                <w:sz w:val="20"/>
              </w:rPr>
              <w:t>95% CI</w:t>
            </w:r>
          </w:p>
        </w:tc>
        <w:tc>
          <w:tcPr>
            <w:tcW w:w="701"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100%, 100%</w:t>
            </w:r>
          </w:p>
        </w:tc>
        <w:tc>
          <w:tcPr>
            <w:tcW w:w="950"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2%, 19%</w:t>
            </w:r>
          </w:p>
        </w:tc>
        <w:tc>
          <w:tcPr>
            <w:tcW w:w="707"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100%, 100%</w:t>
            </w:r>
          </w:p>
        </w:tc>
        <w:tc>
          <w:tcPr>
            <w:tcW w:w="915"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2%, 19%</w:t>
            </w:r>
          </w:p>
        </w:tc>
      </w:tr>
      <w:tr w:rsidR="00797338" w:rsidRPr="00465EB9" w:rsidTr="00537749">
        <w:tc>
          <w:tcPr>
            <w:tcW w:w="1727" w:type="pct"/>
          </w:tcPr>
          <w:p w:rsidR="00797338" w:rsidRPr="00465EB9" w:rsidRDefault="00797338" w:rsidP="00203ACF">
            <w:pPr>
              <w:keepNext/>
              <w:keepLines/>
              <w:widowControl w:val="0"/>
              <w:spacing w:before="40" w:after="40" w:line="256" w:lineRule="auto"/>
              <w:jc w:val="left"/>
              <w:rPr>
                <w:rFonts w:ascii="Arial Narrow" w:hAnsi="Arial Narrow"/>
                <w:sz w:val="20"/>
              </w:rPr>
            </w:pPr>
            <w:r w:rsidRPr="00465EB9">
              <w:rPr>
                <w:rFonts w:ascii="Arial Narrow" w:hAnsi="Arial Narrow"/>
                <w:sz w:val="20"/>
              </w:rPr>
              <w:t>12 months or more</w:t>
            </w:r>
          </w:p>
        </w:tc>
        <w:tc>
          <w:tcPr>
            <w:tcW w:w="701"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80%</w:t>
            </w:r>
          </w:p>
        </w:tc>
        <w:tc>
          <w:tcPr>
            <w:tcW w:w="950"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5%</w:t>
            </w:r>
          </w:p>
        </w:tc>
        <w:tc>
          <w:tcPr>
            <w:tcW w:w="707"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82%</w:t>
            </w:r>
          </w:p>
        </w:tc>
        <w:tc>
          <w:tcPr>
            <w:tcW w:w="915"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10%</w:t>
            </w:r>
          </w:p>
        </w:tc>
      </w:tr>
      <w:tr w:rsidR="00797338" w:rsidRPr="00465EB9" w:rsidTr="00537749">
        <w:tc>
          <w:tcPr>
            <w:tcW w:w="1727" w:type="pct"/>
          </w:tcPr>
          <w:p w:rsidR="00797338" w:rsidRPr="00465EB9" w:rsidRDefault="00797338" w:rsidP="00203ACF">
            <w:pPr>
              <w:keepNext/>
              <w:keepLines/>
              <w:widowControl w:val="0"/>
              <w:spacing w:before="40" w:after="40" w:line="256" w:lineRule="auto"/>
              <w:jc w:val="left"/>
              <w:rPr>
                <w:rFonts w:ascii="Arial Narrow" w:hAnsi="Arial Narrow"/>
                <w:sz w:val="20"/>
              </w:rPr>
            </w:pPr>
            <w:r w:rsidRPr="00465EB9">
              <w:rPr>
                <w:rFonts w:ascii="Arial Narrow" w:hAnsi="Arial Narrow"/>
                <w:sz w:val="20"/>
              </w:rPr>
              <w:t>95% CI</w:t>
            </w:r>
          </w:p>
        </w:tc>
        <w:tc>
          <w:tcPr>
            <w:tcW w:w="701"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55%, 100%</w:t>
            </w:r>
          </w:p>
        </w:tc>
        <w:tc>
          <w:tcPr>
            <w:tcW w:w="950"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0, 12%</w:t>
            </w:r>
          </w:p>
        </w:tc>
        <w:tc>
          <w:tcPr>
            <w:tcW w:w="707"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59%, 100%</w:t>
            </w:r>
          </w:p>
        </w:tc>
        <w:tc>
          <w:tcPr>
            <w:tcW w:w="915" w:type="pct"/>
          </w:tcPr>
          <w:p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0%, 12%</w:t>
            </w:r>
          </w:p>
        </w:tc>
      </w:tr>
    </w:tbl>
    <w:p w:rsidR="00D51B2C" w:rsidRPr="00D51B2C" w:rsidRDefault="00D51B2C" w:rsidP="00203ACF">
      <w:pPr>
        <w:pStyle w:val="TableFooter"/>
        <w:keepNext/>
        <w:keepLines/>
      </w:pPr>
      <w:r w:rsidRPr="00D51B2C">
        <w:t>Source: Modified from Table 2.98, p161 of the resubmission.</w:t>
      </w:r>
    </w:p>
    <w:p w:rsidR="00D51B2C" w:rsidRPr="00D51B2C" w:rsidRDefault="00D51B2C" w:rsidP="00203ACF">
      <w:pPr>
        <w:pStyle w:val="TableFooter"/>
        <w:keepNext/>
        <w:keepLines/>
      </w:pPr>
      <w:r w:rsidRPr="00D51B2C">
        <w:t xml:space="preserve">Note: Based on Investigator assessment of response and on the subgroup of the Full Analysis Set with </w:t>
      </w:r>
      <w:r w:rsidRPr="00D51B2C">
        <w:rPr>
          <w:i/>
        </w:rPr>
        <w:t>NTRK</w:t>
      </w:r>
      <w:r w:rsidRPr="00D51B2C">
        <w:t xml:space="preserve"> fusions. + denotes censored observation.</w:t>
      </w:r>
    </w:p>
    <w:p w:rsidR="00D51B2C" w:rsidRPr="00D51B2C" w:rsidRDefault="00D51B2C" w:rsidP="00203ACF">
      <w:pPr>
        <w:pStyle w:val="TableFooter"/>
        <w:keepNext/>
        <w:keepLines/>
      </w:pPr>
      <w:r w:rsidRPr="00D51B2C">
        <w:rPr>
          <w:vertAlign w:val="superscript"/>
        </w:rPr>
        <w:t>a</w:t>
      </w:r>
      <w:r w:rsidRPr="00D51B2C">
        <w:t xml:space="preserve"> Based on investigator assessments using RECIST v1.1.</w:t>
      </w:r>
    </w:p>
    <w:p w:rsidR="00D51B2C" w:rsidRPr="00D51B2C" w:rsidRDefault="00D51B2C" w:rsidP="00203ACF">
      <w:pPr>
        <w:pStyle w:val="TableFooter"/>
        <w:keepNext/>
        <w:keepLines/>
      </w:pPr>
      <w:r w:rsidRPr="00D51B2C">
        <w:rPr>
          <w:vertAlign w:val="superscript"/>
        </w:rPr>
        <w:t>b</w:t>
      </w:r>
      <w:r w:rsidRPr="00D51B2C">
        <w:t xml:space="preserve"> Status as of cut-off visit.</w:t>
      </w:r>
    </w:p>
    <w:p w:rsidR="00D51B2C" w:rsidRPr="00D51B2C" w:rsidRDefault="00D51B2C" w:rsidP="00203ACF">
      <w:pPr>
        <w:pStyle w:val="TableFooter"/>
        <w:keepNext/>
        <w:keepLines/>
      </w:pPr>
      <w:r w:rsidRPr="00D51B2C">
        <w:rPr>
          <w:vertAlign w:val="superscript"/>
        </w:rPr>
        <w:t>c</w:t>
      </w:r>
      <w:r w:rsidRPr="00D51B2C">
        <w:t xml:space="preserve"> Estimate based on Kaplan-Meier method.</w:t>
      </w:r>
    </w:p>
    <w:p w:rsidR="00D51B2C" w:rsidRPr="00D51B2C" w:rsidRDefault="00D51B2C" w:rsidP="00203ACF">
      <w:pPr>
        <w:pStyle w:val="TableFooter"/>
        <w:keepNext/>
        <w:keepLines/>
      </w:pPr>
      <w:r w:rsidRPr="00D51B2C">
        <w:rPr>
          <w:vertAlign w:val="superscript"/>
        </w:rPr>
        <w:t>d</w:t>
      </w:r>
      <w:r w:rsidRPr="00D51B2C">
        <w:t xml:space="preserve"> 95% CI was calculated using Greenwood’s formula</w:t>
      </w:r>
    </w:p>
    <w:p w:rsidR="00D51B2C" w:rsidRPr="00D51B2C" w:rsidRDefault="00D51B2C" w:rsidP="00203ACF">
      <w:pPr>
        <w:pStyle w:val="TableFooter"/>
        <w:keepNext/>
        <w:keepLines/>
      </w:pPr>
      <w:r w:rsidRPr="00D51B2C">
        <w:t xml:space="preserve">CI = confidence interval; NE = Not estimable; </w:t>
      </w:r>
      <w:r w:rsidRPr="00D51B2C">
        <w:rPr>
          <w:i/>
        </w:rPr>
        <w:t>NTRK</w:t>
      </w:r>
      <w:r w:rsidRPr="00D51B2C">
        <w:t xml:space="preserve"> = neurotrophic tropomyosin receptor kinase</w:t>
      </w:r>
    </w:p>
    <w:p w:rsidR="00502A52" w:rsidRDefault="00502A52">
      <w:pPr>
        <w:spacing w:before="0" w:line="259" w:lineRule="auto"/>
        <w:jc w:val="left"/>
        <w:rPr>
          <w:rFonts w:ascii="Arial Narrow" w:hAnsi="Arial Narrow"/>
          <w:b/>
          <w:iCs/>
          <w:sz w:val="20"/>
          <w:szCs w:val="18"/>
        </w:rPr>
      </w:pPr>
      <w:bookmarkStart w:id="48" w:name="_Ref79137505"/>
      <w:r>
        <w:br w:type="page"/>
      </w:r>
    </w:p>
    <w:p w:rsidR="00D51B2C" w:rsidRPr="00D51B2C" w:rsidRDefault="00D51B2C" w:rsidP="00502A52">
      <w:pPr>
        <w:pStyle w:val="Caption"/>
        <w:keepLines/>
      </w:pPr>
      <w:r w:rsidRPr="00D51B2C">
        <w:t>Table</w:t>
      </w:r>
      <w:r w:rsidR="00E37EC3">
        <w:t xml:space="preserve"> </w:t>
      </w:r>
      <w:r w:rsidR="00BB3DD1">
        <w:rPr>
          <w:noProof/>
        </w:rPr>
        <w:t>11</w:t>
      </w:r>
      <w:bookmarkEnd w:id="48"/>
      <w:r w:rsidR="00E37EC3">
        <w:rPr>
          <w:noProof/>
        </w:rPr>
        <w:t>:</w:t>
      </w:r>
      <w:r w:rsidR="00D117CD">
        <w:rPr>
          <w:noProof/>
        </w:rPr>
        <w:t xml:space="preserve"> </w:t>
      </w:r>
      <w:r w:rsidRPr="00D51B2C">
        <w:t xml:space="preserve">NAVIGATE July 2020 data </w:t>
      </w:r>
      <w:r w:rsidR="006D66BE" w:rsidRPr="00D51B2C">
        <w:t>cut-off</w:t>
      </w:r>
      <w:r w:rsidRPr="00D51B2C">
        <w:t xml:space="preserve">: Summary </w:t>
      </w:r>
      <w:r w:rsidR="00537749" w:rsidRPr="00D51B2C">
        <w:t>of overall s</w:t>
      </w:r>
      <w:r w:rsidRPr="00D51B2C">
        <w:t xml:space="preserve">urvival (all </w:t>
      </w:r>
      <w:r w:rsidRPr="00623261">
        <w:rPr>
          <w:i/>
        </w:rPr>
        <w:t>NTRK</w:t>
      </w:r>
      <w:r w:rsidRPr="00D51B2C">
        <w:t xml:space="preserve"> fusion cancers)</w:t>
      </w:r>
    </w:p>
    <w:tbl>
      <w:tblPr>
        <w:tblStyle w:val="HTATableshaded20"/>
        <w:tblW w:w="0" w:type="auto"/>
        <w:tblLayout w:type="fixed"/>
        <w:tblLook w:val="04A0" w:firstRow="1" w:lastRow="0" w:firstColumn="1" w:lastColumn="0" w:noHBand="0" w:noVBand="1"/>
        <w:tblCaption w:val="Table 11: NAVIGATE July 2020 data cut-off: Summary of overall survival (all NTRK fusion cancers)"/>
      </w:tblPr>
      <w:tblGrid>
        <w:gridCol w:w="846"/>
        <w:gridCol w:w="835"/>
        <w:gridCol w:w="815"/>
        <w:gridCol w:w="901"/>
        <w:gridCol w:w="729"/>
        <w:gridCol w:w="815"/>
        <w:gridCol w:w="815"/>
        <w:gridCol w:w="815"/>
        <w:gridCol w:w="815"/>
        <w:gridCol w:w="815"/>
        <w:gridCol w:w="815"/>
      </w:tblGrid>
      <w:tr w:rsidR="00D51B2C" w:rsidRPr="00D51B2C" w:rsidTr="00537749">
        <w:trPr>
          <w:cnfStyle w:val="100000000000" w:firstRow="1" w:lastRow="0" w:firstColumn="0" w:lastColumn="0" w:oddVBand="0" w:evenVBand="0" w:oddHBand="0" w:evenHBand="0" w:firstRowFirstColumn="0" w:firstRowLastColumn="0" w:lastRowFirstColumn="0" w:lastRowLastColumn="0"/>
          <w:tblHeader/>
        </w:trPr>
        <w:tc>
          <w:tcPr>
            <w:tcW w:w="846" w:type="dxa"/>
          </w:tcPr>
          <w:p w:rsidR="00D51B2C" w:rsidRPr="00D51B2C" w:rsidRDefault="00D51B2C" w:rsidP="00502A52">
            <w:pPr>
              <w:keepNext/>
              <w:keepLines/>
              <w:widowControl w:val="0"/>
              <w:spacing w:before="40" w:after="40" w:line="256" w:lineRule="auto"/>
              <w:jc w:val="left"/>
              <w:rPr>
                <w:rFonts w:ascii="Arial Narrow" w:hAnsi="Arial Narrow"/>
                <w:sz w:val="20"/>
              </w:rPr>
            </w:pPr>
          </w:p>
        </w:tc>
        <w:tc>
          <w:tcPr>
            <w:tcW w:w="835" w:type="dxa"/>
          </w:tcPr>
          <w:p w:rsidR="00D51B2C" w:rsidRPr="00D51B2C" w:rsidRDefault="00D51B2C" w:rsidP="00502A52">
            <w:pPr>
              <w:keepNext/>
              <w:keepLines/>
              <w:widowControl w:val="0"/>
              <w:spacing w:before="40" w:after="40"/>
              <w:ind w:right="-57"/>
              <w:jc w:val="center"/>
              <w:rPr>
                <w:rFonts w:ascii="Arial Narrow" w:eastAsia="Arial" w:hAnsi="Arial Narrow"/>
                <w:b/>
                <w:sz w:val="20"/>
              </w:rPr>
            </w:pPr>
            <w:r w:rsidRPr="00D51B2C">
              <w:rPr>
                <w:rFonts w:ascii="Arial Narrow" w:eastAsia="Arial" w:hAnsi="Arial Narrow"/>
                <w:b/>
                <w:sz w:val="20"/>
              </w:rPr>
              <w:t>NSCLC</w:t>
            </w:r>
          </w:p>
          <w:p w:rsidR="00D51B2C" w:rsidRPr="00D51B2C" w:rsidRDefault="00D51B2C" w:rsidP="00502A52">
            <w:pPr>
              <w:keepNext/>
              <w:keepLines/>
              <w:widowControl w:val="0"/>
              <w:spacing w:before="40" w:after="40" w:line="256" w:lineRule="auto"/>
              <w:ind w:right="-57"/>
              <w:jc w:val="center"/>
              <w:rPr>
                <w:rFonts w:ascii="Arial Narrow" w:hAnsi="Arial Narrow"/>
                <w:b/>
                <w:sz w:val="20"/>
              </w:rPr>
            </w:pPr>
            <w:r w:rsidRPr="00D51B2C">
              <w:rPr>
                <w:rFonts w:ascii="Arial Narrow" w:hAnsi="Arial Narrow"/>
                <w:b/>
                <w:sz w:val="20"/>
              </w:rPr>
              <w:t>N = 18</w:t>
            </w:r>
          </w:p>
        </w:tc>
        <w:tc>
          <w:tcPr>
            <w:tcW w:w="815" w:type="dxa"/>
          </w:tcPr>
          <w:p w:rsidR="00D51B2C" w:rsidRPr="00D51B2C" w:rsidRDefault="00D51B2C" w:rsidP="00502A52">
            <w:pPr>
              <w:keepNext/>
              <w:keepLines/>
              <w:widowControl w:val="0"/>
              <w:spacing w:before="40" w:after="40"/>
              <w:ind w:right="-57"/>
              <w:jc w:val="center"/>
              <w:rPr>
                <w:rFonts w:ascii="Arial Narrow" w:eastAsia="Arial" w:hAnsi="Arial Narrow"/>
                <w:b/>
                <w:sz w:val="20"/>
              </w:rPr>
            </w:pPr>
            <w:r w:rsidRPr="00D51B2C">
              <w:rPr>
                <w:rFonts w:ascii="Arial Narrow" w:eastAsia="Arial" w:hAnsi="Arial Narrow"/>
                <w:b/>
                <w:sz w:val="20"/>
              </w:rPr>
              <w:t>Thyroid</w:t>
            </w:r>
          </w:p>
          <w:p w:rsidR="00D51B2C" w:rsidRPr="00D51B2C" w:rsidRDefault="00D51B2C" w:rsidP="00502A52">
            <w:pPr>
              <w:keepNext/>
              <w:keepLines/>
              <w:widowControl w:val="0"/>
              <w:spacing w:before="40" w:after="40" w:line="257" w:lineRule="auto"/>
              <w:ind w:right="-57"/>
              <w:jc w:val="center"/>
              <w:rPr>
                <w:rFonts w:ascii="Arial Narrow" w:hAnsi="Arial Narrow"/>
                <w:b/>
                <w:sz w:val="20"/>
              </w:rPr>
            </w:pPr>
            <w:r w:rsidRPr="00D51B2C">
              <w:rPr>
                <w:rFonts w:ascii="Arial Narrow" w:hAnsi="Arial Narrow"/>
                <w:b/>
                <w:sz w:val="20"/>
              </w:rPr>
              <w:t>N = 23</w:t>
            </w:r>
          </w:p>
        </w:tc>
        <w:tc>
          <w:tcPr>
            <w:tcW w:w="901" w:type="dxa"/>
          </w:tcPr>
          <w:p w:rsidR="00D51B2C" w:rsidRPr="00D51B2C" w:rsidRDefault="00D51B2C" w:rsidP="00502A52">
            <w:pPr>
              <w:keepNext/>
              <w:keepLines/>
              <w:widowControl w:val="0"/>
              <w:spacing w:before="40" w:after="40"/>
              <w:ind w:right="-57"/>
              <w:jc w:val="center"/>
              <w:rPr>
                <w:rFonts w:ascii="Arial Narrow" w:eastAsia="Arial" w:hAnsi="Arial Narrow"/>
                <w:b/>
                <w:sz w:val="20"/>
              </w:rPr>
            </w:pPr>
            <w:r w:rsidRPr="00D51B2C">
              <w:rPr>
                <w:rFonts w:ascii="Arial Narrow" w:eastAsia="Arial" w:hAnsi="Arial Narrow"/>
                <w:b/>
                <w:sz w:val="20"/>
              </w:rPr>
              <w:t>Sarcoma</w:t>
            </w:r>
          </w:p>
          <w:p w:rsidR="00D51B2C" w:rsidRPr="00D51B2C" w:rsidRDefault="00D51B2C" w:rsidP="00502A52">
            <w:pPr>
              <w:keepNext/>
              <w:keepLines/>
              <w:widowControl w:val="0"/>
              <w:spacing w:before="40" w:after="40" w:line="256" w:lineRule="auto"/>
              <w:ind w:right="-57"/>
              <w:jc w:val="center"/>
              <w:rPr>
                <w:rFonts w:ascii="Arial Narrow" w:hAnsi="Arial Narrow"/>
                <w:b/>
                <w:sz w:val="20"/>
              </w:rPr>
            </w:pPr>
            <w:r w:rsidRPr="00D51B2C">
              <w:rPr>
                <w:rFonts w:ascii="Arial Narrow" w:hAnsi="Arial Narrow"/>
                <w:b/>
                <w:sz w:val="20"/>
              </w:rPr>
              <w:t>N = 25</w:t>
            </w:r>
          </w:p>
        </w:tc>
        <w:tc>
          <w:tcPr>
            <w:tcW w:w="729" w:type="dxa"/>
          </w:tcPr>
          <w:p w:rsidR="00D51B2C" w:rsidRPr="00D51B2C" w:rsidRDefault="00D51B2C" w:rsidP="00502A52">
            <w:pPr>
              <w:keepNext/>
              <w:keepLines/>
              <w:widowControl w:val="0"/>
              <w:spacing w:before="40" w:after="40"/>
              <w:ind w:right="-57"/>
              <w:jc w:val="center"/>
              <w:rPr>
                <w:rFonts w:ascii="Arial Narrow" w:eastAsia="Arial" w:hAnsi="Arial Narrow"/>
                <w:b/>
                <w:sz w:val="20"/>
              </w:rPr>
            </w:pPr>
            <w:r w:rsidRPr="00D51B2C">
              <w:rPr>
                <w:rFonts w:ascii="Arial Narrow" w:eastAsia="Arial" w:hAnsi="Arial Narrow"/>
                <w:b/>
                <w:sz w:val="20"/>
              </w:rPr>
              <w:t>CRC</w:t>
            </w:r>
          </w:p>
          <w:p w:rsidR="00D51B2C" w:rsidRPr="00D51B2C" w:rsidRDefault="00D51B2C" w:rsidP="00502A52">
            <w:pPr>
              <w:keepNext/>
              <w:keepLines/>
              <w:widowControl w:val="0"/>
              <w:spacing w:before="40" w:after="40" w:line="256" w:lineRule="auto"/>
              <w:ind w:right="-57"/>
              <w:jc w:val="center"/>
              <w:rPr>
                <w:rFonts w:ascii="Arial Narrow" w:hAnsi="Arial Narrow"/>
                <w:b/>
                <w:sz w:val="20"/>
              </w:rPr>
            </w:pPr>
            <w:r w:rsidRPr="00D51B2C">
              <w:rPr>
                <w:rFonts w:ascii="Arial Narrow" w:hAnsi="Arial Narrow"/>
                <w:b/>
                <w:sz w:val="20"/>
              </w:rPr>
              <w:t>N = 10</w:t>
            </w:r>
          </w:p>
        </w:tc>
        <w:tc>
          <w:tcPr>
            <w:tcW w:w="815" w:type="dxa"/>
          </w:tcPr>
          <w:p w:rsidR="00D51B2C" w:rsidRPr="00D51B2C" w:rsidRDefault="00D51B2C" w:rsidP="00502A52">
            <w:pPr>
              <w:keepNext/>
              <w:keepLines/>
              <w:widowControl w:val="0"/>
              <w:spacing w:before="40" w:after="40"/>
              <w:ind w:right="-57"/>
              <w:jc w:val="center"/>
              <w:rPr>
                <w:rFonts w:ascii="Arial Narrow" w:eastAsia="Arial" w:hAnsi="Arial Narrow"/>
                <w:b/>
                <w:sz w:val="20"/>
              </w:rPr>
            </w:pPr>
            <w:r w:rsidRPr="00D51B2C">
              <w:rPr>
                <w:rFonts w:ascii="Arial Narrow" w:eastAsia="Arial" w:hAnsi="Arial Narrow"/>
                <w:b/>
                <w:sz w:val="20"/>
              </w:rPr>
              <w:t>Salivary</w:t>
            </w:r>
          </w:p>
          <w:p w:rsidR="00D51B2C" w:rsidRPr="00D51B2C" w:rsidRDefault="00D51B2C" w:rsidP="00502A52">
            <w:pPr>
              <w:keepNext/>
              <w:keepLines/>
              <w:widowControl w:val="0"/>
              <w:spacing w:before="40" w:after="40" w:line="256" w:lineRule="auto"/>
              <w:ind w:right="-57"/>
              <w:jc w:val="center"/>
              <w:rPr>
                <w:rFonts w:ascii="Arial Narrow" w:hAnsi="Arial Narrow"/>
                <w:b/>
                <w:sz w:val="20"/>
              </w:rPr>
            </w:pPr>
            <w:r w:rsidRPr="00D51B2C">
              <w:rPr>
                <w:rFonts w:ascii="Arial Narrow" w:hAnsi="Arial Narrow"/>
                <w:b/>
                <w:sz w:val="20"/>
              </w:rPr>
              <w:t>N = 20</w:t>
            </w:r>
          </w:p>
        </w:tc>
        <w:tc>
          <w:tcPr>
            <w:tcW w:w="815" w:type="dxa"/>
          </w:tcPr>
          <w:p w:rsidR="00D51B2C" w:rsidRPr="00D51B2C" w:rsidRDefault="00D51B2C" w:rsidP="00502A52">
            <w:pPr>
              <w:keepNext/>
              <w:keepLines/>
              <w:widowControl w:val="0"/>
              <w:spacing w:before="40" w:after="40"/>
              <w:ind w:right="-57"/>
              <w:jc w:val="center"/>
              <w:rPr>
                <w:rFonts w:ascii="Arial Narrow" w:eastAsia="Arial" w:hAnsi="Arial Narrow"/>
                <w:b/>
                <w:sz w:val="20"/>
              </w:rPr>
            </w:pPr>
            <w:r w:rsidRPr="00D51B2C">
              <w:rPr>
                <w:rFonts w:ascii="Arial Narrow" w:eastAsia="Arial" w:hAnsi="Arial Narrow"/>
                <w:b/>
                <w:sz w:val="20"/>
              </w:rPr>
              <w:t>Biliary</w:t>
            </w:r>
          </w:p>
          <w:p w:rsidR="00D51B2C" w:rsidRPr="00D51B2C" w:rsidRDefault="00D51B2C" w:rsidP="00502A52">
            <w:pPr>
              <w:keepNext/>
              <w:keepLines/>
              <w:widowControl w:val="0"/>
              <w:spacing w:before="40" w:after="40" w:line="256" w:lineRule="auto"/>
              <w:ind w:right="-57"/>
              <w:jc w:val="center"/>
              <w:rPr>
                <w:rFonts w:ascii="Arial Narrow" w:hAnsi="Arial Narrow"/>
                <w:b/>
                <w:sz w:val="20"/>
              </w:rPr>
            </w:pPr>
            <w:r w:rsidRPr="00D51B2C">
              <w:rPr>
                <w:rFonts w:ascii="Arial Narrow" w:hAnsi="Arial Narrow"/>
                <w:b/>
                <w:sz w:val="20"/>
              </w:rPr>
              <w:t>N = 3</w:t>
            </w:r>
          </w:p>
        </w:tc>
        <w:tc>
          <w:tcPr>
            <w:tcW w:w="815" w:type="dxa"/>
          </w:tcPr>
          <w:p w:rsidR="00D51B2C" w:rsidRPr="00D51B2C" w:rsidRDefault="00D51B2C" w:rsidP="00502A52">
            <w:pPr>
              <w:keepNext/>
              <w:keepLines/>
              <w:widowControl w:val="0"/>
              <w:spacing w:before="40" w:after="40"/>
              <w:ind w:right="-57"/>
              <w:jc w:val="center"/>
              <w:rPr>
                <w:rFonts w:ascii="Arial Narrow" w:eastAsia="Arial" w:hAnsi="Arial Narrow"/>
                <w:b/>
                <w:sz w:val="20"/>
              </w:rPr>
            </w:pPr>
            <w:r w:rsidRPr="00D51B2C">
              <w:rPr>
                <w:rFonts w:ascii="Arial Narrow" w:eastAsia="Arial" w:hAnsi="Arial Narrow"/>
                <w:b/>
                <w:sz w:val="20"/>
              </w:rPr>
              <w:t>Primary CNS</w:t>
            </w:r>
          </w:p>
          <w:p w:rsidR="00D51B2C" w:rsidRPr="00D51B2C" w:rsidRDefault="00D51B2C" w:rsidP="00502A52">
            <w:pPr>
              <w:keepNext/>
              <w:keepLines/>
              <w:widowControl w:val="0"/>
              <w:spacing w:before="40" w:after="40" w:line="256" w:lineRule="auto"/>
              <w:ind w:right="-57"/>
              <w:jc w:val="center"/>
              <w:rPr>
                <w:rFonts w:ascii="Arial Narrow" w:hAnsi="Arial Narrow"/>
                <w:b/>
                <w:sz w:val="20"/>
              </w:rPr>
            </w:pPr>
            <w:r w:rsidRPr="00D51B2C">
              <w:rPr>
                <w:rFonts w:ascii="Arial Narrow" w:hAnsi="Arial Narrow"/>
                <w:b/>
                <w:sz w:val="20"/>
              </w:rPr>
              <w:t>N = 8</w:t>
            </w:r>
          </w:p>
        </w:tc>
        <w:tc>
          <w:tcPr>
            <w:tcW w:w="815" w:type="dxa"/>
          </w:tcPr>
          <w:p w:rsidR="00D51B2C" w:rsidRPr="00D51B2C" w:rsidRDefault="00D51B2C" w:rsidP="00502A52">
            <w:pPr>
              <w:keepNext/>
              <w:keepLines/>
              <w:widowControl w:val="0"/>
              <w:spacing w:before="40" w:after="40"/>
              <w:ind w:right="-57"/>
              <w:jc w:val="center"/>
              <w:rPr>
                <w:rFonts w:ascii="Arial Narrow" w:eastAsia="Arial" w:hAnsi="Arial Narrow"/>
                <w:b/>
                <w:sz w:val="20"/>
              </w:rPr>
            </w:pPr>
            <w:r w:rsidRPr="00D51B2C">
              <w:rPr>
                <w:rFonts w:ascii="Arial Narrow" w:eastAsia="Arial" w:hAnsi="Arial Narrow"/>
                <w:b/>
                <w:sz w:val="20"/>
              </w:rPr>
              <w:t>Other</w:t>
            </w:r>
          </w:p>
          <w:p w:rsidR="00D51B2C" w:rsidRPr="00D51B2C" w:rsidRDefault="00D51B2C" w:rsidP="00502A52">
            <w:pPr>
              <w:keepNext/>
              <w:keepLines/>
              <w:widowControl w:val="0"/>
              <w:spacing w:before="40" w:after="40" w:line="256" w:lineRule="auto"/>
              <w:ind w:right="-57"/>
              <w:jc w:val="center"/>
              <w:rPr>
                <w:rFonts w:ascii="Arial Narrow" w:hAnsi="Arial Narrow"/>
                <w:b/>
                <w:sz w:val="20"/>
              </w:rPr>
            </w:pPr>
            <w:r w:rsidRPr="00D51B2C">
              <w:rPr>
                <w:rFonts w:ascii="Arial Narrow" w:hAnsi="Arial Narrow"/>
                <w:b/>
                <w:sz w:val="20"/>
              </w:rPr>
              <w:t>N = 26</w:t>
            </w:r>
          </w:p>
        </w:tc>
        <w:tc>
          <w:tcPr>
            <w:tcW w:w="815" w:type="dxa"/>
          </w:tcPr>
          <w:p w:rsidR="00D51B2C" w:rsidRPr="00D51B2C" w:rsidRDefault="00D51B2C" w:rsidP="00502A52">
            <w:pPr>
              <w:keepNext/>
              <w:keepLines/>
              <w:widowControl w:val="0"/>
              <w:spacing w:before="40" w:after="40"/>
              <w:ind w:right="-57"/>
              <w:jc w:val="center"/>
              <w:rPr>
                <w:rFonts w:ascii="Arial Narrow" w:eastAsia="Arial" w:hAnsi="Arial Narrow"/>
                <w:b/>
                <w:sz w:val="20"/>
              </w:rPr>
            </w:pPr>
            <w:r w:rsidRPr="00D51B2C">
              <w:rPr>
                <w:rFonts w:ascii="Arial Narrow" w:eastAsia="Arial" w:hAnsi="Arial Narrow"/>
                <w:b/>
                <w:sz w:val="20"/>
              </w:rPr>
              <w:t>Uncon</w:t>
            </w:r>
            <w:r w:rsidR="00537749">
              <w:rPr>
                <w:rFonts w:ascii="Arial Narrow" w:eastAsia="Arial" w:hAnsi="Arial Narrow"/>
                <w:b/>
                <w:sz w:val="20"/>
              </w:rPr>
              <w:t>-</w:t>
            </w:r>
            <w:r w:rsidRPr="00D51B2C">
              <w:rPr>
                <w:rFonts w:ascii="Arial Narrow" w:eastAsia="Arial" w:hAnsi="Arial Narrow"/>
                <w:b/>
                <w:sz w:val="20"/>
              </w:rPr>
              <w:t>firmed</w:t>
            </w:r>
          </w:p>
          <w:p w:rsidR="00D51B2C" w:rsidRPr="00D51B2C" w:rsidRDefault="00D51B2C" w:rsidP="00502A52">
            <w:pPr>
              <w:keepNext/>
              <w:keepLines/>
              <w:widowControl w:val="0"/>
              <w:spacing w:before="40" w:after="40" w:line="256" w:lineRule="auto"/>
              <w:ind w:right="-57"/>
              <w:jc w:val="center"/>
              <w:rPr>
                <w:rFonts w:ascii="Arial Narrow" w:hAnsi="Arial Narrow"/>
                <w:b/>
                <w:sz w:val="20"/>
              </w:rPr>
            </w:pPr>
            <w:r w:rsidRPr="00D51B2C">
              <w:rPr>
                <w:rFonts w:ascii="Arial Narrow" w:hAnsi="Arial Narrow"/>
                <w:b/>
                <w:sz w:val="20"/>
              </w:rPr>
              <w:t>N = 6</w:t>
            </w:r>
          </w:p>
        </w:tc>
        <w:tc>
          <w:tcPr>
            <w:tcW w:w="815" w:type="dxa"/>
          </w:tcPr>
          <w:p w:rsidR="00D51B2C" w:rsidRPr="00D51B2C" w:rsidRDefault="00D51B2C" w:rsidP="00502A52">
            <w:pPr>
              <w:keepNext/>
              <w:keepLines/>
              <w:widowControl w:val="0"/>
              <w:spacing w:before="40" w:after="40"/>
              <w:ind w:right="-57"/>
              <w:jc w:val="center"/>
              <w:rPr>
                <w:rFonts w:ascii="Arial Narrow" w:eastAsia="Arial" w:hAnsi="Arial Narrow"/>
                <w:b/>
                <w:sz w:val="20"/>
              </w:rPr>
            </w:pPr>
            <w:r w:rsidRPr="00D51B2C">
              <w:rPr>
                <w:rFonts w:ascii="Arial Narrow" w:eastAsia="Arial" w:hAnsi="Arial Narrow"/>
                <w:b/>
                <w:sz w:val="20"/>
              </w:rPr>
              <w:t>Total</w:t>
            </w:r>
          </w:p>
          <w:p w:rsidR="00D51B2C" w:rsidRPr="00D51B2C" w:rsidRDefault="00D51B2C" w:rsidP="00502A52">
            <w:pPr>
              <w:keepNext/>
              <w:keepLines/>
              <w:widowControl w:val="0"/>
              <w:spacing w:before="40" w:after="40" w:line="256" w:lineRule="auto"/>
              <w:ind w:right="-57"/>
              <w:jc w:val="center"/>
              <w:rPr>
                <w:rFonts w:ascii="Arial Narrow" w:hAnsi="Arial Narrow"/>
                <w:b/>
                <w:sz w:val="20"/>
              </w:rPr>
            </w:pPr>
            <w:r w:rsidRPr="00D51B2C">
              <w:rPr>
                <w:rFonts w:ascii="Arial Narrow" w:hAnsi="Arial Narrow"/>
                <w:b/>
                <w:sz w:val="20"/>
              </w:rPr>
              <w:t>N = 139</w:t>
            </w:r>
          </w:p>
        </w:tc>
      </w:tr>
      <w:tr w:rsidR="00D51B2C" w:rsidRPr="00D51B2C" w:rsidTr="00D4725E">
        <w:tc>
          <w:tcPr>
            <w:tcW w:w="9016" w:type="dxa"/>
            <w:gridSpan w:val="11"/>
          </w:tcPr>
          <w:p w:rsidR="00D51B2C" w:rsidRPr="001636DA" w:rsidRDefault="00D51B2C" w:rsidP="00502A52">
            <w:pPr>
              <w:keepNext/>
              <w:keepLines/>
              <w:widowControl w:val="0"/>
              <w:spacing w:before="40" w:after="40" w:line="256" w:lineRule="auto"/>
              <w:jc w:val="left"/>
              <w:rPr>
                <w:rFonts w:ascii="Arial Narrow" w:hAnsi="Arial Narrow"/>
                <w:b/>
                <w:sz w:val="20"/>
              </w:rPr>
            </w:pPr>
            <w:r w:rsidRPr="001636DA">
              <w:rPr>
                <w:rFonts w:ascii="Arial Narrow" w:hAnsi="Arial Narrow"/>
                <w:b/>
                <w:sz w:val="20"/>
              </w:rPr>
              <w:t xml:space="preserve">OS (months) </w:t>
            </w:r>
            <w:r w:rsidRPr="001636DA">
              <w:rPr>
                <w:rFonts w:ascii="Arial Narrow" w:hAnsi="Arial Narrow"/>
                <w:b/>
                <w:sz w:val="20"/>
                <w:vertAlign w:val="superscript"/>
              </w:rPr>
              <w:t>a</w:t>
            </w:r>
          </w:p>
        </w:tc>
      </w:tr>
      <w:tr w:rsidR="001636DA" w:rsidRPr="00D51B2C" w:rsidTr="00537749">
        <w:tc>
          <w:tcPr>
            <w:tcW w:w="846" w:type="dxa"/>
          </w:tcPr>
          <w:p w:rsidR="001636DA" w:rsidRPr="00D51B2C" w:rsidRDefault="001636DA" w:rsidP="00502A52">
            <w:pPr>
              <w:keepNext/>
              <w:keepLines/>
              <w:widowControl w:val="0"/>
              <w:spacing w:before="40" w:after="40" w:line="256" w:lineRule="auto"/>
              <w:jc w:val="left"/>
              <w:rPr>
                <w:rFonts w:ascii="Arial Narrow" w:hAnsi="Arial Narrow"/>
                <w:sz w:val="20"/>
              </w:rPr>
            </w:pPr>
            <w:r w:rsidRPr="00D51B2C">
              <w:rPr>
                <w:rFonts w:ascii="Arial Narrow" w:hAnsi="Arial Narrow"/>
                <w:sz w:val="20"/>
              </w:rPr>
              <w:t>Median</w:t>
            </w:r>
          </w:p>
        </w:tc>
        <w:tc>
          <w:tcPr>
            <w:tcW w:w="835" w:type="dxa"/>
          </w:tcPr>
          <w:p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40.7</w:t>
            </w:r>
          </w:p>
        </w:tc>
        <w:tc>
          <w:tcPr>
            <w:tcW w:w="815" w:type="dxa"/>
          </w:tcPr>
          <w:p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NE</w:t>
            </w:r>
          </w:p>
        </w:tc>
        <w:tc>
          <w:tcPr>
            <w:tcW w:w="901" w:type="dxa"/>
          </w:tcPr>
          <w:p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NE</w:t>
            </w:r>
          </w:p>
        </w:tc>
        <w:tc>
          <w:tcPr>
            <w:tcW w:w="729" w:type="dxa"/>
          </w:tcPr>
          <w:p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29.</w:t>
            </w:r>
            <w:r>
              <w:rPr>
                <w:rFonts w:ascii="Arial Narrow" w:hAnsi="Arial Narrow"/>
                <w:sz w:val="20"/>
              </w:rPr>
              <w:t>4</w:t>
            </w:r>
          </w:p>
        </w:tc>
        <w:tc>
          <w:tcPr>
            <w:tcW w:w="815" w:type="dxa"/>
          </w:tcPr>
          <w:p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NE</w:t>
            </w:r>
          </w:p>
        </w:tc>
        <w:tc>
          <w:tcPr>
            <w:tcW w:w="815" w:type="dxa"/>
          </w:tcPr>
          <w:p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2.00</w:t>
            </w:r>
          </w:p>
        </w:tc>
        <w:tc>
          <w:tcPr>
            <w:tcW w:w="815" w:type="dxa"/>
          </w:tcPr>
          <w:p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16.9</w:t>
            </w:r>
          </w:p>
        </w:tc>
        <w:tc>
          <w:tcPr>
            <w:tcW w:w="815" w:type="dxa"/>
          </w:tcPr>
          <w:p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NE</w:t>
            </w:r>
          </w:p>
        </w:tc>
        <w:tc>
          <w:tcPr>
            <w:tcW w:w="815" w:type="dxa"/>
          </w:tcPr>
          <w:p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20.8</w:t>
            </w:r>
          </w:p>
        </w:tc>
        <w:tc>
          <w:tcPr>
            <w:tcW w:w="815" w:type="dxa"/>
          </w:tcPr>
          <w:p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NE</w:t>
            </w:r>
          </w:p>
        </w:tc>
      </w:tr>
      <w:tr w:rsidR="001636DA" w:rsidRPr="00D51B2C" w:rsidTr="00537749">
        <w:tc>
          <w:tcPr>
            <w:tcW w:w="846" w:type="dxa"/>
          </w:tcPr>
          <w:p w:rsidR="001636DA" w:rsidRPr="00D51B2C" w:rsidRDefault="001636DA" w:rsidP="00502A52">
            <w:pPr>
              <w:keepNext/>
              <w:keepLines/>
              <w:widowControl w:val="0"/>
              <w:spacing w:before="40" w:after="40" w:line="256" w:lineRule="auto"/>
              <w:jc w:val="left"/>
              <w:rPr>
                <w:rFonts w:ascii="Arial Narrow" w:hAnsi="Arial Narrow"/>
                <w:sz w:val="20"/>
              </w:rPr>
            </w:pPr>
            <w:r w:rsidRPr="00D51B2C">
              <w:rPr>
                <w:rFonts w:ascii="Arial Narrow" w:hAnsi="Arial Narrow"/>
                <w:sz w:val="20"/>
              </w:rPr>
              <w:t>95% CI</w:t>
            </w:r>
          </w:p>
        </w:tc>
        <w:tc>
          <w:tcPr>
            <w:tcW w:w="835" w:type="dxa"/>
          </w:tcPr>
          <w:p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40.</w:t>
            </w:r>
            <w:r w:rsidR="00CF0478">
              <w:rPr>
                <w:rFonts w:ascii="Arial Narrow" w:hAnsi="Arial Narrow"/>
                <w:sz w:val="20"/>
              </w:rPr>
              <w:t>7</w:t>
            </w:r>
            <w:r w:rsidRPr="00615F95">
              <w:rPr>
                <w:rFonts w:ascii="Arial Narrow" w:hAnsi="Arial Narrow"/>
                <w:sz w:val="20"/>
              </w:rPr>
              <w:t>, NE</w:t>
            </w:r>
          </w:p>
        </w:tc>
        <w:tc>
          <w:tcPr>
            <w:tcW w:w="815" w:type="dxa"/>
          </w:tcPr>
          <w:p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23.</w:t>
            </w:r>
            <w:r>
              <w:rPr>
                <w:rFonts w:ascii="Arial Narrow" w:hAnsi="Arial Narrow"/>
                <w:sz w:val="20"/>
              </w:rPr>
              <w:t>4</w:t>
            </w:r>
            <w:r w:rsidRPr="00615F95">
              <w:rPr>
                <w:rFonts w:ascii="Arial Narrow" w:hAnsi="Arial Narrow"/>
                <w:sz w:val="20"/>
              </w:rPr>
              <w:t>, NE</w:t>
            </w:r>
          </w:p>
        </w:tc>
        <w:tc>
          <w:tcPr>
            <w:tcW w:w="901" w:type="dxa"/>
          </w:tcPr>
          <w:p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NE</w:t>
            </w:r>
          </w:p>
        </w:tc>
        <w:tc>
          <w:tcPr>
            <w:tcW w:w="729" w:type="dxa"/>
          </w:tcPr>
          <w:p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2.</w:t>
            </w:r>
            <w:r>
              <w:rPr>
                <w:rFonts w:ascii="Arial Narrow" w:hAnsi="Arial Narrow"/>
                <w:sz w:val="20"/>
              </w:rPr>
              <w:t>8</w:t>
            </w:r>
            <w:r w:rsidRPr="00615F95">
              <w:rPr>
                <w:rFonts w:ascii="Arial Narrow" w:hAnsi="Arial Narrow"/>
                <w:sz w:val="20"/>
              </w:rPr>
              <w:t>, 36.</w:t>
            </w:r>
            <w:r>
              <w:rPr>
                <w:rFonts w:ascii="Arial Narrow" w:hAnsi="Arial Narrow"/>
                <w:sz w:val="20"/>
              </w:rPr>
              <w:t>5</w:t>
            </w:r>
          </w:p>
        </w:tc>
        <w:tc>
          <w:tcPr>
            <w:tcW w:w="815" w:type="dxa"/>
          </w:tcPr>
          <w:p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38.7, NE</w:t>
            </w:r>
          </w:p>
        </w:tc>
        <w:tc>
          <w:tcPr>
            <w:tcW w:w="815" w:type="dxa"/>
          </w:tcPr>
          <w:p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1.8, 33.4</w:t>
            </w:r>
          </w:p>
        </w:tc>
        <w:tc>
          <w:tcPr>
            <w:tcW w:w="815" w:type="dxa"/>
          </w:tcPr>
          <w:p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8.9, 23.</w:t>
            </w:r>
            <w:r>
              <w:rPr>
                <w:rFonts w:ascii="Arial Narrow" w:hAnsi="Arial Narrow"/>
                <w:sz w:val="20"/>
              </w:rPr>
              <w:t>7</w:t>
            </w:r>
          </w:p>
        </w:tc>
        <w:tc>
          <w:tcPr>
            <w:tcW w:w="815" w:type="dxa"/>
          </w:tcPr>
          <w:p w:rsidR="001636DA" w:rsidRPr="00D51B2C" w:rsidRDefault="001636DA" w:rsidP="00502A52">
            <w:pPr>
              <w:keepNext/>
              <w:keepLines/>
              <w:widowControl w:val="0"/>
              <w:spacing w:before="40" w:after="40" w:line="257" w:lineRule="auto"/>
              <w:ind w:right="-57"/>
              <w:jc w:val="center"/>
              <w:rPr>
                <w:rFonts w:ascii="Arial Narrow" w:hAnsi="Arial Narrow"/>
                <w:sz w:val="20"/>
              </w:rPr>
            </w:pPr>
            <w:r w:rsidRPr="00615F95">
              <w:rPr>
                <w:rFonts w:ascii="Arial Narrow" w:hAnsi="Arial Narrow"/>
                <w:sz w:val="20"/>
              </w:rPr>
              <w:t>14.13, NE</w:t>
            </w:r>
          </w:p>
        </w:tc>
        <w:tc>
          <w:tcPr>
            <w:tcW w:w="815" w:type="dxa"/>
          </w:tcPr>
          <w:p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12.0, 2</w:t>
            </w:r>
            <w:r>
              <w:rPr>
                <w:rFonts w:ascii="Arial Narrow" w:hAnsi="Arial Narrow"/>
                <w:sz w:val="20"/>
              </w:rPr>
              <w:t>1.</w:t>
            </w:r>
            <w:r w:rsidRPr="00615F95">
              <w:rPr>
                <w:rFonts w:ascii="Arial Narrow" w:hAnsi="Arial Narrow"/>
                <w:sz w:val="20"/>
              </w:rPr>
              <w:t>0</w:t>
            </w:r>
          </w:p>
        </w:tc>
        <w:tc>
          <w:tcPr>
            <w:tcW w:w="815" w:type="dxa"/>
          </w:tcPr>
          <w:p w:rsidR="001636DA" w:rsidRPr="00D51B2C" w:rsidRDefault="001636DA" w:rsidP="00502A52">
            <w:pPr>
              <w:keepNext/>
              <w:keepLines/>
              <w:widowControl w:val="0"/>
              <w:spacing w:before="40" w:after="40" w:line="257" w:lineRule="auto"/>
              <w:ind w:right="-57"/>
              <w:jc w:val="center"/>
              <w:rPr>
                <w:rFonts w:ascii="Arial Narrow" w:hAnsi="Arial Narrow"/>
                <w:sz w:val="20"/>
              </w:rPr>
            </w:pPr>
            <w:r w:rsidRPr="00615F95">
              <w:rPr>
                <w:rFonts w:ascii="Arial Narrow" w:hAnsi="Arial Narrow"/>
                <w:sz w:val="20"/>
              </w:rPr>
              <w:t>36.</w:t>
            </w:r>
            <w:r>
              <w:rPr>
                <w:rFonts w:ascii="Arial Narrow" w:hAnsi="Arial Narrow"/>
                <w:sz w:val="20"/>
              </w:rPr>
              <w:t>5</w:t>
            </w:r>
            <w:r w:rsidRPr="00615F95">
              <w:rPr>
                <w:rFonts w:ascii="Arial Narrow" w:hAnsi="Arial Narrow"/>
                <w:sz w:val="20"/>
              </w:rPr>
              <w:t>, NE</w:t>
            </w:r>
          </w:p>
        </w:tc>
      </w:tr>
      <w:tr w:rsidR="00D51B2C" w:rsidRPr="00D51B2C" w:rsidTr="00D4725E">
        <w:tc>
          <w:tcPr>
            <w:tcW w:w="9016" w:type="dxa"/>
            <w:gridSpan w:val="11"/>
          </w:tcPr>
          <w:p w:rsidR="00D51B2C" w:rsidRPr="001636DA" w:rsidRDefault="00D51B2C" w:rsidP="00502A52">
            <w:pPr>
              <w:keepNext/>
              <w:keepLines/>
              <w:widowControl w:val="0"/>
              <w:spacing w:before="40" w:after="40" w:line="256" w:lineRule="auto"/>
              <w:jc w:val="left"/>
              <w:rPr>
                <w:rFonts w:ascii="Arial Narrow" w:hAnsi="Arial Narrow"/>
                <w:b/>
                <w:sz w:val="20"/>
              </w:rPr>
            </w:pPr>
            <w:r w:rsidRPr="001636DA">
              <w:rPr>
                <w:rFonts w:ascii="Arial Narrow" w:hAnsi="Arial Narrow"/>
                <w:b/>
                <w:sz w:val="20"/>
              </w:rPr>
              <w:t>Rate of OS for at least</w:t>
            </w:r>
          </w:p>
        </w:tc>
      </w:tr>
      <w:tr w:rsidR="00D51B2C" w:rsidRPr="00D51B2C" w:rsidTr="00537749">
        <w:tc>
          <w:tcPr>
            <w:tcW w:w="846" w:type="dxa"/>
          </w:tcPr>
          <w:p w:rsidR="00D51B2C" w:rsidRPr="00D51B2C" w:rsidRDefault="00D51B2C" w:rsidP="0009334C">
            <w:pPr>
              <w:keepNext/>
              <w:keepLines/>
              <w:widowControl w:val="0"/>
              <w:spacing w:before="40" w:after="40" w:line="256" w:lineRule="auto"/>
              <w:jc w:val="left"/>
              <w:rPr>
                <w:rFonts w:ascii="Arial Narrow" w:hAnsi="Arial Narrow"/>
                <w:sz w:val="20"/>
                <w:vertAlign w:val="superscript"/>
              </w:rPr>
            </w:pPr>
            <w:r w:rsidRPr="00D51B2C">
              <w:rPr>
                <w:rFonts w:ascii="Arial Narrow" w:hAnsi="Arial Narrow"/>
                <w:sz w:val="20"/>
              </w:rPr>
              <w:t xml:space="preserve">12 </w:t>
            </w:r>
            <w:r w:rsidR="00537749">
              <w:rPr>
                <w:rFonts w:ascii="Arial Narrow" w:hAnsi="Arial Narrow"/>
                <w:sz w:val="20"/>
              </w:rPr>
              <w:t>m</w:t>
            </w:r>
            <w:r w:rsidRPr="00D51B2C">
              <w:rPr>
                <w:rFonts w:ascii="Arial Narrow" w:hAnsi="Arial Narrow"/>
                <w:sz w:val="20"/>
              </w:rPr>
              <w:t>onths</w:t>
            </w:r>
          </w:p>
        </w:tc>
        <w:tc>
          <w:tcPr>
            <w:tcW w:w="83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84.6</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86.4</w:t>
            </w:r>
          </w:p>
        </w:tc>
        <w:tc>
          <w:tcPr>
            <w:tcW w:w="901"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85.6</w:t>
            </w:r>
          </w:p>
        </w:tc>
        <w:tc>
          <w:tcPr>
            <w:tcW w:w="729"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75.0</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95.0</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33.3</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80.0</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76.8</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100</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83.9</w:t>
            </w:r>
          </w:p>
        </w:tc>
      </w:tr>
      <w:tr w:rsidR="00D51B2C" w:rsidRPr="00D51B2C" w:rsidTr="00537749">
        <w:tc>
          <w:tcPr>
            <w:tcW w:w="846" w:type="dxa"/>
          </w:tcPr>
          <w:p w:rsidR="00D51B2C" w:rsidRPr="00D51B2C" w:rsidRDefault="00D51B2C" w:rsidP="0009334C">
            <w:pPr>
              <w:keepNext/>
              <w:keepLines/>
              <w:widowControl w:val="0"/>
              <w:spacing w:before="40" w:after="40" w:line="256" w:lineRule="auto"/>
              <w:jc w:val="left"/>
              <w:rPr>
                <w:rFonts w:ascii="Arial Narrow" w:hAnsi="Arial Narrow"/>
                <w:sz w:val="20"/>
                <w:vertAlign w:val="superscript"/>
              </w:rPr>
            </w:pPr>
            <w:r w:rsidRPr="00D51B2C">
              <w:rPr>
                <w:rFonts w:ascii="Arial Narrow" w:hAnsi="Arial Narrow"/>
                <w:sz w:val="20"/>
              </w:rPr>
              <w:t>95% CI</w:t>
            </w:r>
          </w:p>
        </w:tc>
        <w:tc>
          <w:tcPr>
            <w:tcW w:w="83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51.2, 95.9</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63.4, 95.4</w:t>
            </w:r>
          </w:p>
        </w:tc>
        <w:tc>
          <w:tcPr>
            <w:tcW w:w="901"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61.5, 95.1</w:t>
            </w:r>
          </w:p>
        </w:tc>
        <w:tc>
          <w:tcPr>
            <w:tcW w:w="729"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31.5, 93.1</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69.5, 99.3</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0.9, 77.4</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20.4, 96.9</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52.3, 89.7</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75.9, 89.5</w:t>
            </w:r>
          </w:p>
        </w:tc>
      </w:tr>
      <w:tr w:rsidR="00D51B2C" w:rsidRPr="00D51B2C" w:rsidTr="00537749">
        <w:tc>
          <w:tcPr>
            <w:tcW w:w="846" w:type="dxa"/>
          </w:tcPr>
          <w:p w:rsidR="00D51B2C" w:rsidRPr="00D51B2C" w:rsidRDefault="00D51B2C" w:rsidP="0009334C">
            <w:pPr>
              <w:keepNext/>
              <w:keepLines/>
              <w:widowControl w:val="0"/>
              <w:spacing w:before="40" w:after="40" w:line="256" w:lineRule="auto"/>
              <w:jc w:val="left"/>
              <w:rPr>
                <w:rFonts w:ascii="Arial Narrow" w:hAnsi="Arial Narrow"/>
                <w:sz w:val="20"/>
                <w:vertAlign w:val="superscript"/>
              </w:rPr>
            </w:pPr>
            <w:r w:rsidRPr="00D51B2C">
              <w:rPr>
                <w:rFonts w:ascii="Arial Narrow" w:hAnsi="Arial Narrow"/>
                <w:sz w:val="20"/>
              </w:rPr>
              <w:t xml:space="preserve">18 </w:t>
            </w:r>
            <w:r w:rsidR="00537749">
              <w:rPr>
                <w:rFonts w:ascii="Arial Narrow" w:hAnsi="Arial Narrow"/>
                <w:sz w:val="20"/>
              </w:rPr>
              <w:t>m</w:t>
            </w:r>
            <w:r w:rsidRPr="00D51B2C">
              <w:rPr>
                <w:rFonts w:ascii="Arial Narrow" w:hAnsi="Arial Narrow"/>
                <w:sz w:val="20"/>
              </w:rPr>
              <w:t>onths</w:t>
            </w:r>
          </w:p>
        </w:tc>
        <w:tc>
          <w:tcPr>
            <w:tcW w:w="83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84.6</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77.3</w:t>
            </w:r>
          </w:p>
        </w:tc>
        <w:tc>
          <w:tcPr>
            <w:tcW w:w="901"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85.6</w:t>
            </w:r>
          </w:p>
        </w:tc>
        <w:tc>
          <w:tcPr>
            <w:tcW w:w="729"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75.0</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89.7</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33.3</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30.0</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62.8</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66.7</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75.8</w:t>
            </w:r>
          </w:p>
        </w:tc>
      </w:tr>
      <w:tr w:rsidR="00D51B2C" w:rsidRPr="00D51B2C" w:rsidTr="00537749">
        <w:tc>
          <w:tcPr>
            <w:tcW w:w="846" w:type="dxa"/>
          </w:tcPr>
          <w:p w:rsidR="00D51B2C" w:rsidRPr="00D51B2C" w:rsidRDefault="00D51B2C" w:rsidP="0009334C">
            <w:pPr>
              <w:keepNext/>
              <w:keepLines/>
              <w:widowControl w:val="0"/>
              <w:spacing w:before="40" w:after="40" w:line="256" w:lineRule="auto"/>
              <w:jc w:val="left"/>
              <w:rPr>
                <w:rFonts w:ascii="Arial Narrow" w:hAnsi="Arial Narrow"/>
                <w:sz w:val="20"/>
                <w:vertAlign w:val="superscript"/>
              </w:rPr>
            </w:pPr>
            <w:r w:rsidRPr="00D51B2C">
              <w:rPr>
                <w:rFonts w:ascii="Arial Narrow" w:hAnsi="Arial Narrow"/>
                <w:sz w:val="20"/>
              </w:rPr>
              <w:t>95% CI</w:t>
            </w:r>
          </w:p>
        </w:tc>
        <w:tc>
          <w:tcPr>
            <w:tcW w:w="83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51.2, 95.9</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53.7, 89.8</w:t>
            </w:r>
          </w:p>
        </w:tc>
        <w:tc>
          <w:tcPr>
            <w:tcW w:w="901"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61.5, 95.1</w:t>
            </w:r>
          </w:p>
        </w:tc>
        <w:tc>
          <w:tcPr>
            <w:tcW w:w="729"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31.5, 93.1</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64.8, 97.3</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0.9, 77.4</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1.2, 71.9</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36.0, 80.9</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5.4, 94.5</w:t>
            </w:r>
          </w:p>
        </w:tc>
        <w:tc>
          <w:tcPr>
            <w:tcW w:w="815" w:type="dxa"/>
            <w:shd w:val="clear" w:color="auto" w:fill="auto"/>
          </w:tcPr>
          <w:p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66.5, 82.8</w:t>
            </w:r>
          </w:p>
        </w:tc>
      </w:tr>
      <w:tr w:rsidR="00D51B2C" w:rsidRPr="00D51B2C" w:rsidTr="00D4725E">
        <w:tc>
          <w:tcPr>
            <w:tcW w:w="9016" w:type="dxa"/>
            <w:gridSpan w:val="11"/>
          </w:tcPr>
          <w:p w:rsidR="00D51B2C" w:rsidRPr="001636DA" w:rsidRDefault="00D51B2C" w:rsidP="0009334C">
            <w:pPr>
              <w:keepNext/>
              <w:keepLines/>
              <w:widowControl w:val="0"/>
              <w:spacing w:before="40" w:after="40" w:line="256" w:lineRule="auto"/>
              <w:jc w:val="left"/>
              <w:rPr>
                <w:rFonts w:ascii="Arial Narrow" w:hAnsi="Arial Narrow"/>
                <w:b/>
                <w:sz w:val="20"/>
                <w:vertAlign w:val="subscript"/>
              </w:rPr>
            </w:pPr>
            <w:r w:rsidRPr="001636DA">
              <w:rPr>
                <w:rFonts w:ascii="Arial Narrow" w:hAnsi="Arial Narrow"/>
                <w:b/>
                <w:sz w:val="20"/>
              </w:rPr>
              <w:t>Follow-up time for OS (months)</w:t>
            </w:r>
            <w:r w:rsidRPr="001636DA">
              <w:rPr>
                <w:rFonts w:ascii="Arial Narrow" w:hAnsi="Arial Narrow"/>
                <w:b/>
                <w:sz w:val="20"/>
                <w:vertAlign w:val="superscript"/>
              </w:rPr>
              <w:t>b</w:t>
            </w:r>
          </w:p>
        </w:tc>
      </w:tr>
      <w:tr w:rsidR="001636DA" w:rsidRPr="00D51B2C" w:rsidTr="00537749">
        <w:tc>
          <w:tcPr>
            <w:tcW w:w="846" w:type="dxa"/>
          </w:tcPr>
          <w:p w:rsidR="001636DA" w:rsidRPr="00D51B2C" w:rsidRDefault="001636DA" w:rsidP="0009334C">
            <w:pPr>
              <w:keepNext/>
              <w:keepLines/>
              <w:widowControl w:val="0"/>
              <w:spacing w:before="40" w:after="40" w:line="256" w:lineRule="auto"/>
              <w:jc w:val="left"/>
              <w:rPr>
                <w:rFonts w:ascii="Arial Narrow" w:hAnsi="Arial Narrow"/>
                <w:sz w:val="20"/>
              </w:rPr>
            </w:pPr>
            <w:r w:rsidRPr="00D51B2C">
              <w:rPr>
                <w:rFonts w:ascii="Arial Narrow" w:hAnsi="Arial Narrow"/>
                <w:sz w:val="20"/>
              </w:rPr>
              <w:t>Median</w:t>
            </w:r>
          </w:p>
        </w:tc>
        <w:tc>
          <w:tcPr>
            <w:tcW w:w="835"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16.2</w:t>
            </w:r>
          </w:p>
        </w:tc>
        <w:tc>
          <w:tcPr>
            <w:tcW w:w="815"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27.3</w:t>
            </w:r>
          </w:p>
        </w:tc>
        <w:tc>
          <w:tcPr>
            <w:tcW w:w="901"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26.7</w:t>
            </w:r>
          </w:p>
        </w:tc>
        <w:tc>
          <w:tcPr>
            <w:tcW w:w="729"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7.</w:t>
            </w:r>
            <w:r>
              <w:rPr>
                <w:rFonts w:ascii="Arial Narrow" w:hAnsi="Arial Narrow"/>
                <w:sz w:val="20"/>
              </w:rPr>
              <w:t>8</w:t>
            </w:r>
          </w:p>
        </w:tc>
        <w:tc>
          <w:tcPr>
            <w:tcW w:w="815"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31.3</w:t>
            </w:r>
          </w:p>
        </w:tc>
        <w:tc>
          <w:tcPr>
            <w:tcW w:w="815"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NE</w:t>
            </w:r>
          </w:p>
        </w:tc>
        <w:tc>
          <w:tcPr>
            <w:tcW w:w="815"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16.2</w:t>
            </w:r>
          </w:p>
        </w:tc>
        <w:tc>
          <w:tcPr>
            <w:tcW w:w="815"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17.7</w:t>
            </w:r>
          </w:p>
        </w:tc>
        <w:tc>
          <w:tcPr>
            <w:tcW w:w="815"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14.</w:t>
            </w:r>
            <w:r>
              <w:rPr>
                <w:rFonts w:ascii="Arial Narrow" w:hAnsi="Arial Narrow"/>
                <w:sz w:val="20"/>
              </w:rPr>
              <w:t>4</w:t>
            </w:r>
          </w:p>
        </w:tc>
        <w:tc>
          <w:tcPr>
            <w:tcW w:w="815"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2</w:t>
            </w:r>
            <w:r>
              <w:rPr>
                <w:rFonts w:ascii="Arial Narrow" w:hAnsi="Arial Narrow"/>
                <w:sz w:val="20"/>
              </w:rPr>
              <w:t>4</w:t>
            </w:r>
            <w:r w:rsidRPr="00615F95">
              <w:rPr>
                <w:rFonts w:ascii="Arial Narrow" w:hAnsi="Arial Narrow"/>
                <w:sz w:val="20"/>
              </w:rPr>
              <w:t>.</w:t>
            </w:r>
            <w:r>
              <w:rPr>
                <w:rFonts w:ascii="Arial Narrow" w:hAnsi="Arial Narrow"/>
                <w:sz w:val="20"/>
              </w:rPr>
              <w:t>0</w:t>
            </w:r>
          </w:p>
        </w:tc>
      </w:tr>
      <w:tr w:rsidR="001636DA" w:rsidRPr="00D51B2C" w:rsidTr="00537749">
        <w:tc>
          <w:tcPr>
            <w:tcW w:w="846" w:type="dxa"/>
          </w:tcPr>
          <w:p w:rsidR="001636DA" w:rsidRPr="00D51B2C" w:rsidRDefault="001636DA" w:rsidP="0009334C">
            <w:pPr>
              <w:keepNext/>
              <w:keepLines/>
              <w:widowControl w:val="0"/>
              <w:spacing w:before="40" w:after="40" w:line="256" w:lineRule="auto"/>
              <w:jc w:val="left"/>
              <w:rPr>
                <w:rFonts w:ascii="Arial Narrow" w:hAnsi="Arial Narrow"/>
                <w:sz w:val="20"/>
              </w:rPr>
            </w:pPr>
            <w:r w:rsidRPr="00D51B2C">
              <w:rPr>
                <w:rFonts w:ascii="Arial Narrow" w:hAnsi="Arial Narrow"/>
                <w:sz w:val="20"/>
              </w:rPr>
              <w:t>95% CI</w:t>
            </w:r>
          </w:p>
        </w:tc>
        <w:tc>
          <w:tcPr>
            <w:tcW w:w="835"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6.5, 2</w:t>
            </w:r>
            <w:r>
              <w:rPr>
                <w:rFonts w:ascii="Arial Narrow" w:hAnsi="Arial Narrow"/>
                <w:sz w:val="20"/>
              </w:rPr>
              <w:t>4</w:t>
            </w:r>
            <w:r w:rsidRPr="00615F95">
              <w:rPr>
                <w:rFonts w:ascii="Arial Narrow" w:hAnsi="Arial Narrow"/>
                <w:sz w:val="20"/>
              </w:rPr>
              <w:t>.</w:t>
            </w:r>
            <w:r>
              <w:rPr>
                <w:rFonts w:ascii="Arial Narrow" w:hAnsi="Arial Narrow"/>
                <w:sz w:val="20"/>
              </w:rPr>
              <w:t>0</w:t>
            </w:r>
          </w:p>
        </w:tc>
        <w:tc>
          <w:tcPr>
            <w:tcW w:w="815"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22.</w:t>
            </w:r>
            <w:r>
              <w:rPr>
                <w:rFonts w:ascii="Arial Narrow" w:hAnsi="Arial Narrow"/>
                <w:sz w:val="20"/>
              </w:rPr>
              <w:t>2</w:t>
            </w:r>
            <w:r w:rsidRPr="00615F95">
              <w:rPr>
                <w:rFonts w:ascii="Arial Narrow" w:hAnsi="Arial Narrow"/>
                <w:sz w:val="20"/>
              </w:rPr>
              <w:t>, 28.5</w:t>
            </w:r>
          </w:p>
        </w:tc>
        <w:tc>
          <w:tcPr>
            <w:tcW w:w="901"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15.</w:t>
            </w:r>
            <w:r>
              <w:rPr>
                <w:rFonts w:ascii="Arial Narrow" w:hAnsi="Arial Narrow"/>
                <w:sz w:val="20"/>
              </w:rPr>
              <w:t>2</w:t>
            </w:r>
            <w:r w:rsidRPr="00615F95">
              <w:rPr>
                <w:rFonts w:ascii="Arial Narrow" w:hAnsi="Arial Narrow"/>
                <w:sz w:val="20"/>
              </w:rPr>
              <w:t>, 37.0</w:t>
            </w:r>
          </w:p>
        </w:tc>
        <w:tc>
          <w:tcPr>
            <w:tcW w:w="729"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1.7, NE</w:t>
            </w:r>
          </w:p>
        </w:tc>
        <w:tc>
          <w:tcPr>
            <w:tcW w:w="815"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22.3, 29.3</w:t>
            </w:r>
          </w:p>
        </w:tc>
        <w:tc>
          <w:tcPr>
            <w:tcW w:w="815"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NE</w:t>
            </w:r>
          </w:p>
        </w:tc>
        <w:tc>
          <w:tcPr>
            <w:tcW w:w="815"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3.</w:t>
            </w:r>
            <w:r>
              <w:rPr>
                <w:rFonts w:ascii="Arial Narrow" w:hAnsi="Arial Narrow"/>
                <w:sz w:val="20"/>
              </w:rPr>
              <w:t>2</w:t>
            </w:r>
            <w:r w:rsidRPr="00615F95">
              <w:rPr>
                <w:rFonts w:ascii="Arial Narrow" w:hAnsi="Arial Narrow"/>
                <w:sz w:val="20"/>
              </w:rPr>
              <w:t>, NE</w:t>
            </w:r>
          </w:p>
        </w:tc>
        <w:tc>
          <w:tcPr>
            <w:tcW w:w="815"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9.3, 28.</w:t>
            </w:r>
            <w:r>
              <w:rPr>
                <w:rFonts w:ascii="Arial Narrow" w:hAnsi="Arial Narrow"/>
                <w:sz w:val="20"/>
              </w:rPr>
              <w:t>1</w:t>
            </w:r>
          </w:p>
        </w:tc>
        <w:tc>
          <w:tcPr>
            <w:tcW w:w="815"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0.49, NE</w:t>
            </w:r>
          </w:p>
        </w:tc>
        <w:tc>
          <w:tcPr>
            <w:tcW w:w="815" w:type="dxa"/>
            <w:shd w:val="clear" w:color="auto" w:fill="auto"/>
          </w:tcPr>
          <w:p w:rsidR="001636DA" w:rsidRPr="00D51B2C" w:rsidRDefault="001636DA" w:rsidP="0009334C">
            <w:pPr>
              <w:keepNext/>
              <w:keepLines/>
              <w:widowControl w:val="0"/>
              <w:spacing w:before="40" w:after="40" w:line="257" w:lineRule="auto"/>
              <w:ind w:right="-57"/>
              <w:jc w:val="center"/>
              <w:rPr>
                <w:rFonts w:ascii="Arial Narrow" w:hAnsi="Arial Narrow"/>
                <w:sz w:val="20"/>
              </w:rPr>
            </w:pPr>
            <w:r w:rsidRPr="00615F95">
              <w:rPr>
                <w:rFonts w:ascii="Arial Narrow" w:hAnsi="Arial Narrow"/>
                <w:sz w:val="20"/>
              </w:rPr>
              <w:t>20.0, 27.3</w:t>
            </w:r>
          </w:p>
        </w:tc>
      </w:tr>
      <w:tr w:rsidR="001636DA" w:rsidRPr="00D51B2C" w:rsidTr="00537749">
        <w:tc>
          <w:tcPr>
            <w:tcW w:w="846" w:type="dxa"/>
          </w:tcPr>
          <w:p w:rsidR="001636DA" w:rsidRPr="00D51B2C" w:rsidRDefault="001636DA" w:rsidP="0009334C">
            <w:pPr>
              <w:keepNext/>
              <w:keepLines/>
              <w:widowControl w:val="0"/>
              <w:spacing w:before="40" w:after="40" w:line="257" w:lineRule="auto"/>
              <w:ind w:right="-57"/>
              <w:jc w:val="left"/>
              <w:rPr>
                <w:rFonts w:ascii="Arial Narrow" w:hAnsi="Arial Narrow"/>
                <w:sz w:val="20"/>
              </w:rPr>
            </w:pPr>
            <w:r w:rsidRPr="00D51B2C">
              <w:rPr>
                <w:rFonts w:ascii="Arial Narrow" w:hAnsi="Arial Narrow"/>
                <w:sz w:val="20"/>
              </w:rPr>
              <w:t>Min, max</w:t>
            </w:r>
          </w:p>
        </w:tc>
        <w:tc>
          <w:tcPr>
            <w:tcW w:w="835"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0.0, 52.2</w:t>
            </w:r>
          </w:p>
        </w:tc>
        <w:tc>
          <w:tcPr>
            <w:tcW w:w="815"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1.2, 43.3</w:t>
            </w:r>
          </w:p>
        </w:tc>
        <w:tc>
          <w:tcPr>
            <w:tcW w:w="901"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0.0, 55.4</w:t>
            </w:r>
          </w:p>
        </w:tc>
        <w:tc>
          <w:tcPr>
            <w:tcW w:w="729" w:type="dxa"/>
            <w:shd w:val="clear" w:color="auto" w:fill="auto"/>
          </w:tcPr>
          <w:p w:rsidR="001636DA" w:rsidRPr="00D51B2C" w:rsidRDefault="001636DA" w:rsidP="0009334C">
            <w:pPr>
              <w:keepNext/>
              <w:keepLines/>
              <w:widowControl w:val="0"/>
              <w:spacing w:before="40" w:after="40" w:line="257" w:lineRule="auto"/>
              <w:ind w:right="-57"/>
              <w:jc w:val="center"/>
              <w:rPr>
                <w:rFonts w:ascii="Arial Narrow" w:hAnsi="Arial Narrow"/>
                <w:sz w:val="20"/>
              </w:rPr>
            </w:pPr>
            <w:r w:rsidRPr="00615F95">
              <w:rPr>
                <w:rFonts w:ascii="Arial Narrow" w:hAnsi="Arial Narrow"/>
                <w:sz w:val="20"/>
              </w:rPr>
              <w:t>1.7, 36.5+</w:t>
            </w:r>
          </w:p>
        </w:tc>
        <w:tc>
          <w:tcPr>
            <w:tcW w:w="815"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4.1+, 53.4</w:t>
            </w:r>
          </w:p>
        </w:tc>
        <w:tc>
          <w:tcPr>
            <w:tcW w:w="815"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1.8+, 33.4+</w:t>
            </w:r>
          </w:p>
        </w:tc>
        <w:tc>
          <w:tcPr>
            <w:tcW w:w="815"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3.2, 23.7+</w:t>
            </w:r>
          </w:p>
        </w:tc>
        <w:tc>
          <w:tcPr>
            <w:tcW w:w="815"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0.5+, 37.5</w:t>
            </w:r>
          </w:p>
        </w:tc>
        <w:tc>
          <w:tcPr>
            <w:tcW w:w="815"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0.5, 20.8+</w:t>
            </w:r>
          </w:p>
        </w:tc>
        <w:tc>
          <w:tcPr>
            <w:tcW w:w="815" w:type="dxa"/>
            <w:shd w:val="clear" w:color="auto" w:fill="auto"/>
          </w:tcPr>
          <w:p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0.0, 55.4</w:t>
            </w:r>
          </w:p>
        </w:tc>
      </w:tr>
    </w:tbl>
    <w:p w:rsidR="00D51B2C" w:rsidRPr="00D51B2C" w:rsidRDefault="00D51B2C" w:rsidP="0009334C">
      <w:pPr>
        <w:pStyle w:val="TableFooter"/>
        <w:keepNext/>
        <w:keepLines/>
      </w:pPr>
      <w:r w:rsidRPr="00D51B2C">
        <w:t>Source: Table 2.103, p273 of the resubmission</w:t>
      </w:r>
    </w:p>
    <w:p w:rsidR="00D51B2C" w:rsidRPr="00D51B2C" w:rsidRDefault="00D51B2C" w:rsidP="0009334C">
      <w:pPr>
        <w:pStyle w:val="TableFooter"/>
        <w:keepNext/>
        <w:keepLines/>
      </w:pPr>
      <w:r w:rsidRPr="00D51B2C">
        <w:rPr>
          <w:vertAlign w:val="superscript"/>
        </w:rPr>
        <w:t xml:space="preserve">a </w:t>
      </w:r>
      <w:r w:rsidRPr="00D51B2C">
        <w:t>Median, Q1, and Q3 are Kaplan-Meier estimate. CI (2-sided) for median was computed using the Greenwood’s formula. Minimum and maximum included the censored observations where using “+” after value indicates censoring.</w:t>
      </w:r>
    </w:p>
    <w:p w:rsidR="00D51B2C" w:rsidRPr="00D51B2C" w:rsidRDefault="00D51B2C" w:rsidP="0009334C">
      <w:pPr>
        <w:pStyle w:val="TableFooter"/>
        <w:keepNext/>
        <w:keepLines/>
      </w:pPr>
      <w:r w:rsidRPr="00D51B2C">
        <w:rPr>
          <w:vertAlign w:val="superscript"/>
        </w:rPr>
        <w:t>b</w:t>
      </w:r>
      <w:r w:rsidRPr="00D51B2C">
        <w:t xml:space="preserve"> Median, Q1, and Q3 are Kaplan-Meier estimate of potential follow-up using the method by Schemper and Smith (9). CI (2-sided) for median was computed using the Greenwood’s formula. Minimum and maximum included the censored observations where using “+” after value indicates censoring.</w:t>
      </w:r>
    </w:p>
    <w:p w:rsidR="00D51B2C" w:rsidRPr="00D51B2C" w:rsidRDefault="00D51B2C" w:rsidP="0009334C">
      <w:pPr>
        <w:pStyle w:val="TableFooter"/>
        <w:keepNext/>
        <w:keepLines/>
      </w:pPr>
      <w:r w:rsidRPr="00D51B2C">
        <w:t>Notes: Percentage was calculated using the number of patients in the column heading as the denominator. The table is based on the Full Analysis Set, N = 139</w:t>
      </w:r>
    </w:p>
    <w:p w:rsidR="00D51B2C" w:rsidRPr="00D51B2C" w:rsidRDefault="00D51B2C" w:rsidP="0009334C">
      <w:pPr>
        <w:pStyle w:val="TableFooter"/>
        <w:keepNext/>
        <w:keepLines/>
      </w:pPr>
      <w:r w:rsidRPr="00D51B2C">
        <w:t>CRC, colorectal cancer; CI = confidence interval; CNS = central nervous system; NE = not estimable; NSCLC = non-small cell lung cancer; OS = overall survival</w:t>
      </w:r>
    </w:p>
    <w:p w:rsidR="007A003B" w:rsidRDefault="007A003B">
      <w:pPr>
        <w:spacing w:before="0" w:line="259" w:lineRule="auto"/>
        <w:jc w:val="left"/>
        <w:rPr>
          <w:rFonts w:ascii="Arial Narrow" w:hAnsi="Arial Narrow"/>
          <w:b/>
          <w:iCs/>
          <w:sz w:val="20"/>
          <w:szCs w:val="18"/>
        </w:rPr>
      </w:pPr>
      <w:bookmarkStart w:id="49" w:name="_Ref79137510"/>
      <w:r>
        <w:br w:type="page"/>
      </w:r>
    </w:p>
    <w:p w:rsidR="00D51B2C" w:rsidRPr="00D51B2C" w:rsidRDefault="00D51B2C" w:rsidP="00502A52">
      <w:pPr>
        <w:pStyle w:val="Caption"/>
        <w:keepLines/>
      </w:pPr>
      <w:r w:rsidRPr="00D51B2C">
        <w:t>Table</w:t>
      </w:r>
      <w:r w:rsidR="00E37EC3">
        <w:t xml:space="preserve"> </w:t>
      </w:r>
      <w:r w:rsidR="00BB3DD1">
        <w:rPr>
          <w:noProof/>
        </w:rPr>
        <w:t>12</w:t>
      </w:r>
      <w:bookmarkEnd w:id="49"/>
      <w:r w:rsidR="00E37EC3">
        <w:rPr>
          <w:noProof/>
        </w:rPr>
        <w:t>:</w:t>
      </w:r>
      <w:r w:rsidR="00D117CD">
        <w:rPr>
          <w:noProof/>
        </w:rPr>
        <w:t xml:space="preserve"> </w:t>
      </w:r>
      <w:r w:rsidRPr="00D51B2C">
        <w:t xml:space="preserve">SCOUT - Summary of </w:t>
      </w:r>
      <w:r w:rsidR="00623DDF" w:rsidRPr="00D51B2C">
        <w:t>overall s</w:t>
      </w:r>
      <w:r w:rsidRPr="00D51B2C">
        <w:t>urvival</w:t>
      </w:r>
    </w:p>
    <w:tbl>
      <w:tblPr>
        <w:tblStyle w:val="HTATableshaded20"/>
        <w:tblW w:w="5000" w:type="pct"/>
        <w:tblLook w:val="04A0" w:firstRow="1" w:lastRow="0" w:firstColumn="1" w:lastColumn="0" w:noHBand="0" w:noVBand="1"/>
        <w:tblCaption w:val="Table 12: SCOUT - Summary of overall survival"/>
      </w:tblPr>
      <w:tblGrid>
        <w:gridCol w:w="2972"/>
        <w:gridCol w:w="1277"/>
        <w:gridCol w:w="1700"/>
        <w:gridCol w:w="1392"/>
        <w:gridCol w:w="1675"/>
      </w:tblGrid>
      <w:tr w:rsidR="006909A5" w:rsidRPr="00D51B2C" w:rsidTr="00623DDF">
        <w:trPr>
          <w:cnfStyle w:val="100000000000" w:firstRow="1" w:lastRow="0" w:firstColumn="0" w:lastColumn="0" w:oddVBand="0" w:evenVBand="0" w:oddHBand="0" w:evenHBand="0" w:firstRowFirstColumn="0" w:firstRowLastColumn="0" w:lastRowFirstColumn="0" w:lastRowLastColumn="0"/>
          <w:tblHeader/>
        </w:trPr>
        <w:tc>
          <w:tcPr>
            <w:tcW w:w="1648" w:type="pct"/>
            <w:vMerge w:val="restart"/>
          </w:tcPr>
          <w:p w:rsidR="006909A5" w:rsidRPr="00D51B2C" w:rsidRDefault="006909A5" w:rsidP="00502A52">
            <w:pPr>
              <w:keepNext/>
              <w:keepLines/>
              <w:widowControl w:val="0"/>
              <w:spacing w:before="40" w:after="40" w:line="256" w:lineRule="auto"/>
              <w:jc w:val="left"/>
              <w:rPr>
                <w:rFonts w:ascii="Arial Narrow" w:hAnsi="Arial Narrow"/>
                <w:sz w:val="20"/>
              </w:rPr>
            </w:pPr>
          </w:p>
        </w:tc>
        <w:tc>
          <w:tcPr>
            <w:tcW w:w="1651" w:type="pct"/>
            <w:gridSpan w:val="2"/>
          </w:tcPr>
          <w:p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Previous submission</w:t>
            </w:r>
          </w:p>
          <w:p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 xml:space="preserve">July 2019 data </w:t>
            </w:r>
            <w:r w:rsidR="006D66BE" w:rsidRPr="00D51B2C">
              <w:rPr>
                <w:rFonts w:ascii="Arial Narrow" w:hAnsi="Arial Narrow"/>
                <w:b/>
                <w:sz w:val="20"/>
              </w:rPr>
              <w:t>cut-off</w:t>
            </w:r>
          </w:p>
        </w:tc>
        <w:tc>
          <w:tcPr>
            <w:tcW w:w="1701" w:type="pct"/>
            <w:gridSpan w:val="2"/>
          </w:tcPr>
          <w:p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Resubmission</w:t>
            </w:r>
          </w:p>
          <w:p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 xml:space="preserve">July 2020 data </w:t>
            </w:r>
            <w:r w:rsidR="006D66BE" w:rsidRPr="00D51B2C">
              <w:rPr>
                <w:rFonts w:ascii="Arial Narrow" w:hAnsi="Arial Narrow"/>
                <w:b/>
                <w:sz w:val="20"/>
              </w:rPr>
              <w:t>cut-off</w:t>
            </w:r>
          </w:p>
        </w:tc>
      </w:tr>
      <w:tr w:rsidR="006909A5" w:rsidRPr="00D51B2C" w:rsidTr="00623DDF">
        <w:trPr>
          <w:cnfStyle w:val="100000000000" w:firstRow="1" w:lastRow="0" w:firstColumn="0" w:lastColumn="0" w:oddVBand="0" w:evenVBand="0" w:oddHBand="0" w:evenHBand="0" w:firstRowFirstColumn="0" w:firstRowLastColumn="0" w:lastRowFirstColumn="0" w:lastRowLastColumn="0"/>
          <w:tblHeader/>
        </w:trPr>
        <w:tc>
          <w:tcPr>
            <w:tcW w:w="1648" w:type="pct"/>
            <w:vMerge/>
          </w:tcPr>
          <w:p w:rsidR="006909A5" w:rsidRPr="00D51B2C" w:rsidRDefault="006909A5" w:rsidP="00502A52">
            <w:pPr>
              <w:keepNext/>
              <w:keepLines/>
              <w:widowControl w:val="0"/>
              <w:spacing w:before="40" w:after="40" w:line="256" w:lineRule="auto"/>
              <w:jc w:val="left"/>
              <w:rPr>
                <w:rFonts w:ascii="Arial Narrow" w:hAnsi="Arial Narrow"/>
                <w:sz w:val="20"/>
              </w:rPr>
            </w:pPr>
          </w:p>
        </w:tc>
        <w:tc>
          <w:tcPr>
            <w:tcW w:w="708" w:type="pct"/>
          </w:tcPr>
          <w:p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i/>
                <w:sz w:val="20"/>
              </w:rPr>
              <w:t>NTRK</w:t>
            </w:r>
            <w:r w:rsidRPr="00D51B2C">
              <w:rPr>
                <w:rFonts w:ascii="Arial Narrow" w:hAnsi="Arial Narrow"/>
                <w:b/>
                <w:sz w:val="20"/>
              </w:rPr>
              <w:t xml:space="preserve"> fusion</w:t>
            </w:r>
          </w:p>
          <w:p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N = 79</w:t>
            </w:r>
          </w:p>
        </w:tc>
        <w:tc>
          <w:tcPr>
            <w:tcW w:w="943" w:type="pct"/>
          </w:tcPr>
          <w:p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Non-</w:t>
            </w:r>
            <w:r w:rsidRPr="00D51B2C">
              <w:rPr>
                <w:rFonts w:ascii="Arial Narrow" w:hAnsi="Arial Narrow"/>
                <w:b/>
                <w:i/>
                <w:sz w:val="20"/>
              </w:rPr>
              <w:t>NTRK</w:t>
            </w:r>
            <w:r w:rsidRPr="00D51B2C">
              <w:rPr>
                <w:rFonts w:ascii="Arial Narrow" w:hAnsi="Arial Narrow"/>
                <w:b/>
                <w:sz w:val="20"/>
              </w:rPr>
              <w:t xml:space="preserve"> fusion</w:t>
            </w:r>
          </w:p>
          <w:p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N = 9</w:t>
            </w:r>
          </w:p>
        </w:tc>
        <w:tc>
          <w:tcPr>
            <w:tcW w:w="772" w:type="pct"/>
          </w:tcPr>
          <w:p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i/>
                <w:sz w:val="20"/>
              </w:rPr>
              <w:t>NTRK</w:t>
            </w:r>
            <w:r w:rsidRPr="00D51B2C">
              <w:rPr>
                <w:rFonts w:ascii="Arial Narrow" w:hAnsi="Arial Narrow"/>
                <w:b/>
                <w:sz w:val="20"/>
              </w:rPr>
              <w:t xml:space="preserve"> fusion</w:t>
            </w:r>
          </w:p>
          <w:p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N = 108</w:t>
            </w:r>
          </w:p>
        </w:tc>
        <w:tc>
          <w:tcPr>
            <w:tcW w:w="929" w:type="pct"/>
          </w:tcPr>
          <w:p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Non-</w:t>
            </w:r>
            <w:r w:rsidRPr="00D51B2C">
              <w:rPr>
                <w:rFonts w:ascii="Arial Narrow" w:hAnsi="Arial Narrow"/>
                <w:b/>
                <w:i/>
                <w:sz w:val="20"/>
              </w:rPr>
              <w:t>NTRK</w:t>
            </w:r>
            <w:r w:rsidRPr="00D51B2C">
              <w:rPr>
                <w:rFonts w:ascii="Arial Narrow" w:hAnsi="Arial Narrow"/>
                <w:b/>
                <w:sz w:val="20"/>
              </w:rPr>
              <w:t xml:space="preserve"> fusion</w:t>
            </w:r>
          </w:p>
          <w:p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N = 9</w:t>
            </w:r>
          </w:p>
        </w:tc>
      </w:tr>
      <w:tr w:rsidR="00D51B2C" w:rsidRPr="00D51B2C" w:rsidTr="00623DDF">
        <w:tc>
          <w:tcPr>
            <w:tcW w:w="1648" w:type="pct"/>
          </w:tcPr>
          <w:p w:rsidR="00D51B2C" w:rsidRPr="00D51B2C" w:rsidRDefault="00D51B2C" w:rsidP="00502A52">
            <w:pPr>
              <w:keepNext/>
              <w:keepLines/>
              <w:widowControl w:val="0"/>
              <w:spacing w:before="40" w:after="40" w:line="256" w:lineRule="auto"/>
              <w:jc w:val="left"/>
              <w:rPr>
                <w:rFonts w:ascii="Arial Narrow" w:hAnsi="Arial Narrow"/>
                <w:sz w:val="20"/>
              </w:rPr>
            </w:pPr>
            <w:r w:rsidRPr="00D51B2C">
              <w:rPr>
                <w:rFonts w:ascii="Arial Narrow" w:hAnsi="Arial Narrow"/>
                <w:sz w:val="20"/>
              </w:rPr>
              <w:t>Patients who died, n (%)</w:t>
            </w:r>
          </w:p>
        </w:tc>
        <w:tc>
          <w:tcPr>
            <w:tcW w:w="708"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3 (4)</w:t>
            </w:r>
          </w:p>
        </w:tc>
        <w:tc>
          <w:tcPr>
            <w:tcW w:w="943"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7 (78)</w:t>
            </w:r>
          </w:p>
        </w:tc>
        <w:tc>
          <w:tcPr>
            <w:tcW w:w="772"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5 (5)</w:t>
            </w:r>
          </w:p>
        </w:tc>
        <w:tc>
          <w:tcPr>
            <w:tcW w:w="929"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7 (78)</w:t>
            </w:r>
          </w:p>
        </w:tc>
      </w:tr>
      <w:tr w:rsidR="00D51B2C" w:rsidRPr="00D51B2C" w:rsidTr="00623DDF">
        <w:tc>
          <w:tcPr>
            <w:tcW w:w="3299" w:type="pct"/>
            <w:gridSpan w:val="3"/>
          </w:tcPr>
          <w:p w:rsidR="00D51B2C" w:rsidRPr="001636DA" w:rsidRDefault="00D51B2C" w:rsidP="00502A52">
            <w:pPr>
              <w:keepNext/>
              <w:keepLines/>
              <w:widowControl w:val="0"/>
              <w:spacing w:before="40" w:after="40" w:line="256" w:lineRule="auto"/>
              <w:jc w:val="left"/>
              <w:rPr>
                <w:rFonts w:ascii="Arial Narrow" w:hAnsi="Arial Narrow"/>
                <w:b/>
                <w:sz w:val="20"/>
              </w:rPr>
            </w:pPr>
            <w:r w:rsidRPr="001636DA">
              <w:rPr>
                <w:rFonts w:ascii="Arial Narrow" w:hAnsi="Arial Narrow"/>
                <w:b/>
                <w:sz w:val="20"/>
              </w:rPr>
              <w:t xml:space="preserve">OS (months), Kaplan-Meier </w:t>
            </w:r>
            <w:r w:rsidR="00623DDF">
              <w:rPr>
                <w:rFonts w:ascii="Arial Narrow" w:hAnsi="Arial Narrow"/>
                <w:b/>
                <w:sz w:val="20"/>
              </w:rPr>
              <w:t>e</w:t>
            </w:r>
            <w:r w:rsidRPr="001636DA">
              <w:rPr>
                <w:rFonts w:ascii="Arial Narrow" w:hAnsi="Arial Narrow"/>
                <w:b/>
                <w:sz w:val="20"/>
              </w:rPr>
              <w:t xml:space="preserve">stimate </w:t>
            </w:r>
            <w:r w:rsidRPr="001636DA">
              <w:rPr>
                <w:rFonts w:ascii="Arial Narrow" w:hAnsi="Arial Narrow"/>
                <w:b/>
                <w:sz w:val="20"/>
                <w:vertAlign w:val="superscript"/>
              </w:rPr>
              <w:t>a</w:t>
            </w:r>
          </w:p>
        </w:tc>
        <w:tc>
          <w:tcPr>
            <w:tcW w:w="772" w:type="pct"/>
          </w:tcPr>
          <w:p w:rsidR="00D51B2C" w:rsidRPr="00D51B2C" w:rsidRDefault="00D51B2C" w:rsidP="00502A52">
            <w:pPr>
              <w:keepNext/>
              <w:keepLines/>
              <w:widowControl w:val="0"/>
              <w:spacing w:before="40" w:after="40" w:line="256" w:lineRule="auto"/>
              <w:jc w:val="center"/>
              <w:rPr>
                <w:rFonts w:ascii="Arial Narrow" w:hAnsi="Arial Narrow"/>
                <w:sz w:val="20"/>
              </w:rPr>
            </w:pPr>
          </w:p>
        </w:tc>
        <w:tc>
          <w:tcPr>
            <w:tcW w:w="929" w:type="pct"/>
          </w:tcPr>
          <w:p w:rsidR="00D51B2C" w:rsidRPr="00D51B2C" w:rsidRDefault="00D51B2C" w:rsidP="00502A52">
            <w:pPr>
              <w:keepNext/>
              <w:keepLines/>
              <w:widowControl w:val="0"/>
              <w:spacing w:before="40" w:after="40" w:line="256" w:lineRule="auto"/>
              <w:jc w:val="center"/>
              <w:rPr>
                <w:rFonts w:ascii="Arial Narrow" w:hAnsi="Arial Narrow"/>
                <w:sz w:val="20"/>
              </w:rPr>
            </w:pPr>
          </w:p>
        </w:tc>
      </w:tr>
      <w:tr w:rsidR="00D51B2C" w:rsidRPr="00D51B2C" w:rsidTr="00623DDF">
        <w:tc>
          <w:tcPr>
            <w:tcW w:w="1648" w:type="pct"/>
          </w:tcPr>
          <w:p w:rsidR="00D51B2C" w:rsidRPr="00D51B2C" w:rsidRDefault="00D51B2C" w:rsidP="00502A52">
            <w:pPr>
              <w:keepNext/>
              <w:keepLines/>
              <w:widowControl w:val="0"/>
              <w:spacing w:before="40" w:after="40" w:line="256" w:lineRule="auto"/>
              <w:jc w:val="left"/>
              <w:rPr>
                <w:rFonts w:ascii="Arial Narrow" w:hAnsi="Arial Narrow"/>
                <w:sz w:val="20"/>
              </w:rPr>
            </w:pPr>
            <w:r w:rsidRPr="00D51B2C">
              <w:rPr>
                <w:rFonts w:ascii="Arial Narrow" w:hAnsi="Arial Narrow"/>
                <w:sz w:val="20"/>
              </w:rPr>
              <w:t>Median</w:t>
            </w:r>
          </w:p>
        </w:tc>
        <w:tc>
          <w:tcPr>
            <w:tcW w:w="708"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943"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4.3</w:t>
            </w:r>
          </w:p>
        </w:tc>
        <w:tc>
          <w:tcPr>
            <w:tcW w:w="772"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929"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4.3</w:t>
            </w:r>
          </w:p>
        </w:tc>
      </w:tr>
      <w:tr w:rsidR="00D51B2C" w:rsidRPr="00D51B2C" w:rsidTr="00623DDF">
        <w:tc>
          <w:tcPr>
            <w:tcW w:w="1648" w:type="pct"/>
          </w:tcPr>
          <w:p w:rsidR="00D51B2C" w:rsidRPr="00D51B2C" w:rsidRDefault="00D51B2C" w:rsidP="00502A52">
            <w:pPr>
              <w:keepNext/>
              <w:keepLines/>
              <w:widowControl w:val="0"/>
              <w:spacing w:before="40" w:after="40" w:line="256" w:lineRule="auto"/>
              <w:jc w:val="left"/>
              <w:rPr>
                <w:rFonts w:ascii="Arial Narrow" w:hAnsi="Arial Narrow"/>
                <w:sz w:val="20"/>
              </w:rPr>
            </w:pPr>
            <w:r w:rsidRPr="00D51B2C">
              <w:rPr>
                <w:rFonts w:ascii="Arial Narrow" w:hAnsi="Arial Narrow"/>
                <w:sz w:val="20"/>
              </w:rPr>
              <w:t xml:space="preserve">95% CI </w:t>
            </w:r>
          </w:p>
        </w:tc>
        <w:tc>
          <w:tcPr>
            <w:tcW w:w="708"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943"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0.4, 12.5</w:t>
            </w:r>
          </w:p>
        </w:tc>
        <w:tc>
          <w:tcPr>
            <w:tcW w:w="772"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929"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0.4, 12.5</w:t>
            </w:r>
          </w:p>
        </w:tc>
      </w:tr>
      <w:tr w:rsidR="00D51B2C" w:rsidRPr="00D51B2C" w:rsidTr="00623DDF">
        <w:trPr>
          <w:trHeight w:val="70"/>
        </w:trPr>
        <w:tc>
          <w:tcPr>
            <w:tcW w:w="1648" w:type="pct"/>
          </w:tcPr>
          <w:p w:rsidR="00D51B2C" w:rsidRPr="00D51B2C" w:rsidRDefault="00D51B2C" w:rsidP="00502A52">
            <w:pPr>
              <w:keepNext/>
              <w:keepLines/>
              <w:widowControl w:val="0"/>
              <w:spacing w:before="40" w:after="40" w:line="256" w:lineRule="auto"/>
              <w:jc w:val="left"/>
              <w:rPr>
                <w:rFonts w:ascii="Arial Narrow" w:hAnsi="Arial Narrow"/>
                <w:sz w:val="20"/>
              </w:rPr>
            </w:pPr>
            <w:r w:rsidRPr="00D51B2C">
              <w:rPr>
                <w:rFonts w:ascii="Arial Narrow" w:hAnsi="Arial Narrow"/>
                <w:sz w:val="20"/>
              </w:rPr>
              <w:t>Minimum, maximum</w:t>
            </w:r>
          </w:p>
        </w:tc>
        <w:tc>
          <w:tcPr>
            <w:tcW w:w="708"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1.8+, 38.6+</w:t>
            </w:r>
          </w:p>
        </w:tc>
        <w:tc>
          <w:tcPr>
            <w:tcW w:w="943"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0.4, 30.7+</w:t>
            </w:r>
          </w:p>
        </w:tc>
        <w:tc>
          <w:tcPr>
            <w:tcW w:w="772"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0.3+, 50.6+</w:t>
            </w:r>
          </w:p>
        </w:tc>
        <w:tc>
          <w:tcPr>
            <w:tcW w:w="929"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0.4, 44.3+</w:t>
            </w:r>
          </w:p>
        </w:tc>
      </w:tr>
      <w:tr w:rsidR="00D51B2C" w:rsidRPr="00D51B2C" w:rsidTr="00623DDF">
        <w:trPr>
          <w:trHeight w:val="70"/>
        </w:trPr>
        <w:tc>
          <w:tcPr>
            <w:tcW w:w="3299" w:type="pct"/>
            <w:gridSpan w:val="3"/>
          </w:tcPr>
          <w:p w:rsidR="00D51B2C" w:rsidRPr="001636DA" w:rsidRDefault="00D51B2C" w:rsidP="00502A52">
            <w:pPr>
              <w:keepNext/>
              <w:keepLines/>
              <w:widowControl w:val="0"/>
              <w:spacing w:before="40" w:after="40" w:line="256" w:lineRule="auto"/>
              <w:jc w:val="left"/>
              <w:rPr>
                <w:rFonts w:ascii="Arial Narrow" w:hAnsi="Arial Narrow"/>
                <w:b/>
                <w:sz w:val="20"/>
              </w:rPr>
            </w:pPr>
            <w:r w:rsidRPr="001636DA">
              <w:rPr>
                <w:rFonts w:ascii="Arial Narrow" w:hAnsi="Arial Narrow"/>
                <w:b/>
                <w:sz w:val="20"/>
              </w:rPr>
              <w:t xml:space="preserve">Rate (%) of </w:t>
            </w:r>
            <w:r w:rsidR="00623DDF" w:rsidRPr="001636DA">
              <w:rPr>
                <w:rFonts w:ascii="Arial Narrow" w:hAnsi="Arial Narrow"/>
                <w:b/>
                <w:sz w:val="20"/>
              </w:rPr>
              <w:t>being alive for at l</w:t>
            </w:r>
            <w:r w:rsidRPr="001636DA">
              <w:rPr>
                <w:rFonts w:ascii="Arial Narrow" w:hAnsi="Arial Narrow"/>
                <w:b/>
                <w:sz w:val="20"/>
              </w:rPr>
              <w:t>east</w:t>
            </w:r>
          </w:p>
        </w:tc>
        <w:tc>
          <w:tcPr>
            <w:tcW w:w="772" w:type="pct"/>
          </w:tcPr>
          <w:p w:rsidR="00D51B2C" w:rsidRPr="00D51B2C" w:rsidRDefault="00D51B2C" w:rsidP="00502A52">
            <w:pPr>
              <w:keepNext/>
              <w:keepLines/>
              <w:widowControl w:val="0"/>
              <w:spacing w:before="40" w:after="40" w:line="256" w:lineRule="auto"/>
              <w:jc w:val="center"/>
              <w:rPr>
                <w:rFonts w:ascii="Arial Narrow" w:hAnsi="Arial Narrow"/>
                <w:sz w:val="20"/>
              </w:rPr>
            </w:pPr>
          </w:p>
        </w:tc>
        <w:tc>
          <w:tcPr>
            <w:tcW w:w="929" w:type="pct"/>
          </w:tcPr>
          <w:p w:rsidR="00D51B2C" w:rsidRPr="00D51B2C" w:rsidRDefault="00D51B2C" w:rsidP="00502A52">
            <w:pPr>
              <w:keepNext/>
              <w:keepLines/>
              <w:widowControl w:val="0"/>
              <w:spacing w:before="40" w:after="40" w:line="256" w:lineRule="auto"/>
              <w:jc w:val="center"/>
              <w:rPr>
                <w:rFonts w:ascii="Arial Narrow" w:hAnsi="Arial Narrow"/>
                <w:sz w:val="20"/>
              </w:rPr>
            </w:pPr>
          </w:p>
        </w:tc>
      </w:tr>
      <w:tr w:rsidR="00D51B2C" w:rsidRPr="00D51B2C" w:rsidTr="00623DDF">
        <w:trPr>
          <w:trHeight w:val="70"/>
        </w:trPr>
        <w:tc>
          <w:tcPr>
            <w:tcW w:w="1648" w:type="pct"/>
          </w:tcPr>
          <w:p w:rsidR="00D51B2C" w:rsidRPr="00D51B2C" w:rsidRDefault="00D51B2C" w:rsidP="00502A52">
            <w:pPr>
              <w:keepNext/>
              <w:keepLines/>
              <w:widowControl w:val="0"/>
              <w:spacing w:before="40" w:after="40" w:line="256" w:lineRule="auto"/>
              <w:jc w:val="left"/>
              <w:rPr>
                <w:rFonts w:ascii="Arial Narrow" w:hAnsi="Arial Narrow"/>
                <w:sz w:val="20"/>
              </w:rPr>
            </w:pPr>
            <w:r w:rsidRPr="00D51B2C">
              <w:rPr>
                <w:rFonts w:ascii="Arial Narrow" w:hAnsi="Arial Narrow"/>
                <w:sz w:val="20"/>
              </w:rPr>
              <w:t>12 Months</w:t>
            </w:r>
          </w:p>
        </w:tc>
        <w:tc>
          <w:tcPr>
            <w:tcW w:w="708"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94</w:t>
            </w:r>
          </w:p>
        </w:tc>
        <w:tc>
          <w:tcPr>
            <w:tcW w:w="943"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26</w:t>
            </w:r>
          </w:p>
        </w:tc>
        <w:tc>
          <w:tcPr>
            <w:tcW w:w="772"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94</w:t>
            </w:r>
          </w:p>
        </w:tc>
        <w:tc>
          <w:tcPr>
            <w:tcW w:w="929"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26</w:t>
            </w:r>
          </w:p>
        </w:tc>
      </w:tr>
      <w:tr w:rsidR="00D51B2C" w:rsidRPr="00D51B2C" w:rsidTr="00623DDF">
        <w:trPr>
          <w:trHeight w:val="70"/>
        </w:trPr>
        <w:tc>
          <w:tcPr>
            <w:tcW w:w="1648" w:type="pct"/>
          </w:tcPr>
          <w:p w:rsidR="00D51B2C" w:rsidRPr="00D51B2C" w:rsidRDefault="00D51B2C" w:rsidP="00502A52">
            <w:pPr>
              <w:keepNext/>
              <w:keepLines/>
              <w:widowControl w:val="0"/>
              <w:spacing w:before="40" w:after="40" w:line="256" w:lineRule="auto"/>
              <w:jc w:val="left"/>
              <w:rPr>
                <w:rFonts w:ascii="Arial Narrow" w:hAnsi="Arial Narrow"/>
                <w:sz w:val="20"/>
              </w:rPr>
            </w:pPr>
            <w:r w:rsidRPr="00D51B2C">
              <w:rPr>
                <w:rFonts w:ascii="Arial Narrow" w:hAnsi="Arial Narrow"/>
                <w:sz w:val="20"/>
              </w:rPr>
              <w:t>95% CI</w:t>
            </w:r>
          </w:p>
        </w:tc>
        <w:tc>
          <w:tcPr>
            <w:tcW w:w="708"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87, 100</w:t>
            </w:r>
          </w:p>
        </w:tc>
        <w:tc>
          <w:tcPr>
            <w:tcW w:w="943"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0, 57</w:t>
            </w:r>
          </w:p>
        </w:tc>
        <w:tc>
          <w:tcPr>
            <w:tcW w:w="772"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89, 99</w:t>
            </w:r>
          </w:p>
        </w:tc>
        <w:tc>
          <w:tcPr>
            <w:tcW w:w="929"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0, 57</w:t>
            </w:r>
          </w:p>
        </w:tc>
      </w:tr>
      <w:tr w:rsidR="00D51B2C" w:rsidRPr="00D51B2C" w:rsidTr="00623DDF">
        <w:trPr>
          <w:trHeight w:val="70"/>
        </w:trPr>
        <w:tc>
          <w:tcPr>
            <w:tcW w:w="3299" w:type="pct"/>
            <w:gridSpan w:val="3"/>
          </w:tcPr>
          <w:p w:rsidR="00D51B2C" w:rsidRPr="001636DA" w:rsidRDefault="00D51B2C" w:rsidP="00502A52">
            <w:pPr>
              <w:keepNext/>
              <w:keepLines/>
              <w:widowControl w:val="0"/>
              <w:spacing w:before="40" w:after="40" w:line="256" w:lineRule="auto"/>
              <w:jc w:val="left"/>
              <w:rPr>
                <w:rFonts w:ascii="Arial Narrow" w:hAnsi="Arial Narrow"/>
                <w:b/>
                <w:sz w:val="20"/>
              </w:rPr>
            </w:pPr>
            <w:r w:rsidRPr="001636DA">
              <w:rPr>
                <w:rFonts w:ascii="Arial Narrow" w:hAnsi="Arial Narrow"/>
                <w:b/>
                <w:sz w:val="20"/>
              </w:rPr>
              <w:t xml:space="preserve">Follow-up </w:t>
            </w:r>
            <w:r w:rsidR="00623DDF">
              <w:rPr>
                <w:rFonts w:ascii="Arial Narrow" w:hAnsi="Arial Narrow"/>
                <w:b/>
                <w:sz w:val="20"/>
              </w:rPr>
              <w:t>t</w:t>
            </w:r>
            <w:r w:rsidRPr="001636DA">
              <w:rPr>
                <w:rFonts w:ascii="Arial Narrow" w:hAnsi="Arial Narrow"/>
                <w:b/>
                <w:sz w:val="20"/>
              </w:rPr>
              <w:t xml:space="preserve">ime for OS (months), Kaplan-Meier </w:t>
            </w:r>
            <w:r w:rsidR="00623DDF">
              <w:rPr>
                <w:rFonts w:ascii="Arial Narrow" w:hAnsi="Arial Narrow"/>
                <w:b/>
                <w:sz w:val="20"/>
              </w:rPr>
              <w:t>e</w:t>
            </w:r>
            <w:r w:rsidRPr="001636DA">
              <w:rPr>
                <w:rFonts w:ascii="Arial Narrow" w:hAnsi="Arial Narrow"/>
                <w:b/>
                <w:sz w:val="20"/>
              </w:rPr>
              <w:t xml:space="preserve">stimate </w:t>
            </w:r>
            <w:r w:rsidRPr="001636DA">
              <w:rPr>
                <w:rFonts w:ascii="Arial Narrow" w:hAnsi="Arial Narrow"/>
                <w:b/>
                <w:sz w:val="20"/>
                <w:vertAlign w:val="superscript"/>
              </w:rPr>
              <w:t>a</w:t>
            </w:r>
          </w:p>
        </w:tc>
        <w:tc>
          <w:tcPr>
            <w:tcW w:w="772" w:type="pct"/>
          </w:tcPr>
          <w:p w:rsidR="00D51B2C" w:rsidRPr="00D51B2C" w:rsidRDefault="00D51B2C" w:rsidP="00502A52">
            <w:pPr>
              <w:keepNext/>
              <w:keepLines/>
              <w:widowControl w:val="0"/>
              <w:spacing w:before="40" w:after="40" w:line="256" w:lineRule="auto"/>
              <w:jc w:val="center"/>
              <w:rPr>
                <w:rFonts w:ascii="Arial Narrow" w:hAnsi="Arial Narrow"/>
                <w:sz w:val="20"/>
              </w:rPr>
            </w:pPr>
          </w:p>
        </w:tc>
        <w:tc>
          <w:tcPr>
            <w:tcW w:w="929" w:type="pct"/>
          </w:tcPr>
          <w:p w:rsidR="00D51B2C" w:rsidRPr="00D51B2C" w:rsidRDefault="00D51B2C" w:rsidP="00502A52">
            <w:pPr>
              <w:keepNext/>
              <w:keepLines/>
              <w:widowControl w:val="0"/>
              <w:spacing w:before="40" w:after="40" w:line="256" w:lineRule="auto"/>
              <w:jc w:val="center"/>
              <w:rPr>
                <w:rFonts w:ascii="Arial Narrow" w:hAnsi="Arial Narrow"/>
                <w:sz w:val="20"/>
              </w:rPr>
            </w:pPr>
          </w:p>
        </w:tc>
      </w:tr>
      <w:tr w:rsidR="00D51B2C" w:rsidRPr="00D51B2C" w:rsidTr="00623DDF">
        <w:trPr>
          <w:trHeight w:val="70"/>
        </w:trPr>
        <w:tc>
          <w:tcPr>
            <w:tcW w:w="1648" w:type="pct"/>
          </w:tcPr>
          <w:p w:rsidR="00D51B2C" w:rsidRPr="00D51B2C" w:rsidRDefault="00D51B2C" w:rsidP="00502A52">
            <w:pPr>
              <w:keepNext/>
              <w:keepLines/>
              <w:widowControl w:val="0"/>
              <w:spacing w:before="40" w:after="40" w:line="256" w:lineRule="auto"/>
              <w:jc w:val="left"/>
              <w:rPr>
                <w:rFonts w:ascii="Arial Narrow" w:hAnsi="Arial Narrow"/>
                <w:sz w:val="20"/>
              </w:rPr>
            </w:pPr>
            <w:r w:rsidRPr="00D51B2C">
              <w:rPr>
                <w:rFonts w:ascii="Arial Narrow" w:hAnsi="Arial Narrow"/>
                <w:sz w:val="20"/>
              </w:rPr>
              <w:t>Median</w:t>
            </w:r>
          </w:p>
        </w:tc>
        <w:tc>
          <w:tcPr>
            <w:tcW w:w="708"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12.9</w:t>
            </w:r>
          </w:p>
        </w:tc>
        <w:tc>
          <w:tcPr>
            <w:tcW w:w="943"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30.7</w:t>
            </w:r>
          </w:p>
        </w:tc>
        <w:tc>
          <w:tcPr>
            <w:tcW w:w="772"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19.2</w:t>
            </w:r>
          </w:p>
        </w:tc>
        <w:tc>
          <w:tcPr>
            <w:tcW w:w="929" w:type="pct"/>
          </w:tcPr>
          <w:p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44.3</w:t>
            </w:r>
          </w:p>
        </w:tc>
      </w:tr>
    </w:tbl>
    <w:p w:rsidR="00D51B2C" w:rsidRPr="00D51B2C" w:rsidRDefault="00D51B2C" w:rsidP="00502A52">
      <w:pPr>
        <w:pStyle w:val="TableFooter"/>
        <w:keepNext/>
        <w:keepLines/>
      </w:pPr>
      <w:r w:rsidRPr="00D51B2C">
        <w:t>Source: Table 2.109, p288 of the resubmission</w:t>
      </w:r>
    </w:p>
    <w:p w:rsidR="00D51B2C" w:rsidRPr="00D51B2C" w:rsidRDefault="00D51B2C" w:rsidP="00502A52">
      <w:pPr>
        <w:pStyle w:val="TableFooter"/>
        <w:keepNext/>
        <w:keepLines/>
      </w:pPr>
      <w:r w:rsidRPr="00D51B2C">
        <w:t>a Medians are Kaplan-Meier estimate. CI (2-sided) for median was computed using Greenwood’s formula. Minimum and maximum included the censored observations where using “+” after value indicates censoring. Median, Q1, and Q3 are Kaplan-Meier estimate of potential follow-up using the method by Schemper and Smith.</w:t>
      </w:r>
    </w:p>
    <w:p w:rsidR="00D51B2C" w:rsidRPr="00D51B2C" w:rsidRDefault="00D51B2C" w:rsidP="00502A52">
      <w:pPr>
        <w:pStyle w:val="TableFooter"/>
        <w:keepNext/>
        <w:keepLines/>
      </w:pPr>
      <w:r w:rsidRPr="00D51B2C">
        <w:t xml:space="preserve">CI = confidence interval; NE = not estimable; </w:t>
      </w:r>
      <w:r w:rsidRPr="00623261">
        <w:rPr>
          <w:i/>
        </w:rPr>
        <w:t>NTRK</w:t>
      </w:r>
      <w:r w:rsidRPr="00D51B2C">
        <w:t xml:space="preserve"> = neurotrophic tropomyosin receptor kinase; OS = overall survival</w:t>
      </w:r>
    </w:p>
    <w:p w:rsidR="00D51B2C" w:rsidRPr="00D51B2C" w:rsidRDefault="00D51B2C" w:rsidP="00D51B2C">
      <w:pPr>
        <w:numPr>
          <w:ilvl w:val="4"/>
          <w:numId w:val="1"/>
        </w:numPr>
        <w:rPr>
          <w:i/>
          <w:color w:val="000000" w:themeColor="text1"/>
        </w:rPr>
      </w:pPr>
      <w:bookmarkStart w:id="50" w:name="_Toc487029168"/>
      <w:bookmarkStart w:id="51" w:name="_Toc433202796"/>
      <w:r w:rsidRPr="00D51B2C">
        <w:rPr>
          <w:color w:val="000000" w:themeColor="text1"/>
        </w:rPr>
        <w:t xml:space="preserve">LOXO-OO1: For </w:t>
      </w:r>
      <w:r w:rsidRPr="00D51B2C">
        <w:rPr>
          <w:i/>
          <w:color w:val="000000" w:themeColor="text1"/>
        </w:rPr>
        <w:t>NTRK</w:t>
      </w:r>
      <w:r w:rsidRPr="00D51B2C">
        <w:rPr>
          <w:color w:val="000000" w:themeColor="text1"/>
        </w:rPr>
        <w:t xml:space="preserve"> fusion patients, median durations of follow-up for PFS </w:t>
      </w:r>
      <w:r w:rsidR="00CE283A">
        <w:rPr>
          <w:color w:val="000000" w:themeColor="text1"/>
        </w:rPr>
        <w:t>was</w:t>
      </w:r>
      <w:r w:rsidR="00CE283A" w:rsidRPr="00D51B2C">
        <w:rPr>
          <w:color w:val="000000" w:themeColor="text1"/>
        </w:rPr>
        <w:t xml:space="preserve"> </w:t>
      </w:r>
      <w:r w:rsidRPr="00D51B2C">
        <w:rPr>
          <w:color w:val="000000" w:themeColor="text1"/>
        </w:rPr>
        <w:t xml:space="preserve">38.9 months and 51.5 months for the July 2019 and July 2020 data </w:t>
      </w:r>
      <w:r w:rsidR="006D66BE" w:rsidRPr="00D51B2C">
        <w:rPr>
          <w:color w:val="000000" w:themeColor="text1"/>
        </w:rPr>
        <w:t>cut-offs</w:t>
      </w:r>
      <w:r w:rsidRPr="00D51B2C">
        <w:rPr>
          <w:color w:val="000000" w:themeColor="text1"/>
        </w:rPr>
        <w:t xml:space="preserve"> respectively. The median PFS durations were not reached, and 51.1 months, for the July 2019 and July 2020 data </w:t>
      </w:r>
      <w:r w:rsidR="006D66BE" w:rsidRPr="00D51B2C">
        <w:rPr>
          <w:color w:val="000000" w:themeColor="text1"/>
        </w:rPr>
        <w:t>cut-offs</w:t>
      </w:r>
      <w:r w:rsidRPr="00D51B2C">
        <w:rPr>
          <w:color w:val="000000" w:themeColor="text1"/>
        </w:rPr>
        <w:t xml:space="preserve"> respectively. PFS rates at ≥ 12 months did not change between data </w:t>
      </w:r>
      <w:r w:rsidR="006D66BE" w:rsidRPr="00D51B2C">
        <w:rPr>
          <w:color w:val="000000" w:themeColor="text1"/>
        </w:rPr>
        <w:t>cut-offs</w:t>
      </w:r>
      <w:r w:rsidRPr="00D51B2C">
        <w:rPr>
          <w:color w:val="000000" w:themeColor="text1"/>
        </w:rPr>
        <w:t xml:space="preserve"> (approximately 80%). For non</w:t>
      </w:r>
      <w:r w:rsidR="009C7786">
        <w:rPr>
          <w:color w:val="000000" w:themeColor="text1"/>
        </w:rPr>
        <w:t>-</w:t>
      </w:r>
      <w:r w:rsidRPr="009C7786">
        <w:rPr>
          <w:i/>
          <w:color w:val="000000" w:themeColor="text1"/>
        </w:rPr>
        <w:t xml:space="preserve">NTRK </w:t>
      </w:r>
      <w:r w:rsidRPr="00D51B2C">
        <w:rPr>
          <w:color w:val="000000" w:themeColor="text1"/>
        </w:rPr>
        <w:t xml:space="preserve">fusion patients, median PFS did not change between data </w:t>
      </w:r>
      <w:r w:rsidR="006D66BE" w:rsidRPr="00D51B2C">
        <w:rPr>
          <w:color w:val="000000" w:themeColor="text1"/>
        </w:rPr>
        <w:t>cut-offs</w:t>
      </w:r>
      <w:r w:rsidRPr="00D51B2C">
        <w:rPr>
          <w:color w:val="000000" w:themeColor="text1"/>
        </w:rPr>
        <w:t xml:space="preserve">, </w:t>
      </w:r>
      <w:r w:rsidRPr="007B73DB">
        <w:rPr>
          <w:color w:val="000000" w:themeColor="text1"/>
        </w:rPr>
        <w:t xml:space="preserve">and was substantially lower (1.8 months) than observed for </w:t>
      </w:r>
      <w:r w:rsidRPr="007B73DB">
        <w:rPr>
          <w:i/>
          <w:iCs/>
          <w:color w:val="000000" w:themeColor="text1"/>
        </w:rPr>
        <w:t>NTRK</w:t>
      </w:r>
      <w:r w:rsidRPr="007B73DB">
        <w:rPr>
          <w:color w:val="000000" w:themeColor="text1"/>
        </w:rPr>
        <w:t xml:space="preserve"> fusion patients. These results were unreliable as the data </w:t>
      </w:r>
      <w:r w:rsidR="003B0FE3" w:rsidRPr="007B73DB">
        <w:rPr>
          <w:color w:val="000000" w:themeColor="text1"/>
        </w:rPr>
        <w:t>w</w:t>
      </w:r>
      <w:r w:rsidR="003B0FE3">
        <w:rPr>
          <w:color w:val="000000" w:themeColor="text1"/>
        </w:rPr>
        <w:t>as</w:t>
      </w:r>
      <w:r w:rsidR="003B0FE3" w:rsidRPr="007B73DB">
        <w:rPr>
          <w:color w:val="000000" w:themeColor="text1"/>
        </w:rPr>
        <w:t xml:space="preserve"> </w:t>
      </w:r>
      <w:r w:rsidRPr="007B73DB">
        <w:rPr>
          <w:color w:val="000000" w:themeColor="text1"/>
        </w:rPr>
        <w:t>based on a small number of patients.</w:t>
      </w:r>
    </w:p>
    <w:p w:rsidR="00A1673C" w:rsidRDefault="00D51B2C" w:rsidP="00537C11">
      <w:pPr>
        <w:pStyle w:val="ListParagraph"/>
        <w:rPr>
          <w:iCs/>
        </w:rPr>
      </w:pPr>
      <w:r w:rsidRPr="00D51B2C">
        <w:t>NAVIGATE: The median follow</w:t>
      </w:r>
      <w:r w:rsidR="00FA48AC">
        <w:t>-</w:t>
      </w:r>
      <w:r w:rsidRPr="00D51B2C">
        <w:t>up</w:t>
      </w:r>
      <w:r w:rsidR="00537C11">
        <w:t xml:space="preserve">, </w:t>
      </w:r>
      <w:r w:rsidRPr="00D51B2C">
        <w:t>across all tumour types</w:t>
      </w:r>
      <w:r w:rsidR="00537C11">
        <w:t>,</w:t>
      </w:r>
      <w:r w:rsidRPr="00D51B2C">
        <w:t xml:space="preserve"> was approximately 24 months. OS results were presented by tumour type in specific cohorts, although the data remain unreliable due to the small number of patients. </w:t>
      </w:r>
      <w:r w:rsidRPr="007B73DB">
        <w:rPr>
          <w:iCs/>
        </w:rPr>
        <w:t xml:space="preserve">As for the previous submission, the results were indicative of heterogeneity in outcomes across the different tumour type cohorts. For the 2019 and 2020 data </w:t>
      </w:r>
      <w:r w:rsidR="006D66BE" w:rsidRPr="007B73DB">
        <w:rPr>
          <w:iCs/>
        </w:rPr>
        <w:t>cut-offs</w:t>
      </w:r>
      <w:r w:rsidRPr="007B73DB">
        <w:rPr>
          <w:iCs/>
        </w:rPr>
        <w:t>, median OS durations for all cohorts combined, remained immature (</w:t>
      </w:r>
      <w:r w:rsidR="006A1C6B">
        <w:rPr>
          <w:iCs/>
        </w:rPr>
        <w:t>n</w:t>
      </w:r>
      <w:r w:rsidRPr="007B73DB">
        <w:rPr>
          <w:iCs/>
        </w:rPr>
        <w:t xml:space="preserve">ot reached). Based on the 2020 data </w:t>
      </w:r>
      <w:r w:rsidR="006D66BE" w:rsidRPr="007B73DB">
        <w:rPr>
          <w:iCs/>
        </w:rPr>
        <w:t>cut-off</w:t>
      </w:r>
      <w:r w:rsidRPr="007B73DB">
        <w:rPr>
          <w:iCs/>
        </w:rPr>
        <w:t xml:space="preserve"> for specific tumour types, the point estimates for the median duration of OS was not reached for thyroid, sarcoma, and salivary gland tumour types, but ranged from 40.7 months for NSCLC to 2.0 months for biliary tumours. The OS rate at 18 months was highest for the high </w:t>
      </w:r>
      <w:r w:rsidRPr="007B73DB">
        <w:rPr>
          <w:i/>
        </w:rPr>
        <w:t>NTRK</w:t>
      </w:r>
      <w:r w:rsidRPr="007B73DB">
        <w:rPr>
          <w:iCs/>
        </w:rPr>
        <w:t xml:space="preserve"> frequency salivary gland tumour type (89.7%; </w:t>
      </w:r>
      <w:bookmarkStart w:id="52" w:name="_Hlk88484314"/>
      <w:r w:rsidRPr="007B73DB">
        <w:rPr>
          <w:iCs/>
        </w:rPr>
        <w:t>95% CI: 47.8, 88.2)</w:t>
      </w:r>
      <w:bookmarkEnd w:id="52"/>
      <w:r w:rsidRPr="007B73DB">
        <w:rPr>
          <w:iCs/>
        </w:rPr>
        <w:t xml:space="preserve">, and lowest for the low </w:t>
      </w:r>
      <w:r w:rsidRPr="007B73DB">
        <w:rPr>
          <w:i/>
        </w:rPr>
        <w:t xml:space="preserve">NTRK </w:t>
      </w:r>
      <w:r w:rsidRPr="007B73DB">
        <w:rPr>
          <w:iCs/>
        </w:rPr>
        <w:t>frequency primary CNS tumour type (30.0%; 95% CI: 1.2, 71.9).</w:t>
      </w:r>
      <w:r w:rsidR="00537C11" w:rsidRPr="007B73DB">
        <w:rPr>
          <w:iCs/>
        </w:rPr>
        <w:t xml:space="preserve"> ORR point estimates at the July 2020 data </w:t>
      </w:r>
      <w:r w:rsidR="006D66BE" w:rsidRPr="007B73DB">
        <w:rPr>
          <w:iCs/>
        </w:rPr>
        <w:t>cut-off</w:t>
      </w:r>
      <w:r w:rsidR="00537C11" w:rsidRPr="007B73DB">
        <w:rPr>
          <w:iCs/>
        </w:rPr>
        <w:t xml:space="preserve"> (tabulated data not presented here) varied from approximately 90.0% for salivary gland MASC to 12.5% for primary CNS tumours.</w:t>
      </w:r>
    </w:p>
    <w:p w:rsidR="00A1673C" w:rsidRDefault="00A1673C">
      <w:pPr>
        <w:spacing w:before="0" w:line="259" w:lineRule="auto"/>
        <w:jc w:val="left"/>
        <w:rPr>
          <w:iCs/>
          <w:color w:val="000000" w:themeColor="text1"/>
        </w:rPr>
      </w:pPr>
      <w:r>
        <w:rPr>
          <w:iCs/>
        </w:rPr>
        <w:br w:type="page"/>
      </w:r>
    </w:p>
    <w:p w:rsidR="00D51B2C" w:rsidRPr="00D51B2C" w:rsidRDefault="00D51B2C" w:rsidP="00D51B2C">
      <w:pPr>
        <w:numPr>
          <w:ilvl w:val="4"/>
          <w:numId w:val="1"/>
        </w:numPr>
        <w:rPr>
          <w:color w:val="000000" w:themeColor="text1"/>
        </w:rPr>
      </w:pPr>
      <w:r w:rsidRPr="00D51B2C">
        <w:rPr>
          <w:color w:val="000000" w:themeColor="text1"/>
        </w:rPr>
        <w:t xml:space="preserve">SCOUT: For the 2020 versus 2019 data </w:t>
      </w:r>
      <w:r w:rsidR="006D66BE" w:rsidRPr="00D51B2C">
        <w:rPr>
          <w:color w:val="000000" w:themeColor="text1"/>
        </w:rPr>
        <w:t>cut-offs</w:t>
      </w:r>
      <w:r w:rsidRPr="00D51B2C">
        <w:rPr>
          <w:color w:val="000000" w:themeColor="text1"/>
        </w:rPr>
        <w:t>:</w:t>
      </w:r>
    </w:p>
    <w:p w:rsidR="00D51B2C" w:rsidRPr="00D51B2C" w:rsidRDefault="00D51B2C" w:rsidP="00D51B2C">
      <w:pPr>
        <w:ind w:left="720"/>
        <w:rPr>
          <w:color w:val="000000" w:themeColor="text1"/>
        </w:rPr>
      </w:pPr>
      <w:r w:rsidRPr="00D51B2C">
        <w:rPr>
          <w:color w:val="000000" w:themeColor="text1"/>
        </w:rPr>
        <w:t xml:space="preserve">The median follow-up durations in the </w:t>
      </w:r>
      <w:r w:rsidRPr="00623261">
        <w:rPr>
          <w:i/>
          <w:color w:val="000000" w:themeColor="text1"/>
        </w:rPr>
        <w:t>NTRK</w:t>
      </w:r>
      <w:r w:rsidRPr="00D51B2C">
        <w:rPr>
          <w:color w:val="000000" w:themeColor="text1"/>
        </w:rPr>
        <w:t xml:space="preserve"> fusion subgroup were 19.2 months versus 12.9 months. The OS remained immature for both data </w:t>
      </w:r>
      <w:r w:rsidR="006D66BE" w:rsidRPr="00D51B2C">
        <w:rPr>
          <w:color w:val="000000" w:themeColor="text1"/>
        </w:rPr>
        <w:t>cut-offs</w:t>
      </w:r>
      <w:r w:rsidRPr="00D51B2C">
        <w:rPr>
          <w:color w:val="000000" w:themeColor="text1"/>
        </w:rPr>
        <w:t xml:space="preserve"> (median OS duration not reached).</w:t>
      </w:r>
    </w:p>
    <w:p w:rsidR="00D51B2C" w:rsidRPr="00D51B2C" w:rsidRDefault="00D51B2C" w:rsidP="00D51B2C">
      <w:pPr>
        <w:ind w:left="720"/>
        <w:rPr>
          <w:color w:val="000000" w:themeColor="text1"/>
        </w:rPr>
      </w:pPr>
      <w:r w:rsidRPr="00D51B2C">
        <w:rPr>
          <w:color w:val="000000" w:themeColor="text1"/>
        </w:rPr>
        <w:t>The Kaplan-Meier estimate of OS of at least 12 months remained unchanged (94%) (95% CI: 87, 100).</w:t>
      </w:r>
    </w:p>
    <w:p w:rsidR="00D51B2C" w:rsidRPr="00D51B2C" w:rsidRDefault="00D51B2C" w:rsidP="00D51B2C">
      <w:pPr>
        <w:ind w:left="720"/>
        <w:rPr>
          <w:color w:val="000000" w:themeColor="text1"/>
        </w:rPr>
      </w:pPr>
      <w:r w:rsidRPr="00D51B2C">
        <w:rPr>
          <w:color w:val="000000" w:themeColor="text1"/>
        </w:rPr>
        <w:t>The estimated median overall survival duration in the non-</w:t>
      </w:r>
      <w:r w:rsidRPr="00623261">
        <w:rPr>
          <w:i/>
          <w:color w:val="000000" w:themeColor="text1"/>
        </w:rPr>
        <w:t>NTRK</w:t>
      </w:r>
      <w:r w:rsidRPr="00D51B2C">
        <w:rPr>
          <w:color w:val="000000" w:themeColor="text1"/>
        </w:rPr>
        <w:t xml:space="preserve"> fusion subgroup remained unchanged (4.3 months (95% CI: 0.4, 12.5)) with a Kaplan-Meier estimate of OS rate for at least 12 months of 26% for both data </w:t>
      </w:r>
      <w:r w:rsidR="006D66BE" w:rsidRPr="00D51B2C">
        <w:rPr>
          <w:color w:val="000000" w:themeColor="text1"/>
        </w:rPr>
        <w:t>cut-offs</w:t>
      </w:r>
      <w:r w:rsidRPr="00D51B2C">
        <w:rPr>
          <w:color w:val="000000" w:themeColor="text1"/>
        </w:rPr>
        <w:t>.</w:t>
      </w:r>
    </w:p>
    <w:p w:rsidR="00D51B2C" w:rsidRPr="00D51B2C" w:rsidRDefault="00D51B2C" w:rsidP="00D51B2C">
      <w:pPr>
        <w:numPr>
          <w:ilvl w:val="4"/>
          <w:numId w:val="1"/>
        </w:numPr>
        <w:rPr>
          <w:color w:val="000000" w:themeColor="text1"/>
        </w:rPr>
      </w:pPr>
      <w:r w:rsidRPr="00D51B2C">
        <w:rPr>
          <w:color w:val="000000" w:themeColor="text1"/>
        </w:rPr>
        <w:t xml:space="preserve">Pooled larotrectinib OS results are summarised in </w:t>
      </w:r>
      <w:bookmarkStart w:id="53" w:name="_Hlk83207488"/>
      <w:r w:rsidR="00796D25" w:rsidRPr="00796D25">
        <w:rPr>
          <w:color w:val="000000" w:themeColor="text1"/>
        </w:rPr>
        <w:t>Table</w:t>
      </w:r>
      <w:r w:rsidR="00E37EC3">
        <w:rPr>
          <w:color w:val="000000" w:themeColor="text1"/>
        </w:rPr>
        <w:t xml:space="preserve"> </w:t>
      </w:r>
      <w:r w:rsidR="00796D25" w:rsidRPr="00796D25">
        <w:rPr>
          <w:noProof/>
          <w:color w:val="000000" w:themeColor="text1"/>
        </w:rPr>
        <w:t>13</w:t>
      </w:r>
      <w:bookmarkEnd w:id="53"/>
      <w:r w:rsidRPr="00D51B2C">
        <w:rPr>
          <w:color w:val="000000" w:themeColor="text1"/>
        </w:rPr>
        <w:t xml:space="preserve">. Kaplan Meier curves, by the proposed subgroups, are presented for the previous and most recent data </w:t>
      </w:r>
      <w:r w:rsidR="006D66BE" w:rsidRPr="00D51B2C">
        <w:rPr>
          <w:color w:val="000000" w:themeColor="text1"/>
        </w:rPr>
        <w:t>cut-offs</w:t>
      </w:r>
      <w:r w:rsidRPr="00D51B2C">
        <w:rPr>
          <w:color w:val="000000" w:themeColor="text1"/>
        </w:rPr>
        <w:t xml:space="preserve"> in </w:t>
      </w:r>
      <w:r w:rsidR="00796D25" w:rsidRPr="00796D25">
        <w:rPr>
          <w:color w:val="000000" w:themeColor="text1"/>
        </w:rPr>
        <w:t>Figure</w:t>
      </w:r>
      <w:r w:rsidR="00D944C2">
        <w:rPr>
          <w:color w:val="000000" w:themeColor="text1"/>
        </w:rPr>
        <w:t xml:space="preserve"> </w:t>
      </w:r>
      <w:r w:rsidR="00796D25" w:rsidRPr="00796D25">
        <w:rPr>
          <w:noProof/>
          <w:color w:val="000000" w:themeColor="text1"/>
        </w:rPr>
        <w:t>1</w:t>
      </w:r>
      <w:r w:rsidRPr="00D51B2C">
        <w:rPr>
          <w:color w:val="000000" w:themeColor="text1"/>
        </w:rPr>
        <w:t xml:space="preserve"> and </w:t>
      </w:r>
      <w:r w:rsidR="00796D25" w:rsidRPr="00796D25">
        <w:rPr>
          <w:color w:val="000000" w:themeColor="text1"/>
        </w:rPr>
        <w:t>Figure</w:t>
      </w:r>
      <w:r w:rsidR="00D944C2">
        <w:rPr>
          <w:color w:val="000000" w:themeColor="text1"/>
        </w:rPr>
        <w:t xml:space="preserve"> </w:t>
      </w:r>
      <w:r w:rsidR="00796D25" w:rsidRPr="00796D25">
        <w:rPr>
          <w:noProof/>
          <w:color w:val="000000" w:themeColor="text1"/>
        </w:rPr>
        <w:t>2</w:t>
      </w:r>
      <w:r w:rsidRPr="00D51B2C">
        <w:rPr>
          <w:color w:val="000000" w:themeColor="text1"/>
        </w:rPr>
        <w:t>.</w:t>
      </w:r>
    </w:p>
    <w:p w:rsidR="00D51B2C" w:rsidRPr="00D51B2C" w:rsidRDefault="00D51B2C" w:rsidP="00203ACF">
      <w:pPr>
        <w:pStyle w:val="Caption"/>
        <w:keepLines/>
      </w:pPr>
      <w:bookmarkStart w:id="54" w:name="_Ref79138866"/>
      <w:r w:rsidRPr="00D51B2C">
        <w:t>Table</w:t>
      </w:r>
      <w:r w:rsidR="00E37EC3">
        <w:t xml:space="preserve"> </w:t>
      </w:r>
      <w:r w:rsidR="00BB3DD1">
        <w:rPr>
          <w:noProof/>
        </w:rPr>
        <w:t>13</w:t>
      </w:r>
      <w:bookmarkEnd w:id="54"/>
      <w:r w:rsidR="00E37EC3">
        <w:rPr>
          <w:noProof/>
        </w:rPr>
        <w:t>:</w:t>
      </w:r>
      <w:r w:rsidR="00D117CD">
        <w:rPr>
          <w:noProof/>
        </w:rPr>
        <w:t xml:space="preserve"> </w:t>
      </w:r>
      <w:r w:rsidRPr="00D51B2C">
        <w:t>Pooled overall survival estimates</w:t>
      </w:r>
    </w:p>
    <w:tbl>
      <w:tblPr>
        <w:tblStyle w:val="HTATableshaded20"/>
        <w:tblW w:w="0" w:type="auto"/>
        <w:tblLook w:val="04A0" w:firstRow="1" w:lastRow="0" w:firstColumn="1" w:lastColumn="0" w:noHBand="0" w:noVBand="1"/>
        <w:tblCaption w:val="Table 13: Pooled overall survival estimates"/>
      </w:tblPr>
      <w:tblGrid>
        <w:gridCol w:w="2547"/>
        <w:gridCol w:w="1559"/>
        <w:gridCol w:w="1559"/>
        <w:gridCol w:w="1701"/>
        <w:gridCol w:w="1650"/>
      </w:tblGrid>
      <w:tr w:rsidR="006909A5" w:rsidRPr="00D51B2C" w:rsidTr="00623DDF">
        <w:trPr>
          <w:cnfStyle w:val="100000000000" w:firstRow="1" w:lastRow="0" w:firstColumn="0" w:lastColumn="0" w:oddVBand="0" w:evenVBand="0" w:oddHBand="0" w:evenHBand="0" w:firstRowFirstColumn="0" w:firstRowLastColumn="0" w:lastRowFirstColumn="0" w:lastRowLastColumn="0"/>
          <w:tblHeader/>
        </w:trPr>
        <w:tc>
          <w:tcPr>
            <w:tcW w:w="2547" w:type="dxa"/>
            <w:vMerge w:val="restart"/>
          </w:tcPr>
          <w:p w:rsidR="006909A5" w:rsidRPr="00D51B2C" w:rsidRDefault="006909A5" w:rsidP="00203ACF">
            <w:pPr>
              <w:keepNext/>
              <w:keepLines/>
              <w:widowControl w:val="0"/>
              <w:spacing w:before="40" w:after="40" w:line="256" w:lineRule="auto"/>
              <w:jc w:val="left"/>
              <w:rPr>
                <w:rFonts w:ascii="Arial Narrow" w:hAnsi="Arial Narrow"/>
                <w:b/>
                <w:sz w:val="20"/>
                <w:vertAlign w:val="superscript"/>
              </w:rPr>
            </w:pPr>
          </w:p>
        </w:tc>
        <w:tc>
          <w:tcPr>
            <w:tcW w:w="3118" w:type="dxa"/>
            <w:gridSpan w:val="2"/>
          </w:tcPr>
          <w:p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Previous submission</w:t>
            </w:r>
          </w:p>
          <w:p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 xml:space="preserve">July 2019 data </w:t>
            </w:r>
            <w:r w:rsidR="006D66BE" w:rsidRPr="00D51B2C">
              <w:rPr>
                <w:rFonts w:ascii="Arial Narrow" w:hAnsi="Arial Narrow"/>
                <w:b/>
                <w:sz w:val="20"/>
              </w:rPr>
              <w:t>cut-off</w:t>
            </w:r>
          </w:p>
        </w:tc>
        <w:tc>
          <w:tcPr>
            <w:tcW w:w="3351" w:type="dxa"/>
            <w:gridSpan w:val="2"/>
          </w:tcPr>
          <w:p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Resubmission</w:t>
            </w:r>
          </w:p>
          <w:p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 xml:space="preserve">July 2020 data </w:t>
            </w:r>
            <w:r w:rsidR="006D66BE" w:rsidRPr="00D51B2C">
              <w:rPr>
                <w:rFonts w:ascii="Arial Narrow" w:hAnsi="Arial Narrow"/>
                <w:b/>
                <w:sz w:val="20"/>
              </w:rPr>
              <w:t>cut-off</w:t>
            </w:r>
          </w:p>
        </w:tc>
      </w:tr>
      <w:tr w:rsidR="006909A5" w:rsidRPr="00D51B2C" w:rsidTr="00623DDF">
        <w:trPr>
          <w:cnfStyle w:val="100000000000" w:firstRow="1" w:lastRow="0" w:firstColumn="0" w:lastColumn="0" w:oddVBand="0" w:evenVBand="0" w:oddHBand="0" w:evenHBand="0" w:firstRowFirstColumn="0" w:firstRowLastColumn="0" w:lastRowFirstColumn="0" w:lastRowLastColumn="0"/>
          <w:tblHeader/>
        </w:trPr>
        <w:tc>
          <w:tcPr>
            <w:tcW w:w="2547" w:type="dxa"/>
            <w:vMerge/>
          </w:tcPr>
          <w:p w:rsidR="006909A5" w:rsidRPr="00D51B2C" w:rsidRDefault="006909A5" w:rsidP="00203ACF">
            <w:pPr>
              <w:keepNext/>
              <w:keepLines/>
              <w:widowControl w:val="0"/>
              <w:spacing w:before="40" w:after="40" w:line="256" w:lineRule="auto"/>
              <w:jc w:val="left"/>
              <w:rPr>
                <w:rFonts w:ascii="Arial Narrow" w:hAnsi="Arial Narrow"/>
                <w:b/>
                <w:sz w:val="20"/>
                <w:vertAlign w:val="superscript"/>
              </w:rPr>
            </w:pPr>
          </w:p>
        </w:tc>
        <w:tc>
          <w:tcPr>
            <w:tcW w:w="1559" w:type="dxa"/>
          </w:tcPr>
          <w:p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ePAS4</w:t>
            </w:r>
          </w:p>
          <w:p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N = 164</w:t>
            </w:r>
          </w:p>
        </w:tc>
        <w:tc>
          <w:tcPr>
            <w:tcW w:w="1559" w:type="dxa"/>
          </w:tcPr>
          <w:p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SAS3</w:t>
            </w:r>
          </w:p>
          <w:p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N = 24</w:t>
            </w:r>
          </w:p>
        </w:tc>
        <w:tc>
          <w:tcPr>
            <w:tcW w:w="1701" w:type="dxa"/>
          </w:tcPr>
          <w:p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ePAS5</w:t>
            </w:r>
          </w:p>
          <w:p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N = 192</w:t>
            </w:r>
          </w:p>
        </w:tc>
        <w:tc>
          <w:tcPr>
            <w:tcW w:w="1650" w:type="dxa"/>
          </w:tcPr>
          <w:p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SAS3 New</w:t>
            </w:r>
          </w:p>
          <w:p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N = 33</w:t>
            </w:r>
          </w:p>
        </w:tc>
      </w:tr>
      <w:tr w:rsidR="00D51B2C" w:rsidRPr="00D51B2C" w:rsidTr="00D51B2C">
        <w:tc>
          <w:tcPr>
            <w:tcW w:w="9016" w:type="dxa"/>
            <w:gridSpan w:val="5"/>
          </w:tcPr>
          <w:p w:rsidR="00D51B2C" w:rsidRPr="001636DA" w:rsidRDefault="00D51B2C" w:rsidP="00623DDF">
            <w:pPr>
              <w:keepNext/>
              <w:keepLines/>
              <w:widowControl w:val="0"/>
              <w:spacing w:before="40" w:after="40" w:line="256" w:lineRule="auto"/>
              <w:jc w:val="left"/>
              <w:rPr>
                <w:rFonts w:ascii="Arial Narrow" w:hAnsi="Arial Narrow"/>
                <w:b/>
                <w:sz w:val="20"/>
              </w:rPr>
            </w:pPr>
            <w:r w:rsidRPr="001636DA">
              <w:rPr>
                <w:rFonts w:ascii="Arial Narrow" w:hAnsi="Arial Narrow"/>
                <w:b/>
                <w:sz w:val="20"/>
              </w:rPr>
              <w:t>Vital status</w:t>
            </w:r>
            <w:r w:rsidRPr="001636DA">
              <w:rPr>
                <w:rFonts w:ascii="Arial Narrow" w:hAnsi="Arial Narrow"/>
                <w:b/>
                <w:sz w:val="20"/>
                <w:vertAlign w:val="superscript"/>
              </w:rPr>
              <w:t>a</w:t>
            </w:r>
          </w:p>
        </w:tc>
      </w:tr>
      <w:tr w:rsidR="00D51B2C" w:rsidRPr="00D51B2C" w:rsidTr="00623DDF">
        <w:tc>
          <w:tcPr>
            <w:tcW w:w="2547" w:type="dxa"/>
          </w:tcPr>
          <w:p w:rsidR="00D51B2C" w:rsidRPr="00D51B2C" w:rsidRDefault="00D51B2C" w:rsidP="00203ACF">
            <w:pPr>
              <w:keepNext/>
              <w:keepLines/>
              <w:widowControl w:val="0"/>
              <w:spacing w:before="40" w:after="40" w:line="256" w:lineRule="auto"/>
              <w:jc w:val="left"/>
              <w:rPr>
                <w:rFonts w:ascii="Arial Narrow" w:hAnsi="Arial Narrow"/>
                <w:sz w:val="20"/>
              </w:rPr>
            </w:pPr>
            <w:r w:rsidRPr="00D51B2C">
              <w:rPr>
                <w:rFonts w:ascii="Arial Narrow" w:hAnsi="Arial Narrow"/>
                <w:sz w:val="20"/>
              </w:rPr>
              <w:t xml:space="preserve">Dead </w:t>
            </w:r>
          </w:p>
        </w:tc>
        <w:tc>
          <w:tcPr>
            <w:tcW w:w="1559"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25 (15%)</w:t>
            </w:r>
          </w:p>
        </w:tc>
        <w:tc>
          <w:tcPr>
            <w:tcW w:w="1559"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1 (4%)</w:t>
            </w:r>
          </w:p>
        </w:tc>
        <w:tc>
          <w:tcPr>
            <w:tcW w:w="1701"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36 (19%)</w:t>
            </w:r>
          </w:p>
        </w:tc>
        <w:tc>
          <w:tcPr>
            <w:tcW w:w="1650"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7 (21%)</w:t>
            </w:r>
          </w:p>
        </w:tc>
      </w:tr>
      <w:tr w:rsidR="00D51B2C" w:rsidRPr="00D51B2C" w:rsidTr="00623DDF">
        <w:tc>
          <w:tcPr>
            <w:tcW w:w="2547" w:type="dxa"/>
          </w:tcPr>
          <w:p w:rsidR="00D51B2C" w:rsidRPr="00D51B2C" w:rsidRDefault="00D51B2C" w:rsidP="00203ACF">
            <w:pPr>
              <w:keepNext/>
              <w:keepLines/>
              <w:widowControl w:val="0"/>
              <w:spacing w:before="40" w:after="40" w:line="256" w:lineRule="auto"/>
              <w:jc w:val="left"/>
              <w:rPr>
                <w:rFonts w:ascii="Arial Narrow" w:hAnsi="Arial Narrow"/>
                <w:sz w:val="20"/>
              </w:rPr>
            </w:pPr>
            <w:r w:rsidRPr="00D51B2C">
              <w:rPr>
                <w:rFonts w:ascii="Arial Narrow" w:hAnsi="Arial Narrow"/>
                <w:sz w:val="20"/>
              </w:rPr>
              <w:t>Alive</w:t>
            </w:r>
          </w:p>
        </w:tc>
        <w:tc>
          <w:tcPr>
            <w:tcW w:w="1559"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139 (85%)</w:t>
            </w:r>
          </w:p>
        </w:tc>
        <w:tc>
          <w:tcPr>
            <w:tcW w:w="1559"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23 (96%)</w:t>
            </w:r>
          </w:p>
        </w:tc>
        <w:tc>
          <w:tcPr>
            <w:tcW w:w="1701"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156 (81%)</w:t>
            </w:r>
          </w:p>
        </w:tc>
        <w:tc>
          <w:tcPr>
            <w:tcW w:w="1650"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26 (79%)</w:t>
            </w:r>
          </w:p>
        </w:tc>
      </w:tr>
      <w:tr w:rsidR="00D51B2C" w:rsidRPr="00D51B2C" w:rsidTr="00D51B2C">
        <w:tc>
          <w:tcPr>
            <w:tcW w:w="9016" w:type="dxa"/>
            <w:gridSpan w:val="5"/>
          </w:tcPr>
          <w:p w:rsidR="00D51B2C" w:rsidRPr="001636DA" w:rsidRDefault="00D51B2C" w:rsidP="00623DDF">
            <w:pPr>
              <w:keepNext/>
              <w:keepLines/>
              <w:widowControl w:val="0"/>
              <w:spacing w:before="40" w:after="40" w:line="256" w:lineRule="auto"/>
              <w:jc w:val="left"/>
              <w:rPr>
                <w:rFonts w:ascii="Arial Narrow" w:hAnsi="Arial Narrow"/>
                <w:b/>
                <w:sz w:val="20"/>
              </w:rPr>
            </w:pPr>
            <w:r w:rsidRPr="001636DA">
              <w:rPr>
                <w:rFonts w:ascii="Arial Narrow" w:hAnsi="Arial Narrow"/>
                <w:b/>
                <w:sz w:val="20"/>
              </w:rPr>
              <w:t>Duration of OS (months)</w:t>
            </w:r>
            <w:r w:rsidRPr="001636DA">
              <w:rPr>
                <w:rFonts w:ascii="Arial Narrow" w:hAnsi="Arial Narrow"/>
                <w:b/>
                <w:sz w:val="20"/>
                <w:vertAlign w:val="superscript"/>
              </w:rPr>
              <w:t>b, c</w:t>
            </w:r>
          </w:p>
        </w:tc>
      </w:tr>
      <w:tr w:rsidR="00D51B2C" w:rsidRPr="00D51B2C" w:rsidTr="00623DDF">
        <w:tc>
          <w:tcPr>
            <w:tcW w:w="2547" w:type="dxa"/>
          </w:tcPr>
          <w:p w:rsidR="00D51B2C" w:rsidRPr="00D51B2C" w:rsidRDefault="00D51B2C" w:rsidP="00203ACF">
            <w:pPr>
              <w:keepNext/>
              <w:keepLines/>
              <w:widowControl w:val="0"/>
              <w:spacing w:before="40" w:after="40" w:line="256" w:lineRule="auto"/>
              <w:jc w:val="left"/>
              <w:rPr>
                <w:rFonts w:ascii="Arial Narrow" w:hAnsi="Arial Narrow"/>
                <w:sz w:val="20"/>
              </w:rPr>
            </w:pPr>
            <w:r w:rsidRPr="00D51B2C">
              <w:rPr>
                <w:rFonts w:ascii="Arial Narrow" w:hAnsi="Arial Narrow"/>
                <w:sz w:val="20"/>
              </w:rPr>
              <w:t>Median</w:t>
            </w:r>
          </w:p>
        </w:tc>
        <w:tc>
          <w:tcPr>
            <w:tcW w:w="1559"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1559"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1701"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NE</w:t>
            </w:r>
          </w:p>
        </w:tc>
        <w:tc>
          <w:tcPr>
            <w:tcW w:w="1650"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NE</w:t>
            </w:r>
          </w:p>
        </w:tc>
      </w:tr>
      <w:tr w:rsidR="00D51B2C" w:rsidRPr="00D51B2C" w:rsidTr="00623DDF">
        <w:tc>
          <w:tcPr>
            <w:tcW w:w="2547" w:type="dxa"/>
          </w:tcPr>
          <w:p w:rsidR="00D51B2C" w:rsidRPr="00D51B2C" w:rsidRDefault="00D51B2C" w:rsidP="00203ACF">
            <w:pPr>
              <w:keepNext/>
              <w:keepLines/>
              <w:widowControl w:val="0"/>
              <w:spacing w:before="40" w:after="40" w:line="256" w:lineRule="auto"/>
              <w:jc w:val="left"/>
              <w:rPr>
                <w:rFonts w:ascii="Arial Narrow" w:hAnsi="Arial Narrow"/>
                <w:sz w:val="20"/>
              </w:rPr>
            </w:pPr>
            <w:r w:rsidRPr="00D51B2C">
              <w:rPr>
                <w:rFonts w:ascii="Arial Narrow" w:hAnsi="Arial Narrow"/>
                <w:sz w:val="20"/>
              </w:rPr>
              <w:t>95% CI for median</w:t>
            </w:r>
          </w:p>
        </w:tc>
        <w:tc>
          <w:tcPr>
            <w:tcW w:w="1559"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44.4, NE</w:t>
            </w:r>
          </w:p>
        </w:tc>
        <w:tc>
          <w:tcPr>
            <w:tcW w:w="1559"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9.4, NE</w:t>
            </w:r>
          </w:p>
        </w:tc>
        <w:tc>
          <w:tcPr>
            <w:tcW w:w="1701"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NE, NE</w:t>
            </w:r>
          </w:p>
        </w:tc>
        <w:tc>
          <w:tcPr>
            <w:tcW w:w="1650"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16.9, NE</w:t>
            </w:r>
          </w:p>
        </w:tc>
      </w:tr>
      <w:tr w:rsidR="00D51B2C" w:rsidRPr="00D51B2C" w:rsidTr="00623DDF">
        <w:tc>
          <w:tcPr>
            <w:tcW w:w="2547" w:type="dxa"/>
          </w:tcPr>
          <w:p w:rsidR="00D51B2C" w:rsidRPr="00D51B2C" w:rsidRDefault="00D51B2C" w:rsidP="00203ACF">
            <w:pPr>
              <w:keepNext/>
              <w:keepLines/>
              <w:widowControl w:val="0"/>
              <w:spacing w:before="40" w:after="40" w:line="256" w:lineRule="auto"/>
              <w:jc w:val="left"/>
              <w:rPr>
                <w:rFonts w:ascii="Arial Narrow" w:hAnsi="Arial Narrow"/>
                <w:sz w:val="20"/>
              </w:rPr>
            </w:pPr>
            <w:r w:rsidRPr="00D51B2C">
              <w:rPr>
                <w:rFonts w:ascii="Arial Narrow" w:hAnsi="Arial Narrow"/>
                <w:sz w:val="20"/>
              </w:rPr>
              <w:t>Minimum, maximum</w:t>
            </w:r>
          </w:p>
        </w:tc>
        <w:tc>
          <w:tcPr>
            <w:tcW w:w="1559"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0.5+, 51.6+</w:t>
            </w:r>
          </w:p>
        </w:tc>
        <w:tc>
          <w:tcPr>
            <w:tcW w:w="1559"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1.9+, 21.4+</w:t>
            </w:r>
          </w:p>
        </w:tc>
        <w:tc>
          <w:tcPr>
            <w:tcW w:w="1701"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0.5+, 62.0+</w:t>
            </w:r>
          </w:p>
        </w:tc>
        <w:tc>
          <w:tcPr>
            <w:tcW w:w="1650"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3.0+, 31.8+</w:t>
            </w:r>
          </w:p>
        </w:tc>
      </w:tr>
      <w:tr w:rsidR="00D51B2C" w:rsidRPr="00D51B2C" w:rsidTr="00D51B2C">
        <w:tc>
          <w:tcPr>
            <w:tcW w:w="9016" w:type="dxa"/>
            <w:gridSpan w:val="5"/>
          </w:tcPr>
          <w:p w:rsidR="00D51B2C" w:rsidRPr="001636DA" w:rsidRDefault="00D51B2C" w:rsidP="00623DDF">
            <w:pPr>
              <w:keepNext/>
              <w:keepLines/>
              <w:widowControl w:val="0"/>
              <w:spacing w:before="40" w:after="40" w:line="256" w:lineRule="auto"/>
              <w:jc w:val="left"/>
              <w:rPr>
                <w:rFonts w:ascii="Arial Narrow" w:hAnsi="Arial Narrow"/>
                <w:b/>
                <w:sz w:val="20"/>
              </w:rPr>
            </w:pPr>
            <w:r w:rsidRPr="001636DA">
              <w:rPr>
                <w:rFonts w:ascii="Arial Narrow" w:hAnsi="Arial Narrow"/>
                <w:b/>
                <w:sz w:val="20"/>
              </w:rPr>
              <w:t>Duration of follow-up (months)</w:t>
            </w:r>
            <w:r w:rsidRPr="001636DA">
              <w:rPr>
                <w:rFonts w:ascii="Arial Narrow" w:hAnsi="Arial Narrow"/>
                <w:b/>
                <w:sz w:val="20"/>
                <w:vertAlign w:val="superscript"/>
              </w:rPr>
              <w:t>b</w:t>
            </w:r>
          </w:p>
        </w:tc>
      </w:tr>
      <w:tr w:rsidR="00D51B2C" w:rsidRPr="00D51B2C" w:rsidTr="00623DDF">
        <w:tc>
          <w:tcPr>
            <w:tcW w:w="2547" w:type="dxa"/>
          </w:tcPr>
          <w:p w:rsidR="00D51B2C" w:rsidRPr="00D51B2C" w:rsidRDefault="00D51B2C" w:rsidP="00203ACF">
            <w:pPr>
              <w:keepNext/>
              <w:keepLines/>
              <w:widowControl w:val="0"/>
              <w:spacing w:before="40" w:after="40" w:line="256" w:lineRule="auto"/>
              <w:jc w:val="left"/>
              <w:rPr>
                <w:rFonts w:ascii="Arial Narrow" w:hAnsi="Arial Narrow"/>
                <w:sz w:val="20"/>
              </w:rPr>
            </w:pPr>
            <w:r w:rsidRPr="00D51B2C">
              <w:rPr>
                <w:rFonts w:ascii="Arial Narrow" w:hAnsi="Arial Narrow"/>
                <w:sz w:val="20"/>
              </w:rPr>
              <w:t>Median</w:t>
            </w:r>
          </w:p>
        </w:tc>
        <w:tc>
          <w:tcPr>
            <w:tcW w:w="1559"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15.8</w:t>
            </w:r>
          </w:p>
        </w:tc>
        <w:tc>
          <w:tcPr>
            <w:tcW w:w="1559"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6.0</w:t>
            </w:r>
          </w:p>
        </w:tc>
        <w:tc>
          <w:tcPr>
            <w:tcW w:w="1701"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24.0</w:t>
            </w:r>
          </w:p>
        </w:tc>
        <w:tc>
          <w:tcPr>
            <w:tcW w:w="1650"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16.5</w:t>
            </w:r>
          </w:p>
        </w:tc>
      </w:tr>
      <w:tr w:rsidR="00D51B2C" w:rsidRPr="00D51B2C" w:rsidTr="00623DDF">
        <w:tc>
          <w:tcPr>
            <w:tcW w:w="2547" w:type="dxa"/>
          </w:tcPr>
          <w:p w:rsidR="00D51B2C" w:rsidRPr="00D51B2C" w:rsidRDefault="00D51B2C" w:rsidP="00203ACF">
            <w:pPr>
              <w:keepNext/>
              <w:keepLines/>
              <w:widowControl w:val="0"/>
              <w:spacing w:before="40" w:after="40" w:line="256" w:lineRule="auto"/>
              <w:jc w:val="left"/>
              <w:rPr>
                <w:rFonts w:ascii="Arial Narrow" w:hAnsi="Arial Narrow"/>
                <w:sz w:val="20"/>
              </w:rPr>
            </w:pPr>
            <w:r w:rsidRPr="00D51B2C">
              <w:rPr>
                <w:rFonts w:ascii="Arial Narrow" w:hAnsi="Arial Narrow"/>
                <w:sz w:val="20"/>
              </w:rPr>
              <w:t>25</w:t>
            </w:r>
            <w:r w:rsidRPr="00D51B2C">
              <w:rPr>
                <w:rFonts w:ascii="Arial Narrow" w:hAnsi="Arial Narrow"/>
                <w:sz w:val="20"/>
                <w:vertAlign w:val="superscript"/>
              </w:rPr>
              <w:t>th</w:t>
            </w:r>
            <w:r w:rsidRPr="00D51B2C">
              <w:rPr>
                <w:rFonts w:ascii="Arial Narrow" w:hAnsi="Arial Narrow"/>
                <w:sz w:val="20"/>
              </w:rPr>
              <w:t>, 75</w:t>
            </w:r>
            <w:r w:rsidRPr="00D51B2C">
              <w:rPr>
                <w:rFonts w:ascii="Arial Narrow" w:hAnsi="Arial Narrow"/>
                <w:sz w:val="20"/>
                <w:vertAlign w:val="superscript"/>
              </w:rPr>
              <w:t>th</w:t>
            </w:r>
            <w:r w:rsidRPr="00D51B2C">
              <w:rPr>
                <w:rFonts w:ascii="Arial Narrow" w:hAnsi="Arial Narrow"/>
                <w:sz w:val="20"/>
              </w:rPr>
              <w:t xml:space="preserve"> percentiles</w:t>
            </w:r>
          </w:p>
        </w:tc>
        <w:tc>
          <w:tcPr>
            <w:tcW w:w="1559"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9.3, 28.8</w:t>
            </w:r>
          </w:p>
        </w:tc>
        <w:tc>
          <w:tcPr>
            <w:tcW w:w="1559"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4.6, 11.0</w:t>
            </w:r>
          </w:p>
        </w:tc>
        <w:tc>
          <w:tcPr>
            <w:tcW w:w="1701"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16.8, 36.7</w:t>
            </w:r>
          </w:p>
        </w:tc>
        <w:tc>
          <w:tcPr>
            <w:tcW w:w="1650"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11.1, 19.1</w:t>
            </w:r>
          </w:p>
        </w:tc>
      </w:tr>
      <w:tr w:rsidR="00D51B2C" w:rsidRPr="00D51B2C" w:rsidTr="00D51B2C">
        <w:tc>
          <w:tcPr>
            <w:tcW w:w="9016" w:type="dxa"/>
            <w:gridSpan w:val="5"/>
          </w:tcPr>
          <w:p w:rsidR="00D51B2C" w:rsidRPr="001636DA" w:rsidRDefault="00D51B2C" w:rsidP="00623DDF">
            <w:pPr>
              <w:keepNext/>
              <w:keepLines/>
              <w:widowControl w:val="0"/>
              <w:spacing w:before="40" w:after="40" w:line="256" w:lineRule="auto"/>
              <w:jc w:val="left"/>
              <w:rPr>
                <w:rFonts w:ascii="Arial Narrow" w:hAnsi="Arial Narrow"/>
                <w:b/>
                <w:sz w:val="20"/>
              </w:rPr>
            </w:pPr>
            <w:r w:rsidRPr="001636DA">
              <w:rPr>
                <w:rFonts w:ascii="Arial Narrow" w:hAnsi="Arial Narrow"/>
                <w:b/>
                <w:sz w:val="20"/>
              </w:rPr>
              <w:t>Rate (%) of OS</w:t>
            </w:r>
            <w:r w:rsidRPr="001636DA">
              <w:rPr>
                <w:rFonts w:ascii="Arial Narrow" w:hAnsi="Arial Narrow"/>
                <w:b/>
                <w:sz w:val="20"/>
                <w:vertAlign w:val="superscript"/>
              </w:rPr>
              <w:t xml:space="preserve"> b, c</w:t>
            </w:r>
          </w:p>
        </w:tc>
      </w:tr>
      <w:tr w:rsidR="00D51B2C" w:rsidRPr="00D51B2C" w:rsidTr="00623DDF">
        <w:tc>
          <w:tcPr>
            <w:tcW w:w="2547" w:type="dxa"/>
          </w:tcPr>
          <w:p w:rsidR="00D51B2C" w:rsidRPr="00D51B2C" w:rsidRDefault="00D51B2C" w:rsidP="00203ACF">
            <w:pPr>
              <w:keepNext/>
              <w:keepLines/>
              <w:widowControl w:val="0"/>
              <w:spacing w:before="40" w:after="40" w:line="256" w:lineRule="auto"/>
              <w:jc w:val="left"/>
              <w:rPr>
                <w:rFonts w:ascii="Arial Narrow" w:hAnsi="Arial Narrow"/>
                <w:sz w:val="20"/>
              </w:rPr>
            </w:pPr>
            <w:r w:rsidRPr="00D51B2C">
              <w:rPr>
                <w:rFonts w:ascii="Arial Narrow" w:hAnsi="Arial Narrow"/>
                <w:sz w:val="20"/>
              </w:rPr>
              <w:t>12 months or more (95% CI)</w:t>
            </w:r>
          </w:p>
        </w:tc>
        <w:tc>
          <w:tcPr>
            <w:tcW w:w="1559"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90% (85%, 95%)</w:t>
            </w:r>
          </w:p>
        </w:tc>
        <w:tc>
          <w:tcPr>
            <w:tcW w:w="1559"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88% (65%, 100%)</w:t>
            </w:r>
          </w:p>
        </w:tc>
        <w:tc>
          <w:tcPr>
            <w:tcW w:w="1701"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89% (85%, 94%)</w:t>
            </w:r>
          </w:p>
        </w:tc>
        <w:tc>
          <w:tcPr>
            <w:tcW w:w="1650"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85% (71%, 99%)</w:t>
            </w:r>
          </w:p>
        </w:tc>
      </w:tr>
      <w:tr w:rsidR="00D51B2C" w:rsidRPr="00D51B2C" w:rsidTr="00623DDF">
        <w:tc>
          <w:tcPr>
            <w:tcW w:w="2547" w:type="dxa"/>
          </w:tcPr>
          <w:p w:rsidR="00D51B2C" w:rsidRPr="00D51B2C" w:rsidRDefault="00D51B2C" w:rsidP="00203ACF">
            <w:pPr>
              <w:keepNext/>
              <w:keepLines/>
              <w:widowControl w:val="0"/>
              <w:spacing w:before="40" w:after="40" w:line="256" w:lineRule="auto"/>
              <w:jc w:val="left"/>
              <w:rPr>
                <w:rFonts w:ascii="Arial Narrow" w:hAnsi="Arial Narrow"/>
                <w:sz w:val="20"/>
              </w:rPr>
            </w:pPr>
            <w:r w:rsidRPr="00D51B2C">
              <w:rPr>
                <w:rFonts w:ascii="Arial Narrow" w:hAnsi="Arial Narrow"/>
                <w:sz w:val="20"/>
              </w:rPr>
              <w:t>24 months or more (95% CI)</w:t>
            </w:r>
          </w:p>
        </w:tc>
        <w:tc>
          <w:tcPr>
            <w:tcW w:w="1559"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82% (75%, 90%)</w:t>
            </w:r>
          </w:p>
        </w:tc>
        <w:tc>
          <w:tcPr>
            <w:tcW w:w="1559"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NE (NE, NE)</w:t>
            </w:r>
          </w:p>
        </w:tc>
        <w:tc>
          <w:tcPr>
            <w:tcW w:w="1701"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82% (76%, 88%)</w:t>
            </w:r>
          </w:p>
        </w:tc>
        <w:tc>
          <w:tcPr>
            <w:tcW w:w="1650" w:type="dxa"/>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58% (28%, 88%)</w:t>
            </w:r>
          </w:p>
        </w:tc>
      </w:tr>
    </w:tbl>
    <w:p w:rsidR="00D51B2C" w:rsidRPr="00D51B2C" w:rsidRDefault="00D51B2C" w:rsidP="00203ACF">
      <w:pPr>
        <w:pStyle w:val="TableFooter"/>
        <w:keepNext/>
        <w:keepLines/>
      </w:pPr>
      <w:r w:rsidRPr="00D51B2C">
        <w:t>Source: Table 2.133, p330 of the submission</w:t>
      </w:r>
    </w:p>
    <w:p w:rsidR="00D51B2C" w:rsidRPr="00D51B2C" w:rsidRDefault="00D51B2C" w:rsidP="00203ACF">
      <w:pPr>
        <w:pStyle w:val="TableFooter"/>
        <w:keepNext/>
        <w:keepLines/>
      </w:pPr>
      <w:r w:rsidRPr="00D51B2C">
        <w:t xml:space="preserve">July 2019 data-cut </w:t>
      </w:r>
    </w:p>
    <w:p w:rsidR="00D51B2C" w:rsidRPr="00D51B2C" w:rsidRDefault="00D51B2C" w:rsidP="00203ACF">
      <w:pPr>
        <w:pStyle w:val="TableFooter"/>
        <w:keepNext/>
        <w:keepLines/>
      </w:pPr>
      <w:r w:rsidRPr="00D51B2C">
        <w:rPr>
          <w:vertAlign w:val="superscript"/>
        </w:rPr>
        <w:t xml:space="preserve">a </w:t>
      </w:r>
      <w:r w:rsidRPr="00D51B2C">
        <w:t>Status as of the last contact on or before visit cut-off.</w:t>
      </w:r>
    </w:p>
    <w:p w:rsidR="00D51B2C" w:rsidRPr="00D51B2C" w:rsidRDefault="00D51B2C" w:rsidP="00203ACF">
      <w:pPr>
        <w:pStyle w:val="TableFooter"/>
        <w:keepNext/>
        <w:keepLines/>
      </w:pPr>
      <w:r w:rsidRPr="00D51B2C">
        <w:rPr>
          <w:vertAlign w:val="superscript"/>
        </w:rPr>
        <w:t>b</w:t>
      </w:r>
      <w:r w:rsidRPr="00D51B2C">
        <w:t xml:space="preserve"> Estimate based on Kaplan-Meier method.</w:t>
      </w:r>
    </w:p>
    <w:p w:rsidR="00D51B2C" w:rsidRPr="00D51B2C" w:rsidRDefault="00D51B2C" w:rsidP="00203ACF">
      <w:pPr>
        <w:pStyle w:val="TableFooter"/>
        <w:keepNext/>
        <w:keepLines/>
      </w:pPr>
      <w:r w:rsidRPr="00D51B2C">
        <w:rPr>
          <w:vertAlign w:val="superscript"/>
        </w:rPr>
        <w:t>c</w:t>
      </w:r>
      <w:r w:rsidRPr="00D51B2C">
        <w:t xml:space="preserve"> 95% confidence interval was calculated using Greenwood’s formula.</w:t>
      </w:r>
    </w:p>
    <w:p w:rsidR="00D51B2C" w:rsidRPr="00D51B2C" w:rsidRDefault="00F1071F" w:rsidP="00203ACF">
      <w:pPr>
        <w:pStyle w:val="TableFooter"/>
        <w:keepNext/>
        <w:keepLines/>
      </w:pPr>
      <w:r w:rsidRPr="00D51B2C">
        <w:t xml:space="preserve">+ = </w:t>
      </w:r>
      <w:r>
        <w:t>c</w:t>
      </w:r>
      <w:r w:rsidRPr="00D51B2C">
        <w:t>ensored observation</w:t>
      </w:r>
      <w:r>
        <w:t>;</w:t>
      </w:r>
      <w:r w:rsidRPr="00D51B2C">
        <w:t xml:space="preserve"> </w:t>
      </w:r>
      <w:r w:rsidR="00D51B2C" w:rsidRPr="00D51B2C">
        <w:t>NE</w:t>
      </w:r>
      <w:r w:rsidR="001636DA" w:rsidRPr="00D51B2C">
        <w:t xml:space="preserve"> = </w:t>
      </w:r>
      <w:r w:rsidR="00D51B2C" w:rsidRPr="00D51B2C">
        <w:t>not estimable; CI</w:t>
      </w:r>
      <w:r w:rsidR="001636DA" w:rsidRPr="00D51B2C">
        <w:t xml:space="preserve"> = </w:t>
      </w:r>
      <w:r w:rsidR="00D51B2C" w:rsidRPr="00D51B2C">
        <w:t>confidence interval; OS</w:t>
      </w:r>
      <w:r w:rsidR="001636DA" w:rsidRPr="00D51B2C">
        <w:t xml:space="preserve"> = </w:t>
      </w:r>
      <w:r w:rsidR="00D51B2C" w:rsidRPr="00D51B2C">
        <w:t>overall survival; PR</w:t>
      </w:r>
      <w:r w:rsidR="001636DA" w:rsidRPr="00D51B2C">
        <w:t xml:space="preserve"> = </w:t>
      </w:r>
      <w:r w:rsidR="00D51B2C" w:rsidRPr="00D51B2C">
        <w:t>partial response; ePAS</w:t>
      </w:r>
      <w:r w:rsidR="001636DA" w:rsidRPr="00D51B2C">
        <w:t xml:space="preserve"> = </w:t>
      </w:r>
      <w:r w:rsidR="00D51B2C" w:rsidRPr="00D51B2C">
        <w:t>extended primary analysis set; SAS</w:t>
      </w:r>
      <w:r w:rsidR="001636DA" w:rsidRPr="00D51B2C">
        <w:t xml:space="preserve"> = </w:t>
      </w:r>
      <w:r w:rsidR="00D51B2C" w:rsidRPr="00D51B2C">
        <w:t>supplemental analysis set</w:t>
      </w:r>
    </w:p>
    <w:p w:rsidR="00D51B2C" w:rsidRPr="005E7404" w:rsidRDefault="00D51B2C" w:rsidP="00D51B2C">
      <w:pPr>
        <w:numPr>
          <w:ilvl w:val="4"/>
          <w:numId w:val="1"/>
        </w:numPr>
        <w:rPr>
          <w:iCs/>
          <w:color w:val="000000" w:themeColor="text1"/>
        </w:rPr>
      </w:pPr>
      <w:r w:rsidRPr="005E7404">
        <w:rPr>
          <w:iCs/>
          <w:color w:val="000000" w:themeColor="text1"/>
        </w:rPr>
        <w:t xml:space="preserve">The OS data remain immature for the July 2020 data </w:t>
      </w:r>
      <w:r w:rsidR="006D66BE" w:rsidRPr="005E7404">
        <w:rPr>
          <w:iCs/>
          <w:color w:val="000000" w:themeColor="text1"/>
        </w:rPr>
        <w:t>cut-off</w:t>
      </w:r>
      <w:r w:rsidRPr="005E7404">
        <w:rPr>
          <w:iCs/>
          <w:color w:val="000000" w:themeColor="text1"/>
        </w:rPr>
        <w:t>. With a median follow-up period of 24 months for patients in the ePAS5 dataset, median OS was not reached (95% CI</w:t>
      </w:r>
      <w:r w:rsidR="002E5140" w:rsidRPr="005E7404">
        <w:rPr>
          <w:iCs/>
          <w:color w:val="000000" w:themeColor="text1"/>
        </w:rPr>
        <w:t>s</w:t>
      </w:r>
      <w:r w:rsidRPr="005E7404">
        <w:rPr>
          <w:iCs/>
          <w:color w:val="000000" w:themeColor="text1"/>
        </w:rPr>
        <w:t xml:space="preserve"> not reached).</w:t>
      </w:r>
      <w:r w:rsidR="00A2597A">
        <w:rPr>
          <w:iCs/>
          <w:color w:val="000000" w:themeColor="text1"/>
        </w:rPr>
        <w:t xml:space="preserve"> The proportion of non-CNS tumour larotrectinib patients alive</w:t>
      </w:r>
      <w:r w:rsidRPr="005E7404">
        <w:rPr>
          <w:iCs/>
          <w:color w:val="000000" w:themeColor="text1"/>
        </w:rPr>
        <w:t xml:space="preserve"> </w:t>
      </w:r>
      <w:r w:rsidR="001E07AE">
        <w:rPr>
          <w:iCs/>
          <w:color w:val="000000" w:themeColor="text1"/>
        </w:rPr>
        <w:t>a</w:t>
      </w:r>
      <w:r w:rsidRPr="005E7404">
        <w:rPr>
          <w:iCs/>
          <w:color w:val="000000" w:themeColor="text1"/>
        </w:rPr>
        <w:t>t 24 months</w:t>
      </w:r>
      <w:r w:rsidR="00A2597A">
        <w:rPr>
          <w:iCs/>
          <w:color w:val="000000" w:themeColor="text1"/>
        </w:rPr>
        <w:t xml:space="preserve"> remained unchanged from that observed for the July 2019 data </w:t>
      </w:r>
      <w:r w:rsidR="006D66BE">
        <w:rPr>
          <w:iCs/>
          <w:color w:val="000000" w:themeColor="text1"/>
        </w:rPr>
        <w:t>cut-off</w:t>
      </w:r>
      <w:r w:rsidR="00A2597A">
        <w:rPr>
          <w:iCs/>
          <w:color w:val="000000" w:themeColor="text1"/>
        </w:rPr>
        <w:t xml:space="preserve"> in the previous submission at</w:t>
      </w:r>
      <w:r w:rsidRPr="005E7404">
        <w:rPr>
          <w:iCs/>
          <w:color w:val="000000" w:themeColor="text1"/>
        </w:rPr>
        <w:t xml:space="preserve"> 82% (95% CI: 76%, 88%)</w:t>
      </w:r>
      <w:r w:rsidR="00A2597A">
        <w:rPr>
          <w:iCs/>
          <w:color w:val="000000" w:themeColor="text1"/>
        </w:rPr>
        <w:t>.</w:t>
      </w:r>
    </w:p>
    <w:p w:rsidR="00D51B2C" w:rsidRPr="00D51B2C" w:rsidRDefault="00D51B2C" w:rsidP="00D51B2C">
      <w:pPr>
        <w:numPr>
          <w:ilvl w:val="4"/>
          <w:numId w:val="1"/>
        </w:numPr>
        <w:rPr>
          <w:color w:val="000000" w:themeColor="text1"/>
        </w:rPr>
      </w:pPr>
      <w:r w:rsidRPr="00D51B2C">
        <w:rPr>
          <w:color w:val="000000" w:themeColor="text1"/>
        </w:rPr>
        <w:t>With a median follow-up period of 16.5 months for SAS3 New patients, median OS was not estimable (95% CI: 16.9, not estimable). At 24</w:t>
      </w:r>
      <w:r w:rsidR="009E4CFE">
        <w:rPr>
          <w:color w:val="000000" w:themeColor="text1"/>
        </w:rPr>
        <w:t xml:space="preserve"> </w:t>
      </w:r>
      <w:r w:rsidRPr="00D51B2C">
        <w:rPr>
          <w:color w:val="000000" w:themeColor="text1"/>
        </w:rPr>
        <w:t xml:space="preserve">months, the probability of being alive was 58% (95% CI: 28%, 88%) compared to not reached for the July 2019 data </w:t>
      </w:r>
      <w:r w:rsidR="006D66BE" w:rsidRPr="00D51B2C">
        <w:rPr>
          <w:color w:val="000000" w:themeColor="text1"/>
        </w:rPr>
        <w:t>cut</w:t>
      </w:r>
      <w:r w:rsidR="006D66BE">
        <w:rPr>
          <w:color w:val="000000" w:themeColor="text1"/>
        </w:rPr>
        <w:t>-</w:t>
      </w:r>
      <w:r w:rsidR="006D66BE" w:rsidRPr="00D51B2C">
        <w:rPr>
          <w:color w:val="000000" w:themeColor="text1"/>
        </w:rPr>
        <w:t>off</w:t>
      </w:r>
      <w:r w:rsidRPr="00D51B2C">
        <w:rPr>
          <w:color w:val="000000" w:themeColor="text1"/>
        </w:rPr>
        <w:t xml:space="preserve"> in the previous submission.</w:t>
      </w:r>
    </w:p>
    <w:p w:rsidR="00D51B2C" w:rsidRPr="00D51B2C" w:rsidRDefault="00796D25" w:rsidP="00D51B2C">
      <w:pPr>
        <w:numPr>
          <w:ilvl w:val="4"/>
          <w:numId w:val="1"/>
        </w:numPr>
        <w:rPr>
          <w:color w:val="000000" w:themeColor="text1"/>
        </w:rPr>
      </w:pPr>
      <w:r w:rsidRPr="00D51B2C">
        <w:t>Table</w:t>
      </w:r>
      <w:r w:rsidR="00E37EC3">
        <w:t xml:space="preserve"> </w:t>
      </w:r>
      <w:r>
        <w:rPr>
          <w:noProof/>
        </w:rPr>
        <w:t>14</w:t>
      </w:r>
      <w:r w:rsidR="00D51B2C" w:rsidRPr="00D51B2C">
        <w:rPr>
          <w:color w:val="000000" w:themeColor="text1"/>
        </w:rPr>
        <w:t xml:space="preserve"> summarises pooled PFS and OS by representative/specified tumour types, for the most recent data </w:t>
      </w:r>
      <w:r w:rsidR="006D66BE" w:rsidRPr="00D51B2C">
        <w:rPr>
          <w:color w:val="000000" w:themeColor="text1"/>
        </w:rPr>
        <w:t>cut-off</w:t>
      </w:r>
      <w:r w:rsidR="00D51B2C" w:rsidRPr="00D51B2C">
        <w:rPr>
          <w:color w:val="000000" w:themeColor="text1"/>
        </w:rPr>
        <w:t xml:space="preserve">. </w:t>
      </w:r>
      <w:r w:rsidRPr="00796D25">
        <w:rPr>
          <w:rFonts w:eastAsia="Times New Roman"/>
          <w:bCs/>
        </w:rPr>
        <w:t>Figure</w:t>
      </w:r>
      <w:r w:rsidR="00D944C2">
        <w:rPr>
          <w:rFonts w:eastAsia="Times New Roman"/>
          <w:bCs/>
        </w:rPr>
        <w:t xml:space="preserve"> </w:t>
      </w:r>
      <w:r>
        <w:rPr>
          <w:noProof/>
        </w:rPr>
        <w:t>1</w:t>
      </w:r>
      <w:r w:rsidR="00D51B2C" w:rsidRPr="00D51B2C">
        <w:rPr>
          <w:color w:val="000000" w:themeColor="text1"/>
        </w:rPr>
        <w:t xml:space="preserve"> and </w:t>
      </w:r>
      <w:r w:rsidRPr="00D51B2C">
        <w:rPr>
          <w:rFonts w:eastAsia="Times New Roman"/>
        </w:rPr>
        <w:t>Figure</w:t>
      </w:r>
      <w:r w:rsidR="00D944C2">
        <w:rPr>
          <w:rFonts w:eastAsia="Times New Roman"/>
        </w:rPr>
        <w:t xml:space="preserve"> </w:t>
      </w:r>
      <w:r>
        <w:rPr>
          <w:rFonts w:eastAsia="Times New Roman"/>
          <w:noProof/>
        </w:rPr>
        <w:t>2</w:t>
      </w:r>
      <w:r w:rsidR="00D51B2C" w:rsidRPr="00D51B2C">
        <w:rPr>
          <w:color w:val="000000" w:themeColor="text1"/>
        </w:rPr>
        <w:t xml:space="preserve"> compare the Kaplan Meier curves, by </w:t>
      </w:r>
      <w:r w:rsidR="001B6435">
        <w:rPr>
          <w:color w:val="000000" w:themeColor="text1"/>
        </w:rPr>
        <w:t xml:space="preserve">representative tumour type for the </w:t>
      </w:r>
      <w:r w:rsidR="00D51B2C" w:rsidRPr="00D51B2C">
        <w:rPr>
          <w:color w:val="000000" w:themeColor="text1"/>
        </w:rPr>
        <w:t>proposed subgroups for listi</w:t>
      </w:r>
      <w:r w:rsidR="001636DA">
        <w:rPr>
          <w:color w:val="000000" w:themeColor="text1"/>
        </w:rPr>
        <w:t>ng, between the previous and mo</w:t>
      </w:r>
      <w:r w:rsidR="00D51B2C" w:rsidRPr="00D51B2C">
        <w:rPr>
          <w:color w:val="000000" w:themeColor="text1"/>
        </w:rPr>
        <w:t xml:space="preserve">st recent data </w:t>
      </w:r>
      <w:r w:rsidR="006D66BE" w:rsidRPr="00D51B2C">
        <w:rPr>
          <w:color w:val="000000" w:themeColor="text1"/>
        </w:rPr>
        <w:t>cut-offs</w:t>
      </w:r>
      <w:r w:rsidR="00D51B2C" w:rsidRPr="00D51B2C">
        <w:rPr>
          <w:color w:val="000000" w:themeColor="text1"/>
        </w:rPr>
        <w:t>.</w:t>
      </w:r>
    </w:p>
    <w:p w:rsidR="00D51B2C" w:rsidRPr="00D51B2C" w:rsidRDefault="00D51B2C" w:rsidP="00D117CD">
      <w:pPr>
        <w:pStyle w:val="Caption"/>
        <w:ind w:left="0" w:firstLine="0"/>
      </w:pPr>
      <w:bookmarkStart w:id="55" w:name="_Ref79140167"/>
      <w:r w:rsidRPr="00D51B2C">
        <w:t>Table</w:t>
      </w:r>
      <w:r w:rsidR="00E37EC3">
        <w:t xml:space="preserve"> </w:t>
      </w:r>
      <w:r w:rsidR="00BB3DD1">
        <w:rPr>
          <w:noProof/>
        </w:rPr>
        <w:t>14</w:t>
      </w:r>
      <w:bookmarkEnd w:id="55"/>
      <w:r w:rsidR="00E37EC3">
        <w:rPr>
          <w:noProof/>
        </w:rPr>
        <w:t>:</w:t>
      </w:r>
      <w:r w:rsidR="00D117CD">
        <w:rPr>
          <w:noProof/>
        </w:rPr>
        <w:t xml:space="preserve"> </w:t>
      </w:r>
      <w:r w:rsidRPr="00D51B2C">
        <w:t xml:space="preserve">Summary of pooled PFS and OS results, by tumour type/subgroup based on frequency of </w:t>
      </w:r>
      <w:r w:rsidRPr="00623261">
        <w:rPr>
          <w:i/>
        </w:rPr>
        <w:t>NTRK</w:t>
      </w:r>
      <w:r w:rsidRPr="00D51B2C">
        <w:t xml:space="preserve"> fusion and adult/paediatric status (July 2020 data </w:t>
      </w:r>
      <w:r w:rsidR="006D66BE" w:rsidRPr="00D51B2C">
        <w:t>cut-off</w:t>
      </w:r>
      <w:r w:rsidRPr="00D51B2C">
        <w:t>)</w:t>
      </w:r>
    </w:p>
    <w:tbl>
      <w:tblPr>
        <w:tblStyle w:val="HTATableshaded20"/>
        <w:tblW w:w="5000" w:type="pct"/>
        <w:tblLook w:val="04A0" w:firstRow="1" w:lastRow="0" w:firstColumn="1" w:lastColumn="0" w:noHBand="0" w:noVBand="1"/>
        <w:tblCaption w:val="Table 14: Summary of pooled PFS and OS results, by tumour type/subgroup based on frequency of NTRK fusion and adult/paediatric status (July 2020 data cut-off)"/>
      </w:tblPr>
      <w:tblGrid>
        <w:gridCol w:w="1413"/>
        <w:gridCol w:w="991"/>
        <w:gridCol w:w="992"/>
        <w:gridCol w:w="992"/>
        <w:gridCol w:w="992"/>
        <w:gridCol w:w="992"/>
        <w:gridCol w:w="994"/>
        <w:gridCol w:w="995"/>
        <w:gridCol w:w="655"/>
      </w:tblGrid>
      <w:tr w:rsidR="00D51B2C" w:rsidRPr="00D51B2C" w:rsidTr="00D117CD">
        <w:trPr>
          <w:cnfStyle w:val="100000000000" w:firstRow="1" w:lastRow="0" w:firstColumn="0" w:lastColumn="0" w:oddVBand="0" w:evenVBand="0" w:oddHBand="0" w:evenHBand="0" w:firstRowFirstColumn="0" w:firstRowLastColumn="0" w:lastRowFirstColumn="0" w:lastRowLastColumn="0"/>
          <w:tblHeader/>
        </w:trPr>
        <w:tc>
          <w:tcPr>
            <w:tcW w:w="784" w:type="pct"/>
            <w:vMerge w:val="restart"/>
            <w:tcMar>
              <w:left w:w="28" w:type="dxa"/>
              <w:right w:w="28" w:type="dxa"/>
            </w:tcMar>
          </w:tcPr>
          <w:p w:rsidR="00D51B2C" w:rsidRPr="00D51B2C" w:rsidRDefault="00D51B2C" w:rsidP="00D51B2C">
            <w:pPr>
              <w:widowControl w:val="0"/>
              <w:spacing w:before="40" w:after="40" w:line="256" w:lineRule="auto"/>
              <w:jc w:val="left"/>
              <w:rPr>
                <w:rFonts w:ascii="Arial Narrow" w:hAnsi="Arial Narrow"/>
                <w:sz w:val="20"/>
              </w:rPr>
            </w:pPr>
          </w:p>
        </w:tc>
        <w:tc>
          <w:tcPr>
            <w:tcW w:w="3853" w:type="pct"/>
            <w:gridSpan w:val="7"/>
            <w:tcMar>
              <w:left w:w="28" w:type="dxa"/>
              <w:right w:w="28" w:type="dxa"/>
            </w:tcMar>
          </w:tcPr>
          <w:p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Subgroups</w:t>
            </w:r>
          </w:p>
        </w:tc>
        <w:tc>
          <w:tcPr>
            <w:tcW w:w="363" w:type="pct"/>
            <w:vMerge w:val="restart"/>
            <w:tcMar>
              <w:left w:w="28" w:type="dxa"/>
              <w:right w:w="28" w:type="dxa"/>
            </w:tcMar>
          </w:tcPr>
          <w:p w:rsidR="00D51B2C" w:rsidRPr="00D51B2C" w:rsidRDefault="00D51B2C" w:rsidP="00623DDF">
            <w:pPr>
              <w:widowControl w:val="0"/>
              <w:spacing w:before="40" w:after="40" w:line="256" w:lineRule="auto"/>
              <w:jc w:val="center"/>
              <w:rPr>
                <w:rFonts w:ascii="Arial Narrow" w:hAnsi="Arial Narrow"/>
                <w:b/>
                <w:sz w:val="18"/>
              </w:rPr>
            </w:pPr>
            <w:r w:rsidRPr="00DF561F">
              <w:rPr>
                <w:rFonts w:ascii="Arial Narrow" w:hAnsi="Arial Narrow"/>
                <w:b/>
                <w:sz w:val="20"/>
                <w:szCs w:val="20"/>
              </w:rPr>
              <w:t>Overall</w:t>
            </w:r>
          </w:p>
        </w:tc>
      </w:tr>
      <w:tr w:rsidR="00D51B2C" w:rsidRPr="00D51B2C" w:rsidTr="00D117CD">
        <w:trPr>
          <w:cnfStyle w:val="100000000000" w:firstRow="1" w:lastRow="0" w:firstColumn="0" w:lastColumn="0" w:oddVBand="0" w:evenVBand="0" w:oddHBand="0" w:evenHBand="0" w:firstRowFirstColumn="0" w:firstRowLastColumn="0" w:lastRowFirstColumn="0" w:lastRowLastColumn="0"/>
          <w:trHeight w:val="789"/>
          <w:tblHeader/>
        </w:trPr>
        <w:tc>
          <w:tcPr>
            <w:tcW w:w="784" w:type="pct"/>
            <w:vMerge/>
            <w:tcMar>
              <w:left w:w="28" w:type="dxa"/>
              <w:right w:w="28" w:type="dxa"/>
            </w:tcMar>
          </w:tcPr>
          <w:p w:rsidR="00D51B2C" w:rsidRPr="00D51B2C" w:rsidRDefault="00D51B2C" w:rsidP="00D51B2C">
            <w:pPr>
              <w:widowControl w:val="0"/>
              <w:spacing w:before="40" w:after="40" w:line="256" w:lineRule="auto"/>
              <w:jc w:val="left"/>
              <w:rPr>
                <w:rFonts w:ascii="Arial Narrow" w:hAnsi="Arial Narrow"/>
                <w:sz w:val="20"/>
              </w:rPr>
            </w:pP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 xml:space="preserve">Adult </w:t>
            </w:r>
            <w:r w:rsidRPr="00D51B2C">
              <w:rPr>
                <w:rFonts w:ascii="Arial Narrow" w:hAnsi="Arial Narrow"/>
                <w:b/>
                <w:i/>
                <w:iCs/>
                <w:sz w:val="20"/>
              </w:rPr>
              <w:t>NTRK</w:t>
            </w:r>
            <w:r w:rsidRPr="00D51B2C">
              <w:rPr>
                <w:rFonts w:ascii="Arial Narrow" w:hAnsi="Arial Narrow"/>
                <w:b/>
                <w:sz w:val="20"/>
              </w:rPr>
              <w:t xml:space="preserve"> fusion high frequency (salivary)</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 xml:space="preserve">Adult </w:t>
            </w:r>
            <w:r w:rsidRPr="00D51B2C">
              <w:rPr>
                <w:rFonts w:ascii="Arial Narrow" w:hAnsi="Arial Narrow"/>
                <w:b/>
                <w:i/>
                <w:iCs/>
                <w:sz w:val="20"/>
              </w:rPr>
              <w:t>NTRK</w:t>
            </w:r>
            <w:r w:rsidRPr="00D51B2C">
              <w:rPr>
                <w:rFonts w:ascii="Arial Narrow" w:hAnsi="Arial Narrow"/>
                <w:b/>
                <w:sz w:val="20"/>
              </w:rPr>
              <w:t xml:space="preserve"> fusion low frequency (CRC)</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 xml:space="preserve">Adult </w:t>
            </w:r>
            <w:r w:rsidRPr="00D51B2C">
              <w:rPr>
                <w:rFonts w:ascii="Arial Narrow" w:hAnsi="Arial Narrow"/>
                <w:b/>
                <w:i/>
                <w:iCs/>
                <w:sz w:val="20"/>
              </w:rPr>
              <w:t>NTRK</w:t>
            </w:r>
            <w:r w:rsidRPr="00D51B2C">
              <w:rPr>
                <w:rFonts w:ascii="Arial Narrow" w:hAnsi="Arial Narrow"/>
                <w:b/>
                <w:sz w:val="20"/>
              </w:rPr>
              <w:t xml:space="preserve"> fusion low frequency (STS)</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bCs/>
                <w:sz w:val="20"/>
              </w:rPr>
              <w:t>Adult</w:t>
            </w:r>
            <w:r w:rsidRPr="00D51B2C">
              <w:rPr>
                <w:rFonts w:ascii="Arial Narrow" w:hAnsi="Arial Narrow"/>
                <w:b/>
                <w:sz w:val="20"/>
              </w:rPr>
              <w:t xml:space="preserve"> </w:t>
            </w:r>
            <w:r w:rsidRPr="00D51B2C">
              <w:rPr>
                <w:rFonts w:ascii="Arial Narrow" w:hAnsi="Arial Narrow"/>
                <w:b/>
                <w:i/>
                <w:iCs/>
                <w:sz w:val="20"/>
              </w:rPr>
              <w:t>NTRK</w:t>
            </w:r>
            <w:r w:rsidRPr="00D51B2C">
              <w:rPr>
                <w:rFonts w:ascii="Arial Narrow" w:hAnsi="Arial Narrow"/>
                <w:b/>
                <w:sz w:val="20"/>
              </w:rPr>
              <w:t xml:space="preserve"> fusion </w:t>
            </w:r>
            <w:r w:rsidRPr="00D51B2C">
              <w:rPr>
                <w:rFonts w:ascii="Arial Narrow" w:hAnsi="Arial Narrow"/>
                <w:b/>
                <w:bCs/>
                <w:sz w:val="20"/>
              </w:rPr>
              <w:t>low</w:t>
            </w:r>
            <w:r w:rsidRPr="00D51B2C">
              <w:rPr>
                <w:rFonts w:ascii="Arial Narrow" w:hAnsi="Arial Narrow"/>
                <w:b/>
                <w:sz w:val="20"/>
              </w:rPr>
              <w:t xml:space="preserve"> frequency (</w:t>
            </w:r>
            <w:r w:rsidR="001636DA">
              <w:rPr>
                <w:rFonts w:ascii="Arial Narrow" w:hAnsi="Arial Narrow"/>
                <w:b/>
                <w:bCs/>
                <w:sz w:val="20"/>
              </w:rPr>
              <w:t>NSCLC</w:t>
            </w:r>
            <w:r w:rsidRPr="00D51B2C">
              <w:rPr>
                <w:rFonts w:ascii="Arial Narrow" w:hAnsi="Arial Narrow"/>
                <w:b/>
                <w:sz w:val="20"/>
              </w:rPr>
              <w:t>)</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bCs/>
                <w:sz w:val="20"/>
              </w:rPr>
              <w:t>Adult</w:t>
            </w:r>
            <w:r w:rsidRPr="00D51B2C">
              <w:rPr>
                <w:rFonts w:ascii="Arial Narrow" w:hAnsi="Arial Narrow"/>
                <w:b/>
                <w:sz w:val="20"/>
              </w:rPr>
              <w:t xml:space="preserve"> </w:t>
            </w:r>
            <w:r w:rsidRPr="00D51B2C">
              <w:rPr>
                <w:rFonts w:ascii="Arial Narrow" w:hAnsi="Arial Narrow"/>
                <w:b/>
                <w:i/>
                <w:iCs/>
                <w:sz w:val="20"/>
              </w:rPr>
              <w:t>NTRK</w:t>
            </w:r>
            <w:r w:rsidRPr="00D51B2C">
              <w:rPr>
                <w:rFonts w:ascii="Arial Narrow" w:hAnsi="Arial Narrow"/>
                <w:b/>
                <w:sz w:val="20"/>
              </w:rPr>
              <w:t xml:space="preserve"> fusion low frequency (</w:t>
            </w:r>
            <w:r w:rsidRPr="00D51B2C">
              <w:rPr>
                <w:rFonts w:ascii="Arial Narrow" w:hAnsi="Arial Narrow"/>
                <w:b/>
                <w:bCs/>
                <w:sz w:val="20"/>
              </w:rPr>
              <w:t>thyroid)</w:t>
            </w:r>
          </w:p>
        </w:tc>
        <w:tc>
          <w:tcPr>
            <w:tcW w:w="551"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b/>
                <w:bCs/>
                <w:sz w:val="20"/>
              </w:rPr>
            </w:pPr>
            <w:r w:rsidRPr="00D51B2C">
              <w:rPr>
                <w:rFonts w:ascii="Arial Narrow" w:hAnsi="Arial Narrow"/>
                <w:b/>
                <w:bCs/>
                <w:sz w:val="20"/>
              </w:rPr>
              <w:t xml:space="preserve">Paediatric </w:t>
            </w:r>
            <w:r w:rsidRPr="00D51B2C">
              <w:rPr>
                <w:rFonts w:ascii="Arial Narrow" w:hAnsi="Arial Narrow"/>
                <w:b/>
                <w:i/>
                <w:iCs/>
                <w:sz w:val="20"/>
              </w:rPr>
              <w:t>NTRK</w:t>
            </w:r>
            <w:r w:rsidRPr="00D51B2C">
              <w:rPr>
                <w:rFonts w:ascii="Arial Narrow" w:hAnsi="Arial Narrow"/>
                <w:b/>
                <w:bCs/>
                <w:sz w:val="20"/>
              </w:rPr>
              <w:t xml:space="preserve"> fusion high frequency (IFS/STS)</w:t>
            </w:r>
          </w:p>
        </w:tc>
        <w:tc>
          <w:tcPr>
            <w:tcW w:w="552"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b/>
                <w:bCs/>
                <w:sz w:val="20"/>
              </w:rPr>
            </w:pPr>
            <w:r w:rsidRPr="00D51B2C">
              <w:rPr>
                <w:rFonts w:ascii="Arial Narrow" w:hAnsi="Arial Narrow"/>
                <w:b/>
                <w:bCs/>
                <w:sz w:val="20"/>
              </w:rPr>
              <w:t xml:space="preserve">Paediatric </w:t>
            </w:r>
            <w:r w:rsidRPr="00D51B2C">
              <w:rPr>
                <w:rFonts w:ascii="Arial Narrow" w:hAnsi="Arial Narrow"/>
                <w:b/>
                <w:i/>
                <w:iCs/>
                <w:sz w:val="20"/>
              </w:rPr>
              <w:t>NTRK</w:t>
            </w:r>
            <w:r w:rsidRPr="00D51B2C">
              <w:rPr>
                <w:rFonts w:ascii="Arial Narrow" w:hAnsi="Arial Narrow"/>
                <w:b/>
                <w:bCs/>
                <w:sz w:val="20"/>
              </w:rPr>
              <w:t xml:space="preserve"> fusion low frequency (CNS)</w:t>
            </w:r>
          </w:p>
        </w:tc>
        <w:tc>
          <w:tcPr>
            <w:tcW w:w="363" w:type="pct"/>
            <w:vMerge/>
            <w:tcMar>
              <w:left w:w="28" w:type="dxa"/>
              <w:right w:w="28" w:type="dxa"/>
            </w:tcMar>
          </w:tcPr>
          <w:p w:rsidR="00D51B2C" w:rsidRPr="00D51B2C" w:rsidRDefault="00D51B2C" w:rsidP="00623DDF">
            <w:pPr>
              <w:widowControl w:val="0"/>
              <w:spacing w:before="40" w:after="40" w:line="256" w:lineRule="auto"/>
              <w:jc w:val="center"/>
              <w:rPr>
                <w:rFonts w:ascii="Arial Narrow" w:hAnsi="Arial Narrow"/>
                <w:b/>
                <w:sz w:val="20"/>
              </w:rPr>
            </w:pPr>
          </w:p>
        </w:tc>
      </w:tr>
      <w:tr w:rsidR="00D51B2C" w:rsidRPr="00D51B2C" w:rsidTr="00D117CD">
        <w:tc>
          <w:tcPr>
            <w:tcW w:w="784" w:type="pct"/>
            <w:tcMar>
              <w:left w:w="28" w:type="dxa"/>
              <w:right w:w="28" w:type="dxa"/>
            </w:tcMar>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Median PFS (months)</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55.7</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5.5</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29.2</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32.9</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34.3</w:t>
            </w:r>
          </w:p>
        </w:tc>
        <w:tc>
          <w:tcPr>
            <w:tcW w:w="551"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34.7</w:t>
            </w:r>
          </w:p>
        </w:tc>
        <w:tc>
          <w:tcPr>
            <w:tcW w:w="552"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363"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32.9</w:t>
            </w:r>
          </w:p>
        </w:tc>
      </w:tr>
      <w:tr w:rsidR="00D51B2C" w:rsidRPr="00D51B2C" w:rsidTr="00D117CD">
        <w:tc>
          <w:tcPr>
            <w:tcW w:w="784" w:type="pct"/>
            <w:tcMar>
              <w:left w:w="28" w:type="dxa"/>
              <w:right w:w="28" w:type="dxa"/>
            </w:tcMar>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PFS at 12 months</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83%</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33%</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52%</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62%</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75%</w:t>
            </w:r>
          </w:p>
        </w:tc>
        <w:tc>
          <w:tcPr>
            <w:tcW w:w="551"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78%</w:t>
            </w:r>
          </w:p>
        </w:tc>
        <w:tc>
          <w:tcPr>
            <w:tcW w:w="552"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65%</w:t>
            </w:r>
          </w:p>
        </w:tc>
        <w:tc>
          <w:tcPr>
            <w:tcW w:w="363"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66%</w:t>
            </w:r>
          </w:p>
        </w:tc>
      </w:tr>
      <w:tr w:rsidR="00D51B2C" w:rsidRPr="00D51B2C" w:rsidTr="00D117CD">
        <w:tc>
          <w:tcPr>
            <w:tcW w:w="784" w:type="pct"/>
            <w:tcMar>
              <w:left w:w="28" w:type="dxa"/>
              <w:right w:w="28" w:type="dxa"/>
            </w:tcMar>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PFS at 24 months</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78%</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33%</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52%</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62%</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62%</w:t>
            </w:r>
          </w:p>
        </w:tc>
        <w:tc>
          <w:tcPr>
            <w:tcW w:w="551"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56%</w:t>
            </w:r>
          </w:p>
        </w:tc>
        <w:tc>
          <w:tcPr>
            <w:tcW w:w="552"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52%</w:t>
            </w:r>
          </w:p>
        </w:tc>
        <w:tc>
          <w:tcPr>
            <w:tcW w:w="363"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55%</w:t>
            </w:r>
          </w:p>
        </w:tc>
      </w:tr>
      <w:tr w:rsidR="00D51B2C" w:rsidRPr="00D51B2C" w:rsidTr="00D117CD">
        <w:tc>
          <w:tcPr>
            <w:tcW w:w="784" w:type="pct"/>
            <w:tcMar>
              <w:left w:w="28" w:type="dxa"/>
              <w:right w:w="28" w:type="dxa"/>
            </w:tcMar>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Median OS (months)</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29.2</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40.5</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551"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552"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363"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NE</w:t>
            </w:r>
          </w:p>
        </w:tc>
      </w:tr>
      <w:tr w:rsidR="00D51B2C" w:rsidRPr="00D51B2C" w:rsidTr="00D117CD">
        <w:tc>
          <w:tcPr>
            <w:tcW w:w="784" w:type="pct"/>
            <w:tcMar>
              <w:left w:w="28" w:type="dxa"/>
              <w:right w:w="28" w:type="dxa"/>
            </w:tcMar>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OS at 12 months</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96%</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71%</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85%</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86%</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88%</w:t>
            </w:r>
          </w:p>
        </w:tc>
        <w:tc>
          <w:tcPr>
            <w:tcW w:w="551"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96%</w:t>
            </w:r>
          </w:p>
        </w:tc>
        <w:tc>
          <w:tcPr>
            <w:tcW w:w="552"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86%</w:t>
            </w:r>
          </w:p>
        </w:tc>
        <w:tc>
          <w:tcPr>
            <w:tcW w:w="363"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89%</w:t>
            </w:r>
          </w:p>
        </w:tc>
      </w:tr>
      <w:tr w:rsidR="00D117CD" w:rsidRPr="00D51B2C" w:rsidTr="00D117CD">
        <w:trPr>
          <w:trHeight w:val="121"/>
        </w:trPr>
        <w:tc>
          <w:tcPr>
            <w:tcW w:w="784" w:type="pct"/>
            <w:tcMar>
              <w:left w:w="28" w:type="dxa"/>
              <w:right w:w="28" w:type="dxa"/>
            </w:tcMar>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OS at 24 months</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91%</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71%</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70%</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75%</w:t>
            </w:r>
          </w:p>
        </w:tc>
        <w:tc>
          <w:tcPr>
            <w:tcW w:w="550"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73%</w:t>
            </w:r>
          </w:p>
        </w:tc>
        <w:tc>
          <w:tcPr>
            <w:tcW w:w="551"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96%</w:t>
            </w:r>
          </w:p>
        </w:tc>
        <w:tc>
          <w:tcPr>
            <w:tcW w:w="552"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65%</w:t>
            </w:r>
          </w:p>
        </w:tc>
        <w:tc>
          <w:tcPr>
            <w:tcW w:w="363" w:type="pct"/>
            <w:tcMar>
              <w:left w:w="28" w:type="dxa"/>
              <w:right w:w="28" w:type="dxa"/>
            </w:tcMar>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80%</w:t>
            </w:r>
          </w:p>
        </w:tc>
      </w:tr>
    </w:tbl>
    <w:p w:rsidR="00D51B2C" w:rsidRPr="00D51B2C" w:rsidRDefault="00D51B2C" w:rsidP="006909A5">
      <w:pPr>
        <w:pStyle w:val="TableFooter"/>
      </w:pPr>
      <w:r w:rsidRPr="00D51B2C">
        <w:t>Source: Table 2.142, p346 of the resubmission.</w:t>
      </w:r>
    </w:p>
    <w:p w:rsidR="00D51B2C" w:rsidRPr="00D51B2C" w:rsidRDefault="00D51B2C" w:rsidP="006909A5">
      <w:pPr>
        <w:pStyle w:val="TableFooter"/>
      </w:pPr>
      <w:r w:rsidRPr="00D51B2C">
        <w:t>1L</w:t>
      </w:r>
      <w:r w:rsidR="001636DA" w:rsidRPr="00D51B2C">
        <w:t xml:space="preserve"> = </w:t>
      </w:r>
      <w:r w:rsidRPr="00D51B2C">
        <w:t>first-line; CRC</w:t>
      </w:r>
      <w:r w:rsidR="001636DA" w:rsidRPr="00D51B2C">
        <w:t xml:space="preserve"> = </w:t>
      </w:r>
      <w:r w:rsidRPr="00D51B2C">
        <w:t>colorectal cancer; CNS</w:t>
      </w:r>
      <w:r w:rsidR="001636DA" w:rsidRPr="00D51B2C">
        <w:t xml:space="preserve"> = </w:t>
      </w:r>
      <w:r w:rsidRPr="00D51B2C">
        <w:t>central nervous system; IFS</w:t>
      </w:r>
      <w:r w:rsidR="001636DA" w:rsidRPr="00D51B2C">
        <w:t xml:space="preserve"> = </w:t>
      </w:r>
      <w:r w:rsidRPr="00D51B2C">
        <w:t xml:space="preserve">infantile febrile sarcoma; </w:t>
      </w:r>
      <w:r w:rsidRPr="00D51B2C">
        <w:rPr>
          <w:i/>
          <w:iCs/>
        </w:rPr>
        <w:t>NTRK</w:t>
      </w:r>
      <w:r w:rsidR="001636DA" w:rsidRPr="00D51B2C">
        <w:t xml:space="preserve"> = </w:t>
      </w:r>
      <w:r w:rsidRPr="00D51B2C">
        <w:t>Neurotrophic tropomyosin receptor kinase; OS</w:t>
      </w:r>
      <w:r w:rsidR="001636DA" w:rsidRPr="00D51B2C">
        <w:t xml:space="preserve"> = </w:t>
      </w:r>
      <w:r w:rsidRPr="00D51B2C">
        <w:t>overall survival; PFS</w:t>
      </w:r>
      <w:r w:rsidR="001636DA" w:rsidRPr="00D51B2C">
        <w:t xml:space="preserve"> = </w:t>
      </w:r>
      <w:r w:rsidRPr="00D51B2C">
        <w:t>progression-free survival; STS</w:t>
      </w:r>
      <w:r w:rsidR="001636DA" w:rsidRPr="00D51B2C">
        <w:t xml:space="preserve"> = </w:t>
      </w:r>
      <w:r w:rsidRPr="00D51B2C">
        <w:t>soft tissue sarcoma</w:t>
      </w:r>
    </w:p>
    <w:p w:rsidR="00D51B2C" w:rsidRDefault="00D51B2C" w:rsidP="00D117CD">
      <w:pPr>
        <w:pStyle w:val="Caption"/>
        <w:keepLines/>
        <w:ind w:left="0" w:firstLine="0"/>
      </w:pPr>
      <w:bookmarkStart w:id="56" w:name="_Ref79139362"/>
      <w:bookmarkStart w:id="57" w:name="_Ref79166910"/>
      <w:r w:rsidRPr="002E5140">
        <w:rPr>
          <w:rStyle w:val="TableHeadingChar"/>
          <w:rFonts w:eastAsiaTheme="minorHAnsi"/>
          <w:b/>
        </w:rPr>
        <w:t>Figure</w:t>
      </w:r>
      <w:r w:rsidR="00D944C2">
        <w:rPr>
          <w:rStyle w:val="TableHeadingChar"/>
          <w:rFonts w:eastAsiaTheme="minorHAnsi"/>
          <w:b/>
        </w:rPr>
        <w:t xml:space="preserve"> </w:t>
      </w:r>
      <w:r w:rsidR="00796D25">
        <w:rPr>
          <w:noProof/>
        </w:rPr>
        <w:t>1</w:t>
      </w:r>
      <w:bookmarkEnd w:id="56"/>
      <w:bookmarkEnd w:id="57"/>
      <w:r w:rsidR="00D944C2">
        <w:rPr>
          <w:noProof/>
        </w:rPr>
        <w:t>:</w:t>
      </w:r>
      <w:r w:rsidR="00D117CD">
        <w:rPr>
          <w:noProof/>
        </w:rPr>
        <w:t xml:space="preserve"> </w:t>
      </w:r>
      <w:r w:rsidRPr="002E5140">
        <w:t>Pooled Kaplan-Meier overall survival curves, by proposed subgroups for listing (</w:t>
      </w:r>
      <w:r w:rsidR="00623DDF" w:rsidRPr="002E5140">
        <w:t>p</w:t>
      </w:r>
      <w:r w:rsidRPr="002E5140">
        <w:t xml:space="preserve">revious submission November 2020 (July 2019 data </w:t>
      </w:r>
      <w:r w:rsidR="006D66BE" w:rsidRPr="002E5140">
        <w:t>cut-off</w:t>
      </w:r>
      <w:r w:rsidRPr="002E5140">
        <w:t xml:space="preserve">) and resubmission (July 2020 data </w:t>
      </w:r>
      <w:r w:rsidR="006D66BE" w:rsidRPr="002E5140">
        <w:t>cut-off</w:t>
      </w:r>
      <w:r w:rsidRPr="002E5140">
        <w:t>): Paediatric “high” frequency (IFS+STS), paediatric low frequency (primary CNS), adult high frequency (MASC salivary gland)</w:t>
      </w:r>
    </w:p>
    <w:tbl>
      <w:tblPr>
        <w:tblStyle w:val="HTATableshade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gure 1: Pooled Kaplan-Meier overall survival curves, by proposed subgroups for listing (previous submission November 2020 (July 2019 data cut-off) and resubmission (July 2020 data cut-off): Paediatric “high” frequency (IFS+STS), paediatric low frequency (primary CNS), adult high frequency (MASC salivary gland)"/>
      </w:tblPr>
      <w:tblGrid>
        <w:gridCol w:w="4513"/>
        <w:gridCol w:w="4513"/>
      </w:tblGrid>
      <w:tr w:rsidR="00D22CFC" w:rsidTr="003B6B2C">
        <w:trPr>
          <w:cnfStyle w:val="100000000000" w:firstRow="1" w:lastRow="0" w:firstColumn="0" w:lastColumn="0" w:oddVBand="0" w:evenVBand="0" w:oddHBand="0" w:evenHBand="0" w:firstRowFirstColumn="0" w:firstRowLastColumn="0" w:lastRowFirstColumn="0" w:lastRowLastColumn="0"/>
          <w:tblHeader/>
        </w:trPr>
        <w:tc>
          <w:tcPr>
            <w:tcW w:w="4513" w:type="dxa"/>
            <w:tcBorders>
              <w:top w:val="none" w:sz="0" w:space="0" w:color="auto"/>
              <w:left w:val="none" w:sz="0" w:space="0" w:color="auto"/>
              <w:bottom w:val="none" w:sz="0" w:space="0" w:color="auto"/>
              <w:right w:val="none" w:sz="0" w:space="0" w:color="auto"/>
            </w:tcBorders>
          </w:tcPr>
          <w:p w:rsidR="00D22CFC" w:rsidRDefault="00D22CFC" w:rsidP="001F1A70">
            <w:pPr>
              <w:pStyle w:val="TableText"/>
              <w:keepNext/>
              <w:keepLines/>
            </w:pPr>
            <w:r>
              <w:rPr>
                <w:noProof/>
              </w:rPr>
              <w:drawing>
                <wp:inline distT="0" distB="0" distL="0" distR="0" wp14:anchorId="262FB958" wp14:editId="7290480E">
                  <wp:extent cx="2844000" cy="1757349"/>
                  <wp:effectExtent l="0" t="0" r="0" b="0"/>
                  <wp:docPr id="61" name="Picture 61" title="Figure 1: Pooled Kaplan-Meier overall survival curves, by proposed subgroups for listing (previous submission November 2020 (July 2019 data cut-off) and resubmission (July 2020 data cut-off): Paediatric “high” frequency (IFS+STS), paediatric low frequency (primary CNS), adult high frequency (MASC salivary 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0" cy="1757349"/>
                          </a:xfrm>
                          <a:prstGeom prst="rect">
                            <a:avLst/>
                          </a:prstGeom>
                          <a:noFill/>
                        </pic:spPr>
                      </pic:pic>
                    </a:graphicData>
                  </a:graphic>
                </wp:inline>
              </w:drawing>
            </w:r>
          </w:p>
        </w:tc>
        <w:tc>
          <w:tcPr>
            <w:tcW w:w="4513" w:type="dxa"/>
            <w:tcBorders>
              <w:top w:val="none" w:sz="0" w:space="0" w:color="auto"/>
              <w:left w:val="none" w:sz="0" w:space="0" w:color="auto"/>
              <w:bottom w:val="none" w:sz="0" w:space="0" w:color="auto"/>
              <w:right w:val="none" w:sz="0" w:space="0" w:color="auto"/>
            </w:tcBorders>
          </w:tcPr>
          <w:p w:rsidR="00D22CFC" w:rsidRDefault="00D22CFC" w:rsidP="001F1A70">
            <w:pPr>
              <w:pStyle w:val="TableText"/>
              <w:keepNext/>
              <w:keepLines/>
            </w:pPr>
            <w:r>
              <w:rPr>
                <w:noProof/>
              </w:rPr>
              <w:drawing>
                <wp:inline distT="0" distB="0" distL="0" distR="0" wp14:anchorId="3A7153F2" wp14:editId="37D459E2">
                  <wp:extent cx="2844000" cy="1793329"/>
                  <wp:effectExtent l="0" t="0" r="0" b="0"/>
                  <wp:docPr id="62" name="Picture 62" title="Figure 1: Pooled Kaplan-Meier overall survival curves, by proposed subgroups for listing (previous submission November 2020 (July 2019 data cut-off) and resubmission (July 2020 data cut-off): Paediatric “high” frequency (IFS+STS), paediatric low frequency (primary CNS), adult high frequency (MASC salivary 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0" cy="1793329"/>
                          </a:xfrm>
                          <a:prstGeom prst="rect">
                            <a:avLst/>
                          </a:prstGeom>
                          <a:noFill/>
                        </pic:spPr>
                      </pic:pic>
                    </a:graphicData>
                  </a:graphic>
                </wp:inline>
              </w:drawing>
            </w:r>
          </w:p>
        </w:tc>
      </w:tr>
      <w:tr w:rsidR="00D22CFC" w:rsidTr="00D22CFC">
        <w:tc>
          <w:tcPr>
            <w:tcW w:w="4513" w:type="dxa"/>
          </w:tcPr>
          <w:p w:rsidR="00D22CFC" w:rsidRDefault="00D22CFC" w:rsidP="001F1A70">
            <w:pPr>
              <w:pStyle w:val="TableText"/>
              <w:keepNext/>
              <w:keepLines/>
            </w:pPr>
            <w:r>
              <w:rPr>
                <w:noProof/>
              </w:rPr>
              <w:drawing>
                <wp:inline distT="0" distB="0" distL="0" distR="0" wp14:anchorId="7043B84E" wp14:editId="7DD998D7">
                  <wp:extent cx="2844000" cy="1747320"/>
                  <wp:effectExtent l="0" t="0" r="0" b="5715"/>
                  <wp:docPr id="63" name="Picture 63" title="Figure 1: Pooled Kaplan-Meier overall survival curves, by proposed subgroups for listing (previous submission November 2020 (July 2019 data cut-off) and resubmission (July 2020 data cut-off): Paediatric “high” frequency (IFS+STS), paediatric low frequency (primary CNS), adult high frequency (MASC salivary 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4000" cy="1747320"/>
                          </a:xfrm>
                          <a:prstGeom prst="rect">
                            <a:avLst/>
                          </a:prstGeom>
                          <a:noFill/>
                        </pic:spPr>
                      </pic:pic>
                    </a:graphicData>
                  </a:graphic>
                </wp:inline>
              </w:drawing>
            </w:r>
          </w:p>
        </w:tc>
        <w:tc>
          <w:tcPr>
            <w:tcW w:w="4513" w:type="dxa"/>
          </w:tcPr>
          <w:p w:rsidR="00D22CFC" w:rsidRDefault="00D22CFC" w:rsidP="001F1A70">
            <w:pPr>
              <w:pStyle w:val="TableText"/>
              <w:keepNext/>
              <w:keepLines/>
            </w:pPr>
          </w:p>
        </w:tc>
      </w:tr>
    </w:tbl>
    <w:p w:rsidR="00D22CFC" w:rsidRPr="00722B72" w:rsidRDefault="00D22CFC" w:rsidP="001F1A70">
      <w:pPr>
        <w:pStyle w:val="TableFooter"/>
        <w:keepNext/>
        <w:keepLines/>
      </w:pPr>
      <w:r w:rsidRPr="00722B72">
        <w:t>Source: Constructed during the evaluation from the ‘A2.6_Larotrectinib subgroup OS and PFS KM MAY20.xlsx’ and ‘A2.6_Larotrectinib subgroups ToT OS PFS KM Para 12APR21.xlsx’ workbooks included in the resubmission.</w:t>
      </w:r>
    </w:p>
    <w:p w:rsidR="00203ACF" w:rsidRDefault="00D51B2C" w:rsidP="00623DDF">
      <w:pPr>
        <w:pStyle w:val="TableFooter"/>
      </w:pPr>
      <w:r w:rsidRPr="00D51B2C">
        <w:t>KM</w:t>
      </w:r>
      <w:r w:rsidR="001636DA" w:rsidRPr="00D51B2C">
        <w:t xml:space="preserve"> = </w:t>
      </w:r>
      <w:r w:rsidRPr="00D51B2C">
        <w:t>Kaplan-Meier; IFS</w:t>
      </w:r>
      <w:r w:rsidR="001636DA" w:rsidRPr="00D51B2C">
        <w:t xml:space="preserve"> = </w:t>
      </w:r>
      <w:r w:rsidRPr="00D51B2C">
        <w:t>infantile fibrosarcoma; MASC</w:t>
      </w:r>
      <w:r w:rsidR="001636DA" w:rsidRPr="00D51B2C">
        <w:t xml:space="preserve"> = </w:t>
      </w:r>
      <w:r w:rsidRPr="00D51B2C">
        <w:t>mammary analogue secretory carcinoma; CNS</w:t>
      </w:r>
      <w:r w:rsidR="001636DA" w:rsidRPr="00D51B2C">
        <w:t xml:space="preserve"> = </w:t>
      </w:r>
      <w:r w:rsidRPr="00D51B2C">
        <w:t>central nervous system; OS</w:t>
      </w:r>
      <w:r w:rsidR="001636DA" w:rsidRPr="00D51B2C">
        <w:t xml:space="preserve"> = </w:t>
      </w:r>
      <w:r w:rsidRPr="00D51B2C">
        <w:t>overall survival.</w:t>
      </w:r>
    </w:p>
    <w:p w:rsidR="00D51B2C" w:rsidRPr="00D51B2C" w:rsidRDefault="00D51B2C" w:rsidP="00D117CD">
      <w:pPr>
        <w:pStyle w:val="Caption"/>
        <w:keepLines/>
        <w:ind w:left="0" w:firstLine="0"/>
        <w:rPr>
          <w:rFonts w:eastAsia="Times New Roman"/>
        </w:rPr>
      </w:pPr>
      <w:bookmarkStart w:id="58" w:name="_Ref79139366"/>
      <w:bookmarkStart w:id="59" w:name="_Ref79140146"/>
      <w:r w:rsidRPr="00D51B2C">
        <w:rPr>
          <w:rFonts w:eastAsia="Times New Roman"/>
        </w:rPr>
        <w:t>Figure</w:t>
      </w:r>
      <w:r w:rsidR="00D944C2">
        <w:rPr>
          <w:rFonts w:eastAsia="Times New Roman"/>
        </w:rPr>
        <w:t xml:space="preserve"> </w:t>
      </w:r>
      <w:r w:rsidR="00796D25">
        <w:rPr>
          <w:rFonts w:eastAsia="Times New Roman"/>
          <w:noProof/>
        </w:rPr>
        <w:t>2</w:t>
      </w:r>
      <w:bookmarkEnd w:id="58"/>
      <w:bookmarkEnd w:id="59"/>
      <w:r w:rsidR="00D944C2">
        <w:rPr>
          <w:rFonts w:eastAsia="Times New Roman"/>
          <w:noProof/>
        </w:rPr>
        <w:t>:</w:t>
      </w:r>
      <w:r w:rsidR="00D117CD">
        <w:rPr>
          <w:rFonts w:eastAsia="Times New Roman"/>
          <w:noProof/>
        </w:rPr>
        <w:t xml:space="preserve"> </w:t>
      </w:r>
      <w:r w:rsidRPr="002E5140">
        <w:t>Pooled</w:t>
      </w:r>
      <w:r w:rsidRPr="00D51B2C">
        <w:t xml:space="preserve"> Kaplan-Meier overall survival curves, by proposed subgroups for listing (</w:t>
      </w:r>
      <w:r w:rsidR="00623DDF" w:rsidRPr="00D51B2C">
        <w:t>p</w:t>
      </w:r>
      <w:r w:rsidRPr="00D51B2C">
        <w:t xml:space="preserve">revious submission November 2020 (July 2019 data </w:t>
      </w:r>
      <w:r w:rsidR="006D66BE" w:rsidRPr="00D51B2C">
        <w:t>cut-off</w:t>
      </w:r>
      <w:r w:rsidRPr="00D51B2C">
        <w:t xml:space="preserve">) and resubmission (July 2020 data </w:t>
      </w:r>
      <w:r w:rsidR="006D66BE" w:rsidRPr="00D51B2C">
        <w:t>cut-off</w:t>
      </w:r>
      <w:r w:rsidRPr="00D51B2C">
        <w:t>)</w:t>
      </w:r>
      <w:r w:rsidRPr="00D51B2C">
        <w:rPr>
          <w:rFonts w:eastAsia="Times New Roman"/>
        </w:rPr>
        <w:t xml:space="preserve">: </w:t>
      </w:r>
      <w:r w:rsidR="00F94000">
        <w:rPr>
          <w:rFonts w:eastAsia="Times New Roman"/>
        </w:rPr>
        <w:t>proposed adult low frequency tumour types</w:t>
      </w:r>
    </w:p>
    <w:tbl>
      <w:tblPr>
        <w:tblStyle w:val="HTATableshade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gure 2: Pooled Kaplan-Meier overall survival curves, by proposed subgroups for listing (previous submission November 2020 (July 2019 data cut-off) and resubmission (July 2020 data cut-off): proposed adult low frequency tumour types"/>
      </w:tblPr>
      <w:tblGrid>
        <w:gridCol w:w="4513"/>
        <w:gridCol w:w="4513"/>
      </w:tblGrid>
      <w:tr w:rsidR="00D22CFC" w:rsidTr="003B6B2C">
        <w:trPr>
          <w:cnfStyle w:val="100000000000" w:firstRow="1" w:lastRow="0" w:firstColumn="0" w:lastColumn="0" w:oddVBand="0" w:evenVBand="0" w:oddHBand="0" w:evenHBand="0" w:firstRowFirstColumn="0" w:firstRowLastColumn="0" w:lastRowFirstColumn="0" w:lastRowLastColumn="0"/>
          <w:tblHeader/>
        </w:trPr>
        <w:tc>
          <w:tcPr>
            <w:tcW w:w="4513" w:type="dxa"/>
            <w:tcBorders>
              <w:top w:val="none" w:sz="0" w:space="0" w:color="auto"/>
              <w:left w:val="none" w:sz="0" w:space="0" w:color="auto"/>
              <w:bottom w:val="none" w:sz="0" w:space="0" w:color="auto"/>
              <w:right w:val="none" w:sz="0" w:space="0" w:color="auto"/>
            </w:tcBorders>
          </w:tcPr>
          <w:p w:rsidR="00D22CFC" w:rsidRDefault="00D22CFC" w:rsidP="001F1A70">
            <w:pPr>
              <w:pStyle w:val="TableText"/>
              <w:keepNext/>
              <w:keepLines/>
            </w:pPr>
            <w:r>
              <w:rPr>
                <w:noProof/>
              </w:rPr>
              <w:drawing>
                <wp:inline distT="0" distB="0" distL="0" distR="0" wp14:anchorId="4C83AE98" wp14:editId="45D4C711">
                  <wp:extent cx="2844000" cy="1818559"/>
                  <wp:effectExtent l="0" t="0" r="0" b="0"/>
                  <wp:docPr id="88" name="Picture 88" title="Figure 2: Pooled Kaplan-Meier overall survival curves, by proposed subgroups for listing (previous submission November 2020 (July 2019 data cut-off) and resubmission (July 2020 data cut-off): proposed adult low frequency tumour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000" cy="1818559"/>
                          </a:xfrm>
                          <a:prstGeom prst="rect">
                            <a:avLst/>
                          </a:prstGeom>
                          <a:noFill/>
                        </pic:spPr>
                      </pic:pic>
                    </a:graphicData>
                  </a:graphic>
                </wp:inline>
              </w:drawing>
            </w:r>
          </w:p>
        </w:tc>
        <w:tc>
          <w:tcPr>
            <w:tcW w:w="4513" w:type="dxa"/>
            <w:tcBorders>
              <w:top w:val="none" w:sz="0" w:space="0" w:color="auto"/>
              <w:left w:val="none" w:sz="0" w:space="0" w:color="auto"/>
              <w:bottom w:val="none" w:sz="0" w:space="0" w:color="auto"/>
              <w:right w:val="none" w:sz="0" w:space="0" w:color="auto"/>
            </w:tcBorders>
          </w:tcPr>
          <w:p w:rsidR="00D22CFC" w:rsidRDefault="00D22CFC" w:rsidP="001F1A70">
            <w:pPr>
              <w:pStyle w:val="TableText"/>
              <w:keepNext/>
              <w:keepLines/>
            </w:pPr>
            <w:r>
              <w:rPr>
                <w:noProof/>
              </w:rPr>
              <w:drawing>
                <wp:inline distT="0" distB="0" distL="0" distR="0" wp14:anchorId="660D309F" wp14:editId="0B366A83">
                  <wp:extent cx="2844000" cy="1838585"/>
                  <wp:effectExtent l="0" t="0" r="0" b="0"/>
                  <wp:docPr id="91" name="Picture 91" title="Figure 2: Pooled Kaplan-Meier overall survival curves, by proposed subgroups for listing (previous submission November 2020 (July 2019 data cut-off) and resubmission (July 2020 data cut-off): proposed adult low frequency tumour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0" cy="1838585"/>
                          </a:xfrm>
                          <a:prstGeom prst="rect">
                            <a:avLst/>
                          </a:prstGeom>
                          <a:noFill/>
                        </pic:spPr>
                      </pic:pic>
                    </a:graphicData>
                  </a:graphic>
                </wp:inline>
              </w:drawing>
            </w:r>
          </w:p>
        </w:tc>
      </w:tr>
      <w:tr w:rsidR="00D22CFC" w:rsidTr="00D22CFC">
        <w:tc>
          <w:tcPr>
            <w:tcW w:w="4513" w:type="dxa"/>
          </w:tcPr>
          <w:p w:rsidR="00D22CFC" w:rsidRDefault="00D22CFC" w:rsidP="001F1A70">
            <w:pPr>
              <w:pStyle w:val="TableText"/>
              <w:keepNext/>
              <w:keepLines/>
            </w:pPr>
            <w:r>
              <w:rPr>
                <w:noProof/>
              </w:rPr>
              <w:drawing>
                <wp:inline distT="0" distB="0" distL="0" distR="0" wp14:anchorId="45EA2114" wp14:editId="3EA62BB7">
                  <wp:extent cx="2844000" cy="1863379"/>
                  <wp:effectExtent l="0" t="0" r="0" b="3810"/>
                  <wp:docPr id="100" name="Picture 100" title="Figure 2: Pooled Kaplan-Meier overall survival curves, by proposed subgroups for listing (previous submission November 2020 (July 2019 data cut-off) and resubmission (July 2020 data cut-off): proposed adult low frequency tumour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4000" cy="1863379"/>
                          </a:xfrm>
                          <a:prstGeom prst="rect">
                            <a:avLst/>
                          </a:prstGeom>
                          <a:noFill/>
                        </pic:spPr>
                      </pic:pic>
                    </a:graphicData>
                  </a:graphic>
                </wp:inline>
              </w:drawing>
            </w:r>
          </w:p>
        </w:tc>
        <w:tc>
          <w:tcPr>
            <w:tcW w:w="4513" w:type="dxa"/>
          </w:tcPr>
          <w:p w:rsidR="00D22CFC" w:rsidRDefault="00D22CFC" w:rsidP="001F1A70">
            <w:pPr>
              <w:pStyle w:val="TableText"/>
              <w:keepNext/>
              <w:keepLines/>
            </w:pPr>
            <w:r>
              <w:rPr>
                <w:noProof/>
              </w:rPr>
              <w:drawing>
                <wp:inline distT="0" distB="0" distL="0" distR="0" wp14:anchorId="757E10F3" wp14:editId="77EA8DD0">
                  <wp:extent cx="2844000" cy="1866354"/>
                  <wp:effectExtent l="0" t="0" r="0" b="635"/>
                  <wp:docPr id="101" name="Picture 101" title="Figure 2: Pooled Kaplan-Meier overall survival curves, by proposed subgroups for listing (previous submission November 2020 (July 2019 data cut-off) and resubmission (July 2020 data cut-off): proposed adult low frequency tumour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4000" cy="1866354"/>
                          </a:xfrm>
                          <a:prstGeom prst="rect">
                            <a:avLst/>
                          </a:prstGeom>
                          <a:noFill/>
                        </pic:spPr>
                      </pic:pic>
                    </a:graphicData>
                  </a:graphic>
                </wp:inline>
              </w:drawing>
            </w:r>
          </w:p>
        </w:tc>
      </w:tr>
    </w:tbl>
    <w:p w:rsidR="00D22CFC" w:rsidRPr="00D117CD" w:rsidRDefault="00D22CFC" w:rsidP="001F1A70">
      <w:pPr>
        <w:pStyle w:val="TableFooter"/>
        <w:keepNext/>
        <w:keepLines/>
      </w:pPr>
      <w:r w:rsidRPr="00D117CD">
        <w:t>Source: Constructed during the evaluation from the ‘A2.6_Larotrectinib subgroup OS and PFS KM MAY20.xlsx’ and ‘A2.6_Larotrectinib subgroups ToT OS PFS KM Para 12APR21.xlsx’ workbooks included in the resubmission.</w:t>
      </w:r>
    </w:p>
    <w:p w:rsidR="00D51B2C" w:rsidRPr="00D51B2C" w:rsidRDefault="00D51B2C" w:rsidP="001F1A70">
      <w:pPr>
        <w:pStyle w:val="TableFooter"/>
        <w:keepNext/>
        <w:keepLines/>
      </w:pPr>
      <w:r w:rsidRPr="00D117CD">
        <w:t>Kaplan-Meier data for patients with thyroid and lung (NSCLC) tumours were not presented for</w:t>
      </w:r>
      <w:r w:rsidRPr="00D51B2C">
        <w:t xml:space="preserve"> the July 2019 data </w:t>
      </w:r>
      <w:r w:rsidR="006D66BE" w:rsidRPr="00D51B2C">
        <w:t>cut-off</w:t>
      </w:r>
      <w:r w:rsidRPr="00D51B2C">
        <w:t>.</w:t>
      </w:r>
    </w:p>
    <w:p w:rsidR="00D51B2C" w:rsidRPr="00D51B2C" w:rsidRDefault="00D51B2C" w:rsidP="00623DDF">
      <w:pPr>
        <w:pStyle w:val="TableFooter"/>
        <w:rPr>
          <w:highlight w:val="yellow"/>
        </w:rPr>
      </w:pPr>
      <w:r w:rsidRPr="00D51B2C">
        <w:t>KM</w:t>
      </w:r>
      <w:r w:rsidR="00FE7ED3" w:rsidRPr="00D51B2C">
        <w:t xml:space="preserve"> = </w:t>
      </w:r>
      <w:r w:rsidRPr="00D51B2C">
        <w:t>Kaplan-Meier; NSCLC</w:t>
      </w:r>
      <w:r w:rsidR="00FE7ED3" w:rsidRPr="00D51B2C">
        <w:t xml:space="preserve"> = </w:t>
      </w:r>
      <w:r w:rsidRPr="00D51B2C">
        <w:t>non-small cell lung cancer; STS</w:t>
      </w:r>
      <w:r w:rsidR="00FE7ED3" w:rsidRPr="00D51B2C">
        <w:t xml:space="preserve"> = </w:t>
      </w:r>
      <w:r w:rsidRPr="00D51B2C">
        <w:t>soft tissue sarcoma; OS</w:t>
      </w:r>
      <w:r w:rsidR="00FE7ED3" w:rsidRPr="00D51B2C">
        <w:t xml:space="preserve"> = </w:t>
      </w:r>
      <w:r w:rsidRPr="00D51B2C">
        <w:t>overall survival</w:t>
      </w:r>
    </w:p>
    <w:p w:rsidR="00D51B2C" w:rsidRPr="003A4F05" w:rsidRDefault="00D51B2C" w:rsidP="00D51B2C">
      <w:pPr>
        <w:numPr>
          <w:ilvl w:val="4"/>
          <w:numId w:val="1"/>
        </w:numPr>
        <w:rPr>
          <w:color w:val="000000" w:themeColor="text1"/>
        </w:rPr>
      </w:pPr>
      <w:r w:rsidRPr="005E7404">
        <w:rPr>
          <w:iCs/>
          <w:color w:val="000000" w:themeColor="text1"/>
        </w:rPr>
        <w:t xml:space="preserve">The Kaplan Meier curves </w:t>
      </w:r>
      <w:r w:rsidR="00537C11" w:rsidRPr="005E7404">
        <w:rPr>
          <w:iCs/>
          <w:color w:val="000000" w:themeColor="text1"/>
        </w:rPr>
        <w:t xml:space="preserve">in </w:t>
      </w:r>
      <w:r w:rsidR="00796D25" w:rsidRPr="005E7404">
        <w:rPr>
          <w:iCs/>
        </w:rPr>
        <w:t>Figure 1</w:t>
      </w:r>
      <w:r w:rsidR="00537C11" w:rsidRPr="005E7404">
        <w:rPr>
          <w:iCs/>
          <w:color w:val="000000" w:themeColor="text1"/>
        </w:rPr>
        <w:t xml:space="preserve"> and </w:t>
      </w:r>
      <w:r w:rsidR="00796D25" w:rsidRPr="005E7404">
        <w:rPr>
          <w:rFonts w:eastAsia="Times New Roman"/>
          <w:iCs/>
        </w:rPr>
        <w:t xml:space="preserve">Figure </w:t>
      </w:r>
      <w:r w:rsidR="00796D25" w:rsidRPr="005E7404">
        <w:rPr>
          <w:rFonts w:eastAsia="Times New Roman"/>
          <w:iCs/>
          <w:noProof/>
        </w:rPr>
        <w:t>2</w:t>
      </w:r>
      <w:r w:rsidR="00537C11" w:rsidRPr="005E7404">
        <w:rPr>
          <w:iCs/>
          <w:color w:val="000000" w:themeColor="text1"/>
        </w:rPr>
        <w:t xml:space="preserve"> </w:t>
      </w:r>
      <w:r w:rsidRPr="005E7404">
        <w:rPr>
          <w:iCs/>
          <w:color w:val="000000" w:themeColor="text1"/>
        </w:rPr>
        <w:t>were based on small patient numbers</w:t>
      </w:r>
      <w:r w:rsidR="00672191" w:rsidRPr="005E7404">
        <w:rPr>
          <w:iCs/>
          <w:color w:val="000000" w:themeColor="text1"/>
        </w:rPr>
        <w:t xml:space="preserve"> and </w:t>
      </w:r>
      <w:r w:rsidRPr="005E7404">
        <w:rPr>
          <w:iCs/>
          <w:color w:val="000000" w:themeColor="text1"/>
        </w:rPr>
        <w:t xml:space="preserve">should be interpreted cautiously. </w:t>
      </w:r>
      <w:r w:rsidR="00DB467E">
        <w:rPr>
          <w:iCs/>
          <w:color w:val="000000" w:themeColor="text1"/>
        </w:rPr>
        <w:t>T</w:t>
      </w:r>
      <w:r w:rsidR="00672191" w:rsidRPr="005E7404">
        <w:rPr>
          <w:iCs/>
          <w:color w:val="000000" w:themeColor="text1"/>
        </w:rPr>
        <w:t>he curves</w:t>
      </w:r>
      <w:r w:rsidR="007E0973">
        <w:rPr>
          <w:iCs/>
          <w:color w:val="000000" w:themeColor="text1"/>
        </w:rPr>
        <w:t xml:space="preserve"> for low </w:t>
      </w:r>
      <w:r w:rsidR="007E0973" w:rsidRPr="007E0973">
        <w:rPr>
          <w:i/>
          <w:color w:val="000000" w:themeColor="text1"/>
        </w:rPr>
        <w:t>NTRK</w:t>
      </w:r>
      <w:r w:rsidR="007E0973">
        <w:rPr>
          <w:iCs/>
          <w:color w:val="000000" w:themeColor="text1"/>
        </w:rPr>
        <w:t xml:space="preserve"> frequency tumour types</w:t>
      </w:r>
      <w:r w:rsidR="00672191" w:rsidRPr="005E7404">
        <w:rPr>
          <w:iCs/>
          <w:color w:val="000000" w:themeColor="text1"/>
        </w:rPr>
        <w:t xml:space="preserve"> appear to have a sharper decline for the more recent July 2020 data </w:t>
      </w:r>
      <w:r w:rsidR="006D66BE" w:rsidRPr="005E7404">
        <w:rPr>
          <w:iCs/>
          <w:color w:val="000000" w:themeColor="text1"/>
        </w:rPr>
        <w:t>cut-off</w:t>
      </w:r>
      <w:r w:rsidR="00672191" w:rsidRPr="005E7404">
        <w:rPr>
          <w:iCs/>
          <w:color w:val="000000" w:themeColor="text1"/>
        </w:rPr>
        <w:t xml:space="preserve">. </w:t>
      </w:r>
      <w:r w:rsidRPr="005E7404">
        <w:rPr>
          <w:iCs/>
          <w:color w:val="000000" w:themeColor="text1"/>
        </w:rPr>
        <w:t>The OS curves for STS+IFS combined (paediatric “high” frequency) appear</w:t>
      </w:r>
      <w:r w:rsidR="007E0973">
        <w:rPr>
          <w:iCs/>
          <w:color w:val="000000" w:themeColor="text1"/>
        </w:rPr>
        <w:t xml:space="preserve"> </w:t>
      </w:r>
      <w:r w:rsidRPr="005E7404">
        <w:rPr>
          <w:iCs/>
          <w:color w:val="000000" w:themeColor="text1"/>
        </w:rPr>
        <w:t xml:space="preserve">similar between the July 2019 and July 2020 data </w:t>
      </w:r>
      <w:r w:rsidR="006D66BE" w:rsidRPr="005E7404">
        <w:rPr>
          <w:iCs/>
          <w:color w:val="000000" w:themeColor="text1"/>
        </w:rPr>
        <w:t>cut-offs</w:t>
      </w:r>
      <w:r w:rsidRPr="005E7404">
        <w:rPr>
          <w:iCs/>
          <w:color w:val="000000" w:themeColor="text1"/>
        </w:rPr>
        <w:t>. The curves</w:t>
      </w:r>
      <w:r w:rsidR="00672191" w:rsidRPr="005E7404">
        <w:rPr>
          <w:iCs/>
          <w:color w:val="000000" w:themeColor="text1"/>
        </w:rPr>
        <w:t xml:space="preserve"> </w:t>
      </w:r>
      <w:r w:rsidRPr="005E7404">
        <w:rPr>
          <w:iCs/>
          <w:color w:val="000000" w:themeColor="text1"/>
        </w:rPr>
        <w:t xml:space="preserve">clearly </w:t>
      </w:r>
      <w:r w:rsidR="00672191" w:rsidRPr="005E7404">
        <w:rPr>
          <w:iCs/>
          <w:color w:val="000000" w:themeColor="text1"/>
        </w:rPr>
        <w:t xml:space="preserve">reflect </w:t>
      </w:r>
      <w:r w:rsidRPr="005E7404">
        <w:rPr>
          <w:iCs/>
          <w:color w:val="000000" w:themeColor="text1"/>
        </w:rPr>
        <w:t>immaturity of the</w:t>
      </w:r>
      <w:r w:rsidR="00672191" w:rsidRPr="005E7404">
        <w:rPr>
          <w:iCs/>
          <w:color w:val="000000" w:themeColor="text1"/>
        </w:rPr>
        <w:t xml:space="preserve"> </w:t>
      </w:r>
      <w:r w:rsidRPr="005E7404">
        <w:rPr>
          <w:iCs/>
          <w:color w:val="000000" w:themeColor="text1"/>
        </w:rPr>
        <w:t xml:space="preserve">data (median </w:t>
      </w:r>
      <w:r w:rsidR="00672191" w:rsidRPr="005E7404">
        <w:rPr>
          <w:iCs/>
          <w:color w:val="000000" w:themeColor="text1"/>
        </w:rPr>
        <w:t xml:space="preserve">OS duration </w:t>
      </w:r>
      <w:r w:rsidRPr="005E7404">
        <w:rPr>
          <w:iCs/>
          <w:color w:val="000000" w:themeColor="text1"/>
        </w:rPr>
        <w:t xml:space="preserve">not reached) with a high proportion of paediatric patients still alive at the July 2020 data </w:t>
      </w:r>
      <w:r w:rsidR="006D66BE" w:rsidRPr="005E7404">
        <w:rPr>
          <w:iCs/>
          <w:color w:val="000000" w:themeColor="text1"/>
        </w:rPr>
        <w:t>cut-off</w:t>
      </w:r>
      <w:r w:rsidRPr="005E7404">
        <w:rPr>
          <w:iCs/>
          <w:color w:val="000000" w:themeColor="text1"/>
        </w:rPr>
        <w:t>. The OS data remain immature for MASC (adult high frequency), CNS (paediatric low frequency), and</w:t>
      </w:r>
      <w:r w:rsidRPr="00D51B2C">
        <w:rPr>
          <w:i/>
          <w:color w:val="000000" w:themeColor="text1"/>
        </w:rPr>
        <w:t xml:space="preserve"> </w:t>
      </w:r>
      <w:r w:rsidRPr="005E7404">
        <w:rPr>
          <w:iCs/>
          <w:color w:val="000000" w:themeColor="text1"/>
        </w:rPr>
        <w:t>th</w:t>
      </w:r>
      <w:bookmarkStart w:id="60" w:name="_GoBack"/>
      <w:bookmarkEnd w:id="60"/>
      <w:r w:rsidRPr="005E7404">
        <w:rPr>
          <w:iCs/>
          <w:color w:val="000000" w:themeColor="text1"/>
        </w:rPr>
        <w:t xml:space="preserve">yroid (adult low frequency) with more events having occurred for CNS at the July 2020 data </w:t>
      </w:r>
      <w:r w:rsidR="006D66BE" w:rsidRPr="005E7404">
        <w:rPr>
          <w:iCs/>
          <w:color w:val="000000" w:themeColor="text1"/>
        </w:rPr>
        <w:t>cut-off</w:t>
      </w:r>
      <w:r w:rsidRPr="005E7404">
        <w:rPr>
          <w:iCs/>
          <w:color w:val="000000" w:themeColor="text1"/>
        </w:rPr>
        <w:t xml:space="preserve"> compared to the previous data </w:t>
      </w:r>
      <w:r w:rsidR="006D66BE" w:rsidRPr="005E7404">
        <w:rPr>
          <w:iCs/>
          <w:color w:val="000000" w:themeColor="text1"/>
        </w:rPr>
        <w:t>cut-off</w:t>
      </w:r>
      <w:r w:rsidRPr="005E7404">
        <w:rPr>
          <w:iCs/>
          <w:color w:val="000000" w:themeColor="text1"/>
        </w:rPr>
        <w:t>. For the adult low frequency CRC and NSCLC tumours, the median OS durations were approximately 29 months and 40 months, respectively.</w:t>
      </w:r>
    </w:p>
    <w:p w:rsidR="003A4F05" w:rsidRPr="003139E5" w:rsidRDefault="003A4F05" w:rsidP="00D51B2C">
      <w:pPr>
        <w:numPr>
          <w:ilvl w:val="4"/>
          <w:numId w:val="1"/>
        </w:numPr>
        <w:rPr>
          <w:color w:val="000000" w:themeColor="text1"/>
        </w:rPr>
      </w:pPr>
      <w:r w:rsidRPr="003139E5">
        <w:rPr>
          <w:color w:val="000000" w:themeColor="text1"/>
        </w:rPr>
        <w:t xml:space="preserve">The ESCs noted that </w:t>
      </w:r>
      <w:r w:rsidR="00491DD3" w:rsidRPr="003139E5">
        <w:rPr>
          <w:color w:val="000000" w:themeColor="text1"/>
        </w:rPr>
        <w:t xml:space="preserve">the </w:t>
      </w:r>
      <w:r w:rsidR="001D6459" w:rsidRPr="003139E5">
        <w:rPr>
          <w:color w:val="000000" w:themeColor="text1"/>
        </w:rPr>
        <w:t xml:space="preserve">clinical data remained </w:t>
      </w:r>
      <w:r w:rsidR="00491DD3" w:rsidRPr="003139E5">
        <w:rPr>
          <w:color w:val="000000" w:themeColor="text1"/>
        </w:rPr>
        <w:t>limited</w:t>
      </w:r>
      <w:r w:rsidR="005C17A8" w:rsidRPr="003139E5">
        <w:rPr>
          <w:color w:val="000000" w:themeColor="text1"/>
        </w:rPr>
        <w:t xml:space="preserve"> and immature</w:t>
      </w:r>
      <w:r w:rsidR="00491DD3" w:rsidRPr="003139E5">
        <w:rPr>
          <w:color w:val="000000" w:themeColor="text1"/>
        </w:rPr>
        <w:t xml:space="preserve"> across the tumour subgroups despite the</w:t>
      </w:r>
      <w:r w:rsidR="00C6780E" w:rsidRPr="003139E5">
        <w:rPr>
          <w:color w:val="000000" w:themeColor="text1"/>
        </w:rPr>
        <w:t xml:space="preserve"> latest data cut. </w:t>
      </w:r>
      <w:r w:rsidR="00FC531D" w:rsidRPr="003139E5">
        <w:rPr>
          <w:color w:val="000000" w:themeColor="text1"/>
        </w:rPr>
        <w:t xml:space="preserve">Overall, the ESCs considered that the updated data did not provide </w:t>
      </w:r>
      <w:r w:rsidR="00343DAD" w:rsidRPr="003139E5">
        <w:rPr>
          <w:color w:val="000000" w:themeColor="text1"/>
        </w:rPr>
        <w:t xml:space="preserve">additional </w:t>
      </w:r>
      <w:r w:rsidR="00FC531D" w:rsidRPr="003139E5">
        <w:rPr>
          <w:color w:val="000000" w:themeColor="text1"/>
        </w:rPr>
        <w:t>certainty around the interpretation of the larotrectinib results</w:t>
      </w:r>
      <w:r w:rsidR="00B916D5" w:rsidRPr="003139E5">
        <w:rPr>
          <w:color w:val="000000" w:themeColor="text1"/>
        </w:rPr>
        <w:t xml:space="preserve"> compared to the previous submission.</w:t>
      </w:r>
    </w:p>
    <w:p w:rsidR="00D51B2C" w:rsidRPr="00D51B2C" w:rsidRDefault="00D51B2C" w:rsidP="009F5E23">
      <w:pPr>
        <w:pStyle w:val="ListParagraph"/>
      </w:pPr>
      <w:r w:rsidRPr="00D51B2C">
        <w:t xml:space="preserve">Naïve indirect comparisons between larotrectinib and SoC, for the </w:t>
      </w:r>
      <w:r w:rsidR="00633192" w:rsidRPr="00D51B2C">
        <w:t>paediatric high frequency (</w:t>
      </w:r>
      <w:r w:rsidR="00796D25" w:rsidRPr="00D51B2C">
        <w:t>Table</w:t>
      </w:r>
      <w:r w:rsidR="00E37EC3">
        <w:t xml:space="preserve"> </w:t>
      </w:r>
      <w:r w:rsidR="00796D25">
        <w:rPr>
          <w:noProof/>
        </w:rPr>
        <w:t>15</w:t>
      </w:r>
      <w:r w:rsidR="00633192" w:rsidRPr="00D51B2C">
        <w:t>)</w:t>
      </w:r>
      <w:r w:rsidR="00633192">
        <w:t xml:space="preserve">, </w:t>
      </w:r>
      <w:r w:rsidRPr="00D51B2C">
        <w:t>adult high frequency (</w:t>
      </w:r>
      <w:r w:rsidR="00796D25" w:rsidRPr="00796D25">
        <w:t>Table</w:t>
      </w:r>
      <w:r w:rsidR="00E37EC3">
        <w:t xml:space="preserve"> </w:t>
      </w:r>
      <w:r w:rsidR="00796D25" w:rsidRPr="00796D25">
        <w:t>16</w:t>
      </w:r>
      <w:r w:rsidRPr="00D51B2C">
        <w:rPr>
          <w:noProof/>
        </w:rPr>
        <w:t>),</w:t>
      </w:r>
      <w:r w:rsidRPr="00D51B2C">
        <w:t xml:space="preserve"> </w:t>
      </w:r>
      <w:r w:rsidR="00633192">
        <w:t>paediatric low frequency</w:t>
      </w:r>
      <w:r w:rsidR="009F5E23">
        <w:t xml:space="preserve"> (</w:t>
      </w:r>
      <w:r w:rsidR="00796D25" w:rsidRPr="00D51B2C">
        <w:t>Table</w:t>
      </w:r>
      <w:r w:rsidR="00E37EC3">
        <w:t xml:space="preserve"> </w:t>
      </w:r>
      <w:r w:rsidR="00796D25">
        <w:rPr>
          <w:noProof/>
        </w:rPr>
        <w:t>17</w:t>
      </w:r>
      <w:r w:rsidR="009F5E23">
        <w:t>)</w:t>
      </w:r>
      <w:r w:rsidR="00633192">
        <w:t>, and adult low frequency</w:t>
      </w:r>
      <w:r w:rsidR="009F5E23">
        <w:t xml:space="preserve"> (</w:t>
      </w:r>
      <w:r w:rsidR="00796D25" w:rsidRPr="00D51B2C">
        <w:t>Table</w:t>
      </w:r>
      <w:r w:rsidR="00E37EC3">
        <w:t xml:space="preserve"> </w:t>
      </w:r>
      <w:r w:rsidR="00796D25">
        <w:rPr>
          <w:noProof/>
        </w:rPr>
        <w:t>18</w:t>
      </w:r>
      <w:r w:rsidR="009F5E23">
        <w:t xml:space="preserve"> and </w:t>
      </w:r>
      <w:r w:rsidR="00796D25" w:rsidRPr="00D51B2C">
        <w:t>Table</w:t>
      </w:r>
      <w:r w:rsidR="00E37EC3">
        <w:t xml:space="preserve"> </w:t>
      </w:r>
      <w:r w:rsidR="00796D25">
        <w:rPr>
          <w:noProof/>
        </w:rPr>
        <w:t>19</w:t>
      </w:r>
      <w:r w:rsidR="009F5E23">
        <w:t>)</w:t>
      </w:r>
      <w:r w:rsidR="00633192">
        <w:t xml:space="preserve"> tumours, </w:t>
      </w:r>
      <w:r w:rsidR="000361EB">
        <w:t>based on t</w:t>
      </w:r>
      <w:r w:rsidR="000361EB" w:rsidRPr="005E7404">
        <w:t>he July 2020 data cut,</w:t>
      </w:r>
      <w:r w:rsidRPr="005E7404">
        <w:t xml:space="preserve"> are presented below. There is high uncertainty with the naïve indirect comparisons given </w:t>
      </w:r>
      <w:r w:rsidR="003D155A">
        <w:t>issues</w:t>
      </w:r>
      <w:r w:rsidRPr="005E7404">
        <w:t xml:space="preserve"> with the SoC data and transitivity.</w:t>
      </w:r>
      <w:r w:rsidR="00FE7ED3" w:rsidRPr="005E7404">
        <w:t xml:space="preserve"> </w:t>
      </w:r>
      <w:r w:rsidR="00946503">
        <w:t>T</w:t>
      </w:r>
      <w:r w:rsidR="00FE7ED3" w:rsidRPr="005E7404">
        <w:t>he larotrectinib point estimates were relatively unreliable</w:t>
      </w:r>
      <w:r w:rsidR="00946503">
        <w:t xml:space="preserve"> as the number of patients across the studies remained small</w:t>
      </w:r>
      <w:r w:rsidR="00FE7ED3" w:rsidRPr="005E7404">
        <w:t>.</w:t>
      </w:r>
    </w:p>
    <w:p w:rsidR="00633192" w:rsidRPr="00D51B2C" w:rsidRDefault="00633192" w:rsidP="00633192">
      <w:pPr>
        <w:pStyle w:val="Caption"/>
      </w:pPr>
      <w:bookmarkStart w:id="61" w:name="_Ref79148163"/>
      <w:bookmarkStart w:id="62" w:name="_Ref79148118"/>
      <w:bookmarkStart w:id="63" w:name="_Ref47970026"/>
      <w:r w:rsidRPr="00D51B2C">
        <w:t>Table</w:t>
      </w:r>
      <w:r w:rsidR="00E37EC3">
        <w:t xml:space="preserve"> </w:t>
      </w:r>
      <w:r w:rsidR="00BB3DD1">
        <w:rPr>
          <w:noProof/>
        </w:rPr>
        <w:t>15</w:t>
      </w:r>
      <w:bookmarkEnd w:id="61"/>
      <w:r w:rsidR="00E37EC3">
        <w:rPr>
          <w:noProof/>
        </w:rPr>
        <w:t>:</w:t>
      </w:r>
      <w:r w:rsidR="00D117CD">
        <w:rPr>
          <w:noProof/>
        </w:rPr>
        <w:t xml:space="preserve"> </w:t>
      </w:r>
      <w:r w:rsidRPr="00D51B2C">
        <w:t xml:space="preserve">PFS and OS - </w:t>
      </w:r>
      <w:r w:rsidR="00623DDF">
        <w:t>l</w:t>
      </w:r>
      <w:r w:rsidRPr="00D51B2C">
        <w:t xml:space="preserve">arotrectinib and SoC in paediatric high frequency </w:t>
      </w:r>
      <w:r w:rsidRPr="00623261">
        <w:rPr>
          <w:i/>
        </w:rPr>
        <w:t>NTRK</w:t>
      </w:r>
      <w:r w:rsidRPr="00D51B2C">
        <w:t xml:space="preserve"> tumours (STS/IFS)</w:t>
      </w:r>
    </w:p>
    <w:tbl>
      <w:tblPr>
        <w:tblStyle w:val="HTATableshaded20"/>
        <w:tblW w:w="5000" w:type="pct"/>
        <w:tblLook w:val="04A0" w:firstRow="1" w:lastRow="0" w:firstColumn="1" w:lastColumn="0" w:noHBand="0" w:noVBand="1"/>
        <w:tblCaption w:val="Table 15: PFS and OS - larotrectinib and SoC in paediatric high frequency NTRK tumours (STS/IFS)"/>
      </w:tblPr>
      <w:tblGrid>
        <w:gridCol w:w="1980"/>
        <w:gridCol w:w="2090"/>
        <w:gridCol w:w="2185"/>
        <w:gridCol w:w="2761"/>
      </w:tblGrid>
      <w:tr w:rsidR="00633192" w:rsidRPr="006909A5" w:rsidTr="009F5E23">
        <w:trPr>
          <w:cnfStyle w:val="100000000000" w:firstRow="1" w:lastRow="0" w:firstColumn="0" w:lastColumn="0" w:oddVBand="0" w:evenVBand="0" w:oddHBand="0" w:evenHBand="0" w:firstRowFirstColumn="0" w:firstRowLastColumn="0" w:lastRowFirstColumn="0" w:lastRowLastColumn="0"/>
          <w:tblHeader/>
        </w:trPr>
        <w:tc>
          <w:tcPr>
            <w:tcW w:w="1098" w:type="pct"/>
          </w:tcPr>
          <w:p w:rsidR="00633192" w:rsidRPr="006909A5" w:rsidRDefault="00633192" w:rsidP="009F5E23">
            <w:pPr>
              <w:widowControl w:val="0"/>
              <w:spacing w:before="40" w:after="40" w:line="256" w:lineRule="auto"/>
              <w:jc w:val="left"/>
              <w:rPr>
                <w:rFonts w:ascii="Arial Narrow" w:hAnsi="Arial Narrow"/>
                <w:b/>
                <w:i/>
                <w:sz w:val="20"/>
              </w:rPr>
            </w:pPr>
          </w:p>
        </w:tc>
        <w:tc>
          <w:tcPr>
            <w:tcW w:w="1159" w:type="pct"/>
          </w:tcPr>
          <w:p w:rsidR="00633192" w:rsidRPr="006909A5" w:rsidRDefault="00633192" w:rsidP="00623DDF">
            <w:pPr>
              <w:widowControl w:val="0"/>
              <w:spacing w:before="40" w:after="40" w:line="256" w:lineRule="auto"/>
              <w:jc w:val="center"/>
              <w:rPr>
                <w:rFonts w:ascii="Arial Narrow" w:hAnsi="Arial Narrow"/>
                <w:b/>
                <w:i/>
                <w:sz w:val="20"/>
              </w:rPr>
            </w:pPr>
            <w:r w:rsidRPr="006909A5">
              <w:rPr>
                <w:rFonts w:ascii="Arial Narrow" w:hAnsi="Arial Narrow"/>
                <w:b/>
                <w:i/>
                <w:sz w:val="20"/>
              </w:rPr>
              <w:t>Larotrectinib (STS/IFS)</w:t>
            </w:r>
          </w:p>
          <w:p w:rsidR="00633192" w:rsidRPr="006909A5" w:rsidRDefault="00633192" w:rsidP="00623DDF">
            <w:pPr>
              <w:widowControl w:val="0"/>
              <w:spacing w:before="40" w:after="40" w:line="256" w:lineRule="auto"/>
              <w:jc w:val="center"/>
              <w:rPr>
                <w:rFonts w:ascii="Arial Narrow" w:hAnsi="Arial Narrow"/>
                <w:b/>
                <w:i/>
                <w:sz w:val="20"/>
              </w:rPr>
            </w:pPr>
            <w:r w:rsidRPr="006909A5">
              <w:rPr>
                <w:rFonts w:ascii="Arial Narrow" w:hAnsi="Arial Narrow"/>
                <w:b/>
                <w:i/>
                <w:sz w:val="20"/>
              </w:rPr>
              <w:t>N=62</w:t>
            </w:r>
          </w:p>
        </w:tc>
        <w:tc>
          <w:tcPr>
            <w:tcW w:w="1212" w:type="pct"/>
          </w:tcPr>
          <w:p w:rsidR="00633192" w:rsidRPr="006909A5" w:rsidRDefault="00633192" w:rsidP="00623DDF">
            <w:pPr>
              <w:widowControl w:val="0"/>
              <w:spacing w:before="40" w:after="40" w:line="256" w:lineRule="auto"/>
              <w:jc w:val="center"/>
              <w:rPr>
                <w:rFonts w:ascii="Arial Narrow" w:hAnsi="Arial Narrow"/>
                <w:b/>
                <w:i/>
                <w:sz w:val="20"/>
              </w:rPr>
            </w:pPr>
            <w:r w:rsidRPr="006909A5">
              <w:rPr>
                <w:rFonts w:ascii="Arial Narrow" w:hAnsi="Arial Narrow"/>
                <w:b/>
                <w:i/>
                <w:sz w:val="20"/>
              </w:rPr>
              <w:t>I+D (Sandler 2001) – 1L</w:t>
            </w:r>
          </w:p>
          <w:p w:rsidR="00633192" w:rsidRPr="006909A5" w:rsidRDefault="00633192" w:rsidP="00623DDF">
            <w:pPr>
              <w:widowControl w:val="0"/>
              <w:spacing w:before="40" w:after="40" w:line="256" w:lineRule="auto"/>
              <w:jc w:val="center"/>
              <w:rPr>
                <w:rFonts w:ascii="Arial Narrow" w:hAnsi="Arial Narrow"/>
                <w:b/>
                <w:i/>
                <w:sz w:val="20"/>
              </w:rPr>
            </w:pPr>
            <w:r w:rsidRPr="006909A5">
              <w:rPr>
                <w:rFonts w:ascii="Arial Narrow" w:hAnsi="Arial Narrow"/>
                <w:b/>
                <w:i/>
                <w:sz w:val="20"/>
              </w:rPr>
              <w:t>N=152</w:t>
            </w:r>
          </w:p>
        </w:tc>
        <w:tc>
          <w:tcPr>
            <w:tcW w:w="1531" w:type="pct"/>
          </w:tcPr>
          <w:p w:rsidR="00633192" w:rsidRPr="006909A5" w:rsidRDefault="00633192" w:rsidP="00623DDF">
            <w:pPr>
              <w:widowControl w:val="0"/>
              <w:spacing w:before="40" w:after="40" w:line="256" w:lineRule="auto"/>
              <w:jc w:val="center"/>
              <w:rPr>
                <w:rFonts w:ascii="Arial Narrow" w:hAnsi="Arial Narrow"/>
                <w:b/>
                <w:i/>
                <w:sz w:val="20"/>
              </w:rPr>
            </w:pPr>
            <w:r w:rsidRPr="006909A5">
              <w:rPr>
                <w:rFonts w:ascii="Arial Narrow" w:hAnsi="Arial Narrow"/>
                <w:b/>
                <w:i/>
                <w:sz w:val="20"/>
              </w:rPr>
              <w:t>I+V (Mascarenhas 2010) – 2L</w:t>
            </w:r>
          </w:p>
          <w:p w:rsidR="00633192" w:rsidRPr="006909A5" w:rsidRDefault="00633192" w:rsidP="00623DDF">
            <w:pPr>
              <w:widowControl w:val="0"/>
              <w:spacing w:before="40" w:after="40" w:line="256" w:lineRule="auto"/>
              <w:jc w:val="center"/>
              <w:rPr>
                <w:rFonts w:ascii="Arial Narrow" w:hAnsi="Arial Narrow"/>
                <w:b/>
                <w:i/>
                <w:sz w:val="20"/>
              </w:rPr>
            </w:pPr>
            <w:r w:rsidRPr="006909A5">
              <w:rPr>
                <w:rFonts w:ascii="Arial Narrow" w:hAnsi="Arial Narrow"/>
                <w:b/>
                <w:i/>
                <w:sz w:val="20"/>
              </w:rPr>
              <w:t>N=47</w:t>
            </w:r>
          </w:p>
        </w:tc>
      </w:tr>
      <w:tr w:rsidR="00633192" w:rsidRPr="00D51B2C" w:rsidTr="009F5E23">
        <w:tc>
          <w:tcPr>
            <w:tcW w:w="1098" w:type="pct"/>
          </w:tcPr>
          <w:p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Median PFS (months)</w:t>
            </w:r>
          </w:p>
        </w:tc>
        <w:tc>
          <w:tcPr>
            <w:tcW w:w="1159"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34.7</w:t>
            </w:r>
          </w:p>
        </w:tc>
        <w:tc>
          <w:tcPr>
            <w:tcW w:w="1212"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15.6</w:t>
            </w:r>
          </w:p>
        </w:tc>
        <w:tc>
          <w:tcPr>
            <w:tcW w:w="1531"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8.0</w:t>
            </w:r>
          </w:p>
        </w:tc>
      </w:tr>
      <w:tr w:rsidR="00633192" w:rsidRPr="00D51B2C" w:rsidTr="009F5E23">
        <w:tc>
          <w:tcPr>
            <w:tcW w:w="1098" w:type="pct"/>
          </w:tcPr>
          <w:p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PFS at 12 months</w:t>
            </w:r>
          </w:p>
        </w:tc>
        <w:tc>
          <w:tcPr>
            <w:tcW w:w="1159"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78%</w:t>
            </w:r>
          </w:p>
        </w:tc>
        <w:tc>
          <w:tcPr>
            <w:tcW w:w="1212"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61%</w:t>
            </w:r>
          </w:p>
        </w:tc>
        <w:tc>
          <w:tcPr>
            <w:tcW w:w="1531"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38%</w:t>
            </w:r>
          </w:p>
        </w:tc>
      </w:tr>
      <w:tr w:rsidR="00633192" w:rsidRPr="00D51B2C" w:rsidTr="009F5E23">
        <w:tc>
          <w:tcPr>
            <w:tcW w:w="1098" w:type="pct"/>
          </w:tcPr>
          <w:p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PFS at 24 months</w:t>
            </w:r>
          </w:p>
        </w:tc>
        <w:tc>
          <w:tcPr>
            <w:tcW w:w="1159"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56%</w:t>
            </w:r>
          </w:p>
        </w:tc>
        <w:tc>
          <w:tcPr>
            <w:tcW w:w="1212"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35%</w:t>
            </w:r>
          </w:p>
        </w:tc>
        <w:tc>
          <w:tcPr>
            <w:tcW w:w="1531"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15%</w:t>
            </w:r>
          </w:p>
        </w:tc>
      </w:tr>
      <w:tr w:rsidR="00633192" w:rsidRPr="00D51B2C" w:rsidTr="009F5E23">
        <w:tc>
          <w:tcPr>
            <w:tcW w:w="1098" w:type="pct"/>
          </w:tcPr>
          <w:p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Median OS (months)</w:t>
            </w:r>
          </w:p>
        </w:tc>
        <w:tc>
          <w:tcPr>
            <w:tcW w:w="1159"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Not reached</w:t>
            </w:r>
          </w:p>
        </w:tc>
        <w:tc>
          <w:tcPr>
            <w:tcW w:w="1212"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22.1</w:t>
            </w:r>
          </w:p>
        </w:tc>
        <w:tc>
          <w:tcPr>
            <w:tcW w:w="1531"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15.9</w:t>
            </w:r>
          </w:p>
        </w:tc>
      </w:tr>
      <w:tr w:rsidR="00633192" w:rsidRPr="00D51B2C" w:rsidTr="009F5E23">
        <w:tc>
          <w:tcPr>
            <w:tcW w:w="1098" w:type="pct"/>
          </w:tcPr>
          <w:p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OS at 12 months</w:t>
            </w:r>
          </w:p>
        </w:tc>
        <w:tc>
          <w:tcPr>
            <w:tcW w:w="1159"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96%</w:t>
            </w:r>
          </w:p>
        </w:tc>
        <w:tc>
          <w:tcPr>
            <w:tcW w:w="1212"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76%</w:t>
            </w:r>
          </w:p>
        </w:tc>
        <w:tc>
          <w:tcPr>
            <w:tcW w:w="1531"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62%</w:t>
            </w:r>
          </w:p>
        </w:tc>
      </w:tr>
      <w:tr w:rsidR="00633192" w:rsidRPr="00D51B2C" w:rsidTr="009F5E23">
        <w:tc>
          <w:tcPr>
            <w:tcW w:w="1098" w:type="pct"/>
          </w:tcPr>
          <w:p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OS at 24 months</w:t>
            </w:r>
          </w:p>
        </w:tc>
        <w:tc>
          <w:tcPr>
            <w:tcW w:w="1159"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96%</w:t>
            </w:r>
          </w:p>
        </w:tc>
        <w:tc>
          <w:tcPr>
            <w:tcW w:w="1212"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49%</w:t>
            </w:r>
          </w:p>
        </w:tc>
        <w:tc>
          <w:tcPr>
            <w:tcW w:w="1531"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30%</w:t>
            </w:r>
          </w:p>
        </w:tc>
      </w:tr>
    </w:tbl>
    <w:p w:rsidR="00633192" w:rsidRPr="00D51B2C" w:rsidRDefault="00633192" w:rsidP="00633192">
      <w:pPr>
        <w:pStyle w:val="TableFooter"/>
        <w:rPr>
          <w:sz w:val="16"/>
        </w:rPr>
      </w:pPr>
      <w:r w:rsidRPr="00D51B2C">
        <w:t>Source: Table 2.146, p350 of the resubmission</w:t>
      </w:r>
    </w:p>
    <w:p w:rsidR="00633192" w:rsidRPr="00D51B2C" w:rsidRDefault="00633192" w:rsidP="00633192">
      <w:pPr>
        <w:pStyle w:val="TableFooter"/>
      </w:pPr>
      <w:r w:rsidRPr="00D51B2C">
        <w:t xml:space="preserve">July 2020 data </w:t>
      </w:r>
      <w:r w:rsidR="006D66BE" w:rsidRPr="00D51B2C">
        <w:t>cut-off</w:t>
      </w:r>
      <w:r w:rsidRPr="00D51B2C">
        <w:t xml:space="preserve"> for larotrectinib</w:t>
      </w:r>
    </w:p>
    <w:p w:rsidR="00633192" w:rsidRDefault="00633192" w:rsidP="00633192">
      <w:pPr>
        <w:pStyle w:val="TableFooter"/>
      </w:pPr>
      <w:r w:rsidRPr="00D51B2C">
        <w:t>1L = first-line; 2L = second-line; I+D, ifosfamide and doxorubicin; I+V = irinotecan and vincristine; IFS = infantile fibrosarcoma; STS = soft tissue sarcoma, PFS = progression-free survival; OS = overall survival</w:t>
      </w:r>
    </w:p>
    <w:p w:rsidR="00633192" w:rsidRDefault="00633192" w:rsidP="00633192">
      <w:pPr>
        <w:pStyle w:val="TableFooter"/>
      </w:pPr>
    </w:p>
    <w:p w:rsidR="00D51B2C" w:rsidRPr="00633192" w:rsidRDefault="00D51B2C" w:rsidP="00633192">
      <w:pPr>
        <w:pStyle w:val="TableFooter"/>
        <w:spacing w:after="0"/>
        <w:rPr>
          <w:rFonts w:eastAsiaTheme="minorHAnsi" w:cstheme="minorBidi"/>
          <w:b/>
          <w:iCs/>
          <w:snapToGrid/>
          <w:sz w:val="20"/>
          <w:szCs w:val="18"/>
        </w:rPr>
      </w:pPr>
      <w:bookmarkStart w:id="64" w:name="_Ref81491944"/>
      <w:r w:rsidRPr="00633192">
        <w:rPr>
          <w:rFonts w:eastAsiaTheme="minorHAnsi" w:cstheme="minorBidi"/>
          <w:b/>
          <w:iCs/>
          <w:snapToGrid/>
          <w:sz w:val="20"/>
          <w:szCs w:val="18"/>
        </w:rPr>
        <w:t>Table</w:t>
      </w:r>
      <w:r w:rsidR="00E37EC3">
        <w:rPr>
          <w:rFonts w:eastAsiaTheme="minorHAnsi" w:cstheme="minorBidi"/>
          <w:b/>
          <w:iCs/>
          <w:snapToGrid/>
          <w:sz w:val="20"/>
          <w:szCs w:val="18"/>
        </w:rPr>
        <w:t xml:space="preserve"> </w:t>
      </w:r>
      <w:r w:rsidR="00BB3DD1">
        <w:rPr>
          <w:rFonts w:eastAsiaTheme="minorHAnsi" w:cstheme="minorBidi"/>
          <w:b/>
          <w:iCs/>
          <w:noProof/>
          <w:snapToGrid/>
          <w:sz w:val="20"/>
          <w:szCs w:val="18"/>
        </w:rPr>
        <w:t>16</w:t>
      </w:r>
      <w:bookmarkEnd w:id="62"/>
      <w:bookmarkEnd w:id="64"/>
      <w:r w:rsidR="00E37EC3">
        <w:rPr>
          <w:rFonts w:eastAsiaTheme="minorHAnsi" w:cstheme="minorBidi"/>
          <w:b/>
          <w:iCs/>
          <w:snapToGrid/>
          <w:sz w:val="20"/>
          <w:szCs w:val="18"/>
        </w:rPr>
        <w:t>:</w:t>
      </w:r>
      <w:r w:rsidR="00D117CD">
        <w:rPr>
          <w:rFonts w:eastAsiaTheme="minorHAnsi" w:cstheme="minorBidi"/>
          <w:b/>
          <w:iCs/>
          <w:snapToGrid/>
          <w:sz w:val="20"/>
          <w:szCs w:val="18"/>
        </w:rPr>
        <w:t xml:space="preserve"> </w:t>
      </w:r>
      <w:r w:rsidRPr="00633192">
        <w:rPr>
          <w:rFonts w:eastAsiaTheme="minorHAnsi" w:cstheme="minorBidi"/>
          <w:b/>
          <w:iCs/>
          <w:snapToGrid/>
          <w:sz w:val="20"/>
          <w:szCs w:val="18"/>
        </w:rPr>
        <w:t>PFS and OS</w:t>
      </w:r>
      <w:r w:rsidR="00633192" w:rsidRPr="00D51B2C">
        <w:t xml:space="preserve"> - </w:t>
      </w:r>
      <w:r w:rsidR="00623DDF">
        <w:t>l</w:t>
      </w:r>
      <w:r w:rsidRPr="00633192">
        <w:rPr>
          <w:rFonts w:eastAsiaTheme="minorHAnsi" w:cstheme="minorBidi"/>
          <w:b/>
          <w:iCs/>
          <w:snapToGrid/>
          <w:sz w:val="20"/>
          <w:szCs w:val="18"/>
        </w:rPr>
        <w:t xml:space="preserve">arotrectinib and SoC in adult high frequency </w:t>
      </w:r>
      <w:r w:rsidRPr="00623261">
        <w:rPr>
          <w:rFonts w:eastAsiaTheme="minorHAnsi" w:cstheme="minorBidi"/>
          <w:b/>
          <w:i/>
          <w:iCs/>
          <w:snapToGrid/>
          <w:sz w:val="20"/>
          <w:szCs w:val="18"/>
        </w:rPr>
        <w:t>NTRK</w:t>
      </w:r>
      <w:r w:rsidRPr="00633192">
        <w:rPr>
          <w:rFonts w:eastAsiaTheme="minorHAnsi" w:cstheme="minorBidi"/>
          <w:b/>
          <w:iCs/>
          <w:snapToGrid/>
          <w:sz w:val="20"/>
          <w:szCs w:val="18"/>
        </w:rPr>
        <w:t xml:space="preserve"> tumours (salivary gland tumours)</w:t>
      </w:r>
    </w:p>
    <w:tbl>
      <w:tblPr>
        <w:tblStyle w:val="HTATableshaded20"/>
        <w:tblW w:w="5000" w:type="pct"/>
        <w:tblLook w:val="04A0" w:firstRow="1" w:lastRow="0" w:firstColumn="1" w:lastColumn="0" w:noHBand="0" w:noVBand="1"/>
        <w:tblCaption w:val="Table 16: PFS and OS - larotrectinib and SoC in adult high frequency NTRK tumours (salivary gland tumours)"/>
      </w:tblPr>
      <w:tblGrid>
        <w:gridCol w:w="2122"/>
        <w:gridCol w:w="3118"/>
        <w:gridCol w:w="3776"/>
      </w:tblGrid>
      <w:tr w:rsidR="00D51B2C" w:rsidRPr="00D51B2C" w:rsidTr="006909A5">
        <w:trPr>
          <w:cnfStyle w:val="100000000000" w:firstRow="1" w:lastRow="0" w:firstColumn="0" w:lastColumn="0" w:oddVBand="0" w:evenVBand="0" w:oddHBand="0" w:evenHBand="0" w:firstRowFirstColumn="0" w:firstRowLastColumn="0" w:lastRowFirstColumn="0" w:lastRowLastColumn="0"/>
          <w:tblHeader/>
        </w:trPr>
        <w:tc>
          <w:tcPr>
            <w:tcW w:w="1177" w:type="pct"/>
          </w:tcPr>
          <w:p w:rsidR="00D51B2C" w:rsidRPr="00D51B2C" w:rsidRDefault="00D51B2C" w:rsidP="00633192">
            <w:pPr>
              <w:widowControl w:val="0"/>
              <w:spacing w:before="0" w:after="0"/>
              <w:jc w:val="left"/>
              <w:rPr>
                <w:rFonts w:ascii="Arial Narrow" w:hAnsi="Arial Narrow"/>
                <w:b/>
                <w:sz w:val="20"/>
              </w:rPr>
            </w:pPr>
          </w:p>
        </w:tc>
        <w:tc>
          <w:tcPr>
            <w:tcW w:w="1729" w:type="pct"/>
          </w:tcPr>
          <w:p w:rsidR="00D51B2C" w:rsidRPr="00D51B2C" w:rsidRDefault="00D51B2C" w:rsidP="00623DDF">
            <w:pPr>
              <w:widowControl w:val="0"/>
              <w:spacing w:before="0" w:after="0"/>
              <w:jc w:val="center"/>
              <w:rPr>
                <w:rFonts w:ascii="Arial Narrow" w:hAnsi="Arial Narrow"/>
                <w:b/>
                <w:sz w:val="20"/>
              </w:rPr>
            </w:pPr>
            <w:r w:rsidRPr="00D51B2C">
              <w:rPr>
                <w:rFonts w:ascii="Arial Narrow" w:hAnsi="Arial Narrow"/>
                <w:b/>
                <w:sz w:val="20"/>
              </w:rPr>
              <w:t xml:space="preserve">Larotrectinib (salivary gland: </w:t>
            </w:r>
            <w:r w:rsidRPr="00D51B2C">
              <w:rPr>
                <w:rFonts w:ascii="Arial Narrow" w:hAnsi="Arial Narrow"/>
                <w:b/>
                <w:i/>
                <w:sz w:val="20"/>
              </w:rPr>
              <w:t>MASC</w:t>
            </w:r>
            <w:r w:rsidRPr="00D51B2C">
              <w:rPr>
                <w:rFonts w:ascii="Arial Narrow" w:hAnsi="Arial Narrow"/>
                <w:b/>
                <w:sz w:val="20"/>
              </w:rPr>
              <w:t>)</w:t>
            </w:r>
          </w:p>
          <w:p w:rsidR="00D51B2C" w:rsidRPr="00D51B2C" w:rsidRDefault="00D51B2C" w:rsidP="00623DDF">
            <w:pPr>
              <w:widowControl w:val="0"/>
              <w:spacing w:before="0" w:after="0"/>
              <w:jc w:val="center"/>
              <w:rPr>
                <w:rFonts w:ascii="Arial Narrow" w:hAnsi="Arial Narrow"/>
                <w:b/>
                <w:sz w:val="20"/>
              </w:rPr>
            </w:pPr>
            <w:r w:rsidRPr="00D51B2C">
              <w:rPr>
                <w:rFonts w:ascii="Arial Narrow" w:hAnsi="Arial Narrow"/>
                <w:b/>
                <w:sz w:val="20"/>
              </w:rPr>
              <w:t>N=23</w:t>
            </w:r>
          </w:p>
        </w:tc>
        <w:tc>
          <w:tcPr>
            <w:tcW w:w="2094" w:type="pct"/>
          </w:tcPr>
          <w:p w:rsidR="00D51B2C" w:rsidRPr="00D51B2C" w:rsidRDefault="00D51B2C" w:rsidP="00623DDF">
            <w:pPr>
              <w:widowControl w:val="0"/>
              <w:spacing w:before="0" w:after="0"/>
              <w:jc w:val="center"/>
              <w:rPr>
                <w:rFonts w:ascii="Arial Narrow" w:hAnsi="Arial Narrow"/>
                <w:b/>
                <w:sz w:val="20"/>
              </w:rPr>
            </w:pPr>
            <w:r w:rsidRPr="00D51B2C">
              <w:rPr>
                <w:rFonts w:ascii="Arial Narrow" w:hAnsi="Arial Narrow"/>
                <w:b/>
                <w:sz w:val="20"/>
              </w:rPr>
              <w:t>Cisplatin + VNB salivary gland (Airoldi 2001)</w:t>
            </w:r>
          </w:p>
          <w:p w:rsidR="00D51B2C" w:rsidRPr="00D51B2C" w:rsidRDefault="00D51B2C" w:rsidP="00623DDF">
            <w:pPr>
              <w:widowControl w:val="0"/>
              <w:spacing w:before="0" w:after="0"/>
              <w:jc w:val="center"/>
              <w:rPr>
                <w:rFonts w:ascii="Arial Narrow" w:hAnsi="Arial Narrow"/>
                <w:b/>
                <w:sz w:val="20"/>
              </w:rPr>
            </w:pPr>
            <w:r w:rsidRPr="00D51B2C">
              <w:rPr>
                <w:rFonts w:ascii="Arial Narrow" w:hAnsi="Arial Narrow"/>
                <w:b/>
                <w:sz w:val="20"/>
              </w:rPr>
              <w:t>N=20</w:t>
            </w:r>
          </w:p>
        </w:tc>
      </w:tr>
      <w:tr w:rsidR="00D51B2C" w:rsidRPr="00D51B2C" w:rsidTr="006909A5">
        <w:tc>
          <w:tcPr>
            <w:tcW w:w="1177" w:type="pct"/>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Median PFS (months)</w:t>
            </w:r>
          </w:p>
        </w:tc>
        <w:tc>
          <w:tcPr>
            <w:tcW w:w="1729"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55.7</w:t>
            </w:r>
          </w:p>
        </w:tc>
        <w:tc>
          <w:tcPr>
            <w:tcW w:w="2094"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6.9</w:t>
            </w:r>
          </w:p>
        </w:tc>
      </w:tr>
      <w:tr w:rsidR="00D51B2C" w:rsidRPr="00D51B2C" w:rsidTr="006909A5">
        <w:tc>
          <w:tcPr>
            <w:tcW w:w="1177" w:type="pct"/>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PFS at 12 months</w:t>
            </w:r>
          </w:p>
        </w:tc>
        <w:tc>
          <w:tcPr>
            <w:tcW w:w="1729"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83%</w:t>
            </w:r>
          </w:p>
        </w:tc>
        <w:tc>
          <w:tcPr>
            <w:tcW w:w="2094"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31%</w:t>
            </w:r>
          </w:p>
        </w:tc>
      </w:tr>
      <w:tr w:rsidR="00D51B2C" w:rsidRPr="00D51B2C" w:rsidTr="006909A5">
        <w:tc>
          <w:tcPr>
            <w:tcW w:w="1177" w:type="pct"/>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PFS at 24 months</w:t>
            </w:r>
          </w:p>
        </w:tc>
        <w:tc>
          <w:tcPr>
            <w:tcW w:w="1729"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78%</w:t>
            </w:r>
          </w:p>
        </w:tc>
        <w:tc>
          <w:tcPr>
            <w:tcW w:w="2094"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10%</w:t>
            </w:r>
          </w:p>
        </w:tc>
      </w:tr>
      <w:tr w:rsidR="00D51B2C" w:rsidRPr="00D51B2C" w:rsidTr="006909A5">
        <w:tc>
          <w:tcPr>
            <w:tcW w:w="1177" w:type="pct"/>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Median OS (months)</w:t>
            </w:r>
          </w:p>
        </w:tc>
        <w:tc>
          <w:tcPr>
            <w:tcW w:w="1729"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NR</w:t>
            </w:r>
          </w:p>
        </w:tc>
        <w:tc>
          <w:tcPr>
            <w:tcW w:w="2094"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10.8</w:t>
            </w:r>
          </w:p>
        </w:tc>
      </w:tr>
      <w:tr w:rsidR="00D51B2C" w:rsidRPr="00D51B2C" w:rsidTr="006909A5">
        <w:tc>
          <w:tcPr>
            <w:tcW w:w="1177" w:type="pct"/>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OS at 12 months</w:t>
            </w:r>
          </w:p>
        </w:tc>
        <w:tc>
          <w:tcPr>
            <w:tcW w:w="1729"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96%</w:t>
            </w:r>
          </w:p>
        </w:tc>
        <w:tc>
          <w:tcPr>
            <w:tcW w:w="2094"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33%</w:t>
            </w:r>
          </w:p>
        </w:tc>
      </w:tr>
      <w:tr w:rsidR="00D51B2C" w:rsidRPr="00D51B2C" w:rsidTr="006909A5">
        <w:tc>
          <w:tcPr>
            <w:tcW w:w="1177" w:type="pct"/>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OS at 24 months</w:t>
            </w:r>
          </w:p>
        </w:tc>
        <w:tc>
          <w:tcPr>
            <w:tcW w:w="1729"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91%</w:t>
            </w:r>
          </w:p>
        </w:tc>
        <w:tc>
          <w:tcPr>
            <w:tcW w:w="2094"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19%</w:t>
            </w:r>
          </w:p>
        </w:tc>
      </w:tr>
    </w:tbl>
    <w:p w:rsidR="00D51B2C" w:rsidRPr="00D51B2C" w:rsidRDefault="00D51B2C" w:rsidP="006909A5">
      <w:pPr>
        <w:pStyle w:val="TableFooter"/>
      </w:pPr>
      <w:r w:rsidRPr="00D51B2C">
        <w:t>Source: Table 2.143, p348 of the resubmission</w:t>
      </w:r>
    </w:p>
    <w:p w:rsidR="00D51B2C" w:rsidRPr="00D51B2C" w:rsidRDefault="00D51B2C" w:rsidP="006909A5">
      <w:pPr>
        <w:pStyle w:val="TableFooter"/>
      </w:pPr>
      <w:r w:rsidRPr="00D51B2C">
        <w:t xml:space="preserve">July 2020 data </w:t>
      </w:r>
      <w:r w:rsidR="006D66BE" w:rsidRPr="00D51B2C">
        <w:t>cut-off</w:t>
      </w:r>
      <w:r w:rsidRPr="00D51B2C">
        <w:t xml:space="preserve"> for larotrectinib</w:t>
      </w:r>
    </w:p>
    <w:p w:rsidR="00633192" w:rsidRDefault="00D51B2C" w:rsidP="006909A5">
      <w:pPr>
        <w:pStyle w:val="TableFooter"/>
      </w:pPr>
      <w:r w:rsidRPr="00D51B2C">
        <w:t>MASC</w:t>
      </w:r>
      <w:r w:rsidR="00FE7ED3" w:rsidRPr="00D51B2C">
        <w:t xml:space="preserve"> = </w:t>
      </w:r>
      <w:r w:rsidRPr="00D51B2C">
        <w:t>mammary analogue secretory carcinoma; PFS</w:t>
      </w:r>
      <w:r w:rsidR="00FE7ED3" w:rsidRPr="00D51B2C">
        <w:t xml:space="preserve"> = </w:t>
      </w:r>
      <w:r w:rsidRPr="00D51B2C">
        <w:t>progression-free survival; OS</w:t>
      </w:r>
      <w:r w:rsidR="00FE7ED3" w:rsidRPr="00D51B2C">
        <w:t xml:space="preserve"> = </w:t>
      </w:r>
      <w:r w:rsidRPr="00D51B2C">
        <w:t>overall survival; VNB</w:t>
      </w:r>
      <w:r w:rsidR="00FE7ED3" w:rsidRPr="00D51B2C">
        <w:t xml:space="preserve"> = </w:t>
      </w:r>
      <w:r w:rsidRPr="00D51B2C">
        <w:t>vinorelbine</w:t>
      </w:r>
    </w:p>
    <w:p w:rsidR="00633192" w:rsidRPr="00D51B2C" w:rsidRDefault="00633192" w:rsidP="00633192">
      <w:pPr>
        <w:pStyle w:val="Caption"/>
      </w:pPr>
      <w:bookmarkStart w:id="65" w:name="_Ref79148175"/>
      <w:r w:rsidRPr="00D51B2C">
        <w:t>Table</w:t>
      </w:r>
      <w:r w:rsidR="00E37EC3">
        <w:t xml:space="preserve"> </w:t>
      </w:r>
      <w:r w:rsidR="00BB3DD1">
        <w:rPr>
          <w:noProof/>
        </w:rPr>
        <w:t>17</w:t>
      </w:r>
      <w:bookmarkEnd w:id="65"/>
      <w:r w:rsidR="00E37EC3">
        <w:rPr>
          <w:noProof/>
        </w:rPr>
        <w:t>:</w:t>
      </w:r>
      <w:r w:rsidR="00D117CD">
        <w:rPr>
          <w:noProof/>
        </w:rPr>
        <w:t xml:space="preserve"> </w:t>
      </w:r>
      <w:r w:rsidRPr="00D51B2C">
        <w:t xml:space="preserve">PFS and OS - </w:t>
      </w:r>
      <w:r w:rsidR="00623DDF">
        <w:t>l</w:t>
      </w:r>
      <w:r w:rsidRPr="00D51B2C">
        <w:t xml:space="preserve">arotrectinib and SoC in paediatric low frequency </w:t>
      </w:r>
      <w:r w:rsidRPr="00623261">
        <w:rPr>
          <w:i/>
        </w:rPr>
        <w:t>NTRK</w:t>
      </w:r>
      <w:r w:rsidRPr="00D51B2C">
        <w:t xml:space="preserve"> tumours (CNS/glioma)</w:t>
      </w:r>
    </w:p>
    <w:tbl>
      <w:tblPr>
        <w:tblStyle w:val="HTATableshaded20"/>
        <w:tblW w:w="5000" w:type="pct"/>
        <w:tblLook w:val="04A0" w:firstRow="1" w:lastRow="0" w:firstColumn="1" w:lastColumn="0" w:noHBand="0" w:noVBand="1"/>
        <w:tblCaption w:val="Table 17: PFS and OS - larotrectinib and SoC in paediatric low frequency NTRK tumours (CNS/glioma)"/>
      </w:tblPr>
      <w:tblGrid>
        <w:gridCol w:w="2406"/>
        <w:gridCol w:w="1700"/>
        <w:gridCol w:w="2411"/>
        <w:gridCol w:w="2499"/>
      </w:tblGrid>
      <w:tr w:rsidR="00633192" w:rsidRPr="00D51B2C" w:rsidTr="009F5E23">
        <w:trPr>
          <w:cnfStyle w:val="100000000000" w:firstRow="1" w:lastRow="0" w:firstColumn="0" w:lastColumn="0" w:oddVBand="0" w:evenVBand="0" w:oddHBand="0" w:evenHBand="0" w:firstRowFirstColumn="0" w:firstRowLastColumn="0" w:lastRowFirstColumn="0" w:lastRowLastColumn="0"/>
          <w:tblHeader/>
        </w:trPr>
        <w:tc>
          <w:tcPr>
            <w:tcW w:w="1334" w:type="pct"/>
          </w:tcPr>
          <w:p w:rsidR="00633192" w:rsidRPr="00D51B2C" w:rsidRDefault="00633192" w:rsidP="009F5E23">
            <w:pPr>
              <w:widowControl w:val="0"/>
              <w:spacing w:before="40" w:after="40" w:line="256" w:lineRule="auto"/>
              <w:jc w:val="left"/>
              <w:rPr>
                <w:rFonts w:ascii="Arial Narrow" w:hAnsi="Arial Narrow"/>
                <w:b/>
                <w:sz w:val="20"/>
              </w:rPr>
            </w:pPr>
          </w:p>
        </w:tc>
        <w:tc>
          <w:tcPr>
            <w:tcW w:w="943" w:type="pct"/>
          </w:tcPr>
          <w:p w:rsidR="00633192" w:rsidRPr="00D51B2C" w:rsidRDefault="00633192" w:rsidP="00623DDF">
            <w:pPr>
              <w:widowControl w:val="0"/>
              <w:spacing w:before="40" w:after="40" w:line="256" w:lineRule="auto"/>
              <w:jc w:val="center"/>
              <w:rPr>
                <w:rFonts w:ascii="Arial Narrow" w:hAnsi="Arial Narrow"/>
                <w:b/>
                <w:sz w:val="20"/>
              </w:rPr>
            </w:pPr>
            <w:r w:rsidRPr="00D51B2C">
              <w:rPr>
                <w:rFonts w:ascii="Arial Narrow" w:hAnsi="Arial Narrow"/>
                <w:b/>
                <w:sz w:val="20"/>
              </w:rPr>
              <w:t>Larotrectinib</w:t>
            </w:r>
          </w:p>
          <w:p w:rsidR="00633192" w:rsidRPr="00D51B2C" w:rsidRDefault="00633192" w:rsidP="00623DDF">
            <w:pPr>
              <w:widowControl w:val="0"/>
              <w:spacing w:before="40" w:after="40" w:line="256" w:lineRule="auto"/>
              <w:jc w:val="center"/>
              <w:rPr>
                <w:rFonts w:ascii="Arial Narrow" w:hAnsi="Arial Narrow"/>
                <w:b/>
                <w:sz w:val="20"/>
              </w:rPr>
            </w:pPr>
            <w:r w:rsidRPr="00D51B2C">
              <w:rPr>
                <w:rFonts w:ascii="Arial Narrow" w:hAnsi="Arial Narrow"/>
                <w:b/>
                <w:sz w:val="20"/>
              </w:rPr>
              <w:t>N=26</w:t>
            </w:r>
          </w:p>
        </w:tc>
        <w:tc>
          <w:tcPr>
            <w:tcW w:w="1337" w:type="pct"/>
          </w:tcPr>
          <w:p w:rsidR="00633192" w:rsidRPr="00D51B2C" w:rsidRDefault="00633192" w:rsidP="00623DDF">
            <w:pPr>
              <w:widowControl w:val="0"/>
              <w:spacing w:before="40" w:after="40" w:line="256" w:lineRule="auto"/>
              <w:jc w:val="center"/>
              <w:rPr>
                <w:rFonts w:ascii="Arial Narrow" w:hAnsi="Arial Narrow"/>
                <w:b/>
                <w:sz w:val="20"/>
              </w:rPr>
            </w:pPr>
            <w:r w:rsidRPr="00D51B2C">
              <w:rPr>
                <w:rFonts w:ascii="Arial Narrow" w:hAnsi="Arial Narrow"/>
                <w:b/>
                <w:sz w:val="20"/>
              </w:rPr>
              <w:t>RT+TMZ (Grill 2019) – 1L</w:t>
            </w:r>
          </w:p>
          <w:p w:rsidR="00633192" w:rsidRPr="00D51B2C" w:rsidRDefault="00633192" w:rsidP="00623DDF">
            <w:pPr>
              <w:widowControl w:val="0"/>
              <w:spacing w:before="40" w:after="40" w:line="256" w:lineRule="auto"/>
              <w:jc w:val="center"/>
              <w:rPr>
                <w:rFonts w:ascii="Arial Narrow" w:hAnsi="Arial Narrow"/>
                <w:b/>
                <w:sz w:val="20"/>
              </w:rPr>
            </w:pPr>
            <w:r w:rsidRPr="00D51B2C">
              <w:rPr>
                <w:rFonts w:ascii="Arial Narrow" w:hAnsi="Arial Narrow"/>
                <w:b/>
                <w:sz w:val="20"/>
              </w:rPr>
              <w:t>N=59</w:t>
            </w:r>
          </w:p>
        </w:tc>
        <w:tc>
          <w:tcPr>
            <w:tcW w:w="1386" w:type="pct"/>
          </w:tcPr>
          <w:p w:rsidR="00633192" w:rsidRPr="00D51B2C" w:rsidRDefault="00633192" w:rsidP="00623DDF">
            <w:pPr>
              <w:widowControl w:val="0"/>
              <w:spacing w:before="40" w:after="40" w:line="256" w:lineRule="auto"/>
              <w:jc w:val="center"/>
              <w:rPr>
                <w:rFonts w:ascii="Arial Narrow" w:hAnsi="Arial Narrow"/>
                <w:b/>
                <w:sz w:val="20"/>
              </w:rPr>
            </w:pPr>
            <w:r w:rsidRPr="00D51B2C">
              <w:rPr>
                <w:rFonts w:ascii="Arial Narrow" w:hAnsi="Arial Narrow"/>
                <w:b/>
                <w:sz w:val="20"/>
              </w:rPr>
              <w:t>Lomustine (Wick 2017) – 2L</w:t>
            </w:r>
          </w:p>
          <w:p w:rsidR="00633192" w:rsidRPr="00D51B2C" w:rsidRDefault="00633192" w:rsidP="00623DDF">
            <w:pPr>
              <w:widowControl w:val="0"/>
              <w:spacing w:before="40" w:after="40" w:line="256" w:lineRule="auto"/>
              <w:jc w:val="center"/>
              <w:rPr>
                <w:rFonts w:ascii="Arial Narrow" w:hAnsi="Arial Narrow"/>
                <w:b/>
                <w:sz w:val="20"/>
              </w:rPr>
            </w:pPr>
            <w:r w:rsidRPr="00D51B2C">
              <w:rPr>
                <w:rFonts w:ascii="Arial Narrow" w:hAnsi="Arial Narrow"/>
                <w:b/>
                <w:sz w:val="20"/>
              </w:rPr>
              <w:t>N=149</w:t>
            </w:r>
          </w:p>
        </w:tc>
      </w:tr>
      <w:tr w:rsidR="00633192" w:rsidRPr="00D51B2C" w:rsidTr="009F5E23">
        <w:tc>
          <w:tcPr>
            <w:tcW w:w="1334" w:type="pct"/>
          </w:tcPr>
          <w:p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Median PFS (months)</w:t>
            </w:r>
          </w:p>
        </w:tc>
        <w:tc>
          <w:tcPr>
            <w:tcW w:w="943"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Not reached</w:t>
            </w:r>
          </w:p>
        </w:tc>
        <w:tc>
          <w:tcPr>
            <w:tcW w:w="1337"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12.2</w:t>
            </w:r>
          </w:p>
        </w:tc>
        <w:tc>
          <w:tcPr>
            <w:tcW w:w="1386"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1.6</w:t>
            </w:r>
          </w:p>
        </w:tc>
      </w:tr>
      <w:tr w:rsidR="00633192" w:rsidRPr="00D51B2C" w:rsidTr="009F5E23">
        <w:tc>
          <w:tcPr>
            <w:tcW w:w="1334" w:type="pct"/>
          </w:tcPr>
          <w:p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PFS at 12 months</w:t>
            </w:r>
          </w:p>
        </w:tc>
        <w:tc>
          <w:tcPr>
            <w:tcW w:w="943"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65%</w:t>
            </w:r>
          </w:p>
        </w:tc>
        <w:tc>
          <w:tcPr>
            <w:tcW w:w="1337"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51%</w:t>
            </w:r>
          </w:p>
        </w:tc>
        <w:tc>
          <w:tcPr>
            <w:tcW w:w="1386"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3%</w:t>
            </w:r>
          </w:p>
        </w:tc>
      </w:tr>
      <w:tr w:rsidR="00633192" w:rsidRPr="00D51B2C" w:rsidTr="009F5E23">
        <w:tc>
          <w:tcPr>
            <w:tcW w:w="1334" w:type="pct"/>
          </w:tcPr>
          <w:p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PFS at 24 months</w:t>
            </w:r>
          </w:p>
        </w:tc>
        <w:tc>
          <w:tcPr>
            <w:tcW w:w="943"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52%</w:t>
            </w:r>
          </w:p>
        </w:tc>
        <w:tc>
          <w:tcPr>
            <w:tcW w:w="1337"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34%</w:t>
            </w:r>
          </w:p>
        </w:tc>
        <w:tc>
          <w:tcPr>
            <w:tcW w:w="1386"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1%</w:t>
            </w:r>
          </w:p>
        </w:tc>
      </w:tr>
      <w:tr w:rsidR="00633192" w:rsidRPr="00D51B2C" w:rsidTr="009F5E23">
        <w:tc>
          <w:tcPr>
            <w:tcW w:w="1334" w:type="pct"/>
          </w:tcPr>
          <w:p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Median OS (months)</w:t>
            </w:r>
          </w:p>
        </w:tc>
        <w:tc>
          <w:tcPr>
            <w:tcW w:w="943"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Not reached</w:t>
            </w:r>
          </w:p>
        </w:tc>
        <w:tc>
          <w:tcPr>
            <w:tcW w:w="1337"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17.7</w:t>
            </w:r>
          </w:p>
        </w:tc>
        <w:tc>
          <w:tcPr>
            <w:tcW w:w="1386"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8.0</w:t>
            </w:r>
          </w:p>
        </w:tc>
      </w:tr>
      <w:tr w:rsidR="00633192" w:rsidRPr="00D51B2C" w:rsidTr="009F5E23">
        <w:tc>
          <w:tcPr>
            <w:tcW w:w="1334" w:type="pct"/>
          </w:tcPr>
          <w:p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OS at 12 months</w:t>
            </w:r>
          </w:p>
        </w:tc>
        <w:tc>
          <w:tcPr>
            <w:tcW w:w="943"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86%</w:t>
            </w:r>
          </w:p>
        </w:tc>
        <w:tc>
          <w:tcPr>
            <w:tcW w:w="1337"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69%</w:t>
            </w:r>
          </w:p>
        </w:tc>
        <w:tc>
          <w:tcPr>
            <w:tcW w:w="1386"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30%</w:t>
            </w:r>
          </w:p>
        </w:tc>
      </w:tr>
      <w:tr w:rsidR="00633192" w:rsidRPr="00D51B2C" w:rsidTr="009F5E23">
        <w:trPr>
          <w:trHeight w:val="312"/>
        </w:trPr>
        <w:tc>
          <w:tcPr>
            <w:tcW w:w="1334" w:type="pct"/>
          </w:tcPr>
          <w:p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OS at 24 months</w:t>
            </w:r>
          </w:p>
        </w:tc>
        <w:tc>
          <w:tcPr>
            <w:tcW w:w="943"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65%</w:t>
            </w:r>
          </w:p>
        </w:tc>
        <w:tc>
          <w:tcPr>
            <w:tcW w:w="1337"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50%</w:t>
            </w:r>
          </w:p>
        </w:tc>
        <w:tc>
          <w:tcPr>
            <w:tcW w:w="1386" w:type="pct"/>
          </w:tcPr>
          <w:p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9%</w:t>
            </w:r>
          </w:p>
        </w:tc>
      </w:tr>
    </w:tbl>
    <w:p w:rsidR="00633192" w:rsidRPr="00D51B2C" w:rsidRDefault="00633192" w:rsidP="00633192">
      <w:pPr>
        <w:pStyle w:val="TableFooter"/>
        <w:rPr>
          <w:sz w:val="16"/>
        </w:rPr>
      </w:pPr>
      <w:r w:rsidRPr="00D51B2C">
        <w:t>Source: Table 2.147, p350 of the resubmission</w:t>
      </w:r>
    </w:p>
    <w:p w:rsidR="00633192" w:rsidRPr="00D51B2C" w:rsidRDefault="00633192" w:rsidP="00633192">
      <w:pPr>
        <w:pStyle w:val="TableFooter"/>
      </w:pPr>
      <w:r w:rsidRPr="00D51B2C">
        <w:t xml:space="preserve">July 2020 data </w:t>
      </w:r>
      <w:r w:rsidR="006D66BE" w:rsidRPr="00D51B2C">
        <w:t>cut-off</w:t>
      </w:r>
      <w:r w:rsidRPr="00D51B2C">
        <w:t xml:space="preserve"> for larotrectinib</w:t>
      </w:r>
    </w:p>
    <w:p w:rsidR="00633192" w:rsidRPr="00D51B2C" w:rsidRDefault="00633192" w:rsidP="00633192">
      <w:pPr>
        <w:pStyle w:val="TableFooter"/>
      </w:pPr>
      <w:r w:rsidRPr="00D51B2C">
        <w:rPr>
          <w:sz w:val="16"/>
        </w:rPr>
        <w:t>RT+TMZ</w:t>
      </w:r>
      <w:r w:rsidRPr="00D51B2C">
        <w:t xml:space="preserve"> = </w:t>
      </w:r>
      <w:r w:rsidRPr="00D51B2C">
        <w:rPr>
          <w:sz w:val="16"/>
        </w:rPr>
        <w:t xml:space="preserve">radiotherapy plus temozolomide; </w:t>
      </w:r>
      <w:r w:rsidRPr="00D51B2C">
        <w:t>PFS = progression-free survival; OS = overall survival; CNC = central nervous system</w:t>
      </w:r>
    </w:p>
    <w:p w:rsidR="00D51B2C" w:rsidRPr="00D51B2C" w:rsidRDefault="00D51B2C" w:rsidP="006909A5">
      <w:pPr>
        <w:pStyle w:val="Caption"/>
      </w:pPr>
      <w:bookmarkStart w:id="66" w:name="_Ref79148132"/>
      <w:r w:rsidRPr="00D51B2C">
        <w:t>Table</w:t>
      </w:r>
      <w:r w:rsidR="00E37EC3">
        <w:t xml:space="preserve"> </w:t>
      </w:r>
      <w:r w:rsidR="00BB3DD1">
        <w:rPr>
          <w:noProof/>
        </w:rPr>
        <w:t>18</w:t>
      </w:r>
      <w:bookmarkEnd w:id="63"/>
      <w:bookmarkEnd w:id="66"/>
      <w:r w:rsidR="00E37EC3">
        <w:rPr>
          <w:noProof/>
        </w:rPr>
        <w:t>:</w:t>
      </w:r>
      <w:r w:rsidR="00D117CD">
        <w:rPr>
          <w:noProof/>
        </w:rPr>
        <w:t xml:space="preserve"> </w:t>
      </w:r>
      <w:r w:rsidRPr="00D51B2C">
        <w:t xml:space="preserve">PFS and OS - </w:t>
      </w:r>
      <w:r w:rsidR="00623DDF">
        <w:t>l</w:t>
      </w:r>
      <w:r w:rsidRPr="00D51B2C">
        <w:t xml:space="preserve">arotrectinib and SoC in adult low frequency </w:t>
      </w:r>
      <w:r w:rsidRPr="00623261">
        <w:rPr>
          <w:i/>
        </w:rPr>
        <w:t>NTRK</w:t>
      </w:r>
      <w:r w:rsidRPr="00D51B2C">
        <w:t xml:space="preserve"> tumours (colorectal tumours and STS)</w:t>
      </w:r>
    </w:p>
    <w:tbl>
      <w:tblPr>
        <w:tblStyle w:val="HTATableshaded20"/>
        <w:tblW w:w="5000" w:type="pct"/>
        <w:tblLook w:val="04A0" w:firstRow="1" w:lastRow="0" w:firstColumn="1" w:lastColumn="0" w:noHBand="0" w:noVBand="1"/>
        <w:tblCaption w:val="Table 18: PFS and OS - larotrectinib and SoC in adult low frequency NTRK tumours (colorectal tumours and STS)"/>
      </w:tblPr>
      <w:tblGrid>
        <w:gridCol w:w="1272"/>
        <w:gridCol w:w="1220"/>
        <w:gridCol w:w="1762"/>
        <w:gridCol w:w="1219"/>
        <w:gridCol w:w="1893"/>
        <w:gridCol w:w="1650"/>
      </w:tblGrid>
      <w:tr w:rsidR="00D51B2C" w:rsidRPr="00D51B2C" w:rsidTr="00623DDF">
        <w:trPr>
          <w:cnfStyle w:val="100000000000" w:firstRow="1" w:lastRow="0" w:firstColumn="0" w:lastColumn="0" w:oddVBand="0" w:evenVBand="0" w:oddHBand="0" w:evenHBand="0" w:firstRowFirstColumn="0" w:firstRowLastColumn="0" w:lastRowFirstColumn="0" w:lastRowLastColumn="0"/>
          <w:tblHeader/>
        </w:trPr>
        <w:tc>
          <w:tcPr>
            <w:tcW w:w="705" w:type="pct"/>
          </w:tcPr>
          <w:p w:rsidR="00D51B2C" w:rsidRPr="00D51B2C" w:rsidRDefault="00D51B2C" w:rsidP="00D51B2C">
            <w:pPr>
              <w:widowControl w:val="0"/>
              <w:spacing w:before="40" w:after="40" w:line="256" w:lineRule="auto"/>
              <w:jc w:val="left"/>
              <w:rPr>
                <w:rFonts w:ascii="Arial Narrow" w:hAnsi="Arial Narrow"/>
                <w:b/>
                <w:sz w:val="20"/>
              </w:rPr>
            </w:pPr>
          </w:p>
        </w:tc>
        <w:tc>
          <w:tcPr>
            <w:tcW w:w="676" w:type="pct"/>
          </w:tcPr>
          <w:p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Larotrectinib (CRC)</w:t>
            </w:r>
          </w:p>
          <w:p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N=8</w:t>
            </w:r>
          </w:p>
        </w:tc>
        <w:tc>
          <w:tcPr>
            <w:tcW w:w="977" w:type="pct"/>
          </w:tcPr>
          <w:p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Trifluridine/tipiracil</w:t>
            </w:r>
            <w:r w:rsidRPr="00D51B2C">
              <w:rPr>
                <w:rFonts w:ascii="Arial Narrow" w:hAnsi="Arial Narrow"/>
                <w:b/>
                <w:sz w:val="20"/>
                <w:vertAlign w:val="superscript"/>
              </w:rPr>
              <w:t>a</w:t>
            </w:r>
            <w:r w:rsidRPr="00D51B2C">
              <w:rPr>
                <w:rFonts w:ascii="Arial Narrow" w:hAnsi="Arial Narrow"/>
                <w:b/>
                <w:sz w:val="20"/>
              </w:rPr>
              <w:t xml:space="preserve"> </w:t>
            </w:r>
            <w:r w:rsidR="00FE7ED3">
              <w:rPr>
                <w:rFonts w:ascii="Arial Narrow" w:hAnsi="Arial Narrow"/>
                <w:b/>
                <w:sz w:val="20"/>
              </w:rPr>
              <w:t>(CRC)</w:t>
            </w:r>
            <w:r w:rsidRPr="00D51B2C">
              <w:rPr>
                <w:rFonts w:ascii="Arial Narrow" w:hAnsi="Arial Narrow"/>
                <w:b/>
                <w:sz w:val="20"/>
              </w:rPr>
              <w:t>(Mayer 2015)</w:t>
            </w:r>
          </w:p>
          <w:p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N=534</w:t>
            </w:r>
          </w:p>
        </w:tc>
        <w:tc>
          <w:tcPr>
            <w:tcW w:w="676" w:type="pct"/>
          </w:tcPr>
          <w:p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Larotrectinib (STS)</w:t>
            </w:r>
          </w:p>
          <w:p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N=23</w:t>
            </w:r>
          </w:p>
        </w:tc>
        <w:tc>
          <w:tcPr>
            <w:tcW w:w="1050" w:type="pct"/>
          </w:tcPr>
          <w:p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Dacarbazine (Schoffski 2016)</w:t>
            </w:r>
          </w:p>
          <w:p w:rsidR="00D51B2C" w:rsidRPr="00D51B2C" w:rsidRDefault="00FE7ED3" w:rsidP="00623DDF">
            <w:pPr>
              <w:widowControl w:val="0"/>
              <w:spacing w:before="40" w:after="40" w:line="256" w:lineRule="auto"/>
              <w:jc w:val="center"/>
              <w:rPr>
                <w:rFonts w:ascii="Arial Narrow" w:hAnsi="Arial Narrow"/>
                <w:b/>
                <w:sz w:val="20"/>
              </w:rPr>
            </w:pPr>
            <w:r>
              <w:rPr>
                <w:rFonts w:ascii="Arial Narrow" w:hAnsi="Arial Narrow"/>
                <w:b/>
                <w:sz w:val="20"/>
              </w:rPr>
              <w:t xml:space="preserve">(STS, </w:t>
            </w:r>
            <w:r w:rsidR="00623DDF">
              <w:rPr>
                <w:rFonts w:ascii="Arial Narrow" w:hAnsi="Arial Narrow"/>
                <w:b/>
                <w:sz w:val="20"/>
              </w:rPr>
              <w:t>l</w:t>
            </w:r>
            <w:r w:rsidR="00D51B2C" w:rsidRPr="00D51B2C">
              <w:rPr>
                <w:rFonts w:ascii="Arial Narrow" w:hAnsi="Arial Narrow"/>
                <w:b/>
                <w:sz w:val="20"/>
              </w:rPr>
              <w:t>iposarcoma or leiomyosarcoma</w:t>
            </w:r>
            <w:r>
              <w:rPr>
                <w:rFonts w:ascii="Arial Narrow" w:hAnsi="Arial Narrow"/>
                <w:b/>
                <w:sz w:val="20"/>
              </w:rPr>
              <w:t>)</w:t>
            </w:r>
          </w:p>
          <w:p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N=224</w:t>
            </w:r>
          </w:p>
        </w:tc>
        <w:tc>
          <w:tcPr>
            <w:tcW w:w="915" w:type="pct"/>
          </w:tcPr>
          <w:p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BSC (van der Graaf 2012)</w:t>
            </w:r>
          </w:p>
          <w:p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(STS)</w:t>
            </w:r>
          </w:p>
          <w:p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N=246</w:t>
            </w:r>
          </w:p>
        </w:tc>
      </w:tr>
      <w:tr w:rsidR="00D51B2C" w:rsidRPr="00D51B2C" w:rsidTr="00623DDF">
        <w:tc>
          <w:tcPr>
            <w:tcW w:w="705" w:type="pct"/>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Median PFS (months)</w:t>
            </w:r>
          </w:p>
        </w:tc>
        <w:tc>
          <w:tcPr>
            <w:tcW w:w="676"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5.5</w:t>
            </w:r>
          </w:p>
        </w:tc>
        <w:tc>
          <w:tcPr>
            <w:tcW w:w="977"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2.0</w:t>
            </w:r>
          </w:p>
        </w:tc>
        <w:tc>
          <w:tcPr>
            <w:tcW w:w="676"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29.2</w:t>
            </w:r>
          </w:p>
        </w:tc>
        <w:tc>
          <w:tcPr>
            <w:tcW w:w="1050"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2.3</w:t>
            </w:r>
          </w:p>
        </w:tc>
        <w:tc>
          <w:tcPr>
            <w:tcW w:w="915"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1.6</w:t>
            </w:r>
          </w:p>
        </w:tc>
      </w:tr>
      <w:tr w:rsidR="00D51B2C" w:rsidRPr="00D51B2C" w:rsidTr="00623DDF">
        <w:tc>
          <w:tcPr>
            <w:tcW w:w="705" w:type="pct"/>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PFS at 12 months</w:t>
            </w:r>
          </w:p>
        </w:tc>
        <w:tc>
          <w:tcPr>
            <w:tcW w:w="676"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33%</w:t>
            </w:r>
          </w:p>
        </w:tc>
        <w:tc>
          <w:tcPr>
            <w:tcW w:w="977"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3%</w:t>
            </w:r>
          </w:p>
        </w:tc>
        <w:tc>
          <w:tcPr>
            <w:tcW w:w="676"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52%</w:t>
            </w:r>
          </w:p>
        </w:tc>
        <w:tc>
          <w:tcPr>
            <w:tcW w:w="1050"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w:t>
            </w:r>
          </w:p>
        </w:tc>
        <w:tc>
          <w:tcPr>
            <w:tcW w:w="915"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1%</w:t>
            </w:r>
          </w:p>
        </w:tc>
      </w:tr>
      <w:tr w:rsidR="00D51B2C" w:rsidRPr="00D51B2C" w:rsidTr="00623DDF">
        <w:tc>
          <w:tcPr>
            <w:tcW w:w="705" w:type="pct"/>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PFS at 24 months</w:t>
            </w:r>
          </w:p>
        </w:tc>
        <w:tc>
          <w:tcPr>
            <w:tcW w:w="676"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33%</w:t>
            </w:r>
          </w:p>
        </w:tc>
        <w:tc>
          <w:tcPr>
            <w:tcW w:w="977" w:type="pct"/>
          </w:tcPr>
          <w:p w:rsidR="00D51B2C" w:rsidRPr="00D51B2C" w:rsidRDefault="00D51B2C" w:rsidP="00623DDF">
            <w:pPr>
              <w:widowControl w:val="0"/>
              <w:spacing w:before="40" w:after="40" w:line="256" w:lineRule="auto"/>
              <w:jc w:val="center"/>
              <w:rPr>
                <w:rFonts w:ascii="Arial Narrow" w:hAnsi="Arial Narrow"/>
                <w:sz w:val="20"/>
                <w:vertAlign w:val="superscript"/>
              </w:rPr>
            </w:pPr>
            <w:r w:rsidRPr="00D51B2C">
              <w:rPr>
                <w:rFonts w:ascii="Arial Narrow" w:hAnsi="Arial Narrow"/>
                <w:sz w:val="20"/>
              </w:rPr>
              <w:t>2%</w:t>
            </w:r>
            <w:r w:rsidRPr="00D51B2C">
              <w:rPr>
                <w:rFonts w:ascii="Arial Narrow" w:hAnsi="Arial Narrow"/>
                <w:sz w:val="20"/>
                <w:vertAlign w:val="superscript"/>
              </w:rPr>
              <w:t>b</w:t>
            </w:r>
          </w:p>
        </w:tc>
        <w:tc>
          <w:tcPr>
            <w:tcW w:w="676"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52%</w:t>
            </w:r>
          </w:p>
        </w:tc>
        <w:tc>
          <w:tcPr>
            <w:tcW w:w="1050"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0%</w:t>
            </w:r>
          </w:p>
        </w:tc>
        <w:tc>
          <w:tcPr>
            <w:tcW w:w="915"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1%</w:t>
            </w:r>
          </w:p>
        </w:tc>
      </w:tr>
      <w:tr w:rsidR="00D51B2C" w:rsidRPr="00D51B2C" w:rsidTr="00623DDF">
        <w:tc>
          <w:tcPr>
            <w:tcW w:w="705" w:type="pct"/>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Median OS (months)</w:t>
            </w:r>
          </w:p>
        </w:tc>
        <w:tc>
          <w:tcPr>
            <w:tcW w:w="676"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29.2</w:t>
            </w:r>
          </w:p>
        </w:tc>
        <w:tc>
          <w:tcPr>
            <w:tcW w:w="977"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7.1</w:t>
            </w:r>
          </w:p>
        </w:tc>
        <w:tc>
          <w:tcPr>
            <w:tcW w:w="676"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Not reached</w:t>
            </w:r>
          </w:p>
        </w:tc>
        <w:tc>
          <w:tcPr>
            <w:tcW w:w="1050"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11.3</w:t>
            </w:r>
          </w:p>
        </w:tc>
        <w:tc>
          <w:tcPr>
            <w:tcW w:w="915"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10.6</w:t>
            </w:r>
          </w:p>
        </w:tc>
      </w:tr>
      <w:tr w:rsidR="00D51B2C" w:rsidRPr="00D51B2C" w:rsidTr="00623DDF">
        <w:tc>
          <w:tcPr>
            <w:tcW w:w="705" w:type="pct"/>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OS at 12 months</w:t>
            </w:r>
          </w:p>
        </w:tc>
        <w:tc>
          <w:tcPr>
            <w:tcW w:w="676"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71%</w:t>
            </w:r>
          </w:p>
        </w:tc>
        <w:tc>
          <w:tcPr>
            <w:tcW w:w="977"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27%</w:t>
            </w:r>
          </w:p>
        </w:tc>
        <w:tc>
          <w:tcPr>
            <w:tcW w:w="676"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85%</w:t>
            </w:r>
          </w:p>
        </w:tc>
        <w:tc>
          <w:tcPr>
            <w:tcW w:w="1050"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47%</w:t>
            </w:r>
          </w:p>
        </w:tc>
        <w:tc>
          <w:tcPr>
            <w:tcW w:w="915"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46%</w:t>
            </w:r>
          </w:p>
        </w:tc>
      </w:tr>
      <w:tr w:rsidR="00D51B2C" w:rsidRPr="00D51B2C" w:rsidTr="00623DDF">
        <w:tc>
          <w:tcPr>
            <w:tcW w:w="705" w:type="pct"/>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OS at 24 months</w:t>
            </w:r>
          </w:p>
        </w:tc>
        <w:tc>
          <w:tcPr>
            <w:tcW w:w="676"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71%</w:t>
            </w:r>
          </w:p>
        </w:tc>
        <w:tc>
          <w:tcPr>
            <w:tcW w:w="977" w:type="pct"/>
          </w:tcPr>
          <w:p w:rsidR="00D51B2C" w:rsidRPr="00D51B2C" w:rsidRDefault="00D51B2C" w:rsidP="00623DDF">
            <w:pPr>
              <w:widowControl w:val="0"/>
              <w:spacing w:before="40" w:after="40" w:line="256" w:lineRule="auto"/>
              <w:jc w:val="center"/>
              <w:rPr>
                <w:rFonts w:ascii="Arial Narrow" w:hAnsi="Arial Narrow"/>
                <w:sz w:val="20"/>
                <w:vertAlign w:val="superscript"/>
              </w:rPr>
            </w:pPr>
            <w:r w:rsidRPr="00D51B2C">
              <w:rPr>
                <w:rFonts w:ascii="Arial Narrow" w:hAnsi="Arial Narrow"/>
                <w:sz w:val="20"/>
              </w:rPr>
              <w:t>12%</w:t>
            </w:r>
            <w:r w:rsidRPr="00D51B2C">
              <w:rPr>
                <w:rFonts w:ascii="Arial Narrow" w:hAnsi="Arial Narrow"/>
                <w:sz w:val="20"/>
                <w:vertAlign w:val="superscript"/>
              </w:rPr>
              <w:t>b</w:t>
            </w:r>
          </w:p>
        </w:tc>
        <w:tc>
          <w:tcPr>
            <w:tcW w:w="676"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70%</w:t>
            </w:r>
          </w:p>
        </w:tc>
        <w:tc>
          <w:tcPr>
            <w:tcW w:w="1050"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20%</w:t>
            </w:r>
          </w:p>
        </w:tc>
        <w:tc>
          <w:tcPr>
            <w:tcW w:w="915" w:type="pct"/>
          </w:tcPr>
          <w:p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23%</w:t>
            </w:r>
          </w:p>
        </w:tc>
      </w:tr>
    </w:tbl>
    <w:p w:rsidR="00D51B2C" w:rsidRPr="00D51B2C" w:rsidRDefault="00D51B2C" w:rsidP="006909A5">
      <w:pPr>
        <w:pStyle w:val="TableFooter"/>
        <w:rPr>
          <w:sz w:val="16"/>
        </w:rPr>
      </w:pPr>
      <w:r w:rsidRPr="00D51B2C">
        <w:t>Source: Table 2.144, p349 of the submission</w:t>
      </w:r>
    </w:p>
    <w:p w:rsidR="00D51B2C" w:rsidRPr="00D51B2C" w:rsidRDefault="00D51B2C" w:rsidP="006909A5">
      <w:pPr>
        <w:pStyle w:val="TableFooter"/>
      </w:pPr>
      <w:r w:rsidRPr="00D51B2C">
        <w:t xml:space="preserve">July 2020 data </w:t>
      </w:r>
      <w:r w:rsidR="006D66BE" w:rsidRPr="00D51B2C">
        <w:t>cut-off</w:t>
      </w:r>
      <w:r w:rsidRPr="00D51B2C">
        <w:t xml:space="preserve"> for larotrectinib</w:t>
      </w:r>
    </w:p>
    <w:p w:rsidR="00D51B2C" w:rsidRPr="00D51B2C" w:rsidRDefault="00D51B2C" w:rsidP="006909A5">
      <w:pPr>
        <w:pStyle w:val="TableFooter"/>
      </w:pPr>
      <w:r w:rsidRPr="00D51B2C">
        <w:rPr>
          <w:vertAlign w:val="superscript"/>
        </w:rPr>
        <w:t>a</w:t>
      </w:r>
      <w:r w:rsidRPr="00D51B2C">
        <w:t>In the previous submission (November 020 PBAC Meeting), the SoC arm was the placebo/BSC arm of Mayer 2015, whereas in the resubmission, the trifluridine/tipiracil arm was the nominated SoC arm.</w:t>
      </w:r>
    </w:p>
    <w:p w:rsidR="00D51B2C" w:rsidRPr="00D117CD" w:rsidRDefault="00D51B2C" w:rsidP="006909A5">
      <w:pPr>
        <w:pStyle w:val="TableFooter"/>
        <w:rPr>
          <w:iCs/>
        </w:rPr>
      </w:pPr>
      <w:r w:rsidRPr="00D117CD">
        <w:rPr>
          <w:iCs/>
          <w:vertAlign w:val="superscript"/>
        </w:rPr>
        <w:t>b</w:t>
      </w:r>
      <w:r w:rsidRPr="00D117CD">
        <w:rPr>
          <w:iCs/>
        </w:rPr>
        <w:t>24 month rates could not be identified from the publication</w:t>
      </w:r>
    </w:p>
    <w:p w:rsidR="00D51B2C" w:rsidRPr="00D51B2C" w:rsidRDefault="00D51B2C" w:rsidP="00CF775E">
      <w:pPr>
        <w:pStyle w:val="Caption"/>
        <w:keepLines/>
      </w:pPr>
      <w:bookmarkStart w:id="67" w:name="_Ref79148135"/>
      <w:r w:rsidRPr="00D51B2C">
        <w:t>Table</w:t>
      </w:r>
      <w:r w:rsidR="00E37EC3">
        <w:t xml:space="preserve"> </w:t>
      </w:r>
      <w:r w:rsidR="00BB3DD1">
        <w:rPr>
          <w:noProof/>
        </w:rPr>
        <w:t>19</w:t>
      </w:r>
      <w:bookmarkEnd w:id="67"/>
      <w:r w:rsidR="00E37EC3">
        <w:rPr>
          <w:noProof/>
        </w:rPr>
        <w:t>:</w:t>
      </w:r>
      <w:r w:rsidR="00D117CD">
        <w:rPr>
          <w:noProof/>
        </w:rPr>
        <w:t xml:space="preserve"> </w:t>
      </w:r>
      <w:r w:rsidRPr="00D51B2C">
        <w:t xml:space="preserve">PFS and OS - </w:t>
      </w:r>
      <w:r w:rsidR="00623DDF">
        <w:t>l</w:t>
      </w:r>
      <w:r w:rsidRPr="00D51B2C">
        <w:t xml:space="preserve">arotrectinib and SoC in adult low frequency </w:t>
      </w:r>
      <w:r w:rsidRPr="00D51B2C">
        <w:rPr>
          <w:i/>
        </w:rPr>
        <w:t>NTRK</w:t>
      </w:r>
      <w:r w:rsidRPr="00D51B2C">
        <w:t xml:space="preserve"> NSCLC and thyroid tumour types</w:t>
      </w:r>
    </w:p>
    <w:tbl>
      <w:tblPr>
        <w:tblStyle w:val="HTATableshaded20"/>
        <w:tblW w:w="5000" w:type="pct"/>
        <w:tblLook w:val="04A0" w:firstRow="1" w:lastRow="0" w:firstColumn="1" w:lastColumn="0" w:noHBand="0" w:noVBand="1"/>
        <w:tblCaption w:val="Table 19: PFS and OS - larotrectinib and SoC in adult low frequency NTRK NSCLC and thyroid tumour types"/>
      </w:tblPr>
      <w:tblGrid>
        <w:gridCol w:w="1086"/>
        <w:gridCol w:w="1219"/>
        <w:gridCol w:w="992"/>
        <w:gridCol w:w="1228"/>
        <w:gridCol w:w="1497"/>
        <w:gridCol w:w="1497"/>
        <w:gridCol w:w="1497"/>
      </w:tblGrid>
      <w:tr w:rsidR="00D51B2C" w:rsidRPr="00D51B2C" w:rsidTr="006909A5">
        <w:trPr>
          <w:cnfStyle w:val="100000000000" w:firstRow="1" w:lastRow="0" w:firstColumn="0" w:lastColumn="0" w:oddVBand="0" w:evenVBand="0" w:oddHBand="0" w:evenHBand="0" w:firstRowFirstColumn="0" w:firstRowLastColumn="0" w:lastRowFirstColumn="0" w:lastRowLastColumn="0"/>
          <w:tblHeader/>
        </w:trPr>
        <w:tc>
          <w:tcPr>
            <w:tcW w:w="603" w:type="pct"/>
          </w:tcPr>
          <w:p w:rsidR="00D51B2C" w:rsidRPr="00D51B2C" w:rsidRDefault="00D51B2C" w:rsidP="00CF775E">
            <w:pPr>
              <w:keepNext/>
              <w:keepLines/>
              <w:widowControl w:val="0"/>
              <w:spacing w:before="0" w:after="0"/>
              <w:jc w:val="left"/>
              <w:rPr>
                <w:rFonts w:ascii="Arial Narrow" w:hAnsi="Arial Narrow"/>
                <w:sz w:val="20"/>
              </w:rPr>
            </w:pPr>
          </w:p>
        </w:tc>
        <w:tc>
          <w:tcPr>
            <w:tcW w:w="676" w:type="pct"/>
          </w:tcPr>
          <w:p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Larotrectinib (NSCLC)</w:t>
            </w:r>
          </w:p>
          <w:p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N=15</w:t>
            </w:r>
          </w:p>
        </w:tc>
        <w:tc>
          <w:tcPr>
            <w:tcW w:w="550" w:type="pct"/>
          </w:tcPr>
          <w:p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Docetaxel (Borghaei 2015)</w:t>
            </w:r>
          </w:p>
          <w:p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(NSCLC)</w:t>
            </w:r>
          </w:p>
          <w:p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N=290</w:t>
            </w:r>
          </w:p>
        </w:tc>
        <w:tc>
          <w:tcPr>
            <w:tcW w:w="681" w:type="pct"/>
          </w:tcPr>
          <w:p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BSC (Shepherd 2005)</w:t>
            </w:r>
          </w:p>
          <w:p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(NSCLC)</w:t>
            </w:r>
          </w:p>
          <w:p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N=243</w:t>
            </w:r>
          </w:p>
        </w:tc>
        <w:tc>
          <w:tcPr>
            <w:tcW w:w="830" w:type="pct"/>
          </w:tcPr>
          <w:p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Larotrectinib (thyroid)</w:t>
            </w:r>
          </w:p>
          <w:p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N=28</w:t>
            </w:r>
          </w:p>
        </w:tc>
        <w:tc>
          <w:tcPr>
            <w:tcW w:w="830" w:type="pct"/>
          </w:tcPr>
          <w:p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BSC (Schlumberger 2015)</w:t>
            </w:r>
          </w:p>
          <w:p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(thyroid)</w:t>
            </w:r>
          </w:p>
          <w:p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N=131</w:t>
            </w:r>
          </w:p>
        </w:tc>
        <w:tc>
          <w:tcPr>
            <w:tcW w:w="830" w:type="pct"/>
          </w:tcPr>
          <w:p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Lenvatinib (Schlumberger 2015)</w:t>
            </w:r>
          </w:p>
          <w:p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(thyroid)</w:t>
            </w:r>
          </w:p>
          <w:p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N=261</w:t>
            </w:r>
          </w:p>
        </w:tc>
      </w:tr>
      <w:tr w:rsidR="00D51B2C" w:rsidRPr="00D51B2C" w:rsidTr="00D51B2C">
        <w:tc>
          <w:tcPr>
            <w:tcW w:w="603" w:type="pct"/>
          </w:tcPr>
          <w:p w:rsidR="00D51B2C" w:rsidRPr="00D51B2C" w:rsidRDefault="00D51B2C" w:rsidP="00CF775E">
            <w:pPr>
              <w:keepNext/>
              <w:keepLines/>
              <w:widowControl w:val="0"/>
              <w:spacing w:before="40" w:after="40" w:line="256" w:lineRule="auto"/>
              <w:jc w:val="left"/>
              <w:rPr>
                <w:rFonts w:ascii="Arial Narrow" w:hAnsi="Arial Narrow"/>
                <w:sz w:val="20"/>
              </w:rPr>
            </w:pPr>
            <w:r w:rsidRPr="00D51B2C">
              <w:rPr>
                <w:rFonts w:ascii="Arial Narrow" w:hAnsi="Arial Narrow"/>
                <w:sz w:val="20"/>
              </w:rPr>
              <w:t>Median PFS (months)</w:t>
            </w:r>
          </w:p>
        </w:tc>
        <w:tc>
          <w:tcPr>
            <w:tcW w:w="676"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32.9</w:t>
            </w:r>
          </w:p>
        </w:tc>
        <w:tc>
          <w:tcPr>
            <w:tcW w:w="55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4.4</w:t>
            </w:r>
          </w:p>
        </w:tc>
        <w:tc>
          <w:tcPr>
            <w:tcW w:w="681"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1.6</w:t>
            </w:r>
          </w:p>
        </w:tc>
        <w:tc>
          <w:tcPr>
            <w:tcW w:w="83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34.3</w:t>
            </w:r>
          </w:p>
        </w:tc>
        <w:tc>
          <w:tcPr>
            <w:tcW w:w="83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3.7</w:t>
            </w:r>
          </w:p>
        </w:tc>
        <w:tc>
          <w:tcPr>
            <w:tcW w:w="83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18.4</w:t>
            </w:r>
          </w:p>
        </w:tc>
      </w:tr>
      <w:tr w:rsidR="00D51B2C" w:rsidRPr="00D51B2C" w:rsidTr="00D51B2C">
        <w:tc>
          <w:tcPr>
            <w:tcW w:w="603" w:type="pct"/>
          </w:tcPr>
          <w:p w:rsidR="00D51B2C" w:rsidRPr="00D51B2C" w:rsidRDefault="00D51B2C" w:rsidP="00CF775E">
            <w:pPr>
              <w:keepNext/>
              <w:keepLines/>
              <w:widowControl w:val="0"/>
              <w:spacing w:before="40" w:after="40" w:line="256" w:lineRule="auto"/>
              <w:jc w:val="left"/>
              <w:rPr>
                <w:rFonts w:ascii="Arial Narrow" w:hAnsi="Arial Narrow"/>
                <w:sz w:val="20"/>
              </w:rPr>
            </w:pPr>
            <w:r w:rsidRPr="00D51B2C">
              <w:rPr>
                <w:rFonts w:ascii="Arial Narrow" w:hAnsi="Arial Narrow"/>
                <w:sz w:val="20"/>
              </w:rPr>
              <w:t>PFS at 12 months</w:t>
            </w:r>
          </w:p>
        </w:tc>
        <w:tc>
          <w:tcPr>
            <w:tcW w:w="676"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62%</w:t>
            </w:r>
          </w:p>
        </w:tc>
        <w:tc>
          <w:tcPr>
            <w:tcW w:w="55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8%</w:t>
            </w:r>
          </w:p>
        </w:tc>
        <w:tc>
          <w:tcPr>
            <w:tcW w:w="681"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2%</w:t>
            </w:r>
          </w:p>
        </w:tc>
        <w:tc>
          <w:tcPr>
            <w:tcW w:w="83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75%</w:t>
            </w:r>
          </w:p>
        </w:tc>
        <w:tc>
          <w:tcPr>
            <w:tcW w:w="83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10%</w:t>
            </w:r>
          </w:p>
        </w:tc>
        <w:tc>
          <w:tcPr>
            <w:tcW w:w="83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63%</w:t>
            </w:r>
          </w:p>
        </w:tc>
      </w:tr>
      <w:tr w:rsidR="00D51B2C" w:rsidRPr="00D51B2C" w:rsidTr="00D51B2C">
        <w:tc>
          <w:tcPr>
            <w:tcW w:w="603" w:type="pct"/>
          </w:tcPr>
          <w:p w:rsidR="00D51B2C" w:rsidRPr="00D51B2C" w:rsidRDefault="00D51B2C" w:rsidP="00CF775E">
            <w:pPr>
              <w:keepNext/>
              <w:keepLines/>
              <w:widowControl w:val="0"/>
              <w:spacing w:before="40" w:after="40" w:line="256" w:lineRule="auto"/>
              <w:jc w:val="left"/>
              <w:rPr>
                <w:rFonts w:ascii="Arial Narrow" w:hAnsi="Arial Narrow"/>
                <w:sz w:val="20"/>
              </w:rPr>
            </w:pPr>
            <w:r w:rsidRPr="00D51B2C">
              <w:rPr>
                <w:rFonts w:ascii="Arial Narrow" w:hAnsi="Arial Narrow"/>
                <w:sz w:val="20"/>
              </w:rPr>
              <w:t>PFS at 24 months</w:t>
            </w:r>
          </w:p>
        </w:tc>
        <w:tc>
          <w:tcPr>
            <w:tcW w:w="676"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62%</w:t>
            </w:r>
          </w:p>
        </w:tc>
        <w:tc>
          <w:tcPr>
            <w:tcW w:w="55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3%</w:t>
            </w:r>
          </w:p>
        </w:tc>
        <w:tc>
          <w:tcPr>
            <w:tcW w:w="681"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2%</w:t>
            </w:r>
          </w:p>
        </w:tc>
        <w:tc>
          <w:tcPr>
            <w:tcW w:w="83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62%</w:t>
            </w:r>
          </w:p>
        </w:tc>
        <w:tc>
          <w:tcPr>
            <w:tcW w:w="83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4%</w:t>
            </w:r>
          </w:p>
        </w:tc>
        <w:tc>
          <w:tcPr>
            <w:tcW w:w="83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45%</w:t>
            </w:r>
          </w:p>
        </w:tc>
      </w:tr>
      <w:tr w:rsidR="00D51B2C" w:rsidRPr="00D51B2C" w:rsidTr="00D51B2C">
        <w:tc>
          <w:tcPr>
            <w:tcW w:w="603" w:type="pct"/>
          </w:tcPr>
          <w:p w:rsidR="00D51B2C" w:rsidRPr="00D51B2C" w:rsidRDefault="00D51B2C" w:rsidP="00CF775E">
            <w:pPr>
              <w:keepNext/>
              <w:keepLines/>
              <w:widowControl w:val="0"/>
              <w:spacing w:before="40" w:after="40" w:line="256" w:lineRule="auto"/>
              <w:jc w:val="left"/>
              <w:rPr>
                <w:rFonts w:ascii="Arial Narrow" w:hAnsi="Arial Narrow"/>
                <w:sz w:val="20"/>
              </w:rPr>
            </w:pPr>
            <w:r w:rsidRPr="00D51B2C">
              <w:rPr>
                <w:rFonts w:ascii="Arial Narrow" w:hAnsi="Arial Narrow"/>
                <w:sz w:val="20"/>
              </w:rPr>
              <w:t>Median OS (months)</w:t>
            </w:r>
          </w:p>
        </w:tc>
        <w:tc>
          <w:tcPr>
            <w:tcW w:w="676"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40.5</w:t>
            </w:r>
          </w:p>
        </w:tc>
        <w:tc>
          <w:tcPr>
            <w:tcW w:w="55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9.4</w:t>
            </w:r>
          </w:p>
        </w:tc>
        <w:tc>
          <w:tcPr>
            <w:tcW w:w="681"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4.6</w:t>
            </w:r>
          </w:p>
        </w:tc>
        <w:tc>
          <w:tcPr>
            <w:tcW w:w="83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Not reached</w:t>
            </w:r>
          </w:p>
        </w:tc>
        <w:tc>
          <w:tcPr>
            <w:tcW w:w="83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Not reached</w:t>
            </w:r>
          </w:p>
        </w:tc>
        <w:tc>
          <w:tcPr>
            <w:tcW w:w="83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Not reached</w:t>
            </w:r>
          </w:p>
        </w:tc>
      </w:tr>
      <w:tr w:rsidR="00D51B2C" w:rsidRPr="00D51B2C" w:rsidTr="00D51B2C">
        <w:tc>
          <w:tcPr>
            <w:tcW w:w="603" w:type="pct"/>
          </w:tcPr>
          <w:p w:rsidR="00D51B2C" w:rsidRPr="00D51B2C" w:rsidRDefault="00D51B2C" w:rsidP="00CF775E">
            <w:pPr>
              <w:keepNext/>
              <w:keepLines/>
              <w:widowControl w:val="0"/>
              <w:spacing w:before="40" w:after="40" w:line="256" w:lineRule="auto"/>
              <w:jc w:val="left"/>
              <w:rPr>
                <w:rFonts w:ascii="Arial Narrow" w:hAnsi="Arial Narrow"/>
                <w:sz w:val="20"/>
              </w:rPr>
            </w:pPr>
            <w:r w:rsidRPr="00D51B2C">
              <w:rPr>
                <w:rFonts w:ascii="Arial Narrow" w:hAnsi="Arial Narrow"/>
                <w:sz w:val="20"/>
              </w:rPr>
              <w:t>OS at 12 months</w:t>
            </w:r>
          </w:p>
        </w:tc>
        <w:tc>
          <w:tcPr>
            <w:tcW w:w="676"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86%</w:t>
            </w:r>
          </w:p>
        </w:tc>
        <w:tc>
          <w:tcPr>
            <w:tcW w:w="55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40%</w:t>
            </w:r>
          </w:p>
        </w:tc>
        <w:tc>
          <w:tcPr>
            <w:tcW w:w="681"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21%</w:t>
            </w:r>
          </w:p>
        </w:tc>
        <w:tc>
          <w:tcPr>
            <w:tcW w:w="83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88%</w:t>
            </w:r>
          </w:p>
        </w:tc>
        <w:tc>
          <w:tcPr>
            <w:tcW w:w="83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76%</w:t>
            </w:r>
          </w:p>
        </w:tc>
        <w:tc>
          <w:tcPr>
            <w:tcW w:w="83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82%</w:t>
            </w:r>
          </w:p>
        </w:tc>
      </w:tr>
      <w:tr w:rsidR="00D51B2C" w:rsidRPr="00D51B2C" w:rsidTr="00D51B2C">
        <w:tc>
          <w:tcPr>
            <w:tcW w:w="603" w:type="pct"/>
          </w:tcPr>
          <w:p w:rsidR="00D51B2C" w:rsidRPr="00D51B2C" w:rsidRDefault="00D51B2C" w:rsidP="00CF775E">
            <w:pPr>
              <w:keepNext/>
              <w:keepLines/>
              <w:widowControl w:val="0"/>
              <w:spacing w:before="40" w:after="40" w:line="256" w:lineRule="auto"/>
              <w:jc w:val="left"/>
              <w:rPr>
                <w:rFonts w:ascii="Arial Narrow" w:hAnsi="Arial Narrow"/>
                <w:sz w:val="20"/>
              </w:rPr>
            </w:pPr>
            <w:r w:rsidRPr="00D51B2C">
              <w:rPr>
                <w:rFonts w:ascii="Arial Narrow" w:hAnsi="Arial Narrow"/>
                <w:sz w:val="20"/>
              </w:rPr>
              <w:t>OS at 24 months</w:t>
            </w:r>
          </w:p>
        </w:tc>
        <w:tc>
          <w:tcPr>
            <w:tcW w:w="676"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75%</w:t>
            </w:r>
          </w:p>
        </w:tc>
        <w:tc>
          <w:tcPr>
            <w:tcW w:w="55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13%</w:t>
            </w:r>
          </w:p>
        </w:tc>
        <w:tc>
          <w:tcPr>
            <w:tcW w:w="681"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2%</w:t>
            </w:r>
          </w:p>
        </w:tc>
        <w:tc>
          <w:tcPr>
            <w:tcW w:w="83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73%</w:t>
            </w:r>
          </w:p>
        </w:tc>
        <w:tc>
          <w:tcPr>
            <w:tcW w:w="83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55%</w:t>
            </w:r>
          </w:p>
        </w:tc>
        <w:tc>
          <w:tcPr>
            <w:tcW w:w="830" w:type="pct"/>
          </w:tcPr>
          <w:p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58%</w:t>
            </w:r>
          </w:p>
        </w:tc>
      </w:tr>
    </w:tbl>
    <w:p w:rsidR="00D51B2C" w:rsidRPr="00D51B2C" w:rsidRDefault="00D51B2C" w:rsidP="00CF775E">
      <w:pPr>
        <w:pStyle w:val="TableFooter"/>
        <w:keepNext/>
        <w:keepLines/>
        <w:rPr>
          <w:sz w:val="16"/>
        </w:rPr>
      </w:pPr>
      <w:r w:rsidRPr="00D51B2C">
        <w:t>Source: Table 2.145, p349 of the submission</w:t>
      </w:r>
    </w:p>
    <w:p w:rsidR="00D51B2C" w:rsidRPr="00D51B2C" w:rsidRDefault="00D51B2C" w:rsidP="00CF775E">
      <w:pPr>
        <w:pStyle w:val="TableFooter"/>
        <w:keepNext/>
        <w:keepLines/>
      </w:pPr>
      <w:r w:rsidRPr="00D51B2C">
        <w:t xml:space="preserve">July 2020 data </w:t>
      </w:r>
      <w:r w:rsidR="006D66BE" w:rsidRPr="00D51B2C">
        <w:t>cut-off</w:t>
      </w:r>
      <w:r w:rsidRPr="00D51B2C">
        <w:t xml:space="preserve"> for larotrectinib</w:t>
      </w:r>
    </w:p>
    <w:p w:rsidR="00D51B2C" w:rsidRPr="00D51B2C" w:rsidRDefault="00FE7ED3" w:rsidP="006909A5">
      <w:pPr>
        <w:pStyle w:val="TableFooter"/>
      </w:pPr>
      <w:r>
        <w:t>NSCLC</w:t>
      </w:r>
      <w:r w:rsidRPr="00D51B2C">
        <w:t xml:space="preserve"> = </w:t>
      </w:r>
      <w:r>
        <w:t>non-small cell lung cancer; BSC = best supportive care</w:t>
      </w:r>
      <w:r w:rsidR="00D51B2C" w:rsidRPr="00D51B2C">
        <w:t>; PFS</w:t>
      </w:r>
      <w:r w:rsidRPr="00D51B2C">
        <w:t xml:space="preserve"> = </w:t>
      </w:r>
      <w:r w:rsidR="00D51B2C" w:rsidRPr="00D51B2C">
        <w:t>progression-free survival; OS</w:t>
      </w:r>
      <w:r w:rsidRPr="00D51B2C">
        <w:t xml:space="preserve"> = </w:t>
      </w:r>
      <w:r w:rsidR="00D51B2C" w:rsidRPr="00D51B2C">
        <w:t>overall survival</w:t>
      </w:r>
    </w:p>
    <w:p w:rsidR="009F5E23" w:rsidRPr="005E7404" w:rsidRDefault="009F5E23" w:rsidP="00D51B2C">
      <w:pPr>
        <w:numPr>
          <w:ilvl w:val="4"/>
          <w:numId w:val="1"/>
        </w:numPr>
        <w:rPr>
          <w:color w:val="000000" w:themeColor="text1"/>
        </w:rPr>
      </w:pPr>
      <w:r w:rsidRPr="00620607">
        <w:rPr>
          <w:b/>
          <w:color w:val="000000" w:themeColor="text1"/>
        </w:rPr>
        <w:t>Paediatric high frequency:</w:t>
      </w:r>
      <w:r w:rsidRPr="005E7404">
        <w:rPr>
          <w:color w:val="000000" w:themeColor="text1"/>
        </w:rPr>
        <w:t xml:space="preserve"> For </w:t>
      </w:r>
      <w:r w:rsidRPr="005E7404">
        <w:rPr>
          <w:color w:val="000000" w:themeColor="text1"/>
          <w:u w:val="single"/>
        </w:rPr>
        <w:t>STS/IFS</w:t>
      </w:r>
      <w:r w:rsidRPr="005E7404">
        <w:rPr>
          <w:color w:val="000000" w:themeColor="text1"/>
        </w:rPr>
        <w:t xml:space="preserve">, the median PFS duration was 34.7 months and the median OS was not reached. These were much higher than those observed for </w:t>
      </w:r>
      <w:r w:rsidRPr="005E7404">
        <w:rPr>
          <w:color w:val="000000" w:themeColor="text1"/>
          <w:u w:val="single"/>
        </w:rPr>
        <w:t>STS</w:t>
      </w:r>
      <w:r w:rsidRPr="005E7404">
        <w:rPr>
          <w:color w:val="000000" w:themeColor="text1"/>
        </w:rPr>
        <w:t xml:space="preserve"> SoC: Median PFS and OS values for first line SoC in STS were 15.6 and 22.1 months, respectively, and for second line SoC in STS, 8.0 and 15.9 months, respectively. The STS comparator studies, Sandler et al. (2001) and Mascarenhas et al. (2010), only enrolled patients with the histological STS subtype of rhabdomyosarcoma. The larotrectinib data included both IFS (a non-rhabdomyosarcoma subtype of STS that accounts for approximately 1-2% of all paediatric STS cases) and other STS tumour types, though IFS was the predominant subtype of the larotrectinib cohort (61% of the larotrectinib NTRK fusion positive STS cohort). For the paediatric population overall, this analysis is informative.</w:t>
      </w:r>
    </w:p>
    <w:p w:rsidR="00D51B2C" w:rsidRPr="00D51B2C" w:rsidRDefault="00D51B2C" w:rsidP="00D51B2C">
      <w:pPr>
        <w:numPr>
          <w:ilvl w:val="4"/>
          <w:numId w:val="1"/>
        </w:numPr>
        <w:rPr>
          <w:color w:val="000000" w:themeColor="text1"/>
        </w:rPr>
      </w:pPr>
      <w:r w:rsidRPr="00D51B2C">
        <w:rPr>
          <w:color w:val="000000" w:themeColor="text1"/>
        </w:rPr>
        <w:t>Adult high frequency (salivary gland, MASC): The median PFS duration was 55.7 months for larotrectinib compared with 6.9 months in the SoC arm. The PFS rate at 24 months was much higher for larotrectinib (78%) compared to SoC (10%). The median duration of OS was not reached for larotrectinib compared with 10.8 months in the SoC arm. The OS rate at 24 months was 91% in patients treated with larotrectinib compared to 19% in the SoC arm.</w:t>
      </w:r>
    </w:p>
    <w:p w:rsidR="009F5E23" w:rsidRDefault="009F5E23" w:rsidP="00D51B2C">
      <w:pPr>
        <w:numPr>
          <w:ilvl w:val="4"/>
          <w:numId w:val="1"/>
        </w:numPr>
        <w:rPr>
          <w:color w:val="000000" w:themeColor="text1"/>
        </w:rPr>
      </w:pPr>
      <w:r w:rsidRPr="00D51B2C">
        <w:rPr>
          <w:color w:val="000000" w:themeColor="text1"/>
        </w:rPr>
        <w:t>Paediatric low frequency (CNS/glioma)</w:t>
      </w:r>
      <w:r>
        <w:rPr>
          <w:color w:val="000000" w:themeColor="text1"/>
        </w:rPr>
        <w:t>:</w:t>
      </w:r>
      <w:r w:rsidRPr="00D51B2C">
        <w:rPr>
          <w:color w:val="000000" w:themeColor="text1"/>
        </w:rPr>
        <w:t xml:space="preserve"> </w:t>
      </w:r>
      <w:r w:rsidR="00C35BD5">
        <w:rPr>
          <w:color w:val="000000" w:themeColor="text1"/>
        </w:rPr>
        <w:t>T</w:t>
      </w:r>
      <w:r w:rsidRPr="00D51B2C">
        <w:rPr>
          <w:color w:val="000000" w:themeColor="text1"/>
        </w:rPr>
        <w:t>he median PFS and OS durations were not reached</w:t>
      </w:r>
      <w:r w:rsidR="00C35BD5">
        <w:rPr>
          <w:color w:val="000000" w:themeColor="text1"/>
        </w:rPr>
        <w:t xml:space="preserve"> for larotrectinib treated patients in the later line setting</w:t>
      </w:r>
      <w:r w:rsidRPr="00D51B2C">
        <w:rPr>
          <w:color w:val="000000" w:themeColor="text1"/>
        </w:rPr>
        <w:t xml:space="preserve">. Median PFS and OS values for first line SoC in CNS tumours </w:t>
      </w:r>
      <w:r w:rsidR="0033113D">
        <w:rPr>
          <w:color w:val="000000" w:themeColor="text1"/>
        </w:rPr>
        <w:t>at</w:t>
      </w:r>
      <w:r w:rsidR="0033113D" w:rsidRPr="00D51B2C">
        <w:rPr>
          <w:color w:val="000000" w:themeColor="text1"/>
        </w:rPr>
        <w:t xml:space="preserve"> </w:t>
      </w:r>
      <w:r w:rsidRPr="00D51B2C">
        <w:rPr>
          <w:color w:val="000000" w:themeColor="text1"/>
        </w:rPr>
        <w:t xml:space="preserve">12.2 and 17.1 months respectively, were </w:t>
      </w:r>
      <w:r w:rsidR="0033113D">
        <w:rPr>
          <w:color w:val="000000" w:themeColor="text1"/>
        </w:rPr>
        <w:t>longer than for</w:t>
      </w:r>
      <w:r w:rsidRPr="00D51B2C">
        <w:rPr>
          <w:color w:val="000000" w:themeColor="text1"/>
        </w:rPr>
        <w:t xml:space="preserve"> second line SoC,</w:t>
      </w:r>
      <w:r w:rsidR="0033113D">
        <w:rPr>
          <w:color w:val="000000" w:themeColor="text1"/>
        </w:rPr>
        <w:t xml:space="preserve"> at</w:t>
      </w:r>
      <w:r w:rsidRPr="00D51B2C">
        <w:rPr>
          <w:color w:val="000000" w:themeColor="text1"/>
        </w:rPr>
        <w:t xml:space="preserve"> 1.6 months and 8.0 months, respectively. OS rates at 12 and 24 months for CNS patients treated with larotrectinib were 86% and 65% respectively, compa</w:t>
      </w:r>
      <w:r w:rsidRPr="005E7404">
        <w:rPr>
          <w:color w:val="000000" w:themeColor="text1"/>
        </w:rPr>
        <w:t>red to those for first line SoC (69% and 50%, respectively) or second line SoC (30% and 9%, respectively). The SoC Wick 2017 study, which was conducted in adults with progressive glioblastoma, was used as a proxy for this paediatric population. The impact of any important differences in disease severity and prognosis, by age, on the incremental benefit of larotrectinib is difficult to determine from the available data.</w:t>
      </w:r>
    </w:p>
    <w:p w:rsidR="00D51B2C" w:rsidRPr="00CF775E" w:rsidRDefault="00D51B2C" w:rsidP="00CF775E">
      <w:pPr>
        <w:numPr>
          <w:ilvl w:val="4"/>
          <w:numId w:val="1"/>
        </w:numPr>
        <w:rPr>
          <w:color w:val="000000" w:themeColor="text1"/>
        </w:rPr>
      </w:pPr>
      <w:r w:rsidRPr="00D51B2C">
        <w:rPr>
          <w:color w:val="000000" w:themeColor="text1"/>
        </w:rPr>
        <w:t>Adult low frequency:</w:t>
      </w:r>
      <w:r w:rsidR="00CF775E">
        <w:rPr>
          <w:color w:val="000000" w:themeColor="text1"/>
        </w:rPr>
        <w:t xml:space="preserve"> </w:t>
      </w:r>
      <w:r w:rsidRPr="00CF775E">
        <w:rPr>
          <w:color w:val="000000" w:themeColor="text1"/>
        </w:rPr>
        <w:t>For CRC, median PFS was 5.5 months for larotrectinib compared to 2 months for SoC (trifluridine/tipiracil). Median OS was 29.2 months for larotrectinib compared to 7.1 months for SoC.</w:t>
      </w:r>
    </w:p>
    <w:p w:rsidR="00D51B2C" w:rsidRPr="00D51B2C" w:rsidRDefault="00D51B2C" w:rsidP="00D51B2C">
      <w:pPr>
        <w:ind w:left="720"/>
        <w:rPr>
          <w:color w:val="000000" w:themeColor="text1"/>
        </w:rPr>
      </w:pPr>
      <w:r w:rsidRPr="00D51B2C">
        <w:rPr>
          <w:color w:val="000000" w:themeColor="text1"/>
        </w:rPr>
        <w:t>For STS, median PFS was 29.2 months for larotrectinib compared to 1.6 to 2.3 months for SoC (dacarbazine or BSC). Median OS was not reached for larotrectinib compared to approximately 11 months for SoC.</w:t>
      </w:r>
    </w:p>
    <w:p w:rsidR="00D51B2C" w:rsidRPr="00D51B2C" w:rsidRDefault="00D51B2C" w:rsidP="00D51B2C">
      <w:pPr>
        <w:ind w:left="720"/>
        <w:rPr>
          <w:color w:val="000000" w:themeColor="text1"/>
        </w:rPr>
      </w:pPr>
      <w:r w:rsidRPr="00D51B2C">
        <w:rPr>
          <w:color w:val="000000" w:themeColor="text1"/>
        </w:rPr>
        <w:t>For NSCLC, median PFS was 32.9 months for larotrectinib compared to 4.4 months for SoC (docetaxel). Median OS was 40.5 months for larotrectinib compared to 9.4 months for SoC. The median PFS and OS durations for BSC from the other Shepherd 2005 trial were 1.6 months and 4.6 months, respec</w:t>
      </w:r>
      <w:r w:rsidRPr="005E7404">
        <w:rPr>
          <w:color w:val="000000" w:themeColor="text1"/>
        </w:rPr>
        <w:t>tively. The Shepherd 2005 study is more than a decade and a half old which may underestimate survival in current SoC for NSCLC.</w:t>
      </w:r>
    </w:p>
    <w:p w:rsidR="00D51B2C" w:rsidRPr="00D51B2C" w:rsidRDefault="00D51B2C" w:rsidP="00D51B2C">
      <w:pPr>
        <w:ind w:left="720"/>
        <w:rPr>
          <w:color w:val="000000" w:themeColor="text1"/>
        </w:rPr>
      </w:pPr>
      <w:r w:rsidRPr="00D51B2C">
        <w:rPr>
          <w:color w:val="000000" w:themeColor="text1"/>
        </w:rPr>
        <w:t>For thyroid, median PFS was 34.3</w:t>
      </w:r>
      <w:r w:rsidR="00267FAE">
        <w:rPr>
          <w:color w:val="000000" w:themeColor="text1"/>
        </w:rPr>
        <w:t xml:space="preserve"> </w:t>
      </w:r>
      <w:r w:rsidRPr="00D51B2C">
        <w:rPr>
          <w:color w:val="000000" w:themeColor="text1"/>
        </w:rPr>
        <w:t>months for larotrectinib compared to 3.7 months and 18.4 months for BSC and lenvatinib, respectively. Median OS was not reached for the larotrectinib, BSC, and lenvatinib treatment groups</w:t>
      </w:r>
      <w:r w:rsidR="0049361B">
        <w:rPr>
          <w:color w:val="000000" w:themeColor="text1"/>
        </w:rPr>
        <w:t>.</w:t>
      </w:r>
    </w:p>
    <w:p w:rsidR="00D51B2C" w:rsidRDefault="00D51B2C" w:rsidP="00D51B2C">
      <w:pPr>
        <w:numPr>
          <w:ilvl w:val="4"/>
          <w:numId w:val="1"/>
        </w:numPr>
        <w:ind w:left="709"/>
        <w:rPr>
          <w:iCs/>
          <w:color w:val="000000" w:themeColor="text1"/>
        </w:rPr>
      </w:pPr>
      <w:r w:rsidRPr="005E7404">
        <w:rPr>
          <w:iCs/>
          <w:color w:val="000000" w:themeColor="text1"/>
        </w:rPr>
        <w:t xml:space="preserve">The indirect comparisons should be interpreted cautiously given their naïve nature and </w:t>
      </w:r>
      <w:r w:rsidR="00617FF2" w:rsidRPr="005E7404">
        <w:rPr>
          <w:iCs/>
          <w:color w:val="000000" w:themeColor="text1"/>
        </w:rPr>
        <w:t>i</w:t>
      </w:r>
      <w:r w:rsidRPr="005E7404">
        <w:rPr>
          <w:iCs/>
          <w:color w:val="000000" w:themeColor="text1"/>
        </w:rPr>
        <w:t>) the limited reliability and potential heterogeneity associated with the larotrectinib</w:t>
      </w:r>
      <w:r w:rsidR="008B43C8">
        <w:rPr>
          <w:iCs/>
          <w:color w:val="000000" w:themeColor="text1"/>
        </w:rPr>
        <w:t xml:space="preserve"> and SoC</w:t>
      </w:r>
      <w:r w:rsidRPr="005E7404">
        <w:rPr>
          <w:iCs/>
          <w:color w:val="000000" w:themeColor="text1"/>
        </w:rPr>
        <w:t xml:space="preserve"> data, and </w:t>
      </w:r>
      <w:r w:rsidR="00617FF2" w:rsidRPr="005E7404">
        <w:rPr>
          <w:iCs/>
          <w:color w:val="000000" w:themeColor="text1"/>
        </w:rPr>
        <w:t>ii</w:t>
      </w:r>
      <w:r w:rsidRPr="005E7404">
        <w:rPr>
          <w:iCs/>
          <w:color w:val="000000" w:themeColor="text1"/>
        </w:rPr>
        <w:t>) the applicability of the corresponding SoC data</w:t>
      </w:r>
      <w:r w:rsidR="00617FF2" w:rsidRPr="005E7404">
        <w:rPr>
          <w:iCs/>
          <w:color w:val="000000" w:themeColor="text1"/>
        </w:rPr>
        <w:t xml:space="preserve"> to current SoC</w:t>
      </w:r>
      <w:r w:rsidRPr="005E7404">
        <w:rPr>
          <w:iCs/>
          <w:color w:val="000000" w:themeColor="text1"/>
        </w:rPr>
        <w:t>.</w:t>
      </w:r>
    </w:p>
    <w:p w:rsidR="00215DBB" w:rsidRPr="00710FDB" w:rsidRDefault="00215DBB" w:rsidP="00D51B2C">
      <w:pPr>
        <w:numPr>
          <w:ilvl w:val="4"/>
          <w:numId w:val="1"/>
        </w:numPr>
        <w:ind w:left="709"/>
        <w:rPr>
          <w:iCs/>
          <w:color w:val="000000" w:themeColor="text1"/>
        </w:rPr>
      </w:pPr>
      <w:r w:rsidRPr="00710FDB">
        <w:rPr>
          <w:iCs/>
          <w:color w:val="000000" w:themeColor="text1"/>
        </w:rPr>
        <w:t xml:space="preserve">The ESCs noted that as per the previous submission, the updated data indicated a potential treatment effect with larotrectinib, particularly for high frequency NTRK fusion </w:t>
      </w:r>
      <w:r w:rsidR="00044D54" w:rsidRPr="00710FDB">
        <w:rPr>
          <w:iCs/>
          <w:color w:val="000000" w:themeColor="text1"/>
        </w:rPr>
        <w:t>tumours</w:t>
      </w:r>
      <w:r w:rsidRPr="00710FDB">
        <w:rPr>
          <w:iCs/>
          <w:color w:val="000000" w:themeColor="text1"/>
        </w:rPr>
        <w:t xml:space="preserve">. </w:t>
      </w:r>
      <w:r w:rsidR="00AA53D3" w:rsidRPr="00710FDB">
        <w:rPr>
          <w:iCs/>
          <w:color w:val="000000" w:themeColor="text1"/>
        </w:rPr>
        <w:t>The ESC</w:t>
      </w:r>
      <w:r w:rsidR="00AB5906" w:rsidRPr="00710FDB">
        <w:rPr>
          <w:iCs/>
          <w:color w:val="000000" w:themeColor="text1"/>
        </w:rPr>
        <w:t>s</w:t>
      </w:r>
      <w:r w:rsidR="00AA53D3" w:rsidRPr="00710FDB">
        <w:rPr>
          <w:iCs/>
          <w:color w:val="000000" w:themeColor="text1"/>
        </w:rPr>
        <w:t xml:space="preserve"> noted it remained difficult to draw conclusions regarding the clinical evidence </w:t>
      </w:r>
      <w:r w:rsidR="008B43C8" w:rsidRPr="00710FDB">
        <w:rPr>
          <w:iCs/>
          <w:color w:val="000000" w:themeColor="text1"/>
        </w:rPr>
        <w:t>due</w:t>
      </w:r>
      <w:r w:rsidR="00044D54" w:rsidRPr="00710FDB">
        <w:rPr>
          <w:iCs/>
          <w:color w:val="000000" w:themeColor="text1"/>
        </w:rPr>
        <w:t xml:space="preserve"> </w:t>
      </w:r>
      <w:r w:rsidR="008B43C8" w:rsidRPr="00710FDB">
        <w:rPr>
          <w:iCs/>
          <w:color w:val="000000" w:themeColor="text1"/>
        </w:rPr>
        <w:t>to</w:t>
      </w:r>
      <w:r w:rsidR="00044D54" w:rsidRPr="00710FDB">
        <w:rPr>
          <w:iCs/>
          <w:color w:val="000000" w:themeColor="text1"/>
        </w:rPr>
        <w:t xml:space="preserve"> </w:t>
      </w:r>
      <w:r w:rsidR="008B43C8" w:rsidRPr="00710FDB">
        <w:rPr>
          <w:iCs/>
          <w:color w:val="000000" w:themeColor="text1"/>
        </w:rPr>
        <w:t xml:space="preserve">the issues noted above in paragraph </w:t>
      </w:r>
      <w:r w:rsidR="001E07AE">
        <w:rPr>
          <w:iCs/>
          <w:color w:val="000000" w:themeColor="text1"/>
        </w:rPr>
        <w:t>6.16</w:t>
      </w:r>
      <w:r w:rsidR="008B43C8" w:rsidRPr="00710FDB">
        <w:rPr>
          <w:iCs/>
          <w:color w:val="000000" w:themeColor="text1"/>
        </w:rPr>
        <w:t>.</w:t>
      </w:r>
    </w:p>
    <w:p w:rsidR="00D51B2C" w:rsidRPr="00D51B2C" w:rsidRDefault="00D51B2C" w:rsidP="00D51B2C">
      <w:pPr>
        <w:keepNext/>
        <w:keepLines/>
        <w:numPr>
          <w:ilvl w:val="2"/>
          <w:numId w:val="1"/>
        </w:numPr>
        <w:spacing w:before="360" w:after="120"/>
        <w:jc w:val="left"/>
        <w:outlineLvl w:val="1"/>
        <w:rPr>
          <w:rFonts w:asciiTheme="majorHAnsi" w:eastAsiaTheme="majorEastAsia" w:hAnsiTheme="majorHAnsi" w:cstheme="majorBidi"/>
          <w:b/>
          <w:i/>
          <w:snapToGrid w:val="0"/>
          <w:sz w:val="28"/>
          <w:szCs w:val="28"/>
        </w:rPr>
      </w:pPr>
      <w:bookmarkStart w:id="68" w:name="_Toc51160058"/>
      <w:bookmarkEnd w:id="50"/>
      <w:bookmarkEnd w:id="51"/>
      <w:r w:rsidRPr="00D51B2C">
        <w:rPr>
          <w:rFonts w:asciiTheme="majorHAnsi" w:eastAsiaTheme="majorEastAsia" w:hAnsiTheme="majorHAnsi" w:cstheme="majorBidi"/>
          <w:b/>
          <w:i/>
          <w:snapToGrid w:val="0"/>
          <w:sz w:val="28"/>
          <w:szCs w:val="28"/>
        </w:rPr>
        <w:t>Comparative harms (Naïve indirect comparison)</w:t>
      </w:r>
      <w:bookmarkEnd w:id="68"/>
    </w:p>
    <w:p w:rsidR="00D51B2C" w:rsidRPr="00D51B2C" w:rsidRDefault="00D51B2C" w:rsidP="00D51B2C">
      <w:pPr>
        <w:numPr>
          <w:ilvl w:val="4"/>
          <w:numId w:val="1"/>
        </w:numPr>
        <w:ind w:left="709"/>
        <w:rPr>
          <w:color w:val="000000" w:themeColor="text1"/>
        </w:rPr>
      </w:pPr>
      <w:r w:rsidRPr="00D51B2C">
        <w:rPr>
          <w:color w:val="000000" w:themeColor="text1"/>
        </w:rPr>
        <w:t xml:space="preserve">The summary of overall AEs, pooled from the larotrectinib studies (regardless of </w:t>
      </w:r>
      <w:r w:rsidRPr="00623261">
        <w:rPr>
          <w:i/>
          <w:color w:val="000000" w:themeColor="text1"/>
        </w:rPr>
        <w:t>NTRK</w:t>
      </w:r>
      <w:r w:rsidRPr="00D51B2C">
        <w:rPr>
          <w:color w:val="000000" w:themeColor="text1"/>
        </w:rPr>
        <w:t xml:space="preserve"> fusion status), is presented in the table below.</w:t>
      </w:r>
    </w:p>
    <w:p w:rsidR="00D51B2C" w:rsidRPr="00D51B2C" w:rsidRDefault="00D51B2C" w:rsidP="006909A5">
      <w:pPr>
        <w:pStyle w:val="Caption"/>
      </w:pPr>
      <w:r w:rsidRPr="00D51B2C">
        <w:t>Table</w:t>
      </w:r>
      <w:r w:rsidR="00E37EC3">
        <w:t xml:space="preserve"> </w:t>
      </w:r>
      <w:r w:rsidR="00BB3DD1">
        <w:rPr>
          <w:noProof/>
        </w:rPr>
        <w:t>20</w:t>
      </w:r>
      <w:r w:rsidR="00E37EC3">
        <w:rPr>
          <w:noProof/>
        </w:rPr>
        <w:t>:</w:t>
      </w:r>
      <w:r w:rsidR="00D117CD">
        <w:rPr>
          <w:noProof/>
        </w:rPr>
        <w:t xml:space="preserve"> </w:t>
      </w:r>
      <w:r w:rsidRPr="00D51B2C">
        <w:t xml:space="preserve">Summary of overall adverse events (Safety Analysis Set: regardless of the presence of </w:t>
      </w:r>
      <w:r w:rsidRPr="00623261">
        <w:rPr>
          <w:i/>
        </w:rPr>
        <w:t>NTRK</w:t>
      </w:r>
      <w:r w:rsidRPr="00D51B2C">
        <w:t xml:space="preserve"> fusions)</w:t>
      </w:r>
    </w:p>
    <w:tbl>
      <w:tblPr>
        <w:tblStyle w:val="HTATableshaded20"/>
        <w:tblW w:w="5000" w:type="pct"/>
        <w:tblLook w:val="04A0" w:firstRow="1" w:lastRow="0" w:firstColumn="1" w:lastColumn="0" w:noHBand="0" w:noVBand="1"/>
        <w:tblCaption w:val="Table 20: Summary of overall adverse events (Safety Analysis Set: regardless of the presence of NTRK fusions)"/>
      </w:tblPr>
      <w:tblGrid>
        <w:gridCol w:w="5100"/>
        <w:gridCol w:w="1958"/>
        <w:gridCol w:w="1958"/>
      </w:tblGrid>
      <w:tr w:rsidR="006909A5" w:rsidRPr="00D51B2C" w:rsidTr="006909A5">
        <w:trPr>
          <w:cnfStyle w:val="100000000000" w:firstRow="1" w:lastRow="0" w:firstColumn="0" w:lastColumn="0" w:oddVBand="0" w:evenVBand="0" w:oddHBand="0" w:evenHBand="0" w:firstRowFirstColumn="0" w:firstRowLastColumn="0" w:lastRowFirstColumn="0" w:lastRowLastColumn="0"/>
          <w:tblHeader/>
        </w:trPr>
        <w:tc>
          <w:tcPr>
            <w:tcW w:w="2827" w:type="pct"/>
            <w:vMerge w:val="restart"/>
          </w:tcPr>
          <w:p w:rsidR="006909A5" w:rsidRPr="00D51B2C" w:rsidRDefault="006909A5" w:rsidP="00D51B2C">
            <w:pPr>
              <w:widowControl w:val="0"/>
              <w:spacing w:before="40" w:after="40" w:line="256" w:lineRule="auto"/>
              <w:jc w:val="left"/>
              <w:rPr>
                <w:rFonts w:ascii="Arial Narrow" w:hAnsi="Arial Narrow"/>
                <w:b/>
                <w:sz w:val="20"/>
              </w:rPr>
            </w:pPr>
            <w:r w:rsidRPr="00D51B2C">
              <w:rPr>
                <w:rFonts w:ascii="Arial Narrow" w:hAnsi="Arial Narrow"/>
                <w:b/>
                <w:sz w:val="20"/>
              </w:rPr>
              <w:t>TEAE</w:t>
            </w:r>
          </w:p>
        </w:tc>
        <w:tc>
          <w:tcPr>
            <w:tcW w:w="1086" w:type="pct"/>
          </w:tcPr>
          <w:p w:rsidR="006909A5" w:rsidRPr="00D51B2C" w:rsidRDefault="006909A5" w:rsidP="0049361B">
            <w:pPr>
              <w:widowControl w:val="0"/>
              <w:spacing w:before="40" w:after="40" w:line="256" w:lineRule="auto"/>
              <w:jc w:val="center"/>
              <w:rPr>
                <w:rFonts w:ascii="Arial Narrow" w:hAnsi="Arial Narrow"/>
                <w:b/>
                <w:sz w:val="20"/>
              </w:rPr>
            </w:pPr>
            <w:r w:rsidRPr="00D51B2C">
              <w:rPr>
                <w:rFonts w:ascii="Arial Narrow" w:hAnsi="Arial Narrow"/>
                <w:b/>
                <w:sz w:val="20"/>
              </w:rPr>
              <w:t>Previous submission</w:t>
            </w:r>
          </w:p>
          <w:p w:rsidR="006909A5" w:rsidRPr="00D51B2C" w:rsidRDefault="006909A5" w:rsidP="0049361B">
            <w:pPr>
              <w:widowControl w:val="0"/>
              <w:spacing w:before="40" w:after="40" w:line="256" w:lineRule="auto"/>
              <w:jc w:val="center"/>
              <w:rPr>
                <w:rFonts w:ascii="Arial Narrow" w:hAnsi="Arial Narrow"/>
                <w:b/>
                <w:sz w:val="20"/>
              </w:rPr>
            </w:pPr>
            <w:r w:rsidRPr="00D51B2C">
              <w:rPr>
                <w:rFonts w:ascii="Arial Narrow" w:hAnsi="Arial Narrow"/>
                <w:b/>
                <w:sz w:val="20"/>
              </w:rPr>
              <w:t xml:space="preserve">July 2019 data </w:t>
            </w:r>
            <w:r w:rsidR="006D66BE" w:rsidRPr="00D51B2C">
              <w:rPr>
                <w:rFonts w:ascii="Arial Narrow" w:hAnsi="Arial Narrow"/>
                <w:b/>
                <w:sz w:val="20"/>
              </w:rPr>
              <w:t>cut-off</w:t>
            </w:r>
          </w:p>
        </w:tc>
        <w:tc>
          <w:tcPr>
            <w:tcW w:w="1086" w:type="pct"/>
          </w:tcPr>
          <w:p w:rsidR="006909A5" w:rsidRPr="00D51B2C" w:rsidRDefault="006909A5" w:rsidP="0049361B">
            <w:pPr>
              <w:widowControl w:val="0"/>
              <w:spacing w:before="40" w:after="40" w:line="256" w:lineRule="auto"/>
              <w:jc w:val="center"/>
              <w:rPr>
                <w:rFonts w:ascii="Arial Narrow" w:hAnsi="Arial Narrow"/>
                <w:b/>
                <w:sz w:val="20"/>
              </w:rPr>
            </w:pPr>
            <w:r w:rsidRPr="00D51B2C">
              <w:rPr>
                <w:rFonts w:ascii="Arial Narrow" w:hAnsi="Arial Narrow"/>
                <w:b/>
                <w:sz w:val="20"/>
              </w:rPr>
              <w:t>Resubmission</w:t>
            </w:r>
          </w:p>
          <w:p w:rsidR="006909A5" w:rsidRPr="00D51B2C" w:rsidRDefault="006909A5" w:rsidP="0049361B">
            <w:pPr>
              <w:widowControl w:val="0"/>
              <w:spacing w:before="40" w:after="40" w:line="256" w:lineRule="auto"/>
              <w:jc w:val="center"/>
              <w:rPr>
                <w:rFonts w:ascii="Arial Narrow" w:hAnsi="Arial Narrow"/>
                <w:b/>
                <w:sz w:val="20"/>
              </w:rPr>
            </w:pPr>
            <w:r w:rsidRPr="00D51B2C">
              <w:rPr>
                <w:rFonts w:ascii="Arial Narrow" w:hAnsi="Arial Narrow"/>
                <w:b/>
                <w:sz w:val="20"/>
              </w:rPr>
              <w:t xml:space="preserve">July 2020 data </w:t>
            </w:r>
            <w:r w:rsidR="006D66BE" w:rsidRPr="00D51B2C">
              <w:rPr>
                <w:rFonts w:ascii="Arial Narrow" w:hAnsi="Arial Narrow"/>
                <w:b/>
                <w:sz w:val="20"/>
              </w:rPr>
              <w:t>cut-off</w:t>
            </w:r>
          </w:p>
        </w:tc>
      </w:tr>
      <w:tr w:rsidR="006909A5" w:rsidRPr="00D51B2C" w:rsidTr="006909A5">
        <w:trPr>
          <w:cnfStyle w:val="100000000000" w:firstRow="1" w:lastRow="0" w:firstColumn="0" w:lastColumn="0" w:oddVBand="0" w:evenVBand="0" w:oddHBand="0" w:evenHBand="0" w:firstRowFirstColumn="0" w:firstRowLastColumn="0" w:lastRowFirstColumn="0" w:lastRowLastColumn="0"/>
          <w:tblHeader/>
        </w:trPr>
        <w:tc>
          <w:tcPr>
            <w:tcW w:w="2827" w:type="pct"/>
            <w:vMerge/>
          </w:tcPr>
          <w:p w:rsidR="006909A5" w:rsidRPr="00D51B2C" w:rsidRDefault="006909A5" w:rsidP="00D51B2C">
            <w:pPr>
              <w:widowControl w:val="0"/>
              <w:spacing w:before="40" w:after="40" w:line="256" w:lineRule="auto"/>
              <w:jc w:val="left"/>
              <w:rPr>
                <w:rFonts w:ascii="Arial Narrow" w:hAnsi="Arial Narrow"/>
                <w:b/>
                <w:sz w:val="20"/>
                <w:vertAlign w:val="superscript"/>
              </w:rPr>
            </w:pPr>
          </w:p>
        </w:tc>
        <w:tc>
          <w:tcPr>
            <w:tcW w:w="1086" w:type="pct"/>
          </w:tcPr>
          <w:p w:rsidR="006909A5" w:rsidRPr="00D51B2C" w:rsidRDefault="006909A5" w:rsidP="0049361B">
            <w:pPr>
              <w:widowControl w:val="0"/>
              <w:spacing w:before="40" w:after="40" w:line="256" w:lineRule="auto"/>
              <w:jc w:val="center"/>
              <w:rPr>
                <w:rFonts w:ascii="Arial Narrow" w:hAnsi="Arial Narrow"/>
                <w:b/>
                <w:sz w:val="20"/>
              </w:rPr>
            </w:pPr>
            <w:r w:rsidRPr="00D51B2C">
              <w:rPr>
                <w:rFonts w:ascii="Arial Narrow" w:hAnsi="Arial Narrow"/>
                <w:b/>
                <w:sz w:val="20"/>
              </w:rPr>
              <w:t>Overall safety set</w:t>
            </w:r>
          </w:p>
          <w:p w:rsidR="006909A5" w:rsidRPr="00D51B2C" w:rsidRDefault="006909A5" w:rsidP="0049361B">
            <w:pPr>
              <w:widowControl w:val="0"/>
              <w:spacing w:before="40" w:after="40" w:line="256" w:lineRule="auto"/>
              <w:jc w:val="center"/>
              <w:rPr>
                <w:rFonts w:ascii="Arial Narrow" w:hAnsi="Arial Narrow"/>
                <w:b/>
                <w:sz w:val="20"/>
                <w:vertAlign w:val="superscript"/>
              </w:rPr>
            </w:pPr>
            <w:r w:rsidRPr="00D51B2C">
              <w:rPr>
                <w:rFonts w:ascii="Arial Narrow" w:hAnsi="Arial Narrow"/>
                <w:b/>
                <w:sz w:val="20"/>
              </w:rPr>
              <w:t>n=279</w:t>
            </w:r>
          </w:p>
        </w:tc>
        <w:tc>
          <w:tcPr>
            <w:tcW w:w="1086" w:type="pct"/>
          </w:tcPr>
          <w:p w:rsidR="006909A5" w:rsidRPr="00D51B2C" w:rsidRDefault="006909A5" w:rsidP="0049361B">
            <w:pPr>
              <w:widowControl w:val="0"/>
              <w:spacing w:before="40" w:after="40" w:line="256" w:lineRule="auto"/>
              <w:jc w:val="center"/>
              <w:rPr>
                <w:rFonts w:ascii="Arial Narrow" w:hAnsi="Arial Narrow"/>
                <w:b/>
                <w:sz w:val="20"/>
              </w:rPr>
            </w:pPr>
            <w:r w:rsidRPr="00D51B2C">
              <w:rPr>
                <w:rFonts w:ascii="Arial Narrow" w:hAnsi="Arial Narrow"/>
                <w:b/>
                <w:sz w:val="20"/>
              </w:rPr>
              <w:t>Overall safety set</w:t>
            </w:r>
          </w:p>
          <w:p w:rsidR="006909A5" w:rsidRPr="00D51B2C" w:rsidRDefault="006909A5" w:rsidP="0049361B">
            <w:pPr>
              <w:widowControl w:val="0"/>
              <w:spacing w:before="40" w:after="40" w:line="256" w:lineRule="auto"/>
              <w:jc w:val="center"/>
              <w:rPr>
                <w:rFonts w:ascii="Arial Narrow" w:hAnsi="Arial Narrow"/>
                <w:b/>
                <w:sz w:val="20"/>
              </w:rPr>
            </w:pPr>
            <w:r w:rsidRPr="00D51B2C">
              <w:rPr>
                <w:rFonts w:ascii="Arial Narrow" w:hAnsi="Arial Narrow"/>
                <w:b/>
                <w:sz w:val="20"/>
              </w:rPr>
              <w:t>n=331</w:t>
            </w:r>
          </w:p>
        </w:tc>
      </w:tr>
      <w:tr w:rsidR="00D51B2C" w:rsidRPr="00D51B2C" w:rsidTr="006909A5">
        <w:tc>
          <w:tcPr>
            <w:tcW w:w="2827" w:type="pct"/>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Patients with TEAE</w:t>
            </w:r>
          </w:p>
        </w:tc>
        <w:tc>
          <w:tcPr>
            <w:tcW w:w="1086" w:type="pct"/>
          </w:tcPr>
          <w:p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sz w:val="20"/>
              </w:rPr>
              <w:t>275 (99%)</w:t>
            </w:r>
          </w:p>
        </w:tc>
        <w:tc>
          <w:tcPr>
            <w:tcW w:w="1086" w:type="pct"/>
          </w:tcPr>
          <w:p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320 (97%)</w:t>
            </w:r>
          </w:p>
        </w:tc>
      </w:tr>
      <w:tr w:rsidR="00D51B2C" w:rsidRPr="00D51B2C" w:rsidTr="006909A5">
        <w:tc>
          <w:tcPr>
            <w:tcW w:w="2827" w:type="pct"/>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 xml:space="preserve">Patients with TEAE </w:t>
            </w:r>
            <w:r w:rsidR="00894D2E">
              <w:rPr>
                <w:rFonts w:ascii="Arial Narrow" w:hAnsi="Arial Narrow"/>
                <w:sz w:val="20"/>
              </w:rPr>
              <w:t>r</w:t>
            </w:r>
            <w:r w:rsidRPr="00D51B2C">
              <w:rPr>
                <w:rFonts w:ascii="Arial Narrow" w:hAnsi="Arial Narrow"/>
                <w:sz w:val="20"/>
              </w:rPr>
              <w:t xml:space="preserve">elated to </w:t>
            </w:r>
            <w:r w:rsidR="00894D2E">
              <w:rPr>
                <w:rFonts w:ascii="Arial Narrow" w:hAnsi="Arial Narrow"/>
                <w:sz w:val="20"/>
              </w:rPr>
              <w:t>l</w:t>
            </w:r>
            <w:r w:rsidRPr="00D51B2C">
              <w:rPr>
                <w:rFonts w:ascii="Arial Narrow" w:hAnsi="Arial Narrow"/>
                <w:sz w:val="20"/>
              </w:rPr>
              <w:t>arotrectinib</w:t>
            </w:r>
          </w:p>
        </w:tc>
        <w:tc>
          <w:tcPr>
            <w:tcW w:w="1086" w:type="pct"/>
          </w:tcPr>
          <w:p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sz w:val="20"/>
              </w:rPr>
              <w:t>216 (77%)</w:t>
            </w:r>
          </w:p>
        </w:tc>
        <w:tc>
          <w:tcPr>
            <w:tcW w:w="1086" w:type="pct"/>
          </w:tcPr>
          <w:p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260 (79%)</w:t>
            </w:r>
          </w:p>
        </w:tc>
      </w:tr>
      <w:tr w:rsidR="00D51B2C" w:rsidRPr="00D51B2C" w:rsidTr="006909A5">
        <w:tc>
          <w:tcPr>
            <w:tcW w:w="2827" w:type="pct"/>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Patients with TEAE Grade 3 or 4</w:t>
            </w:r>
          </w:p>
        </w:tc>
        <w:tc>
          <w:tcPr>
            <w:tcW w:w="1086" w:type="pct"/>
          </w:tcPr>
          <w:p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sz w:val="20"/>
              </w:rPr>
              <w:t>148 (53%)</w:t>
            </w:r>
          </w:p>
        </w:tc>
        <w:tc>
          <w:tcPr>
            <w:tcW w:w="1086" w:type="pct"/>
          </w:tcPr>
          <w:p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176 (53%)</w:t>
            </w:r>
          </w:p>
        </w:tc>
      </w:tr>
      <w:tr w:rsidR="00D51B2C" w:rsidRPr="00D51B2C" w:rsidTr="006909A5">
        <w:tc>
          <w:tcPr>
            <w:tcW w:w="2827" w:type="pct"/>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Patients with TEAE Grade 3 or 4 and related to larotrectinib</w:t>
            </w:r>
          </w:p>
        </w:tc>
        <w:tc>
          <w:tcPr>
            <w:tcW w:w="1086" w:type="pct"/>
          </w:tcPr>
          <w:p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sz w:val="20"/>
              </w:rPr>
              <w:t>43 (15%)</w:t>
            </w:r>
          </w:p>
        </w:tc>
        <w:tc>
          <w:tcPr>
            <w:tcW w:w="1086" w:type="pct"/>
          </w:tcPr>
          <w:p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59 (18%)</w:t>
            </w:r>
          </w:p>
        </w:tc>
      </w:tr>
      <w:tr w:rsidR="00D51B2C" w:rsidRPr="00D51B2C" w:rsidTr="006909A5">
        <w:tc>
          <w:tcPr>
            <w:tcW w:w="2827" w:type="pct"/>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Patients with TEAE and action taken of larotrectinib permanently discontinued</w:t>
            </w:r>
          </w:p>
        </w:tc>
        <w:tc>
          <w:tcPr>
            <w:tcW w:w="1086" w:type="pct"/>
          </w:tcPr>
          <w:p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sz w:val="20"/>
              </w:rPr>
              <w:t>26 (9%)</w:t>
            </w:r>
          </w:p>
        </w:tc>
        <w:tc>
          <w:tcPr>
            <w:tcW w:w="1086" w:type="pct"/>
          </w:tcPr>
          <w:p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33 (10%)</w:t>
            </w:r>
          </w:p>
        </w:tc>
      </w:tr>
      <w:tr w:rsidR="00D51B2C" w:rsidRPr="00D51B2C" w:rsidTr="006909A5">
        <w:tc>
          <w:tcPr>
            <w:tcW w:w="2827" w:type="pct"/>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Patients with TEAE and action taken of larotrectinib permanently discontinued and related to larotrectinib</w:t>
            </w:r>
          </w:p>
        </w:tc>
        <w:tc>
          <w:tcPr>
            <w:tcW w:w="1086" w:type="pct"/>
          </w:tcPr>
          <w:p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sz w:val="20"/>
              </w:rPr>
              <w:t>6 (2%)</w:t>
            </w:r>
          </w:p>
        </w:tc>
        <w:tc>
          <w:tcPr>
            <w:tcW w:w="1086" w:type="pct"/>
          </w:tcPr>
          <w:p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8 (2%)</w:t>
            </w:r>
          </w:p>
        </w:tc>
      </w:tr>
      <w:tr w:rsidR="00D51B2C" w:rsidRPr="00D51B2C" w:rsidTr="006909A5">
        <w:tc>
          <w:tcPr>
            <w:tcW w:w="2827" w:type="pct"/>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Patients with serious TEAE</w:t>
            </w:r>
          </w:p>
        </w:tc>
        <w:tc>
          <w:tcPr>
            <w:tcW w:w="1086" w:type="pct"/>
          </w:tcPr>
          <w:p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sz w:val="20"/>
              </w:rPr>
              <w:t>96 (34%)</w:t>
            </w:r>
          </w:p>
        </w:tc>
        <w:tc>
          <w:tcPr>
            <w:tcW w:w="1086" w:type="pct"/>
          </w:tcPr>
          <w:p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129 (39%)</w:t>
            </w:r>
          </w:p>
        </w:tc>
      </w:tr>
      <w:tr w:rsidR="00D51B2C" w:rsidRPr="00D51B2C" w:rsidTr="006909A5">
        <w:tc>
          <w:tcPr>
            <w:tcW w:w="2827" w:type="pct"/>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Patients with serious TEAE and related to larotrectinib</w:t>
            </w:r>
          </w:p>
        </w:tc>
        <w:tc>
          <w:tcPr>
            <w:tcW w:w="1086" w:type="pct"/>
          </w:tcPr>
          <w:p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sz w:val="20"/>
              </w:rPr>
              <w:t>15 (5%)</w:t>
            </w:r>
          </w:p>
        </w:tc>
        <w:tc>
          <w:tcPr>
            <w:tcW w:w="1086" w:type="pct"/>
          </w:tcPr>
          <w:p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20 (6%)</w:t>
            </w:r>
          </w:p>
        </w:tc>
      </w:tr>
      <w:tr w:rsidR="00D51B2C" w:rsidRPr="00D51B2C" w:rsidTr="006909A5">
        <w:tc>
          <w:tcPr>
            <w:tcW w:w="2827" w:type="pct"/>
          </w:tcPr>
          <w:p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Patients with fatal TEAE</w:t>
            </w:r>
            <w:r w:rsidRPr="00D51B2C">
              <w:rPr>
                <w:rFonts w:ascii="Arial Narrow" w:hAnsi="Arial Narrow"/>
                <w:sz w:val="20"/>
                <w:vertAlign w:val="superscript"/>
              </w:rPr>
              <w:t>a</w:t>
            </w:r>
          </w:p>
        </w:tc>
        <w:tc>
          <w:tcPr>
            <w:tcW w:w="1086" w:type="pct"/>
          </w:tcPr>
          <w:p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sz w:val="20"/>
              </w:rPr>
              <w:t>16 (6%)</w:t>
            </w:r>
          </w:p>
        </w:tc>
        <w:tc>
          <w:tcPr>
            <w:tcW w:w="1086" w:type="pct"/>
          </w:tcPr>
          <w:p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21 (6%)</w:t>
            </w:r>
          </w:p>
        </w:tc>
      </w:tr>
    </w:tbl>
    <w:p w:rsidR="00D51B2C" w:rsidRPr="00D51B2C" w:rsidRDefault="00D51B2C" w:rsidP="006909A5">
      <w:pPr>
        <w:pStyle w:val="TableFooter"/>
        <w:rPr>
          <w:sz w:val="16"/>
        </w:rPr>
      </w:pPr>
      <w:r w:rsidRPr="00D51B2C">
        <w:t>Source: Table 2.136, p242 of the resubmission</w:t>
      </w:r>
      <w:r w:rsidRPr="00D51B2C">
        <w:rPr>
          <w:sz w:val="16"/>
        </w:rPr>
        <w:t xml:space="preserve"> </w:t>
      </w:r>
    </w:p>
    <w:p w:rsidR="00D51B2C" w:rsidRPr="00D51B2C" w:rsidRDefault="00D51B2C" w:rsidP="006909A5">
      <w:pPr>
        <w:pStyle w:val="TableFooter"/>
        <w:rPr>
          <w:sz w:val="16"/>
        </w:rPr>
      </w:pPr>
      <w:r w:rsidRPr="00D51B2C">
        <w:rPr>
          <w:sz w:val="16"/>
          <w:vertAlign w:val="superscript"/>
        </w:rPr>
        <w:t>a</w:t>
      </w:r>
      <w:r w:rsidRPr="00D51B2C">
        <w:rPr>
          <w:sz w:val="16"/>
        </w:rPr>
        <w:t>Refers to TEAEs both related and unrelated to larotrectinib treatment</w:t>
      </w:r>
    </w:p>
    <w:p w:rsidR="00D51B2C" w:rsidRPr="00D51B2C" w:rsidRDefault="00D51B2C" w:rsidP="006909A5">
      <w:pPr>
        <w:pStyle w:val="TableFooter"/>
        <w:rPr>
          <w:sz w:val="16"/>
        </w:rPr>
      </w:pPr>
      <w:r w:rsidRPr="00D51B2C">
        <w:rPr>
          <w:sz w:val="16"/>
        </w:rPr>
        <w:t>TEAEs were defined as adverse events that start on or after the first administration of Larotrectinib. Related events are those judged by the Investigator as related to Larotrectinib. Severity grade assignment based on CTCAE (v4.03): Grade 3 (severe), Grade 4 (life-threatening). Percentages are calculated based on the number of patients in the column heading as the denominator.</w:t>
      </w:r>
    </w:p>
    <w:p w:rsidR="00D51B2C" w:rsidRPr="00D51B2C" w:rsidRDefault="00D51B2C" w:rsidP="006909A5">
      <w:pPr>
        <w:pStyle w:val="TableFooter"/>
      </w:pPr>
      <w:r w:rsidRPr="00D51B2C">
        <w:rPr>
          <w:sz w:val="16"/>
        </w:rPr>
        <w:t>TEAE</w:t>
      </w:r>
      <w:r w:rsidR="0084411D" w:rsidRPr="00D51B2C">
        <w:t xml:space="preserve"> = </w:t>
      </w:r>
      <w:r w:rsidRPr="00D51B2C">
        <w:rPr>
          <w:sz w:val="16"/>
        </w:rPr>
        <w:t>treatment emergent adverse event; CTCAE</w:t>
      </w:r>
      <w:r w:rsidR="0084411D" w:rsidRPr="00D51B2C">
        <w:t xml:space="preserve"> = </w:t>
      </w:r>
      <w:r w:rsidRPr="00D51B2C">
        <w:rPr>
          <w:sz w:val="16"/>
        </w:rPr>
        <w:t>Common Terminology Criteria for Adverse Events</w:t>
      </w:r>
    </w:p>
    <w:p w:rsidR="00D51B2C" w:rsidRPr="005E7404" w:rsidRDefault="00D51B2C" w:rsidP="00D51B2C">
      <w:pPr>
        <w:numPr>
          <w:ilvl w:val="4"/>
          <w:numId w:val="1"/>
        </w:numPr>
        <w:ind w:left="709"/>
        <w:rPr>
          <w:iCs/>
          <w:color w:val="000000" w:themeColor="text1"/>
        </w:rPr>
      </w:pPr>
      <w:r w:rsidRPr="005E7404">
        <w:rPr>
          <w:iCs/>
          <w:color w:val="000000" w:themeColor="text1"/>
        </w:rPr>
        <w:t>Approximately half of the patients (53%) had at least one</w:t>
      </w:r>
      <w:r w:rsidR="002A4A31" w:rsidRPr="005E7404">
        <w:rPr>
          <w:iCs/>
          <w:color w:val="000000" w:themeColor="text1"/>
        </w:rPr>
        <w:t xml:space="preserve"> Grade 3 or Grade 4</w:t>
      </w:r>
      <w:r w:rsidRPr="005E7404">
        <w:rPr>
          <w:iCs/>
          <w:color w:val="000000" w:themeColor="text1"/>
        </w:rPr>
        <w:t xml:space="preserve"> </w:t>
      </w:r>
      <w:r w:rsidR="005C3BDE">
        <w:rPr>
          <w:iCs/>
          <w:color w:val="000000" w:themeColor="text1"/>
        </w:rPr>
        <w:t>treatment emergent adverse event (</w:t>
      </w:r>
      <w:r w:rsidRPr="005E7404">
        <w:rPr>
          <w:iCs/>
          <w:color w:val="000000" w:themeColor="text1"/>
        </w:rPr>
        <w:t>TEAE</w:t>
      </w:r>
      <w:r w:rsidR="005C3BDE">
        <w:rPr>
          <w:iCs/>
          <w:color w:val="000000" w:themeColor="text1"/>
        </w:rPr>
        <w:t>)</w:t>
      </w:r>
      <w:r w:rsidRPr="005E7404">
        <w:rPr>
          <w:iCs/>
          <w:color w:val="000000" w:themeColor="text1"/>
        </w:rPr>
        <w:t>. The proportion of patients with Grade 3 or Grade 4 TEAEs, potentially related to larotrectinib was 18%. There were 33 patients (10%) who had TEAEs that led to permanent treatment discontinuation.</w:t>
      </w:r>
    </w:p>
    <w:p w:rsidR="00D51B2C" w:rsidRPr="002636D6" w:rsidRDefault="00D51B2C" w:rsidP="00547CCA">
      <w:pPr>
        <w:numPr>
          <w:ilvl w:val="4"/>
          <w:numId w:val="1"/>
        </w:numPr>
        <w:rPr>
          <w:iCs/>
          <w:color w:val="000000" w:themeColor="text1"/>
        </w:rPr>
      </w:pPr>
      <w:r w:rsidRPr="00D51B2C">
        <w:rPr>
          <w:color w:val="000000" w:themeColor="text1"/>
        </w:rPr>
        <w:t xml:space="preserve">The </w:t>
      </w:r>
      <w:r w:rsidR="002636D6">
        <w:rPr>
          <w:color w:val="000000" w:themeColor="text1"/>
        </w:rPr>
        <w:t>resubmission</w:t>
      </w:r>
      <w:r w:rsidRPr="00D51B2C">
        <w:rPr>
          <w:color w:val="000000" w:themeColor="text1"/>
        </w:rPr>
        <w:t xml:space="preserve"> presented pooled safety data for three paediatric subgroups treated with larotrectinib: Infants/toddlers (28 days to 23 months of age, n=39), children (2 to 3 years of age, n=53), and adolescents (12 to &lt;18 years of age, n=25)).</w:t>
      </w:r>
      <w:r w:rsidR="002636D6">
        <w:rPr>
          <w:color w:val="000000" w:themeColor="text1"/>
        </w:rPr>
        <w:t xml:space="preserve"> </w:t>
      </w:r>
      <w:r w:rsidRPr="002636D6">
        <w:rPr>
          <w:iCs/>
          <w:color w:val="000000" w:themeColor="text1"/>
        </w:rPr>
        <w:t>TEAEs in paediatric patients were assessed to be serious by the investigator for 15 (38%) infants/toddlers, 19 (36%) children and 11 (33%) adolescents.</w:t>
      </w:r>
    </w:p>
    <w:p w:rsidR="00D51B2C" w:rsidRPr="005E7404" w:rsidRDefault="00D51B2C" w:rsidP="00D51B2C">
      <w:pPr>
        <w:ind w:left="720"/>
        <w:rPr>
          <w:iCs/>
          <w:color w:val="000000" w:themeColor="text1"/>
        </w:rPr>
      </w:pPr>
      <w:r w:rsidRPr="005E7404">
        <w:rPr>
          <w:iCs/>
          <w:color w:val="000000" w:themeColor="text1"/>
        </w:rPr>
        <w:t>The risk of “neurodevelopment impairment in paediatric patients” was evaluated in the context of important potential risk “severe neurologic reactions”. In 117 paediatric patients, approximately 8% experienced dizziness, 5% insomnia, 3% each for gait disturbance and somnolence, 2% each for paraesthesia and dysgeusia, and 1% each for somnolence and memory impairment. The risk of neurodevelopment impairment for paediatric patients may increase the longer patients remain on treatment.</w:t>
      </w:r>
    </w:p>
    <w:p w:rsidR="00D51B2C" w:rsidRPr="005E7404" w:rsidRDefault="00D51B2C" w:rsidP="00D51B2C">
      <w:pPr>
        <w:ind w:left="720"/>
        <w:rPr>
          <w:iCs/>
          <w:color w:val="000000" w:themeColor="text1"/>
        </w:rPr>
      </w:pPr>
      <w:r w:rsidRPr="005E7404">
        <w:rPr>
          <w:iCs/>
          <w:color w:val="000000" w:themeColor="text1"/>
        </w:rPr>
        <w:t>Overall, the available data indicated a manageable safety profile for larotrectinib, although there were insufficient data to assess the long-term safety of larotrectinib.</w:t>
      </w:r>
    </w:p>
    <w:p w:rsidR="00D51B2C" w:rsidRPr="005E7404" w:rsidRDefault="00D51B2C" w:rsidP="00D51B2C">
      <w:pPr>
        <w:numPr>
          <w:ilvl w:val="4"/>
          <w:numId w:val="1"/>
        </w:numPr>
        <w:ind w:left="709"/>
        <w:rPr>
          <w:iCs/>
          <w:color w:val="000000" w:themeColor="text1"/>
        </w:rPr>
      </w:pPr>
      <w:r w:rsidRPr="005E7404">
        <w:rPr>
          <w:iCs/>
          <w:color w:val="000000" w:themeColor="text1"/>
        </w:rPr>
        <w:t xml:space="preserve">A naïve indirect comparison of safety </w:t>
      </w:r>
      <w:r w:rsidR="000A3110">
        <w:rPr>
          <w:iCs/>
          <w:color w:val="000000" w:themeColor="text1"/>
        </w:rPr>
        <w:t>was</w:t>
      </w:r>
      <w:r w:rsidRPr="005E7404">
        <w:rPr>
          <w:iCs/>
          <w:color w:val="000000" w:themeColor="text1"/>
        </w:rPr>
        <w:t xml:space="preserve"> presented. </w:t>
      </w:r>
      <w:r w:rsidR="00096DF2">
        <w:rPr>
          <w:iCs/>
          <w:color w:val="000000" w:themeColor="text1"/>
        </w:rPr>
        <w:t>T</w:t>
      </w:r>
      <w:r w:rsidRPr="005E7404">
        <w:rPr>
          <w:iCs/>
          <w:color w:val="000000" w:themeColor="text1"/>
        </w:rPr>
        <w:t>he indirect comparison is</w:t>
      </w:r>
      <w:r w:rsidR="00096DF2">
        <w:rPr>
          <w:iCs/>
          <w:color w:val="000000" w:themeColor="text1"/>
        </w:rPr>
        <w:t xml:space="preserve"> difficult to interpret</w:t>
      </w:r>
      <w:r w:rsidRPr="005E7404">
        <w:rPr>
          <w:iCs/>
          <w:color w:val="000000" w:themeColor="text1"/>
        </w:rPr>
        <w:t xml:space="preserve"> as SoC data were not reported for many of these events. Furthermore, some of the Grade ≥ 3 AEs observed across the SoC studies of different tumour types may have been disease related rather than drug related.</w:t>
      </w:r>
    </w:p>
    <w:p w:rsidR="00D51B2C" w:rsidRPr="005E7404" w:rsidRDefault="00D51B2C" w:rsidP="00D51B2C">
      <w:pPr>
        <w:numPr>
          <w:ilvl w:val="4"/>
          <w:numId w:val="1"/>
        </w:numPr>
        <w:ind w:left="709"/>
        <w:rPr>
          <w:iCs/>
          <w:color w:val="000000" w:themeColor="text1"/>
        </w:rPr>
      </w:pPr>
      <w:r w:rsidRPr="005E7404">
        <w:rPr>
          <w:iCs/>
          <w:color w:val="000000" w:themeColor="text1"/>
        </w:rPr>
        <w:t xml:space="preserve">AEs were considered in the economic evaluation. However, the SoC AEs for the paediatric population were sourced exclusively from Sandler (2001). This does not appear to be a reasonable approach. Management of chemotherapy-related AEs in current SoC has improved over time with more frequent monitoring and earlier recognition of these events, with more effective prophylaxis and treatment compared to that employed in a study conducted more than 20 years ago. The toxicity profile also differs between larotrectinib (neurological) and chemotherapy (haematological). Neurological AEs </w:t>
      </w:r>
      <w:r w:rsidR="008038E6">
        <w:rPr>
          <w:iCs/>
          <w:color w:val="000000" w:themeColor="text1"/>
        </w:rPr>
        <w:t xml:space="preserve">are </w:t>
      </w:r>
      <w:r w:rsidRPr="005E7404">
        <w:rPr>
          <w:iCs/>
          <w:color w:val="000000" w:themeColor="text1"/>
        </w:rPr>
        <w:t>reflective of larotrectinib</w:t>
      </w:r>
      <w:r w:rsidR="008038E6">
        <w:rPr>
          <w:iCs/>
          <w:color w:val="000000" w:themeColor="text1"/>
        </w:rPr>
        <w:t>’s</w:t>
      </w:r>
      <w:r w:rsidRPr="005E7404">
        <w:rPr>
          <w:iCs/>
          <w:color w:val="000000" w:themeColor="text1"/>
        </w:rPr>
        <w:t xml:space="preserve"> mechanism of action </w:t>
      </w:r>
      <w:r w:rsidR="008038E6">
        <w:rPr>
          <w:iCs/>
          <w:color w:val="000000" w:themeColor="text1"/>
        </w:rPr>
        <w:t xml:space="preserve">and </w:t>
      </w:r>
      <w:r w:rsidRPr="005E7404">
        <w:rPr>
          <w:iCs/>
          <w:color w:val="000000" w:themeColor="text1"/>
        </w:rPr>
        <w:t>are relevant in the assessment of benefit</w:t>
      </w:r>
      <w:r w:rsidR="00F52725" w:rsidRPr="005E7404">
        <w:rPr>
          <w:iCs/>
          <w:color w:val="000000" w:themeColor="text1"/>
        </w:rPr>
        <w:t>/</w:t>
      </w:r>
      <w:r w:rsidRPr="005E7404">
        <w:rPr>
          <w:iCs/>
          <w:color w:val="000000" w:themeColor="text1"/>
        </w:rPr>
        <w:t>risk, particularly in the paediatric population.</w:t>
      </w:r>
    </w:p>
    <w:p w:rsidR="00D51B2C" w:rsidRPr="00D51B2C" w:rsidRDefault="00D51B2C" w:rsidP="00D51B2C">
      <w:pPr>
        <w:keepNext/>
        <w:keepLines/>
        <w:spacing w:before="360" w:after="120"/>
        <w:ind w:left="720" w:hanging="720"/>
        <w:jc w:val="left"/>
        <w:outlineLvl w:val="1"/>
        <w:rPr>
          <w:rFonts w:asciiTheme="majorHAnsi" w:eastAsiaTheme="majorEastAsia" w:hAnsiTheme="majorHAnsi" w:cstheme="majorBidi"/>
          <w:b/>
          <w:i/>
          <w:snapToGrid w:val="0"/>
          <w:sz w:val="28"/>
          <w:szCs w:val="28"/>
        </w:rPr>
      </w:pPr>
      <w:bookmarkStart w:id="69" w:name="_Toc51160059"/>
      <w:bookmarkStart w:id="70" w:name="_Toc413139281"/>
      <w:r w:rsidRPr="00D51B2C">
        <w:rPr>
          <w:rFonts w:asciiTheme="majorHAnsi" w:eastAsiaTheme="majorEastAsia" w:hAnsiTheme="majorHAnsi" w:cstheme="majorBidi"/>
          <w:b/>
          <w:i/>
          <w:snapToGrid w:val="0"/>
          <w:sz w:val="28"/>
          <w:szCs w:val="28"/>
        </w:rPr>
        <w:t>Benefits and harms</w:t>
      </w:r>
      <w:bookmarkEnd w:id="69"/>
    </w:p>
    <w:p w:rsidR="00D51B2C" w:rsidRPr="00547CCA" w:rsidRDefault="00D51B2C" w:rsidP="00D51B2C">
      <w:pPr>
        <w:numPr>
          <w:ilvl w:val="4"/>
          <w:numId w:val="1"/>
        </w:numPr>
        <w:ind w:left="709"/>
        <w:rPr>
          <w:color w:val="000000" w:themeColor="text1"/>
        </w:rPr>
      </w:pPr>
      <w:r w:rsidRPr="00547CCA">
        <w:rPr>
          <w:color w:val="000000" w:themeColor="text1"/>
        </w:rPr>
        <w:t>The basis of the evidence in the submission was a naïve indirect comparison. Therefore, the magnitude of the incremental benefit of larotrectinib could not be quantified. Accordingly, a benefits/harms table has not been presented.</w:t>
      </w:r>
    </w:p>
    <w:p w:rsidR="00D51B2C" w:rsidRPr="00D51B2C" w:rsidRDefault="00D51B2C" w:rsidP="00D51B2C">
      <w:pPr>
        <w:keepNext/>
        <w:keepLines/>
        <w:numPr>
          <w:ilvl w:val="2"/>
          <w:numId w:val="1"/>
        </w:numPr>
        <w:spacing w:before="360" w:after="120"/>
        <w:jc w:val="left"/>
        <w:outlineLvl w:val="1"/>
        <w:rPr>
          <w:rFonts w:asciiTheme="majorHAnsi" w:eastAsiaTheme="majorEastAsia" w:hAnsiTheme="majorHAnsi" w:cstheme="majorBidi"/>
          <w:b/>
          <w:i/>
          <w:snapToGrid w:val="0"/>
          <w:sz w:val="28"/>
          <w:szCs w:val="28"/>
        </w:rPr>
      </w:pPr>
      <w:bookmarkStart w:id="71" w:name="_Toc492317103"/>
      <w:bookmarkStart w:id="72" w:name="_Toc51160060"/>
      <w:bookmarkEnd w:id="70"/>
      <w:r w:rsidRPr="00D51B2C">
        <w:rPr>
          <w:rFonts w:asciiTheme="majorHAnsi" w:eastAsiaTheme="majorEastAsia" w:hAnsiTheme="majorHAnsi" w:cstheme="majorBidi"/>
          <w:b/>
          <w:i/>
          <w:snapToGrid w:val="0"/>
          <w:sz w:val="28"/>
          <w:szCs w:val="28"/>
        </w:rPr>
        <w:t>Interpretation of clinical evidence</w:t>
      </w:r>
      <w:bookmarkEnd w:id="71"/>
      <w:bookmarkEnd w:id="72"/>
    </w:p>
    <w:p w:rsidR="00D51B2C" w:rsidRPr="00D51B2C" w:rsidRDefault="00D51B2C" w:rsidP="00D51B2C">
      <w:pPr>
        <w:numPr>
          <w:ilvl w:val="4"/>
          <w:numId w:val="1"/>
        </w:numPr>
        <w:rPr>
          <w:color w:val="000000" w:themeColor="text1"/>
        </w:rPr>
      </w:pPr>
      <w:r w:rsidRPr="00D51B2C">
        <w:rPr>
          <w:color w:val="000000" w:themeColor="text1"/>
        </w:rPr>
        <w:t xml:space="preserve">The therapeutic conclusion presented in the submission was that </w:t>
      </w:r>
      <w:r w:rsidRPr="006B71B1">
        <w:rPr>
          <w:i/>
          <w:color w:val="000000" w:themeColor="text1"/>
        </w:rPr>
        <w:t>NTRK</w:t>
      </w:r>
      <w:r w:rsidRPr="00D51B2C">
        <w:rPr>
          <w:color w:val="000000" w:themeColor="text1"/>
        </w:rPr>
        <w:t xml:space="preserve"> fusion testing plus larotrectinib is superior to no </w:t>
      </w:r>
      <w:r w:rsidRPr="006B71B1">
        <w:rPr>
          <w:i/>
          <w:color w:val="000000" w:themeColor="text1"/>
        </w:rPr>
        <w:t>NTRK</w:t>
      </w:r>
      <w:r w:rsidRPr="00D51B2C">
        <w:rPr>
          <w:color w:val="000000" w:themeColor="text1"/>
        </w:rPr>
        <w:t xml:space="preserve"> testing plus SoC in terms of efficacy and safety, in the proposed testing and treatment population.</w:t>
      </w:r>
    </w:p>
    <w:p w:rsidR="00D51B2C" w:rsidRPr="000A3110" w:rsidRDefault="00D51B2C" w:rsidP="00D51B2C">
      <w:pPr>
        <w:numPr>
          <w:ilvl w:val="4"/>
          <w:numId w:val="1"/>
        </w:numPr>
        <w:rPr>
          <w:iCs/>
          <w:color w:val="000000" w:themeColor="text1"/>
        </w:rPr>
      </w:pPr>
      <w:r w:rsidRPr="008038E6">
        <w:rPr>
          <w:iCs/>
          <w:color w:val="000000" w:themeColor="text1"/>
        </w:rPr>
        <w:t xml:space="preserve">The </w:t>
      </w:r>
      <w:r w:rsidR="00612C77" w:rsidRPr="008038E6">
        <w:rPr>
          <w:iCs/>
          <w:color w:val="000000" w:themeColor="text1"/>
        </w:rPr>
        <w:t xml:space="preserve">ESCs </w:t>
      </w:r>
      <w:r w:rsidRPr="008038E6">
        <w:rPr>
          <w:iCs/>
          <w:color w:val="000000" w:themeColor="text1"/>
        </w:rPr>
        <w:t>recognise</w:t>
      </w:r>
      <w:r w:rsidR="0022604F" w:rsidRPr="008038E6">
        <w:rPr>
          <w:iCs/>
          <w:color w:val="000000" w:themeColor="text1"/>
        </w:rPr>
        <w:t>d</w:t>
      </w:r>
      <w:r w:rsidRPr="000A3110">
        <w:rPr>
          <w:iCs/>
          <w:color w:val="000000" w:themeColor="text1"/>
        </w:rPr>
        <w:t xml:space="preserve"> the effort made in the resubmission to address several uncertainties </w:t>
      </w:r>
      <w:r w:rsidR="001E6057" w:rsidRPr="000A3110">
        <w:rPr>
          <w:iCs/>
          <w:color w:val="000000" w:themeColor="text1"/>
        </w:rPr>
        <w:t>raised during the previous PBAC consideration in November 2020</w:t>
      </w:r>
      <w:r w:rsidR="00612C77">
        <w:rPr>
          <w:iCs/>
          <w:color w:val="000000" w:themeColor="text1"/>
        </w:rPr>
        <w:t>, within the confines of the limited available data</w:t>
      </w:r>
      <w:r w:rsidRPr="000A3110">
        <w:rPr>
          <w:iCs/>
          <w:color w:val="000000" w:themeColor="text1"/>
        </w:rPr>
        <w:t xml:space="preserve">. This included presentation of additional data from an extended </w:t>
      </w:r>
      <w:r w:rsidR="007A40DF" w:rsidRPr="000A3110">
        <w:rPr>
          <w:iCs/>
          <w:color w:val="000000" w:themeColor="text1"/>
        </w:rPr>
        <w:t>follow-up</w:t>
      </w:r>
      <w:r w:rsidR="002E5140" w:rsidRPr="000A3110">
        <w:rPr>
          <w:iCs/>
          <w:color w:val="000000" w:themeColor="text1"/>
        </w:rPr>
        <w:t>,</w:t>
      </w:r>
      <w:r w:rsidRPr="000A3110">
        <w:rPr>
          <w:iCs/>
          <w:color w:val="000000" w:themeColor="text1"/>
        </w:rPr>
        <w:t xml:space="preserve"> and several exploratory analyses. However, the clinical evidence </w:t>
      </w:r>
      <w:r w:rsidR="002E5140" w:rsidRPr="000A3110">
        <w:rPr>
          <w:iCs/>
          <w:color w:val="000000" w:themeColor="text1"/>
        </w:rPr>
        <w:t>at this stage</w:t>
      </w:r>
      <w:r w:rsidR="00471B02" w:rsidRPr="000A3110">
        <w:rPr>
          <w:iCs/>
          <w:color w:val="000000" w:themeColor="text1"/>
        </w:rPr>
        <w:t xml:space="preserve"> still</w:t>
      </w:r>
      <w:r w:rsidR="002E5140" w:rsidRPr="000A3110">
        <w:rPr>
          <w:iCs/>
          <w:color w:val="000000" w:themeColor="text1"/>
        </w:rPr>
        <w:t xml:space="preserve"> </w:t>
      </w:r>
      <w:r w:rsidRPr="000A3110">
        <w:rPr>
          <w:iCs/>
          <w:color w:val="000000" w:themeColor="text1"/>
        </w:rPr>
        <w:t>remains limited</w:t>
      </w:r>
      <w:r w:rsidR="0084411D" w:rsidRPr="000A3110">
        <w:rPr>
          <w:iCs/>
          <w:color w:val="000000" w:themeColor="text1"/>
        </w:rPr>
        <w:t>,</w:t>
      </w:r>
      <w:r w:rsidR="00364258" w:rsidRPr="000A3110">
        <w:rPr>
          <w:iCs/>
          <w:color w:val="000000" w:themeColor="text1"/>
        </w:rPr>
        <w:t xml:space="preserve"> </w:t>
      </w:r>
      <w:r w:rsidR="0084411D" w:rsidRPr="000A3110">
        <w:rPr>
          <w:iCs/>
          <w:color w:val="000000" w:themeColor="text1"/>
        </w:rPr>
        <w:t>to</w:t>
      </w:r>
      <w:r w:rsidRPr="000A3110">
        <w:rPr>
          <w:iCs/>
          <w:color w:val="000000" w:themeColor="text1"/>
        </w:rPr>
        <w:t xml:space="preserve"> varying degrees</w:t>
      </w:r>
      <w:r w:rsidR="0084411D" w:rsidRPr="000A3110">
        <w:rPr>
          <w:iCs/>
          <w:color w:val="000000" w:themeColor="text1"/>
        </w:rPr>
        <w:t>,</w:t>
      </w:r>
      <w:r w:rsidRPr="000A3110">
        <w:rPr>
          <w:iCs/>
          <w:color w:val="000000" w:themeColor="text1"/>
        </w:rPr>
        <w:t xml:space="preserve"> across all four proposed populations. Due to the rarity of </w:t>
      </w:r>
      <w:r w:rsidRPr="000A3110">
        <w:rPr>
          <w:i/>
          <w:color w:val="000000" w:themeColor="text1"/>
        </w:rPr>
        <w:t>NTRK</w:t>
      </w:r>
      <w:r w:rsidRPr="000A3110">
        <w:rPr>
          <w:iCs/>
          <w:color w:val="000000" w:themeColor="text1"/>
        </w:rPr>
        <w:t xml:space="preserve"> fusion cancers, comparative randomised trial data </w:t>
      </w:r>
      <w:r w:rsidR="008038E6">
        <w:rPr>
          <w:iCs/>
          <w:color w:val="000000" w:themeColor="text1"/>
        </w:rPr>
        <w:t xml:space="preserve">is </w:t>
      </w:r>
      <w:r w:rsidRPr="000A3110">
        <w:rPr>
          <w:iCs/>
          <w:color w:val="000000" w:themeColor="text1"/>
        </w:rPr>
        <w:t>unlikely to be forthcoming.</w:t>
      </w:r>
    </w:p>
    <w:p w:rsidR="00D51B2C" w:rsidRPr="000A3110" w:rsidRDefault="00D51B2C" w:rsidP="00F52725">
      <w:pPr>
        <w:pStyle w:val="ListParagraph"/>
        <w:rPr>
          <w:iCs/>
        </w:rPr>
      </w:pPr>
      <w:r w:rsidRPr="000A3110">
        <w:rPr>
          <w:iCs/>
        </w:rPr>
        <w:t>Collectively, the single-arm design of the larotrectinib studies,</w:t>
      </w:r>
      <w:r w:rsidR="00DC66B9">
        <w:rPr>
          <w:iCs/>
        </w:rPr>
        <w:t xml:space="preserve"> small patient numbers,</w:t>
      </w:r>
      <w:r w:rsidRPr="000A3110">
        <w:rPr>
          <w:iCs/>
        </w:rPr>
        <w:t xml:space="preserve"> </w:t>
      </w:r>
      <w:r w:rsidR="001E6057" w:rsidRPr="000A3110">
        <w:rPr>
          <w:iCs/>
        </w:rPr>
        <w:t xml:space="preserve">potential </w:t>
      </w:r>
      <w:r w:rsidRPr="000A3110">
        <w:rPr>
          <w:iCs/>
        </w:rPr>
        <w:t xml:space="preserve">heterogeneity in </w:t>
      </w:r>
      <w:r w:rsidR="001E6057" w:rsidRPr="000A3110">
        <w:rPr>
          <w:iCs/>
        </w:rPr>
        <w:t xml:space="preserve">disease characteristics and treatment outcomes by </w:t>
      </w:r>
      <w:r w:rsidRPr="000A3110">
        <w:rPr>
          <w:iCs/>
        </w:rPr>
        <w:t xml:space="preserve">tumour type, the impact of </w:t>
      </w:r>
      <w:r w:rsidR="001E6057" w:rsidRPr="000A3110">
        <w:rPr>
          <w:iCs/>
        </w:rPr>
        <w:t xml:space="preserve">confounding of OS from </w:t>
      </w:r>
      <w:r w:rsidRPr="000A3110">
        <w:rPr>
          <w:iCs/>
        </w:rPr>
        <w:t xml:space="preserve">subsequent treatments received post-progression in the larotrectinib studies, </w:t>
      </w:r>
      <w:r w:rsidR="001E6057" w:rsidRPr="000A3110">
        <w:rPr>
          <w:iCs/>
        </w:rPr>
        <w:t xml:space="preserve">and variability of the SoC data and their </w:t>
      </w:r>
      <w:r w:rsidRPr="000A3110">
        <w:rPr>
          <w:iCs/>
        </w:rPr>
        <w:t xml:space="preserve">applicability to current Australian SoC, </w:t>
      </w:r>
      <w:r w:rsidR="00F52725" w:rsidRPr="000A3110">
        <w:rPr>
          <w:iCs/>
        </w:rPr>
        <w:t xml:space="preserve">engender a high degree of uncertainty </w:t>
      </w:r>
      <w:r w:rsidRPr="000A3110">
        <w:rPr>
          <w:iCs/>
        </w:rPr>
        <w:t>regarding the magnitude of increm</w:t>
      </w:r>
      <w:r w:rsidR="001E6057" w:rsidRPr="000A3110">
        <w:rPr>
          <w:iCs/>
        </w:rPr>
        <w:t>ental benefit of larotrectinib.</w:t>
      </w:r>
    </w:p>
    <w:p w:rsidR="00D51B2C" w:rsidRPr="000A3110" w:rsidRDefault="00471B02" w:rsidP="00D51B2C">
      <w:pPr>
        <w:ind w:left="720"/>
        <w:rPr>
          <w:iCs/>
          <w:color w:val="000000" w:themeColor="text1"/>
        </w:rPr>
      </w:pPr>
      <w:r w:rsidRPr="000A3110">
        <w:rPr>
          <w:iCs/>
          <w:color w:val="000000" w:themeColor="text1"/>
        </w:rPr>
        <w:t xml:space="preserve">The entirety of the evidence was indicative of a larger treatment effect in patients with high </w:t>
      </w:r>
      <w:r w:rsidRPr="000A3110">
        <w:rPr>
          <w:i/>
          <w:color w:val="000000" w:themeColor="text1"/>
        </w:rPr>
        <w:t>NTRK</w:t>
      </w:r>
      <w:r w:rsidRPr="000A3110">
        <w:rPr>
          <w:iCs/>
          <w:color w:val="000000" w:themeColor="text1"/>
        </w:rPr>
        <w:t xml:space="preserve"> fusion frequency tumours compared to patients with low </w:t>
      </w:r>
      <w:r w:rsidRPr="000A3110">
        <w:rPr>
          <w:i/>
          <w:color w:val="000000" w:themeColor="text1"/>
        </w:rPr>
        <w:t>NTRK</w:t>
      </w:r>
      <w:r w:rsidRPr="000A3110">
        <w:rPr>
          <w:iCs/>
          <w:color w:val="000000" w:themeColor="text1"/>
        </w:rPr>
        <w:t xml:space="preserve"> fusion frequency tumours. </w:t>
      </w:r>
      <w:r w:rsidR="00B50417" w:rsidRPr="000A3110">
        <w:rPr>
          <w:iCs/>
          <w:color w:val="000000" w:themeColor="text1"/>
        </w:rPr>
        <w:t xml:space="preserve">The evidence for the effectiveness of larotrectinib for some of the paediatric low </w:t>
      </w:r>
      <w:r w:rsidR="00B50417" w:rsidRPr="000A3110">
        <w:rPr>
          <w:i/>
          <w:color w:val="000000" w:themeColor="text1"/>
        </w:rPr>
        <w:t>NTRK</w:t>
      </w:r>
      <w:r w:rsidR="00B50417" w:rsidRPr="000A3110">
        <w:rPr>
          <w:iCs/>
          <w:color w:val="000000" w:themeColor="text1"/>
        </w:rPr>
        <w:t xml:space="preserve"> fusion frequency tumours was </w:t>
      </w:r>
      <w:r w:rsidR="00404909">
        <w:rPr>
          <w:iCs/>
          <w:color w:val="000000" w:themeColor="text1"/>
        </w:rPr>
        <w:t xml:space="preserve">less </w:t>
      </w:r>
      <w:r w:rsidR="00B50417" w:rsidRPr="000A3110">
        <w:rPr>
          <w:iCs/>
          <w:color w:val="000000" w:themeColor="text1"/>
        </w:rPr>
        <w:t xml:space="preserve">convincing </w:t>
      </w:r>
      <w:r w:rsidR="00404909">
        <w:rPr>
          <w:iCs/>
          <w:color w:val="000000" w:themeColor="text1"/>
        </w:rPr>
        <w:t>than</w:t>
      </w:r>
      <w:r w:rsidR="00404909" w:rsidRPr="000A3110">
        <w:rPr>
          <w:iCs/>
          <w:color w:val="000000" w:themeColor="text1"/>
        </w:rPr>
        <w:t xml:space="preserve"> </w:t>
      </w:r>
      <w:r w:rsidR="00B50417" w:rsidRPr="000A3110">
        <w:rPr>
          <w:iCs/>
          <w:color w:val="000000" w:themeColor="text1"/>
        </w:rPr>
        <w:t xml:space="preserve">that observed for the paediatric high frequency tumours. However, there is a high clinical need for alternate therapies in paediatric patients, particularly for whom current SoC primarily consists of cytotoxic chemotherapy, which may have a lifelong detriment (among others, reduced fertility and cognitive impairment) on the patient’s quality of life. Taken together, the benefit/risk of larotrectinib may be positive for some rare paediatric cancers with a low </w:t>
      </w:r>
      <w:r w:rsidR="00B50417" w:rsidRPr="000A3110">
        <w:rPr>
          <w:i/>
          <w:color w:val="000000" w:themeColor="text1"/>
        </w:rPr>
        <w:t>NTRK</w:t>
      </w:r>
      <w:r w:rsidR="00B50417" w:rsidRPr="000A3110">
        <w:rPr>
          <w:iCs/>
          <w:color w:val="000000" w:themeColor="text1"/>
        </w:rPr>
        <w:t xml:space="preserve"> fusion frequency.</w:t>
      </w:r>
      <w:r w:rsidR="00076B17" w:rsidRPr="000A3110">
        <w:rPr>
          <w:iCs/>
          <w:color w:val="000000" w:themeColor="text1"/>
        </w:rPr>
        <w:t xml:space="preserve"> </w:t>
      </w:r>
      <w:r w:rsidR="00D51B2C" w:rsidRPr="000A3110">
        <w:rPr>
          <w:iCs/>
          <w:color w:val="000000" w:themeColor="text1"/>
        </w:rPr>
        <w:t xml:space="preserve">Noting the limitations of the clinical data discussed above, </w:t>
      </w:r>
      <w:r w:rsidR="00D51B2C" w:rsidRPr="008038E6">
        <w:rPr>
          <w:iCs/>
          <w:color w:val="000000" w:themeColor="text1"/>
        </w:rPr>
        <w:t xml:space="preserve">the </w:t>
      </w:r>
      <w:r w:rsidR="00353B30" w:rsidRPr="008038E6">
        <w:rPr>
          <w:iCs/>
          <w:color w:val="000000" w:themeColor="text1"/>
        </w:rPr>
        <w:t xml:space="preserve">ESCs considered the </w:t>
      </w:r>
      <w:r w:rsidR="00D51B2C" w:rsidRPr="008038E6">
        <w:rPr>
          <w:iCs/>
          <w:color w:val="000000" w:themeColor="text1"/>
        </w:rPr>
        <w:t>claim of superior effectiveness of larotrectinib, compared to SoC, appears acceptable for adult and paediatric patients with high NTRK fusion frequency solid tumours.</w:t>
      </w:r>
    </w:p>
    <w:p w:rsidR="00D51B2C" w:rsidRPr="00465F00" w:rsidRDefault="00D51B2C" w:rsidP="00AA35CC">
      <w:pPr>
        <w:pStyle w:val="ListParagraph"/>
        <w:rPr>
          <w:iCs/>
        </w:rPr>
      </w:pPr>
      <w:r w:rsidRPr="008038E6">
        <w:rPr>
          <w:iCs/>
        </w:rPr>
        <w:t xml:space="preserve">The </w:t>
      </w:r>
      <w:r w:rsidR="00353B30" w:rsidRPr="008038E6">
        <w:rPr>
          <w:iCs/>
        </w:rPr>
        <w:t xml:space="preserve">ESCs considered the </w:t>
      </w:r>
      <w:r w:rsidRPr="008038E6">
        <w:rPr>
          <w:iCs/>
        </w:rPr>
        <w:t>claim of superior effectiveness in the adult low NTRK fusion frequency tumo</w:t>
      </w:r>
      <w:r w:rsidRPr="003E0694">
        <w:rPr>
          <w:iCs/>
        </w:rPr>
        <w:t>urs was not sufficiently supported</w:t>
      </w:r>
      <w:r w:rsidR="0084411D" w:rsidRPr="003E0694">
        <w:rPr>
          <w:iCs/>
        </w:rPr>
        <w:t xml:space="preserve"> as observed for adult high frequency tumours</w:t>
      </w:r>
      <w:r w:rsidRPr="00465F00">
        <w:rPr>
          <w:iCs/>
        </w:rPr>
        <w:t>.</w:t>
      </w:r>
    </w:p>
    <w:p w:rsidR="001E6057" w:rsidRDefault="00B65F65" w:rsidP="001E6057">
      <w:pPr>
        <w:pStyle w:val="ListParagraph"/>
        <w:rPr>
          <w:iCs/>
        </w:rPr>
      </w:pPr>
      <w:r w:rsidRPr="000A3110">
        <w:rPr>
          <w:iCs/>
        </w:rPr>
        <w:t>T</w:t>
      </w:r>
      <w:r w:rsidR="001E6057" w:rsidRPr="000A3110">
        <w:rPr>
          <w:iCs/>
        </w:rPr>
        <w:t xml:space="preserve">he </w:t>
      </w:r>
      <w:r w:rsidR="00D51B2C" w:rsidRPr="000A3110">
        <w:rPr>
          <w:iCs/>
        </w:rPr>
        <w:t xml:space="preserve">pooled larotrectinib safety data </w:t>
      </w:r>
      <w:r w:rsidR="001E6057" w:rsidRPr="000A3110">
        <w:rPr>
          <w:iCs/>
        </w:rPr>
        <w:t xml:space="preserve">have not changed substantially </w:t>
      </w:r>
      <w:r w:rsidR="00874624" w:rsidRPr="000A3110">
        <w:rPr>
          <w:iCs/>
        </w:rPr>
        <w:t>since</w:t>
      </w:r>
      <w:r w:rsidR="001E6057" w:rsidRPr="000A3110">
        <w:rPr>
          <w:iCs/>
        </w:rPr>
        <w:t xml:space="preserve"> the previous submission. The updated safety results </w:t>
      </w:r>
      <w:r w:rsidR="00D51B2C" w:rsidRPr="000A3110">
        <w:rPr>
          <w:iCs/>
        </w:rPr>
        <w:t>indicated a manageable safety profile</w:t>
      </w:r>
      <w:r w:rsidR="001E6057" w:rsidRPr="000A3110">
        <w:rPr>
          <w:iCs/>
        </w:rPr>
        <w:t xml:space="preserve"> associated with larotrectinib</w:t>
      </w:r>
      <w:r w:rsidR="00A228CE" w:rsidRPr="000A3110">
        <w:rPr>
          <w:iCs/>
        </w:rPr>
        <w:t>.</w:t>
      </w:r>
      <w:r w:rsidR="00D51B2C" w:rsidRPr="000A3110">
        <w:rPr>
          <w:iCs/>
        </w:rPr>
        <w:t xml:space="preserve"> </w:t>
      </w:r>
      <w:r w:rsidR="00A228CE" w:rsidRPr="000A3110">
        <w:rPr>
          <w:iCs/>
        </w:rPr>
        <w:t>Neurological AEs reflective of larotrectinib mechanism of action are relevant in the assessment of benefit</w:t>
      </w:r>
      <w:r w:rsidR="00F52725" w:rsidRPr="000A3110">
        <w:rPr>
          <w:iCs/>
        </w:rPr>
        <w:t>/</w:t>
      </w:r>
      <w:r w:rsidR="00A228CE" w:rsidRPr="000A3110">
        <w:rPr>
          <w:iCs/>
        </w:rPr>
        <w:t>risk, particularly in the paediatric population. Thus</w:t>
      </w:r>
      <w:r w:rsidR="00AF023C">
        <w:rPr>
          <w:iCs/>
        </w:rPr>
        <w:t>,</w:t>
      </w:r>
      <w:r w:rsidR="00A228CE" w:rsidRPr="000A3110">
        <w:rPr>
          <w:iCs/>
        </w:rPr>
        <w:t xml:space="preserve"> </w:t>
      </w:r>
      <w:r w:rsidR="001E6057" w:rsidRPr="000A3110">
        <w:rPr>
          <w:iCs/>
        </w:rPr>
        <w:t xml:space="preserve">longer term </w:t>
      </w:r>
      <w:r w:rsidR="00A228CE" w:rsidRPr="000A3110">
        <w:rPr>
          <w:iCs/>
        </w:rPr>
        <w:t xml:space="preserve">safety </w:t>
      </w:r>
      <w:r w:rsidR="001E6057" w:rsidRPr="000A3110">
        <w:rPr>
          <w:iCs/>
        </w:rPr>
        <w:t>data from a larger patient cohort are required to assess any rare neurological/other relevant TEAEs.</w:t>
      </w:r>
    </w:p>
    <w:p w:rsidR="00D51B2C" w:rsidRPr="00547CCA" w:rsidRDefault="00A228CE" w:rsidP="00547CCA">
      <w:pPr>
        <w:pStyle w:val="ListParagraph"/>
        <w:rPr>
          <w:iCs/>
        </w:rPr>
      </w:pPr>
      <w:r w:rsidRPr="00547CCA">
        <w:rPr>
          <w:iCs/>
        </w:rPr>
        <w:t xml:space="preserve">The assessment of comparative safety was not feasible. </w:t>
      </w:r>
      <w:r w:rsidR="00850763">
        <w:rPr>
          <w:iCs/>
        </w:rPr>
        <w:t xml:space="preserve">It was difficult to interpret the </w:t>
      </w:r>
      <w:r w:rsidR="001E6057" w:rsidRPr="00547CCA">
        <w:rPr>
          <w:iCs/>
        </w:rPr>
        <w:t>indirect comparison as</w:t>
      </w:r>
      <w:r w:rsidR="00B65F65" w:rsidRPr="00547CCA">
        <w:rPr>
          <w:iCs/>
        </w:rPr>
        <w:t xml:space="preserve"> many AEs were not reported in the</w:t>
      </w:r>
      <w:r w:rsidR="001E6057" w:rsidRPr="00547CCA">
        <w:rPr>
          <w:iCs/>
        </w:rPr>
        <w:t xml:space="preserve"> SoC </w:t>
      </w:r>
      <w:r w:rsidR="00B65F65" w:rsidRPr="00547CCA">
        <w:rPr>
          <w:iCs/>
        </w:rPr>
        <w:t>studies</w:t>
      </w:r>
      <w:r w:rsidR="001E6057" w:rsidRPr="00547CCA">
        <w:rPr>
          <w:iCs/>
        </w:rPr>
        <w:t xml:space="preserve">. Furthermore, some of the Grade ≥ 3 AEs observed across the SoC studies of different tumour types may </w:t>
      </w:r>
      <w:r w:rsidRPr="00547CCA">
        <w:rPr>
          <w:iCs/>
        </w:rPr>
        <w:t xml:space="preserve">likely </w:t>
      </w:r>
      <w:r w:rsidR="001E6057" w:rsidRPr="00547CCA">
        <w:rPr>
          <w:iCs/>
        </w:rPr>
        <w:t>have been disease related rather than drug related.</w:t>
      </w:r>
      <w:r w:rsidRPr="00547CCA">
        <w:rPr>
          <w:iCs/>
        </w:rPr>
        <w:t xml:space="preserve"> The toxicity profile differs between larotrectinib (neurological) and chemotherapy (haematological).</w:t>
      </w:r>
    </w:p>
    <w:p w:rsidR="00A228CE" w:rsidRPr="000A3110" w:rsidRDefault="00A228CE" w:rsidP="008C1C98">
      <w:pPr>
        <w:pStyle w:val="ListParagraph"/>
        <w:numPr>
          <w:ilvl w:val="0"/>
          <w:numId w:val="0"/>
        </w:numPr>
        <w:ind w:left="709"/>
        <w:rPr>
          <w:iCs/>
        </w:rPr>
      </w:pPr>
      <w:r w:rsidRPr="000A3110">
        <w:rPr>
          <w:iCs/>
        </w:rPr>
        <w:t>For the economic evaluation, the SoC AEs for the paediatric population were sourced exclusively from Sandler (2001) which was more than two decades old. Management of chemotherapy-related AEs has improved significantly over time, with more frequent monitoring and earlier recognition of these events, and more effective prophylaxis or treatment in current SoC.</w:t>
      </w:r>
    </w:p>
    <w:p w:rsidR="001A2470" w:rsidRPr="001761F8" w:rsidRDefault="001A2470" w:rsidP="001A2470">
      <w:pPr>
        <w:pStyle w:val="PBACESHeading2"/>
      </w:pPr>
      <w:bookmarkStart w:id="73" w:name="_Toc51160061"/>
      <w:bookmarkStart w:id="74" w:name="_Toc82597079"/>
      <w:bookmarkStart w:id="75" w:name="_Toc413139282"/>
      <w:r w:rsidRPr="001761F8">
        <w:t>Claim of codependence</w:t>
      </w:r>
      <w:bookmarkEnd w:id="73"/>
      <w:bookmarkEnd w:id="74"/>
    </w:p>
    <w:p w:rsidR="001A2470" w:rsidRDefault="001A2470" w:rsidP="001A2470">
      <w:pPr>
        <w:pStyle w:val="ListParagraph"/>
        <w:ind w:left="709"/>
      </w:pPr>
      <w:r w:rsidRPr="001761F8">
        <w:t xml:space="preserve">The therapeutic conclusion presented in the submission was that </w:t>
      </w:r>
      <w:r w:rsidRPr="001761F8">
        <w:rPr>
          <w:i/>
        </w:rPr>
        <w:t>NTRK</w:t>
      </w:r>
      <w:r w:rsidRPr="001761F8">
        <w:t xml:space="preserve"> fusion testing (FISH or NGS ± IHC) plus larotrectinib was superior to no </w:t>
      </w:r>
      <w:r w:rsidRPr="001761F8">
        <w:rPr>
          <w:i/>
        </w:rPr>
        <w:t>NTRK</w:t>
      </w:r>
      <w:r w:rsidR="001761F8">
        <w:t xml:space="preserve"> fusion </w:t>
      </w:r>
      <w:r w:rsidRPr="001761F8">
        <w:t>testing plus SoC in terms of efficacy and safety, in the proposed testing and treatment population. There were several uncertainties associated with the evidence which did not allow a definitive conclusion regarding this claim.</w:t>
      </w:r>
    </w:p>
    <w:p w:rsidR="001761F8" w:rsidRPr="000A3110" w:rsidRDefault="009C7786" w:rsidP="001761F8">
      <w:pPr>
        <w:pStyle w:val="ListParagraph"/>
        <w:rPr>
          <w:iCs/>
        </w:rPr>
      </w:pPr>
      <w:r w:rsidRPr="000A3110">
        <w:rPr>
          <w:iCs/>
        </w:rPr>
        <w:t>Given the several key uncertainties identified, th</w:t>
      </w:r>
      <w:r w:rsidR="001761F8" w:rsidRPr="000A3110">
        <w:rPr>
          <w:iCs/>
        </w:rPr>
        <w:t>e claim of superiority of testing plus treatment over no testing plus SoC</w:t>
      </w:r>
      <w:r w:rsidRPr="000A3110">
        <w:rPr>
          <w:iCs/>
        </w:rPr>
        <w:t>,</w:t>
      </w:r>
      <w:r w:rsidR="001761F8" w:rsidRPr="000A3110">
        <w:rPr>
          <w:iCs/>
        </w:rPr>
        <w:t xml:space="preserve"> in a site agnostic context</w:t>
      </w:r>
      <w:r w:rsidRPr="000A3110">
        <w:rPr>
          <w:iCs/>
        </w:rPr>
        <w:t>,</w:t>
      </w:r>
      <w:r w:rsidR="001761F8" w:rsidRPr="000A3110">
        <w:rPr>
          <w:iCs/>
        </w:rPr>
        <w:t xml:space="preserve"> </w:t>
      </w:r>
      <w:r w:rsidRPr="000A3110">
        <w:rPr>
          <w:iCs/>
        </w:rPr>
        <w:t>w</w:t>
      </w:r>
      <w:r w:rsidR="001761F8" w:rsidRPr="000A3110">
        <w:rPr>
          <w:iCs/>
        </w:rPr>
        <w:t xml:space="preserve">as not </w:t>
      </w:r>
      <w:r w:rsidRPr="000A3110">
        <w:rPr>
          <w:iCs/>
        </w:rPr>
        <w:t>sufficiently</w:t>
      </w:r>
      <w:r w:rsidR="00686DB1" w:rsidRPr="000A3110">
        <w:rPr>
          <w:iCs/>
        </w:rPr>
        <w:t xml:space="preserve"> demonstrated.</w:t>
      </w:r>
    </w:p>
    <w:p w:rsidR="00C317F3" w:rsidRPr="00962538" w:rsidRDefault="00C317F3" w:rsidP="007E2F09">
      <w:pPr>
        <w:pStyle w:val="PBACESHeading2"/>
      </w:pPr>
      <w:bookmarkStart w:id="76" w:name="_Toc82597080"/>
      <w:r w:rsidRPr="00962538">
        <w:t>Economic analysis</w:t>
      </w:r>
      <w:bookmarkEnd w:id="75"/>
      <w:bookmarkEnd w:id="76"/>
    </w:p>
    <w:p w:rsidR="00F1737B" w:rsidRPr="00A230C2" w:rsidRDefault="00F1737B" w:rsidP="00F1737B">
      <w:pPr>
        <w:pStyle w:val="ListParagraph"/>
      </w:pPr>
      <w:bookmarkStart w:id="77" w:name="_Toc413139286"/>
      <w:r w:rsidRPr="00A230C2">
        <w:t xml:space="preserve">The resubmission presented an updated modelled economic evaluation, based on a naïve indirect comparison of single-arm studies. This compared </w:t>
      </w:r>
      <w:bookmarkStart w:id="78" w:name="_Hlk89336869"/>
      <w:r w:rsidRPr="006F3500">
        <w:rPr>
          <w:i/>
        </w:rPr>
        <w:t>NTRK</w:t>
      </w:r>
      <w:r w:rsidRPr="00A230C2">
        <w:t xml:space="preserve"> testing and larotrectinib treatment in patients identified with </w:t>
      </w:r>
      <w:r w:rsidRPr="006F3500">
        <w:rPr>
          <w:i/>
        </w:rPr>
        <w:t>NTRK</w:t>
      </w:r>
      <w:r w:rsidRPr="00A230C2">
        <w:t xml:space="preserve"> fusions and SoC treatment in those without, to no testing, where all patients were treated with SoC.</w:t>
      </w:r>
      <w:bookmarkEnd w:id="78"/>
      <w:r w:rsidR="0072026D">
        <w:t xml:space="preserve"> </w:t>
      </w:r>
      <w:r w:rsidR="0072026D" w:rsidRPr="000A3110">
        <w:rPr>
          <w:iCs/>
        </w:rPr>
        <w:t xml:space="preserve">This differed to the previous submission which modelled only </w:t>
      </w:r>
      <w:r w:rsidR="0072026D" w:rsidRPr="000A3110">
        <w:rPr>
          <w:i/>
        </w:rPr>
        <w:t>NTRK</w:t>
      </w:r>
      <w:r w:rsidR="0072026D" w:rsidRPr="000A3110">
        <w:rPr>
          <w:iCs/>
        </w:rPr>
        <w:t>-positive patients and compared larotrectinib treatment to SoC.</w:t>
      </w:r>
      <w:r w:rsidR="0021481D" w:rsidRPr="0021481D">
        <w:rPr>
          <w:iCs/>
        </w:rPr>
        <w:t xml:space="preserve"> </w:t>
      </w:r>
      <w:r w:rsidR="0021481D" w:rsidRPr="005C7D71">
        <w:t>Th</w:t>
      </w:r>
      <w:r w:rsidR="00AC4F2D" w:rsidRPr="005C7D71">
        <w:t>e ESCs considere</w:t>
      </w:r>
      <w:r w:rsidR="005C0ED1" w:rsidRPr="005C7D71">
        <w:t>d</w:t>
      </w:r>
      <w:r w:rsidR="00AC4F2D" w:rsidRPr="005C7D71">
        <w:t xml:space="preserve"> this </w:t>
      </w:r>
      <w:r w:rsidR="0021481D" w:rsidRPr="005C7D71">
        <w:t xml:space="preserve">change </w:t>
      </w:r>
      <w:r w:rsidR="005C0ED1" w:rsidRPr="005C7D71">
        <w:t>wa</w:t>
      </w:r>
      <w:r w:rsidR="0021481D" w:rsidRPr="005C7D71">
        <w:t>s reasonable and is consistent with the preferred approach in the PBAC and MSAC Guidelines for codependent technologies.</w:t>
      </w:r>
      <w:r w:rsidRPr="000A3110">
        <w:rPr>
          <w:iCs/>
        </w:rPr>
        <w:t xml:space="preserve"> The types of economic evaluation presented were</w:t>
      </w:r>
      <w:r w:rsidRPr="000A3110">
        <w:t xml:space="preserve"> a cost-effectiveness analysis and a cost-utility analysis, measuring outcomes in terms of life-years (LYs) gained and quality-adjusted life years (QALYs) gained, respectively. This is unchanged </w:t>
      </w:r>
      <w:r w:rsidR="00874624" w:rsidRPr="000A3110">
        <w:t>since</w:t>
      </w:r>
      <w:r w:rsidRPr="000A3110">
        <w:t xml:space="preserve"> the previous submission. The key components of the economic evaluation are summarised </w:t>
      </w:r>
      <w:r w:rsidR="00B01CD6" w:rsidRPr="000A3110">
        <w:t xml:space="preserve">in </w:t>
      </w:r>
      <w:r w:rsidR="00796D25" w:rsidRPr="000A3110">
        <w:t>Table</w:t>
      </w:r>
      <w:r w:rsidR="00E37EC3">
        <w:t xml:space="preserve"> </w:t>
      </w:r>
      <w:r w:rsidR="00796D25" w:rsidRPr="000A3110">
        <w:rPr>
          <w:noProof/>
        </w:rPr>
        <w:t>21</w:t>
      </w:r>
      <w:r w:rsidRPr="000A3110">
        <w:t>.</w:t>
      </w:r>
    </w:p>
    <w:p w:rsidR="00F1737B" w:rsidRDefault="00F1737B" w:rsidP="00AF023C">
      <w:pPr>
        <w:pStyle w:val="Caption"/>
      </w:pPr>
      <w:bookmarkStart w:id="79" w:name="_Ref79167567"/>
      <w:r>
        <w:t>Table</w:t>
      </w:r>
      <w:r w:rsidR="00E37EC3">
        <w:t xml:space="preserve"> </w:t>
      </w:r>
      <w:r w:rsidR="00BB3DD1">
        <w:rPr>
          <w:noProof/>
        </w:rPr>
        <w:t>21</w:t>
      </w:r>
      <w:bookmarkEnd w:id="79"/>
      <w:r w:rsidR="00E37EC3">
        <w:rPr>
          <w:noProof/>
        </w:rPr>
        <w:t>:</w:t>
      </w:r>
      <w:r w:rsidR="00D117CD">
        <w:rPr>
          <w:noProof/>
        </w:rPr>
        <w:t xml:space="preserve"> </w:t>
      </w:r>
      <w:r w:rsidRPr="00962538">
        <w:t>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54"/>
        <w:gridCol w:w="7462"/>
      </w:tblGrid>
      <w:tr w:rsidR="00F1737B" w:rsidRPr="00962538" w:rsidTr="00AF023C">
        <w:trPr>
          <w:cantSplit/>
          <w:tblHeader/>
        </w:trPr>
        <w:tc>
          <w:tcPr>
            <w:tcW w:w="862" w:type="pct"/>
            <w:shd w:val="clear" w:color="auto" w:fill="auto"/>
            <w:vAlign w:val="bottom"/>
          </w:tcPr>
          <w:p w:rsidR="00F1737B" w:rsidRPr="00FA3738" w:rsidRDefault="00F1737B" w:rsidP="00AF023C">
            <w:pPr>
              <w:pStyle w:val="TableText"/>
              <w:keepNext/>
              <w:rPr>
                <w:b/>
              </w:rPr>
            </w:pPr>
            <w:r w:rsidRPr="00FA3738">
              <w:rPr>
                <w:b/>
              </w:rPr>
              <w:t>Component</w:t>
            </w:r>
          </w:p>
        </w:tc>
        <w:tc>
          <w:tcPr>
            <w:tcW w:w="4138" w:type="pct"/>
            <w:shd w:val="clear" w:color="auto" w:fill="auto"/>
            <w:vAlign w:val="bottom"/>
          </w:tcPr>
          <w:p w:rsidR="00F1737B" w:rsidRPr="00FA3738" w:rsidRDefault="00F1737B" w:rsidP="00AF023C">
            <w:pPr>
              <w:pStyle w:val="TableText"/>
              <w:keepNext/>
              <w:rPr>
                <w:b/>
              </w:rPr>
            </w:pPr>
            <w:r w:rsidRPr="00FA3738">
              <w:rPr>
                <w:b/>
              </w:rPr>
              <w:t>Summary</w:t>
            </w:r>
          </w:p>
        </w:tc>
      </w:tr>
      <w:tr w:rsidR="00F1737B" w:rsidRPr="00962538" w:rsidTr="00AF023C">
        <w:trPr>
          <w:cantSplit/>
        </w:trPr>
        <w:tc>
          <w:tcPr>
            <w:tcW w:w="862" w:type="pct"/>
            <w:shd w:val="clear" w:color="auto" w:fill="auto"/>
          </w:tcPr>
          <w:p w:rsidR="00F1737B" w:rsidRPr="00962538" w:rsidRDefault="00F1737B" w:rsidP="00AF023C">
            <w:pPr>
              <w:pStyle w:val="TableText"/>
              <w:keepNext/>
            </w:pPr>
            <w:r>
              <w:t>Cohorts modelled</w:t>
            </w:r>
          </w:p>
        </w:tc>
        <w:tc>
          <w:tcPr>
            <w:tcW w:w="4138" w:type="pct"/>
            <w:shd w:val="clear" w:color="auto" w:fill="auto"/>
          </w:tcPr>
          <w:p w:rsidR="00F1737B" w:rsidRDefault="006F3500" w:rsidP="00AF023C">
            <w:pPr>
              <w:pStyle w:val="TableText"/>
              <w:keepNext/>
              <w:numPr>
                <w:ilvl w:val="0"/>
                <w:numId w:val="24"/>
              </w:numPr>
              <w:ind w:left="169" w:hanging="141"/>
            </w:pPr>
            <w:r>
              <w:t>Patients treated with l</w:t>
            </w:r>
            <w:r w:rsidR="00F1737B">
              <w:t xml:space="preserve">arotrectinib: </w:t>
            </w:r>
            <w:r w:rsidR="00F1737B" w:rsidRPr="00A81521">
              <w:rPr>
                <w:highlight w:val="lightGray"/>
                <w:shd w:val="clear" w:color="auto" w:fill="F2F2F2" w:themeFill="background1" w:themeFillShade="F2"/>
              </w:rPr>
              <w:t>overall cohort of patients from the pooled larotrectinib analysis</w:t>
            </w:r>
            <w:r w:rsidR="00F1737B">
              <w:t xml:space="preserve"> (i.e. mix of adult and paediatric patients and a mix of high and low frequency </w:t>
            </w:r>
            <w:r w:rsidR="00F1737B">
              <w:rPr>
                <w:i/>
              </w:rPr>
              <w:t>NTRK</w:t>
            </w:r>
            <w:r w:rsidR="00F1737B">
              <w:t xml:space="preserve"> fusion tumour types – including tumour types that have been excluded from the</w:t>
            </w:r>
            <w:r w:rsidR="00616E5C">
              <w:t xml:space="preserve"> resubmission’s</w:t>
            </w:r>
            <w:r w:rsidR="00F1737B">
              <w:t xml:space="preserve"> proposed population)</w:t>
            </w:r>
          </w:p>
          <w:p w:rsidR="00F1737B" w:rsidRDefault="006F3500" w:rsidP="00AF023C">
            <w:pPr>
              <w:pStyle w:val="TableText"/>
              <w:keepNext/>
              <w:numPr>
                <w:ilvl w:val="0"/>
                <w:numId w:val="24"/>
              </w:numPr>
              <w:ind w:left="169" w:hanging="141"/>
            </w:pPr>
            <w:r>
              <w:t>Patients treated with SoC</w:t>
            </w:r>
            <w:r w:rsidR="00F1737B">
              <w:t>: seven weighted cohorts:</w:t>
            </w:r>
          </w:p>
          <w:p w:rsidR="00F1737B" w:rsidRDefault="00F1737B" w:rsidP="00AF023C">
            <w:pPr>
              <w:pStyle w:val="TableText"/>
              <w:keepNext/>
              <w:numPr>
                <w:ilvl w:val="1"/>
                <w:numId w:val="24"/>
              </w:numPr>
              <w:ind w:left="595" w:hanging="284"/>
            </w:pPr>
            <w:r w:rsidRPr="00A81521">
              <w:rPr>
                <w:highlight w:val="lightGray"/>
                <w:shd w:val="clear" w:color="auto" w:fill="F2F2F2" w:themeFill="background1" w:themeFillShade="F2"/>
              </w:rPr>
              <w:t>Paediatric STS (representative of paediatric high frequency NTRK fusion tumour types)</w:t>
            </w:r>
            <w:r>
              <w:t>, weight: 29.8%</w:t>
            </w:r>
          </w:p>
          <w:p w:rsidR="00F1737B" w:rsidRDefault="00F1737B" w:rsidP="00AF023C">
            <w:pPr>
              <w:pStyle w:val="TableText"/>
              <w:keepNext/>
              <w:numPr>
                <w:ilvl w:val="1"/>
                <w:numId w:val="24"/>
              </w:numPr>
              <w:ind w:left="595" w:hanging="284"/>
            </w:pPr>
            <w:r w:rsidRPr="00E91979">
              <w:rPr>
                <w:highlight w:val="lightGray"/>
                <w:shd w:val="clear" w:color="auto" w:fill="F2F2F2" w:themeFill="background1" w:themeFillShade="F2"/>
              </w:rPr>
              <w:t>Paediatric glioma (representative of paediatric low frequency NTRK fusion tumour types)</w:t>
            </w:r>
            <w:r>
              <w:t>, weight: 11.6%</w:t>
            </w:r>
          </w:p>
          <w:p w:rsidR="00F1737B" w:rsidRDefault="00F1737B" w:rsidP="00AF023C">
            <w:pPr>
              <w:pStyle w:val="TableText"/>
              <w:keepNext/>
              <w:numPr>
                <w:ilvl w:val="1"/>
                <w:numId w:val="24"/>
              </w:numPr>
              <w:ind w:left="595" w:hanging="284"/>
            </w:pPr>
            <w:r w:rsidRPr="00E91979">
              <w:rPr>
                <w:highlight w:val="lightGray"/>
                <w:shd w:val="clear" w:color="auto" w:fill="F2F2F2" w:themeFill="background1" w:themeFillShade="F2"/>
              </w:rPr>
              <w:t>Salivary gland (representative of adult high frequency NTRK fusion tumour types)</w:t>
            </w:r>
            <w:r>
              <w:t>, weight: 12.9%</w:t>
            </w:r>
          </w:p>
          <w:p w:rsidR="00F1737B" w:rsidRDefault="00F1737B" w:rsidP="00AF023C">
            <w:pPr>
              <w:pStyle w:val="TableText"/>
              <w:keepNext/>
              <w:numPr>
                <w:ilvl w:val="1"/>
                <w:numId w:val="24"/>
              </w:numPr>
              <w:ind w:left="595" w:hanging="284"/>
            </w:pPr>
            <w:r w:rsidRPr="00E91979">
              <w:rPr>
                <w:highlight w:val="lightGray"/>
                <w:shd w:val="clear" w:color="auto" w:fill="F2F2F2" w:themeFill="background1" w:themeFillShade="F2"/>
              </w:rPr>
              <w:t>Colorectal cancer</w:t>
            </w:r>
            <w:r>
              <w:t>, weight: 5.1%</w:t>
            </w:r>
          </w:p>
          <w:p w:rsidR="00F1737B" w:rsidRDefault="00F1737B" w:rsidP="00AF023C">
            <w:pPr>
              <w:pStyle w:val="TableText"/>
              <w:keepNext/>
              <w:numPr>
                <w:ilvl w:val="1"/>
                <w:numId w:val="24"/>
              </w:numPr>
              <w:ind w:left="595" w:hanging="284"/>
            </w:pPr>
            <w:r w:rsidRPr="00E91979">
              <w:rPr>
                <w:highlight w:val="lightGray"/>
                <w:shd w:val="clear" w:color="auto" w:fill="F2F2F2" w:themeFill="background1" w:themeFillShade="F2"/>
              </w:rPr>
              <w:t>Adult STS</w:t>
            </w:r>
            <w:r>
              <w:t>, weight: 14.6%</w:t>
            </w:r>
          </w:p>
          <w:p w:rsidR="00F1737B" w:rsidRDefault="00F1737B" w:rsidP="00AF023C">
            <w:pPr>
              <w:pStyle w:val="TableText"/>
              <w:keepNext/>
              <w:numPr>
                <w:ilvl w:val="1"/>
                <w:numId w:val="24"/>
              </w:numPr>
              <w:ind w:left="595" w:hanging="284"/>
            </w:pPr>
            <w:r>
              <w:t>NSCLC, weight: 9.5%</w:t>
            </w:r>
          </w:p>
          <w:p w:rsidR="00F1737B" w:rsidRDefault="00F1737B" w:rsidP="00AF023C">
            <w:pPr>
              <w:pStyle w:val="TableText"/>
              <w:keepNext/>
              <w:numPr>
                <w:ilvl w:val="1"/>
                <w:numId w:val="24"/>
              </w:numPr>
              <w:ind w:left="595" w:hanging="284"/>
            </w:pPr>
            <w:r>
              <w:t>Thyroid cancer, weight: 16.5%</w:t>
            </w:r>
          </w:p>
          <w:p w:rsidR="00F1737B" w:rsidRDefault="00F1737B" w:rsidP="00AF023C">
            <w:pPr>
              <w:pStyle w:val="TableText"/>
              <w:keepNext/>
            </w:pPr>
            <w:r w:rsidRPr="00E91979">
              <w:rPr>
                <w:highlight w:val="lightGray"/>
                <w:shd w:val="clear" w:color="auto" w:fill="F2F2F2" w:themeFill="background1" w:themeFillShade="F2"/>
              </w:rPr>
              <w:t>Tumour type subgroup analyses of the pooled larotrectinib studies were also presented to allow within-tumour comparisons</w:t>
            </w:r>
            <w:r>
              <w:t>.</w:t>
            </w:r>
          </w:p>
          <w:p w:rsidR="00F1737B" w:rsidRPr="00652528" w:rsidRDefault="000F388B" w:rsidP="00AF023C">
            <w:pPr>
              <w:pStyle w:val="TableText"/>
              <w:keepNext/>
              <w:rPr>
                <w:rFonts w:ascii="Times" w:eastAsia="Times New Roman" w:hAnsi="Times" w:cs="Times New Roman"/>
                <w:iCs/>
              </w:rPr>
            </w:pPr>
            <w:r w:rsidRPr="00652528">
              <w:rPr>
                <w:iCs/>
              </w:rPr>
              <w:t>T</w:t>
            </w:r>
            <w:r w:rsidR="00F1737B" w:rsidRPr="00652528">
              <w:rPr>
                <w:iCs/>
              </w:rPr>
              <w:t>he approach used, which compares larotrectinib use (in a broad range of tumour types, including those no</w:t>
            </w:r>
            <w:r w:rsidR="00376D7B">
              <w:rPr>
                <w:iCs/>
              </w:rPr>
              <w:t>t specified in the proposed restrictions</w:t>
            </w:r>
            <w:r w:rsidR="00F1737B" w:rsidRPr="00652528">
              <w:rPr>
                <w:iCs/>
              </w:rPr>
              <w:t xml:space="preserve">) to SoC therapies across a select number of representative tumour types </w:t>
            </w:r>
            <w:r w:rsidRPr="00652528">
              <w:rPr>
                <w:iCs/>
              </w:rPr>
              <w:t>is</w:t>
            </w:r>
            <w:r w:rsidR="00F1737B" w:rsidRPr="00652528">
              <w:rPr>
                <w:iCs/>
              </w:rPr>
              <w:t xml:space="preserve"> unchanged</w:t>
            </w:r>
            <w:r w:rsidR="00434825" w:rsidRPr="00652528">
              <w:rPr>
                <w:iCs/>
              </w:rPr>
              <w:t xml:space="preserve"> from the previous submission</w:t>
            </w:r>
            <w:r w:rsidR="00F1737B" w:rsidRPr="00652528">
              <w:rPr>
                <w:iCs/>
              </w:rPr>
              <w:t>. A weighted analysis based on the tumour type subgroup analyses may be more appropriate (as per Table 15, 5.08 larotrectinib PSD, November 2020).</w:t>
            </w:r>
            <w:r w:rsidRPr="00652528">
              <w:rPr>
                <w:iCs/>
              </w:rPr>
              <w:t xml:space="preserve"> Further, t</w:t>
            </w:r>
            <w:r w:rsidR="00F1737B" w:rsidRPr="00652528">
              <w:rPr>
                <w:iCs/>
              </w:rPr>
              <w:t>he</w:t>
            </w:r>
            <w:r w:rsidR="00CB0576">
              <w:rPr>
                <w:iCs/>
              </w:rPr>
              <w:t xml:space="preserve"> tumour types in the</w:t>
            </w:r>
            <w:r w:rsidR="00F1737B" w:rsidRPr="00652528">
              <w:rPr>
                <w:iCs/>
              </w:rPr>
              <w:t xml:space="preserve"> </w:t>
            </w:r>
            <w:r w:rsidR="00CB0576">
              <w:rPr>
                <w:iCs/>
              </w:rPr>
              <w:t>SoC</w:t>
            </w:r>
            <w:r w:rsidR="00CB0576" w:rsidRPr="00652528">
              <w:rPr>
                <w:iCs/>
              </w:rPr>
              <w:t xml:space="preserve"> </w:t>
            </w:r>
            <w:r w:rsidR="00CB0576">
              <w:rPr>
                <w:iCs/>
              </w:rPr>
              <w:t>arm</w:t>
            </w:r>
            <w:r w:rsidR="00F1737B" w:rsidRPr="00652528">
              <w:rPr>
                <w:iCs/>
              </w:rPr>
              <w:t xml:space="preserve"> were weighted according to the distribution of </w:t>
            </w:r>
            <w:r w:rsidR="00F1737B" w:rsidRPr="00376D7B">
              <w:rPr>
                <w:i/>
              </w:rPr>
              <w:t>NTRK</w:t>
            </w:r>
            <w:r w:rsidR="00376D7B">
              <w:rPr>
                <w:iCs/>
              </w:rPr>
              <w:t xml:space="preserve"> </w:t>
            </w:r>
            <w:r w:rsidR="00F1737B" w:rsidRPr="00652528">
              <w:rPr>
                <w:iCs/>
              </w:rPr>
              <w:t>fusion</w:t>
            </w:r>
            <w:r w:rsidR="00376D7B">
              <w:rPr>
                <w:iCs/>
              </w:rPr>
              <w:t>-</w:t>
            </w:r>
            <w:r w:rsidR="00F1737B" w:rsidRPr="00652528">
              <w:rPr>
                <w:iCs/>
              </w:rPr>
              <w:t>positive patients in the pooled larotrectin</w:t>
            </w:r>
            <w:r w:rsidR="006D66BE">
              <w:rPr>
                <w:iCs/>
              </w:rPr>
              <w:t>i</w:t>
            </w:r>
            <w:r w:rsidR="00F1737B" w:rsidRPr="00652528">
              <w:rPr>
                <w:iCs/>
              </w:rPr>
              <w:t xml:space="preserve">b analysis (i.e. weighted according to the </w:t>
            </w:r>
            <w:r w:rsidR="00F1737B" w:rsidRPr="00652528">
              <w:rPr>
                <w:iCs/>
                <w:u w:val="single"/>
              </w:rPr>
              <w:t>treated</w:t>
            </w:r>
            <w:r w:rsidR="00F1737B" w:rsidRPr="00652528">
              <w:rPr>
                <w:iCs/>
              </w:rPr>
              <w:t xml:space="preserve"> population). This is not appropriate</w:t>
            </w:r>
            <w:r w:rsidR="00875B7F" w:rsidRPr="00652528">
              <w:rPr>
                <w:iCs/>
              </w:rPr>
              <w:t>, weighting</w:t>
            </w:r>
            <w:r w:rsidR="00F1737B" w:rsidRPr="00652528">
              <w:rPr>
                <w:iCs/>
              </w:rPr>
              <w:t xml:space="preserve"> should instead reflect the distribution of tumour types in the </w:t>
            </w:r>
            <w:r w:rsidR="00F1737B" w:rsidRPr="00652528">
              <w:rPr>
                <w:iCs/>
                <w:u w:val="single"/>
              </w:rPr>
              <w:t>tested</w:t>
            </w:r>
            <w:r w:rsidR="00F1737B" w:rsidRPr="00652528">
              <w:rPr>
                <w:iCs/>
              </w:rPr>
              <w:t xml:space="preserve"> population of eligible tumour types</w:t>
            </w:r>
            <w:r w:rsidR="009E4684" w:rsidRPr="00652528">
              <w:rPr>
                <w:iCs/>
              </w:rPr>
              <w:t xml:space="preserve"> expect</w:t>
            </w:r>
            <w:r w:rsidR="00CF6EEE" w:rsidRPr="00652528">
              <w:rPr>
                <w:iCs/>
              </w:rPr>
              <w:t>ed</w:t>
            </w:r>
            <w:r w:rsidR="009E4684" w:rsidRPr="00652528">
              <w:rPr>
                <w:iCs/>
              </w:rPr>
              <w:t xml:space="preserve"> in Australian clinical practice</w:t>
            </w:r>
            <w:r w:rsidR="00F1737B" w:rsidRPr="00652528">
              <w:rPr>
                <w:iCs/>
              </w:rPr>
              <w:t>.</w:t>
            </w:r>
          </w:p>
        </w:tc>
      </w:tr>
      <w:tr w:rsidR="00F1737B" w:rsidRPr="00962538" w:rsidTr="00AF023C">
        <w:trPr>
          <w:cantSplit/>
        </w:trPr>
        <w:tc>
          <w:tcPr>
            <w:tcW w:w="862" w:type="pct"/>
            <w:shd w:val="clear" w:color="auto" w:fill="auto"/>
          </w:tcPr>
          <w:p w:rsidR="00F1737B" w:rsidRPr="00962538" w:rsidRDefault="00F1737B" w:rsidP="00AF023C">
            <w:pPr>
              <w:pStyle w:val="TableText"/>
              <w:keepNext/>
              <w:rPr>
                <w:rFonts w:ascii="Times" w:eastAsia="Times New Roman" w:hAnsi="Times" w:cs="Times New Roman"/>
              </w:rPr>
            </w:pPr>
            <w:r w:rsidRPr="00962538">
              <w:t xml:space="preserve">Type of analysis </w:t>
            </w:r>
          </w:p>
        </w:tc>
        <w:tc>
          <w:tcPr>
            <w:tcW w:w="4138" w:type="pct"/>
            <w:shd w:val="clear" w:color="auto" w:fill="auto"/>
          </w:tcPr>
          <w:p w:rsidR="00F1737B" w:rsidRPr="006D354B" w:rsidRDefault="00F1737B" w:rsidP="00AF023C">
            <w:pPr>
              <w:pStyle w:val="TableText"/>
              <w:keepNext/>
              <w:rPr>
                <w:rFonts w:ascii="Times" w:eastAsia="Times New Roman" w:hAnsi="Times" w:cs="Times New Roman"/>
              </w:rPr>
            </w:pPr>
            <w:r w:rsidRPr="006D354B">
              <w:rPr>
                <w:highlight w:val="lightGray"/>
                <w:shd w:val="clear" w:color="auto" w:fill="F2F2F2" w:themeFill="background1" w:themeFillShade="F2"/>
              </w:rPr>
              <w:t>Cost-utility analysis and cost-effectiveness analysis</w:t>
            </w:r>
            <w:r w:rsidRPr="006D354B">
              <w:t>. This is appropriate.</w:t>
            </w:r>
          </w:p>
        </w:tc>
      </w:tr>
      <w:tr w:rsidR="00F1737B" w:rsidRPr="00962538" w:rsidTr="00AF023C">
        <w:trPr>
          <w:cantSplit/>
        </w:trPr>
        <w:tc>
          <w:tcPr>
            <w:tcW w:w="862" w:type="pct"/>
            <w:shd w:val="clear" w:color="auto" w:fill="auto"/>
          </w:tcPr>
          <w:p w:rsidR="00F1737B" w:rsidRPr="00962538" w:rsidRDefault="00F1737B" w:rsidP="00AF023C">
            <w:pPr>
              <w:pStyle w:val="TableText"/>
              <w:keepNext/>
              <w:rPr>
                <w:rFonts w:ascii="Times" w:eastAsia="Times New Roman" w:hAnsi="Times" w:cs="Times New Roman"/>
              </w:rPr>
            </w:pPr>
            <w:r w:rsidRPr="00962538">
              <w:t>Outcomes</w:t>
            </w:r>
          </w:p>
        </w:tc>
        <w:tc>
          <w:tcPr>
            <w:tcW w:w="4138" w:type="pct"/>
            <w:shd w:val="clear" w:color="auto" w:fill="auto"/>
          </w:tcPr>
          <w:p w:rsidR="00F1737B" w:rsidRPr="006D354B" w:rsidRDefault="00F1737B" w:rsidP="00AF023C">
            <w:pPr>
              <w:pStyle w:val="TableText"/>
              <w:keepNext/>
              <w:rPr>
                <w:rFonts w:ascii="Times" w:eastAsia="Times New Roman" w:hAnsi="Times" w:cs="Times New Roman"/>
              </w:rPr>
            </w:pPr>
            <w:r w:rsidRPr="006D354B">
              <w:rPr>
                <w:highlight w:val="lightGray"/>
                <w:shd w:val="clear" w:color="auto" w:fill="F2F2F2" w:themeFill="background1" w:themeFillShade="F2"/>
              </w:rPr>
              <w:t>Quality-adjusted life years gained, life-years gained</w:t>
            </w:r>
            <w:r w:rsidRPr="006D354B">
              <w:t>. This is appropriate.</w:t>
            </w:r>
          </w:p>
        </w:tc>
      </w:tr>
      <w:tr w:rsidR="00F1737B" w:rsidRPr="00962538" w:rsidTr="00AF023C">
        <w:trPr>
          <w:cantSplit/>
        </w:trPr>
        <w:tc>
          <w:tcPr>
            <w:tcW w:w="862" w:type="pct"/>
            <w:shd w:val="clear" w:color="auto" w:fill="auto"/>
          </w:tcPr>
          <w:p w:rsidR="00F1737B" w:rsidRPr="00962538" w:rsidRDefault="00F1737B" w:rsidP="00AF023C">
            <w:pPr>
              <w:pStyle w:val="TableText"/>
              <w:keepNext/>
              <w:rPr>
                <w:rFonts w:ascii="Times" w:eastAsia="Times New Roman" w:hAnsi="Times" w:cs="Times New Roman"/>
              </w:rPr>
            </w:pPr>
            <w:r w:rsidRPr="00962538">
              <w:t>Time horizon</w:t>
            </w:r>
          </w:p>
        </w:tc>
        <w:tc>
          <w:tcPr>
            <w:tcW w:w="4138" w:type="pct"/>
            <w:shd w:val="clear" w:color="auto" w:fill="auto"/>
          </w:tcPr>
          <w:p w:rsidR="00F1737B" w:rsidRDefault="00F1737B" w:rsidP="00AF023C">
            <w:pPr>
              <w:pStyle w:val="TableText"/>
              <w:keepNext/>
            </w:pPr>
            <w:r>
              <w:t>Base case: 15 years (compared to a median follow-up for OS of 24 months)</w:t>
            </w:r>
          </w:p>
          <w:p w:rsidR="00F1737B" w:rsidRPr="006D354B" w:rsidRDefault="00F1737B" w:rsidP="00AF023C">
            <w:pPr>
              <w:pStyle w:val="TableText"/>
              <w:keepNext/>
              <w:rPr>
                <w:rFonts w:ascii="Times" w:eastAsia="Times New Roman" w:hAnsi="Times" w:cs="Times New Roman"/>
                <w:iCs/>
              </w:rPr>
            </w:pPr>
            <w:r w:rsidRPr="006D354B">
              <w:rPr>
                <w:iCs/>
              </w:rPr>
              <w:t>While the time horizon was reduced from 20 years in the previous submission, this remains inadequately justified and is substantially longer than the median follow-up in the pooled larotrectinib analysis (2 years).</w:t>
            </w:r>
            <w:r w:rsidR="006F3500" w:rsidRPr="006D354B">
              <w:rPr>
                <w:iCs/>
              </w:rPr>
              <w:t xml:space="preserve"> A time horizon of 5 years may be more appropriate in the adult populations with low </w:t>
            </w:r>
            <w:r w:rsidR="006F3500" w:rsidRPr="006D354B">
              <w:rPr>
                <w:i/>
              </w:rPr>
              <w:t xml:space="preserve">NTRK </w:t>
            </w:r>
            <w:r w:rsidR="006F3500" w:rsidRPr="006D354B">
              <w:rPr>
                <w:iCs/>
              </w:rPr>
              <w:t>fusion frequency tumour types</w:t>
            </w:r>
            <w:r w:rsidR="00E302F6" w:rsidRPr="006D354B">
              <w:rPr>
                <w:iCs/>
              </w:rPr>
              <w:t>.</w:t>
            </w:r>
            <w:r w:rsidR="00D31DDC" w:rsidRPr="006D354B">
              <w:rPr>
                <w:iCs/>
              </w:rPr>
              <w:t xml:space="preserve"> Identifying a singular appropriate time horizon across diverse populations (both adults and children) with diverse prognoses is challenging. Where the model structure does not easily allow for the application of different time horizons for different populations, there is increased onus on ensuring plausible extrapolations.</w:t>
            </w:r>
          </w:p>
        </w:tc>
      </w:tr>
      <w:tr w:rsidR="00F1737B" w:rsidRPr="00962538" w:rsidTr="00AF023C">
        <w:trPr>
          <w:cantSplit/>
        </w:trPr>
        <w:tc>
          <w:tcPr>
            <w:tcW w:w="862" w:type="pct"/>
            <w:shd w:val="clear" w:color="auto" w:fill="auto"/>
          </w:tcPr>
          <w:p w:rsidR="00F1737B" w:rsidRPr="00962538" w:rsidRDefault="00F1737B" w:rsidP="00CB375A">
            <w:pPr>
              <w:pStyle w:val="TableText"/>
              <w:rPr>
                <w:rFonts w:ascii="Times" w:eastAsia="Times New Roman" w:hAnsi="Times" w:cs="Times New Roman"/>
              </w:rPr>
            </w:pPr>
            <w:r w:rsidRPr="00962538">
              <w:t>Methods used to generate results</w:t>
            </w:r>
          </w:p>
        </w:tc>
        <w:tc>
          <w:tcPr>
            <w:tcW w:w="4138" w:type="pct"/>
            <w:shd w:val="clear" w:color="auto" w:fill="auto"/>
          </w:tcPr>
          <w:p w:rsidR="00F1737B" w:rsidRPr="006D354B" w:rsidRDefault="00F1737B" w:rsidP="00CB375A">
            <w:pPr>
              <w:pStyle w:val="TableText"/>
              <w:rPr>
                <w:rFonts w:ascii="Times" w:eastAsia="Times New Roman" w:hAnsi="Times" w:cs="Times New Roman"/>
              </w:rPr>
            </w:pPr>
            <w:r w:rsidRPr="006D354B">
              <w:rPr>
                <w:highlight w:val="lightGray"/>
                <w:shd w:val="clear" w:color="auto" w:fill="F2F2F2" w:themeFill="background1" w:themeFillShade="F2"/>
              </w:rPr>
              <w:t>Partitioned survival analysis</w:t>
            </w:r>
            <w:r w:rsidRPr="006D354B">
              <w:t>. This is reasonable.</w:t>
            </w:r>
          </w:p>
        </w:tc>
      </w:tr>
      <w:tr w:rsidR="00F1737B" w:rsidRPr="00962538" w:rsidTr="00AF023C">
        <w:trPr>
          <w:cantSplit/>
        </w:trPr>
        <w:tc>
          <w:tcPr>
            <w:tcW w:w="862" w:type="pct"/>
            <w:shd w:val="clear" w:color="auto" w:fill="auto"/>
          </w:tcPr>
          <w:p w:rsidR="00F1737B" w:rsidRPr="00962538" w:rsidRDefault="00F1737B" w:rsidP="00CB375A">
            <w:pPr>
              <w:pStyle w:val="TableText"/>
              <w:rPr>
                <w:rFonts w:ascii="Times" w:eastAsia="Times New Roman" w:hAnsi="Times" w:cs="Times New Roman"/>
              </w:rPr>
            </w:pPr>
            <w:r w:rsidRPr="00962538">
              <w:t>Health states</w:t>
            </w:r>
          </w:p>
        </w:tc>
        <w:tc>
          <w:tcPr>
            <w:tcW w:w="4138" w:type="pct"/>
            <w:shd w:val="clear" w:color="auto" w:fill="auto"/>
          </w:tcPr>
          <w:p w:rsidR="00F1737B" w:rsidRPr="006D354B" w:rsidRDefault="00F1737B" w:rsidP="00CB375A">
            <w:pPr>
              <w:pStyle w:val="TableText"/>
              <w:rPr>
                <w:rFonts w:ascii="Times" w:eastAsia="Times New Roman" w:hAnsi="Times" w:cs="Times New Roman"/>
              </w:rPr>
            </w:pPr>
            <w:r w:rsidRPr="006D354B">
              <w:rPr>
                <w:highlight w:val="lightGray"/>
                <w:shd w:val="clear" w:color="auto" w:fill="F2F2F2" w:themeFill="background1" w:themeFillShade="F2"/>
              </w:rPr>
              <w:t>Progression-free, Progressed, Dead</w:t>
            </w:r>
            <w:r w:rsidRPr="006D354B">
              <w:t>. This is reasonable.</w:t>
            </w:r>
          </w:p>
        </w:tc>
      </w:tr>
      <w:tr w:rsidR="00F1737B" w:rsidRPr="00962538" w:rsidTr="00AF023C">
        <w:trPr>
          <w:cantSplit/>
        </w:trPr>
        <w:tc>
          <w:tcPr>
            <w:tcW w:w="862" w:type="pct"/>
            <w:shd w:val="clear" w:color="auto" w:fill="auto"/>
          </w:tcPr>
          <w:p w:rsidR="00F1737B" w:rsidRPr="00962538" w:rsidRDefault="00F1737B" w:rsidP="00CB375A">
            <w:pPr>
              <w:pStyle w:val="TableText"/>
              <w:rPr>
                <w:rFonts w:ascii="Times" w:eastAsia="Times New Roman" w:hAnsi="Times" w:cs="Times New Roman"/>
              </w:rPr>
            </w:pPr>
            <w:r w:rsidRPr="002138B0">
              <w:t>Utilities</w:t>
            </w:r>
          </w:p>
        </w:tc>
        <w:tc>
          <w:tcPr>
            <w:tcW w:w="4138" w:type="pct"/>
            <w:shd w:val="clear" w:color="auto" w:fill="auto"/>
          </w:tcPr>
          <w:p w:rsidR="00F1737B" w:rsidRPr="00AA6049" w:rsidRDefault="00F1737B" w:rsidP="006F3500">
            <w:pPr>
              <w:pStyle w:val="TableText"/>
              <w:rPr>
                <w:i/>
              </w:rPr>
            </w:pPr>
            <w:r w:rsidRPr="00E91979">
              <w:rPr>
                <w:highlight w:val="lightGray"/>
                <w:shd w:val="clear" w:color="auto" w:fill="F2F2F2" w:themeFill="background1" w:themeFillShade="F2"/>
              </w:rPr>
              <w:t>Baseline health state utility weights were mapped from HRQoL assessments from the NAVIGATE and SCOUT studies. The baseline health state utility applied in the progression-free health state was adjusted for response to therapy and for AEs</w:t>
            </w:r>
            <w:r>
              <w:t xml:space="preserve">. </w:t>
            </w:r>
            <w:r w:rsidRPr="006D354B">
              <w:rPr>
                <w:iCs/>
              </w:rPr>
              <w:t xml:space="preserve">The approach is unchanged </w:t>
            </w:r>
            <w:r w:rsidR="005A59FA" w:rsidRPr="006D354B">
              <w:rPr>
                <w:iCs/>
              </w:rPr>
              <w:t xml:space="preserve">from </w:t>
            </w:r>
            <w:r w:rsidRPr="006D354B">
              <w:rPr>
                <w:iCs/>
              </w:rPr>
              <w:t xml:space="preserve">the previous submission. </w:t>
            </w:r>
            <w:r w:rsidR="005A59FA" w:rsidRPr="006D354B">
              <w:rPr>
                <w:iCs/>
              </w:rPr>
              <w:t xml:space="preserve">As </w:t>
            </w:r>
            <w:r w:rsidRPr="006D354B">
              <w:rPr>
                <w:iCs/>
              </w:rPr>
              <w:t xml:space="preserve">the relationship between HRQoL and adverse events is clear, adjustment for adverse events is appropriate. However, the relationship between HRQoL and response is less clear and </w:t>
            </w:r>
            <w:r w:rsidR="005A59FA" w:rsidRPr="006D354B">
              <w:rPr>
                <w:iCs/>
              </w:rPr>
              <w:t xml:space="preserve">it </w:t>
            </w:r>
            <w:r w:rsidRPr="006D354B">
              <w:rPr>
                <w:iCs/>
              </w:rPr>
              <w:t>may not be reasonable</w:t>
            </w:r>
            <w:r w:rsidR="005A59FA" w:rsidRPr="006D354B">
              <w:rPr>
                <w:iCs/>
              </w:rPr>
              <w:t xml:space="preserve"> to adjust for this</w:t>
            </w:r>
            <w:r w:rsidRPr="006D354B">
              <w:rPr>
                <w:iCs/>
              </w:rPr>
              <w:t>.</w:t>
            </w:r>
          </w:p>
        </w:tc>
      </w:tr>
      <w:tr w:rsidR="00F1737B" w:rsidRPr="00962538" w:rsidTr="00AF023C">
        <w:trPr>
          <w:cantSplit/>
        </w:trPr>
        <w:tc>
          <w:tcPr>
            <w:tcW w:w="862" w:type="pct"/>
            <w:shd w:val="clear" w:color="auto" w:fill="auto"/>
          </w:tcPr>
          <w:p w:rsidR="00F1737B" w:rsidRPr="00962538" w:rsidRDefault="00F1737B" w:rsidP="00CB375A">
            <w:pPr>
              <w:pStyle w:val="TableText"/>
            </w:pPr>
            <w:r w:rsidRPr="00962538">
              <w:t>Cycle length</w:t>
            </w:r>
          </w:p>
        </w:tc>
        <w:tc>
          <w:tcPr>
            <w:tcW w:w="4138" w:type="pct"/>
            <w:shd w:val="clear" w:color="auto" w:fill="auto"/>
          </w:tcPr>
          <w:p w:rsidR="00F1737B" w:rsidRPr="00962538" w:rsidRDefault="00F1737B" w:rsidP="00CB375A">
            <w:pPr>
              <w:pStyle w:val="TableText"/>
            </w:pPr>
            <w:r w:rsidRPr="00434825">
              <w:rPr>
                <w:highlight w:val="lightGray"/>
                <w:shd w:val="clear" w:color="auto" w:fill="F2F2F2" w:themeFill="background1" w:themeFillShade="F2"/>
              </w:rPr>
              <w:t>Weekly</w:t>
            </w:r>
            <w:r w:rsidRPr="00434825">
              <w:rPr>
                <w:shd w:val="clear" w:color="auto" w:fill="F2F2F2" w:themeFill="background1" w:themeFillShade="F2"/>
              </w:rPr>
              <w:t>.</w:t>
            </w:r>
            <w:r>
              <w:t xml:space="preserve"> </w:t>
            </w:r>
            <w:r w:rsidRPr="005A5E2E">
              <w:t>This is reasonable.</w:t>
            </w:r>
          </w:p>
        </w:tc>
      </w:tr>
      <w:tr w:rsidR="00F1737B" w:rsidRPr="00962538" w:rsidTr="00AF023C">
        <w:trPr>
          <w:cantSplit/>
        </w:trPr>
        <w:tc>
          <w:tcPr>
            <w:tcW w:w="862" w:type="pct"/>
            <w:shd w:val="clear" w:color="auto" w:fill="auto"/>
          </w:tcPr>
          <w:p w:rsidR="00F1737B" w:rsidRPr="00962538" w:rsidRDefault="00F1737B" w:rsidP="00CB375A">
            <w:pPr>
              <w:pStyle w:val="TableText"/>
            </w:pPr>
            <w:r>
              <w:t>Transition probabilities</w:t>
            </w:r>
          </w:p>
        </w:tc>
        <w:tc>
          <w:tcPr>
            <w:tcW w:w="4138" w:type="pct"/>
            <w:shd w:val="clear" w:color="auto" w:fill="auto"/>
          </w:tcPr>
          <w:p w:rsidR="00F1737B" w:rsidRPr="00D31DDC" w:rsidRDefault="00F1737B" w:rsidP="006F3500">
            <w:pPr>
              <w:pStyle w:val="TableText"/>
              <w:rPr>
                <w:b/>
              </w:rPr>
            </w:pPr>
            <w:r w:rsidRPr="00434825">
              <w:rPr>
                <w:highlight w:val="lightGray"/>
                <w:shd w:val="clear" w:color="auto" w:fill="F2F2F2" w:themeFill="background1" w:themeFillShade="F2"/>
              </w:rPr>
              <w:t xml:space="preserve">Health state allocation over time was determined by </w:t>
            </w:r>
            <w:r w:rsidR="00D31DDC" w:rsidRPr="00434825">
              <w:rPr>
                <w:highlight w:val="lightGray"/>
                <w:shd w:val="clear" w:color="auto" w:fill="F2F2F2" w:themeFill="background1" w:themeFillShade="F2"/>
              </w:rPr>
              <w:t xml:space="preserve">extrapolated </w:t>
            </w:r>
            <w:r w:rsidRPr="00434825">
              <w:rPr>
                <w:highlight w:val="lightGray"/>
                <w:shd w:val="clear" w:color="auto" w:fill="F2F2F2" w:themeFill="background1" w:themeFillShade="F2"/>
              </w:rPr>
              <w:t>progression free and overall survival curves from the larotrectinib pooled analysis and comparator trials</w:t>
            </w:r>
            <w:r>
              <w:t xml:space="preserve">. </w:t>
            </w:r>
            <w:r w:rsidRPr="006D354B">
              <w:rPr>
                <w:iCs/>
              </w:rPr>
              <w:t xml:space="preserve">The approach is unchanged </w:t>
            </w:r>
            <w:r w:rsidR="0063447B" w:rsidRPr="006D354B">
              <w:rPr>
                <w:iCs/>
              </w:rPr>
              <w:t xml:space="preserve">from </w:t>
            </w:r>
            <w:r w:rsidRPr="006D354B">
              <w:rPr>
                <w:iCs/>
              </w:rPr>
              <w:t>the previous submission. While this is reasonable, the use of the PFS and OS data from the overall pooled larotrectinib analysis may not be appropriate.</w:t>
            </w:r>
            <w:r w:rsidR="00D31DDC" w:rsidRPr="006D354B">
              <w:rPr>
                <w:iCs/>
              </w:rPr>
              <w:t xml:space="preserve"> For all of the tumour type subgroups − except the </w:t>
            </w:r>
            <w:r w:rsidR="0063447B" w:rsidRPr="006D354B">
              <w:rPr>
                <w:iCs/>
              </w:rPr>
              <w:t>high frequency</w:t>
            </w:r>
            <w:r w:rsidR="0063447B">
              <w:rPr>
                <w:i/>
              </w:rPr>
              <w:t xml:space="preserve"> </w:t>
            </w:r>
            <w:r w:rsidR="0063447B" w:rsidRPr="006D354B">
              <w:rPr>
                <w:i/>
                <w:iCs/>
              </w:rPr>
              <w:t>NTRK</w:t>
            </w:r>
            <w:r w:rsidR="0063447B">
              <w:rPr>
                <w:i/>
              </w:rPr>
              <w:t xml:space="preserve"> </w:t>
            </w:r>
            <w:r w:rsidR="0063447B" w:rsidRPr="006D354B">
              <w:rPr>
                <w:iCs/>
              </w:rPr>
              <w:t xml:space="preserve">fusion </w:t>
            </w:r>
            <w:r w:rsidR="00D31DDC" w:rsidRPr="006D354B">
              <w:rPr>
                <w:iCs/>
              </w:rPr>
              <w:t>paediatric subgroup − extrapolations were based on small patient numbers (&lt;30), with small numbers of events experienced (&lt;10).</w:t>
            </w:r>
            <w:r w:rsidR="00DC3C90" w:rsidRPr="006D354B">
              <w:rPr>
                <w:iCs/>
              </w:rPr>
              <w:t>F</w:t>
            </w:r>
            <w:r w:rsidR="00D31DDC" w:rsidRPr="006D354B">
              <w:rPr>
                <w:iCs/>
              </w:rPr>
              <w:t xml:space="preserve">or colorectal cancer, which is the tumour type/tumour type group expected to have the highest use in practice, only eight patients were enrolled </w:t>
            </w:r>
            <w:r w:rsidR="00DC3C90" w:rsidRPr="006D354B">
              <w:rPr>
                <w:iCs/>
              </w:rPr>
              <w:t xml:space="preserve">across </w:t>
            </w:r>
            <w:r w:rsidR="00D31DDC" w:rsidRPr="006D354B">
              <w:rPr>
                <w:iCs/>
              </w:rPr>
              <w:t>the larotrectinib studies, with only four OS and five PFS events experienced at the time of the latest data cut. These data are inadequate for extrapolation.</w:t>
            </w:r>
          </w:p>
        </w:tc>
      </w:tr>
      <w:tr w:rsidR="00F1737B" w:rsidRPr="00962538" w:rsidTr="00AF023C">
        <w:trPr>
          <w:cantSplit/>
        </w:trPr>
        <w:tc>
          <w:tcPr>
            <w:tcW w:w="862" w:type="pct"/>
            <w:shd w:val="clear" w:color="auto" w:fill="auto"/>
          </w:tcPr>
          <w:p w:rsidR="00F1737B" w:rsidRPr="00962538" w:rsidRDefault="00F1737B" w:rsidP="00CB375A">
            <w:pPr>
              <w:pStyle w:val="TableText"/>
            </w:pPr>
            <w:r>
              <w:t>Test parameters</w:t>
            </w:r>
          </w:p>
        </w:tc>
        <w:tc>
          <w:tcPr>
            <w:tcW w:w="4138" w:type="pct"/>
            <w:shd w:val="clear" w:color="auto" w:fill="auto"/>
          </w:tcPr>
          <w:p w:rsidR="00F1737B" w:rsidRPr="00962538" w:rsidRDefault="00F1737B" w:rsidP="006F3500">
            <w:pPr>
              <w:pStyle w:val="TableText"/>
            </w:pPr>
            <w:r w:rsidRPr="00434825">
              <w:rPr>
                <w:highlight w:val="lightGray"/>
                <w:shd w:val="clear" w:color="auto" w:fill="F2F2F2" w:themeFill="background1" w:themeFillShade="F2"/>
              </w:rPr>
              <w:t xml:space="preserve">NGS or FISH: assumed to perform as per the evidentiary standard (i.e. 100% sensitivity and 100% specificity). Where IHC is proposed as a triage test, the accuracy of IHC relative to the reference standard was </w:t>
            </w:r>
            <w:r w:rsidR="006D66BE" w:rsidRPr="00434825">
              <w:rPr>
                <w:highlight w:val="lightGray"/>
                <w:shd w:val="clear" w:color="auto" w:fill="F2F2F2" w:themeFill="background1" w:themeFillShade="F2"/>
              </w:rPr>
              <w:t>used</w:t>
            </w:r>
            <w:r w:rsidR="006D66BE" w:rsidRPr="009E4684">
              <w:rPr>
                <w:shd w:val="clear" w:color="auto" w:fill="F2F2F2" w:themeFill="background1" w:themeFillShade="F2"/>
              </w:rPr>
              <w:t>.</w:t>
            </w:r>
            <w:r w:rsidR="006D66BE" w:rsidRPr="006D354B">
              <w:rPr>
                <w:iCs/>
              </w:rPr>
              <w:t xml:space="preserve"> This</w:t>
            </w:r>
            <w:r w:rsidRPr="006D354B">
              <w:rPr>
                <w:iCs/>
              </w:rPr>
              <w:t xml:space="preserve"> is unchanged </w:t>
            </w:r>
            <w:r w:rsidR="00DC3C90" w:rsidRPr="006D354B">
              <w:rPr>
                <w:iCs/>
              </w:rPr>
              <w:t xml:space="preserve">from </w:t>
            </w:r>
            <w:r w:rsidRPr="006D354B">
              <w:rPr>
                <w:iCs/>
              </w:rPr>
              <w:t>the previous submission and may not be reasonable, as performance of NGS varies depending on the type and the performance of FISH remains uncertain. Further, the IHC scoring algorithm used in practice is unclear, and so the applicability of the IHC performance modelled to the proposed setting is uncertain.</w:t>
            </w:r>
          </w:p>
        </w:tc>
      </w:tr>
      <w:tr w:rsidR="00F1737B" w:rsidRPr="00962538" w:rsidTr="00AF023C">
        <w:trPr>
          <w:cantSplit/>
        </w:trPr>
        <w:tc>
          <w:tcPr>
            <w:tcW w:w="862" w:type="pct"/>
            <w:shd w:val="clear" w:color="auto" w:fill="auto"/>
          </w:tcPr>
          <w:p w:rsidR="00F1737B" w:rsidRPr="00AA6049" w:rsidRDefault="00F1737B" w:rsidP="00CB375A">
            <w:pPr>
              <w:pStyle w:val="TableText"/>
            </w:pPr>
            <w:r w:rsidRPr="00AA6049">
              <w:t>False positives/negatives</w:t>
            </w:r>
          </w:p>
        </w:tc>
        <w:tc>
          <w:tcPr>
            <w:tcW w:w="4138" w:type="pct"/>
            <w:shd w:val="clear" w:color="auto" w:fill="auto"/>
          </w:tcPr>
          <w:p w:rsidR="00F1737B" w:rsidRDefault="009E4684" w:rsidP="00CB375A">
            <w:pPr>
              <w:pStyle w:val="TableText"/>
              <w:rPr>
                <w:i/>
              </w:rPr>
            </w:pPr>
            <w:r>
              <w:t>The model structure has been revised to allow the implications of false positive and false negative results to be explored</w:t>
            </w:r>
            <w:r w:rsidRPr="006D354B">
              <w:t xml:space="preserve">. This is appropriate. </w:t>
            </w:r>
            <w:r w:rsidR="002C1201" w:rsidRPr="006D354B">
              <w:t>However, o</w:t>
            </w:r>
            <w:r w:rsidR="00F1737B" w:rsidRPr="006D354B">
              <w:t>nly false negative results are modelled</w:t>
            </w:r>
            <w:r w:rsidR="00F1737B">
              <w:t xml:space="preserve"> in the base case analysis arising from IHC testing in adults with low </w:t>
            </w:r>
            <w:r w:rsidR="00F1737B">
              <w:rPr>
                <w:i/>
              </w:rPr>
              <w:t>NTRK</w:t>
            </w:r>
            <w:r w:rsidR="00F1737B">
              <w:t xml:space="preserve">-fusion frequency tumour types. These patients are assumed to receive the cost of </w:t>
            </w:r>
            <w:r w:rsidR="00F1737B">
              <w:rPr>
                <w:i/>
              </w:rPr>
              <w:t>NTRK</w:t>
            </w:r>
            <w:r w:rsidR="00F1737B">
              <w:t xml:space="preserve"> testing, but do not receive larotrectinib treatment – and so costs and outcomes modelled are based on receiving SoC treatment. </w:t>
            </w:r>
            <w:r w:rsidR="00F1737B" w:rsidRPr="005A5E2E">
              <w:t xml:space="preserve">This is reasonable. </w:t>
            </w:r>
          </w:p>
          <w:p w:rsidR="00F1737B" w:rsidRPr="00AA6049" w:rsidRDefault="00F1737B" w:rsidP="006F3500">
            <w:pPr>
              <w:pStyle w:val="TableText"/>
            </w:pPr>
            <w:r w:rsidRPr="006D354B">
              <w:t>False positives are modelled in sensitivity analyses only. These patients are generally modelled as true negative patients where only the cost of pre-progression treatment (and associated administration) varied. Thus</w:t>
            </w:r>
            <w:r w:rsidR="00FB6A7D" w:rsidRPr="006D354B">
              <w:t>,</w:t>
            </w:r>
            <w:r w:rsidRPr="006D354B">
              <w:t xml:space="preserve"> the cost and disutility related to AEs was based SoC treatment, rather than larotrectinib, which is not appropriate. While it is assumed that these patients would receive an initial script of larotrectinib lasting 13 weeks, the cost of larotrectinib treatment</w:t>
            </w:r>
            <w:r w:rsidR="00FB6A7D" w:rsidRPr="006D354B">
              <w:t xml:space="preserve"> for these patients</w:t>
            </w:r>
            <w:r w:rsidRPr="006D354B">
              <w:t xml:space="preserve"> is</w:t>
            </w:r>
            <w:r>
              <w:t xml:space="preserve"> modelled through an adjustment in the first 13 cycles of </w:t>
            </w:r>
            <w:r w:rsidRPr="0097267F">
              <w:rPr>
                <w:u w:val="single"/>
              </w:rPr>
              <w:t>true positives</w:t>
            </w:r>
            <w:r>
              <w:t xml:space="preserve">. </w:t>
            </w:r>
            <w:bookmarkStart w:id="80" w:name="OLE_LINK12"/>
            <w:bookmarkStart w:id="81" w:name="OLE_LINK13"/>
            <w:r w:rsidR="006F3500" w:rsidRPr="006D354B">
              <w:rPr>
                <w:iCs/>
              </w:rPr>
              <w:t>This is not appropriate given the test-treat structure of the model. The</w:t>
            </w:r>
            <w:r w:rsidR="00E16540" w:rsidRPr="006D354B">
              <w:rPr>
                <w:iCs/>
              </w:rPr>
              <w:t xml:space="preserve"> additional</w:t>
            </w:r>
            <w:r w:rsidR="006F3500" w:rsidRPr="006D354B">
              <w:rPr>
                <w:iCs/>
              </w:rPr>
              <w:t xml:space="preserve"> cost of larotrectin</w:t>
            </w:r>
            <w:r w:rsidR="006D66BE">
              <w:rPr>
                <w:iCs/>
              </w:rPr>
              <w:t>i</w:t>
            </w:r>
            <w:r w:rsidR="006F3500" w:rsidRPr="006D354B">
              <w:rPr>
                <w:iCs/>
              </w:rPr>
              <w:t>b treatment in false positives is subsequently weighted by the proportion in the model that are true positive, which is not appropriate.</w:t>
            </w:r>
            <w:bookmarkEnd w:id="80"/>
            <w:bookmarkEnd w:id="81"/>
          </w:p>
        </w:tc>
      </w:tr>
    </w:tbl>
    <w:p w:rsidR="00F22079" w:rsidRPr="00962538" w:rsidRDefault="00F22079" w:rsidP="00F22079">
      <w:pPr>
        <w:pStyle w:val="TableFooter"/>
      </w:pPr>
      <w:r w:rsidRPr="00962538">
        <w:t xml:space="preserve">Source: </w:t>
      </w:r>
      <w:r>
        <w:t>Table 3.2, p388 of the resubmission.</w:t>
      </w:r>
    </w:p>
    <w:p w:rsidR="00E231D3" w:rsidRDefault="00E231D3" w:rsidP="00F22079">
      <w:pPr>
        <w:pStyle w:val="TableFooter"/>
      </w:pPr>
      <w:r>
        <w:t xml:space="preserve">Note: </w:t>
      </w:r>
      <w:r w:rsidRPr="002C1201">
        <w:rPr>
          <w:highlight w:val="lightGray"/>
          <w:shd w:val="clear" w:color="auto" w:fill="F2F2F2" w:themeFill="background1" w:themeFillShade="F2"/>
        </w:rPr>
        <w:t>shaded</w:t>
      </w:r>
      <w:r>
        <w:t xml:space="preserve"> text denotes no change from the previous submission.</w:t>
      </w:r>
    </w:p>
    <w:p w:rsidR="00F1737B" w:rsidRPr="00962538" w:rsidRDefault="00FD03A0" w:rsidP="00F22079">
      <w:pPr>
        <w:pStyle w:val="TableFooter"/>
      </w:pPr>
      <w:r>
        <w:t xml:space="preserve">AE = adverse event; </w:t>
      </w:r>
      <w:r w:rsidR="00F22079">
        <w:t xml:space="preserve">CNS = central nervous system; FISH = fluorescence </w:t>
      </w:r>
      <w:r w:rsidR="00F22079" w:rsidRPr="00BD6DC9">
        <w:rPr>
          <w:i/>
        </w:rPr>
        <w:t>in situ</w:t>
      </w:r>
      <w:r w:rsidR="00F22079">
        <w:t xml:space="preserve"> hybridisation; </w:t>
      </w:r>
      <w:r w:rsidRPr="00AA6049">
        <w:t>HRQoL</w:t>
      </w:r>
      <w:r>
        <w:t xml:space="preserve"> = health-related quality-of-life; </w:t>
      </w:r>
      <w:r w:rsidR="00F22079">
        <w:t xml:space="preserve">IFS = infantile fibrosarcoma; IHC = immunohistochemistry; KM = Kaplan-Meier; </w:t>
      </w:r>
      <w:r w:rsidR="00F22079" w:rsidRPr="00ED7A7B">
        <w:rPr>
          <w:i/>
        </w:rPr>
        <w:t>NTRK</w:t>
      </w:r>
      <w:r w:rsidR="00F22079">
        <w:t xml:space="preserve"> = </w:t>
      </w:r>
      <w:r w:rsidR="00F22079" w:rsidRPr="00AF4E1F">
        <w:t>neurotrophic tropomyosin receptor kinase</w:t>
      </w:r>
      <w:r w:rsidR="00F22079">
        <w:t>; NGS = next generation sequencing; NSCLC = non-small cell lung cancer; OS = overall survival; PFS = progression-free survival; STS = soft tissue sarcoma; SoC = standard of care; ToT = time-on-treatment.</w:t>
      </w:r>
    </w:p>
    <w:p w:rsidR="00F1737B" w:rsidRPr="000A3110" w:rsidRDefault="00F1737B" w:rsidP="00577A6F">
      <w:pPr>
        <w:pStyle w:val="ListParagraph"/>
      </w:pPr>
      <w:r w:rsidRPr="000A3110">
        <w:t xml:space="preserve">The PBAC previously noted that the incremental cost-effectiveness ratio (ICER) was </w:t>
      </w:r>
      <w:r w:rsidR="00577A6F" w:rsidRPr="00577A6F">
        <w:rPr>
          <w:iCs/>
        </w:rPr>
        <w:t>$155,000 to &lt; $255,000</w:t>
      </w:r>
      <w:r w:rsidRPr="000A3110">
        <w:t xml:space="preserve">/QALY for the high </w:t>
      </w:r>
      <w:r w:rsidRPr="000A3110">
        <w:rPr>
          <w:i/>
        </w:rPr>
        <w:t>NTRK</w:t>
      </w:r>
      <w:r w:rsidRPr="000A3110">
        <w:t xml:space="preserve"> fusion frequency and low </w:t>
      </w:r>
      <w:r w:rsidRPr="000A3110">
        <w:rPr>
          <w:i/>
        </w:rPr>
        <w:t>NTRK</w:t>
      </w:r>
      <w:r w:rsidRPr="000A3110">
        <w:t xml:space="preserve"> fusion frequency paediatric populations combined when i) the most conservative OS and PFS extrapolations; ii) an </w:t>
      </w:r>
      <w:r w:rsidRPr="000A3110">
        <w:rPr>
          <w:i/>
        </w:rPr>
        <w:t>NTRK</w:t>
      </w:r>
      <w:r w:rsidRPr="000A3110">
        <w:t xml:space="preserve"> fusion frequency of 0.68% for paediatric STS and; iii) exclusion of the RSA rebate was applied in the economic analysis (paragraph 6.73, 5.08 larotrectinib November 2020 PBAC </w:t>
      </w:r>
      <w:r w:rsidR="009F39EF">
        <w:t>PSD</w:t>
      </w:r>
      <w:r w:rsidRPr="000A3110">
        <w:t>). The changes described in ii) and iii) have</w:t>
      </w:r>
      <w:r w:rsidRPr="00A230C2">
        <w:rPr>
          <w:i/>
        </w:rPr>
        <w:t xml:space="preserve"> </w:t>
      </w:r>
      <w:r w:rsidRPr="000A3110">
        <w:t xml:space="preserve">been adopted in the resubmission’s base case, noting that the base case was not restricted to the high </w:t>
      </w:r>
      <w:r w:rsidRPr="000A3110">
        <w:rPr>
          <w:i/>
        </w:rPr>
        <w:t>NTRK</w:t>
      </w:r>
      <w:r w:rsidRPr="000A3110">
        <w:t xml:space="preserve"> fusion frequency and low </w:t>
      </w:r>
      <w:r w:rsidRPr="000A3110">
        <w:rPr>
          <w:i/>
        </w:rPr>
        <w:t>NTRK</w:t>
      </w:r>
      <w:r w:rsidRPr="000A3110">
        <w:t xml:space="preserve"> fusion frequency paediatric populations combined, and the </w:t>
      </w:r>
      <w:bookmarkStart w:id="82" w:name="_Hlk89274655"/>
      <w:r w:rsidRPr="000A3110">
        <w:t>most conservative OS and PFS extrapolations were not chosen for each of the larotrectinib subgroup analyses or the comparator</w:t>
      </w:r>
      <w:bookmarkEnd w:id="82"/>
      <w:r w:rsidRPr="000A3110">
        <w:t xml:space="preserve">. Further, the ICER </w:t>
      </w:r>
      <w:r w:rsidR="007768E5">
        <w:t xml:space="preserve">previously </w:t>
      </w:r>
      <w:r w:rsidRPr="000A3110">
        <w:t>noted by the PBAC was based on the Australian distribution of tumour types, whereas the resubmission maintained the use of the distribution</w:t>
      </w:r>
      <w:r w:rsidR="0021481D">
        <w:t xml:space="preserve"> </w:t>
      </w:r>
      <w:r w:rsidR="0021481D" w:rsidRPr="00CB0B7E">
        <w:t>in the pooled larotrectinib analysis</w:t>
      </w:r>
      <w:r w:rsidRPr="000A3110">
        <w:t xml:space="preserve">. In addition to the changes described in ii) and iii), the main additional changes applied in the resubmission were a decrease in the time horizon from 20 to 15 years, updated larotrectinib and </w:t>
      </w:r>
      <w:r w:rsidRPr="000A3110">
        <w:rPr>
          <w:i/>
        </w:rPr>
        <w:t>NTRK</w:t>
      </w:r>
      <w:r w:rsidRPr="000A3110">
        <w:t>-fusion testing costs, and updated larotrectinib data.</w:t>
      </w:r>
    </w:p>
    <w:p w:rsidR="00F1737B" w:rsidRPr="000A3110" w:rsidRDefault="00F1737B" w:rsidP="00F1737B">
      <w:pPr>
        <w:pStyle w:val="ListParagraph"/>
        <w:rPr>
          <w:iCs/>
        </w:rPr>
      </w:pPr>
      <w:r w:rsidRPr="000A3110">
        <w:rPr>
          <w:iCs/>
        </w:rPr>
        <w:t xml:space="preserve">The revised structure contains two main components – a (new) testing component, which allows treatment allocation to be guided by the results of </w:t>
      </w:r>
      <w:r w:rsidRPr="000A3110">
        <w:rPr>
          <w:i/>
        </w:rPr>
        <w:t>NTRK</w:t>
      </w:r>
      <w:r w:rsidRPr="000A3110">
        <w:rPr>
          <w:iCs/>
        </w:rPr>
        <w:t xml:space="preserve"> fusion testing; and a treatment component, which captures the costs and outcomes of alternative treatment options. The testing component of the model is structured to allocate patients by test result (e.g. true negative, false positive, etc.). As such, tumour type</w:t>
      </w:r>
      <w:r w:rsidR="0075084E" w:rsidRPr="000A3110">
        <w:rPr>
          <w:iCs/>
        </w:rPr>
        <w:t xml:space="preserve"> cohort</w:t>
      </w:r>
      <w:r w:rsidRPr="000A3110">
        <w:rPr>
          <w:iCs/>
        </w:rPr>
        <w:t xml:space="preserve"> costs and outcomes are weighted within each of these test outcome points. Regardless of the testing outcome, tumour types were weighted by the distribution of </w:t>
      </w:r>
      <w:r w:rsidRPr="000A3110">
        <w:rPr>
          <w:i/>
        </w:rPr>
        <w:t>NTRK</w:t>
      </w:r>
      <w:r w:rsidRPr="000A3110">
        <w:rPr>
          <w:iCs/>
        </w:rPr>
        <w:t>-positive patients. This is not appropriate.</w:t>
      </w:r>
      <w:r w:rsidR="005C7D71">
        <w:rPr>
          <w:iCs/>
        </w:rPr>
        <w:t xml:space="preserve"> </w:t>
      </w:r>
      <w:r w:rsidR="00F714B4">
        <w:rPr>
          <w:iCs/>
        </w:rPr>
        <w:t>C</w:t>
      </w:r>
      <w:r w:rsidRPr="000A3110">
        <w:rPr>
          <w:iCs/>
        </w:rPr>
        <w:t>osts and outcomes should</w:t>
      </w:r>
      <w:r w:rsidR="00F714B4">
        <w:rPr>
          <w:iCs/>
        </w:rPr>
        <w:t xml:space="preserve"> have</w:t>
      </w:r>
      <w:r w:rsidRPr="000A3110">
        <w:rPr>
          <w:iCs/>
        </w:rPr>
        <w:t xml:space="preserve"> be</w:t>
      </w:r>
      <w:r w:rsidR="00F714B4">
        <w:rPr>
          <w:iCs/>
        </w:rPr>
        <w:t>en</w:t>
      </w:r>
      <w:r w:rsidRPr="000A3110">
        <w:rPr>
          <w:iCs/>
        </w:rPr>
        <w:t xml:space="preserve"> weighted according to the distribution of tumour types in those that are found to have that test result. </w:t>
      </w:r>
      <w:r w:rsidR="00D31DDC" w:rsidRPr="000A3110">
        <w:rPr>
          <w:iCs/>
        </w:rPr>
        <w:t>For example, as perfect test performance has been assumed for some tumour type groups, no false results are expected in these tumour types and so their costs and outcomes should not be included</w:t>
      </w:r>
      <w:r w:rsidR="000A5FF0">
        <w:rPr>
          <w:iCs/>
        </w:rPr>
        <w:t xml:space="preserve"> </w:t>
      </w:r>
      <w:r w:rsidR="000A5FF0" w:rsidRPr="005C7D71">
        <w:rPr>
          <w:iCs/>
        </w:rPr>
        <w:t>in the false negative and false positive outcome points</w:t>
      </w:r>
      <w:r w:rsidR="00D31DDC" w:rsidRPr="005C7D71">
        <w:rPr>
          <w:iCs/>
        </w:rPr>
        <w:t>.</w:t>
      </w:r>
    </w:p>
    <w:p w:rsidR="00F1737B" w:rsidRDefault="00F1737B" w:rsidP="00F1737B">
      <w:pPr>
        <w:pStyle w:val="ListParagraph"/>
      </w:pPr>
      <w:r>
        <w:t xml:space="preserve">Consistent with the previous submission, different test strategies are proposed based on patient age and the frequency of </w:t>
      </w:r>
      <w:r w:rsidRPr="00726FA4">
        <w:rPr>
          <w:i/>
        </w:rPr>
        <w:t>NTRK</w:t>
      </w:r>
      <w:r>
        <w:t xml:space="preserve"> fusions within that tumour type, however the restrictions list specific adult tumour types:</w:t>
      </w:r>
    </w:p>
    <w:p w:rsidR="00F1737B" w:rsidRDefault="00F1737B" w:rsidP="00D117CD">
      <w:pPr>
        <w:pStyle w:val="ListParagraph"/>
        <w:numPr>
          <w:ilvl w:val="0"/>
          <w:numId w:val="26"/>
        </w:numPr>
        <w:ind w:left="1077" w:hanging="357"/>
      </w:pPr>
      <w:r>
        <w:t xml:space="preserve">NGS or FISH: all paediatric patients, and adults with specified high </w:t>
      </w:r>
      <w:r w:rsidRPr="00C47B38">
        <w:rPr>
          <w:i/>
        </w:rPr>
        <w:t>NTRK</w:t>
      </w:r>
      <w:r>
        <w:t xml:space="preserve"> fusion frequency tumour types (secretory breast and MASC); and</w:t>
      </w:r>
    </w:p>
    <w:p w:rsidR="00F1737B" w:rsidRDefault="00F1737B" w:rsidP="00D117CD">
      <w:pPr>
        <w:pStyle w:val="ListParagraph"/>
        <w:numPr>
          <w:ilvl w:val="0"/>
          <w:numId w:val="26"/>
        </w:numPr>
        <w:ind w:left="1077" w:hanging="357"/>
      </w:pPr>
      <w:r>
        <w:t xml:space="preserve">IHC, followed by NGS or FISH in those that are IHC-positive: adults with specified low </w:t>
      </w:r>
      <w:r w:rsidRPr="00C47B38">
        <w:rPr>
          <w:i/>
        </w:rPr>
        <w:t>NTRK</w:t>
      </w:r>
      <w:r>
        <w:t xml:space="preserve"> fusion frequency tumour types (</w:t>
      </w:r>
      <w:r w:rsidR="006130CC">
        <w:t>CRC</w:t>
      </w:r>
      <w:r>
        <w:t>, STS, NSCLC and thyroid only).</w:t>
      </w:r>
    </w:p>
    <w:p w:rsidR="00F1737B" w:rsidRDefault="00F1737B" w:rsidP="00F1737B">
      <w:pPr>
        <w:pStyle w:val="ListParagraph"/>
      </w:pPr>
      <w:r w:rsidRPr="00726FA4">
        <w:t xml:space="preserve">As the model structure has changed from entry at the point of treatment to entry at the point of testing, the average cost of testing across the tested population is applied, rather than the average cost to identify one </w:t>
      </w:r>
      <w:r w:rsidRPr="00726FA4">
        <w:rPr>
          <w:i/>
        </w:rPr>
        <w:t>NTRK</w:t>
      </w:r>
      <w:r w:rsidRPr="00726FA4">
        <w:t xml:space="preserve">-positive patient. However, the test parameters </w:t>
      </w:r>
      <w:r w:rsidRPr="000A3110">
        <w:t xml:space="preserve">(i.e. prevalence of </w:t>
      </w:r>
      <w:r w:rsidRPr="000A3110">
        <w:rPr>
          <w:i/>
          <w:iCs/>
        </w:rPr>
        <w:t>NTRK</w:t>
      </w:r>
      <w:r w:rsidRPr="000A3110">
        <w:t xml:space="preserve"> fusions and test performance) </w:t>
      </w:r>
      <w:r w:rsidR="00023C46" w:rsidRPr="000A3110">
        <w:t xml:space="preserve">in </w:t>
      </w:r>
      <w:r w:rsidRPr="000A3110">
        <w:t xml:space="preserve">the resubmission are generally unchanged from the previous submission. While the </w:t>
      </w:r>
      <w:bookmarkStart w:id="83" w:name="_Hlk89273655"/>
      <w:r w:rsidRPr="000A3110">
        <w:t xml:space="preserve">lower prevalence estimate, 0.68%, was applied in paediatric STS, </w:t>
      </w:r>
      <w:bookmarkEnd w:id="83"/>
      <w:r w:rsidRPr="000A3110">
        <w:t xml:space="preserve">the modelled prevalence </w:t>
      </w:r>
      <w:r w:rsidR="0075084E" w:rsidRPr="000A3110">
        <w:t>with</w:t>
      </w:r>
      <w:r w:rsidRPr="000A3110">
        <w:t xml:space="preserve">in the paediatric high subgroup was </w:t>
      </w:r>
      <w:r w:rsidR="0075084E" w:rsidRPr="000A3110">
        <w:t xml:space="preserve">subsequently </w:t>
      </w:r>
      <w:r w:rsidRPr="000A3110">
        <w:t xml:space="preserve">weighted by the distribution of tumour types in the treated population (i.e. </w:t>
      </w:r>
      <w:r w:rsidRPr="000A3110">
        <w:rPr>
          <w:i/>
          <w:iCs/>
        </w:rPr>
        <w:t>NTRK</w:t>
      </w:r>
      <w:r w:rsidRPr="000A3110">
        <w:t>-positives) rather than the distribution of tumour types in the population</w:t>
      </w:r>
      <w:r w:rsidR="00FA0BF4" w:rsidRPr="000A3110">
        <w:t xml:space="preserve"> eligible for testing</w:t>
      </w:r>
      <w:r w:rsidRPr="000A3110">
        <w:t>, which is not appropriate.</w:t>
      </w:r>
    </w:p>
    <w:p w:rsidR="00F1737B" w:rsidRPr="003E0694" w:rsidRDefault="00F1737B" w:rsidP="00F1737B">
      <w:pPr>
        <w:pStyle w:val="ListParagraph"/>
        <w:rPr>
          <w:iCs/>
        </w:rPr>
      </w:pPr>
      <w:r w:rsidRPr="00726FA4">
        <w:t xml:space="preserve">The structure of the treatment component of the model is unchanged from the previous submission, where modelled costs and outcomes from larotrectinib or SoC treatment were generated through a partitioned survival analysis. This was used to estimate the proportion of patients in one of three health states: progression-free, progressed and dead. </w:t>
      </w:r>
      <w:r w:rsidRPr="000A3110">
        <w:rPr>
          <w:iCs/>
        </w:rPr>
        <w:t xml:space="preserve">This is reasonable. In patients treated with larotrectinib, PFS and OS curves were derived from the pooled analysis of the larotrectinib studies (July 2020 combined ePAS5 + SAS3 New data set). </w:t>
      </w:r>
      <w:r w:rsidRPr="005C7D71">
        <w:rPr>
          <w:iCs/>
        </w:rPr>
        <w:t>The</w:t>
      </w:r>
      <w:r w:rsidR="003E7484" w:rsidRPr="005C7D71">
        <w:rPr>
          <w:iCs/>
        </w:rPr>
        <w:t xml:space="preserve"> ESCs considered that the</w:t>
      </w:r>
      <w:r w:rsidRPr="005C7D71">
        <w:rPr>
          <w:iCs/>
        </w:rPr>
        <w:t xml:space="preserve"> pooled data have limited applicability to the proposed </w:t>
      </w:r>
      <w:r w:rsidR="003E7484" w:rsidRPr="005C7D71">
        <w:rPr>
          <w:iCs/>
        </w:rPr>
        <w:t xml:space="preserve">clinical </w:t>
      </w:r>
      <w:r w:rsidRPr="005C7D71">
        <w:rPr>
          <w:iCs/>
        </w:rPr>
        <w:t>setting,</w:t>
      </w:r>
      <w:r w:rsidRPr="000A3110">
        <w:rPr>
          <w:iCs/>
        </w:rPr>
        <w:t xml:space="preserve"> due to the tumour types included and their distribution. </w:t>
      </w:r>
      <w:r w:rsidRPr="005C7D71">
        <w:rPr>
          <w:iCs/>
        </w:rPr>
        <w:t>Subgroup analyses were presented for each of the seven tumour types (or tumour type groups), noting that these remain associated with small patient numbers</w:t>
      </w:r>
      <w:r w:rsidRPr="003E0694">
        <w:rPr>
          <w:iCs/>
        </w:rPr>
        <w:t xml:space="preserve"> and are associated with substantial uncertainty. Despite these limitations, when exploring combinations of tumour types, it is more appropriate to use the weighted subgroup data rather than the pooled analysis, and to </w:t>
      </w:r>
      <w:r w:rsidR="00FE7970" w:rsidRPr="00465F00">
        <w:rPr>
          <w:iCs/>
        </w:rPr>
        <w:t xml:space="preserve">weight </w:t>
      </w:r>
      <w:r w:rsidRPr="00465F00">
        <w:rPr>
          <w:iCs/>
        </w:rPr>
        <w:t>tumour types</w:t>
      </w:r>
      <w:r w:rsidR="00E7054E" w:rsidRPr="00465F00">
        <w:rPr>
          <w:iCs/>
        </w:rPr>
        <w:t xml:space="preserve"> </w:t>
      </w:r>
      <w:r w:rsidR="00E7054E" w:rsidRPr="005C7D71">
        <w:rPr>
          <w:iCs/>
        </w:rPr>
        <w:t>according to the distribution</w:t>
      </w:r>
      <w:r w:rsidRPr="005C7D71">
        <w:rPr>
          <w:iCs/>
        </w:rPr>
        <w:t xml:space="preserve"> that is expected in Australian clinical practice.</w:t>
      </w:r>
    </w:p>
    <w:p w:rsidR="00FA0BF4" w:rsidRDefault="00FA0BF4" w:rsidP="00F1737B">
      <w:pPr>
        <w:pStyle w:val="ListParagraph"/>
      </w:pPr>
      <w:r>
        <w:t>D</w:t>
      </w:r>
      <w:r w:rsidRPr="00FA443C">
        <w:t xml:space="preserve">ifferences </w:t>
      </w:r>
      <w:r>
        <w:t xml:space="preserve">were noted between </w:t>
      </w:r>
      <w:r w:rsidRPr="00FA443C">
        <w:t xml:space="preserve">the overall proportion of </w:t>
      </w:r>
      <w:r w:rsidRPr="00FA443C">
        <w:rPr>
          <w:i/>
        </w:rPr>
        <w:t>NTRK</w:t>
      </w:r>
      <w:r>
        <w:t xml:space="preserve"> </w:t>
      </w:r>
      <w:r w:rsidRPr="000A3110">
        <w:t>fusion-positive tumour types between the larotrectinib studies and the Australian population. In particular, it appears that the paediatric populations may be substantially over-represented in the overall larotrectinib pooled group compared to Australian clinical practice, whereas adult low frequency tumours are under-represented</w:t>
      </w:r>
      <w:r w:rsidR="008765D7">
        <w:t xml:space="preserve"> </w:t>
      </w:r>
      <w:r w:rsidR="008765D7" w:rsidRPr="00CB0987">
        <w:t>and likely to be more commonly observed in Australian clinical practice</w:t>
      </w:r>
      <w:r w:rsidRPr="00CB0987">
        <w:t>.</w:t>
      </w:r>
      <w:r w:rsidRPr="000A3110">
        <w:t xml:space="preserve"> Using the weighting based on </w:t>
      </w:r>
      <w:r w:rsidRPr="000A3110">
        <w:rPr>
          <w:i/>
          <w:iCs/>
        </w:rPr>
        <w:t>NTRK</w:t>
      </w:r>
      <w:r w:rsidRPr="000A3110">
        <w:t xml:space="preserve">-positivity further reduces the applicability of the distribution of </w:t>
      </w:r>
      <w:r w:rsidRPr="000A3110">
        <w:rPr>
          <w:i/>
          <w:iCs/>
        </w:rPr>
        <w:t>NTRK</w:t>
      </w:r>
      <w:r w:rsidRPr="000A3110">
        <w:t>-positives to practice.</w:t>
      </w:r>
    </w:p>
    <w:p w:rsidR="00F1737B" w:rsidRDefault="00F1737B" w:rsidP="00F1737B">
      <w:pPr>
        <w:pStyle w:val="ListParagraph"/>
      </w:pPr>
      <w:r w:rsidRPr="005F380E">
        <w:t xml:space="preserve">In patients treated with SoC, modelled costs and outcomes were generated from published PFS and OS curves for each of the tumour types from the studies used in the naïve indirect comparisons. </w:t>
      </w:r>
      <w:r w:rsidRPr="000A3110">
        <w:rPr>
          <w:iCs/>
        </w:rPr>
        <w:t>The studies included and approach</w:t>
      </w:r>
      <w:r w:rsidR="006C74A2">
        <w:rPr>
          <w:iCs/>
        </w:rPr>
        <w:t xml:space="preserve"> to including costs and outcomes for patients treated with SoC</w:t>
      </w:r>
      <w:r w:rsidRPr="000A3110">
        <w:rPr>
          <w:iCs/>
        </w:rPr>
        <w:t xml:space="preserve"> is generally unchanged from the previous submission however</w:t>
      </w:r>
      <w:r w:rsidR="006C74A2">
        <w:rPr>
          <w:iCs/>
        </w:rPr>
        <w:t>,</w:t>
      </w:r>
      <w:r w:rsidRPr="000A3110">
        <w:rPr>
          <w:iCs/>
        </w:rPr>
        <w:t xml:space="preserve"> the analyses include two additional tumour types (NSCLC and thyroid). These were included so that each of the adult </w:t>
      </w:r>
      <w:r w:rsidR="00BA1C48">
        <w:rPr>
          <w:iCs/>
        </w:rPr>
        <w:t>low</w:t>
      </w:r>
      <w:r w:rsidR="00BA1C48">
        <w:rPr>
          <w:i/>
        </w:rPr>
        <w:t xml:space="preserve"> NTRK </w:t>
      </w:r>
      <w:r w:rsidR="00BA1C48">
        <w:rPr>
          <w:iCs/>
        </w:rPr>
        <w:t xml:space="preserve">fusion frequency </w:t>
      </w:r>
      <w:r w:rsidRPr="000A3110">
        <w:rPr>
          <w:iCs/>
        </w:rPr>
        <w:t>tumour types specified in the MBS and PBS listings could have their cost-effectiveness assessed. This is reasonable.</w:t>
      </w:r>
    </w:p>
    <w:p w:rsidR="00F1737B" w:rsidRPr="003966A9" w:rsidRDefault="00BA1C48" w:rsidP="00F1737B">
      <w:pPr>
        <w:pStyle w:val="ListParagraph"/>
        <w:rPr>
          <w:iCs/>
        </w:rPr>
      </w:pPr>
      <w:r>
        <w:rPr>
          <w:iCs/>
        </w:rPr>
        <w:t>T</w:t>
      </w:r>
      <w:r w:rsidR="00F1737B" w:rsidRPr="000A3110">
        <w:rPr>
          <w:iCs/>
        </w:rPr>
        <w:t>he modelled incremental benefits need to be interpreted with caution, given the inherent caveats</w:t>
      </w:r>
      <w:r>
        <w:rPr>
          <w:iCs/>
        </w:rPr>
        <w:t xml:space="preserve"> with naïve indirect comparisons</w:t>
      </w:r>
      <w:r w:rsidR="00F1737B" w:rsidRPr="000A3110">
        <w:rPr>
          <w:iCs/>
        </w:rPr>
        <w:t xml:space="preserve"> on which these are generated.</w:t>
      </w:r>
      <w:r w:rsidR="00014B4C" w:rsidRPr="000A3110">
        <w:rPr>
          <w:iCs/>
        </w:rPr>
        <w:t xml:space="preserve"> Furthermore,</w:t>
      </w:r>
      <w:r w:rsidR="000773CF">
        <w:rPr>
          <w:iCs/>
        </w:rPr>
        <w:t xml:space="preserve"> </w:t>
      </w:r>
      <w:r w:rsidR="00014B4C" w:rsidRPr="000A3110">
        <w:rPr>
          <w:iCs/>
        </w:rPr>
        <w:t xml:space="preserve">extrapolations of immature data </w:t>
      </w:r>
      <w:r w:rsidR="000773CF">
        <w:rPr>
          <w:iCs/>
        </w:rPr>
        <w:t>based on</w:t>
      </w:r>
      <w:r w:rsidR="000773CF" w:rsidRPr="000A3110">
        <w:rPr>
          <w:iCs/>
        </w:rPr>
        <w:t xml:space="preserve"> </w:t>
      </w:r>
      <w:r w:rsidR="00014B4C" w:rsidRPr="000A3110">
        <w:rPr>
          <w:iCs/>
        </w:rPr>
        <w:t>small patient numbers are associated with a high degree of uncertainty and in some of the subgroups, the OS benefit estimated over the model time horizon may not be plausible.</w:t>
      </w:r>
      <w:r w:rsidR="00AC1026">
        <w:rPr>
          <w:i/>
        </w:rPr>
        <w:t xml:space="preserve"> </w:t>
      </w:r>
      <w:r w:rsidR="00AC1026" w:rsidRPr="003966A9">
        <w:rPr>
          <w:iCs/>
        </w:rPr>
        <w:t xml:space="preserve">The ESCs noted </w:t>
      </w:r>
      <w:r w:rsidR="00AC1026" w:rsidRPr="003966A9">
        <w:rPr>
          <w:rFonts w:ascii="Calibri" w:eastAsia="Times New Roman" w:hAnsi="Calibri" w:cs="Arial"/>
          <w:iCs/>
          <w:color w:val="auto"/>
          <w:szCs w:val="24"/>
          <w:lang w:eastAsia="en-AU"/>
        </w:rPr>
        <w:t xml:space="preserve">that the uncertainties around the </w:t>
      </w:r>
      <w:r w:rsidR="00064488" w:rsidRPr="003966A9">
        <w:rPr>
          <w:rFonts w:ascii="Calibri" w:eastAsia="Times New Roman" w:hAnsi="Calibri" w:cs="Arial"/>
          <w:iCs/>
          <w:color w:val="auto"/>
          <w:szCs w:val="24"/>
          <w:lang w:eastAsia="en-AU"/>
        </w:rPr>
        <w:t>clinical benefit of larotrectinib were further magnified by extrapolation in the economic analyses.</w:t>
      </w:r>
    </w:p>
    <w:p w:rsidR="00ED1978" w:rsidRPr="00ED1978" w:rsidRDefault="00ED1978" w:rsidP="00ED1978">
      <w:pPr>
        <w:pStyle w:val="ListParagraph"/>
        <w:rPr>
          <w:color w:val="auto"/>
        </w:rPr>
      </w:pPr>
      <w:r w:rsidRPr="00ED1978">
        <w:rPr>
          <w:color w:val="auto"/>
        </w:rPr>
        <w:t xml:space="preserve">The key drivers are summarised in </w:t>
      </w:r>
      <w:r w:rsidR="00796D25">
        <w:t>Table</w:t>
      </w:r>
      <w:r w:rsidR="00E37EC3">
        <w:t xml:space="preserve"> </w:t>
      </w:r>
      <w:r w:rsidR="00796D25">
        <w:rPr>
          <w:noProof/>
        </w:rPr>
        <w:t>22</w:t>
      </w:r>
      <w:r w:rsidRPr="00ED1978">
        <w:rPr>
          <w:color w:val="auto"/>
        </w:rPr>
        <w:t xml:space="preserve"> below. </w:t>
      </w:r>
    </w:p>
    <w:p w:rsidR="00ED1978" w:rsidRDefault="00ED1978" w:rsidP="00CF775E">
      <w:pPr>
        <w:pStyle w:val="Caption"/>
        <w:keepLines/>
      </w:pPr>
      <w:bookmarkStart w:id="84" w:name="_Ref79482568"/>
      <w:r>
        <w:t>Table</w:t>
      </w:r>
      <w:r w:rsidR="00E37EC3">
        <w:t xml:space="preserve"> </w:t>
      </w:r>
      <w:r w:rsidR="00BB3DD1">
        <w:rPr>
          <w:noProof/>
        </w:rPr>
        <w:t>22</w:t>
      </w:r>
      <w:bookmarkEnd w:id="84"/>
      <w:r w:rsidR="00D944C2">
        <w:rPr>
          <w:noProof/>
        </w:rPr>
        <w:t>:</w:t>
      </w:r>
      <w:r w:rsidR="00D117CD">
        <w:rPr>
          <w:noProof/>
        </w:rPr>
        <w:t xml:space="preserve"> </w:t>
      </w:r>
      <w:r w:rsidRPr="00962538">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4254"/>
        <w:gridCol w:w="2925"/>
      </w:tblGrid>
      <w:tr w:rsidR="00ED1978" w:rsidRPr="00F93434" w:rsidTr="00E8209E">
        <w:trPr>
          <w:cantSplit/>
          <w:tblHeader/>
        </w:trPr>
        <w:tc>
          <w:tcPr>
            <w:tcW w:w="1019" w:type="pct"/>
            <w:shd w:val="clear" w:color="auto" w:fill="auto"/>
            <w:vAlign w:val="bottom"/>
          </w:tcPr>
          <w:p w:rsidR="00ED1978" w:rsidRPr="00F93434" w:rsidRDefault="00ED1978" w:rsidP="00CF775E">
            <w:pPr>
              <w:pStyle w:val="TableText"/>
              <w:keepNext/>
              <w:keepLines/>
              <w:rPr>
                <w:b/>
              </w:rPr>
            </w:pPr>
            <w:r w:rsidRPr="00F93434">
              <w:rPr>
                <w:b/>
              </w:rPr>
              <w:t>Description</w:t>
            </w:r>
          </w:p>
        </w:tc>
        <w:tc>
          <w:tcPr>
            <w:tcW w:w="2359" w:type="pct"/>
            <w:shd w:val="clear" w:color="auto" w:fill="auto"/>
            <w:vAlign w:val="bottom"/>
          </w:tcPr>
          <w:p w:rsidR="00ED1978" w:rsidRPr="00F93434" w:rsidRDefault="00ED1978" w:rsidP="00CF775E">
            <w:pPr>
              <w:pStyle w:val="TableText"/>
              <w:keepNext/>
              <w:keepLines/>
              <w:rPr>
                <w:b/>
              </w:rPr>
            </w:pPr>
            <w:r w:rsidRPr="00F93434">
              <w:rPr>
                <w:b/>
              </w:rPr>
              <w:t>Method/Value</w:t>
            </w:r>
          </w:p>
        </w:tc>
        <w:tc>
          <w:tcPr>
            <w:tcW w:w="1622" w:type="pct"/>
            <w:shd w:val="clear" w:color="auto" w:fill="auto"/>
            <w:vAlign w:val="bottom"/>
          </w:tcPr>
          <w:p w:rsidR="00ED1978" w:rsidRPr="00F93434" w:rsidRDefault="00ED1978" w:rsidP="00CF775E">
            <w:pPr>
              <w:pStyle w:val="TableText"/>
              <w:keepNext/>
              <w:keepLines/>
              <w:rPr>
                <w:b/>
              </w:rPr>
            </w:pPr>
            <w:r w:rsidRPr="00F93434">
              <w:rPr>
                <w:b/>
              </w:rPr>
              <w:t>Impact</w:t>
            </w:r>
          </w:p>
        </w:tc>
      </w:tr>
      <w:tr w:rsidR="00ED1978" w:rsidRPr="00962538" w:rsidTr="000F388B">
        <w:trPr>
          <w:cantSplit/>
        </w:trPr>
        <w:tc>
          <w:tcPr>
            <w:tcW w:w="1019" w:type="pct"/>
            <w:shd w:val="clear" w:color="auto" w:fill="auto"/>
            <w:vAlign w:val="center"/>
          </w:tcPr>
          <w:p w:rsidR="00ED1978" w:rsidRPr="00962538" w:rsidRDefault="00ED1978" w:rsidP="00CF775E">
            <w:pPr>
              <w:pStyle w:val="TableText"/>
              <w:keepNext/>
              <w:keepLines/>
            </w:pPr>
            <w:r>
              <w:t>Time horizon</w:t>
            </w:r>
          </w:p>
        </w:tc>
        <w:tc>
          <w:tcPr>
            <w:tcW w:w="2359" w:type="pct"/>
            <w:shd w:val="clear" w:color="auto" w:fill="auto"/>
            <w:vAlign w:val="center"/>
          </w:tcPr>
          <w:p w:rsidR="00ED1978" w:rsidRPr="004B18F0" w:rsidRDefault="00ED1978" w:rsidP="00CF775E">
            <w:pPr>
              <w:pStyle w:val="TableText"/>
              <w:keepNext/>
              <w:keepLines/>
              <w:rPr>
                <w:i/>
              </w:rPr>
            </w:pPr>
            <w:r w:rsidRPr="006D354B">
              <w:rPr>
                <w:iCs/>
              </w:rPr>
              <w:t>While this was reduced since the previous submission</w:t>
            </w:r>
            <w:r w:rsidR="003966A9">
              <w:rPr>
                <w:iCs/>
              </w:rPr>
              <w:t xml:space="preserve"> to 15 years</w:t>
            </w:r>
            <w:r w:rsidRPr="006D354B">
              <w:rPr>
                <w:iCs/>
              </w:rPr>
              <w:t xml:space="preserve">, </w:t>
            </w:r>
            <w:r w:rsidR="003966A9">
              <w:rPr>
                <w:iCs/>
              </w:rPr>
              <w:t xml:space="preserve">it </w:t>
            </w:r>
            <w:r w:rsidRPr="006D354B">
              <w:rPr>
                <w:iCs/>
              </w:rPr>
              <w:t>remains inadequately justified and is substantially longer than the median follow-up in the pooled larotrectinib analysis (2 years). A time horizon of 5 years may be more appropriate in the adult populations with low</w:t>
            </w:r>
            <w:r w:rsidRPr="00870C89">
              <w:rPr>
                <w:i/>
              </w:rPr>
              <w:t xml:space="preserve"> </w:t>
            </w:r>
            <w:r w:rsidRPr="00FC4036">
              <w:rPr>
                <w:i/>
                <w:iCs/>
              </w:rPr>
              <w:t>NTRK</w:t>
            </w:r>
            <w:r w:rsidRPr="00870C89">
              <w:rPr>
                <w:i/>
              </w:rPr>
              <w:t xml:space="preserve"> </w:t>
            </w:r>
            <w:r w:rsidRPr="006D354B">
              <w:rPr>
                <w:iCs/>
              </w:rPr>
              <w:t xml:space="preserve">fusion frequency tumour types, as this is more consistent with previous </w:t>
            </w:r>
            <w:r w:rsidR="00DB03B9">
              <w:rPr>
                <w:iCs/>
              </w:rPr>
              <w:t xml:space="preserve">submissions for </w:t>
            </w:r>
            <w:r w:rsidRPr="006D354B">
              <w:rPr>
                <w:iCs/>
              </w:rPr>
              <w:t xml:space="preserve">later-line </w:t>
            </w:r>
            <w:r w:rsidR="00DB03B9">
              <w:rPr>
                <w:iCs/>
              </w:rPr>
              <w:t>treatments</w:t>
            </w:r>
            <w:r w:rsidR="00DB03B9" w:rsidRPr="006D354B">
              <w:rPr>
                <w:iCs/>
              </w:rPr>
              <w:t xml:space="preserve"> </w:t>
            </w:r>
            <w:r w:rsidRPr="006D354B">
              <w:rPr>
                <w:iCs/>
              </w:rPr>
              <w:t>to the PBAC (PBAC 7.13 crizotinib PSD, July 2018 and PBAC 6.06 pembrolizumab PSD, March 2019)</w:t>
            </w:r>
          </w:p>
        </w:tc>
        <w:tc>
          <w:tcPr>
            <w:tcW w:w="1622" w:type="pct"/>
            <w:shd w:val="clear" w:color="auto" w:fill="auto"/>
          </w:tcPr>
          <w:p w:rsidR="00ED1978" w:rsidRPr="006D354B" w:rsidRDefault="00ED1978" w:rsidP="00CF775E">
            <w:pPr>
              <w:pStyle w:val="TableText"/>
              <w:keepNext/>
              <w:keepLines/>
              <w:rPr>
                <w:iCs/>
              </w:rPr>
            </w:pPr>
            <w:r w:rsidRPr="006D354B">
              <w:rPr>
                <w:iCs/>
              </w:rPr>
              <w:t>High – favours larotrectinib. Decreases in the time horizon lead to substantial increases in the ICER.</w:t>
            </w:r>
          </w:p>
        </w:tc>
      </w:tr>
      <w:tr w:rsidR="00ED1978" w:rsidRPr="00962538" w:rsidTr="000F388B">
        <w:trPr>
          <w:cantSplit/>
        </w:trPr>
        <w:tc>
          <w:tcPr>
            <w:tcW w:w="1019" w:type="pct"/>
            <w:shd w:val="clear" w:color="auto" w:fill="auto"/>
            <w:vAlign w:val="center"/>
          </w:tcPr>
          <w:p w:rsidR="00ED1978" w:rsidRDefault="00ED1978" w:rsidP="00CF775E">
            <w:pPr>
              <w:pStyle w:val="TableText"/>
              <w:keepNext/>
              <w:keepLines/>
            </w:pPr>
            <w:r>
              <w:t>Larotrectinib treatment duration</w:t>
            </w:r>
          </w:p>
        </w:tc>
        <w:tc>
          <w:tcPr>
            <w:tcW w:w="2359" w:type="pct"/>
            <w:shd w:val="clear" w:color="auto" w:fill="auto"/>
            <w:vAlign w:val="center"/>
          </w:tcPr>
          <w:p w:rsidR="00ED1978" w:rsidRPr="006D354B" w:rsidRDefault="00ED1978" w:rsidP="00CF775E">
            <w:pPr>
              <w:pStyle w:val="TableText"/>
              <w:keepNext/>
              <w:keepLines/>
            </w:pPr>
            <w:r w:rsidRPr="006D354B">
              <w:t xml:space="preserve">Derived from the extrapolated ToT curve, where patients could continue treatment beyond disease progression. This assumption was unchanged </w:t>
            </w:r>
            <w:r w:rsidR="008254EF" w:rsidRPr="006D354B">
              <w:t xml:space="preserve">from </w:t>
            </w:r>
            <w:r w:rsidRPr="006D354B">
              <w:t>the previous submission. The PBAC had previously advised that treatment should be until disease progression (para 7.5, larotrectinib PSD, November 2020).</w:t>
            </w:r>
          </w:p>
        </w:tc>
        <w:tc>
          <w:tcPr>
            <w:tcW w:w="1622" w:type="pct"/>
            <w:shd w:val="clear" w:color="auto" w:fill="auto"/>
          </w:tcPr>
          <w:p w:rsidR="00ED1978" w:rsidRPr="006D354B" w:rsidRDefault="00ED1978" w:rsidP="00CF775E">
            <w:pPr>
              <w:pStyle w:val="TableText"/>
              <w:keepNext/>
              <w:keepLines/>
              <w:rPr>
                <w:iCs/>
              </w:rPr>
            </w:pPr>
            <w:r w:rsidRPr="006D354B">
              <w:rPr>
                <w:iCs/>
              </w:rPr>
              <w:t>High – favours SoC. As modelled ToT is substantially longer than modelled PFS in paediatric patients, stopping larotrectin</w:t>
            </w:r>
            <w:r w:rsidR="00D117CD">
              <w:rPr>
                <w:iCs/>
              </w:rPr>
              <w:t>i</w:t>
            </w:r>
            <w:r w:rsidRPr="006D354B">
              <w:rPr>
                <w:iCs/>
              </w:rPr>
              <w:t>b treatment at disease progression leads to a substantial reduction in the ICER.</w:t>
            </w:r>
          </w:p>
        </w:tc>
      </w:tr>
      <w:tr w:rsidR="00ED1978" w:rsidRPr="00962538" w:rsidTr="000F388B">
        <w:trPr>
          <w:cantSplit/>
        </w:trPr>
        <w:tc>
          <w:tcPr>
            <w:tcW w:w="1019" w:type="pct"/>
            <w:shd w:val="clear" w:color="auto" w:fill="auto"/>
            <w:vAlign w:val="center"/>
          </w:tcPr>
          <w:p w:rsidR="00ED1978" w:rsidRPr="00E02E0C" w:rsidRDefault="00ED1978" w:rsidP="00CF775E">
            <w:pPr>
              <w:pStyle w:val="TableText"/>
              <w:keepNext/>
              <w:keepLines/>
            </w:pPr>
            <w:r>
              <w:t xml:space="preserve">Modelled comparator for adults with low </w:t>
            </w:r>
            <w:r>
              <w:rPr>
                <w:i/>
              </w:rPr>
              <w:t>NTRK</w:t>
            </w:r>
            <w:r>
              <w:t xml:space="preserve"> frequency tumour types (STS, NSCLC, thyroid)</w:t>
            </w:r>
          </w:p>
        </w:tc>
        <w:tc>
          <w:tcPr>
            <w:tcW w:w="2359" w:type="pct"/>
            <w:shd w:val="clear" w:color="auto" w:fill="auto"/>
            <w:vAlign w:val="center"/>
          </w:tcPr>
          <w:p w:rsidR="00ED1978" w:rsidRPr="006D354B" w:rsidRDefault="00ED1978" w:rsidP="00CF775E">
            <w:pPr>
              <w:pStyle w:val="TableText"/>
              <w:keepNext/>
              <w:keepLines/>
            </w:pPr>
            <w:r w:rsidRPr="006D354B">
              <w:t>Active</w:t>
            </w:r>
            <w:r w:rsidR="00CE0C5C" w:rsidRPr="006D354B">
              <w:t xml:space="preserve"> (</w:t>
            </w:r>
            <w:r w:rsidR="00D31DDC" w:rsidRPr="006D354B">
              <w:t>last</w:t>
            </w:r>
            <w:r w:rsidR="00CE0C5C" w:rsidRPr="006D354B">
              <w:t>-line)</w:t>
            </w:r>
            <w:r w:rsidRPr="006D354B">
              <w:t xml:space="preserve"> treatment. While this is consistent with expected larotrectin</w:t>
            </w:r>
            <w:r w:rsidR="00D117CD">
              <w:t>i</w:t>
            </w:r>
            <w:r w:rsidRPr="006D354B">
              <w:t>b use in very late stage disease, there is uncertainty around how it would be used in clinical practice.</w:t>
            </w:r>
          </w:p>
        </w:tc>
        <w:tc>
          <w:tcPr>
            <w:tcW w:w="1622" w:type="pct"/>
            <w:shd w:val="clear" w:color="auto" w:fill="auto"/>
          </w:tcPr>
          <w:p w:rsidR="00ED1978" w:rsidRPr="006D354B" w:rsidRDefault="00ED1978" w:rsidP="00CF775E">
            <w:pPr>
              <w:pStyle w:val="TableText"/>
              <w:keepNext/>
              <w:keepLines/>
              <w:rPr>
                <w:iCs/>
              </w:rPr>
            </w:pPr>
            <w:r w:rsidRPr="006D354B">
              <w:rPr>
                <w:iCs/>
              </w:rPr>
              <w:t>High – favours larotrectinib. When BSC is chosen as the modelled comparator, the ICER increases substantially. Comparisons to earlier treatments were not presented.</w:t>
            </w:r>
          </w:p>
        </w:tc>
      </w:tr>
      <w:tr w:rsidR="00ED1978" w:rsidRPr="00962538" w:rsidTr="000F388B">
        <w:trPr>
          <w:cantSplit/>
        </w:trPr>
        <w:tc>
          <w:tcPr>
            <w:tcW w:w="1019" w:type="pct"/>
            <w:shd w:val="clear" w:color="auto" w:fill="auto"/>
            <w:vAlign w:val="center"/>
          </w:tcPr>
          <w:p w:rsidR="00ED1978" w:rsidRPr="00962538" w:rsidRDefault="00ED1978" w:rsidP="00CF775E">
            <w:pPr>
              <w:pStyle w:val="TableText"/>
              <w:keepNext/>
              <w:keepLines/>
            </w:pPr>
            <w:r>
              <w:t>Duration of thyroid cancer SoC</w:t>
            </w:r>
          </w:p>
        </w:tc>
        <w:tc>
          <w:tcPr>
            <w:tcW w:w="2359" w:type="pct"/>
            <w:shd w:val="clear" w:color="auto" w:fill="auto"/>
            <w:vAlign w:val="center"/>
          </w:tcPr>
          <w:p w:rsidR="00ED1978" w:rsidRPr="006D354B" w:rsidRDefault="00ED1978" w:rsidP="00CF775E">
            <w:pPr>
              <w:pStyle w:val="TableText"/>
              <w:keepNext/>
              <w:keepLines/>
            </w:pPr>
            <w:r w:rsidRPr="006D354B">
              <w:t>Until disease progression (modelled 39.6 months). This is longer than the average duration of treatment previously presented to the PBAC (17.45 months, para 6.45, 5.08 lenvatinib PSD, November 2015)</w:t>
            </w:r>
          </w:p>
        </w:tc>
        <w:tc>
          <w:tcPr>
            <w:tcW w:w="1622" w:type="pct"/>
            <w:shd w:val="clear" w:color="auto" w:fill="auto"/>
          </w:tcPr>
          <w:p w:rsidR="00ED1978" w:rsidRPr="006D354B" w:rsidRDefault="00ED1978" w:rsidP="00CF775E">
            <w:pPr>
              <w:pStyle w:val="TableText"/>
              <w:keepNext/>
              <w:keepLines/>
              <w:rPr>
                <w:iCs/>
              </w:rPr>
            </w:pPr>
            <w:r w:rsidRPr="006D354B">
              <w:rPr>
                <w:iCs/>
              </w:rPr>
              <w:t>High – favours larotrectinib. The ICER is sensitive to shorter durations of thyroid SoC treatment</w:t>
            </w:r>
            <w:r w:rsidR="006D354B">
              <w:rPr>
                <w:iCs/>
              </w:rPr>
              <w:t>.</w:t>
            </w:r>
          </w:p>
        </w:tc>
      </w:tr>
      <w:tr w:rsidR="00ED1978" w:rsidRPr="00962538" w:rsidTr="000F388B">
        <w:trPr>
          <w:cantSplit/>
        </w:trPr>
        <w:tc>
          <w:tcPr>
            <w:tcW w:w="1019" w:type="pct"/>
            <w:shd w:val="clear" w:color="auto" w:fill="auto"/>
            <w:vAlign w:val="center"/>
          </w:tcPr>
          <w:p w:rsidR="00ED1978" w:rsidRPr="00962538" w:rsidRDefault="00ED1978" w:rsidP="00CF775E">
            <w:pPr>
              <w:pStyle w:val="TableText"/>
              <w:keepNext/>
              <w:keepLines/>
            </w:pPr>
            <w:r>
              <w:t>OS and PFS extrapolations</w:t>
            </w:r>
          </w:p>
        </w:tc>
        <w:tc>
          <w:tcPr>
            <w:tcW w:w="2359" w:type="pct"/>
            <w:shd w:val="clear" w:color="auto" w:fill="auto"/>
            <w:vAlign w:val="center"/>
          </w:tcPr>
          <w:p w:rsidR="00ED1978" w:rsidRPr="00962538" w:rsidRDefault="00ED1978">
            <w:pPr>
              <w:pStyle w:val="TableText"/>
              <w:keepNext/>
              <w:keepLines/>
            </w:pPr>
            <w:r>
              <w:t>Parametric models for the tumour type subgroup analyses</w:t>
            </w:r>
            <w:r w:rsidR="00FD03A0">
              <w:t xml:space="preserve"> were selected based on AIC/</w:t>
            </w:r>
            <w:r>
              <w:t>BIC</w:t>
            </w:r>
            <w:r w:rsidRPr="001C2FC7">
              <w:t xml:space="preserve">, in addition to an assessment of face-validity and </w:t>
            </w:r>
            <w:r w:rsidRPr="006D354B">
              <w:t>plausibility. The PBAC had previously considered that the most conservative OS and PFS extrapolations</w:t>
            </w:r>
            <w:r w:rsidR="002706FB" w:rsidRPr="006D354B">
              <w:t xml:space="preserve"> should</w:t>
            </w:r>
            <w:r w:rsidRPr="006D354B">
              <w:t xml:space="preserve"> be used (para 6.74, larotrectinib PBAC </w:t>
            </w:r>
            <w:r w:rsidR="009F39EF">
              <w:t>PSD</w:t>
            </w:r>
            <w:r w:rsidRPr="006D354B">
              <w:t>, November 2020).</w:t>
            </w:r>
          </w:p>
        </w:tc>
        <w:tc>
          <w:tcPr>
            <w:tcW w:w="1622" w:type="pct"/>
            <w:shd w:val="clear" w:color="auto" w:fill="auto"/>
          </w:tcPr>
          <w:p w:rsidR="00ED1978" w:rsidRPr="006D354B" w:rsidRDefault="00ED1978" w:rsidP="00CF775E">
            <w:pPr>
              <w:pStyle w:val="TableText"/>
              <w:keepNext/>
              <w:keepLines/>
              <w:rPr>
                <w:iCs/>
              </w:rPr>
            </w:pPr>
            <w:r w:rsidRPr="006D354B">
              <w:rPr>
                <w:iCs/>
              </w:rPr>
              <w:t xml:space="preserve">Moderate – favours larotrectinib. A moderate increase was observed when the most conservative PFS and OS functions were applied. </w:t>
            </w:r>
          </w:p>
        </w:tc>
      </w:tr>
    </w:tbl>
    <w:p w:rsidR="00ED1978" w:rsidRDefault="00ED1978" w:rsidP="00CF775E">
      <w:pPr>
        <w:pStyle w:val="TableFooter"/>
        <w:keepNext/>
        <w:keepLines/>
      </w:pPr>
      <w:r w:rsidRPr="00962538">
        <w:t xml:space="preserve">Source: </w:t>
      </w:r>
      <w:r>
        <w:t>C</w:t>
      </w:r>
      <w:r w:rsidRPr="00962538">
        <w:t>ompiled during the evaluation</w:t>
      </w:r>
      <w:r>
        <w:t>.</w:t>
      </w:r>
    </w:p>
    <w:p w:rsidR="00FD03A0" w:rsidRPr="00962538" w:rsidRDefault="00FD03A0" w:rsidP="00CF775E">
      <w:pPr>
        <w:pStyle w:val="TableFooter"/>
        <w:keepNext/>
        <w:keepLines/>
      </w:pPr>
      <w:r>
        <w:t xml:space="preserve">AIC/BIC = </w:t>
      </w:r>
      <w:r w:rsidRPr="00895B14">
        <w:t>Akaike information criterion</w:t>
      </w:r>
      <w:r>
        <w:t>/</w:t>
      </w:r>
      <w:r w:rsidRPr="00895B14">
        <w:t>Bayesian information criterion</w:t>
      </w:r>
      <w:r>
        <w:t>; BSC = best supportive care; ICER = incremental cost-effectiveness ratio; NSCLC = non</w:t>
      </w:r>
      <w:r w:rsidR="00D117CD">
        <w:t>-</w:t>
      </w:r>
      <w:r>
        <w:t xml:space="preserve">small cell lung cancer; </w:t>
      </w:r>
      <w:r w:rsidRPr="00ED7A7B">
        <w:rPr>
          <w:i/>
        </w:rPr>
        <w:t>NTRK</w:t>
      </w:r>
      <w:r>
        <w:t xml:space="preserve"> = </w:t>
      </w:r>
      <w:r w:rsidRPr="00AF4E1F">
        <w:t>neurotrophic tropomyosin receptor kinase</w:t>
      </w:r>
      <w:r>
        <w:t>; PFS = progression-free survival; SoC = standard of care; STS = soft tissue sarcoma; ToT = time on treatment.</w:t>
      </w:r>
    </w:p>
    <w:p w:rsidR="00F1737B" w:rsidRPr="00F93434" w:rsidRDefault="00F1737B" w:rsidP="00ED1978">
      <w:pPr>
        <w:pStyle w:val="ListParagraph"/>
      </w:pPr>
      <w:r w:rsidRPr="00F93434">
        <w:t xml:space="preserve">The results of the economic evaluation </w:t>
      </w:r>
      <w:r>
        <w:t>are</w:t>
      </w:r>
      <w:r w:rsidRPr="00F93434">
        <w:t xml:space="preserve"> presented for the following tumour type groups:</w:t>
      </w:r>
    </w:p>
    <w:p w:rsidR="00F1737B" w:rsidRPr="00F93434" w:rsidRDefault="00F1737B" w:rsidP="00D117CD">
      <w:pPr>
        <w:pStyle w:val="ListParagraph"/>
        <w:numPr>
          <w:ilvl w:val="0"/>
          <w:numId w:val="26"/>
        </w:numPr>
        <w:ind w:left="1077" w:hanging="357"/>
      </w:pPr>
      <w:r w:rsidRPr="00F93434">
        <w:t xml:space="preserve">Adult high </w:t>
      </w:r>
      <w:r w:rsidRPr="00F93434">
        <w:rPr>
          <w:i/>
        </w:rPr>
        <w:t>NTRK</w:t>
      </w:r>
      <w:r w:rsidRPr="00F93434">
        <w:t xml:space="preserve"> frequency and all paediatric patients;</w:t>
      </w:r>
    </w:p>
    <w:p w:rsidR="00F1737B" w:rsidRPr="00F93434" w:rsidRDefault="00F1737B" w:rsidP="00D117CD">
      <w:pPr>
        <w:pStyle w:val="ListParagraph"/>
        <w:numPr>
          <w:ilvl w:val="0"/>
          <w:numId w:val="26"/>
        </w:numPr>
        <w:ind w:left="1077" w:hanging="357"/>
      </w:pPr>
      <w:r w:rsidRPr="00F93434">
        <w:t xml:space="preserve">Specified adult low frequency </w:t>
      </w:r>
      <w:r w:rsidRPr="00F93434">
        <w:rPr>
          <w:i/>
        </w:rPr>
        <w:t>NTRK</w:t>
      </w:r>
      <w:r w:rsidRPr="00F93434">
        <w:t xml:space="preserve"> tumour types combined; and the</w:t>
      </w:r>
    </w:p>
    <w:p w:rsidR="00F1737B" w:rsidRPr="00F93434" w:rsidRDefault="00F1737B" w:rsidP="00D117CD">
      <w:pPr>
        <w:pStyle w:val="ListParagraph"/>
        <w:numPr>
          <w:ilvl w:val="0"/>
          <w:numId w:val="27"/>
        </w:numPr>
        <w:ind w:left="1077" w:hanging="357"/>
      </w:pPr>
      <w:r w:rsidRPr="00F93434">
        <w:t>Overall population proposed for larotrectinib treatment.</w:t>
      </w:r>
    </w:p>
    <w:p w:rsidR="00F1737B" w:rsidRPr="002F1D01" w:rsidRDefault="00F1737B" w:rsidP="00F1737B">
      <w:pPr>
        <w:pStyle w:val="ListParagraph"/>
      </w:pPr>
      <w:r w:rsidRPr="00F93434">
        <w:t>The results of the economic evaluation for th</w:t>
      </w:r>
      <w:r>
        <w:t>e</w:t>
      </w:r>
      <w:r w:rsidRPr="00F93434">
        <w:t xml:space="preserve"> </w:t>
      </w:r>
      <w:bookmarkStart w:id="85" w:name="OLE_LINK17"/>
      <w:bookmarkStart w:id="86" w:name="OLE_LINK18"/>
      <w:r w:rsidRPr="00F93434">
        <w:t>group</w:t>
      </w:r>
      <w:r>
        <w:t xml:space="preserve"> of adult </w:t>
      </w:r>
      <w:r w:rsidRPr="00F93434">
        <w:t xml:space="preserve">high </w:t>
      </w:r>
      <w:r w:rsidRPr="00F93434">
        <w:rPr>
          <w:i/>
        </w:rPr>
        <w:t>NTRK</w:t>
      </w:r>
      <w:r w:rsidRPr="00F93434">
        <w:t xml:space="preserve"> </w:t>
      </w:r>
      <w:r w:rsidRPr="000A3110">
        <w:t>frequency and all paediatric tumour types combined</w:t>
      </w:r>
      <w:bookmarkEnd w:id="85"/>
      <w:bookmarkEnd w:id="86"/>
      <w:r w:rsidRPr="000A3110">
        <w:t xml:space="preserve"> is presented in </w:t>
      </w:r>
      <w:r w:rsidR="00796D25" w:rsidRPr="000A3110">
        <w:t>Table</w:t>
      </w:r>
      <w:r w:rsidR="00D944C2">
        <w:t xml:space="preserve"> </w:t>
      </w:r>
      <w:r w:rsidR="00796D25" w:rsidRPr="000A3110">
        <w:rPr>
          <w:noProof/>
        </w:rPr>
        <w:t>23</w:t>
      </w:r>
      <w:r w:rsidRPr="000A3110">
        <w:t>. The resubmission’s base case analysis was based on the overall pooled larotrectinib data set, and so</w:t>
      </w:r>
      <w:r w:rsidR="002706FB" w:rsidRPr="000A3110">
        <w:t xml:space="preserve"> also</w:t>
      </w:r>
      <w:r w:rsidRPr="000A3110">
        <w:t xml:space="preserve"> included adults with low </w:t>
      </w:r>
      <w:r w:rsidRPr="000A3110">
        <w:rPr>
          <w:i/>
          <w:iCs/>
        </w:rPr>
        <w:t xml:space="preserve">NTRK </w:t>
      </w:r>
      <w:r w:rsidRPr="000A3110">
        <w:t>frequency tumour types. Analyses based on the tumour types subgroup analyses</w:t>
      </w:r>
      <w:r w:rsidR="00D31DDC" w:rsidRPr="000A3110">
        <w:t xml:space="preserve"> (i.e. only those tumour types that are relevant or representative of the proposed population)</w:t>
      </w:r>
      <w:r w:rsidRPr="000A3110">
        <w:t>, weighted firstly as per the larotrectinib studies, and then as expected in practice</w:t>
      </w:r>
      <w:r w:rsidR="00B408E4">
        <w:t xml:space="preserve"> </w:t>
      </w:r>
      <w:r w:rsidR="00B408E4" w:rsidRPr="005A5E2E">
        <w:rPr>
          <w:iCs/>
        </w:rPr>
        <w:t>are</w:t>
      </w:r>
      <w:r w:rsidR="00B408E4" w:rsidRPr="002F1D01">
        <w:t xml:space="preserve"> </w:t>
      </w:r>
      <w:r w:rsidR="00B408E4" w:rsidRPr="005A5E2E">
        <w:rPr>
          <w:iCs/>
        </w:rPr>
        <w:t>also presented</w:t>
      </w:r>
      <w:r w:rsidRPr="002F1D01">
        <w:t>.</w:t>
      </w:r>
    </w:p>
    <w:p w:rsidR="00F1737B" w:rsidRDefault="00F1737B" w:rsidP="00F1737B">
      <w:pPr>
        <w:pStyle w:val="Caption"/>
      </w:pPr>
      <w:bookmarkStart w:id="87" w:name="_Ref79167589"/>
      <w:r>
        <w:t>Table</w:t>
      </w:r>
      <w:r w:rsidR="00D944C2">
        <w:t xml:space="preserve"> </w:t>
      </w:r>
      <w:r w:rsidR="00BB3DD1">
        <w:rPr>
          <w:noProof/>
        </w:rPr>
        <w:t>23</w:t>
      </w:r>
      <w:bookmarkEnd w:id="87"/>
      <w:r w:rsidR="00D944C2">
        <w:rPr>
          <w:noProof/>
        </w:rPr>
        <w:t>:</w:t>
      </w:r>
      <w:r w:rsidR="00D117CD">
        <w:rPr>
          <w:noProof/>
        </w:rPr>
        <w:t xml:space="preserve"> </w:t>
      </w:r>
      <w:r w:rsidR="00B01CD6">
        <w:t>Results of the economic evaluation, a</w:t>
      </w:r>
      <w:r w:rsidR="00B01CD6" w:rsidRPr="002A05A4">
        <w:t xml:space="preserve">dult high </w:t>
      </w:r>
      <w:r w:rsidR="00B01CD6" w:rsidRPr="00F93434">
        <w:rPr>
          <w:i/>
        </w:rPr>
        <w:t>NTRK</w:t>
      </w:r>
      <w:r w:rsidR="00B01CD6" w:rsidRPr="002A05A4">
        <w:t xml:space="preserve"> frequency and all paediatric patients</w:t>
      </w:r>
      <w:r w:rsidR="00B01CD6">
        <w:t xml:space="preserve"> combined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63"/>
        <w:gridCol w:w="2552"/>
        <w:gridCol w:w="1277"/>
        <w:gridCol w:w="1224"/>
      </w:tblGrid>
      <w:tr w:rsidR="0032564C" w:rsidRPr="00495E72" w:rsidTr="009A0E22">
        <w:trPr>
          <w:tblHeader/>
        </w:trPr>
        <w:tc>
          <w:tcPr>
            <w:tcW w:w="2198" w:type="pct"/>
            <w:tcBorders>
              <w:bottom w:val="single" w:sz="4" w:space="0" w:color="auto"/>
            </w:tcBorders>
            <w:vAlign w:val="bottom"/>
          </w:tcPr>
          <w:p w:rsidR="00F1737B" w:rsidRPr="00495E72" w:rsidRDefault="00F1737B" w:rsidP="00CB375A">
            <w:pPr>
              <w:pStyle w:val="TableText"/>
              <w:rPr>
                <w:b/>
              </w:rPr>
            </w:pPr>
          </w:p>
        </w:tc>
        <w:tc>
          <w:tcPr>
            <w:tcW w:w="1415" w:type="pct"/>
            <w:tcBorders>
              <w:bottom w:val="single" w:sz="4" w:space="0" w:color="auto"/>
            </w:tcBorders>
            <w:vAlign w:val="bottom"/>
          </w:tcPr>
          <w:p w:rsidR="00F1737B" w:rsidRPr="00D31DDC" w:rsidRDefault="00F1737B" w:rsidP="00CB375A">
            <w:pPr>
              <w:pStyle w:val="TableText"/>
              <w:jc w:val="center"/>
            </w:pPr>
            <w:r>
              <w:rPr>
                <w:b/>
                <w:i/>
              </w:rPr>
              <w:t>NTRK</w:t>
            </w:r>
            <w:r>
              <w:rPr>
                <w:b/>
              </w:rPr>
              <w:t xml:space="preserve"> testing + larotrectinib</w:t>
            </w:r>
            <w:r w:rsidR="00D31DDC">
              <w:rPr>
                <w:b/>
              </w:rPr>
              <w:t xml:space="preserve"> </w:t>
            </w:r>
            <w:r w:rsidR="00D31DDC" w:rsidRPr="00365FEB">
              <w:rPr>
                <w:b/>
              </w:rPr>
              <w:t xml:space="preserve">in </w:t>
            </w:r>
            <w:r w:rsidR="00D31DDC" w:rsidRPr="00365FEB">
              <w:rPr>
                <w:b/>
                <w:i/>
              </w:rPr>
              <w:t xml:space="preserve">NTRK+ </w:t>
            </w:r>
            <w:r w:rsidR="00D31DDC" w:rsidRPr="00365FEB">
              <w:rPr>
                <w:b/>
              </w:rPr>
              <w:t xml:space="preserve">and SoC in </w:t>
            </w:r>
            <w:r w:rsidR="00D31DDC" w:rsidRPr="00365FEB">
              <w:rPr>
                <w:b/>
                <w:i/>
              </w:rPr>
              <w:t>NTRK−</w:t>
            </w:r>
          </w:p>
        </w:tc>
        <w:tc>
          <w:tcPr>
            <w:tcW w:w="708" w:type="pct"/>
            <w:tcBorders>
              <w:bottom w:val="single" w:sz="4" w:space="0" w:color="auto"/>
            </w:tcBorders>
            <w:vAlign w:val="bottom"/>
          </w:tcPr>
          <w:p w:rsidR="00F1737B" w:rsidRPr="00495E72" w:rsidRDefault="00F1737B" w:rsidP="00CB375A">
            <w:pPr>
              <w:pStyle w:val="TableText"/>
              <w:jc w:val="center"/>
              <w:rPr>
                <w:b/>
              </w:rPr>
            </w:pPr>
            <w:r>
              <w:rPr>
                <w:b/>
              </w:rPr>
              <w:t>No testing +</w:t>
            </w:r>
            <w:r w:rsidR="009A0E22">
              <w:rPr>
                <w:b/>
              </w:rPr>
              <w:t xml:space="preserve"> </w:t>
            </w:r>
            <w:r w:rsidRPr="00495E72">
              <w:rPr>
                <w:b/>
              </w:rPr>
              <w:t>SoC</w:t>
            </w:r>
          </w:p>
        </w:tc>
        <w:tc>
          <w:tcPr>
            <w:tcW w:w="679" w:type="pct"/>
            <w:tcBorders>
              <w:bottom w:val="single" w:sz="4" w:space="0" w:color="auto"/>
            </w:tcBorders>
            <w:vAlign w:val="bottom"/>
          </w:tcPr>
          <w:p w:rsidR="00F1737B" w:rsidRPr="00495E72" w:rsidRDefault="00F1737B" w:rsidP="00CB375A">
            <w:pPr>
              <w:pStyle w:val="TableText"/>
              <w:jc w:val="center"/>
              <w:rPr>
                <w:b/>
              </w:rPr>
            </w:pPr>
            <w:r w:rsidRPr="00495E72">
              <w:rPr>
                <w:b/>
              </w:rPr>
              <w:t>Increment</w:t>
            </w:r>
          </w:p>
        </w:tc>
      </w:tr>
      <w:tr w:rsidR="00F1737B" w:rsidRPr="00495E72" w:rsidTr="00CB375A">
        <w:tc>
          <w:tcPr>
            <w:tcW w:w="5000" w:type="pct"/>
            <w:gridSpan w:val="4"/>
            <w:tcBorders>
              <w:bottom w:val="single" w:sz="4" w:space="0" w:color="auto"/>
            </w:tcBorders>
          </w:tcPr>
          <w:p w:rsidR="00F1737B" w:rsidRPr="001E5EA9" w:rsidRDefault="00F1737B" w:rsidP="00EB7A2B">
            <w:pPr>
              <w:pStyle w:val="TableText"/>
              <w:keepNext/>
              <w:spacing w:line="257" w:lineRule="auto"/>
            </w:pPr>
            <w:r>
              <w:rPr>
                <w:b/>
              </w:rPr>
              <w:t>Resubmission base case (</w:t>
            </w:r>
            <w:r w:rsidR="00EB7A2B">
              <w:rPr>
                <w:b/>
              </w:rPr>
              <w:t xml:space="preserve">larotrectinib data based on the </w:t>
            </w:r>
            <w:r>
              <w:rPr>
                <w:b/>
              </w:rPr>
              <w:t xml:space="preserve">overall pooled </w:t>
            </w:r>
            <w:r w:rsidR="00EB7A2B">
              <w:rPr>
                <w:b/>
              </w:rPr>
              <w:t>analysis set</w:t>
            </w:r>
            <w:r>
              <w:rPr>
                <w:b/>
              </w:rPr>
              <w:t>)</w:t>
            </w:r>
          </w:p>
        </w:tc>
      </w:tr>
      <w:tr w:rsidR="0032564C" w:rsidRPr="00962538" w:rsidTr="009A0E22">
        <w:tc>
          <w:tcPr>
            <w:tcW w:w="2198" w:type="pct"/>
            <w:tcBorders>
              <w:bottom w:val="nil"/>
            </w:tcBorders>
          </w:tcPr>
          <w:p w:rsidR="00F1737B" w:rsidRPr="00962538" w:rsidRDefault="00F1737B" w:rsidP="00CB375A">
            <w:pPr>
              <w:pStyle w:val="TableText"/>
              <w:keepNext/>
              <w:spacing w:line="257" w:lineRule="auto"/>
            </w:pPr>
            <w:r>
              <w:t>C</w:t>
            </w:r>
            <w:r w:rsidRPr="000A5E6B">
              <w:t>ost</w:t>
            </w:r>
            <w:r w:rsidR="00577A6F">
              <w:t xml:space="preserve"> ($)</w:t>
            </w:r>
          </w:p>
        </w:tc>
        <w:tc>
          <w:tcPr>
            <w:tcW w:w="1415" w:type="pct"/>
            <w:tcBorders>
              <w:bottom w:val="nil"/>
            </w:tcBorders>
          </w:tcPr>
          <w:p w:rsidR="00F1737B" w:rsidRPr="00675CB4" w:rsidRDefault="00675CB4" w:rsidP="00CB375A">
            <w:pPr>
              <w:pStyle w:val="TableText"/>
              <w:keepNext/>
              <w:spacing w:line="257" w:lineRule="auto"/>
              <w:jc w:val="right"/>
              <w:rPr>
                <w:rFonts w:ascii="Times" w:eastAsia="Times New Roman" w:hAnsi="Times" w:cs="Times New Roman"/>
                <w:highlight w:val="black"/>
              </w:rPr>
            </w:pPr>
            <w:r>
              <w:rPr>
                <w:noProof/>
                <w:color w:val="000000"/>
                <w:highlight w:val="black"/>
              </w:rPr>
              <w:t>''''''''''''''''''''''''</w:t>
            </w:r>
          </w:p>
        </w:tc>
        <w:tc>
          <w:tcPr>
            <w:tcW w:w="708" w:type="pct"/>
            <w:tcBorders>
              <w:bottom w:val="nil"/>
            </w:tcBorders>
          </w:tcPr>
          <w:p w:rsidR="00F1737B" w:rsidRPr="00962538" w:rsidRDefault="00F1737B" w:rsidP="00CB375A">
            <w:pPr>
              <w:pStyle w:val="TableText"/>
              <w:keepNext/>
              <w:spacing w:line="257" w:lineRule="auto"/>
              <w:jc w:val="right"/>
              <w:rPr>
                <w:rFonts w:ascii="Times" w:eastAsia="Times New Roman" w:hAnsi="Times" w:cs="Times New Roman"/>
              </w:rPr>
            </w:pPr>
            <w:r w:rsidRPr="00836E18">
              <w:t>$71,686</w:t>
            </w:r>
          </w:p>
        </w:tc>
        <w:tc>
          <w:tcPr>
            <w:tcW w:w="679" w:type="pct"/>
            <w:tcBorders>
              <w:bottom w:val="nil"/>
            </w:tcBorders>
          </w:tcPr>
          <w:p w:rsidR="00F1737B" w:rsidRPr="00675CB4" w:rsidRDefault="00675CB4" w:rsidP="00CB375A">
            <w:pPr>
              <w:pStyle w:val="TableText"/>
              <w:keepNext/>
              <w:spacing w:line="257" w:lineRule="auto"/>
              <w:jc w:val="right"/>
              <w:rPr>
                <w:rFonts w:ascii="Times" w:eastAsia="Times New Roman" w:hAnsi="Times" w:cs="Times New Roman"/>
                <w:highlight w:val="black"/>
              </w:rPr>
            </w:pPr>
            <w:r>
              <w:rPr>
                <w:noProof/>
                <w:color w:val="000000"/>
                <w:highlight w:val="black"/>
              </w:rPr>
              <w:t>'''''''''''''''''''</w:t>
            </w:r>
          </w:p>
        </w:tc>
      </w:tr>
      <w:tr w:rsidR="0032564C" w:rsidRPr="00962538" w:rsidTr="009A0E22">
        <w:tc>
          <w:tcPr>
            <w:tcW w:w="2198" w:type="pct"/>
            <w:tcBorders>
              <w:bottom w:val="single" w:sz="4" w:space="0" w:color="auto"/>
            </w:tcBorders>
          </w:tcPr>
          <w:p w:rsidR="00F1737B" w:rsidRPr="00053DB1" w:rsidRDefault="00F1737B">
            <w:pPr>
              <w:pStyle w:val="TableText"/>
              <w:keepNext/>
              <w:spacing w:line="257" w:lineRule="auto"/>
              <w:rPr>
                <w:rFonts w:ascii="Times" w:eastAsia="Times New Roman" w:hAnsi="Times" w:cs="Times New Roman"/>
                <w:vertAlign w:val="superscript"/>
              </w:rPr>
            </w:pPr>
            <w:r>
              <w:t>QALY gained</w:t>
            </w:r>
          </w:p>
        </w:tc>
        <w:tc>
          <w:tcPr>
            <w:tcW w:w="1415" w:type="pct"/>
            <w:tcBorders>
              <w:bottom w:val="single" w:sz="4" w:space="0" w:color="auto"/>
            </w:tcBorders>
          </w:tcPr>
          <w:p w:rsidR="00F1737B" w:rsidRPr="00962538" w:rsidRDefault="00F1737B" w:rsidP="00CB375A">
            <w:pPr>
              <w:pStyle w:val="TableText"/>
              <w:keepNext/>
              <w:spacing w:line="257" w:lineRule="auto"/>
              <w:jc w:val="right"/>
            </w:pPr>
            <w:r w:rsidRPr="00836E18">
              <w:t>3.455</w:t>
            </w:r>
          </w:p>
        </w:tc>
        <w:tc>
          <w:tcPr>
            <w:tcW w:w="708" w:type="pct"/>
            <w:tcBorders>
              <w:bottom w:val="single" w:sz="4" w:space="0" w:color="auto"/>
            </w:tcBorders>
          </w:tcPr>
          <w:p w:rsidR="00F1737B" w:rsidRPr="00962538" w:rsidRDefault="00F1737B" w:rsidP="00CB375A">
            <w:pPr>
              <w:pStyle w:val="TableText"/>
              <w:keepNext/>
              <w:spacing w:line="257" w:lineRule="auto"/>
              <w:jc w:val="right"/>
            </w:pPr>
            <w:r w:rsidRPr="00836E18">
              <w:t>2.383</w:t>
            </w:r>
          </w:p>
        </w:tc>
        <w:tc>
          <w:tcPr>
            <w:tcW w:w="679" w:type="pct"/>
            <w:tcBorders>
              <w:bottom w:val="single" w:sz="4" w:space="0" w:color="auto"/>
            </w:tcBorders>
          </w:tcPr>
          <w:p w:rsidR="00F1737B" w:rsidRPr="00962538" w:rsidRDefault="00F1737B" w:rsidP="00CB375A">
            <w:pPr>
              <w:pStyle w:val="TableText"/>
              <w:keepNext/>
              <w:spacing w:line="257" w:lineRule="auto"/>
              <w:jc w:val="right"/>
            </w:pPr>
            <w:r w:rsidRPr="00836E18">
              <w:t>1.072</w:t>
            </w:r>
          </w:p>
        </w:tc>
      </w:tr>
      <w:tr w:rsidR="0032564C" w:rsidRPr="001E5EA9" w:rsidTr="009A0E22">
        <w:tc>
          <w:tcPr>
            <w:tcW w:w="2198" w:type="pct"/>
            <w:tcBorders>
              <w:bottom w:val="single" w:sz="4" w:space="0" w:color="auto"/>
              <w:right w:val="nil"/>
            </w:tcBorders>
          </w:tcPr>
          <w:p w:rsidR="00F1737B" w:rsidRPr="001E5EA9" w:rsidRDefault="00F1737B" w:rsidP="00CB375A">
            <w:pPr>
              <w:pStyle w:val="TableText"/>
              <w:rPr>
                <w:rFonts w:ascii="Times" w:eastAsia="Times New Roman" w:hAnsi="Times" w:cs="Times New Roman"/>
                <w:b/>
              </w:rPr>
            </w:pPr>
            <w:r w:rsidRPr="001E5EA9">
              <w:rPr>
                <w:b/>
              </w:rPr>
              <w:t>Incremental cost/extra QALY gained</w:t>
            </w:r>
          </w:p>
        </w:tc>
        <w:tc>
          <w:tcPr>
            <w:tcW w:w="1415" w:type="pct"/>
            <w:tcBorders>
              <w:left w:val="nil"/>
              <w:bottom w:val="single" w:sz="4" w:space="0" w:color="auto"/>
              <w:right w:val="nil"/>
            </w:tcBorders>
          </w:tcPr>
          <w:p w:rsidR="00F1737B" w:rsidRPr="001E5EA9" w:rsidRDefault="00F1737B" w:rsidP="00CB375A">
            <w:pPr>
              <w:pStyle w:val="TableText"/>
              <w:jc w:val="right"/>
              <w:rPr>
                <w:rFonts w:ascii="Times" w:eastAsia="Times New Roman" w:hAnsi="Times" w:cs="Times New Roman"/>
                <w:b/>
              </w:rPr>
            </w:pPr>
          </w:p>
        </w:tc>
        <w:tc>
          <w:tcPr>
            <w:tcW w:w="708" w:type="pct"/>
            <w:tcBorders>
              <w:left w:val="nil"/>
              <w:bottom w:val="single" w:sz="4" w:space="0" w:color="auto"/>
            </w:tcBorders>
          </w:tcPr>
          <w:p w:rsidR="00F1737B" w:rsidRPr="001E5EA9" w:rsidRDefault="00F1737B" w:rsidP="00CB375A">
            <w:pPr>
              <w:pStyle w:val="TableText"/>
              <w:jc w:val="right"/>
              <w:rPr>
                <w:rFonts w:ascii="Times" w:eastAsia="Times New Roman" w:hAnsi="Times" w:cs="Times New Roman"/>
                <w:b/>
              </w:rPr>
            </w:pPr>
          </w:p>
        </w:tc>
        <w:tc>
          <w:tcPr>
            <w:tcW w:w="679" w:type="pct"/>
            <w:tcBorders>
              <w:bottom w:val="single" w:sz="4" w:space="0" w:color="auto"/>
            </w:tcBorders>
          </w:tcPr>
          <w:p w:rsidR="00F1737B" w:rsidRPr="001E5EA9" w:rsidRDefault="00675CB4" w:rsidP="00CB375A">
            <w:pPr>
              <w:pStyle w:val="TableText"/>
              <w:jc w:val="right"/>
              <w:rPr>
                <w:rFonts w:ascii="Times" w:eastAsia="Times New Roman" w:hAnsi="Times" w:cs="Times New Roman"/>
                <w:b/>
              </w:rPr>
            </w:pPr>
            <w:r>
              <w:rPr>
                <w:b/>
                <w:noProof/>
                <w:color w:val="000000"/>
                <w:highlight w:val="black"/>
              </w:rPr>
              <w:t>'''''''''''''''''</w:t>
            </w:r>
            <w:r w:rsidR="00577A6F">
              <w:rPr>
                <w:vertAlign w:val="superscript"/>
              </w:rPr>
              <w:t>1</w:t>
            </w:r>
          </w:p>
        </w:tc>
      </w:tr>
      <w:tr w:rsidR="00F1737B" w:rsidRPr="00B76D9F" w:rsidTr="00CB375A">
        <w:tc>
          <w:tcPr>
            <w:tcW w:w="5000" w:type="pct"/>
            <w:gridSpan w:val="4"/>
            <w:tcBorders>
              <w:bottom w:val="single" w:sz="4" w:space="0" w:color="auto"/>
            </w:tcBorders>
          </w:tcPr>
          <w:p w:rsidR="00F1737B" w:rsidRPr="00A605F7" w:rsidRDefault="00885A82" w:rsidP="00885A82">
            <w:pPr>
              <w:pStyle w:val="TableText"/>
              <w:keepNext/>
              <w:spacing w:line="257" w:lineRule="auto"/>
              <w:rPr>
                <w:iCs/>
                <w:vertAlign w:val="superscript"/>
              </w:rPr>
            </w:pPr>
            <w:r w:rsidRPr="00A605F7">
              <w:rPr>
                <w:b/>
                <w:iCs/>
              </w:rPr>
              <w:t>R</w:t>
            </w:r>
            <w:r w:rsidR="0075084E" w:rsidRPr="00A605F7">
              <w:rPr>
                <w:b/>
                <w:iCs/>
              </w:rPr>
              <w:t xml:space="preserve">elevant </w:t>
            </w:r>
            <w:r w:rsidR="000F388B" w:rsidRPr="00A605F7">
              <w:rPr>
                <w:b/>
                <w:iCs/>
              </w:rPr>
              <w:t>t</w:t>
            </w:r>
            <w:r w:rsidR="00F1737B" w:rsidRPr="00A605F7">
              <w:rPr>
                <w:b/>
                <w:iCs/>
              </w:rPr>
              <w:t>umour type subgroup analyses</w:t>
            </w:r>
            <w:r w:rsidR="00BC4380" w:rsidRPr="00A605F7">
              <w:rPr>
                <w:b/>
                <w:iCs/>
              </w:rPr>
              <w:t xml:space="preserve">, </w:t>
            </w:r>
            <w:r w:rsidRPr="00A605F7">
              <w:rPr>
                <w:b/>
                <w:iCs/>
              </w:rPr>
              <w:t xml:space="preserve">weighted </w:t>
            </w:r>
            <w:r w:rsidR="00F1737B" w:rsidRPr="00A605F7">
              <w:rPr>
                <w:b/>
                <w:iCs/>
              </w:rPr>
              <w:t>as per the</w:t>
            </w:r>
            <w:r w:rsidRPr="00A605F7">
              <w:rPr>
                <w:b/>
                <w:iCs/>
              </w:rPr>
              <w:t xml:space="preserve"> distribution in the</w:t>
            </w:r>
            <w:r w:rsidR="00F1737B" w:rsidRPr="00A605F7">
              <w:rPr>
                <w:b/>
                <w:iCs/>
              </w:rPr>
              <w:t xml:space="preserve"> larotrectinib studies</w:t>
            </w:r>
            <w:r w:rsidR="00000E89" w:rsidRPr="00A605F7">
              <w:rPr>
                <w:b/>
                <w:iCs/>
                <w:vertAlign w:val="superscript"/>
              </w:rPr>
              <w:t>#</w:t>
            </w:r>
          </w:p>
        </w:tc>
      </w:tr>
      <w:tr w:rsidR="0032564C" w:rsidRPr="0080663A" w:rsidTr="009A0E22">
        <w:tc>
          <w:tcPr>
            <w:tcW w:w="2198" w:type="pct"/>
            <w:tcBorders>
              <w:bottom w:val="nil"/>
            </w:tcBorders>
          </w:tcPr>
          <w:p w:rsidR="00F1737B" w:rsidRPr="00A605F7" w:rsidRDefault="00F1737B" w:rsidP="00CB375A">
            <w:pPr>
              <w:pStyle w:val="TableText"/>
              <w:keepNext/>
              <w:spacing w:line="257" w:lineRule="auto"/>
              <w:rPr>
                <w:iCs/>
              </w:rPr>
            </w:pPr>
            <w:r w:rsidRPr="00A605F7">
              <w:rPr>
                <w:iCs/>
              </w:rPr>
              <w:t>Cost</w:t>
            </w:r>
            <w:r w:rsidR="00577A6F">
              <w:rPr>
                <w:iCs/>
              </w:rPr>
              <w:t xml:space="preserve"> ($)</w:t>
            </w:r>
          </w:p>
        </w:tc>
        <w:tc>
          <w:tcPr>
            <w:tcW w:w="1415" w:type="pct"/>
            <w:tcBorders>
              <w:bottom w:val="nil"/>
            </w:tcBorders>
          </w:tcPr>
          <w:p w:rsidR="00F1737B" w:rsidRPr="00675CB4" w:rsidRDefault="00675CB4" w:rsidP="00CB375A">
            <w:pPr>
              <w:pStyle w:val="TableText"/>
              <w:keepNext/>
              <w:spacing w:line="257" w:lineRule="auto"/>
              <w:jc w:val="right"/>
              <w:rPr>
                <w:highlight w:val="black"/>
              </w:rPr>
            </w:pPr>
            <w:r>
              <w:rPr>
                <w:noProof/>
                <w:color w:val="000000"/>
                <w:highlight w:val="black"/>
              </w:rPr>
              <w:t>''''''''''''''''''''''''</w:t>
            </w:r>
          </w:p>
        </w:tc>
        <w:tc>
          <w:tcPr>
            <w:tcW w:w="708" w:type="pct"/>
            <w:tcBorders>
              <w:bottom w:val="nil"/>
            </w:tcBorders>
          </w:tcPr>
          <w:p w:rsidR="00F1737B" w:rsidRPr="00A605F7" w:rsidRDefault="00F1737B" w:rsidP="00CB375A">
            <w:pPr>
              <w:pStyle w:val="TableText"/>
              <w:keepNext/>
              <w:spacing w:line="257" w:lineRule="auto"/>
              <w:jc w:val="right"/>
              <w:rPr>
                <w:rFonts w:ascii="Times" w:eastAsia="Times New Roman" w:hAnsi="Times" w:cs="Times New Roman"/>
                <w:iCs/>
              </w:rPr>
            </w:pPr>
            <w:r w:rsidRPr="00A605F7">
              <w:rPr>
                <w:iCs/>
              </w:rPr>
              <w:t>$71,686</w:t>
            </w:r>
          </w:p>
        </w:tc>
        <w:tc>
          <w:tcPr>
            <w:tcW w:w="679" w:type="pct"/>
            <w:tcBorders>
              <w:bottom w:val="nil"/>
            </w:tcBorders>
          </w:tcPr>
          <w:p w:rsidR="00F1737B" w:rsidRPr="00675CB4" w:rsidRDefault="00675CB4" w:rsidP="00CB375A">
            <w:pPr>
              <w:pStyle w:val="TableText"/>
              <w:keepNext/>
              <w:spacing w:line="257" w:lineRule="auto"/>
              <w:jc w:val="right"/>
              <w:rPr>
                <w:highlight w:val="black"/>
              </w:rPr>
            </w:pPr>
            <w:r>
              <w:rPr>
                <w:noProof/>
                <w:color w:val="000000"/>
                <w:highlight w:val="black"/>
              </w:rPr>
              <w:t>''''''''''''''''''''''''</w:t>
            </w:r>
          </w:p>
        </w:tc>
      </w:tr>
      <w:tr w:rsidR="0032564C" w:rsidRPr="00B76D9F" w:rsidTr="009A0E22">
        <w:tc>
          <w:tcPr>
            <w:tcW w:w="2198" w:type="pct"/>
            <w:tcBorders>
              <w:bottom w:val="single" w:sz="4" w:space="0" w:color="auto"/>
            </w:tcBorders>
          </w:tcPr>
          <w:p w:rsidR="00F1737B" w:rsidRPr="00A605F7" w:rsidRDefault="00F1737B" w:rsidP="00CB375A">
            <w:pPr>
              <w:pStyle w:val="TableText"/>
              <w:keepNext/>
              <w:spacing w:line="257" w:lineRule="auto"/>
              <w:rPr>
                <w:rFonts w:ascii="Times" w:eastAsia="Times New Roman" w:hAnsi="Times" w:cs="Times New Roman"/>
                <w:iCs/>
              </w:rPr>
            </w:pPr>
            <w:r w:rsidRPr="00A605F7">
              <w:rPr>
                <w:iCs/>
              </w:rPr>
              <w:t>QALY gained</w:t>
            </w:r>
          </w:p>
        </w:tc>
        <w:tc>
          <w:tcPr>
            <w:tcW w:w="1415" w:type="pct"/>
            <w:tcBorders>
              <w:bottom w:val="single" w:sz="4" w:space="0" w:color="auto"/>
            </w:tcBorders>
          </w:tcPr>
          <w:p w:rsidR="00F1737B" w:rsidRPr="00A605F7" w:rsidRDefault="00F1737B" w:rsidP="00CB375A">
            <w:pPr>
              <w:pStyle w:val="TableText"/>
              <w:keepNext/>
              <w:spacing w:line="257" w:lineRule="auto"/>
              <w:jc w:val="right"/>
              <w:rPr>
                <w:iCs/>
              </w:rPr>
            </w:pPr>
            <w:r w:rsidRPr="00A605F7">
              <w:rPr>
                <w:iCs/>
              </w:rPr>
              <w:t>4.398</w:t>
            </w:r>
          </w:p>
        </w:tc>
        <w:tc>
          <w:tcPr>
            <w:tcW w:w="708" w:type="pct"/>
            <w:tcBorders>
              <w:bottom w:val="single" w:sz="4" w:space="0" w:color="auto"/>
            </w:tcBorders>
          </w:tcPr>
          <w:p w:rsidR="00F1737B" w:rsidRPr="00A605F7" w:rsidRDefault="00F1737B" w:rsidP="00CB375A">
            <w:pPr>
              <w:pStyle w:val="TableText"/>
              <w:keepNext/>
              <w:spacing w:line="257" w:lineRule="auto"/>
              <w:jc w:val="right"/>
              <w:rPr>
                <w:iCs/>
              </w:rPr>
            </w:pPr>
            <w:r w:rsidRPr="00A605F7">
              <w:rPr>
                <w:iCs/>
              </w:rPr>
              <w:t>2.383</w:t>
            </w:r>
          </w:p>
        </w:tc>
        <w:tc>
          <w:tcPr>
            <w:tcW w:w="679" w:type="pct"/>
            <w:tcBorders>
              <w:bottom w:val="single" w:sz="4" w:space="0" w:color="auto"/>
            </w:tcBorders>
          </w:tcPr>
          <w:p w:rsidR="00F1737B" w:rsidRPr="00A605F7" w:rsidRDefault="00F1737B" w:rsidP="00CB375A">
            <w:pPr>
              <w:pStyle w:val="TableText"/>
              <w:keepNext/>
              <w:spacing w:line="257" w:lineRule="auto"/>
              <w:jc w:val="right"/>
              <w:rPr>
                <w:iCs/>
              </w:rPr>
            </w:pPr>
            <w:r w:rsidRPr="00A605F7">
              <w:rPr>
                <w:iCs/>
              </w:rPr>
              <w:t>2.015</w:t>
            </w:r>
          </w:p>
        </w:tc>
      </w:tr>
      <w:tr w:rsidR="0032564C" w:rsidRPr="00B76D9F" w:rsidTr="009A0E22">
        <w:tc>
          <w:tcPr>
            <w:tcW w:w="2198" w:type="pct"/>
            <w:tcBorders>
              <w:bottom w:val="single" w:sz="4" w:space="0" w:color="auto"/>
              <w:right w:val="nil"/>
            </w:tcBorders>
          </w:tcPr>
          <w:p w:rsidR="00F1737B" w:rsidRPr="00A605F7" w:rsidRDefault="00F1737B" w:rsidP="00CB375A">
            <w:pPr>
              <w:pStyle w:val="TableText"/>
              <w:rPr>
                <w:rFonts w:ascii="Times" w:eastAsia="Times New Roman" w:hAnsi="Times" w:cs="Times New Roman"/>
                <w:b/>
                <w:iCs/>
              </w:rPr>
            </w:pPr>
            <w:r w:rsidRPr="00A605F7">
              <w:rPr>
                <w:b/>
                <w:iCs/>
              </w:rPr>
              <w:t>Incremental cost/extra QALY gained</w:t>
            </w:r>
          </w:p>
        </w:tc>
        <w:tc>
          <w:tcPr>
            <w:tcW w:w="1415" w:type="pct"/>
            <w:tcBorders>
              <w:left w:val="nil"/>
              <w:bottom w:val="single" w:sz="4" w:space="0" w:color="auto"/>
              <w:right w:val="nil"/>
            </w:tcBorders>
          </w:tcPr>
          <w:p w:rsidR="00F1737B" w:rsidRPr="00A605F7" w:rsidRDefault="00F1737B" w:rsidP="00CB375A">
            <w:pPr>
              <w:pStyle w:val="TableText"/>
              <w:jc w:val="right"/>
              <w:rPr>
                <w:rFonts w:ascii="Times" w:eastAsia="Times New Roman" w:hAnsi="Times" w:cs="Times New Roman"/>
                <w:b/>
                <w:iCs/>
              </w:rPr>
            </w:pPr>
          </w:p>
        </w:tc>
        <w:tc>
          <w:tcPr>
            <w:tcW w:w="708" w:type="pct"/>
            <w:tcBorders>
              <w:left w:val="nil"/>
              <w:bottom w:val="single" w:sz="4" w:space="0" w:color="auto"/>
            </w:tcBorders>
          </w:tcPr>
          <w:p w:rsidR="00F1737B" w:rsidRPr="00A605F7" w:rsidRDefault="00F1737B" w:rsidP="00CB375A">
            <w:pPr>
              <w:pStyle w:val="TableText"/>
              <w:jc w:val="right"/>
              <w:rPr>
                <w:rFonts w:ascii="Times" w:eastAsia="Times New Roman" w:hAnsi="Times" w:cs="Times New Roman"/>
                <w:b/>
                <w:iCs/>
              </w:rPr>
            </w:pPr>
          </w:p>
        </w:tc>
        <w:tc>
          <w:tcPr>
            <w:tcW w:w="679" w:type="pct"/>
            <w:tcBorders>
              <w:bottom w:val="single" w:sz="4" w:space="0" w:color="auto"/>
            </w:tcBorders>
          </w:tcPr>
          <w:p w:rsidR="00F1737B" w:rsidRPr="00A605F7" w:rsidRDefault="00675CB4" w:rsidP="00CB375A">
            <w:pPr>
              <w:pStyle w:val="TableText"/>
              <w:jc w:val="right"/>
              <w:rPr>
                <w:rFonts w:ascii="Times" w:eastAsia="Times New Roman" w:hAnsi="Times" w:cs="Times New Roman"/>
                <w:b/>
                <w:iCs/>
              </w:rPr>
            </w:pPr>
            <w:r>
              <w:rPr>
                <w:b/>
                <w:iCs/>
                <w:noProof/>
                <w:color w:val="000000"/>
                <w:highlight w:val="black"/>
              </w:rPr>
              <w:t>'''''''''''''''''</w:t>
            </w:r>
            <w:r w:rsidR="00577A6F">
              <w:rPr>
                <w:vertAlign w:val="superscript"/>
              </w:rPr>
              <w:t>1</w:t>
            </w:r>
          </w:p>
        </w:tc>
      </w:tr>
      <w:tr w:rsidR="00F1737B" w:rsidRPr="00B76D9F" w:rsidTr="00CB375A">
        <w:tc>
          <w:tcPr>
            <w:tcW w:w="5000" w:type="pct"/>
            <w:gridSpan w:val="4"/>
            <w:tcBorders>
              <w:bottom w:val="single" w:sz="4" w:space="0" w:color="auto"/>
            </w:tcBorders>
          </w:tcPr>
          <w:p w:rsidR="00F1737B" w:rsidRPr="00A605F7" w:rsidRDefault="00885A82" w:rsidP="00885A82">
            <w:pPr>
              <w:pStyle w:val="TableText"/>
              <w:keepNext/>
              <w:spacing w:line="257" w:lineRule="auto"/>
              <w:rPr>
                <w:b/>
                <w:iCs/>
              </w:rPr>
            </w:pPr>
            <w:r w:rsidRPr="00A605F7">
              <w:rPr>
                <w:b/>
                <w:iCs/>
              </w:rPr>
              <w:t>R</w:t>
            </w:r>
            <w:r w:rsidR="0075084E" w:rsidRPr="00A605F7">
              <w:rPr>
                <w:b/>
                <w:iCs/>
              </w:rPr>
              <w:t xml:space="preserve">elevant </w:t>
            </w:r>
            <w:r w:rsidR="000F388B" w:rsidRPr="00A605F7">
              <w:rPr>
                <w:b/>
                <w:iCs/>
              </w:rPr>
              <w:t>t</w:t>
            </w:r>
            <w:r w:rsidR="00F1737B" w:rsidRPr="00A605F7">
              <w:rPr>
                <w:b/>
                <w:iCs/>
              </w:rPr>
              <w:t>umour type subgroup analyses</w:t>
            </w:r>
            <w:r w:rsidR="00BC4380" w:rsidRPr="00A605F7">
              <w:rPr>
                <w:b/>
                <w:iCs/>
              </w:rPr>
              <w:t xml:space="preserve">, </w:t>
            </w:r>
            <w:r w:rsidRPr="00A605F7">
              <w:rPr>
                <w:b/>
                <w:iCs/>
              </w:rPr>
              <w:t xml:space="preserve">weighted </w:t>
            </w:r>
            <w:r w:rsidR="00F1737B" w:rsidRPr="00A605F7">
              <w:rPr>
                <w:b/>
                <w:iCs/>
              </w:rPr>
              <w:t>as per</w:t>
            </w:r>
            <w:r w:rsidRPr="00A605F7">
              <w:rPr>
                <w:b/>
                <w:iCs/>
              </w:rPr>
              <w:t xml:space="preserve"> the distribution in</w:t>
            </w:r>
            <w:r w:rsidR="00F1737B" w:rsidRPr="00A605F7">
              <w:rPr>
                <w:b/>
                <w:iCs/>
              </w:rPr>
              <w:t xml:space="preserve"> Australian clinical practice</w:t>
            </w:r>
            <w:r w:rsidR="00000E89" w:rsidRPr="00A605F7">
              <w:rPr>
                <w:b/>
                <w:iCs/>
                <w:vertAlign w:val="superscript"/>
              </w:rPr>
              <w:t>#</w:t>
            </w:r>
          </w:p>
        </w:tc>
      </w:tr>
      <w:tr w:rsidR="0032564C" w:rsidRPr="0080663A" w:rsidTr="009A0E22">
        <w:tc>
          <w:tcPr>
            <w:tcW w:w="2198" w:type="pct"/>
            <w:tcBorders>
              <w:bottom w:val="nil"/>
            </w:tcBorders>
          </w:tcPr>
          <w:p w:rsidR="00F1737B" w:rsidRPr="00A605F7" w:rsidRDefault="00F1737B" w:rsidP="00CB375A">
            <w:pPr>
              <w:pStyle w:val="TableText"/>
              <w:keepNext/>
              <w:spacing w:line="257" w:lineRule="auto"/>
              <w:rPr>
                <w:iCs/>
              </w:rPr>
            </w:pPr>
            <w:r w:rsidRPr="00A605F7">
              <w:rPr>
                <w:iCs/>
              </w:rPr>
              <w:t>Cost</w:t>
            </w:r>
            <w:r w:rsidR="00577A6F">
              <w:rPr>
                <w:iCs/>
              </w:rPr>
              <w:t xml:space="preserve"> ($)</w:t>
            </w:r>
          </w:p>
        </w:tc>
        <w:tc>
          <w:tcPr>
            <w:tcW w:w="1415" w:type="pct"/>
            <w:tcBorders>
              <w:bottom w:val="nil"/>
            </w:tcBorders>
          </w:tcPr>
          <w:p w:rsidR="00F1737B" w:rsidRPr="00675CB4" w:rsidRDefault="00675CB4" w:rsidP="00CB375A">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c>
          <w:tcPr>
            <w:tcW w:w="708" w:type="pct"/>
            <w:tcBorders>
              <w:bottom w:val="nil"/>
            </w:tcBorders>
          </w:tcPr>
          <w:p w:rsidR="00F1737B" w:rsidRPr="00A605F7" w:rsidRDefault="00F1737B" w:rsidP="00CB375A">
            <w:pPr>
              <w:pStyle w:val="TableText"/>
              <w:keepNext/>
              <w:spacing w:line="257" w:lineRule="auto"/>
              <w:jc w:val="right"/>
              <w:rPr>
                <w:rFonts w:ascii="Times" w:eastAsia="Times New Roman" w:hAnsi="Times" w:cs="Times New Roman"/>
                <w:iCs/>
              </w:rPr>
            </w:pPr>
            <w:r w:rsidRPr="00A605F7">
              <w:rPr>
                <w:iCs/>
              </w:rPr>
              <w:t>$71,559</w:t>
            </w:r>
          </w:p>
        </w:tc>
        <w:tc>
          <w:tcPr>
            <w:tcW w:w="679" w:type="pct"/>
            <w:tcBorders>
              <w:bottom w:val="nil"/>
            </w:tcBorders>
          </w:tcPr>
          <w:p w:rsidR="00F1737B" w:rsidRPr="00675CB4" w:rsidRDefault="00675CB4" w:rsidP="00CB375A">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r>
      <w:tr w:rsidR="0032564C" w:rsidRPr="00B76D9F" w:rsidTr="009A0E22">
        <w:tc>
          <w:tcPr>
            <w:tcW w:w="2198" w:type="pct"/>
            <w:tcBorders>
              <w:bottom w:val="single" w:sz="4" w:space="0" w:color="auto"/>
            </w:tcBorders>
          </w:tcPr>
          <w:p w:rsidR="00F1737B" w:rsidRPr="00A605F7" w:rsidRDefault="00F1737B" w:rsidP="00CB375A">
            <w:pPr>
              <w:pStyle w:val="TableText"/>
              <w:keepNext/>
              <w:spacing w:line="257" w:lineRule="auto"/>
              <w:rPr>
                <w:rFonts w:ascii="Times" w:eastAsia="Times New Roman" w:hAnsi="Times" w:cs="Times New Roman"/>
                <w:iCs/>
              </w:rPr>
            </w:pPr>
            <w:r w:rsidRPr="00A605F7">
              <w:rPr>
                <w:iCs/>
              </w:rPr>
              <w:t>QALY gained</w:t>
            </w:r>
          </w:p>
        </w:tc>
        <w:tc>
          <w:tcPr>
            <w:tcW w:w="1415" w:type="pct"/>
            <w:tcBorders>
              <w:bottom w:val="single" w:sz="4" w:space="0" w:color="auto"/>
            </w:tcBorders>
          </w:tcPr>
          <w:p w:rsidR="00F1737B" w:rsidRPr="00A605F7" w:rsidRDefault="00F1737B" w:rsidP="00CB375A">
            <w:pPr>
              <w:pStyle w:val="TableText"/>
              <w:keepNext/>
              <w:spacing w:line="257" w:lineRule="auto"/>
              <w:jc w:val="right"/>
              <w:rPr>
                <w:iCs/>
              </w:rPr>
            </w:pPr>
            <w:r w:rsidRPr="00A605F7">
              <w:rPr>
                <w:iCs/>
              </w:rPr>
              <w:t>5.072</w:t>
            </w:r>
          </w:p>
        </w:tc>
        <w:tc>
          <w:tcPr>
            <w:tcW w:w="708" w:type="pct"/>
            <w:tcBorders>
              <w:bottom w:val="single" w:sz="4" w:space="0" w:color="auto"/>
            </w:tcBorders>
          </w:tcPr>
          <w:p w:rsidR="00F1737B" w:rsidRPr="00A605F7" w:rsidRDefault="00F1737B" w:rsidP="00CB375A">
            <w:pPr>
              <w:pStyle w:val="TableText"/>
              <w:keepNext/>
              <w:spacing w:line="257" w:lineRule="auto"/>
              <w:jc w:val="right"/>
              <w:rPr>
                <w:iCs/>
              </w:rPr>
            </w:pPr>
            <w:r w:rsidRPr="00A605F7">
              <w:rPr>
                <w:iCs/>
              </w:rPr>
              <w:t>2.058</w:t>
            </w:r>
          </w:p>
        </w:tc>
        <w:tc>
          <w:tcPr>
            <w:tcW w:w="679" w:type="pct"/>
            <w:tcBorders>
              <w:bottom w:val="single" w:sz="4" w:space="0" w:color="auto"/>
            </w:tcBorders>
          </w:tcPr>
          <w:p w:rsidR="00F1737B" w:rsidRPr="00A605F7" w:rsidRDefault="00F1737B" w:rsidP="00CB375A">
            <w:pPr>
              <w:pStyle w:val="TableText"/>
              <w:keepNext/>
              <w:spacing w:line="257" w:lineRule="auto"/>
              <w:jc w:val="right"/>
              <w:rPr>
                <w:iCs/>
              </w:rPr>
            </w:pPr>
            <w:r w:rsidRPr="00A605F7">
              <w:rPr>
                <w:iCs/>
              </w:rPr>
              <w:t>3.014</w:t>
            </w:r>
          </w:p>
        </w:tc>
      </w:tr>
      <w:tr w:rsidR="0032564C" w:rsidRPr="0080663A" w:rsidTr="009A0E22">
        <w:tc>
          <w:tcPr>
            <w:tcW w:w="2198" w:type="pct"/>
            <w:tcBorders>
              <w:bottom w:val="single" w:sz="4" w:space="0" w:color="auto"/>
              <w:right w:val="nil"/>
            </w:tcBorders>
          </w:tcPr>
          <w:p w:rsidR="00F1737B" w:rsidRPr="00A605F7" w:rsidRDefault="00F1737B" w:rsidP="00CB375A">
            <w:pPr>
              <w:pStyle w:val="TableText"/>
              <w:rPr>
                <w:rFonts w:ascii="Times" w:eastAsia="Times New Roman" w:hAnsi="Times" w:cs="Times New Roman"/>
                <w:b/>
                <w:iCs/>
              </w:rPr>
            </w:pPr>
            <w:r w:rsidRPr="00A605F7">
              <w:rPr>
                <w:b/>
                <w:iCs/>
              </w:rPr>
              <w:t>Incremental cost/extra QALY gained</w:t>
            </w:r>
          </w:p>
        </w:tc>
        <w:tc>
          <w:tcPr>
            <w:tcW w:w="1415" w:type="pct"/>
            <w:tcBorders>
              <w:left w:val="nil"/>
              <w:bottom w:val="single" w:sz="4" w:space="0" w:color="auto"/>
              <w:right w:val="nil"/>
            </w:tcBorders>
          </w:tcPr>
          <w:p w:rsidR="00F1737B" w:rsidRPr="00A605F7" w:rsidRDefault="00F1737B" w:rsidP="00CB375A">
            <w:pPr>
              <w:pStyle w:val="TableText"/>
              <w:jc w:val="right"/>
              <w:rPr>
                <w:rFonts w:ascii="Times" w:eastAsia="Times New Roman" w:hAnsi="Times" w:cs="Times New Roman"/>
                <w:b/>
                <w:iCs/>
              </w:rPr>
            </w:pPr>
          </w:p>
        </w:tc>
        <w:tc>
          <w:tcPr>
            <w:tcW w:w="708" w:type="pct"/>
            <w:tcBorders>
              <w:left w:val="nil"/>
              <w:bottom w:val="single" w:sz="4" w:space="0" w:color="auto"/>
            </w:tcBorders>
          </w:tcPr>
          <w:p w:rsidR="00F1737B" w:rsidRPr="00A605F7" w:rsidRDefault="00F1737B" w:rsidP="00CB375A">
            <w:pPr>
              <w:pStyle w:val="TableText"/>
              <w:jc w:val="right"/>
              <w:rPr>
                <w:rFonts w:ascii="Times" w:eastAsia="Times New Roman" w:hAnsi="Times" w:cs="Times New Roman"/>
                <w:b/>
                <w:iCs/>
              </w:rPr>
            </w:pPr>
          </w:p>
        </w:tc>
        <w:tc>
          <w:tcPr>
            <w:tcW w:w="679" w:type="pct"/>
            <w:tcBorders>
              <w:bottom w:val="single" w:sz="4" w:space="0" w:color="auto"/>
            </w:tcBorders>
          </w:tcPr>
          <w:p w:rsidR="00F1737B" w:rsidRPr="00675CB4" w:rsidRDefault="00675CB4" w:rsidP="00CB375A">
            <w:pPr>
              <w:pStyle w:val="TableText"/>
              <w:jc w:val="right"/>
              <w:rPr>
                <w:rFonts w:ascii="Times" w:eastAsia="Times New Roman" w:hAnsi="Times" w:cs="Times New Roman"/>
                <w:b/>
                <w:iCs/>
              </w:rPr>
            </w:pPr>
            <w:r>
              <w:rPr>
                <w:b/>
                <w:iCs/>
                <w:noProof/>
                <w:color w:val="000000"/>
                <w:highlight w:val="black"/>
              </w:rPr>
              <w:t>'''''''''''''''</w:t>
            </w:r>
            <w:r w:rsidR="00577A6F">
              <w:rPr>
                <w:vertAlign w:val="superscript"/>
              </w:rPr>
              <w:t>2</w:t>
            </w:r>
          </w:p>
        </w:tc>
      </w:tr>
      <w:tr w:rsidR="00F1737B" w:rsidRPr="00495E72" w:rsidTr="00CB375A">
        <w:tc>
          <w:tcPr>
            <w:tcW w:w="5000" w:type="pct"/>
            <w:gridSpan w:val="4"/>
            <w:tcBorders>
              <w:bottom w:val="single" w:sz="4" w:space="0" w:color="auto"/>
            </w:tcBorders>
          </w:tcPr>
          <w:p w:rsidR="00F1737B" w:rsidRPr="00A605F7" w:rsidRDefault="00885A82" w:rsidP="00722B72">
            <w:pPr>
              <w:pStyle w:val="TableText"/>
              <w:keepNext/>
              <w:spacing w:line="257" w:lineRule="auto"/>
              <w:rPr>
                <w:iCs/>
              </w:rPr>
            </w:pPr>
            <w:r w:rsidRPr="00A605F7">
              <w:rPr>
                <w:b/>
                <w:iCs/>
              </w:rPr>
              <w:t>R</w:t>
            </w:r>
            <w:r w:rsidR="0075084E" w:rsidRPr="00A605F7">
              <w:rPr>
                <w:b/>
                <w:iCs/>
              </w:rPr>
              <w:t xml:space="preserve">elevant </w:t>
            </w:r>
            <w:r w:rsidR="000F388B" w:rsidRPr="00A605F7">
              <w:rPr>
                <w:b/>
                <w:iCs/>
              </w:rPr>
              <w:t>t</w:t>
            </w:r>
            <w:r w:rsidR="00F1737B" w:rsidRPr="00A605F7">
              <w:rPr>
                <w:b/>
                <w:iCs/>
              </w:rPr>
              <w:t>umour type subgroup analyses</w:t>
            </w:r>
            <w:r w:rsidR="00BC4380" w:rsidRPr="00A605F7">
              <w:rPr>
                <w:b/>
                <w:iCs/>
              </w:rPr>
              <w:t xml:space="preserve">, </w:t>
            </w:r>
            <w:r w:rsidRPr="00A605F7">
              <w:rPr>
                <w:b/>
                <w:iCs/>
              </w:rPr>
              <w:t xml:space="preserve">weighted </w:t>
            </w:r>
            <w:r w:rsidR="00F1737B" w:rsidRPr="00A605F7">
              <w:rPr>
                <w:b/>
                <w:iCs/>
              </w:rPr>
              <w:t xml:space="preserve">as per </w:t>
            </w:r>
            <w:r w:rsidRPr="00A605F7">
              <w:rPr>
                <w:b/>
                <w:iCs/>
              </w:rPr>
              <w:t xml:space="preserve">the distribution in </w:t>
            </w:r>
            <w:r w:rsidR="00F1737B" w:rsidRPr="00A605F7">
              <w:rPr>
                <w:b/>
                <w:iCs/>
              </w:rPr>
              <w:t xml:space="preserve">Australian clinical practice </w:t>
            </w:r>
            <w:r w:rsidR="00722B72" w:rsidRPr="00A605F7">
              <w:rPr>
                <w:b/>
                <w:iCs/>
              </w:rPr>
              <w:t>–</w:t>
            </w:r>
            <w:r w:rsidR="00F1737B" w:rsidRPr="00A605F7">
              <w:rPr>
                <w:b/>
                <w:iCs/>
              </w:rPr>
              <w:t xml:space="preserve"> revised</w:t>
            </w:r>
            <w:r w:rsidR="00722B72" w:rsidRPr="00A605F7">
              <w:rPr>
                <w:b/>
                <w:iCs/>
                <w:vertAlign w:val="superscript"/>
              </w:rPr>
              <w:t>1</w:t>
            </w:r>
            <w:r w:rsidR="00A605F7" w:rsidRPr="00A605F7">
              <w:rPr>
                <w:b/>
                <w:iCs/>
                <w:vertAlign w:val="superscript"/>
              </w:rPr>
              <w:t>#</w:t>
            </w:r>
            <w:r w:rsidR="00722B72" w:rsidRPr="00A605F7">
              <w:rPr>
                <w:b/>
                <w:iCs/>
              </w:rPr>
              <w:t xml:space="preserve"> </w:t>
            </w:r>
          </w:p>
        </w:tc>
      </w:tr>
      <w:tr w:rsidR="0032564C" w:rsidRPr="00962538" w:rsidTr="009A0E22">
        <w:tc>
          <w:tcPr>
            <w:tcW w:w="2198" w:type="pct"/>
            <w:tcBorders>
              <w:bottom w:val="nil"/>
            </w:tcBorders>
          </w:tcPr>
          <w:p w:rsidR="00F1737B" w:rsidRPr="00A605F7" w:rsidRDefault="00F1737B" w:rsidP="00CB375A">
            <w:pPr>
              <w:pStyle w:val="TableText"/>
              <w:keepNext/>
              <w:spacing w:line="257" w:lineRule="auto"/>
              <w:rPr>
                <w:iCs/>
              </w:rPr>
            </w:pPr>
            <w:r w:rsidRPr="00A605F7">
              <w:rPr>
                <w:iCs/>
              </w:rPr>
              <w:t>Cost</w:t>
            </w:r>
            <w:r w:rsidR="00577A6F">
              <w:rPr>
                <w:iCs/>
              </w:rPr>
              <w:t xml:space="preserve"> ($)</w:t>
            </w:r>
          </w:p>
        </w:tc>
        <w:tc>
          <w:tcPr>
            <w:tcW w:w="1415" w:type="pct"/>
            <w:tcBorders>
              <w:bottom w:val="nil"/>
            </w:tcBorders>
          </w:tcPr>
          <w:p w:rsidR="00F1737B" w:rsidRPr="00675CB4" w:rsidRDefault="00675CB4" w:rsidP="00CB375A">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c>
          <w:tcPr>
            <w:tcW w:w="708" w:type="pct"/>
            <w:tcBorders>
              <w:bottom w:val="nil"/>
            </w:tcBorders>
          </w:tcPr>
          <w:p w:rsidR="00F1737B" w:rsidRPr="00A605F7" w:rsidRDefault="00F1737B" w:rsidP="00CB375A">
            <w:pPr>
              <w:pStyle w:val="TableText"/>
              <w:keepNext/>
              <w:spacing w:line="257" w:lineRule="auto"/>
              <w:jc w:val="right"/>
              <w:rPr>
                <w:rFonts w:ascii="Times" w:eastAsia="Times New Roman" w:hAnsi="Times" w:cs="Times New Roman"/>
                <w:iCs/>
              </w:rPr>
            </w:pPr>
            <w:r w:rsidRPr="00A605F7">
              <w:rPr>
                <w:iCs/>
              </w:rPr>
              <w:t>$64,593</w:t>
            </w:r>
          </w:p>
        </w:tc>
        <w:tc>
          <w:tcPr>
            <w:tcW w:w="679" w:type="pct"/>
            <w:tcBorders>
              <w:bottom w:val="nil"/>
            </w:tcBorders>
          </w:tcPr>
          <w:p w:rsidR="00F1737B" w:rsidRPr="00675CB4" w:rsidRDefault="00675CB4" w:rsidP="00CB375A">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r>
      <w:tr w:rsidR="0032564C" w:rsidRPr="00962538" w:rsidTr="009A0E22">
        <w:tc>
          <w:tcPr>
            <w:tcW w:w="2198" w:type="pct"/>
            <w:tcBorders>
              <w:bottom w:val="single" w:sz="4" w:space="0" w:color="auto"/>
            </w:tcBorders>
          </w:tcPr>
          <w:p w:rsidR="00F1737B" w:rsidRPr="00A605F7" w:rsidRDefault="00F1737B" w:rsidP="00CB375A">
            <w:pPr>
              <w:pStyle w:val="TableText"/>
              <w:keepNext/>
              <w:spacing w:line="257" w:lineRule="auto"/>
              <w:rPr>
                <w:rFonts w:ascii="Times" w:eastAsia="Times New Roman" w:hAnsi="Times" w:cs="Times New Roman"/>
                <w:iCs/>
              </w:rPr>
            </w:pPr>
            <w:r w:rsidRPr="00A605F7">
              <w:rPr>
                <w:iCs/>
              </w:rPr>
              <w:t>QALY gained</w:t>
            </w:r>
          </w:p>
        </w:tc>
        <w:tc>
          <w:tcPr>
            <w:tcW w:w="1415" w:type="pct"/>
            <w:tcBorders>
              <w:bottom w:val="single" w:sz="4" w:space="0" w:color="auto"/>
            </w:tcBorders>
          </w:tcPr>
          <w:p w:rsidR="00F1737B" w:rsidRPr="00A605F7" w:rsidRDefault="00F1737B" w:rsidP="00CB375A">
            <w:pPr>
              <w:pStyle w:val="TableText"/>
              <w:keepNext/>
              <w:spacing w:line="257" w:lineRule="auto"/>
              <w:jc w:val="right"/>
              <w:rPr>
                <w:iCs/>
              </w:rPr>
            </w:pPr>
            <w:r w:rsidRPr="00A605F7">
              <w:rPr>
                <w:iCs/>
              </w:rPr>
              <w:t>3.623</w:t>
            </w:r>
          </w:p>
        </w:tc>
        <w:tc>
          <w:tcPr>
            <w:tcW w:w="708" w:type="pct"/>
            <w:tcBorders>
              <w:bottom w:val="single" w:sz="4" w:space="0" w:color="auto"/>
            </w:tcBorders>
          </w:tcPr>
          <w:p w:rsidR="00F1737B" w:rsidRPr="00A605F7" w:rsidRDefault="00F1737B" w:rsidP="00CB375A">
            <w:pPr>
              <w:pStyle w:val="TableText"/>
              <w:keepNext/>
              <w:spacing w:line="257" w:lineRule="auto"/>
              <w:jc w:val="right"/>
              <w:rPr>
                <w:iCs/>
              </w:rPr>
            </w:pPr>
            <w:r w:rsidRPr="00A605F7">
              <w:rPr>
                <w:iCs/>
              </w:rPr>
              <w:t>2.712</w:t>
            </w:r>
          </w:p>
        </w:tc>
        <w:tc>
          <w:tcPr>
            <w:tcW w:w="679" w:type="pct"/>
            <w:tcBorders>
              <w:bottom w:val="single" w:sz="4" w:space="0" w:color="auto"/>
            </w:tcBorders>
          </w:tcPr>
          <w:p w:rsidR="00F1737B" w:rsidRPr="00A605F7" w:rsidRDefault="00F1737B" w:rsidP="00CB375A">
            <w:pPr>
              <w:pStyle w:val="TableText"/>
              <w:keepNext/>
              <w:spacing w:line="257" w:lineRule="auto"/>
              <w:jc w:val="right"/>
              <w:rPr>
                <w:iCs/>
              </w:rPr>
            </w:pPr>
            <w:r w:rsidRPr="00A605F7">
              <w:rPr>
                <w:iCs/>
              </w:rPr>
              <w:t>0.910</w:t>
            </w:r>
          </w:p>
        </w:tc>
      </w:tr>
      <w:tr w:rsidR="0032564C" w:rsidRPr="001E5EA9" w:rsidTr="009A0E22">
        <w:tc>
          <w:tcPr>
            <w:tcW w:w="2198" w:type="pct"/>
            <w:tcBorders>
              <w:bottom w:val="single" w:sz="4" w:space="0" w:color="auto"/>
              <w:right w:val="nil"/>
            </w:tcBorders>
          </w:tcPr>
          <w:p w:rsidR="00F1737B" w:rsidRPr="00A605F7" w:rsidRDefault="00F1737B" w:rsidP="00CB375A">
            <w:pPr>
              <w:pStyle w:val="TableText"/>
              <w:rPr>
                <w:rFonts w:ascii="Times" w:eastAsia="Times New Roman" w:hAnsi="Times" w:cs="Times New Roman"/>
                <w:b/>
                <w:iCs/>
              </w:rPr>
            </w:pPr>
            <w:r w:rsidRPr="00A605F7">
              <w:rPr>
                <w:b/>
                <w:iCs/>
              </w:rPr>
              <w:t>Incremental cost/extra QALY gained</w:t>
            </w:r>
          </w:p>
        </w:tc>
        <w:tc>
          <w:tcPr>
            <w:tcW w:w="1415" w:type="pct"/>
            <w:tcBorders>
              <w:left w:val="nil"/>
              <w:bottom w:val="single" w:sz="4" w:space="0" w:color="auto"/>
              <w:right w:val="nil"/>
            </w:tcBorders>
          </w:tcPr>
          <w:p w:rsidR="00F1737B" w:rsidRPr="00A605F7" w:rsidRDefault="00F1737B" w:rsidP="00CB375A">
            <w:pPr>
              <w:pStyle w:val="TableText"/>
              <w:jc w:val="right"/>
              <w:rPr>
                <w:rFonts w:ascii="Times" w:eastAsia="Times New Roman" w:hAnsi="Times" w:cs="Times New Roman"/>
                <w:b/>
                <w:iCs/>
              </w:rPr>
            </w:pPr>
          </w:p>
        </w:tc>
        <w:tc>
          <w:tcPr>
            <w:tcW w:w="708" w:type="pct"/>
            <w:tcBorders>
              <w:left w:val="nil"/>
              <w:bottom w:val="single" w:sz="4" w:space="0" w:color="auto"/>
            </w:tcBorders>
          </w:tcPr>
          <w:p w:rsidR="00F1737B" w:rsidRPr="00A605F7" w:rsidRDefault="00F1737B" w:rsidP="00CB375A">
            <w:pPr>
              <w:pStyle w:val="TableText"/>
              <w:jc w:val="right"/>
              <w:rPr>
                <w:rFonts w:ascii="Times" w:eastAsia="Times New Roman" w:hAnsi="Times" w:cs="Times New Roman"/>
                <w:b/>
                <w:iCs/>
              </w:rPr>
            </w:pPr>
          </w:p>
        </w:tc>
        <w:tc>
          <w:tcPr>
            <w:tcW w:w="679" w:type="pct"/>
            <w:tcBorders>
              <w:bottom w:val="single" w:sz="4" w:space="0" w:color="auto"/>
            </w:tcBorders>
          </w:tcPr>
          <w:p w:rsidR="00F1737B" w:rsidRPr="00A605F7" w:rsidRDefault="00675CB4" w:rsidP="00CB375A">
            <w:pPr>
              <w:pStyle w:val="TableText"/>
              <w:jc w:val="right"/>
              <w:rPr>
                <w:rFonts w:ascii="Times" w:eastAsia="Times New Roman" w:hAnsi="Times" w:cs="Times New Roman"/>
                <w:b/>
                <w:iCs/>
              </w:rPr>
            </w:pPr>
            <w:r>
              <w:rPr>
                <w:b/>
                <w:iCs/>
                <w:noProof/>
                <w:color w:val="000000"/>
                <w:highlight w:val="black"/>
              </w:rPr>
              <w:t>''''''''''''''</w:t>
            </w:r>
            <w:r w:rsidR="00577A6F">
              <w:rPr>
                <w:vertAlign w:val="superscript"/>
              </w:rPr>
              <w:t>1</w:t>
            </w:r>
          </w:p>
        </w:tc>
      </w:tr>
    </w:tbl>
    <w:p w:rsidR="00F1737B" w:rsidRPr="00722B72" w:rsidRDefault="00F1737B" w:rsidP="00F1737B">
      <w:pPr>
        <w:pStyle w:val="TableFooter"/>
      </w:pPr>
      <w:r w:rsidRPr="00722B72">
        <w:t>Source: Constructed during the evaluation from the ‘A3.1_Larotrectinib_PBACMSAC_CEA_June21_resub_6June21.xlsx’ workbook included in the resubmission.</w:t>
      </w:r>
    </w:p>
    <w:p w:rsidR="00722B72" w:rsidRDefault="00000E89" w:rsidP="00F1737B">
      <w:pPr>
        <w:pStyle w:val="TableFooter"/>
      </w:pPr>
      <w:r>
        <w:rPr>
          <w:vertAlign w:val="superscript"/>
        </w:rPr>
        <w:t xml:space="preserve"># </w:t>
      </w:r>
      <w:r w:rsidR="00B76D9F">
        <w:t xml:space="preserve">additional or </w:t>
      </w:r>
      <w:r w:rsidR="00E231D3" w:rsidRPr="005B672C">
        <w:t>revis</w:t>
      </w:r>
      <w:r w:rsidR="00B76D9F">
        <w:t>ed analyses</w:t>
      </w:r>
      <w:r w:rsidR="00E231D3" w:rsidRPr="005B672C">
        <w:t xml:space="preserve"> conducted during the evaluation. </w:t>
      </w:r>
    </w:p>
    <w:p w:rsidR="00F1737B" w:rsidRPr="005B672C" w:rsidRDefault="00722B72" w:rsidP="00722B72">
      <w:pPr>
        <w:pStyle w:val="TableFooter"/>
        <w:numPr>
          <w:ilvl w:val="0"/>
          <w:numId w:val="96"/>
        </w:numPr>
      </w:pPr>
      <w:r>
        <w:t>C</w:t>
      </w:r>
      <w:r w:rsidR="00C349E5">
        <w:t>h</w:t>
      </w:r>
      <w:r w:rsidR="00B76D9F">
        <w:t xml:space="preserve">anges </w:t>
      </w:r>
      <w:r>
        <w:t xml:space="preserve">include </w:t>
      </w:r>
      <w:r w:rsidR="005B672C">
        <w:t>revising</w:t>
      </w:r>
      <w:r w:rsidR="00E231D3" w:rsidRPr="005B672C">
        <w:t xml:space="preserve"> </w:t>
      </w:r>
      <w:bookmarkStart w:id="88" w:name="_Hlk89340280"/>
      <w:r w:rsidR="00E231D3" w:rsidRPr="005B672C">
        <w:t>t</w:t>
      </w:r>
      <w:r w:rsidR="00F1737B" w:rsidRPr="005B672C">
        <w:t>he distribution of tumour types to reflect the distribution in the tested Australian population (rather than the treated population)</w:t>
      </w:r>
      <w:r w:rsidR="005B672C">
        <w:t>, applying t</w:t>
      </w:r>
      <w:r w:rsidR="00F1737B" w:rsidRPr="005B672C">
        <w:t xml:space="preserve">he most conservative OS and PFS parametric models for the high </w:t>
      </w:r>
      <w:r w:rsidR="00F1737B" w:rsidRPr="005B672C">
        <w:rPr>
          <w:i/>
        </w:rPr>
        <w:t>NTRK</w:t>
      </w:r>
      <w:r w:rsidR="00F1737B" w:rsidRPr="005B672C">
        <w:t xml:space="preserve"> fusion frequency tumour types</w:t>
      </w:r>
      <w:r w:rsidR="005B672C">
        <w:t xml:space="preserve"> and o</w:t>
      </w:r>
      <w:r w:rsidR="00F1737B" w:rsidRPr="005B672C">
        <w:t>ther minor revisions to treatment costs.</w:t>
      </w:r>
    </w:p>
    <w:bookmarkEnd w:id="88"/>
    <w:p w:rsidR="00F1737B" w:rsidRDefault="00F1737B" w:rsidP="00053DB1">
      <w:pPr>
        <w:pStyle w:val="TableFooter"/>
        <w:spacing w:after="0"/>
      </w:pPr>
      <w:r w:rsidRPr="00211488">
        <w:rPr>
          <w:i/>
        </w:rPr>
        <w:t>NTRK</w:t>
      </w:r>
      <w:r>
        <w:t xml:space="preserve"> = </w:t>
      </w:r>
      <w:r w:rsidRPr="00211488">
        <w:t>neurotrophic tropomyosin receptor kinase</w:t>
      </w:r>
      <w:r>
        <w:t>; OS = overall survival; PFS = progression-free survival; QALY = quality-adjusted life year; SoC = standard of care.</w:t>
      </w:r>
    </w:p>
    <w:p w:rsidR="00577A6F" w:rsidRDefault="00577A6F">
      <w:pPr>
        <w:pStyle w:val="TableFigureFooter"/>
        <w:spacing w:after="0"/>
        <w:contextualSpacing w:val="0"/>
        <w:rPr>
          <w:i/>
        </w:rPr>
      </w:pPr>
      <w:r w:rsidRPr="009868C4">
        <w:rPr>
          <w:i/>
        </w:rPr>
        <w:t>The redacted values correspond to the following ranges</w:t>
      </w:r>
      <w:r>
        <w:rPr>
          <w:i/>
        </w:rPr>
        <w:t xml:space="preserve">: </w:t>
      </w:r>
    </w:p>
    <w:p w:rsidR="00577A6F" w:rsidRPr="00870C5D" w:rsidRDefault="00577A6F" w:rsidP="00577A6F">
      <w:pPr>
        <w:pStyle w:val="TableFigureFooter"/>
        <w:spacing w:after="0"/>
        <w:contextualSpacing w:val="0"/>
      </w:pPr>
      <w:r>
        <w:rPr>
          <w:i/>
          <w:vertAlign w:val="superscript"/>
        </w:rPr>
        <w:t>1</w:t>
      </w:r>
      <w:r>
        <w:rPr>
          <w:i/>
        </w:rPr>
        <w:t xml:space="preserve"> </w:t>
      </w:r>
      <w:r w:rsidRPr="00577A6F">
        <w:rPr>
          <w:i/>
        </w:rPr>
        <w:t>$75,000 to &lt; $95,000</w:t>
      </w:r>
    </w:p>
    <w:p w:rsidR="00577A6F" w:rsidRPr="00870C5D" w:rsidRDefault="00577A6F" w:rsidP="00577A6F">
      <w:pPr>
        <w:pStyle w:val="TableFigureFooter"/>
        <w:spacing w:after="0"/>
        <w:contextualSpacing w:val="0"/>
      </w:pPr>
      <w:r>
        <w:rPr>
          <w:i/>
          <w:vertAlign w:val="superscript"/>
        </w:rPr>
        <w:t>2</w:t>
      </w:r>
      <w:r>
        <w:rPr>
          <w:i/>
        </w:rPr>
        <w:t xml:space="preserve"> </w:t>
      </w:r>
      <w:r w:rsidRPr="00577A6F">
        <w:rPr>
          <w:i/>
        </w:rPr>
        <w:t>$55,000 to &lt; $75,000</w:t>
      </w:r>
    </w:p>
    <w:p w:rsidR="00577A6F" w:rsidRDefault="00577A6F" w:rsidP="00F1737B">
      <w:pPr>
        <w:pStyle w:val="TableFooter"/>
      </w:pPr>
    </w:p>
    <w:p w:rsidR="00F1737B" w:rsidRPr="00F93434" w:rsidRDefault="00F1737B" w:rsidP="00577A6F">
      <w:pPr>
        <w:pStyle w:val="ListParagraph"/>
      </w:pPr>
      <w:r w:rsidRPr="00F93434">
        <w:t>The ICER presented in the resubmission for this tumour type group was lower than the PBAC had considered previously (</w:t>
      </w:r>
      <w:r w:rsidR="00577A6F" w:rsidRPr="00577A6F">
        <w:t>$155,000 to &lt; $255,000</w:t>
      </w:r>
      <w:r>
        <w:t xml:space="preserve">, </w:t>
      </w:r>
      <w:r w:rsidRPr="00F93434">
        <w:t xml:space="preserve">para 6.74, 5.08 larotrectinib PBAC </w:t>
      </w:r>
      <w:r w:rsidR="009F39EF">
        <w:t>PSD</w:t>
      </w:r>
      <w:r w:rsidRPr="00F93434">
        <w:t xml:space="preserve">, November 2020). </w:t>
      </w:r>
      <w:r w:rsidR="00796D25">
        <w:t>Table</w:t>
      </w:r>
      <w:r w:rsidR="00D944C2">
        <w:t xml:space="preserve"> </w:t>
      </w:r>
      <w:r w:rsidR="00796D25">
        <w:rPr>
          <w:noProof/>
        </w:rPr>
        <w:t>24</w:t>
      </w:r>
      <w:r w:rsidRPr="00F93434">
        <w:t xml:space="preserve"> presents a stepped incorporation of the changes in the resubmission to the ICER presented previously.</w:t>
      </w:r>
      <w:r>
        <w:t xml:space="preserve"> </w:t>
      </w:r>
    </w:p>
    <w:p w:rsidR="00F1737B" w:rsidRDefault="00F1737B" w:rsidP="00D117CD">
      <w:pPr>
        <w:pStyle w:val="Caption"/>
        <w:ind w:left="0" w:firstLine="0"/>
      </w:pPr>
      <w:bookmarkStart w:id="89" w:name="_Ref79167618"/>
      <w:r>
        <w:t>Table</w:t>
      </w:r>
      <w:r w:rsidR="00D944C2">
        <w:t xml:space="preserve"> </w:t>
      </w:r>
      <w:r w:rsidR="00BB3DD1">
        <w:rPr>
          <w:noProof/>
        </w:rPr>
        <w:t>24</w:t>
      </w:r>
      <w:bookmarkEnd w:id="89"/>
      <w:r w:rsidR="00D944C2">
        <w:rPr>
          <w:noProof/>
        </w:rPr>
        <w:t>:</w:t>
      </w:r>
      <w:r w:rsidR="00D117CD">
        <w:rPr>
          <w:noProof/>
        </w:rPr>
        <w:t xml:space="preserve"> </w:t>
      </w:r>
      <w:r w:rsidRPr="007E4A2D">
        <w:t xml:space="preserve">Stepped incorporation of changes relative to the previous submission, adult high </w:t>
      </w:r>
      <w:r w:rsidRPr="007E4A2D">
        <w:rPr>
          <w:i/>
        </w:rPr>
        <w:t>NTRK</w:t>
      </w:r>
      <w:r w:rsidRPr="007E4A2D">
        <w:t xml:space="preserve"> frequency and all paediatric patients combined</w:t>
      </w:r>
    </w:p>
    <w:tbl>
      <w:tblPr>
        <w:tblStyle w:val="PBACTableStyle"/>
        <w:tblW w:w="5000" w:type="pct"/>
        <w:tblLayout w:type="fixed"/>
        <w:tblLook w:val="04A0" w:firstRow="1" w:lastRow="0" w:firstColumn="1" w:lastColumn="0" w:noHBand="0" w:noVBand="1"/>
        <w:tblCaption w:val="Table 24: Stepped incorporation of changes relative to the previous submission, adult high NTRK frequency and all paediatric patients combined"/>
      </w:tblPr>
      <w:tblGrid>
        <w:gridCol w:w="5806"/>
        <w:gridCol w:w="992"/>
        <w:gridCol w:w="994"/>
        <w:gridCol w:w="1224"/>
      </w:tblGrid>
      <w:tr w:rsidR="00F1737B" w:rsidRPr="00F64C15" w:rsidTr="00053DB1">
        <w:trPr>
          <w:cnfStyle w:val="100000000000" w:firstRow="1" w:lastRow="0" w:firstColumn="0" w:lastColumn="0" w:oddVBand="0" w:evenVBand="0" w:oddHBand="0" w:evenHBand="0" w:firstRowFirstColumn="0" w:firstRowLastColumn="0" w:lastRowFirstColumn="0" w:lastRowLastColumn="0"/>
          <w:cantSplit/>
          <w:trHeight w:val="255"/>
          <w:tblHeader/>
        </w:trPr>
        <w:tc>
          <w:tcPr>
            <w:cnfStyle w:val="001000000000" w:firstRow="0" w:lastRow="0" w:firstColumn="1" w:lastColumn="0" w:oddVBand="0" w:evenVBand="0" w:oddHBand="0" w:evenHBand="0" w:firstRowFirstColumn="0" w:firstRowLastColumn="0" w:lastRowFirstColumn="0" w:lastRowLastColumn="0"/>
            <w:tcW w:w="3220" w:type="pct"/>
            <w:noWrap/>
          </w:tcPr>
          <w:p w:rsidR="00F1737B" w:rsidRPr="00F64C15" w:rsidRDefault="00F1737B" w:rsidP="00CB375A">
            <w:pPr>
              <w:pStyle w:val="TableText"/>
              <w:rPr>
                <w:i/>
              </w:rPr>
            </w:pPr>
          </w:p>
        </w:tc>
        <w:tc>
          <w:tcPr>
            <w:tcW w:w="550" w:type="pct"/>
            <w:noWrap/>
            <w:vAlign w:val="top"/>
          </w:tcPr>
          <w:p w:rsidR="00F1737B" w:rsidRPr="00356521" w:rsidRDefault="00F1737B" w:rsidP="00CB375A">
            <w:pPr>
              <w:pStyle w:val="TableText"/>
              <w:jc w:val="center"/>
              <w:cnfStyle w:val="100000000000" w:firstRow="1" w:lastRow="0" w:firstColumn="0" w:lastColumn="0" w:oddVBand="0" w:evenVBand="0" w:oddHBand="0" w:evenHBand="0" w:firstRowFirstColumn="0" w:firstRowLastColumn="0" w:lastRowFirstColumn="0" w:lastRowLastColumn="0"/>
              <w:rPr>
                <w:iCs/>
              </w:rPr>
            </w:pPr>
            <w:r w:rsidRPr="00356521">
              <w:rPr>
                <w:iCs/>
              </w:rPr>
              <w:t>Inc. cost</w:t>
            </w:r>
            <w:r w:rsidR="00577A6F">
              <w:rPr>
                <w:iCs/>
              </w:rPr>
              <w:t xml:space="preserve"> ($)</w:t>
            </w:r>
          </w:p>
        </w:tc>
        <w:tc>
          <w:tcPr>
            <w:tcW w:w="551" w:type="pct"/>
            <w:noWrap/>
            <w:vAlign w:val="top"/>
          </w:tcPr>
          <w:p w:rsidR="00F1737B" w:rsidRPr="00356521" w:rsidRDefault="00F1737B" w:rsidP="00CB375A">
            <w:pPr>
              <w:pStyle w:val="TableText"/>
              <w:jc w:val="center"/>
              <w:cnfStyle w:val="100000000000" w:firstRow="1" w:lastRow="0" w:firstColumn="0" w:lastColumn="0" w:oddVBand="0" w:evenVBand="0" w:oddHBand="0" w:evenHBand="0" w:firstRowFirstColumn="0" w:firstRowLastColumn="0" w:lastRowFirstColumn="0" w:lastRowLastColumn="0"/>
              <w:rPr>
                <w:iCs/>
              </w:rPr>
            </w:pPr>
            <w:r w:rsidRPr="00356521">
              <w:rPr>
                <w:iCs/>
              </w:rPr>
              <w:t>Inc. QALYs</w:t>
            </w:r>
          </w:p>
        </w:tc>
        <w:tc>
          <w:tcPr>
            <w:tcW w:w="679" w:type="pct"/>
            <w:noWrap/>
            <w:vAlign w:val="top"/>
          </w:tcPr>
          <w:p w:rsidR="00F1737B" w:rsidRPr="00356521" w:rsidRDefault="00F1737B" w:rsidP="00CB375A">
            <w:pPr>
              <w:pStyle w:val="TableText"/>
              <w:jc w:val="center"/>
              <w:cnfStyle w:val="100000000000" w:firstRow="1" w:lastRow="0" w:firstColumn="0" w:lastColumn="0" w:oddVBand="0" w:evenVBand="0" w:oddHBand="0" w:evenHBand="0" w:firstRowFirstColumn="0" w:firstRowLastColumn="0" w:lastRowFirstColumn="0" w:lastRowLastColumn="0"/>
              <w:rPr>
                <w:iCs/>
              </w:rPr>
            </w:pPr>
            <w:r w:rsidRPr="00356521">
              <w:rPr>
                <w:iCs/>
              </w:rPr>
              <w:t>ICER</w:t>
            </w:r>
          </w:p>
        </w:tc>
      </w:tr>
      <w:tr w:rsidR="00F1737B" w:rsidRPr="00F64C15" w:rsidTr="00053DB1">
        <w:trPr>
          <w:cantSplit/>
          <w:trHeight w:val="255"/>
        </w:trPr>
        <w:tc>
          <w:tcPr>
            <w:cnfStyle w:val="001000000000" w:firstRow="0" w:lastRow="0" w:firstColumn="1" w:lastColumn="0" w:oddVBand="0" w:evenVBand="0" w:oddHBand="0" w:evenHBand="0" w:firstRowFirstColumn="0" w:firstRowLastColumn="0" w:lastRowFirstColumn="0" w:lastRowLastColumn="0"/>
            <w:tcW w:w="3220" w:type="pct"/>
            <w:tcBorders>
              <w:bottom w:val="single" w:sz="4" w:space="0" w:color="auto"/>
            </w:tcBorders>
            <w:noWrap/>
            <w:hideMark/>
          </w:tcPr>
          <w:p w:rsidR="00F1737B" w:rsidRPr="002F1D01" w:rsidRDefault="00F1737B">
            <w:pPr>
              <w:pStyle w:val="TableText"/>
              <w:keepNext/>
              <w:spacing w:line="257" w:lineRule="auto"/>
              <w:rPr>
                <w:b/>
              </w:rPr>
            </w:pPr>
            <w:r w:rsidRPr="002F1D01">
              <w:rPr>
                <w:b/>
              </w:rPr>
              <w:t>ICER cited in</w:t>
            </w:r>
            <w:r w:rsidR="00023C46" w:rsidRPr="002F1D01">
              <w:rPr>
                <w:b/>
              </w:rPr>
              <w:t xml:space="preserve"> November 2020 </w:t>
            </w:r>
            <w:r w:rsidRPr="002F1D01">
              <w:rPr>
                <w:b/>
              </w:rPr>
              <w:t xml:space="preserve">PBAC </w:t>
            </w:r>
            <w:r w:rsidR="009F39EF">
              <w:rPr>
                <w:b/>
              </w:rPr>
              <w:t>PSD</w:t>
            </w:r>
            <w:r w:rsidR="009F39EF" w:rsidRPr="002F1D01">
              <w:rPr>
                <w:b/>
              </w:rPr>
              <w:t xml:space="preserve"> </w:t>
            </w:r>
            <w:r w:rsidRPr="002F1D01">
              <w:rPr>
                <w:b/>
                <w:vertAlign w:val="superscript"/>
              </w:rPr>
              <w:t>a</w:t>
            </w:r>
          </w:p>
        </w:tc>
        <w:tc>
          <w:tcPr>
            <w:tcW w:w="550" w:type="pct"/>
            <w:tcBorders>
              <w:bottom w:val="single" w:sz="4" w:space="0" w:color="auto"/>
            </w:tcBorders>
            <w:noWrap/>
            <w:hideMark/>
          </w:tcPr>
          <w:p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highlight w:val="black"/>
              </w:rPr>
            </w:pPr>
            <w:r>
              <w:rPr>
                <w:b/>
                <w:noProof/>
                <w:color w:val="000000"/>
                <w:highlight w:val="black"/>
              </w:rPr>
              <w:t>''''''''''''''''</w:t>
            </w:r>
          </w:p>
        </w:tc>
        <w:tc>
          <w:tcPr>
            <w:tcW w:w="551" w:type="pct"/>
            <w:tcBorders>
              <w:bottom w:val="single" w:sz="4" w:space="0" w:color="auto"/>
            </w:tcBorders>
            <w:noWrap/>
            <w:hideMark/>
          </w:tcPr>
          <w:p w:rsidR="00F1737B" w:rsidRPr="002F1D01" w:rsidRDefault="00F1737B"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r w:rsidRPr="002F1D01">
              <w:rPr>
                <w:b/>
              </w:rPr>
              <w:t>3.980</w:t>
            </w:r>
          </w:p>
        </w:tc>
        <w:tc>
          <w:tcPr>
            <w:tcW w:w="679" w:type="pct"/>
            <w:tcBorders>
              <w:bottom w:val="single" w:sz="4" w:space="0" w:color="auto"/>
            </w:tcBorders>
            <w:noWrap/>
            <w:hideMark/>
          </w:tcPr>
          <w:p w:rsidR="00F1737B" w:rsidRPr="002F1D01"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r>
              <w:rPr>
                <w:b/>
                <w:noProof/>
                <w:color w:val="000000"/>
                <w:highlight w:val="black"/>
              </w:rPr>
              <w:t>''''''''''''''''''''</w:t>
            </w:r>
            <w:r w:rsidR="0080663A">
              <w:rPr>
                <w:vertAlign w:val="superscript"/>
              </w:rPr>
              <w:t>1</w:t>
            </w:r>
          </w:p>
        </w:tc>
      </w:tr>
      <w:tr w:rsidR="00F1737B" w:rsidRPr="00F64C15" w:rsidTr="00053DB1">
        <w:trPr>
          <w:cantSplit/>
          <w:trHeight w:val="255"/>
        </w:trPr>
        <w:tc>
          <w:tcPr>
            <w:cnfStyle w:val="001000000000" w:firstRow="0" w:lastRow="0" w:firstColumn="1" w:lastColumn="0" w:oddVBand="0" w:evenVBand="0" w:oddHBand="0" w:evenHBand="0" w:firstRowFirstColumn="0" w:firstRowLastColumn="0" w:lastRowFirstColumn="0" w:lastRowLastColumn="0"/>
            <w:tcW w:w="3220" w:type="pct"/>
            <w:tcBorders>
              <w:right w:val="nil"/>
            </w:tcBorders>
            <w:noWrap/>
            <w:hideMark/>
          </w:tcPr>
          <w:p w:rsidR="00F1737B" w:rsidRPr="002F1D01" w:rsidRDefault="00F1737B" w:rsidP="00CB375A">
            <w:pPr>
              <w:pStyle w:val="TableText"/>
              <w:keepNext/>
              <w:spacing w:line="257" w:lineRule="auto"/>
              <w:rPr>
                <w:b/>
              </w:rPr>
            </w:pPr>
            <w:r w:rsidRPr="002F1D01">
              <w:rPr>
                <w:b/>
              </w:rPr>
              <w:t>C</w:t>
            </w:r>
            <w:r w:rsidR="00D31DDC" w:rsidRPr="002F1D01">
              <w:rPr>
                <w:b/>
              </w:rPr>
              <w:t>umulative c</w:t>
            </w:r>
            <w:r w:rsidRPr="002F1D01">
              <w:rPr>
                <w:b/>
              </w:rPr>
              <w:t>hanges applied in the resubmission</w:t>
            </w:r>
          </w:p>
        </w:tc>
        <w:tc>
          <w:tcPr>
            <w:tcW w:w="550" w:type="pct"/>
            <w:tcBorders>
              <w:left w:val="nil"/>
              <w:right w:val="nil"/>
            </w:tcBorders>
            <w:noWrap/>
            <w:hideMark/>
          </w:tcPr>
          <w:p w:rsidR="00F1737B" w:rsidRPr="002F1D01" w:rsidRDefault="00F1737B"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p>
        </w:tc>
        <w:tc>
          <w:tcPr>
            <w:tcW w:w="551" w:type="pct"/>
            <w:tcBorders>
              <w:left w:val="nil"/>
              <w:right w:val="nil"/>
            </w:tcBorders>
            <w:noWrap/>
            <w:hideMark/>
          </w:tcPr>
          <w:p w:rsidR="00F1737B" w:rsidRPr="002F1D01" w:rsidRDefault="00F1737B"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679" w:type="pct"/>
            <w:tcBorders>
              <w:left w:val="nil"/>
            </w:tcBorders>
            <w:noWrap/>
            <w:hideMark/>
          </w:tcPr>
          <w:p w:rsidR="00F1737B" w:rsidRPr="002F1D01" w:rsidRDefault="00F1737B"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F1737B" w:rsidRPr="00F64C15" w:rsidTr="00053DB1">
        <w:trPr>
          <w:cantSplit/>
          <w:trHeight w:val="255"/>
        </w:trPr>
        <w:tc>
          <w:tcPr>
            <w:cnfStyle w:val="001000000000" w:firstRow="0" w:lastRow="0" w:firstColumn="1" w:lastColumn="0" w:oddVBand="0" w:evenVBand="0" w:oddHBand="0" w:evenHBand="0" w:firstRowFirstColumn="0" w:firstRowLastColumn="0" w:lastRowFirstColumn="0" w:lastRowLastColumn="0"/>
            <w:tcW w:w="3220" w:type="pct"/>
            <w:noWrap/>
            <w:hideMark/>
          </w:tcPr>
          <w:p w:rsidR="00F1737B" w:rsidRPr="002F1D01" w:rsidRDefault="00F1737B">
            <w:pPr>
              <w:pStyle w:val="TableText"/>
              <w:keepNext/>
              <w:spacing w:line="257" w:lineRule="auto"/>
            </w:pPr>
            <w:r w:rsidRPr="002F1D01">
              <w:t>New proposed effective price</w:t>
            </w:r>
            <w:r w:rsidRPr="002F1D01">
              <w:br/>
              <w:t>(</w:t>
            </w:r>
            <w:r w:rsidRPr="00053DB1">
              <w:t>33.7</w:t>
            </w:r>
            <w:r w:rsidRPr="002F1D01">
              <w:t>%</w:t>
            </w:r>
            <w:r w:rsidR="00E52661">
              <w:t xml:space="preserve"> reduction compared to</w:t>
            </w:r>
            <w:r w:rsidRPr="002F1D01">
              <w:t xml:space="preserve"> previously proposed effective price, plus additional </w:t>
            </w:r>
            <w:r w:rsidR="00675CB4">
              <w:rPr>
                <w:noProof/>
                <w:color w:val="000000"/>
                <w:highlight w:val="black"/>
              </w:rPr>
              <w:t>'''''</w:t>
            </w:r>
            <w:r w:rsidRPr="002F1D01">
              <w:t>%</w:t>
            </w:r>
            <w:r w:rsidR="00E52661">
              <w:t xml:space="preserve"> reduction</w:t>
            </w:r>
            <w:r w:rsidRPr="002F1D01">
              <w:t xml:space="preserve"> on initial scripts)</w:t>
            </w:r>
          </w:p>
        </w:tc>
        <w:tc>
          <w:tcPr>
            <w:tcW w:w="550" w:type="pct"/>
            <w:noWrap/>
            <w:vAlign w:val="top"/>
            <w:hideMark/>
          </w:tcPr>
          <w:p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551" w:type="pct"/>
            <w:noWrap/>
            <w:vAlign w:val="top"/>
            <w:hideMark/>
          </w:tcPr>
          <w:p w:rsidR="00F1737B" w:rsidRPr="002F1D01" w:rsidRDefault="00F1737B"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2F1D01">
              <w:t>3.980</w:t>
            </w:r>
          </w:p>
        </w:tc>
        <w:tc>
          <w:tcPr>
            <w:tcW w:w="679" w:type="pct"/>
            <w:noWrap/>
            <w:vAlign w:val="top"/>
            <w:hideMark/>
          </w:tcPr>
          <w:p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Pr>
                <w:noProof/>
                <w:color w:val="000000"/>
                <w:highlight w:val="black"/>
              </w:rPr>
              <w:t>''''''''''''''''''''''''</w:t>
            </w:r>
            <w:r w:rsidR="0080663A">
              <w:rPr>
                <w:vertAlign w:val="superscript"/>
              </w:rPr>
              <w:t>2</w:t>
            </w:r>
          </w:p>
        </w:tc>
      </w:tr>
      <w:tr w:rsidR="00F1737B" w:rsidRPr="00F64C15" w:rsidTr="00053DB1">
        <w:trPr>
          <w:cantSplit/>
          <w:trHeight w:val="255"/>
        </w:trPr>
        <w:tc>
          <w:tcPr>
            <w:cnfStyle w:val="001000000000" w:firstRow="0" w:lastRow="0" w:firstColumn="1" w:lastColumn="0" w:oddVBand="0" w:evenVBand="0" w:oddHBand="0" w:evenHBand="0" w:firstRowFirstColumn="0" w:firstRowLastColumn="0" w:lastRowFirstColumn="0" w:lastRowLastColumn="0"/>
            <w:tcW w:w="3220" w:type="pct"/>
            <w:noWrap/>
            <w:hideMark/>
          </w:tcPr>
          <w:p w:rsidR="00F1737B" w:rsidRPr="002F1D01" w:rsidRDefault="006A2C96" w:rsidP="00CB375A">
            <w:pPr>
              <w:pStyle w:val="TableText"/>
              <w:keepNext/>
              <w:spacing w:line="257" w:lineRule="auto"/>
            </w:pPr>
            <w:r w:rsidRPr="002F1D01">
              <w:t>+ reduction in time horizon to 15 years</w:t>
            </w:r>
          </w:p>
        </w:tc>
        <w:tc>
          <w:tcPr>
            <w:tcW w:w="550" w:type="pct"/>
            <w:noWrap/>
            <w:vAlign w:val="top"/>
            <w:hideMark/>
          </w:tcPr>
          <w:p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551" w:type="pct"/>
            <w:noWrap/>
            <w:vAlign w:val="top"/>
            <w:hideMark/>
          </w:tcPr>
          <w:p w:rsidR="00F1737B" w:rsidRPr="002F1D01" w:rsidRDefault="00F1737B"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2F1D01">
              <w:t>3.658</w:t>
            </w:r>
          </w:p>
        </w:tc>
        <w:tc>
          <w:tcPr>
            <w:tcW w:w="679" w:type="pct"/>
            <w:noWrap/>
            <w:vAlign w:val="top"/>
            <w:hideMark/>
          </w:tcPr>
          <w:p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Pr>
                <w:noProof/>
                <w:color w:val="000000"/>
                <w:highlight w:val="black"/>
              </w:rPr>
              <w:t>'''''''''''''''''''''''</w:t>
            </w:r>
            <w:r w:rsidR="0080663A">
              <w:rPr>
                <w:vertAlign w:val="superscript"/>
              </w:rPr>
              <w:t>2</w:t>
            </w:r>
          </w:p>
        </w:tc>
      </w:tr>
      <w:tr w:rsidR="00F1737B" w:rsidRPr="00F64C15" w:rsidTr="00053DB1">
        <w:trPr>
          <w:cantSplit/>
          <w:trHeight w:val="255"/>
        </w:trPr>
        <w:tc>
          <w:tcPr>
            <w:cnfStyle w:val="001000000000" w:firstRow="0" w:lastRow="0" w:firstColumn="1" w:lastColumn="0" w:oddVBand="0" w:evenVBand="0" w:oddHBand="0" w:evenHBand="0" w:firstRowFirstColumn="0" w:firstRowLastColumn="0" w:lastRowFirstColumn="0" w:lastRowLastColumn="0"/>
            <w:tcW w:w="3220" w:type="pct"/>
            <w:noWrap/>
            <w:hideMark/>
          </w:tcPr>
          <w:p w:rsidR="00F1737B" w:rsidRPr="002F1D01" w:rsidRDefault="00F1737B" w:rsidP="00CB375A">
            <w:pPr>
              <w:pStyle w:val="TableText"/>
              <w:keepNext/>
              <w:spacing w:line="257" w:lineRule="auto"/>
            </w:pPr>
            <w:r w:rsidRPr="002F1D01">
              <w:t>+ updated larotrectinib data</w:t>
            </w:r>
            <w:r w:rsidRPr="002F1D01">
              <w:br/>
              <w:t>(including demographics, such as age and proportion</w:t>
            </w:r>
            <w:r w:rsidR="00023C46" w:rsidRPr="002F1D01">
              <w:t xml:space="preserve"> of</w:t>
            </w:r>
            <w:r w:rsidRPr="002F1D01">
              <w:t xml:space="preserve"> females)</w:t>
            </w:r>
          </w:p>
        </w:tc>
        <w:tc>
          <w:tcPr>
            <w:tcW w:w="550" w:type="pct"/>
            <w:noWrap/>
            <w:vAlign w:val="top"/>
            <w:hideMark/>
          </w:tcPr>
          <w:p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551" w:type="pct"/>
            <w:noWrap/>
            <w:vAlign w:val="top"/>
            <w:hideMark/>
          </w:tcPr>
          <w:p w:rsidR="00F1737B" w:rsidRPr="002F1D01" w:rsidRDefault="00F1737B"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2F1D01">
              <w:t>4.260</w:t>
            </w:r>
          </w:p>
        </w:tc>
        <w:tc>
          <w:tcPr>
            <w:tcW w:w="679" w:type="pct"/>
            <w:noWrap/>
            <w:vAlign w:val="top"/>
            <w:hideMark/>
          </w:tcPr>
          <w:p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Pr>
                <w:noProof/>
                <w:color w:val="000000"/>
                <w:highlight w:val="black"/>
              </w:rPr>
              <w:t>''''''''''''''''''''</w:t>
            </w:r>
            <w:r w:rsidR="0080663A">
              <w:rPr>
                <w:vertAlign w:val="superscript"/>
              </w:rPr>
              <w:t>3</w:t>
            </w:r>
          </w:p>
        </w:tc>
      </w:tr>
      <w:tr w:rsidR="00F1737B" w:rsidRPr="00F64C15" w:rsidTr="00053DB1">
        <w:trPr>
          <w:cantSplit/>
          <w:trHeight w:val="255"/>
        </w:trPr>
        <w:tc>
          <w:tcPr>
            <w:cnfStyle w:val="001000000000" w:firstRow="0" w:lastRow="0" w:firstColumn="1" w:lastColumn="0" w:oddVBand="0" w:evenVBand="0" w:oddHBand="0" w:evenHBand="0" w:firstRowFirstColumn="0" w:firstRowLastColumn="0" w:lastRowFirstColumn="0" w:lastRowLastColumn="0"/>
            <w:tcW w:w="3220" w:type="pct"/>
            <w:noWrap/>
            <w:hideMark/>
          </w:tcPr>
          <w:p w:rsidR="00F1737B" w:rsidRPr="002F1D01" w:rsidRDefault="00F1737B" w:rsidP="00CB375A">
            <w:pPr>
              <w:pStyle w:val="TableText"/>
              <w:keepNext/>
              <w:spacing w:line="257" w:lineRule="auto"/>
            </w:pPr>
            <w:r w:rsidRPr="002F1D01">
              <w:t>+ most conservative OS and PFS extrapolations (high frequency only)</w:t>
            </w:r>
            <w:r w:rsidR="005B672C" w:rsidRPr="002F1D01">
              <w:t xml:space="preserve"> for the updated</w:t>
            </w:r>
            <w:r w:rsidR="00012EE8" w:rsidRPr="002F1D01">
              <w:t xml:space="preserve"> larotrectinib</w:t>
            </w:r>
            <w:r w:rsidR="005B672C" w:rsidRPr="002F1D01">
              <w:t xml:space="preserve"> data</w:t>
            </w:r>
          </w:p>
        </w:tc>
        <w:tc>
          <w:tcPr>
            <w:tcW w:w="550" w:type="pct"/>
            <w:noWrap/>
            <w:vAlign w:val="top"/>
            <w:hideMark/>
          </w:tcPr>
          <w:p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551" w:type="pct"/>
            <w:noWrap/>
            <w:vAlign w:val="top"/>
            <w:hideMark/>
          </w:tcPr>
          <w:p w:rsidR="00F1737B" w:rsidRPr="002F1D01" w:rsidRDefault="00F1737B"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2F1D01">
              <w:t>4.186</w:t>
            </w:r>
          </w:p>
        </w:tc>
        <w:tc>
          <w:tcPr>
            <w:tcW w:w="679" w:type="pct"/>
            <w:noWrap/>
            <w:vAlign w:val="top"/>
            <w:hideMark/>
          </w:tcPr>
          <w:p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Pr>
                <w:noProof/>
                <w:color w:val="000000"/>
                <w:highlight w:val="black"/>
              </w:rPr>
              <w:t>''''''''''''''''''''</w:t>
            </w:r>
            <w:r w:rsidR="0080663A">
              <w:rPr>
                <w:vertAlign w:val="superscript"/>
              </w:rPr>
              <w:t>3</w:t>
            </w:r>
          </w:p>
        </w:tc>
      </w:tr>
      <w:tr w:rsidR="00F1737B" w:rsidRPr="00F64C15" w:rsidTr="00053DB1">
        <w:trPr>
          <w:cantSplit/>
          <w:trHeight w:val="255"/>
        </w:trPr>
        <w:tc>
          <w:tcPr>
            <w:cnfStyle w:val="001000000000" w:firstRow="0" w:lastRow="0" w:firstColumn="1" w:lastColumn="0" w:oddVBand="0" w:evenVBand="0" w:oddHBand="0" w:evenHBand="0" w:firstRowFirstColumn="0" w:firstRowLastColumn="0" w:lastRowFirstColumn="0" w:lastRowLastColumn="0"/>
            <w:tcW w:w="3220" w:type="pct"/>
            <w:noWrap/>
            <w:hideMark/>
          </w:tcPr>
          <w:p w:rsidR="00F1737B" w:rsidRPr="002F1D01" w:rsidRDefault="00F1737B" w:rsidP="00CB375A">
            <w:pPr>
              <w:pStyle w:val="TableText"/>
              <w:keepNext/>
              <w:spacing w:line="257" w:lineRule="auto"/>
            </w:pPr>
            <w:r w:rsidRPr="002F1D01">
              <w:t>+ updated NTRK testing costs</w:t>
            </w:r>
          </w:p>
        </w:tc>
        <w:tc>
          <w:tcPr>
            <w:tcW w:w="550" w:type="pct"/>
            <w:noWrap/>
            <w:vAlign w:val="top"/>
            <w:hideMark/>
          </w:tcPr>
          <w:p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551" w:type="pct"/>
            <w:noWrap/>
            <w:vAlign w:val="top"/>
            <w:hideMark/>
          </w:tcPr>
          <w:p w:rsidR="00F1737B" w:rsidRPr="002F1D01" w:rsidRDefault="00F1737B"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2F1D01">
              <w:t>4.186</w:t>
            </w:r>
          </w:p>
        </w:tc>
        <w:tc>
          <w:tcPr>
            <w:tcW w:w="679" w:type="pct"/>
            <w:noWrap/>
            <w:vAlign w:val="top"/>
            <w:hideMark/>
          </w:tcPr>
          <w:p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Pr>
                <w:noProof/>
                <w:color w:val="000000"/>
                <w:highlight w:val="black"/>
              </w:rPr>
              <w:t>'''''''''''''''''''</w:t>
            </w:r>
            <w:r w:rsidR="0080663A">
              <w:rPr>
                <w:vertAlign w:val="superscript"/>
              </w:rPr>
              <w:t>3</w:t>
            </w:r>
          </w:p>
        </w:tc>
      </w:tr>
      <w:tr w:rsidR="00F1737B" w:rsidRPr="00F64C15" w:rsidTr="00053DB1">
        <w:trPr>
          <w:cantSplit/>
          <w:trHeight w:val="255"/>
        </w:trPr>
        <w:tc>
          <w:tcPr>
            <w:cnfStyle w:val="001000000000" w:firstRow="0" w:lastRow="0" w:firstColumn="1" w:lastColumn="0" w:oddVBand="0" w:evenVBand="0" w:oddHBand="0" w:evenHBand="0" w:firstRowFirstColumn="0" w:firstRowLastColumn="0" w:lastRowFirstColumn="0" w:lastRowLastColumn="0"/>
            <w:tcW w:w="3220" w:type="pct"/>
            <w:noWrap/>
            <w:hideMark/>
          </w:tcPr>
          <w:p w:rsidR="00F1737B" w:rsidRPr="002F1D01" w:rsidRDefault="00F1737B" w:rsidP="00CB375A">
            <w:pPr>
              <w:pStyle w:val="TableText"/>
              <w:keepNext/>
              <w:spacing w:line="257" w:lineRule="auto"/>
            </w:pPr>
            <w:r w:rsidRPr="002F1D01">
              <w:t>+ updated Australian tumour type distributions</w:t>
            </w:r>
            <w:r w:rsidR="00944ED0" w:rsidRPr="002F1D01">
              <w:t xml:space="preserve"> in NTRK-positive patients</w:t>
            </w:r>
          </w:p>
        </w:tc>
        <w:tc>
          <w:tcPr>
            <w:tcW w:w="550" w:type="pct"/>
            <w:noWrap/>
            <w:vAlign w:val="top"/>
            <w:hideMark/>
          </w:tcPr>
          <w:p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551" w:type="pct"/>
            <w:noWrap/>
            <w:vAlign w:val="top"/>
            <w:hideMark/>
          </w:tcPr>
          <w:p w:rsidR="00F1737B" w:rsidRPr="002F1D01" w:rsidRDefault="00F1737B"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2F1D01">
              <w:t>4.309</w:t>
            </w:r>
          </w:p>
        </w:tc>
        <w:tc>
          <w:tcPr>
            <w:tcW w:w="679" w:type="pct"/>
            <w:noWrap/>
            <w:vAlign w:val="top"/>
            <w:hideMark/>
          </w:tcPr>
          <w:p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Pr>
                <w:noProof/>
                <w:color w:val="000000"/>
                <w:highlight w:val="black"/>
              </w:rPr>
              <w:t>'''''''''''''''''</w:t>
            </w:r>
            <w:r w:rsidR="0080663A">
              <w:rPr>
                <w:vertAlign w:val="superscript"/>
              </w:rPr>
              <w:t>3</w:t>
            </w:r>
          </w:p>
        </w:tc>
      </w:tr>
      <w:tr w:rsidR="00F1737B" w:rsidRPr="00F64C15" w:rsidTr="00053DB1">
        <w:trPr>
          <w:cantSplit/>
          <w:trHeight w:val="255"/>
        </w:trPr>
        <w:tc>
          <w:tcPr>
            <w:cnfStyle w:val="001000000000" w:firstRow="0" w:lastRow="0" w:firstColumn="1" w:lastColumn="0" w:oddVBand="0" w:evenVBand="0" w:oddHBand="0" w:evenHBand="0" w:firstRowFirstColumn="0" w:firstRowLastColumn="0" w:lastRowFirstColumn="0" w:lastRowLastColumn="0"/>
            <w:tcW w:w="3220" w:type="pct"/>
            <w:noWrap/>
            <w:hideMark/>
          </w:tcPr>
          <w:p w:rsidR="00F1737B" w:rsidRPr="002F1D01" w:rsidRDefault="00F1737B" w:rsidP="00CB375A">
            <w:pPr>
              <w:pStyle w:val="TableText"/>
              <w:keepNext/>
              <w:spacing w:line="257" w:lineRule="auto"/>
            </w:pPr>
            <w:r w:rsidRPr="002F1D01">
              <w:t>+ updated cost of AEs</w:t>
            </w:r>
          </w:p>
        </w:tc>
        <w:tc>
          <w:tcPr>
            <w:tcW w:w="550" w:type="pct"/>
            <w:noWrap/>
            <w:vAlign w:val="top"/>
            <w:hideMark/>
          </w:tcPr>
          <w:p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551" w:type="pct"/>
            <w:noWrap/>
            <w:vAlign w:val="top"/>
            <w:hideMark/>
          </w:tcPr>
          <w:p w:rsidR="00F1737B" w:rsidRPr="002F1D01" w:rsidRDefault="00F1737B"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2F1D01">
              <w:t>4.298</w:t>
            </w:r>
          </w:p>
        </w:tc>
        <w:tc>
          <w:tcPr>
            <w:tcW w:w="679" w:type="pct"/>
            <w:noWrap/>
            <w:vAlign w:val="top"/>
            <w:hideMark/>
          </w:tcPr>
          <w:p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Pr>
                <w:noProof/>
                <w:color w:val="000000"/>
                <w:highlight w:val="black"/>
              </w:rPr>
              <w:t>''''''''''''''''''''</w:t>
            </w:r>
            <w:r w:rsidR="0080663A">
              <w:rPr>
                <w:vertAlign w:val="superscript"/>
              </w:rPr>
              <w:t>3</w:t>
            </w:r>
          </w:p>
        </w:tc>
      </w:tr>
      <w:tr w:rsidR="00F1737B" w:rsidRPr="00F64C15" w:rsidTr="00053DB1">
        <w:trPr>
          <w:cantSplit/>
          <w:trHeight w:val="255"/>
        </w:trPr>
        <w:tc>
          <w:tcPr>
            <w:cnfStyle w:val="001000000000" w:firstRow="0" w:lastRow="0" w:firstColumn="1" w:lastColumn="0" w:oddVBand="0" w:evenVBand="0" w:oddHBand="0" w:evenHBand="0" w:firstRowFirstColumn="0" w:firstRowLastColumn="0" w:lastRowFirstColumn="0" w:lastRowLastColumn="0"/>
            <w:tcW w:w="3220" w:type="pct"/>
            <w:noWrap/>
            <w:hideMark/>
          </w:tcPr>
          <w:p w:rsidR="00F1737B" w:rsidRPr="002F1D01" w:rsidRDefault="00F1737B" w:rsidP="00944ED0">
            <w:pPr>
              <w:pStyle w:val="TableText"/>
              <w:keepNext/>
              <w:spacing w:line="257" w:lineRule="auto"/>
            </w:pPr>
            <w:r w:rsidRPr="002F1D01">
              <w:t>+ updated costs and life tables</w:t>
            </w:r>
          </w:p>
        </w:tc>
        <w:tc>
          <w:tcPr>
            <w:tcW w:w="550" w:type="pct"/>
            <w:noWrap/>
            <w:vAlign w:val="top"/>
            <w:hideMark/>
          </w:tcPr>
          <w:p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551" w:type="pct"/>
            <w:noWrap/>
            <w:vAlign w:val="top"/>
            <w:hideMark/>
          </w:tcPr>
          <w:p w:rsidR="00F1737B" w:rsidRPr="002F1D0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2F1D01">
              <w:t>4.298</w:t>
            </w:r>
          </w:p>
        </w:tc>
        <w:tc>
          <w:tcPr>
            <w:tcW w:w="679" w:type="pct"/>
            <w:noWrap/>
            <w:vAlign w:val="top"/>
            <w:hideMark/>
          </w:tcPr>
          <w:p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pPr>
            <w:r>
              <w:rPr>
                <w:noProof/>
                <w:color w:val="000000"/>
                <w:highlight w:val="black"/>
              </w:rPr>
              <w:t>''''''''''''''''''</w:t>
            </w:r>
            <w:r w:rsidR="0080663A">
              <w:rPr>
                <w:vertAlign w:val="superscript"/>
              </w:rPr>
              <w:t>3</w:t>
            </w:r>
          </w:p>
        </w:tc>
      </w:tr>
      <w:tr w:rsidR="005B672C" w:rsidRPr="00F64C15" w:rsidTr="00053DB1">
        <w:trPr>
          <w:cantSplit/>
          <w:trHeight w:val="255"/>
        </w:trPr>
        <w:tc>
          <w:tcPr>
            <w:cnfStyle w:val="001000000000" w:firstRow="0" w:lastRow="0" w:firstColumn="1" w:lastColumn="0" w:oddVBand="0" w:evenVBand="0" w:oddHBand="0" w:evenHBand="0" w:firstRowFirstColumn="0" w:firstRowLastColumn="0" w:lastRowFirstColumn="0" w:lastRowLastColumn="0"/>
            <w:tcW w:w="3220" w:type="pct"/>
            <w:noWrap/>
          </w:tcPr>
          <w:p w:rsidR="005B672C" w:rsidRPr="002F1D01" w:rsidRDefault="005B672C" w:rsidP="005B672C">
            <w:pPr>
              <w:pStyle w:val="TableText"/>
            </w:pPr>
            <w:r w:rsidRPr="002F1D01">
              <w:t xml:space="preserve">+ updated model structure (patients enter at point of testing rather than treatment) </w:t>
            </w:r>
            <w:r w:rsidR="00944ED0" w:rsidRPr="002F1D01">
              <w:rPr>
                <w:vertAlign w:val="superscript"/>
              </w:rPr>
              <w:t>b</w:t>
            </w:r>
          </w:p>
        </w:tc>
        <w:tc>
          <w:tcPr>
            <w:tcW w:w="550" w:type="pct"/>
            <w:noWrap/>
            <w:vAlign w:val="top"/>
          </w:tcPr>
          <w:p w:rsidR="005B672C"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551" w:type="pct"/>
            <w:noWrap/>
            <w:vAlign w:val="top"/>
          </w:tcPr>
          <w:p w:rsidR="005B672C" w:rsidRPr="002F1D01" w:rsidRDefault="005B672C"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2F1D01">
              <w:t>0.910</w:t>
            </w:r>
          </w:p>
        </w:tc>
        <w:tc>
          <w:tcPr>
            <w:tcW w:w="679" w:type="pct"/>
            <w:noWrap/>
            <w:vAlign w:val="top"/>
          </w:tcPr>
          <w:p w:rsidR="005B672C"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pPr>
            <w:r>
              <w:rPr>
                <w:noProof/>
                <w:color w:val="000000"/>
                <w:highlight w:val="black"/>
              </w:rPr>
              <w:t>'''''''''''''''''''</w:t>
            </w:r>
            <w:r w:rsidR="0080663A">
              <w:rPr>
                <w:vertAlign w:val="superscript"/>
              </w:rPr>
              <w:t>3</w:t>
            </w:r>
          </w:p>
        </w:tc>
      </w:tr>
    </w:tbl>
    <w:p w:rsidR="00F1737B" w:rsidRPr="002F1D01" w:rsidRDefault="00F1737B" w:rsidP="00F1737B">
      <w:pPr>
        <w:pStyle w:val="TableFooter"/>
      </w:pPr>
      <w:r w:rsidRPr="002F1D01">
        <w:t>Source: Constructed during the evaluation from the ‘A3.1_Larotrectinib_PBACMSAC_CEA_June21_resub_6June21.xlsx’ workbook included in the resubmission, and from the ‘A3.1_Larotrectinib_PBACMSAC_CEA_June2020.xlsm’ workbook included in the previous submission.</w:t>
      </w:r>
    </w:p>
    <w:p w:rsidR="00F1737B" w:rsidRPr="002F1D01" w:rsidRDefault="00F1737B" w:rsidP="00F1737B">
      <w:pPr>
        <w:pStyle w:val="TableFooter"/>
      </w:pPr>
      <w:r w:rsidRPr="002F1D01">
        <w:rPr>
          <w:vertAlign w:val="superscript"/>
        </w:rPr>
        <w:t>a</w:t>
      </w:r>
      <w:r w:rsidRPr="002F1D01">
        <w:t xml:space="preserve"> This analysis was restricted to adult high NTRK fusion frequency and all paediatric tumour types; assumed a 0.68% prevalence in patients with paediatric STS; excluded the proposed utilisation-based rebate; and applied the Australian distribution of tumour types and the most conservative OS and PFS extrapolations for both the larotrectinib and SoC models arms, in high NTRK fusion frequency tumour types only.</w:t>
      </w:r>
    </w:p>
    <w:p w:rsidR="00944ED0" w:rsidRDefault="00944ED0" w:rsidP="00F1737B">
      <w:pPr>
        <w:pStyle w:val="TableFooter"/>
        <w:rPr>
          <w:i/>
        </w:rPr>
      </w:pPr>
      <w:r w:rsidRPr="002F1D01">
        <w:rPr>
          <w:vertAlign w:val="superscript"/>
        </w:rPr>
        <w:t>b</w:t>
      </w:r>
      <w:r w:rsidRPr="002F1D01">
        <w:t xml:space="preserve"> The ICER is the same as the step previous as the assumption of perfect test performance has been retained</w:t>
      </w:r>
      <w:r w:rsidRPr="007E4A2D">
        <w:rPr>
          <w:i/>
        </w:rPr>
        <w:t>.</w:t>
      </w:r>
    </w:p>
    <w:p w:rsidR="00FD03A0" w:rsidRDefault="00FD03A0" w:rsidP="00053DB1">
      <w:pPr>
        <w:pStyle w:val="TableFooter"/>
        <w:spacing w:after="0"/>
      </w:pPr>
      <w:r>
        <w:t xml:space="preserve">ICER = incremental cost=effectiveness ratio; </w:t>
      </w:r>
      <w:r w:rsidRPr="00211488">
        <w:rPr>
          <w:i/>
        </w:rPr>
        <w:t>NTRK</w:t>
      </w:r>
      <w:r>
        <w:t xml:space="preserve"> = </w:t>
      </w:r>
      <w:r w:rsidRPr="00211488">
        <w:t>neurotrophic tropomyosin receptor kinase</w:t>
      </w:r>
      <w:r>
        <w:t>; OS = overall survival; PFS = progression-free survival; QALY = quality-adjusted life year; SoC = standard of care.</w:t>
      </w:r>
    </w:p>
    <w:p w:rsidR="0080663A" w:rsidRDefault="0080663A">
      <w:pPr>
        <w:pStyle w:val="TableFigureFooter"/>
        <w:spacing w:after="0"/>
        <w:contextualSpacing w:val="0"/>
        <w:rPr>
          <w:i/>
        </w:rPr>
      </w:pPr>
      <w:r w:rsidRPr="009868C4">
        <w:rPr>
          <w:i/>
        </w:rPr>
        <w:t>The redacted values correspond to the following ranges</w:t>
      </w:r>
      <w:r>
        <w:rPr>
          <w:i/>
        </w:rPr>
        <w:t xml:space="preserve">: </w:t>
      </w:r>
    </w:p>
    <w:p w:rsidR="0080663A" w:rsidRPr="00870C5D" w:rsidRDefault="0080663A" w:rsidP="0080663A">
      <w:pPr>
        <w:pStyle w:val="TableFigureFooter"/>
        <w:spacing w:after="0"/>
        <w:contextualSpacing w:val="0"/>
      </w:pPr>
      <w:r>
        <w:rPr>
          <w:i/>
          <w:vertAlign w:val="superscript"/>
        </w:rPr>
        <w:t>1</w:t>
      </w:r>
      <w:r>
        <w:rPr>
          <w:i/>
        </w:rPr>
        <w:t xml:space="preserve"> </w:t>
      </w:r>
      <w:r w:rsidRPr="0080663A">
        <w:rPr>
          <w:i/>
        </w:rPr>
        <w:t>$155,000 to &lt; $255,000</w:t>
      </w:r>
    </w:p>
    <w:p w:rsidR="0080663A" w:rsidRPr="00870C5D" w:rsidRDefault="0080663A" w:rsidP="0080663A">
      <w:pPr>
        <w:pStyle w:val="TableFigureFooter"/>
        <w:spacing w:after="0"/>
        <w:contextualSpacing w:val="0"/>
      </w:pPr>
      <w:r>
        <w:rPr>
          <w:i/>
          <w:vertAlign w:val="superscript"/>
        </w:rPr>
        <w:t>2</w:t>
      </w:r>
      <w:r>
        <w:rPr>
          <w:i/>
        </w:rPr>
        <w:t xml:space="preserve"> </w:t>
      </w:r>
      <w:r w:rsidRPr="0080663A">
        <w:rPr>
          <w:i/>
        </w:rPr>
        <w:t>$115,000 to &lt; $135,000</w:t>
      </w:r>
    </w:p>
    <w:p w:rsidR="0080663A" w:rsidRPr="00870C5D" w:rsidRDefault="0080663A" w:rsidP="0080663A">
      <w:pPr>
        <w:pStyle w:val="TableFigureFooter"/>
        <w:spacing w:after="0"/>
        <w:contextualSpacing w:val="0"/>
      </w:pPr>
      <w:r>
        <w:rPr>
          <w:i/>
          <w:vertAlign w:val="superscript"/>
        </w:rPr>
        <w:t>3</w:t>
      </w:r>
      <w:r>
        <w:rPr>
          <w:i/>
        </w:rPr>
        <w:t xml:space="preserve"> </w:t>
      </w:r>
      <w:r w:rsidRPr="0080663A">
        <w:rPr>
          <w:i/>
        </w:rPr>
        <w:t>$75,000 to &lt; $95,000</w:t>
      </w:r>
    </w:p>
    <w:p w:rsidR="0080663A" w:rsidRPr="007E4A2D" w:rsidRDefault="0080663A" w:rsidP="00F1737B">
      <w:pPr>
        <w:pStyle w:val="TableFooter"/>
        <w:rPr>
          <w:i/>
        </w:rPr>
      </w:pPr>
    </w:p>
    <w:p w:rsidR="00F1737B" w:rsidRPr="00B17E1D" w:rsidRDefault="00F1737B" w:rsidP="0080663A">
      <w:pPr>
        <w:pStyle w:val="ListParagraph"/>
        <w:rPr>
          <w:iCs/>
        </w:rPr>
      </w:pPr>
      <w:r w:rsidRPr="00F93434">
        <w:t>The changes that most contribute to the updated ICER are the newly proposed effective price of larotrectinib and the updated larotrectinib data.</w:t>
      </w:r>
      <w:r>
        <w:t xml:space="preserve"> </w:t>
      </w:r>
      <w:r w:rsidRPr="000A3110">
        <w:rPr>
          <w:iCs/>
        </w:rPr>
        <w:t>The updated data lead to substantial differences in the long term modelled estimates (</w:t>
      </w:r>
      <w:r w:rsidR="00796D25" w:rsidRPr="000A3110">
        <w:rPr>
          <w:iCs/>
        </w:rPr>
        <w:t>Table</w:t>
      </w:r>
      <w:r w:rsidR="00D944C2">
        <w:rPr>
          <w:iCs/>
        </w:rPr>
        <w:t xml:space="preserve"> </w:t>
      </w:r>
      <w:r w:rsidR="00796D25" w:rsidRPr="000A3110">
        <w:rPr>
          <w:iCs/>
          <w:noProof/>
        </w:rPr>
        <w:t>25</w:t>
      </w:r>
      <w:r w:rsidRPr="000A3110">
        <w:rPr>
          <w:iCs/>
        </w:rPr>
        <w:t xml:space="preserve">), particularly in the paediatric population that have a high frequency of </w:t>
      </w:r>
      <w:r w:rsidRPr="000A3110">
        <w:rPr>
          <w:i/>
        </w:rPr>
        <w:t>NTRK</w:t>
      </w:r>
      <w:r w:rsidRPr="000A3110">
        <w:rPr>
          <w:iCs/>
        </w:rPr>
        <w:t xml:space="preserve"> fusions. In this population, substantially longer OS is predicted, with shorter ToT compared to the previous submission. As the OS KM data between the two data cuts do not appear to be substantially different</w:t>
      </w:r>
      <w:r w:rsidR="00F94000" w:rsidRPr="000A3110">
        <w:rPr>
          <w:iCs/>
        </w:rPr>
        <w:t xml:space="preserve"> (</w:t>
      </w:r>
      <w:r w:rsidR="00796D25" w:rsidRPr="000A3110">
        <w:rPr>
          <w:iCs/>
        </w:rPr>
        <w:t>Figure 1</w:t>
      </w:r>
      <w:r w:rsidR="00F94000" w:rsidRPr="000A3110">
        <w:rPr>
          <w:iCs/>
        </w:rPr>
        <w:t>)</w:t>
      </w:r>
      <w:r w:rsidRPr="000A3110">
        <w:rPr>
          <w:iCs/>
        </w:rPr>
        <w:t xml:space="preserve">, the difference in the long term modelled estimates may not be reasonable. </w:t>
      </w:r>
      <w:r w:rsidR="007139D6" w:rsidRPr="000A3110">
        <w:rPr>
          <w:iCs/>
        </w:rPr>
        <w:t xml:space="preserve">In the paediatric population that have a low frequency of </w:t>
      </w:r>
      <w:r w:rsidR="007139D6" w:rsidRPr="000A3110">
        <w:rPr>
          <w:i/>
        </w:rPr>
        <w:t>NTRK</w:t>
      </w:r>
      <w:r w:rsidR="007139D6" w:rsidRPr="000A3110">
        <w:rPr>
          <w:iCs/>
        </w:rPr>
        <w:t xml:space="preserve"> fusions, substantially shorter OS is estimated, but with longer PFS and ToT assumed, whereas in the adult population with a high frequency of </w:t>
      </w:r>
      <w:r w:rsidR="007139D6" w:rsidRPr="000A3110">
        <w:rPr>
          <w:i/>
        </w:rPr>
        <w:t>NTRK</w:t>
      </w:r>
      <w:r w:rsidR="007139D6" w:rsidRPr="000A3110">
        <w:rPr>
          <w:iCs/>
        </w:rPr>
        <w:t xml:space="preserve"> fusions, similar OS is projected, with shorter PFS and ToT.</w:t>
      </w:r>
      <w:r w:rsidR="00B443BE">
        <w:rPr>
          <w:iCs/>
        </w:rPr>
        <w:t xml:space="preserve"> </w:t>
      </w:r>
      <w:r w:rsidR="00266204" w:rsidRPr="00CB0B7E">
        <w:rPr>
          <w:iCs/>
        </w:rPr>
        <w:t>The ESCs noted that including the updated data reduced the ICER from</w:t>
      </w:r>
      <w:r w:rsidR="000C1044" w:rsidRPr="00CB0B7E">
        <w:rPr>
          <w:iCs/>
        </w:rPr>
        <w:t xml:space="preserve"> </w:t>
      </w:r>
      <w:r w:rsidR="0080663A" w:rsidRPr="0080663A">
        <w:rPr>
          <w:iCs/>
        </w:rPr>
        <w:t>$115,000 to &lt; $135,000</w:t>
      </w:r>
      <w:r w:rsidR="000C1044" w:rsidRPr="00CB0B7E">
        <w:rPr>
          <w:iCs/>
        </w:rPr>
        <w:t xml:space="preserve">/QALY to </w:t>
      </w:r>
      <w:r w:rsidR="0080663A" w:rsidRPr="0080663A">
        <w:rPr>
          <w:iCs/>
        </w:rPr>
        <w:t>$75,000 to &lt; $95,000</w:t>
      </w:r>
      <w:r w:rsidR="000C1044" w:rsidRPr="00CB0B7E">
        <w:rPr>
          <w:iCs/>
        </w:rPr>
        <w:t>/QALY</w:t>
      </w:r>
      <w:r w:rsidR="00266204" w:rsidRPr="00CB0B7E">
        <w:rPr>
          <w:iCs/>
        </w:rPr>
        <w:t xml:space="preserve">. </w:t>
      </w:r>
      <w:r w:rsidR="00B443BE" w:rsidRPr="00CB0B7E">
        <w:rPr>
          <w:iCs/>
        </w:rPr>
        <w:t xml:space="preserve">The ESCs </w:t>
      </w:r>
      <w:r w:rsidR="00E17939" w:rsidRPr="00CB0B7E">
        <w:rPr>
          <w:iCs/>
        </w:rPr>
        <w:t xml:space="preserve">noted that the </w:t>
      </w:r>
      <w:r w:rsidR="00840DCB" w:rsidRPr="00CB0B7E">
        <w:rPr>
          <w:iCs/>
        </w:rPr>
        <w:t xml:space="preserve">magnitude of </w:t>
      </w:r>
      <w:r w:rsidR="00E17939" w:rsidRPr="00CB0B7E">
        <w:rPr>
          <w:iCs/>
        </w:rPr>
        <w:t xml:space="preserve">increase in QALYs </w:t>
      </w:r>
      <w:r w:rsidR="00266204" w:rsidRPr="00CB0B7E">
        <w:rPr>
          <w:iCs/>
        </w:rPr>
        <w:t xml:space="preserve">gained </w:t>
      </w:r>
      <w:r w:rsidR="00E17939" w:rsidRPr="00CB0B7E">
        <w:rPr>
          <w:iCs/>
        </w:rPr>
        <w:t>resulting from the inclusion of the updated larotrectinib data</w:t>
      </w:r>
      <w:r w:rsidR="009F3C70" w:rsidRPr="00CB0B7E">
        <w:rPr>
          <w:iCs/>
        </w:rPr>
        <w:t xml:space="preserve"> into the model,</w:t>
      </w:r>
      <w:r w:rsidR="00E17939" w:rsidRPr="00CB0B7E">
        <w:rPr>
          <w:iCs/>
        </w:rPr>
        <w:t xml:space="preserve"> </w:t>
      </w:r>
      <w:r w:rsidR="00840DCB" w:rsidRPr="00CB0B7E">
        <w:rPr>
          <w:iCs/>
        </w:rPr>
        <w:t>did not appear consistent with the lack of substantial differences between the previous and updated data</w:t>
      </w:r>
      <w:r w:rsidR="00D537FF" w:rsidRPr="00CB0B7E">
        <w:rPr>
          <w:iCs/>
        </w:rPr>
        <w:t>.</w:t>
      </w:r>
      <w:r w:rsidR="00840DCB" w:rsidRPr="00CB0B7E">
        <w:rPr>
          <w:iCs/>
        </w:rPr>
        <w:t xml:space="preserve"> </w:t>
      </w:r>
      <w:r w:rsidR="009F3C70" w:rsidRPr="00CB0B7E">
        <w:rPr>
          <w:iCs/>
        </w:rPr>
        <w:t>Further,</w:t>
      </w:r>
      <w:r w:rsidR="00E51CDC" w:rsidRPr="00CB0B7E">
        <w:rPr>
          <w:iCs/>
        </w:rPr>
        <w:t xml:space="preserve"> the ESC</w:t>
      </w:r>
      <w:r w:rsidR="00F234BF" w:rsidRPr="00CB0B7E">
        <w:rPr>
          <w:iCs/>
        </w:rPr>
        <w:t>s</w:t>
      </w:r>
      <w:r w:rsidR="00E51CDC" w:rsidRPr="00CB0B7E">
        <w:rPr>
          <w:iCs/>
        </w:rPr>
        <w:t xml:space="preserve"> noted that the substantially longer OS modelled did not appear consistent with the</w:t>
      </w:r>
      <w:r w:rsidR="00F234BF" w:rsidRPr="00CB0B7E">
        <w:rPr>
          <w:iCs/>
        </w:rPr>
        <w:t xml:space="preserve"> </w:t>
      </w:r>
      <w:r w:rsidR="00E51CDC" w:rsidRPr="00CB0B7E">
        <w:rPr>
          <w:iCs/>
        </w:rPr>
        <w:t>shorter ToT modelled, compared to the previous submission. Overall, the ES</w:t>
      </w:r>
      <w:r w:rsidR="00F234BF" w:rsidRPr="00CB0B7E">
        <w:rPr>
          <w:iCs/>
        </w:rPr>
        <w:t>Cs considered there was uncertainty around the internal validity of these model inputs.</w:t>
      </w:r>
      <w:r w:rsidR="00193C90">
        <w:rPr>
          <w:iCs/>
        </w:rPr>
        <w:t xml:space="preserve"> The pre-PBAC </w:t>
      </w:r>
      <w:r w:rsidR="00080CDB">
        <w:rPr>
          <w:iCs/>
        </w:rPr>
        <w:t>r</w:t>
      </w:r>
      <w:r w:rsidR="00193C90">
        <w:rPr>
          <w:iCs/>
        </w:rPr>
        <w:t xml:space="preserve">esponse </w:t>
      </w:r>
      <w:r w:rsidR="003426F7">
        <w:rPr>
          <w:iCs/>
        </w:rPr>
        <w:t>noted it is common for paediatric patients who are treated with larotrectinib to show significant response</w:t>
      </w:r>
      <w:r w:rsidR="001E7970">
        <w:rPr>
          <w:iCs/>
        </w:rPr>
        <w:t xml:space="preserve">, </w:t>
      </w:r>
      <w:r w:rsidR="003426F7">
        <w:rPr>
          <w:iCs/>
        </w:rPr>
        <w:t xml:space="preserve">undergo curative surgery and </w:t>
      </w:r>
      <w:r w:rsidR="001E7970">
        <w:rPr>
          <w:iCs/>
        </w:rPr>
        <w:t xml:space="preserve">then discontinue treatment. The pre-PBAC Response noted that </w:t>
      </w:r>
      <w:r w:rsidR="00DE5FBB">
        <w:rPr>
          <w:iCs/>
        </w:rPr>
        <w:t xml:space="preserve">33 </w:t>
      </w:r>
      <w:r w:rsidR="001E7970">
        <w:rPr>
          <w:iCs/>
        </w:rPr>
        <w:t xml:space="preserve">of the 78 paediatric patients with non-CNS </w:t>
      </w:r>
      <w:r w:rsidR="00DE5FBB">
        <w:rPr>
          <w:iCs/>
        </w:rPr>
        <w:t xml:space="preserve">tumours had discontinued larotrectinib at the July 2020 data cut and 16 (45.5.8%) of these patients had discontinued larotrectinib due to successful tumour resection. </w:t>
      </w:r>
    </w:p>
    <w:p w:rsidR="00257E15" w:rsidRPr="00257E15" w:rsidRDefault="00B17E1D" w:rsidP="00257E15">
      <w:pPr>
        <w:pStyle w:val="ListParagraph"/>
        <w:rPr>
          <w:iCs/>
        </w:rPr>
      </w:pPr>
      <w:r w:rsidRPr="00CB0B7E">
        <w:t xml:space="preserve">The ESCs considered that while the ICER per QALY was now within the range $70,000/QALY to $80,000/QALY previously specified by the PBAC, </w:t>
      </w:r>
      <w:r w:rsidR="001A34D9" w:rsidRPr="00CB0B7E">
        <w:t>it</w:t>
      </w:r>
      <w:r w:rsidRPr="00CB0B7E">
        <w:t xml:space="preserve"> </w:t>
      </w:r>
      <w:r w:rsidR="001A34D9" w:rsidRPr="00CB0B7E">
        <w:t>was potentially underestimated given the uncertainty around whether the</w:t>
      </w:r>
      <w:r w:rsidR="00791FBA" w:rsidRPr="00CB0B7E">
        <w:t xml:space="preserve"> additional </w:t>
      </w:r>
      <w:r w:rsidR="003406EA" w:rsidRPr="00CB0B7E">
        <w:t xml:space="preserve">QALYs </w:t>
      </w:r>
      <w:r w:rsidR="001813E9" w:rsidRPr="00CB0B7E">
        <w:t xml:space="preserve">gained </w:t>
      </w:r>
      <w:r w:rsidR="003406EA" w:rsidRPr="00CB0B7E">
        <w:t>from the updated data</w:t>
      </w:r>
      <w:r w:rsidR="001A34D9" w:rsidRPr="00CB0B7E">
        <w:t xml:space="preserve"> would be realised in practice.</w:t>
      </w:r>
      <w:r w:rsidR="00042237">
        <w:t xml:space="preserve"> The pre-PBAC </w:t>
      </w:r>
      <w:r w:rsidR="006E3B8C">
        <w:t>r</w:t>
      </w:r>
      <w:r w:rsidR="00042237">
        <w:t>esponse</w:t>
      </w:r>
      <w:r w:rsidR="00650CA3">
        <w:t xml:space="preserve"> </w:t>
      </w:r>
      <w:r w:rsidR="00257E15">
        <w:t>stated that</w:t>
      </w:r>
      <w:r w:rsidR="00650CA3">
        <w:t xml:space="preserve"> the results of the economic analysis should be considered</w:t>
      </w:r>
      <w:r w:rsidR="00257E15">
        <w:t xml:space="preserve"> highly</w:t>
      </w:r>
      <w:r w:rsidR="00650CA3">
        <w:t xml:space="preserve"> conservative</w:t>
      </w:r>
      <w:r w:rsidR="00257E15">
        <w:t xml:space="preserve">. The pre-PBAC </w:t>
      </w:r>
      <w:r w:rsidR="006E3B8C">
        <w:t>r</w:t>
      </w:r>
      <w:r w:rsidR="00257E15">
        <w:t>esponse</w:t>
      </w:r>
      <w:r w:rsidR="00BF22A7">
        <w:t xml:space="preserve"> not</w:t>
      </w:r>
      <w:r w:rsidR="00257E15">
        <w:t>ed</w:t>
      </w:r>
      <w:r w:rsidR="00BF22A7">
        <w:t xml:space="preserve"> that Bokemeyer et al., 2021 </w:t>
      </w:r>
      <w:r w:rsidR="00257E15">
        <w:t xml:space="preserve">found that patients with tumours harbouring </w:t>
      </w:r>
      <w:r w:rsidR="00257E15" w:rsidRPr="002A347F">
        <w:rPr>
          <w:i/>
          <w:iCs/>
        </w:rPr>
        <w:t>NTRK</w:t>
      </w:r>
      <w:r w:rsidR="00257E15">
        <w:t xml:space="preserve"> fusions had rapid disease progression </w:t>
      </w:r>
      <w:r w:rsidR="00257E15" w:rsidRPr="00257E15">
        <w:rPr>
          <w:iCs/>
        </w:rPr>
        <w:t xml:space="preserve">indicating that the presence of </w:t>
      </w:r>
      <w:r w:rsidR="00257E15" w:rsidRPr="002A347F">
        <w:rPr>
          <w:i/>
        </w:rPr>
        <w:t>NTRK</w:t>
      </w:r>
      <w:r w:rsidR="00257E15" w:rsidRPr="00257E15">
        <w:rPr>
          <w:iCs/>
        </w:rPr>
        <w:t xml:space="preserve"> gene fusion events</w:t>
      </w:r>
      <w:r w:rsidR="002A347F">
        <w:rPr>
          <w:iCs/>
        </w:rPr>
        <w:t xml:space="preserve"> are not prognostic for favourable outcomes. Further, the pre-PBAC Response considered that the presence of </w:t>
      </w:r>
      <w:r w:rsidR="002A347F" w:rsidRPr="002A347F">
        <w:rPr>
          <w:i/>
        </w:rPr>
        <w:t>NTRK</w:t>
      </w:r>
      <w:r w:rsidR="002A347F">
        <w:rPr>
          <w:iCs/>
        </w:rPr>
        <w:t xml:space="preserve"> fusions would have been negligible across the included SoC studies given the studies did not select from the presence of </w:t>
      </w:r>
      <w:r w:rsidR="002A347F" w:rsidRPr="002A347F">
        <w:rPr>
          <w:i/>
        </w:rPr>
        <w:t>NTRK</w:t>
      </w:r>
      <w:r w:rsidR="002A347F">
        <w:rPr>
          <w:iCs/>
        </w:rPr>
        <w:t xml:space="preserve"> fusion and given the rarity of </w:t>
      </w:r>
      <w:r w:rsidR="002A347F" w:rsidRPr="002A347F">
        <w:rPr>
          <w:i/>
        </w:rPr>
        <w:t xml:space="preserve">NTRK </w:t>
      </w:r>
      <w:r w:rsidR="002A347F">
        <w:rPr>
          <w:iCs/>
        </w:rPr>
        <w:t xml:space="preserve">fusions. </w:t>
      </w:r>
    </w:p>
    <w:p w:rsidR="00F1737B" w:rsidRDefault="00F1737B" w:rsidP="00D117CD">
      <w:pPr>
        <w:pStyle w:val="Caption"/>
        <w:ind w:left="0" w:firstLine="0"/>
      </w:pPr>
      <w:bookmarkStart w:id="90" w:name="_Ref79167627"/>
      <w:r>
        <w:t>Table</w:t>
      </w:r>
      <w:r w:rsidR="00D944C2">
        <w:t xml:space="preserve"> </w:t>
      </w:r>
      <w:r w:rsidR="00BB3DD1">
        <w:rPr>
          <w:noProof/>
        </w:rPr>
        <w:t>25</w:t>
      </w:r>
      <w:bookmarkEnd w:id="90"/>
      <w:r w:rsidR="00D944C2">
        <w:rPr>
          <w:noProof/>
        </w:rPr>
        <w:t>:</w:t>
      </w:r>
      <w:r w:rsidR="00D117CD">
        <w:rPr>
          <w:noProof/>
        </w:rPr>
        <w:t xml:space="preserve"> </w:t>
      </w:r>
      <w:r>
        <w:t>Comparison of modelled survival curves between the previous and current submission</w:t>
      </w:r>
      <w:r w:rsidR="00651A6E">
        <w:t xml:space="preserve">, </w:t>
      </w:r>
      <w:r w:rsidR="00651A6E" w:rsidRPr="007E4A2D">
        <w:t xml:space="preserve">adult high </w:t>
      </w:r>
      <w:r w:rsidR="00651A6E" w:rsidRPr="007E4A2D">
        <w:rPr>
          <w:i/>
        </w:rPr>
        <w:t>NTRK</w:t>
      </w:r>
      <w:r w:rsidR="00651A6E" w:rsidRPr="007E4A2D">
        <w:t xml:space="preserve"> frequency and all paediatric patients</w:t>
      </w:r>
    </w:p>
    <w:tbl>
      <w:tblPr>
        <w:tblStyle w:val="PBACTableStyle"/>
        <w:tblW w:w="5000" w:type="pct"/>
        <w:tblLook w:val="04A0" w:firstRow="1" w:lastRow="0" w:firstColumn="1" w:lastColumn="0" w:noHBand="0" w:noVBand="1"/>
        <w:tblCaption w:val="Table 25: Comparison of modelled survival curves between the previous and current submission, adult high NTRK frequency and all paediatric patients"/>
      </w:tblPr>
      <w:tblGrid>
        <w:gridCol w:w="1414"/>
        <w:gridCol w:w="7602"/>
      </w:tblGrid>
      <w:tr w:rsidR="00F1737B" w:rsidTr="00CB37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4" w:type="pct"/>
            <w:vAlign w:val="top"/>
          </w:tcPr>
          <w:p w:rsidR="00F1737B" w:rsidRDefault="00F1737B" w:rsidP="00CB375A">
            <w:pPr>
              <w:pStyle w:val="TableText"/>
            </w:pPr>
            <w:r>
              <w:t>Analysis</w:t>
            </w:r>
          </w:p>
        </w:tc>
        <w:tc>
          <w:tcPr>
            <w:tcW w:w="4216" w:type="pct"/>
          </w:tcPr>
          <w:p w:rsidR="00F1737B" w:rsidRDefault="00F1737B" w:rsidP="00CB375A">
            <w:pPr>
              <w:pStyle w:val="TableText"/>
              <w:jc w:val="center"/>
              <w:cnfStyle w:val="100000000000" w:firstRow="1" w:lastRow="0" w:firstColumn="0" w:lastColumn="0" w:oddVBand="0" w:evenVBand="0" w:oddHBand="0" w:evenHBand="0" w:firstRowFirstColumn="0" w:firstRowLastColumn="0" w:lastRowFirstColumn="0" w:lastRowLastColumn="0"/>
            </w:pPr>
            <w:r>
              <w:t>Survival curves</w:t>
            </w:r>
          </w:p>
        </w:tc>
      </w:tr>
      <w:tr w:rsidR="00F1737B" w:rsidTr="00CB375A">
        <w:tc>
          <w:tcPr>
            <w:tcW w:w="784" w:type="pct"/>
            <w:vAlign w:val="top"/>
          </w:tcPr>
          <w:p w:rsidR="00F1737B" w:rsidRPr="006C3474" w:rsidRDefault="00F1737B" w:rsidP="00CB375A">
            <w:pPr>
              <w:pStyle w:val="TableText"/>
              <w:cnfStyle w:val="001000000000" w:firstRow="0" w:lastRow="0" w:firstColumn="1" w:lastColumn="0" w:oddVBand="0" w:evenVBand="0" w:oddHBand="0" w:evenHBand="0" w:firstRowFirstColumn="0" w:firstRowLastColumn="0" w:lastRowFirstColumn="0" w:lastRowLastColumn="0"/>
              <w:rPr>
                <w:b/>
              </w:rPr>
            </w:pPr>
            <w:r w:rsidRPr="006C3474">
              <w:rPr>
                <w:b/>
              </w:rPr>
              <w:t xml:space="preserve">Paediatric high </w:t>
            </w:r>
            <w:r w:rsidRPr="006C3474">
              <w:rPr>
                <w:b/>
                <w:i/>
              </w:rPr>
              <w:t>NTRK</w:t>
            </w:r>
            <w:r w:rsidRPr="006C3474">
              <w:rPr>
                <w:b/>
              </w:rPr>
              <w:t xml:space="preserve"> fusion frequency</w:t>
            </w:r>
          </w:p>
          <w:p w:rsidR="00F1737B" w:rsidRDefault="00F1737B" w:rsidP="00CB375A">
            <w:pPr>
              <w:pStyle w:val="TableText"/>
              <w:cnfStyle w:val="001000000000" w:firstRow="0" w:lastRow="0" w:firstColumn="1" w:lastColumn="0" w:oddVBand="0" w:evenVBand="0" w:oddHBand="0" w:evenHBand="0" w:firstRowFirstColumn="0" w:firstRowLastColumn="0" w:lastRowFirstColumn="0" w:lastRowLastColumn="0"/>
            </w:pPr>
            <w:r>
              <w:t xml:space="preserve">(represented by </w:t>
            </w:r>
          </w:p>
          <w:p w:rsidR="00F1737B" w:rsidRPr="006C3474" w:rsidRDefault="00F1737B" w:rsidP="00CB375A">
            <w:pPr>
              <w:pStyle w:val="TableText"/>
              <w:cnfStyle w:val="001000000000" w:firstRow="0" w:lastRow="0" w:firstColumn="1" w:lastColumn="0" w:oddVBand="0" w:evenVBand="0" w:oddHBand="0" w:evenHBand="0" w:firstRowFirstColumn="0" w:firstRowLastColumn="0" w:lastRowFirstColumn="0" w:lastRowLastColumn="0"/>
            </w:pPr>
            <w:r>
              <w:t>p</w:t>
            </w:r>
            <w:r w:rsidRPr="006C3474">
              <w:t>aediatric IFS and STS</w:t>
            </w:r>
            <w:r>
              <w:t>)</w:t>
            </w:r>
          </w:p>
          <w:p w:rsidR="00F1737B" w:rsidRDefault="00F1737B" w:rsidP="00CB375A">
            <w:pPr>
              <w:pStyle w:val="TableText"/>
              <w:jc w:val="center"/>
              <w:cnfStyle w:val="001000000000" w:firstRow="0" w:lastRow="0" w:firstColumn="1" w:lastColumn="0" w:oddVBand="0" w:evenVBand="0" w:oddHBand="0" w:evenHBand="0" w:firstRowFirstColumn="0" w:firstRowLastColumn="0" w:lastRowFirstColumn="0" w:lastRowLastColumn="0"/>
            </w:pPr>
          </w:p>
          <w:p w:rsidR="00F1737B" w:rsidRDefault="00F1737B" w:rsidP="00CB375A">
            <w:pPr>
              <w:pStyle w:val="TableText"/>
              <w:jc w:val="center"/>
              <w:cnfStyle w:val="001000000000" w:firstRow="0" w:lastRow="0" w:firstColumn="1" w:lastColumn="0" w:oddVBand="0" w:evenVBand="0" w:oddHBand="0" w:evenHBand="0" w:firstRowFirstColumn="0" w:firstRowLastColumn="0" w:lastRowFirstColumn="0" w:lastRowLastColumn="0"/>
            </w:pPr>
          </w:p>
          <w:p w:rsidR="00F1737B" w:rsidRDefault="00F1737B" w:rsidP="00CB375A">
            <w:pPr>
              <w:pStyle w:val="TableText"/>
              <w:jc w:val="center"/>
              <w:cnfStyle w:val="001000000000" w:firstRow="0" w:lastRow="0" w:firstColumn="1" w:lastColumn="0" w:oddVBand="0" w:evenVBand="0" w:oddHBand="0" w:evenHBand="0" w:firstRowFirstColumn="0" w:firstRowLastColumn="0" w:lastRowFirstColumn="0" w:lastRowLastColumn="0"/>
            </w:pPr>
          </w:p>
          <w:p w:rsidR="00F1737B" w:rsidRPr="001813E9" w:rsidRDefault="00F1737B" w:rsidP="00CB375A">
            <w:pPr>
              <w:pStyle w:val="TableText"/>
              <w:cnfStyle w:val="001000000000" w:firstRow="0" w:lastRow="0" w:firstColumn="1" w:lastColumn="0" w:oddVBand="0" w:evenVBand="0" w:oddHBand="0" w:evenHBand="0" w:firstRowFirstColumn="0" w:firstRowLastColumn="0" w:lastRowFirstColumn="0" w:lastRowLastColumn="0"/>
            </w:pPr>
            <w:r w:rsidRPr="006E4469">
              <w:t>PFS and OS extrapolations were revised to the most conservative selections</w:t>
            </w:r>
          </w:p>
        </w:tc>
        <w:tc>
          <w:tcPr>
            <w:tcW w:w="4216" w:type="pct"/>
          </w:tcPr>
          <w:p w:rsidR="00F1737B" w:rsidRDefault="00F1737B" w:rsidP="00CB375A">
            <w:pPr>
              <w:pStyle w:val="TableText"/>
              <w:jc w:val="center"/>
            </w:pPr>
            <w:r>
              <w:rPr>
                <w:noProof/>
              </w:rPr>
              <w:drawing>
                <wp:inline distT="0" distB="0" distL="0" distR="0" wp14:anchorId="59707C3A" wp14:editId="4B5AB16F">
                  <wp:extent cx="4680000" cy="2404455"/>
                  <wp:effectExtent l="0" t="0" r="6350" b="0"/>
                  <wp:docPr id="73" name="Picture 73" title="Paediatric high NTRK fusion frequ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0000" cy="2404455"/>
                          </a:xfrm>
                          <a:prstGeom prst="rect">
                            <a:avLst/>
                          </a:prstGeom>
                          <a:noFill/>
                        </pic:spPr>
                      </pic:pic>
                    </a:graphicData>
                  </a:graphic>
                </wp:inline>
              </w:drawing>
            </w:r>
          </w:p>
        </w:tc>
      </w:tr>
      <w:tr w:rsidR="00F1737B" w:rsidTr="00CB375A">
        <w:tc>
          <w:tcPr>
            <w:tcW w:w="784" w:type="pct"/>
            <w:vAlign w:val="top"/>
          </w:tcPr>
          <w:p w:rsidR="00F1737B" w:rsidRPr="006C3474" w:rsidRDefault="00F1737B" w:rsidP="00CB375A">
            <w:pPr>
              <w:pStyle w:val="TableText"/>
              <w:cnfStyle w:val="001000000000" w:firstRow="0" w:lastRow="0" w:firstColumn="1" w:lastColumn="0" w:oddVBand="0" w:evenVBand="0" w:oddHBand="0" w:evenHBand="0" w:firstRowFirstColumn="0" w:firstRowLastColumn="0" w:lastRowFirstColumn="0" w:lastRowLastColumn="0"/>
              <w:rPr>
                <w:b/>
              </w:rPr>
            </w:pPr>
            <w:r w:rsidRPr="006C3474">
              <w:rPr>
                <w:b/>
              </w:rPr>
              <w:t xml:space="preserve">Paediatric low </w:t>
            </w:r>
            <w:r w:rsidRPr="006C3474">
              <w:rPr>
                <w:b/>
                <w:i/>
              </w:rPr>
              <w:t>NTRK</w:t>
            </w:r>
            <w:r w:rsidRPr="006C3474">
              <w:rPr>
                <w:b/>
              </w:rPr>
              <w:t xml:space="preserve"> fusion frequency </w:t>
            </w:r>
          </w:p>
          <w:p w:rsidR="00F1737B" w:rsidRDefault="00F1737B" w:rsidP="00CB375A">
            <w:pPr>
              <w:pStyle w:val="TableText"/>
              <w:cnfStyle w:val="001000000000" w:firstRow="0" w:lastRow="0" w:firstColumn="1" w:lastColumn="0" w:oddVBand="0" w:evenVBand="0" w:oddHBand="0" w:evenHBand="0" w:firstRowFirstColumn="0" w:firstRowLastColumn="0" w:lastRowFirstColumn="0" w:lastRowLastColumn="0"/>
            </w:pPr>
            <w:r>
              <w:t>(</w:t>
            </w:r>
            <w:r w:rsidRPr="006C3474">
              <w:t xml:space="preserve">represented by Paediatric primary CNS) </w:t>
            </w:r>
          </w:p>
          <w:p w:rsidR="00972F81" w:rsidRPr="00972F81" w:rsidRDefault="00972F81" w:rsidP="00972F81">
            <w:pPr>
              <w:pStyle w:val="TableText"/>
              <w:cnfStyle w:val="001000000000" w:firstRow="0" w:lastRow="0" w:firstColumn="1" w:lastColumn="0" w:oddVBand="0" w:evenVBand="0" w:oddHBand="0" w:evenHBand="0" w:firstRowFirstColumn="0" w:firstRowLastColumn="0" w:lastRowFirstColumn="0" w:lastRowLastColumn="0"/>
              <w:rPr>
                <w:i/>
              </w:rPr>
            </w:pPr>
          </w:p>
        </w:tc>
        <w:tc>
          <w:tcPr>
            <w:tcW w:w="4216" w:type="pct"/>
          </w:tcPr>
          <w:p w:rsidR="00F1737B" w:rsidRDefault="00F1737B" w:rsidP="00CB375A">
            <w:pPr>
              <w:pStyle w:val="TableText"/>
              <w:jc w:val="center"/>
            </w:pPr>
            <w:r>
              <w:rPr>
                <w:noProof/>
              </w:rPr>
              <w:drawing>
                <wp:inline distT="0" distB="0" distL="0" distR="0" wp14:anchorId="7155CC88" wp14:editId="03947C1D">
                  <wp:extent cx="4680000" cy="2404455"/>
                  <wp:effectExtent l="0" t="0" r="6350" b="0"/>
                  <wp:docPr id="76" name="Picture 76" title="Paediatric low NTRK fusion frequ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0000" cy="2404455"/>
                          </a:xfrm>
                          <a:prstGeom prst="rect">
                            <a:avLst/>
                          </a:prstGeom>
                          <a:noFill/>
                        </pic:spPr>
                      </pic:pic>
                    </a:graphicData>
                  </a:graphic>
                </wp:inline>
              </w:drawing>
            </w:r>
          </w:p>
        </w:tc>
      </w:tr>
      <w:tr w:rsidR="00F1737B" w:rsidTr="00CB375A">
        <w:tc>
          <w:tcPr>
            <w:cnfStyle w:val="001000000000" w:firstRow="0" w:lastRow="0" w:firstColumn="1" w:lastColumn="0" w:oddVBand="0" w:evenVBand="0" w:oddHBand="0" w:evenHBand="0" w:firstRowFirstColumn="0" w:firstRowLastColumn="0" w:lastRowFirstColumn="0" w:lastRowLastColumn="0"/>
            <w:tcW w:w="784" w:type="pct"/>
            <w:vAlign w:val="top"/>
          </w:tcPr>
          <w:p w:rsidR="00F1737B" w:rsidRPr="006C3474" w:rsidRDefault="00F1737B" w:rsidP="00CB375A">
            <w:pPr>
              <w:pStyle w:val="TableText"/>
              <w:rPr>
                <w:b/>
              </w:rPr>
            </w:pPr>
            <w:r w:rsidRPr="006C3474">
              <w:rPr>
                <w:b/>
              </w:rPr>
              <w:t xml:space="preserve">Adult high </w:t>
            </w:r>
            <w:r w:rsidRPr="006C3474">
              <w:rPr>
                <w:b/>
                <w:i/>
              </w:rPr>
              <w:t>NTRK</w:t>
            </w:r>
            <w:r w:rsidRPr="006C3474">
              <w:rPr>
                <w:b/>
              </w:rPr>
              <w:t xml:space="preserve"> fusion frequency </w:t>
            </w:r>
          </w:p>
          <w:p w:rsidR="00F1737B" w:rsidRPr="006C3474" w:rsidRDefault="00F1737B" w:rsidP="00CB375A">
            <w:pPr>
              <w:pStyle w:val="TableText"/>
            </w:pPr>
            <w:r>
              <w:t>(</w:t>
            </w:r>
            <w:r w:rsidRPr="006C3474">
              <w:t xml:space="preserve">represented by MASC) </w:t>
            </w:r>
          </w:p>
          <w:p w:rsidR="00F1737B" w:rsidRDefault="00F1737B" w:rsidP="00CB375A">
            <w:pPr>
              <w:pStyle w:val="TableText"/>
              <w:jc w:val="center"/>
            </w:pPr>
          </w:p>
          <w:p w:rsidR="00F1737B" w:rsidRDefault="00F1737B" w:rsidP="00CB375A">
            <w:pPr>
              <w:pStyle w:val="TableText"/>
              <w:jc w:val="center"/>
            </w:pPr>
          </w:p>
          <w:p w:rsidR="00F1737B" w:rsidRDefault="00F1737B" w:rsidP="00CB375A">
            <w:pPr>
              <w:pStyle w:val="TableText"/>
              <w:jc w:val="center"/>
            </w:pPr>
          </w:p>
          <w:p w:rsidR="00F1737B" w:rsidRPr="00B60B3A" w:rsidRDefault="00F1737B" w:rsidP="00CB375A">
            <w:pPr>
              <w:pStyle w:val="TableText"/>
              <w:jc w:val="center"/>
            </w:pPr>
          </w:p>
          <w:p w:rsidR="00F1737B" w:rsidRDefault="00F1737B" w:rsidP="00CB375A">
            <w:pPr>
              <w:pStyle w:val="TableText"/>
            </w:pPr>
            <w:r w:rsidRPr="006E4469">
              <w:t>PFS and OS extrapolations were revised to the most conservative selections</w:t>
            </w:r>
          </w:p>
        </w:tc>
        <w:tc>
          <w:tcPr>
            <w:tcW w:w="4216" w:type="pct"/>
          </w:tcPr>
          <w:p w:rsidR="00F1737B"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26A1E01" wp14:editId="6C0DF26A">
                  <wp:extent cx="4680000" cy="2406475"/>
                  <wp:effectExtent l="0" t="0" r="6350" b="0"/>
                  <wp:docPr id="78" name="Picture 78" title="Adult high NTRK fusion frequ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0000" cy="2406475"/>
                          </a:xfrm>
                          <a:prstGeom prst="rect">
                            <a:avLst/>
                          </a:prstGeom>
                          <a:noFill/>
                        </pic:spPr>
                      </pic:pic>
                    </a:graphicData>
                  </a:graphic>
                </wp:inline>
              </w:drawing>
            </w:r>
          </w:p>
        </w:tc>
      </w:tr>
    </w:tbl>
    <w:p w:rsidR="00F1737B" w:rsidRPr="008939DB" w:rsidRDefault="00F1737B" w:rsidP="00F1737B">
      <w:pPr>
        <w:pStyle w:val="TableFooter"/>
        <w:rPr>
          <w:iCs/>
        </w:rPr>
      </w:pPr>
      <w:r>
        <w:t xml:space="preserve">Source: </w:t>
      </w:r>
      <w:r w:rsidRPr="008939DB">
        <w:rPr>
          <w:iCs/>
        </w:rPr>
        <w:t>Constructed during the evaluation from the ‘A3.1_Larotrectinib_PBACMSAC_CEA_June21_resub_6June21.xlsx’ workbook included in the resubmission, and from the ‘A3.1_Larotrectinib_PBACMSAC_CEA_June2020.xlsm’ workbook included in the previous submission.</w:t>
      </w:r>
    </w:p>
    <w:p w:rsidR="00F1737B" w:rsidRPr="00895979" w:rsidRDefault="00F1737B" w:rsidP="00F1737B">
      <w:pPr>
        <w:pStyle w:val="TableFooter"/>
      </w:pPr>
      <w:r>
        <w:t>CNS = central nervous system; CRC = colorectal cancer; IFS = infantile fibrosarcoma; KM = Kaplan-Meier; MASC = m</w:t>
      </w:r>
      <w:r w:rsidRPr="004834F1">
        <w:t>ammary analogue secretory carcinoma</w:t>
      </w:r>
      <w:r>
        <w:t>;</w:t>
      </w:r>
      <w:r w:rsidRPr="004834F1">
        <w:t xml:space="preserve"> </w:t>
      </w:r>
      <w:r w:rsidRPr="00211488">
        <w:rPr>
          <w:i/>
        </w:rPr>
        <w:t>NTRK</w:t>
      </w:r>
      <w:r>
        <w:t xml:space="preserve"> = </w:t>
      </w:r>
      <w:r w:rsidRPr="00211488">
        <w:t>neurotrophic tropomyosin receptor kinase</w:t>
      </w:r>
      <w:r>
        <w:t>; OS = overall survival; PFS = progression-free survival; ToT = time on treatment.</w:t>
      </w:r>
    </w:p>
    <w:p w:rsidR="00F1737B" w:rsidRPr="00E15063" w:rsidRDefault="00F1737B" w:rsidP="0080663A">
      <w:pPr>
        <w:pStyle w:val="ListParagraph"/>
      </w:pPr>
      <w:r w:rsidRPr="00F93434">
        <w:t>The results of the economic evaluation for th</w:t>
      </w:r>
      <w:r>
        <w:t>e</w:t>
      </w:r>
      <w:r w:rsidRPr="00F93434">
        <w:t xml:space="preserve"> group</w:t>
      </w:r>
      <w:r>
        <w:t xml:space="preserve"> of adult low</w:t>
      </w:r>
      <w:r w:rsidRPr="00F93434">
        <w:t xml:space="preserve"> </w:t>
      </w:r>
      <w:r w:rsidRPr="00F93434">
        <w:rPr>
          <w:i/>
        </w:rPr>
        <w:t>NTRK</w:t>
      </w:r>
      <w:r w:rsidRPr="00F93434">
        <w:t xml:space="preserve"> frequency tumour types </w:t>
      </w:r>
      <w:r>
        <w:t xml:space="preserve">combined </w:t>
      </w:r>
      <w:r w:rsidRPr="00F93434">
        <w:t xml:space="preserve">is presented in </w:t>
      </w:r>
      <w:r w:rsidR="00796D25" w:rsidRPr="000A3110">
        <w:t>Table</w:t>
      </w:r>
      <w:r w:rsidR="00D944C2">
        <w:t xml:space="preserve"> </w:t>
      </w:r>
      <w:r w:rsidR="00796D25" w:rsidRPr="000A3110">
        <w:rPr>
          <w:noProof/>
        </w:rPr>
        <w:t>26</w:t>
      </w:r>
      <w:r w:rsidRPr="000A3110">
        <w:t xml:space="preserve">. The </w:t>
      </w:r>
      <w:r w:rsidR="009A3FE6" w:rsidRPr="00063F2B">
        <w:rPr>
          <w:iCs/>
        </w:rPr>
        <w:t>ESC</w:t>
      </w:r>
      <w:r w:rsidR="00063F2B" w:rsidRPr="00063F2B">
        <w:rPr>
          <w:iCs/>
        </w:rPr>
        <w:t>s</w:t>
      </w:r>
      <w:r w:rsidR="009A3FE6" w:rsidRPr="00063F2B">
        <w:rPr>
          <w:iCs/>
        </w:rPr>
        <w:t xml:space="preserve"> considered the </w:t>
      </w:r>
      <w:r w:rsidRPr="00063F2B">
        <w:rPr>
          <w:iCs/>
        </w:rPr>
        <w:t>resubmission base case estimate for this tumour type group is not appropriate, as</w:t>
      </w:r>
      <w:r w:rsidRPr="000A3110">
        <w:t xml:space="preserve"> the larotrectinib data used in the analysis was not restricted to adult tumour types with low </w:t>
      </w:r>
      <w:r w:rsidRPr="000A3110">
        <w:rPr>
          <w:i/>
          <w:iCs/>
        </w:rPr>
        <w:t>NTRK</w:t>
      </w:r>
      <w:r w:rsidRPr="000A3110">
        <w:t xml:space="preserve"> fusion frequency.</w:t>
      </w:r>
      <w:r w:rsidR="0075084E" w:rsidRPr="000A3110">
        <w:t xml:space="preserve"> As per the </w:t>
      </w:r>
      <w:r w:rsidR="00650223" w:rsidRPr="000A3110">
        <w:t xml:space="preserve">group of adult high </w:t>
      </w:r>
      <w:r w:rsidR="00650223" w:rsidRPr="000A3110">
        <w:rPr>
          <w:i/>
          <w:iCs/>
        </w:rPr>
        <w:t>NTRK</w:t>
      </w:r>
      <w:r w:rsidR="00650223" w:rsidRPr="000A3110">
        <w:t xml:space="preserve"> frequency and all paediatric tumour types combined, a</w:t>
      </w:r>
      <w:r w:rsidR="0075084E" w:rsidRPr="000A3110">
        <w:t>nalyses are also presented based on the tumour types subgroup analyses (i.e. only those tumour types that are relevant), weighted firstly as per the larotrectinib studies, and then as expected in practice.</w:t>
      </w:r>
      <w:r w:rsidR="00265396">
        <w:t xml:space="preserve"> </w:t>
      </w:r>
      <w:r w:rsidR="007F7C93" w:rsidRPr="00063F2B">
        <w:t>The ESC</w:t>
      </w:r>
      <w:r w:rsidR="00AB5906" w:rsidRPr="00063F2B">
        <w:t>s</w:t>
      </w:r>
      <w:r w:rsidR="007F7C93" w:rsidRPr="00063F2B">
        <w:t xml:space="preserve"> considered that </w:t>
      </w:r>
      <w:r w:rsidR="007277CB" w:rsidRPr="00063F2B">
        <w:t xml:space="preserve">the base case for the adult low NTRK frequency tumour subgroup should be respecified to </w:t>
      </w:r>
      <w:r w:rsidR="0080663A" w:rsidRPr="0080663A">
        <w:t>$75,000 to &lt; $95,000</w:t>
      </w:r>
      <w:r w:rsidR="0080663A">
        <w:t xml:space="preserve"> </w:t>
      </w:r>
      <w:r w:rsidR="007277CB" w:rsidRPr="00063F2B">
        <w:t xml:space="preserve">per QALY, </w:t>
      </w:r>
      <w:r w:rsidR="00DE4BE8" w:rsidRPr="00063F2B">
        <w:t>to</w:t>
      </w:r>
      <w:r w:rsidR="007277CB" w:rsidRPr="00063F2B">
        <w:t xml:space="preserve"> account fo</w:t>
      </w:r>
      <w:r w:rsidR="00DE4BE8" w:rsidRPr="00063F2B">
        <w:t>r only low NTRK frequency tumours and</w:t>
      </w:r>
      <w:r w:rsidR="00C865CE" w:rsidRPr="00063F2B">
        <w:t xml:space="preserve"> weighting of</w:t>
      </w:r>
      <w:r w:rsidR="00DE4BE8" w:rsidRPr="00063F2B">
        <w:t xml:space="preserve"> tumour types according to their expected distribution in Australian clinical practice.</w:t>
      </w:r>
      <w:r w:rsidR="008E49A5" w:rsidRPr="008E49A5">
        <w:t xml:space="preserve"> </w:t>
      </w:r>
      <w:r w:rsidR="008E49A5">
        <w:t xml:space="preserve">The PBAC noted the ICER was higher </w:t>
      </w:r>
      <w:r w:rsidR="008E49A5" w:rsidRPr="008E49A5">
        <w:t>using the effective prices for trifluride+tipiracil and lenvatinib (rather than the published price)</w:t>
      </w:r>
      <w:r w:rsidR="008E49A5">
        <w:t xml:space="preserve">. </w:t>
      </w:r>
    </w:p>
    <w:p w:rsidR="00F1737B" w:rsidRDefault="00F1737B" w:rsidP="00AF023C">
      <w:pPr>
        <w:pStyle w:val="Caption"/>
      </w:pPr>
      <w:bookmarkStart w:id="91" w:name="_Ref79167640"/>
      <w:r>
        <w:t>Table</w:t>
      </w:r>
      <w:r w:rsidR="00D944C2">
        <w:t xml:space="preserve"> </w:t>
      </w:r>
      <w:r w:rsidR="00BB3DD1">
        <w:rPr>
          <w:noProof/>
        </w:rPr>
        <w:t>26</w:t>
      </w:r>
      <w:bookmarkEnd w:id="91"/>
      <w:r w:rsidR="00D117CD">
        <w:rPr>
          <w:noProof/>
        </w:rPr>
        <w:t xml:space="preserve">: </w:t>
      </w:r>
      <w:r>
        <w:t>Results of the economic evaluation, specified a</w:t>
      </w:r>
      <w:r w:rsidRPr="002A05A4">
        <w:t xml:space="preserve">dult </w:t>
      </w:r>
      <w:r>
        <w:t>low</w:t>
      </w:r>
      <w:r w:rsidRPr="002A05A4">
        <w:t xml:space="preserve"> </w:t>
      </w:r>
      <w:r w:rsidRPr="00E15063">
        <w:rPr>
          <w:i/>
        </w:rPr>
        <w:t>NTRK</w:t>
      </w:r>
      <w:r w:rsidRPr="002A05A4">
        <w:t xml:space="preserve"> frequency </w:t>
      </w:r>
      <w:r>
        <w:t>tumour types combined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64"/>
        <w:gridCol w:w="2553"/>
        <w:gridCol w:w="1417"/>
        <w:gridCol w:w="1082"/>
      </w:tblGrid>
      <w:tr w:rsidR="00F1737B" w:rsidRPr="00495E72" w:rsidTr="00356521">
        <w:trPr>
          <w:tblHeader/>
        </w:trPr>
        <w:tc>
          <w:tcPr>
            <w:tcW w:w="2198" w:type="pct"/>
            <w:tcBorders>
              <w:bottom w:val="single" w:sz="4" w:space="0" w:color="auto"/>
            </w:tcBorders>
            <w:vAlign w:val="bottom"/>
          </w:tcPr>
          <w:p w:rsidR="00F1737B" w:rsidRPr="00495E72" w:rsidRDefault="00F1737B" w:rsidP="00AF023C">
            <w:pPr>
              <w:pStyle w:val="TableText"/>
              <w:keepNext/>
              <w:rPr>
                <w:b/>
              </w:rPr>
            </w:pPr>
          </w:p>
        </w:tc>
        <w:tc>
          <w:tcPr>
            <w:tcW w:w="1416" w:type="pct"/>
            <w:tcBorders>
              <w:bottom w:val="single" w:sz="4" w:space="0" w:color="auto"/>
            </w:tcBorders>
            <w:vAlign w:val="bottom"/>
          </w:tcPr>
          <w:p w:rsidR="00F1737B" w:rsidRPr="00606AF9" w:rsidRDefault="00F1737B" w:rsidP="00AF023C">
            <w:pPr>
              <w:pStyle w:val="TableText"/>
              <w:keepNext/>
              <w:jc w:val="center"/>
              <w:rPr>
                <w:b/>
              </w:rPr>
            </w:pPr>
            <w:r>
              <w:rPr>
                <w:b/>
                <w:i/>
              </w:rPr>
              <w:t>NTRK</w:t>
            </w:r>
            <w:r>
              <w:rPr>
                <w:b/>
              </w:rPr>
              <w:t xml:space="preserve"> testing + larotrectinib</w:t>
            </w:r>
            <w:r w:rsidR="00D31DDC">
              <w:rPr>
                <w:b/>
              </w:rPr>
              <w:t xml:space="preserve"> </w:t>
            </w:r>
            <w:r w:rsidR="00D31DDC" w:rsidRPr="00365FEB">
              <w:rPr>
                <w:b/>
              </w:rPr>
              <w:t xml:space="preserve">in </w:t>
            </w:r>
            <w:r w:rsidR="00D31DDC" w:rsidRPr="00365FEB">
              <w:rPr>
                <w:b/>
                <w:i/>
              </w:rPr>
              <w:t xml:space="preserve">NTRK+ </w:t>
            </w:r>
            <w:r w:rsidR="00D31DDC" w:rsidRPr="00365FEB">
              <w:rPr>
                <w:b/>
              </w:rPr>
              <w:t xml:space="preserve">and SoC in </w:t>
            </w:r>
            <w:r w:rsidR="00D31DDC" w:rsidRPr="00365FEB">
              <w:rPr>
                <w:b/>
                <w:i/>
              </w:rPr>
              <w:t>NTRK−</w:t>
            </w:r>
          </w:p>
        </w:tc>
        <w:tc>
          <w:tcPr>
            <w:tcW w:w="786" w:type="pct"/>
            <w:tcBorders>
              <w:bottom w:val="single" w:sz="4" w:space="0" w:color="auto"/>
            </w:tcBorders>
            <w:vAlign w:val="bottom"/>
          </w:tcPr>
          <w:p w:rsidR="00F1737B" w:rsidRPr="00495E72" w:rsidRDefault="00F1737B" w:rsidP="00AF023C">
            <w:pPr>
              <w:pStyle w:val="TableText"/>
              <w:keepNext/>
              <w:jc w:val="center"/>
              <w:rPr>
                <w:b/>
              </w:rPr>
            </w:pPr>
            <w:r>
              <w:rPr>
                <w:b/>
              </w:rPr>
              <w:t xml:space="preserve">No testing + </w:t>
            </w:r>
            <w:r>
              <w:rPr>
                <w:b/>
              </w:rPr>
              <w:br/>
            </w:r>
            <w:r w:rsidRPr="00495E72">
              <w:rPr>
                <w:b/>
              </w:rPr>
              <w:t>SoC</w:t>
            </w:r>
          </w:p>
        </w:tc>
        <w:tc>
          <w:tcPr>
            <w:tcW w:w="600" w:type="pct"/>
            <w:tcBorders>
              <w:bottom w:val="single" w:sz="4" w:space="0" w:color="auto"/>
            </w:tcBorders>
            <w:vAlign w:val="bottom"/>
          </w:tcPr>
          <w:p w:rsidR="00F1737B" w:rsidRPr="00495E72" w:rsidRDefault="00F1737B" w:rsidP="00AF023C">
            <w:pPr>
              <w:pStyle w:val="TableText"/>
              <w:keepNext/>
              <w:jc w:val="center"/>
              <w:rPr>
                <w:b/>
              </w:rPr>
            </w:pPr>
            <w:r w:rsidRPr="00495E72">
              <w:rPr>
                <w:b/>
              </w:rPr>
              <w:t>Increment</w:t>
            </w:r>
          </w:p>
        </w:tc>
      </w:tr>
      <w:tr w:rsidR="00F1737B" w:rsidRPr="00495E72" w:rsidTr="00CB375A">
        <w:tc>
          <w:tcPr>
            <w:tcW w:w="5000" w:type="pct"/>
            <w:gridSpan w:val="4"/>
            <w:tcBorders>
              <w:bottom w:val="single" w:sz="4" w:space="0" w:color="auto"/>
            </w:tcBorders>
          </w:tcPr>
          <w:p w:rsidR="00F1737B" w:rsidRPr="001E5EA9" w:rsidRDefault="00A0573C" w:rsidP="00AF023C">
            <w:pPr>
              <w:pStyle w:val="TableText"/>
              <w:keepNext/>
              <w:spacing w:line="257" w:lineRule="auto"/>
            </w:pPr>
            <w:r>
              <w:rPr>
                <w:b/>
              </w:rPr>
              <w:t>Resubmission base case (larotrectinib data based on the overall pooled analysis set)</w:t>
            </w:r>
          </w:p>
        </w:tc>
      </w:tr>
      <w:tr w:rsidR="00F1737B" w:rsidRPr="00962538" w:rsidTr="00356521">
        <w:tc>
          <w:tcPr>
            <w:tcW w:w="2198" w:type="pct"/>
            <w:tcBorders>
              <w:bottom w:val="nil"/>
            </w:tcBorders>
          </w:tcPr>
          <w:p w:rsidR="00F1737B" w:rsidRPr="00053DB1" w:rsidRDefault="00F1737B">
            <w:pPr>
              <w:pStyle w:val="TableText"/>
              <w:keepNext/>
              <w:spacing w:line="257" w:lineRule="auto"/>
              <w:rPr>
                <w:vertAlign w:val="superscript"/>
              </w:rPr>
            </w:pPr>
            <w:r>
              <w:t>C</w:t>
            </w:r>
            <w:r w:rsidRPr="000A5E6B">
              <w:t>ost</w:t>
            </w:r>
            <w:r w:rsidR="0080663A">
              <w:t xml:space="preserve"> ($)</w:t>
            </w:r>
          </w:p>
        </w:tc>
        <w:tc>
          <w:tcPr>
            <w:tcW w:w="1416" w:type="pct"/>
            <w:tcBorders>
              <w:bottom w:val="nil"/>
            </w:tcBorders>
          </w:tcPr>
          <w:p w:rsidR="00F1737B" w:rsidRPr="00675CB4" w:rsidRDefault="00675CB4" w:rsidP="00AF023C">
            <w:pPr>
              <w:pStyle w:val="TableText"/>
              <w:keepNext/>
              <w:spacing w:line="257" w:lineRule="auto"/>
              <w:jc w:val="right"/>
              <w:rPr>
                <w:rFonts w:ascii="Times" w:eastAsia="Times New Roman" w:hAnsi="Times" w:cs="Times New Roman"/>
                <w:highlight w:val="black"/>
              </w:rPr>
            </w:pPr>
            <w:r>
              <w:rPr>
                <w:noProof/>
                <w:color w:val="000000"/>
                <w:highlight w:val="black"/>
              </w:rPr>
              <w:t>''''''''''''''''''''</w:t>
            </w:r>
          </w:p>
        </w:tc>
        <w:tc>
          <w:tcPr>
            <w:tcW w:w="786" w:type="pct"/>
            <w:tcBorders>
              <w:bottom w:val="nil"/>
            </w:tcBorders>
          </w:tcPr>
          <w:p w:rsidR="00F1737B" w:rsidRPr="00962538" w:rsidRDefault="00F1737B" w:rsidP="00AF023C">
            <w:pPr>
              <w:pStyle w:val="TableText"/>
              <w:keepNext/>
              <w:spacing w:line="257" w:lineRule="auto"/>
              <w:jc w:val="right"/>
              <w:rPr>
                <w:rFonts w:ascii="Times" w:eastAsia="Times New Roman" w:hAnsi="Times" w:cs="Times New Roman"/>
              </w:rPr>
            </w:pPr>
            <w:r w:rsidRPr="001A3C47">
              <w:t>$194,976</w:t>
            </w:r>
          </w:p>
        </w:tc>
        <w:tc>
          <w:tcPr>
            <w:tcW w:w="600" w:type="pct"/>
            <w:tcBorders>
              <w:bottom w:val="nil"/>
            </w:tcBorders>
          </w:tcPr>
          <w:p w:rsidR="00F1737B" w:rsidRPr="00675CB4" w:rsidRDefault="00675CB4" w:rsidP="00AF023C">
            <w:pPr>
              <w:pStyle w:val="TableText"/>
              <w:keepNext/>
              <w:spacing w:line="257" w:lineRule="auto"/>
              <w:jc w:val="right"/>
              <w:rPr>
                <w:rFonts w:ascii="Times" w:eastAsia="Times New Roman" w:hAnsi="Times" w:cs="Times New Roman"/>
                <w:highlight w:val="black"/>
              </w:rPr>
            </w:pPr>
            <w:r>
              <w:rPr>
                <w:noProof/>
                <w:color w:val="000000"/>
                <w:highlight w:val="black"/>
              </w:rPr>
              <w:t>'''''''''''''''</w:t>
            </w:r>
          </w:p>
        </w:tc>
      </w:tr>
      <w:tr w:rsidR="00F1737B" w:rsidRPr="00962538" w:rsidTr="00356521">
        <w:tc>
          <w:tcPr>
            <w:tcW w:w="2198" w:type="pct"/>
            <w:tcBorders>
              <w:bottom w:val="single" w:sz="4" w:space="0" w:color="auto"/>
            </w:tcBorders>
          </w:tcPr>
          <w:p w:rsidR="00F1737B" w:rsidRPr="00962538" w:rsidRDefault="00F1737B" w:rsidP="00AF023C">
            <w:pPr>
              <w:pStyle w:val="TableText"/>
              <w:keepNext/>
              <w:spacing w:line="257" w:lineRule="auto"/>
              <w:rPr>
                <w:rFonts w:ascii="Times" w:eastAsia="Times New Roman" w:hAnsi="Times" w:cs="Times New Roman"/>
              </w:rPr>
            </w:pPr>
            <w:r>
              <w:t>QALY gained</w:t>
            </w:r>
          </w:p>
        </w:tc>
        <w:tc>
          <w:tcPr>
            <w:tcW w:w="1416" w:type="pct"/>
            <w:tcBorders>
              <w:bottom w:val="single" w:sz="4" w:space="0" w:color="auto"/>
            </w:tcBorders>
          </w:tcPr>
          <w:p w:rsidR="00F1737B" w:rsidRPr="00962538" w:rsidRDefault="00F1737B" w:rsidP="00AF023C">
            <w:pPr>
              <w:pStyle w:val="TableText"/>
              <w:keepNext/>
              <w:spacing w:line="257" w:lineRule="auto"/>
              <w:jc w:val="right"/>
            </w:pPr>
            <w:r w:rsidRPr="001A3C47">
              <w:t>1.607</w:t>
            </w:r>
          </w:p>
        </w:tc>
        <w:tc>
          <w:tcPr>
            <w:tcW w:w="786" w:type="pct"/>
            <w:tcBorders>
              <w:bottom w:val="single" w:sz="4" w:space="0" w:color="auto"/>
            </w:tcBorders>
          </w:tcPr>
          <w:p w:rsidR="00F1737B" w:rsidRPr="00962538" w:rsidRDefault="00F1737B" w:rsidP="00AF023C">
            <w:pPr>
              <w:pStyle w:val="TableText"/>
              <w:keepNext/>
              <w:spacing w:line="257" w:lineRule="auto"/>
              <w:jc w:val="right"/>
            </w:pPr>
            <w:r w:rsidRPr="001A3C47">
              <w:t>1.564</w:t>
            </w:r>
          </w:p>
        </w:tc>
        <w:tc>
          <w:tcPr>
            <w:tcW w:w="600" w:type="pct"/>
            <w:tcBorders>
              <w:bottom w:val="single" w:sz="4" w:space="0" w:color="auto"/>
            </w:tcBorders>
          </w:tcPr>
          <w:p w:rsidR="00F1737B" w:rsidRPr="00962538" w:rsidRDefault="00F1737B" w:rsidP="00AF023C">
            <w:pPr>
              <w:pStyle w:val="TableText"/>
              <w:keepNext/>
              <w:spacing w:line="257" w:lineRule="auto"/>
              <w:jc w:val="right"/>
            </w:pPr>
            <w:r w:rsidRPr="001A3C47">
              <w:t>0.043</w:t>
            </w:r>
          </w:p>
        </w:tc>
      </w:tr>
      <w:tr w:rsidR="00F1737B" w:rsidRPr="001E5EA9" w:rsidTr="00356521">
        <w:tc>
          <w:tcPr>
            <w:tcW w:w="2198" w:type="pct"/>
            <w:tcBorders>
              <w:bottom w:val="single" w:sz="4" w:space="0" w:color="auto"/>
              <w:right w:val="nil"/>
            </w:tcBorders>
          </w:tcPr>
          <w:p w:rsidR="00F1737B" w:rsidRPr="001E5EA9" w:rsidRDefault="00F1737B" w:rsidP="00AF023C">
            <w:pPr>
              <w:pStyle w:val="TableText"/>
              <w:keepNext/>
              <w:rPr>
                <w:rFonts w:ascii="Times" w:eastAsia="Times New Roman" w:hAnsi="Times" w:cs="Times New Roman"/>
                <w:b/>
              </w:rPr>
            </w:pPr>
            <w:r w:rsidRPr="001E5EA9">
              <w:rPr>
                <w:b/>
              </w:rPr>
              <w:t>Incremental cost/extra QALY gained</w:t>
            </w:r>
          </w:p>
        </w:tc>
        <w:tc>
          <w:tcPr>
            <w:tcW w:w="1416" w:type="pct"/>
            <w:tcBorders>
              <w:left w:val="nil"/>
              <w:bottom w:val="single" w:sz="4" w:space="0" w:color="auto"/>
              <w:right w:val="nil"/>
            </w:tcBorders>
          </w:tcPr>
          <w:p w:rsidR="00F1737B" w:rsidRPr="001E5EA9" w:rsidRDefault="00F1737B" w:rsidP="00AF023C">
            <w:pPr>
              <w:pStyle w:val="TableText"/>
              <w:keepNext/>
              <w:jc w:val="right"/>
              <w:rPr>
                <w:rFonts w:ascii="Times" w:eastAsia="Times New Roman" w:hAnsi="Times" w:cs="Times New Roman"/>
                <w:b/>
              </w:rPr>
            </w:pPr>
          </w:p>
        </w:tc>
        <w:tc>
          <w:tcPr>
            <w:tcW w:w="786" w:type="pct"/>
            <w:tcBorders>
              <w:left w:val="nil"/>
              <w:bottom w:val="single" w:sz="4" w:space="0" w:color="auto"/>
            </w:tcBorders>
          </w:tcPr>
          <w:p w:rsidR="00F1737B" w:rsidRPr="001E5EA9" w:rsidRDefault="00F1737B" w:rsidP="00AF023C">
            <w:pPr>
              <w:pStyle w:val="TableText"/>
              <w:keepNext/>
              <w:jc w:val="right"/>
              <w:rPr>
                <w:rFonts w:ascii="Times" w:eastAsia="Times New Roman" w:hAnsi="Times" w:cs="Times New Roman"/>
                <w:b/>
              </w:rPr>
            </w:pPr>
          </w:p>
        </w:tc>
        <w:tc>
          <w:tcPr>
            <w:tcW w:w="600" w:type="pct"/>
            <w:tcBorders>
              <w:bottom w:val="single" w:sz="4" w:space="0" w:color="auto"/>
            </w:tcBorders>
          </w:tcPr>
          <w:p w:rsidR="00F1737B" w:rsidRPr="00675CB4" w:rsidRDefault="00675CB4" w:rsidP="00AF023C">
            <w:pPr>
              <w:pStyle w:val="TableText"/>
              <w:keepNext/>
              <w:jc w:val="right"/>
              <w:rPr>
                <w:rFonts w:ascii="Times" w:eastAsia="Times New Roman" w:hAnsi="Times" w:cs="Times New Roman"/>
                <w:b/>
              </w:rPr>
            </w:pPr>
            <w:r>
              <w:rPr>
                <w:b/>
                <w:noProof/>
                <w:color w:val="000000"/>
                <w:highlight w:val="black"/>
              </w:rPr>
              <w:t>''''''''''''''''</w:t>
            </w:r>
            <w:r w:rsidR="006325BA">
              <w:rPr>
                <w:vertAlign w:val="superscript"/>
              </w:rPr>
              <w:t>2</w:t>
            </w:r>
          </w:p>
        </w:tc>
      </w:tr>
      <w:tr w:rsidR="00F1737B" w:rsidRPr="00D117CD" w:rsidTr="00CB375A">
        <w:tc>
          <w:tcPr>
            <w:tcW w:w="5000" w:type="pct"/>
            <w:gridSpan w:val="4"/>
            <w:tcBorders>
              <w:bottom w:val="single" w:sz="4" w:space="0" w:color="auto"/>
            </w:tcBorders>
          </w:tcPr>
          <w:p w:rsidR="00F1737B" w:rsidRPr="00D117CD" w:rsidRDefault="00A0573C" w:rsidP="00AF023C">
            <w:pPr>
              <w:pStyle w:val="TableText"/>
              <w:keepNext/>
              <w:spacing w:line="257" w:lineRule="auto"/>
              <w:rPr>
                <w:iCs/>
              </w:rPr>
            </w:pPr>
            <w:r w:rsidRPr="00D117CD">
              <w:rPr>
                <w:b/>
                <w:iCs/>
              </w:rPr>
              <w:t>Relevant t</w:t>
            </w:r>
            <w:r w:rsidR="00BC4380" w:rsidRPr="00D117CD">
              <w:rPr>
                <w:b/>
                <w:iCs/>
              </w:rPr>
              <w:t xml:space="preserve">umour type subgroup analyses, </w:t>
            </w:r>
            <w:r w:rsidRPr="00D117CD">
              <w:rPr>
                <w:b/>
                <w:iCs/>
              </w:rPr>
              <w:t>weighted as per the distribution in the</w:t>
            </w:r>
            <w:r w:rsidR="00BC4380" w:rsidRPr="00D117CD">
              <w:rPr>
                <w:b/>
                <w:iCs/>
              </w:rPr>
              <w:t xml:space="preserve"> larotrectinib studies</w:t>
            </w:r>
          </w:p>
        </w:tc>
      </w:tr>
      <w:tr w:rsidR="00F1737B" w:rsidRPr="00D117CD" w:rsidTr="00356521">
        <w:tc>
          <w:tcPr>
            <w:tcW w:w="2198" w:type="pct"/>
            <w:tcBorders>
              <w:bottom w:val="nil"/>
            </w:tcBorders>
          </w:tcPr>
          <w:p w:rsidR="00F1737B" w:rsidRPr="00D117CD" w:rsidRDefault="00F1737B" w:rsidP="00AF023C">
            <w:pPr>
              <w:pStyle w:val="TableText"/>
              <w:keepNext/>
              <w:spacing w:line="257" w:lineRule="auto"/>
              <w:rPr>
                <w:iCs/>
              </w:rPr>
            </w:pPr>
            <w:r w:rsidRPr="00D117CD">
              <w:rPr>
                <w:iCs/>
              </w:rPr>
              <w:t>Cost</w:t>
            </w:r>
            <w:r w:rsidR="0080663A">
              <w:t xml:space="preserve"> ($)</w:t>
            </w:r>
          </w:p>
        </w:tc>
        <w:tc>
          <w:tcPr>
            <w:tcW w:w="1416" w:type="pct"/>
            <w:tcBorders>
              <w:bottom w:val="nil"/>
            </w:tcBorders>
          </w:tcPr>
          <w:p w:rsidR="00F1737B" w:rsidRPr="00675CB4" w:rsidRDefault="00675CB4" w:rsidP="00AF023C">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c>
          <w:tcPr>
            <w:tcW w:w="786" w:type="pct"/>
            <w:tcBorders>
              <w:bottom w:val="nil"/>
            </w:tcBorders>
          </w:tcPr>
          <w:p w:rsidR="00F1737B" w:rsidRPr="00D117CD" w:rsidRDefault="00F1737B" w:rsidP="00AF023C">
            <w:pPr>
              <w:pStyle w:val="TableText"/>
              <w:keepNext/>
              <w:spacing w:line="257" w:lineRule="auto"/>
              <w:jc w:val="right"/>
              <w:rPr>
                <w:rFonts w:ascii="Times" w:eastAsia="Times New Roman" w:hAnsi="Times" w:cs="Times New Roman"/>
                <w:iCs/>
              </w:rPr>
            </w:pPr>
            <w:r w:rsidRPr="00D117CD">
              <w:rPr>
                <w:iCs/>
              </w:rPr>
              <w:t>$194,976</w:t>
            </w:r>
          </w:p>
        </w:tc>
        <w:tc>
          <w:tcPr>
            <w:tcW w:w="600" w:type="pct"/>
            <w:tcBorders>
              <w:bottom w:val="nil"/>
            </w:tcBorders>
          </w:tcPr>
          <w:p w:rsidR="00F1737B" w:rsidRPr="00675CB4" w:rsidRDefault="00675CB4" w:rsidP="00AF023C">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r>
      <w:tr w:rsidR="00F1737B" w:rsidRPr="00D117CD" w:rsidTr="00356521">
        <w:tc>
          <w:tcPr>
            <w:tcW w:w="2198" w:type="pct"/>
            <w:tcBorders>
              <w:bottom w:val="single" w:sz="4" w:space="0" w:color="auto"/>
            </w:tcBorders>
          </w:tcPr>
          <w:p w:rsidR="00F1737B" w:rsidRPr="00D117CD" w:rsidRDefault="00F1737B" w:rsidP="00AF023C">
            <w:pPr>
              <w:pStyle w:val="TableText"/>
              <w:keepNext/>
              <w:spacing w:line="257" w:lineRule="auto"/>
              <w:rPr>
                <w:rFonts w:ascii="Times" w:eastAsia="Times New Roman" w:hAnsi="Times" w:cs="Times New Roman"/>
                <w:iCs/>
              </w:rPr>
            </w:pPr>
            <w:r w:rsidRPr="00D117CD">
              <w:rPr>
                <w:iCs/>
              </w:rPr>
              <w:t>QALY gained</w:t>
            </w:r>
          </w:p>
        </w:tc>
        <w:tc>
          <w:tcPr>
            <w:tcW w:w="1416" w:type="pct"/>
            <w:tcBorders>
              <w:bottom w:val="single" w:sz="4" w:space="0" w:color="auto"/>
            </w:tcBorders>
          </w:tcPr>
          <w:p w:rsidR="00F1737B" w:rsidRPr="00D117CD" w:rsidRDefault="00F1737B" w:rsidP="00AF023C">
            <w:pPr>
              <w:pStyle w:val="TableText"/>
              <w:keepNext/>
              <w:spacing w:line="257" w:lineRule="auto"/>
              <w:jc w:val="right"/>
              <w:rPr>
                <w:iCs/>
              </w:rPr>
            </w:pPr>
            <w:r w:rsidRPr="00D117CD">
              <w:rPr>
                <w:iCs/>
              </w:rPr>
              <w:t>1.599</w:t>
            </w:r>
          </w:p>
        </w:tc>
        <w:tc>
          <w:tcPr>
            <w:tcW w:w="786" w:type="pct"/>
            <w:tcBorders>
              <w:bottom w:val="single" w:sz="4" w:space="0" w:color="auto"/>
            </w:tcBorders>
          </w:tcPr>
          <w:p w:rsidR="00F1737B" w:rsidRPr="00D117CD" w:rsidRDefault="00F1737B" w:rsidP="00AF023C">
            <w:pPr>
              <w:pStyle w:val="TableText"/>
              <w:keepNext/>
              <w:spacing w:line="257" w:lineRule="auto"/>
              <w:jc w:val="right"/>
              <w:rPr>
                <w:iCs/>
              </w:rPr>
            </w:pPr>
            <w:r w:rsidRPr="00D117CD">
              <w:rPr>
                <w:iCs/>
              </w:rPr>
              <w:t>1.564</w:t>
            </w:r>
          </w:p>
        </w:tc>
        <w:tc>
          <w:tcPr>
            <w:tcW w:w="600" w:type="pct"/>
            <w:tcBorders>
              <w:bottom w:val="single" w:sz="4" w:space="0" w:color="auto"/>
            </w:tcBorders>
          </w:tcPr>
          <w:p w:rsidR="00F1737B" w:rsidRPr="00D117CD" w:rsidRDefault="00F1737B" w:rsidP="00AF023C">
            <w:pPr>
              <w:pStyle w:val="TableText"/>
              <w:keepNext/>
              <w:spacing w:line="257" w:lineRule="auto"/>
              <w:jc w:val="right"/>
              <w:rPr>
                <w:iCs/>
              </w:rPr>
            </w:pPr>
            <w:r w:rsidRPr="00D117CD">
              <w:rPr>
                <w:iCs/>
              </w:rPr>
              <w:t>0.034</w:t>
            </w:r>
          </w:p>
        </w:tc>
      </w:tr>
      <w:tr w:rsidR="00F1737B" w:rsidRPr="00D117CD" w:rsidTr="00356521">
        <w:tc>
          <w:tcPr>
            <w:tcW w:w="2198" w:type="pct"/>
            <w:tcBorders>
              <w:bottom w:val="single" w:sz="4" w:space="0" w:color="auto"/>
              <w:right w:val="nil"/>
            </w:tcBorders>
          </w:tcPr>
          <w:p w:rsidR="00F1737B" w:rsidRPr="00D117CD" w:rsidRDefault="00F1737B" w:rsidP="00AF023C">
            <w:pPr>
              <w:pStyle w:val="TableText"/>
              <w:keepNext/>
              <w:rPr>
                <w:rFonts w:ascii="Times" w:eastAsia="Times New Roman" w:hAnsi="Times" w:cs="Times New Roman"/>
                <w:b/>
                <w:iCs/>
              </w:rPr>
            </w:pPr>
            <w:r w:rsidRPr="00D117CD">
              <w:rPr>
                <w:b/>
                <w:iCs/>
              </w:rPr>
              <w:t>Incremental cost/extra QALY gained</w:t>
            </w:r>
          </w:p>
        </w:tc>
        <w:tc>
          <w:tcPr>
            <w:tcW w:w="1416" w:type="pct"/>
            <w:tcBorders>
              <w:left w:val="nil"/>
              <w:bottom w:val="single" w:sz="4" w:space="0" w:color="auto"/>
              <w:right w:val="nil"/>
            </w:tcBorders>
          </w:tcPr>
          <w:p w:rsidR="00F1737B" w:rsidRPr="00D117CD" w:rsidRDefault="00F1737B" w:rsidP="00AF023C">
            <w:pPr>
              <w:pStyle w:val="TableText"/>
              <w:keepNext/>
              <w:jc w:val="right"/>
              <w:rPr>
                <w:rFonts w:ascii="Times" w:eastAsia="Times New Roman" w:hAnsi="Times" w:cs="Times New Roman"/>
                <w:b/>
                <w:iCs/>
              </w:rPr>
            </w:pPr>
          </w:p>
        </w:tc>
        <w:tc>
          <w:tcPr>
            <w:tcW w:w="786" w:type="pct"/>
            <w:tcBorders>
              <w:left w:val="nil"/>
              <w:bottom w:val="single" w:sz="4" w:space="0" w:color="auto"/>
            </w:tcBorders>
          </w:tcPr>
          <w:p w:rsidR="00F1737B" w:rsidRPr="00D117CD" w:rsidRDefault="00F1737B" w:rsidP="00AF023C">
            <w:pPr>
              <w:pStyle w:val="TableText"/>
              <w:keepNext/>
              <w:jc w:val="right"/>
              <w:rPr>
                <w:rFonts w:ascii="Times" w:eastAsia="Times New Roman" w:hAnsi="Times" w:cs="Times New Roman"/>
                <w:b/>
                <w:iCs/>
              </w:rPr>
            </w:pPr>
          </w:p>
        </w:tc>
        <w:tc>
          <w:tcPr>
            <w:tcW w:w="600" w:type="pct"/>
            <w:tcBorders>
              <w:bottom w:val="single" w:sz="4" w:space="0" w:color="auto"/>
            </w:tcBorders>
          </w:tcPr>
          <w:p w:rsidR="00F1737B" w:rsidRPr="00D117CD" w:rsidRDefault="00675CB4" w:rsidP="00AF023C">
            <w:pPr>
              <w:pStyle w:val="TableText"/>
              <w:keepNext/>
              <w:jc w:val="right"/>
              <w:rPr>
                <w:rFonts w:ascii="Times" w:eastAsia="Times New Roman" w:hAnsi="Times" w:cs="Times New Roman"/>
                <w:b/>
                <w:iCs/>
              </w:rPr>
            </w:pPr>
            <w:r>
              <w:rPr>
                <w:b/>
                <w:iCs/>
                <w:noProof/>
                <w:color w:val="000000"/>
                <w:highlight w:val="black"/>
              </w:rPr>
              <w:t>'''''''''''''''</w:t>
            </w:r>
            <w:r w:rsidR="006325BA">
              <w:rPr>
                <w:vertAlign w:val="superscript"/>
              </w:rPr>
              <w:t>3</w:t>
            </w:r>
          </w:p>
        </w:tc>
      </w:tr>
      <w:tr w:rsidR="00F1737B" w:rsidRPr="00B76D9F" w:rsidTr="00CB375A">
        <w:tc>
          <w:tcPr>
            <w:tcW w:w="5000" w:type="pct"/>
            <w:gridSpan w:val="4"/>
            <w:tcBorders>
              <w:bottom w:val="single" w:sz="4" w:space="0" w:color="auto"/>
            </w:tcBorders>
          </w:tcPr>
          <w:p w:rsidR="00F1737B" w:rsidRPr="00A605F7" w:rsidRDefault="00A0573C" w:rsidP="00AF023C">
            <w:pPr>
              <w:pStyle w:val="TableText"/>
              <w:keepNext/>
              <w:spacing w:line="257" w:lineRule="auto"/>
              <w:rPr>
                <w:b/>
                <w:iCs/>
              </w:rPr>
            </w:pPr>
            <w:r w:rsidRPr="00A605F7">
              <w:rPr>
                <w:b/>
                <w:iCs/>
              </w:rPr>
              <w:t>Relevant t</w:t>
            </w:r>
            <w:r w:rsidR="00BC4380" w:rsidRPr="00A605F7">
              <w:rPr>
                <w:b/>
                <w:iCs/>
              </w:rPr>
              <w:t xml:space="preserve">umour type subgroup analyses, </w:t>
            </w:r>
            <w:r w:rsidRPr="00A605F7">
              <w:rPr>
                <w:b/>
                <w:iCs/>
              </w:rPr>
              <w:t>weighted as per the distribution in</w:t>
            </w:r>
            <w:r w:rsidR="00BC4380" w:rsidRPr="00A605F7">
              <w:rPr>
                <w:b/>
                <w:iCs/>
              </w:rPr>
              <w:t xml:space="preserve"> Australian clinical practice</w:t>
            </w:r>
          </w:p>
        </w:tc>
      </w:tr>
      <w:tr w:rsidR="00F1737B" w:rsidRPr="00B76D9F" w:rsidTr="00356521">
        <w:tc>
          <w:tcPr>
            <w:tcW w:w="2198" w:type="pct"/>
            <w:tcBorders>
              <w:bottom w:val="nil"/>
            </w:tcBorders>
          </w:tcPr>
          <w:p w:rsidR="00F1737B" w:rsidRPr="00A605F7" w:rsidRDefault="00F1737B" w:rsidP="00AF023C">
            <w:pPr>
              <w:pStyle w:val="TableText"/>
              <w:keepNext/>
              <w:spacing w:line="257" w:lineRule="auto"/>
              <w:rPr>
                <w:iCs/>
              </w:rPr>
            </w:pPr>
            <w:r w:rsidRPr="00A605F7">
              <w:rPr>
                <w:iCs/>
              </w:rPr>
              <w:t>Cost</w:t>
            </w:r>
            <w:r w:rsidR="0080663A">
              <w:t xml:space="preserve"> ($)</w:t>
            </w:r>
          </w:p>
        </w:tc>
        <w:tc>
          <w:tcPr>
            <w:tcW w:w="1416" w:type="pct"/>
            <w:tcBorders>
              <w:bottom w:val="nil"/>
            </w:tcBorders>
          </w:tcPr>
          <w:p w:rsidR="00F1737B" w:rsidRPr="00675CB4" w:rsidRDefault="00675CB4" w:rsidP="00AF023C">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c>
          <w:tcPr>
            <w:tcW w:w="786" w:type="pct"/>
            <w:tcBorders>
              <w:bottom w:val="nil"/>
            </w:tcBorders>
          </w:tcPr>
          <w:p w:rsidR="00F1737B" w:rsidRPr="00A605F7" w:rsidRDefault="00F1737B" w:rsidP="00AF023C">
            <w:pPr>
              <w:pStyle w:val="TableText"/>
              <w:keepNext/>
              <w:spacing w:line="257" w:lineRule="auto"/>
              <w:jc w:val="right"/>
              <w:rPr>
                <w:rFonts w:ascii="Times" w:eastAsia="Times New Roman" w:hAnsi="Times" w:cs="Times New Roman"/>
                <w:iCs/>
              </w:rPr>
            </w:pPr>
            <w:r w:rsidRPr="00A605F7">
              <w:rPr>
                <w:iCs/>
              </w:rPr>
              <w:t>$176,167</w:t>
            </w:r>
          </w:p>
        </w:tc>
        <w:tc>
          <w:tcPr>
            <w:tcW w:w="600" w:type="pct"/>
            <w:tcBorders>
              <w:bottom w:val="nil"/>
            </w:tcBorders>
          </w:tcPr>
          <w:p w:rsidR="00F1737B" w:rsidRPr="00675CB4" w:rsidRDefault="00675CB4" w:rsidP="00AF023C">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r>
      <w:tr w:rsidR="00F1737B" w:rsidRPr="00B76D9F" w:rsidTr="00356521">
        <w:tc>
          <w:tcPr>
            <w:tcW w:w="2198" w:type="pct"/>
            <w:tcBorders>
              <w:bottom w:val="single" w:sz="4" w:space="0" w:color="auto"/>
            </w:tcBorders>
          </w:tcPr>
          <w:p w:rsidR="00F1737B" w:rsidRPr="00A605F7" w:rsidRDefault="00F1737B" w:rsidP="00AF023C">
            <w:pPr>
              <w:pStyle w:val="TableText"/>
              <w:keepNext/>
              <w:spacing w:line="257" w:lineRule="auto"/>
              <w:rPr>
                <w:rFonts w:ascii="Times" w:eastAsia="Times New Roman" w:hAnsi="Times" w:cs="Times New Roman"/>
                <w:iCs/>
              </w:rPr>
            </w:pPr>
            <w:r w:rsidRPr="00A605F7">
              <w:rPr>
                <w:iCs/>
              </w:rPr>
              <w:t>QALY gained</w:t>
            </w:r>
          </w:p>
        </w:tc>
        <w:tc>
          <w:tcPr>
            <w:tcW w:w="1416" w:type="pct"/>
            <w:tcBorders>
              <w:bottom w:val="single" w:sz="4" w:space="0" w:color="auto"/>
            </w:tcBorders>
          </w:tcPr>
          <w:p w:rsidR="00F1737B" w:rsidRPr="00A605F7" w:rsidRDefault="00F1737B" w:rsidP="00AF023C">
            <w:pPr>
              <w:pStyle w:val="TableText"/>
              <w:keepNext/>
              <w:spacing w:line="257" w:lineRule="auto"/>
              <w:jc w:val="right"/>
              <w:rPr>
                <w:iCs/>
              </w:rPr>
            </w:pPr>
            <w:r w:rsidRPr="00A605F7">
              <w:rPr>
                <w:iCs/>
              </w:rPr>
              <w:t>1.400</w:t>
            </w:r>
          </w:p>
        </w:tc>
        <w:tc>
          <w:tcPr>
            <w:tcW w:w="786" w:type="pct"/>
            <w:tcBorders>
              <w:bottom w:val="single" w:sz="4" w:space="0" w:color="auto"/>
            </w:tcBorders>
          </w:tcPr>
          <w:p w:rsidR="00F1737B" w:rsidRPr="00A605F7" w:rsidRDefault="00F1737B" w:rsidP="00AF023C">
            <w:pPr>
              <w:pStyle w:val="TableText"/>
              <w:keepNext/>
              <w:spacing w:line="257" w:lineRule="auto"/>
              <w:jc w:val="right"/>
              <w:rPr>
                <w:iCs/>
              </w:rPr>
            </w:pPr>
            <w:r w:rsidRPr="00A605F7">
              <w:rPr>
                <w:iCs/>
              </w:rPr>
              <w:t>1.376</w:t>
            </w:r>
          </w:p>
        </w:tc>
        <w:tc>
          <w:tcPr>
            <w:tcW w:w="600" w:type="pct"/>
            <w:tcBorders>
              <w:bottom w:val="single" w:sz="4" w:space="0" w:color="auto"/>
            </w:tcBorders>
          </w:tcPr>
          <w:p w:rsidR="00F1737B" w:rsidRPr="00A605F7" w:rsidRDefault="00F1737B" w:rsidP="00AF023C">
            <w:pPr>
              <w:pStyle w:val="TableText"/>
              <w:keepNext/>
              <w:spacing w:line="257" w:lineRule="auto"/>
              <w:jc w:val="right"/>
              <w:rPr>
                <w:iCs/>
              </w:rPr>
            </w:pPr>
            <w:r w:rsidRPr="00A605F7">
              <w:rPr>
                <w:iCs/>
              </w:rPr>
              <w:t>0.024</w:t>
            </w:r>
          </w:p>
        </w:tc>
      </w:tr>
      <w:tr w:rsidR="00F1737B" w:rsidRPr="00B76D9F" w:rsidTr="00356521">
        <w:tc>
          <w:tcPr>
            <w:tcW w:w="2198" w:type="pct"/>
            <w:tcBorders>
              <w:bottom w:val="single" w:sz="4" w:space="0" w:color="auto"/>
              <w:right w:val="nil"/>
            </w:tcBorders>
          </w:tcPr>
          <w:p w:rsidR="00F1737B" w:rsidRPr="00A605F7" w:rsidRDefault="00F1737B" w:rsidP="00AF023C">
            <w:pPr>
              <w:pStyle w:val="TableText"/>
              <w:keepNext/>
              <w:rPr>
                <w:rFonts w:ascii="Times" w:eastAsia="Times New Roman" w:hAnsi="Times" w:cs="Times New Roman"/>
                <w:b/>
                <w:iCs/>
              </w:rPr>
            </w:pPr>
            <w:r w:rsidRPr="00A605F7">
              <w:rPr>
                <w:b/>
                <w:iCs/>
              </w:rPr>
              <w:t>Incremental cost/extra QALY gained</w:t>
            </w:r>
          </w:p>
        </w:tc>
        <w:tc>
          <w:tcPr>
            <w:tcW w:w="1416" w:type="pct"/>
            <w:tcBorders>
              <w:left w:val="nil"/>
              <w:bottom w:val="single" w:sz="4" w:space="0" w:color="auto"/>
              <w:right w:val="nil"/>
            </w:tcBorders>
          </w:tcPr>
          <w:p w:rsidR="00F1737B" w:rsidRPr="00A605F7" w:rsidRDefault="00F1737B" w:rsidP="00AF023C">
            <w:pPr>
              <w:pStyle w:val="TableText"/>
              <w:keepNext/>
              <w:jc w:val="right"/>
              <w:rPr>
                <w:rFonts w:ascii="Times" w:eastAsia="Times New Roman" w:hAnsi="Times" w:cs="Times New Roman"/>
                <w:b/>
                <w:iCs/>
              </w:rPr>
            </w:pPr>
          </w:p>
        </w:tc>
        <w:tc>
          <w:tcPr>
            <w:tcW w:w="786" w:type="pct"/>
            <w:tcBorders>
              <w:left w:val="nil"/>
              <w:bottom w:val="single" w:sz="4" w:space="0" w:color="auto"/>
            </w:tcBorders>
          </w:tcPr>
          <w:p w:rsidR="00F1737B" w:rsidRPr="00A605F7" w:rsidRDefault="00F1737B" w:rsidP="00AF023C">
            <w:pPr>
              <w:pStyle w:val="TableText"/>
              <w:keepNext/>
              <w:jc w:val="right"/>
              <w:rPr>
                <w:rFonts w:ascii="Times" w:eastAsia="Times New Roman" w:hAnsi="Times" w:cs="Times New Roman"/>
                <w:b/>
                <w:iCs/>
              </w:rPr>
            </w:pPr>
          </w:p>
        </w:tc>
        <w:tc>
          <w:tcPr>
            <w:tcW w:w="600" w:type="pct"/>
            <w:tcBorders>
              <w:bottom w:val="single" w:sz="4" w:space="0" w:color="auto"/>
            </w:tcBorders>
          </w:tcPr>
          <w:p w:rsidR="00F1737B" w:rsidRPr="00A605F7" w:rsidRDefault="00675CB4" w:rsidP="00AF023C">
            <w:pPr>
              <w:pStyle w:val="TableText"/>
              <w:keepNext/>
              <w:jc w:val="right"/>
              <w:rPr>
                <w:rFonts w:ascii="Times" w:eastAsia="Times New Roman" w:hAnsi="Times" w:cs="Times New Roman"/>
                <w:b/>
                <w:iCs/>
              </w:rPr>
            </w:pPr>
            <w:r>
              <w:rPr>
                <w:b/>
                <w:iCs/>
                <w:noProof/>
                <w:color w:val="000000"/>
                <w:highlight w:val="black"/>
              </w:rPr>
              <w:t>''''''''''''''</w:t>
            </w:r>
            <w:r w:rsidR="006325BA">
              <w:rPr>
                <w:vertAlign w:val="superscript"/>
              </w:rPr>
              <w:t>3</w:t>
            </w:r>
          </w:p>
        </w:tc>
      </w:tr>
      <w:tr w:rsidR="00F1737B" w:rsidRPr="00495E72" w:rsidTr="00CB375A">
        <w:tc>
          <w:tcPr>
            <w:tcW w:w="5000" w:type="pct"/>
            <w:gridSpan w:val="4"/>
            <w:tcBorders>
              <w:bottom w:val="single" w:sz="4" w:space="0" w:color="auto"/>
            </w:tcBorders>
          </w:tcPr>
          <w:p w:rsidR="00F1737B" w:rsidRPr="00A605F7" w:rsidRDefault="00A0573C" w:rsidP="00AF023C">
            <w:pPr>
              <w:pStyle w:val="TableText"/>
              <w:keepNext/>
              <w:spacing w:line="257" w:lineRule="auto"/>
              <w:rPr>
                <w:iCs/>
              </w:rPr>
            </w:pPr>
            <w:r w:rsidRPr="00A605F7">
              <w:rPr>
                <w:b/>
                <w:iCs/>
              </w:rPr>
              <w:t xml:space="preserve">Relevant tumour type subgroup </w:t>
            </w:r>
            <w:r w:rsidR="00BC4380" w:rsidRPr="00A605F7">
              <w:rPr>
                <w:b/>
                <w:iCs/>
              </w:rPr>
              <w:t xml:space="preserve">analyses, </w:t>
            </w:r>
            <w:r w:rsidRPr="00A605F7">
              <w:rPr>
                <w:b/>
                <w:iCs/>
              </w:rPr>
              <w:t>weighted as per the distribution in Australian clinical practice</w:t>
            </w:r>
            <w:r w:rsidR="00BC4380" w:rsidRPr="00A605F7">
              <w:rPr>
                <w:b/>
                <w:iCs/>
              </w:rPr>
              <w:t xml:space="preserve"> </w:t>
            </w:r>
            <w:r w:rsidR="00E306F4" w:rsidRPr="00A605F7">
              <w:rPr>
                <w:b/>
                <w:iCs/>
              </w:rPr>
              <w:t>–</w:t>
            </w:r>
            <w:r w:rsidRPr="00A605F7">
              <w:rPr>
                <w:b/>
                <w:iCs/>
              </w:rPr>
              <w:t xml:space="preserve"> revised</w:t>
            </w:r>
            <w:r w:rsidR="00E306F4" w:rsidRPr="00A605F7">
              <w:rPr>
                <w:b/>
                <w:iCs/>
                <w:vertAlign w:val="superscript"/>
              </w:rPr>
              <w:t>1</w:t>
            </w:r>
          </w:p>
        </w:tc>
      </w:tr>
      <w:tr w:rsidR="00F1737B" w:rsidRPr="00962538" w:rsidTr="00356521">
        <w:tc>
          <w:tcPr>
            <w:tcW w:w="2198" w:type="pct"/>
            <w:tcBorders>
              <w:bottom w:val="nil"/>
            </w:tcBorders>
          </w:tcPr>
          <w:p w:rsidR="00F1737B" w:rsidRPr="00A605F7" w:rsidRDefault="00F1737B" w:rsidP="00AF023C">
            <w:pPr>
              <w:pStyle w:val="TableText"/>
              <w:keepNext/>
              <w:spacing w:line="257" w:lineRule="auto"/>
              <w:rPr>
                <w:iCs/>
              </w:rPr>
            </w:pPr>
            <w:r w:rsidRPr="00A605F7">
              <w:rPr>
                <w:iCs/>
              </w:rPr>
              <w:t>Cost</w:t>
            </w:r>
            <w:r w:rsidR="0080663A">
              <w:t xml:space="preserve"> ($)</w:t>
            </w:r>
          </w:p>
        </w:tc>
        <w:tc>
          <w:tcPr>
            <w:tcW w:w="1416" w:type="pct"/>
            <w:tcBorders>
              <w:bottom w:val="nil"/>
            </w:tcBorders>
          </w:tcPr>
          <w:p w:rsidR="00F1737B" w:rsidRPr="00675CB4" w:rsidRDefault="00675CB4" w:rsidP="00AF023C">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c>
          <w:tcPr>
            <w:tcW w:w="786" w:type="pct"/>
            <w:tcBorders>
              <w:bottom w:val="nil"/>
            </w:tcBorders>
          </w:tcPr>
          <w:p w:rsidR="00F1737B" w:rsidRPr="00A605F7" w:rsidRDefault="00F1737B" w:rsidP="00AF023C">
            <w:pPr>
              <w:pStyle w:val="TableText"/>
              <w:keepNext/>
              <w:spacing w:line="257" w:lineRule="auto"/>
              <w:jc w:val="right"/>
              <w:rPr>
                <w:rFonts w:ascii="Times" w:eastAsia="Times New Roman" w:hAnsi="Times" w:cs="Times New Roman"/>
                <w:iCs/>
              </w:rPr>
            </w:pPr>
            <w:r w:rsidRPr="00A605F7">
              <w:rPr>
                <w:iCs/>
              </w:rPr>
              <w:t>$78,294</w:t>
            </w:r>
          </w:p>
        </w:tc>
        <w:tc>
          <w:tcPr>
            <w:tcW w:w="600" w:type="pct"/>
            <w:tcBorders>
              <w:bottom w:val="nil"/>
            </w:tcBorders>
          </w:tcPr>
          <w:p w:rsidR="00F1737B" w:rsidRPr="00675CB4" w:rsidRDefault="00675CB4" w:rsidP="00AF023C">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r>
      <w:tr w:rsidR="00F1737B" w:rsidRPr="00962538" w:rsidTr="00356521">
        <w:tc>
          <w:tcPr>
            <w:tcW w:w="2198" w:type="pct"/>
            <w:tcBorders>
              <w:bottom w:val="single" w:sz="4" w:space="0" w:color="auto"/>
            </w:tcBorders>
          </w:tcPr>
          <w:p w:rsidR="00F1737B" w:rsidRPr="00A605F7" w:rsidRDefault="00F1737B" w:rsidP="00AF023C">
            <w:pPr>
              <w:pStyle w:val="TableText"/>
              <w:keepNext/>
              <w:spacing w:line="257" w:lineRule="auto"/>
              <w:rPr>
                <w:rFonts w:ascii="Times" w:eastAsia="Times New Roman" w:hAnsi="Times" w:cs="Times New Roman"/>
                <w:iCs/>
              </w:rPr>
            </w:pPr>
            <w:r w:rsidRPr="00A605F7">
              <w:rPr>
                <w:iCs/>
              </w:rPr>
              <w:t>QALY gained</w:t>
            </w:r>
          </w:p>
        </w:tc>
        <w:tc>
          <w:tcPr>
            <w:tcW w:w="1416" w:type="pct"/>
            <w:tcBorders>
              <w:bottom w:val="single" w:sz="4" w:space="0" w:color="auto"/>
            </w:tcBorders>
          </w:tcPr>
          <w:p w:rsidR="00F1737B" w:rsidRPr="00A605F7" w:rsidRDefault="00F1737B" w:rsidP="00AF023C">
            <w:pPr>
              <w:pStyle w:val="TableText"/>
              <w:keepNext/>
              <w:spacing w:line="257" w:lineRule="auto"/>
              <w:jc w:val="right"/>
              <w:rPr>
                <w:iCs/>
              </w:rPr>
            </w:pPr>
            <w:r w:rsidRPr="00A605F7">
              <w:rPr>
                <w:iCs/>
              </w:rPr>
              <w:t>0.812</w:t>
            </w:r>
          </w:p>
        </w:tc>
        <w:tc>
          <w:tcPr>
            <w:tcW w:w="786" w:type="pct"/>
            <w:tcBorders>
              <w:bottom w:val="single" w:sz="4" w:space="0" w:color="auto"/>
            </w:tcBorders>
          </w:tcPr>
          <w:p w:rsidR="00F1737B" w:rsidRPr="00A605F7" w:rsidRDefault="00F1737B" w:rsidP="00AF023C">
            <w:pPr>
              <w:pStyle w:val="TableText"/>
              <w:keepNext/>
              <w:spacing w:line="257" w:lineRule="auto"/>
              <w:jc w:val="right"/>
              <w:rPr>
                <w:iCs/>
              </w:rPr>
            </w:pPr>
            <w:r w:rsidRPr="00A605F7">
              <w:rPr>
                <w:iCs/>
              </w:rPr>
              <w:t>0.804</w:t>
            </w:r>
          </w:p>
        </w:tc>
        <w:tc>
          <w:tcPr>
            <w:tcW w:w="600" w:type="pct"/>
            <w:tcBorders>
              <w:bottom w:val="single" w:sz="4" w:space="0" w:color="auto"/>
            </w:tcBorders>
          </w:tcPr>
          <w:p w:rsidR="00F1737B" w:rsidRPr="00A605F7" w:rsidRDefault="00F1737B" w:rsidP="00AF023C">
            <w:pPr>
              <w:pStyle w:val="TableText"/>
              <w:keepNext/>
              <w:spacing w:line="257" w:lineRule="auto"/>
              <w:jc w:val="right"/>
              <w:rPr>
                <w:iCs/>
              </w:rPr>
            </w:pPr>
            <w:r w:rsidRPr="00A605F7">
              <w:rPr>
                <w:iCs/>
              </w:rPr>
              <w:t>0.008</w:t>
            </w:r>
          </w:p>
        </w:tc>
      </w:tr>
      <w:tr w:rsidR="00470637" w:rsidRPr="001E5EA9" w:rsidTr="00356521">
        <w:tc>
          <w:tcPr>
            <w:tcW w:w="4400" w:type="pct"/>
            <w:gridSpan w:val="3"/>
            <w:tcBorders>
              <w:bottom w:val="single" w:sz="4" w:space="0" w:color="auto"/>
            </w:tcBorders>
          </w:tcPr>
          <w:p w:rsidR="00470637" w:rsidRPr="00A605F7" w:rsidRDefault="00470637" w:rsidP="00AF023C">
            <w:pPr>
              <w:pStyle w:val="TableText"/>
              <w:keepNext/>
              <w:rPr>
                <w:rFonts w:ascii="Times" w:eastAsia="Times New Roman" w:hAnsi="Times" w:cs="Times New Roman"/>
                <w:b/>
                <w:iCs/>
                <w:vertAlign w:val="superscript"/>
              </w:rPr>
            </w:pPr>
            <w:r w:rsidRPr="00A605F7">
              <w:rPr>
                <w:b/>
                <w:iCs/>
              </w:rPr>
              <w:t>Incremental cost/extra QALY gained (ESC</w:t>
            </w:r>
            <w:r w:rsidR="00AB5906" w:rsidRPr="00A605F7">
              <w:rPr>
                <w:b/>
                <w:iCs/>
              </w:rPr>
              <w:t>s</w:t>
            </w:r>
            <w:r w:rsidRPr="00A605F7">
              <w:rPr>
                <w:b/>
                <w:iCs/>
              </w:rPr>
              <w:t xml:space="preserve"> respecified base case)</w:t>
            </w:r>
            <w:r w:rsidR="00DE4BE8" w:rsidRPr="00A605F7">
              <w:rPr>
                <w:b/>
                <w:iCs/>
                <w:vertAlign w:val="superscript"/>
              </w:rPr>
              <w:t>#</w:t>
            </w:r>
          </w:p>
        </w:tc>
        <w:tc>
          <w:tcPr>
            <w:tcW w:w="600" w:type="pct"/>
            <w:tcBorders>
              <w:bottom w:val="single" w:sz="4" w:space="0" w:color="auto"/>
            </w:tcBorders>
          </w:tcPr>
          <w:p w:rsidR="00470637" w:rsidRPr="00A605F7" w:rsidRDefault="00675CB4" w:rsidP="00AF023C">
            <w:pPr>
              <w:pStyle w:val="TableText"/>
              <w:keepNext/>
              <w:jc w:val="right"/>
              <w:rPr>
                <w:rFonts w:ascii="Times" w:eastAsia="Times New Roman" w:hAnsi="Times" w:cs="Times New Roman"/>
                <w:b/>
                <w:iCs/>
              </w:rPr>
            </w:pPr>
            <w:r>
              <w:rPr>
                <w:b/>
                <w:iCs/>
                <w:noProof/>
                <w:color w:val="000000"/>
                <w:highlight w:val="black"/>
              </w:rPr>
              <w:t>''''''''''''''''</w:t>
            </w:r>
            <w:r w:rsidR="006325BA">
              <w:rPr>
                <w:vertAlign w:val="superscript"/>
              </w:rPr>
              <w:t>3</w:t>
            </w:r>
          </w:p>
        </w:tc>
      </w:tr>
    </w:tbl>
    <w:p w:rsidR="00F1737B" w:rsidRPr="00546649" w:rsidRDefault="00F1737B" w:rsidP="00F1737B">
      <w:pPr>
        <w:pStyle w:val="TableFooter"/>
      </w:pPr>
      <w:r w:rsidRPr="00546649">
        <w:t>Source: Constructed during the evaluation from the ‘A3.1_Larotrectinib_PBACMSAC_CEA_June21_resub_6June21.xlsx’ workbook included in the resubmission.</w:t>
      </w:r>
    </w:p>
    <w:p w:rsidR="00E306F4" w:rsidRDefault="00012EE8" w:rsidP="00F1737B">
      <w:pPr>
        <w:pStyle w:val="TableFooter"/>
      </w:pPr>
      <w:bookmarkStart w:id="92" w:name="OLE_LINK19"/>
      <w:r w:rsidRPr="005B672C">
        <w:t xml:space="preserve">Note: </w:t>
      </w:r>
      <w:r w:rsidR="00A605F7">
        <w:t>These are</w:t>
      </w:r>
      <w:r w:rsidRPr="005B672C">
        <w:t xml:space="preserve"> </w:t>
      </w:r>
      <w:r w:rsidR="00B76D9F">
        <w:t xml:space="preserve">additional or </w:t>
      </w:r>
      <w:r w:rsidR="00B76D9F" w:rsidRPr="005B672C">
        <w:t>revis</w:t>
      </w:r>
      <w:r w:rsidR="00B76D9F">
        <w:t>ed analyses</w:t>
      </w:r>
      <w:r w:rsidR="00B76D9F" w:rsidRPr="005B672C">
        <w:t xml:space="preserve"> conducted during the evaluation. </w:t>
      </w:r>
    </w:p>
    <w:p w:rsidR="00F1737B" w:rsidRPr="00012EE8" w:rsidRDefault="00E306F4" w:rsidP="00E306F4">
      <w:pPr>
        <w:pStyle w:val="TableFooter"/>
        <w:numPr>
          <w:ilvl w:val="0"/>
          <w:numId w:val="97"/>
        </w:numPr>
      </w:pPr>
      <w:r>
        <w:t>C</w:t>
      </w:r>
      <w:r w:rsidR="00B76D9F">
        <w:t xml:space="preserve">hanges </w:t>
      </w:r>
      <w:r>
        <w:t xml:space="preserve">include </w:t>
      </w:r>
      <w:r w:rsidR="00012EE8">
        <w:t>revising</w:t>
      </w:r>
      <w:r w:rsidR="00012EE8" w:rsidRPr="005B672C">
        <w:t xml:space="preserve"> </w:t>
      </w:r>
      <w:r w:rsidR="00012EE8" w:rsidRPr="00012EE8">
        <w:t>t</w:t>
      </w:r>
      <w:bookmarkEnd w:id="92"/>
      <w:r w:rsidR="00F1737B" w:rsidRPr="00012EE8">
        <w:t>he distribution of tumour types to reflect the distribution in the tested population (rather than the treated population)</w:t>
      </w:r>
      <w:r w:rsidR="00012EE8">
        <w:t xml:space="preserve"> and o</w:t>
      </w:r>
      <w:r w:rsidR="00F1737B" w:rsidRPr="00012EE8">
        <w:t>ther minor revisions to treatment costs modelled and SoC STS data.</w:t>
      </w:r>
    </w:p>
    <w:p w:rsidR="00F1737B" w:rsidRDefault="00F1737B" w:rsidP="00F1737B">
      <w:pPr>
        <w:pStyle w:val="TableFooter"/>
      </w:pPr>
      <w:r w:rsidRPr="00211488">
        <w:rPr>
          <w:i/>
        </w:rPr>
        <w:t>NTRK</w:t>
      </w:r>
      <w:r>
        <w:t xml:space="preserve"> = </w:t>
      </w:r>
      <w:r w:rsidRPr="00211488">
        <w:t>neurotrophic tropomyosin receptor kinase</w:t>
      </w:r>
      <w:r>
        <w:t>; OS = overall survival; PFS = progression-free survival; QALY = quality-adjusted life year; SoC = standard of care.</w:t>
      </w:r>
    </w:p>
    <w:p w:rsidR="002451D9" w:rsidRDefault="002451D9" w:rsidP="00F1737B">
      <w:pPr>
        <w:pStyle w:val="TableFooter"/>
      </w:pPr>
      <w:r>
        <w:t>*costs for lenvatinib and trifluridine+tipiracil are based on published prices</w:t>
      </w:r>
    </w:p>
    <w:p w:rsidR="00974527" w:rsidRDefault="00974527" w:rsidP="00053DB1">
      <w:pPr>
        <w:pStyle w:val="TableFooter"/>
        <w:spacing w:after="0"/>
      </w:pPr>
      <w:r w:rsidRPr="00546649">
        <w:rPr>
          <w:vertAlign w:val="superscript"/>
        </w:rPr>
        <w:t xml:space="preserve"># </w:t>
      </w:r>
      <w:r w:rsidRPr="00546649">
        <w:t xml:space="preserve">Cost of lenvatinib per 28-day cycle is based on one 10 mg and two 4 mg capsule packs. A mean daily dose of 18 mg is assumed. This differs from the mean daily dose used in the resubmission (17.2 mg) </w:t>
      </w:r>
      <w:r w:rsidR="00EF56C6" w:rsidRPr="00546649">
        <w:t xml:space="preserve">which is based on </w:t>
      </w:r>
      <w:r w:rsidRPr="00546649">
        <w:t>the key lenvatinib trial</w:t>
      </w:r>
      <w:r w:rsidR="00EF56C6" w:rsidRPr="00546649">
        <w:t>.</w:t>
      </w:r>
    </w:p>
    <w:p w:rsidR="006325BA" w:rsidRPr="00053DB1" w:rsidRDefault="006325BA" w:rsidP="006325BA">
      <w:pPr>
        <w:pStyle w:val="TableFigureFooter"/>
        <w:spacing w:after="0"/>
        <w:contextualSpacing w:val="0"/>
        <w:rPr>
          <w:i/>
        </w:rPr>
      </w:pPr>
      <w:r w:rsidRPr="009868C4">
        <w:rPr>
          <w:i/>
        </w:rPr>
        <w:t>The redacted values correspond to the following ranges</w:t>
      </w:r>
      <w:r>
        <w:rPr>
          <w:i/>
        </w:rPr>
        <w:t xml:space="preserve">: </w:t>
      </w:r>
    </w:p>
    <w:p w:rsidR="006325BA" w:rsidRPr="00870C5D" w:rsidRDefault="006325BA" w:rsidP="006325BA">
      <w:pPr>
        <w:pStyle w:val="TableFigureFooter"/>
        <w:spacing w:after="0"/>
        <w:contextualSpacing w:val="0"/>
      </w:pPr>
      <w:r>
        <w:rPr>
          <w:i/>
          <w:vertAlign w:val="superscript"/>
        </w:rPr>
        <w:t>2</w:t>
      </w:r>
      <w:r>
        <w:rPr>
          <w:i/>
        </w:rPr>
        <w:t xml:space="preserve"> </w:t>
      </w:r>
      <w:r w:rsidRPr="006325BA">
        <w:rPr>
          <w:i/>
        </w:rPr>
        <w:t>$35,000 to &lt; $45,000</w:t>
      </w:r>
    </w:p>
    <w:p w:rsidR="006325BA" w:rsidRPr="00870C5D" w:rsidRDefault="006325BA" w:rsidP="006325BA">
      <w:pPr>
        <w:pStyle w:val="TableFigureFooter"/>
        <w:spacing w:after="0"/>
        <w:contextualSpacing w:val="0"/>
      </w:pPr>
      <w:r>
        <w:rPr>
          <w:i/>
          <w:vertAlign w:val="superscript"/>
        </w:rPr>
        <w:t>3</w:t>
      </w:r>
      <w:r>
        <w:rPr>
          <w:i/>
        </w:rPr>
        <w:t xml:space="preserve"> </w:t>
      </w:r>
      <w:r w:rsidRPr="006325BA">
        <w:rPr>
          <w:i/>
        </w:rPr>
        <w:t>$75,000 to &lt; $95,000</w:t>
      </w:r>
    </w:p>
    <w:p w:rsidR="006325BA" w:rsidRPr="00546649" w:rsidRDefault="006325BA" w:rsidP="00F1737B">
      <w:pPr>
        <w:pStyle w:val="TableFooter"/>
      </w:pPr>
    </w:p>
    <w:p w:rsidR="00AF6324" w:rsidRPr="00063F2B" w:rsidRDefault="00AF6324" w:rsidP="006325BA">
      <w:pPr>
        <w:pStyle w:val="ListParagraph"/>
      </w:pPr>
      <w:r w:rsidRPr="00063F2B">
        <w:t xml:space="preserve">The PSCR noted that the cost offsets for lenvatinib had been overestimated due to an error in the calculation of the </w:t>
      </w:r>
      <w:r w:rsidR="00CF4597" w:rsidRPr="00063F2B">
        <w:t>cost of lenvatinib per cycle</w:t>
      </w:r>
      <w:r w:rsidRPr="00063F2B">
        <w:t>, where 30 instead of 60 capsules we</w:t>
      </w:r>
      <w:r w:rsidR="00CF4597" w:rsidRPr="00063F2B">
        <w:t>re used to calculate the cost per mg. The PSCR</w:t>
      </w:r>
      <w:r w:rsidR="00F510B0" w:rsidRPr="00063F2B">
        <w:t xml:space="preserve"> noted that the ICER for the adult low frequency and overall population increases from </w:t>
      </w:r>
      <w:r w:rsidR="006325BA" w:rsidRPr="006325BA">
        <w:t>$35,000 to &lt; $45,000</w:t>
      </w:r>
      <w:r w:rsidR="00F510B0" w:rsidRPr="00063F2B">
        <w:t xml:space="preserve">/QALY to </w:t>
      </w:r>
      <w:r w:rsidR="006325BA">
        <w:t>$55,000 to &lt; $75,000</w:t>
      </w:r>
      <w:r w:rsidR="00F510B0" w:rsidRPr="00063F2B">
        <w:t xml:space="preserve">/QALY and from </w:t>
      </w:r>
      <w:r w:rsidR="006325BA">
        <w:t>$55,000 to &lt; $75,000</w:t>
      </w:r>
      <w:r w:rsidR="00F510B0" w:rsidRPr="00063F2B">
        <w:t xml:space="preserve">/QALY to </w:t>
      </w:r>
      <w:r w:rsidR="006325BA">
        <w:t>$55,000 to &lt; $75,000</w:t>
      </w:r>
      <w:r w:rsidR="00F510B0" w:rsidRPr="00063F2B">
        <w:t xml:space="preserve">/QALY respectively, when the cost of lenvatinib per cycle was revised using the cost for two 10 mg capsule packs. </w:t>
      </w:r>
      <w:r w:rsidR="00864421" w:rsidRPr="00063F2B">
        <w:t>The ESCs noted that the</w:t>
      </w:r>
      <w:r w:rsidR="0098468F" w:rsidRPr="00063F2B">
        <w:t xml:space="preserve"> cost of lenvatinib per cycle used in the</w:t>
      </w:r>
      <w:r w:rsidR="00864421" w:rsidRPr="00063F2B">
        <w:t xml:space="preserve"> ICER </w:t>
      </w:r>
      <w:r w:rsidR="0098468F" w:rsidRPr="00063F2B">
        <w:t xml:space="preserve">calculated by the evaluation was based on </w:t>
      </w:r>
      <w:r w:rsidR="003303AF" w:rsidRPr="00063F2B">
        <w:t>one 10 mg pack and two 4 mg packs of lenvatinib</w:t>
      </w:r>
      <w:r w:rsidR="0098468F" w:rsidRPr="00063F2B">
        <w:t>. The ESCs considered</w:t>
      </w:r>
      <w:r w:rsidR="007D4D09" w:rsidRPr="00063F2B">
        <w:t xml:space="preserve"> that</w:t>
      </w:r>
      <w:r w:rsidR="0098468F" w:rsidRPr="00063F2B">
        <w:t xml:space="preserve"> </w:t>
      </w:r>
      <w:r w:rsidR="007D4D09" w:rsidRPr="00063F2B">
        <w:t>the evaluation’s method of determining the cost of lenvatinib, was appropriate as</w:t>
      </w:r>
      <w:r w:rsidR="008F2523" w:rsidRPr="00063F2B">
        <w:t xml:space="preserve"> the 4 mg and 10 mg capsule packs have different prices and the method</w:t>
      </w:r>
      <w:r w:rsidR="007D4D09" w:rsidRPr="00063F2B">
        <w:t xml:space="preserve"> </w:t>
      </w:r>
      <w:r w:rsidR="008F2523" w:rsidRPr="00063F2B">
        <w:t>takes into account the price of both these strengths.</w:t>
      </w:r>
      <w:r w:rsidR="00976AE1" w:rsidRPr="00063F2B">
        <w:t xml:space="preserve"> The PSCR stated the time on treatment for lenvatinib presented in the economic evaluation was 18 months. However, the ESC</w:t>
      </w:r>
      <w:r w:rsidR="00E306F4" w:rsidRPr="00063F2B">
        <w:t>s</w:t>
      </w:r>
      <w:r w:rsidR="00976AE1" w:rsidRPr="00063F2B">
        <w:t xml:space="preserve"> noted that while the median time on treatment was 18 months, the average modelled time on treatment (which informed the treatment cost for lenvatinib) was 3.3 years.</w:t>
      </w:r>
      <w:r w:rsidR="008E49A5">
        <w:t xml:space="preserve"> </w:t>
      </w:r>
    </w:p>
    <w:p w:rsidR="00F1737B" w:rsidRPr="00E3307B" w:rsidRDefault="00F1737B" w:rsidP="00F1737B">
      <w:pPr>
        <w:pStyle w:val="ListParagraph"/>
      </w:pPr>
      <w:r w:rsidRPr="00F93434">
        <w:t xml:space="preserve">The results of the economic evaluation </w:t>
      </w:r>
      <w:r w:rsidRPr="0066475C">
        <w:t xml:space="preserve">for the </w:t>
      </w:r>
      <w:r>
        <w:t>o</w:t>
      </w:r>
      <w:r w:rsidRPr="0066475C">
        <w:t>verall population proposed for larotrectinib treatment is presented in</w:t>
      </w:r>
      <w:r w:rsidRPr="00F93434">
        <w:t xml:space="preserve"> in </w:t>
      </w:r>
      <w:r w:rsidR="00796D25">
        <w:t>Table</w:t>
      </w:r>
      <w:r w:rsidR="00D944C2">
        <w:t xml:space="preserve"> </w:t>
      </w:r>
      <w:r w:rsidR="00796D25">
        <w:rPr>
          <w:noProof/>
        </w:rPr>
        <w:t>27</w:t>
      </w:r>
      <w:r w:rsidRPr="00F93434">
        <w:t>.</w:t>
      </w:r>
    </w:p>
    <w:p w:rsidR="00F1737B" w:rsidRDefault="00F1737B" w:rsidP="00F1737B">
      <w:pPr>
        <w:pStyle w:val="Caption"/>
      </w:pPr>
      <w:bookmarkStart w:id="93" w:name="_Ref79167647"/>
      <w:r>
        <w:t>Table</w:t>
      </w:r>
      <w:r w:rsidR="00D944C2">
        <w:t xml:space="preserve"> </w:t>
      </w:r>
      <w:r w:rsidR="00BB3DD1">
        <w:rPr>
          <w:noProof/>
        </w:rPr>
        <w:t>27</w:t>
      </w:r>
      <w:bookmarkEnd w:id="93"/>
      <w:r w:rsidR="00D117CD">
        <w:rPr>
          <w:noProof/>
        </w:rPr>
        <w:t xml:space="preserve">: </w:t>
      </w:r>
      <w:r>
        <w:t>Results of the economic evaluation, overall population proposed for larotrectinib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64"/>
        <w:gridCol w:w="2553"/>
        <w:gridCol w:w="1417"/>
        <w:gridCol w:w="1082"/>
      </w:tblGrid>
      <w:tr w:rsidR="00F1737B" w:rsidRPr="00495E72" w:rsidTr="00356521">
        <w:trPr>
          <w:tblHeader/>
        </w:trPr>
        <w:tc>
          <w:tcPr>
            <w:tcW w:w="2198" w:type="pct"/>
            <w:tcBorders>
              <w:bottom w:val="single" w:sz="4" w:space="0" w:color="auto"/>
            </w:tcBorders>
            <w:vAlign w:val="bottom"/>
          </w:tcPr>
          <w:p w:rsidR="00F1737B" w:rsidRPr="00495E72" w:rsidRDefault="00F1737B" w:rsidP="00CB375A">
            <w:pPr>
              <w:pStyle w:val="TableText"/>
              <w:rPr>
                <w:b/>
              </w:rPr>
            </w:pPr>
          </w:p>
        </w:tc>
        <w:tc>
          <w:tcPr>
            <w:tcW w:w="1416" w:type="pct"/>
            <w:tcBorders>
              <w:bottom w:val="single" w:sz="4" w:space="0" w:color="auto"/>
            </w:tcBorders>
            <w:vAlign w:val="bottom"/>
          </w:tcPr>
          <w:p w:rsidR="00F1737B" w:rsidRPr="00606AF9" w:rsidRDefault="00F1737B" w:rsidP="00CB375A">
            <w:pPr>
              <w:pStyle w:val="TableText"/>
              <w:jc w:val="center"/>
              <w:rPr>
                <w:b/>
              </w:rPr>
            </w:pPr>
            <w:r>
              <w:rPr>
                <w:b/>
                <w:i/>
              </w:rPr>
              <w:t>NTRK</w:t>
            </w:r>
            <w:r>
              <w:rPr>
                <w:b/>
              </w:rPr>
              <w:t xml:space="preserve"> testing + larotrectinib</w:t>
            </w:r>
            <w:r w:rsidR="00D31DDC" w:rsidRPr="00365FEB">
              <w:rPr>
                <w:b/>
              </w:rPr>
              <w:t xml:space="preserve"> in </w:t>
            </w:r>
            <w:r w:rsidR="00D31DDC" w:rsidRPr="00365FEB">
              <w:rPr>
                <w:b/>
                <w:i/>
              </w:rPr>
              <w:t xml:space="preserve">NTRK+ </w:t>
            </w:r>
            <w:r w:rsidR="00D31DDC" w:rsidRPr="00365FEB">
              <w:rPr>
                <w:b/>
              </w:rPr>
              <w:t xml:space="preserve">and SoC in </w:t>
            </w:r>
            <w:r w:rsidR="00D31DDC" w:rsidRPr="00365FEB">
              <w:rPr>
                <w:b/>
                <w:i/>
              </w:rPr>
              <w:t>NTRK−</w:t>
            </w:r>
          </w:p>
        </w:tc>
        <w:tc>
          <w:tcPr>
            <w:tcW w:w="786" w:type="pct"/>
            <w:tcBorders>
              <w:bottom w:val="single" w:sz="4" w:space="0" w:color="auto"/>
            </w:tcBorders>
            <w:vAlign w:val="bottom"/>
          </w:tcPr>
          <w:p w:rsidR="00F1737B" w:rsidRPr="00495E72" w:rsidRDefault="00F1737B" w:rsidP="00CB375A">
            <w:pPr>
              <w:pStyle w:val="TableText"/>
              <w:jc w:val="center"/>
              <w:rPr>
                <w:b/>
              </w:rPr>
            </w:pPr>
            <w:r>
              <w:rPr>
                <w:b/>
              </w:rPr>
              <w:t>No testing +</w:t>
            </w:r>
            <w:r w:rsidRPr="00495E72">
              <w:rPr>
                <w:b/>
              </w:rPr>
              <w:t>SoC</w:t>
            </w:r>
          </w:p>
        </w:tc>
        <w:tc>
          <w:tcPr>
            <w:tcW w:w="600" w:type="pct"/>
            <w:tcBorders>
              <w:bottom w:val="single" w:sz="4" w:space="0" w:color="auto"/>
            </w:tcBorders>
            <w:vAlign w:val="bottom"/>
          </w:tcPr>
          <w:p w:rsidR="00F1737B" w:rsidRPr="00495E72" w:rsidRDefault="00F1737B" w:rsidP="00CB375A">
            <w:pPr>
              <w:pStyle w:val="TableText"/>
              <w:jc w:val="center"/>
              <w:rPr>
                <w:b/>
              </w:rPr>
            </w:pPr>
            <w:r w:rsidRPr="00495E72">
              <w:rPr>
                <w:b/>
              </w:rPr>
              <w:t>Increment</w:t>
            </w:r>
          </w:p>
        </w:tc>
      </w:tr>
      <w:tr w:rsidR="00F1737B" w:rsidRPr="00495E72" w:rsidTr="00CB375A">
        <w:tc>
          <w:tcPr>
            <w:tcW w:w="5000" w:type="pct"/>
            <w:gridSpan w:val="4"/>
            <w:tcBorders>
              <w:bottom w:val="single" w:sz="4" w:space="0" w:color="auto"/>
            </w:tcBorders>
          </w:tcPr>
          <w:p w:rsidR="00F1737B" w:rsidRPr="001E5EA9" w:rsidRDefault="00A0573C" w:rsidP="00CB375A">
            <w:pPr>
              <w:pStyle w:val="TableText"/>
              <w:keepNext/>
              <w:spacing w:line="257" w:lineRule="auto"/>
            </w:pPr>
            <w:r>
              <w:rPr>
                <w:b/>
              </w:rPr>
              <w:t>Resubmission base case (larotrectinib data based on the overall pooled analysis set)</w:t>
            </w:r>
          </w:p>
        </w:tc>
      </w:tr>
      <w:tr w:rsidR="00F1737B" w:rsidRPr="00962538" w:rsidTr="00356521">
        <w:tc>
          <w:tcPr>
            <w:tcW w:w="2198" w:type="pct"/>
            <w:tcBorders>
              <w:bottom w:val="nil"/>
            </w:tcBorders>
          </w:tcPr>
          <w:p w:rsidR="00F1737B" w:rsidRPr="00962538" w:rsidRDefault="00F1737B" w:rsidP="00CB375A">
            <w:pPr>
              <w:pStyle w:val="TableText"/>
              <w:keepNext/>
              <w:spacing w:line="257" w:lineRule="auto"/>
            </w:pPr>
            <w:r>
              <w:t>C</w:t>
            </w:r>
            <w:r w:rsidRPr="000A5E6B">
              <w:t>ost</w:t>
            </w:r>
            <w:r w:rsidR="006325BA">
              <w:t xml:space="preserve"> ($)</w:t>
            </w:r>
          </w:p>
        </w:tc>
        <w:tc>
          <w:tcPr>
            <w:tcW w:w="1416" w:type="pct"/>
            <w:tcBorders>
              <w:bottom w:val="nil"/>
            </w:tcBorders>
          </w:tcPr>
          <w:p w:rsidR="00F1737B" w:rsidRPr="00675CB4" w:rsidRDefault="00675CB4" w:rsidP="00CB375A">
            <w:pPr>
              <w:pStyle w:val="TableText"/>
              <w:keepNext/>
              <w:spacing w:line="257" w:lineRule="auto"/>
              <w:jc w:val="right"/>
              <w:rPr>
                <w:rFonts w:ascii="Times" w:eastAsia="Times New Roman" w:hAnsi="Times" w:cs="Times New Roman"/>
                <w:highlight w:val="black"/>
              </w:rPr>
            </w:pPr>
            <w:r>
              <w:rPr>
                <w:noProof/>
                <w:color w:val="000000"/>
                <w:highlight w:val="black"/>
              </w:rPr>
              <w:t>'''''''''''''''''''''</w:t>
            </w:r>
          </w:p>
        </w:tc>
        <w:tc>
          <w:tcPr>
            <w:tcW w:w="786" w:type="pct"/>
            <w:tcBorders>
              <w:bottom w:val="nil"/>
            </w:tcBorders>
          </w:tcPr>
          <w:p w:rsidR="00F1737B" w:rsidRPr="00962538" w:rsidRDefault="00F1737B" w:rsidP="00CB375A">
            <w:pPr>
              <w:pStyle w:val="TableText"/>
              <w:keepNext/>
              <w:spacing w:line="257" w:lineRule="auto"/>
              <w:jc w:val="right"/>
              <w:rPr>
                <w:rFonts w:ascii="Times" w:eastAsia="Times New Roman" w:hAnsi="Times" w:cs="Times New Roman"/>
              </w:rPr>
            </w:pPr>
            <w:r w:rsidRPr="00F7632C">
              <w:t>$128,125</w:t>
            </w:r>
          </w:p>
        </w:tc>
        <w:tc>
          <w:tcPr>
            <w:tcW w:w="600" w:type="pct"/>
            <w:tcBorders>
              <w:bottom w:val="nil"/>
            </w:tcBorders>
          </w:tcPr>
          <w:p w:rsidR="00F1737B" w:rsidRPr="00675CB4" w:rsidRDefault="00675CB4" w:rsidP="00CB375A">
            <w:pPr>
              <w:pStyle w:val="TableText"/>
              <w:keepNext/>
              <w:spacing w:line="257" w:lineRule="auto"/>
              <w:jc w:val="right"/>
              <w:rPr>
                <w:rFonts w:ascii="Times" w:eastAsia="Times New Roman" w:hAnsi="Times" w:cs="Times New Roman"/>
                <w:highlight w:val="black"/>
              </w:rPr>
            </w:pPr>
            <w:r>
              <w:rPr>
                <w:noProof/>
                <w:color w:val="000000"/>
                <w:highlight w:val="black"/>
              </w:rPr>
              <w:t>'''''''''''''''''</w:t>
            </w:r>
          </w:p>
        </w:tc>
      </w:tr>
      <w:tr w:rsidR="00F1737B" w:rsidRPr="00962538" w:rsidTr="00356521">
        <w:tc>
          <w:tcPr>
            <w:tcW w:w="2198" w:type="pct"/>
            <w:tcBorders>
              <w:bottom w:val="single" w:sz="4" w:space="0" w:color="auto"/>
            </w:tcBorders>
          </w:tcPr>
          <w:p w:rsidR="00F1737B" w:rsidRPr="00053DB1" w:rsidRDefault="00F1737B">
            <w:pPr>
              <w:pStyle w:val="TableText"/>
              <w:keepNext/>
              <w:spacing w:line="257" w:lineRule="auto"/>
              <w:rPr>
                <w:rFonts w:ascii="Times" w:eastAsia="Times New Roman" w:hAnsi="Times" w:cs="Times New Roman"/>
                <w:vertAlign w:val="superscript"/>
              </w:rPr>
            </w:pPr>
            <w:r>
              <w:t>QALY gained</w:t>
            </w:r>
          </w:p>
        </w:tc>
        <w:tc>
          <w:tcPr>
            <w:tcW w:w="1416" w:type="pct"/>
            <w:tcBorders>
              <w:bottom w:val="single" w:sz="4" w:space="0" w:color="auto"/>
            </w:tcBorders>
          </w:tcPr>
          <w:p w:rsidR="00F1737B" w:rsidRPr="00962538" w:rsidRDefault="00F1737B" w:rsidP="00CB375A">
            <w:pPr>
              <w:pStyle w:val="TableText"/>
              <w:keepNext/>
              <w:spacing w:line="257" w:lineRule="auto"/>
              <w:jc w:val="right"/>
            </w:pPr>
            <w:r w:rsidRPr="00F7632C">
              <w:t>2.713</w:t>
            </w:r>
          </w:p>
        </w:tc>
        <w:tc>
          <w:tcPr>
            <w:tcW w:w="786" w:type="pct"/>
            <w:tcBorders>
              <w:bottom w:val="single" w:sz="4" w:space="0" w:color="auto"/>
            </w:tcBorders>
          </w:tcPr>
          <w:p w:rsidR="00F1737B" w:rsidRPr="00962538" w:rsidRDefault="00F1737B" w:rsidP="00CB375A">
            <w:pPr>
              <w:pStyle w:val="TableText"/>
              <w:keepNext/>
              <w:spacing w:line="257" w:lineRule="auto"/>
              <w:jc w:val="right"/>
            </w:pPr>
            <w:r w:rsidRPr="00F7632C">
              <w:t>2.008</w:t>
            </w:r>
          </w:p>
        </w:tc>
        <w:tc>
          <w:tcPr>
            <w:tcW w:w="600" w:type="pct"/>
            <w:tcBorders>
              <w:bottom w:val="single" w:sz="4" w:space="0" w:color="auto"/>
            </w:tcBorders>
          </w:tcPr>
          <w:p w:rsidR="00F1737B" w:rsidRPr="00962538" w:rsidRDefault="00F1737B" w:rsidP="00CB375A">
            <w:pPr>
              <w:pStyle w:val="TableText"/>
              <w:keepNext/>
              <w:spacing w:line="257" w:lineRule="auto"/>
              <w:jc w:val="right"/>
            </w:pPr>
            <w:r w:rsidRPr="00F7632C">
              <w:t>0.705</w:t>
            </w:r>
          </w:p>
        </w:tc>
      </w:tr>
      <w:tr w:rsidR="00F1737B" w:rsidRPr="001E5EA9" w:rsidTr="00356521">
        <w:tc>
          <w:tcPr>
            <w:tcW w:w="2198" w:type="pct"/>
            <w:tcBorders>
              <w:bottom w:val="single" w:sz="4" w:space="0" w:color="auto"/>
              <w:right w:val="nil"/>
            </w:tcBorders>
          </w:tcPr>
          <w:p w:rsidR="00F1737B" w:rsidRPr="001E5EA9" w:rsidRDefault="00F1737B" w:rsidP="00CB375A">
            <w:pPr>
              <w:pStyle w:val="TableText"/>
              <w:rPr>
                <w:rFonts w:ascii="Times" w:eastAsia="Times New Roman" w:hAnsi="Times" w:cs="Times New Roman"/>
                <w:b/>
              </w:rPr>
            </w:pPr>
            <w:r w:rsidRPr="001E5EA9">
              <w:rPr>
                <w:b/>
              </w:rPr>
              <w:t>Incremental cost/extra QALY gained</w:t>
            </w:r>
          </w:p>
        </w:tc>
        <w:tc>
          <w:tcPr>
            <w:tcW w:w="1416" w:type="pct"/>
            <w:tcBorders>
              <w:left w:val="nil"/>
              <w:bottom w:val="single" w:sz="4" w:space="0" w:color="auto"/>
              <w:right w:val="nil"/>
            </w:tcBorders>
          </w:tcPr>
          <w:p w:rsidR="00F1737B" w:rsidRPr="001E5EA9" w:rsidRDefault="00F1737B" w:rsidP="00CB375A">
            <w:pPr>
              <w:pStyle w:val="TableText"/>
              <w:jc w:val="right"/>
              <w:rPr>
                <w:rFonts w:ascii="Times" w:eastAsia="Times New Roman" w:hAnsi="Times" w:cs="Times New Roman"/>
                <w:b/>
              </w:rPr>
            </w:pPr>
          </w:p>
        </w:tc>
        <w:tc>
          <w:tcPr>
            <w:tcW w:w="786" w:type="pct"/>
            <w:tcBorders>
              <w:left w:val="nil"/>
              <w:bottom w:val="single" w:sz="4" w:space="0" w:color="auto"/>
            </w:tcBorders>
          </w:tcPr>
          <w:p w:rsidR="00F1737B" w:rsidRPr="001E5EA9" w:rsidRDefault="00F1737B" w:rsidP="00CB375A">
            <w:pPr>
              <w:pStyle w:val="TableText"/>
              <w:jc w:val="right"/>
              <w:rPr>
                <w:rFonts w:ascii="Times" w:eastAsia="Times New Roman" w:hAnsi="Times" w:cs="Times New Roman"/>
                <w:b/>
              </w:rPr>
            </w:pPr>
          </w:p>
        </w:tc>
        <w:tc>
          <w:tcPr>
            <w:tcW w:w="600" w:type="pct"/>
            <w:tcBorders>
              <w:bottom w:val="single" w:sz="4" w:space="0" w:color="auto"/>
            </w:tcBorders>
          </w:tcPr>
          <w:p w:rsidR="00F1737B" w:rsidRPr="00A57584" w:rsidRDefault="00675CB4" w:rsidP="00CB375A">
            <w:pPr>
              <w:pStyle w:val="TableText"/>
              <w:jc w:val="right"/>
              <w:rPr>
                <w:rFonts w:ascii="Times" w:eastAsia="Times New Roman" w:hAnsi="Times" w:cs="Times New Roman"/>
                <w:b/>
              </w:rPr>
            </w:pPr>
            <w:r>
              <w:rPr>
                <w:b/>
                <w:noProof/>
                <w:color w:val="000000"/>
                <w:highlight w:val="black"/>
              </w:rPr>
              <w:t>''''''''''''''''</w:t>
            </w:r>
            <w:r w:rsidR="006325BA">
              <w:rPr>
                <w:vertAlign w:val="superscript"/>
              </w:rPr>
              <w:t>1</w:t>
            </w:r>
          </w:p>
        </w:tc>
      </w:tr>
      <w:tr w:rsidR="00F1737B" w:rsidRPr="00A605F7" w:rsidTr="00CB375A">
        <w:tc>
          <w:tcPr>
            <w:tcW w:w="5000" w:type="pct"/>
            <w:gridSpan w:val="4"/>
            <w:tcBorders>
              <w:bottom w:val="single" w:sz="4" w:space="0" w:color="auto"/>
            </w:tcBorders>
          </w:tcPr>
          <w:p w:rsidR="00F1737B" w:rsidRPr="00A605F7" w:rsidRDefault="00A0573C" w:rsidP="00BC4380">
            <w:pPr>
              <w:pStyle w:val="TableText"/>
              <w:keepNext/>
              <w:spacing w:line="257" w:lineRule="auto"/>
              <w:rPr>
                <w:iCs/>
              </w:rPr>
            </w:pPr>
            <w:r w:rsidRPr="00A605F7">
              <w:rPr>
                <w:b/>
                <w:iCs/>
              </w:rPr>
              <w:t xml:space="preserve">Relevant tumour type subgroup </w:t>
            </w:r>
            <w:r w:rsidR="00BC4380" w:rsidRPr="00A605F7">
              <w:rPr>
                <w:b/>
                <w:iCs/>
              </w:rPr>
              <w:t xml:space="preserve">analyses, </w:t>
            </w:r>
            <w:r w:rsidRPr="00A605F7">
              <w:rPr>
                <w:b/>
                <w:iCs/>
              </w:rPr>
              <w:t xml:space="preserve">weighted as per the distribution in Australian clinical practice </w:t>
            </w:r>
            <w:r w:rsidR="00BC4380" w:rsidRPr="00A605F7">
              <w:rPr>
                <w:b/>
                <w:iCs/>
              </w:rPr>
              <w:t>−</w:t>
            </w:r>
            <w:r w:rsidRPr="00A605F7">
              <w:rPr>
                <w:b/>
                <w:iCs/>
              </w:rPr>
              <w:t xml:space="preserve"> revised</w:t>
            </w:r>
          </w:p>
        </w:tc>
      </w:tr>
      <w:tr w:rsidR="00F1737B" w:rsidRPr="00A605F7" w:rsidTr="00356521">
        <w:tc>
          <w:tcPr>
            <w:tcW w:w="2198" w:type="pct"/>
            <w:tcBorders>
              <w:bottom w:val="nil"/>
            </w:tcBorders>
          </w:tcPr>
          <w:p w:rsidR="00F1737B" w:rsidRPr="00A605F7" w:rsidRDefault="00F1737B" w:rsidP="00CB375A">
            <w:pPr>
              <w:pStyle w:val="TableText"/>
              <w:keepNext/>
              <w:spacing w:line="257" w:lineRule="auto"/>
              <w:rPr>
                <w:iCs/>
              </w:rPr>
            </w:pPr>
            <w:r w:rsidRPr="00A605F7">
              <w:rPr>
                <w:iCs/>
              </w:rPr>
              <w:t>Cost</w:t>
            </w:r>
            <w:r w:rsidR="006325BA">
              <w:rPr>
                <w:iCs/>
              </w:rPr>
              <w:t xml:space="preserve"> ($)</w:t>
            </w:r>
          </w:p>
        </w:tc>
        <w:tc>
          <w:tcPr>
            <w:tcW w:w="1416" w:type="pct"/>
            <w:tcBorders>
              <w:bottom w:val="nil"/>
            </w:tcBorders>
          </w:tcPr>
          <w:p w:rsidR="00F1737B" w:rsidRPr="00675CB4" w:rsidRDefault="00675CB4" w:rsidP="00CB375A">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c>
          <w:tcPr>
            <w:tcW w:w="786" w:type="pct"/>
            <w:tcBorders>
              <w:bottom w:val="nil"/>
            </w:tcBorders>
          </w:tcPr>
          <w:p w:rsidR="00F1737B" w:rsidRPr="00A605F7" w:rsidRDefault="00F1737B" w:rsidP="00CB375A">
            <w:pPr>
              <w:pStyle w:val="TableText"/>
              <w:keepNext/>
              <w:spacing w:line="257" w:lineRule="auto"/>
              <w:jc w:val="right"/>
              <w:rPr>
                <w:rFonts w:ascii="Times" w:eastAsia="Times New Roman" w:hAnsi="Times" w:cs="Times New Roman"/>
                <w:iCs/>
              </w:rPr>
            </w:pPr>
            <w:r w:rsidRPr="00A605F7">
              <w:rPr>
                <w:iCs/>
              </w:rPr>
              <w:t>$78,170</w:t>
            </w:r>
          </w:p>
        </w:tc>
        <w:tc>
          <w:tcPr>
            <w:tcW w:w="600" w:type="pct"/>
            <w:tcBorders>
              <w:bottom w:val="nil"/>
            </w:tcBorders>
          </w:tcPr>
          <w:p w:rsidR="00F1737B" w:rsidRPr="00675CB4" w:rsidRDefault="00675CB4" w:rsidP="00CB375A">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r>
      <w:tr w:rsidR="00F1737B" w:rsidRPr="00A605F7" w:rsidTr="00356521">
        <w:tc>
          <w:tcPr>
            <w:tcW w:w="2198" w:type="pct"/>
            <w:tcBorders>
              <w:bottom w:val="single" w:sz="4" w:space="0" w:color="auto"/>
            </w:tcBorders>
          </w:tcPr>
          <w:p w:rsidR="00F1737B" w:rsidRPr="00A605F7" w:rsidRDefault="00F1737B" w:rsidP="00CB375A">
            <w:pPr>
              <w:pStyle w:val="TableText"/>
              <w:keepNext/>
              <w:spacing w:line="257" w:lineRule="auto"/>
              <w:rPr>
                <w:rFonts w:ascii="Times" w:eastAsia="Times New Roman" w:hAnsi="Times" w:cs="Times New Roman"/>
                <w:iCs/>
              </w:rPr>
            </w:pPr>
            <w:r w:rsidRPr="00A605F7">
              <w:rPr>
                <w:iCs/>
              </w:rPr>
              <w:t>QALY gained</w:t>
            </w:r>
          </w:p>
        </w:tc>
        <w:tc>
          <w:tcPr>
            <w:tcW w:w="1416" w:type="pct"/>
            <w:tcBorders>
              <w:bottom w:val="single" w:sz="4" w:space="0" w:color="auto"/>
            </w:tcBorders>
          </w:tcPr>
          <w:p w:rsidR="00F1737B" w:rsidRPr="00A605F7" w:rsidRDefault="00F1737B" w:rsidP="00CB375A">
            <w:pPr>
              <w:pStyle w:val="TableText"/>
              <w:keepNext/>
              <w:spacing w:line="257" w:lineRule="auto"/>
              <w:jc w:val="right"/>
              <w:rPr>
                <w:iCs/>
              </w:rPr>
            </w:pPr>
            <w:r w:rsidRPr="00A605F7">
              <w:rPr>
                <w:iCs/>
              </w:rPr>
              <w:t>0.838</w:t>
            </w:r>
          </w:p>
        </w:tc>
        <w:tc>
          <w:tcPr>
            <w:tcW w:w="786" w:type="pct"/>
            <w:tcBorders>
              <w:bottom w:val="single" w:sz="4" w:space="0" w:color="auto"/>
            </w:tcBorders>
          </w:tcPr>
          <w:p w:rsidR="00F1737B" w:rsidRPr="00A605F7" w:rsidRDefault="00F1737B" w:rsidP="00CB375A">
            <w:pPr>
              <w:pStyle w:val="TableText"/>
              <w:keepNext/>
              <w:spacing w:line="257" w:lineRule="auto"/>
              <w:jc w:val="right"/>
              <w:rPr>
                <w:iCs/>
              </w:rPr>
            </w:pPr>
            <w:r w:rsidRPr="00A605F7">
              <w:rPr>
                <w:iCs/>
              </w:rPr>
              <w:t>0.821</w:t>
            </w:r>
          </w:p>
        </w:tc>
        <w:tc>
          <w:tcPr>
            <w:tcW w:w="600" w:type="pct"/>
            <w:tcBorders>
              <w:bottom w:val="single" w:sz="4" w:space="0" w:color="auto"/>
            </w:tcBorders>
          </w:tcPr>
          <w:p w:rsidR="00F1737B" w:rsidRPr="00A605F7" w:rsidRDefault="00F1737B" w:rsidP="00CB375A">
            <w:pPr>
              <w:pStyle w:val="TableText"/>
              <w:keepNext/>
              <w:spacing w:line="257" w:lineRule="auto"/>
              <w:jc w:val="right"/>
              <w:rPr>
                <w:iCs/>
              </w:rPr>
            </w:pPr>
            <w:r w:rsidRPr="00A605F7">
              <w:rPr>
                <w:iCs/>
              </w:rPr>
              <w:t>0.016</w:t>
            </w:r>
          </w:p>
        </w:tc>
      </w:tr>
      <w:tr w:rsidR="00F1737B" w:rsidRPr="00A605F7" w:rsidTr="00356521">
        <w:tc>
          <w:tcPr>
            <w:tcW w:w="2198" w:type="pct"/>
            <w:tcBorders>
              <w:bottom w:val="single" w:sz="4" w:space="0" w:color="auto"/>
              <w:right w:val="nil"/>
            </w:tcBorders>
          </w:tcPr>
          <w:p w:rsidR="00F1737B" w:rsidRPr="00A605F7" w:rsidRDefault="00F1737B" w:rsidP="00CB375A">
            <w:pPr>
              <w:pStyle w:val="TableText"/>
              <w:rPr>
                <w:rFonts w:ascii="Times" w:eastAsia="Times New Roman" w:hAnsi="Times" w:cs="Times New Roman"/>
                <w:b/>
                <w:iCs/>
              </w:rPr>
            </w:pPr>
            <w:r w:rsidRPr="00A605F7">
              <w:rPr>
                <w:b/>
                <w:iCs/>
              </w:rPr>
              <w:t>Incremental cost/extra QALY gained</w:t>
            </w:r>
          </w:p>
        </w:tc>
        <w:tc>
          <w:tcPr>
            <w:tcW w:w="1416" w:type="pct"/>
            <w:tcBorders>
              <w:left w:val="nil"/>
              <w:bottom w:val="single" w:sz="4" w:space="0" w:color="auto"/>
              <w:right w:val="nil"/>
            </w:tcBorders>
          </w:tcPr>
          <w:p w:rsidR="00F1737B" w:rsidRPr="00A605F7" w:rsidRDefault="00F1737B" w:rsidP="00CB375A">
            <w:pPr>
              <w:pStyle w:val="TableText"/>
              <w:jc w:val="right"/>
              <w:rPr>
                <w:rFonts w:ascii="Times" w:eastAsia="Times New Roman" w:hAnsi="Times" w:cs="Times New Roman"/>
                <w:b/>
                <w:iCs/>
              </w:rPr>
            </w:pPr>
          </w:p>
        </w:tc>
        <w:tc>
          <w:tcPr>
            <w:tcW w:w="786" w:type="pct"/>
            <w:tcBorders>
              <w:left w:val="nil"/>
              <w:bottom w:val="single" w:sz="4" w:space="0" w:color="auto"/>
            </w:tcBorders>
          </w:tcPr>
          <w:p w:rsidR="00F1737B" w:rsidRPr="00A605F7" w:rsidRDefault="00F1737B" w:rsidP="00CB375A">
            <w:pPr>
              <w:pStyle w:val="TableText"/>
              <w:jc w:val="right"/>
              <w:rPr>
                <w:rFonts w:ascii="Times" w:eastAsia="Times New Roman" w:hAnsi="Times" w:cs="Times New Roman"/>
                <w:b/>
                <w:iCs/>
              </w:rPr>
            </w:pPr>
          </w:p>
        </w:tc>
        <w:tc>
          <w:tcPr>
            <w:tcW w:w="600" w:type="pct"/>
            <w:tcBorders>
              <w:bottom w:val="single" w:sz="4" w:space="0" w:color="auto"/>
            </w:tcBorders>
          </w:tcPr>
          <w:p w:rsidR="00F1737B" w:rsidRPr="00A605F7" w:rsidRDefault="00675CB4" w:rsidP="00CB375A">
            <w:pPr>
              <w:pStyle w:val="TableText"/>
              <w:jc w:val="right"/>
              <w:rPr>
                <w:rFonts w:ascii="Times" w:eastAsia="Times New Roman" w:hAnsi="Times" w:cs="Times New Roman"/>
                <w:b/>
                <w:iCs/>
              </w:rPr>
            </w:pPr>
            <w:r>
              <w:rPr>
                <w:b/>
                <w:iCs/>
                <w:noProof/>
                <w:color w:val="000000"/>
                <w:highlight w:val="black"/>
              </w:rPr>
              <w:t>'''''''''''''''</w:t>
            </w:r>
            <w:r w:rsidR="006325BA">
              <w:rPr>
                <w:vertAlign w:val="superscript"/>
              </w:rPr>
              <w:t>2</w:t>
            </w:r>
          </w:p>
        </w:tc>
      </w:tr>
    </w:tbl>
    <w:p w:rsidR="00F1737B" w:rsidRDefault="00F1737B" w:rsidP="00F1737B">
      <w:pPr>
        <w:pStyle w:val="TableFooter"/>
        <w:rPr>
          <w:i/>
        </w:rPr>
      </w:pPr>
      <w:r>
        <w:t xml:space="preserve">Source: </w:t>
      </w:r>
      <w:r w:rsidRPr="00347AEF">
        <w:rPr>
          <w:iCs/>
        </w:rPr>
        <w:t>Constructed during the evaluation from the ‘A3.1_Larotrectinib_PBACMSAC_CEA_June21_resub_6June21.xlsx’ workbook included in the resubmission.</w:t>
      </w:r>
    </w:p>
    <w:p w:rsidR="00F1737B" w:rsidRPr="00012EE8" w:rsidRDefault="00012EE8" w:rsidP="00F1737B">
      <w:pPr>
        <w:pStyle w:val="TableFooter"/>
      </w:pPr>
      <w:r w:rsidRPr="005B672C">
        <w:t xml:space="preserve">Note: </w:t>
      </w:r>
      <w:r w:rsidR="00A605F7">
        <w:t>These</w:t>
      </w:r>
      <w:r w:rsidRPr="005B672C">
        <w:t xml:space="preserve"> revisions</w:t>
      </w:r>
      <w:r w:rsidR="00A605F7">
        <w:t xml:space="preserve"> were</w:t>
      </w:r>
      <w:r w:rsidRPr="005B672C">
        <w:t xml:space="preserve"> conducted during the evaluation. These included</w:t>
      </w:r>
      <w:r>
        <w:t xml:space="preserve"> revising</w:t>
      </w:r>
      <w:r w:rsidRPr="005B672C">
        <w:t xml:space="preserve"> </w:t>
      </w:r>
      <w:r w:rsidRPr="00012EE8">
        <w:t>t</w:t>
      </w:r>
      <w:r w:rsidR="00F1737B" w:rsidRPr="00012EE8">
        <w:t>he distribution of tumour types to reflect the distribution in the tested population (rather than the treated population)</w:t>
      </w:r>
      <w:r>
        <w:t>, applying t</w:t>
      </w:r>
      <w:r w:rsidR="00F1737B" w:rsidRPr="00012EE8">
        <w:t xml:space="preserve">he most conservative OS and PFS parametric models for the high </w:t>
      </w:r>
      <w:r w:rsidR="00F1737B" w:rsidRPr="00012EE8">
        <w:rPr>
          <w:i/>
        </w:rPr>
        <w:t>NTRK</w:t>
      </w:r>
      <w:r w:rsidR="00F1737B" w:rsidRPr="00012EE8">
        <w:t xml:space="preserve"> fusion frequency tumour types</w:t>
      </w:r>
      <w:r>
        <w:t xml:space="preserve"> and o</w:t>
      </w:r>
      <w:r w:rsidR="00F1737B" w:rsidRPr="00012EE8">
        <w:t>ther minor revisions to treatment costs modelled and SoC STS data.</w:t>
      </w:r>
    </w:p>
    <w:p w:rsidR="00F1737B" w:rsidRDefault="00F1737B" w:rsidP="00F1737B">
      <w:pPr>
        <w:pStyle w:val="TableFooter"/>
      </w:pPr>
      <w:r w:rsidRPr="00211488">
        <w:rPr>
          <w:i/>
        </w:rPr>
        <w:t>NTRK</w:t>
      </w:r>
      <w:r>
        <w:t xml:space="preserve"> = </w:t>
      </w:r>
      <w:r w:rsidRPr="00211488">
        <w:t>neurotrophic tropomyosin receptor kinase</w:t>
      </w:r>
      <w:r>
        <w:t>; OS = overall survival; PFS = progression-free survival; QALY = quality-adjusted life year; SoC = standard of care.</w:t>
      </w:r>
    </w:p>
    <w:p w:rsidR="002451D9" w:rsidRDefault="002451D9" w:rsidP="00053DB1">
      <w:pPr>
        <w:pStyle w:val="TableFooter"/>
        <w:spacing w:after="0"/>
      </w:pPr>
      <w:r>
        <w:t>*costs for lenvatinib and trifluridine+tipiracil are based on published prices</w:t>
      </w:r>
    </w:p>
    <w:p w:rsidR="006325BA" w:rsidRDefault="006325BA">
      <w:pPr>
        <w:pStyle w:val="TableFigureFooter"/>
        <w:spacing w:after="0"/>
        <w:contextualSpacing w:val="0"/>
        <w:rPr>
          <w:i/>
        </w:rPr>
      </w:pPr>
      <w:r w:rsidRPr="009868C4">
        <w:rPr>
          <w:i/>
        </w:rPr>
        <w:t>The redacted values correspond to the following ranges</w:t>
      </w:r>
      <w:r>
        <w:rPr>
          <w:i/>
        </w:rPr>
        <w:t xml:space="preserve">: </w:t>
      </w:r>
    </w:p>
    <w:p w:rsidR="006325BA" w:rsidRPr="00870C5D" w:rsidRDefault="006325BA" w:rsidP="006325BA">
      <w:pPr>
        <w:pStyle w:val="TableFigureFooter"/>
        <w:spacing w:after="0"/>
        <w:contextualSpacing w:val="0"/>
      </w:pPr>
      <w:r>
        <w:rPr>
          <w:i/>
          <w:vertAlign w:val="superscript"/>
        </w:rPr>
        <w:t>1</w:t>
      </w:r>
      <w:r>
        <w:rPr>
          <w:i/>
        </w:rPr>
        <w:t xml:space="preserve"> </w:t>
      </w:r>
      <w:r w:rsidRPr="006325BA">
        <w:rPr>
          <w:i/>
        </w:rPr>
        <w:t>$55,000 to &lt; $75,000</w:t>
      </w:r>
    </w:p>
    <w:p w:rsidR="006325BA" w:rsidRPr="00870C5D" w:rsidRDefault="006325BA" w:rsidP="006325BA">
      <w:pPr>
        <w:pStyle w:val="TableFigureFooter"/>
        <w:spacing w:after="0"/>
        <w:contextualSpacing w:val="0"/>
      </w:pPr>
      <w:r>
        <w:rPr>
          <w:i/>
          <w:vertAlign w:val="superscript"/>
        </w:rPr>
        <w:t>2</w:t>
      </w:r>
      <w:r>
        <w:rPr>
          <w:i/>
        </w:rPr>
        <w:t xml:space="preserve"> </w:t>
      </w:r>
      <w:r w:rsidRPr="006325BA">
        <w:rPr>
          <w:i/>
        </w:rPr>
        <w:t>$75,000 to &lt; $95,000</w:t>
      </w:r>
    </w:p>
    <w:p w:rsidR="006325BA" w:rsidRDefault="006325BA" w:rsidP="00F1737B">
      <w:pPr>
        <w:pStyle w:val="TableFooter"/>
      </w:pPr>
    </w:p>
    <w:p w:rsidR="00BF6973" w:rsidRPr="00347AEF" w:rsidRDefault="000455DE" w:rsidP="00397624">
      <w:pPr>
        <w:pStyle w:val="ListParagraph"/>
        <w:rPr>
          <w:iCs/>
        </w:rPr>
      </w:pPr>
      <w:r w:rsidRPr="00347AEF">
        <w:rPr>
          <w:iCs/>
        </w:rPr>
        <w:t xml:space="preserve">The ESCs noted that </w:t>
      </w:r>
      <w:r w:rsidR="004C2517" w:rsidRPr="00347AEF">
        <w:rPr>
          <w:iCs/>
        </w:rPr>
        <w:t xml:space="preserve">the </w:t>
      </w:r>
      <w:r w:rsidR="008C0E19" w:rsidRPr="00347AEF">
        <w:rPr>
          <w:iCs/>
        </w:rPr>
        <w:t xml:space="preserve">modelled benefits associated with adult low NTRK frequency fusion tumour types </w:t>
      </w:r>
      <w:r w:rsidR="0032564C" w:rsidRPr="00347AEF">
        <w:rPr>
          <w:iCs/>
        </w:rPr>
        <w:t xml:space="preserve">(QALY gain 0.008) </w:t>
      </w:r>
      <w:r w:rsidR="00250964" w:rsidRPr="00347AEF">
        <w:rPr>
          <w:iCs/>
        </w:rPr>
        <w:t>is</w:t>
      </w:r>
      <w:r w:rsidR="008C0E19" w:rsidRPr="00347AEF">
        <w:rPr>
          <w:iCs/>
        </w:rPr>
        <w:t xml:space="preserve"> considerably lower than that compared to</w:t>
      </w:r>
      <w:r w:rsidR="00D0522F" w:rsidRPr="00347AEF">
        <w:rPr>
          <w:iCs/>
        </w:rPr>
        <w:t xml:space="preserve"> the</w:t>
      </w:r>
      <w:r w:rsidR="008C0E19" w:rsidRPr="00347AEF">
        <w:rPr>
          <w:iCs/>
        </w:rPr>
        <w:t xml:space="preserve"> </w:t>
      </w:r>
      <w:r w:rsidR="0032564C" w:rsidRPr="00347AEF">
        <w:rPr>
          <w:iCs/>
        </w:rPr>
        <w:t xml:space="preserve">paediatric and high adult NTRK frequency </w:t>
      </w:r>
      <w:r w:rsidR="008C0E19" w:rsidRPr="00347AEF">
        <w:rPr>
          <w:iCs/>
        </w:rPr>
        <w:t xml:space="preserve">tumour </w:t>
      </w:r>
      <w:r w:rsidR="0032564C" w:rsidRPr="00347AEF">
        <w:rPr>
          <w:iCs/>
        </w:rPr>
        <w:t xml:space="preserve">types </w:t>
      </w:r>
      <w:r w:rsidR="008C0E19" w:rsidRPr="00347AEF">
        <w:rPr>
          <w:iCs/>
        </w:rPr>
        <w:t>subgroups</w:t>
      </w:r>
      <w:r w:rsidR="0032564C" w:rsidRPr="00347AEF">
        <w:rPr>
          <w:iCs/>
        </w:rPr>
        <w:t xml:space="preserve"> (QALY gain 0.910)</w:t>
      </w:r>
      <w:r w:rsidR="008C0E19" w:rsidRPr="00347AEF">
        <w:rPr>
          <w:iCs/>
        </w:rPr>
        <w:t>.</w:t>
      </w:r>
      <w:r w:rsidR="00066731" w:rsidRPr="00347AEF">
        <w:rPr>
          <w:iCs/>
        </w:rPr>
        <w:t xml:space="preserve"> </w:t>
      </w:r>
      <w:r w:rsidR="00A026D3" w:rsidRPr="00347AEF">
        <w:rPr>
          <w:iCs/>
        </w:rPr>
        <w:t xml:space="preserve">Given the </w:t>
      </w:r>
      <w:r w:rsidR="00926CCF" w:rsidRPr="00347AEF">
        <w:rPr>
          <w:iCs/>
        </w:rPr>
        <w:t xml:space="preserve">adult </w:t>
      </w:r>
      <w:r w:rsidR="00066731" w:rsidRPr="00347AEF">
        <w:rPr>
          <w:iCs/>
        </w:rPr>
        <w:t>low NTRK frequency tumour</w:t>
      </w:r>
      <w:r w:rsidR="00926CCF" w:rsidRPr="00347AEF">
        <w:rPr>
          <w:iCs/>
        </w:rPr>
        <w:t>s</w:t>
      </w:r>
      <w:r w:rsidR="00066731" w:rsidRPr="00347AEF">
        <w:rPr>
          <w:iCs/>
        </w:rPr>
        <w:t xml:space="preserve"> would </w:t>
      </w:r>
      <w:r w:rsidR="00A026D3" w:rsidRPr="00347AEF">
        <w:rPr>
          <w:iCs/>
        </w:rPr>
        <w:t>likely make up the majority of NTRK fusion tumours observed in clinical practice,</w:t>
      </w:r>
      <w:r w:rsidR="00926CCF" w:rsidRPr="00347AEF">
        <w:rPr>
          <w:iCs/>
        </w:rPr>
        <w:t xml:space="preserve"> the cost-effectiveness in the overall population proposed for larotrectinib treatment </w:t>
      </w:r>
      <w:r w:rsidR="005B309D" w:rsidRPr="00347AEF">
        <w:rPr>
          <w:iCs/>
        </w:rPr>
        <w:t>is</w:t>
      </w:r>
      <w:r w:rsidR="00926CCF" w:rsidRPr="00347AEF">
        <w:rPr>
          <w:iCs/>
        </w:rPr>
        <w:t xml:space="preserve"> highly dependent on the treatment benefit </w:t>
      </w:r>
      <w:r w:rsidR="005B309D" w:rsidRPr="00347AEF">
        <w:rPr>
          <w:iCs/>
        </w:rPr>
        <w:t>of larotrectinib in</w:t>
      </w:r>
      <w:r w:rsidR="00926CCF" w:rsidRPr="00347AEF">
        <w:rPr>
          <w:iCs/>
        </w:rPr>
        <w:t xml:space="preserve"> this subpopulation.</w:t>
      </w:r>
    </w:p>
    <w:p w:rsidR="00F1737B" w:rsidRPr="00482EF7" w:rsidRDefault="00F1737B" w:rsidP="00397624">
      <w:pPr>
        <w:pStyle w:val="ListParagraph"/>
        <w:rPr>
          <w:iCs/>
        </w:rPr>
      </w:pPr>
      <w:r>
        <w:t>Across all of the analyses</w:t>
      </w:r>
      <w:r w:rsidR="00CE0C5C">
        <w:t>, the</w:t>
      </w:r>
      <w:r w:rsidRPr="007D5170">
        <w:t xml:space="preserve"> </w:t>
      </w:r>
      <w:r>
        <w:t xml:space="preserve">main driver of costs is the cost of larotrectinib treatment, with the cost of disease management and </w:t>
      </w:r>
      <w:r w:rsidRPr="006746D6">
        <w:rPr>
          <w:i/>
        </w:rPr>
        <w:t xml:space="preserve">NTRK </w:t>
      </w:r>
      <w:r>
        <w:t>testing</w:t>
      </w:r>
      <w:r w:rsidR="00347AEF">
        <w:t xml:space="preserve"> being</w:t>
      </w:r>
      <w:r>
        <w:t xml:space="preserve"> minor contributors. </w:t>
      </w:r>
      <w:r w:rsidRPr="006746D6">
        <w:t xml:space="preserve">In the group of all paediatric patients and adults with high </w:t>
      </w:r>
      <w:r w:rsidRPr="008F3FAF">
        <w:rPr>
          <w:i/>
        </w:rPr>
        <w:t>NTRK</w:t>
      </w:r>
      <w:r w:rsidRPr="006746D6">
        <w:t xml:space="preserve"> frequency tumour types, disaggregated health outcomes were predominantly driven by incremental gains in the progressive disease health state</w:t>
      </w:r>
      <w:r w:rsidR="00807807">
        <w:t xml:space="preserve"> and </w:t>
      </w:r>
      <w:r w:rsidR="00807807">
        <w:rPr>
          <w:iCs/>
        </w:rPr>
        <w:t>i</w:t>
      </w:r>
      <w:r w:rsidR="00807807" w:rsidRPr="000A3110">
        <w:rPr>
          <w:iCs/>
        </w:rPr>
        <w:t>n adults with low NTRK frequency tumour types, incremental outcomes were predominantly gained in the progression-free health state</w:t>
      </w:r>
      <w:r w:rsidRPr="006746D6">
        <w:t>.</w:t>
      </w:r>
      <w:r w:rsidR="00807807">
        <w:t xml:space="preserve"> </w:t>
      </w:r>
      <w:r w:rsidR="00807807" w:rsidRPr="00347AEF">
        <w:rPr>
          <w:iCs/>
        </w:rPr>
        <w:t>The ESC</w:t>
      </w:r>
      <w:r w:rsidR="00AB5906" w:rsidRPr="00347AEF">
        <w:rPr>
          <w:iCs/>
        </w:rPr>
        <w:t>s</w:t>
      </w:r>
      <w:r w:rsidR="00807807" w:rsidRPr="00347AEF">
        <w:rPr>
          <w:iCs/>
        </w:rPr>
        <w:t xml:space="preserve"> considered the </w:t>
      </w:r>
      <w:r w:rsidR="00333C49" w:rsidRPr="00347AEF">
        <w:rPr>
          <w:iCs/>
        </w:rPr>
        <w:t>modelled</w:t>
      </w:r>
      <w:r w:rsidR="00333C49" w:rsidRPr="000A3110">
        <w:rPr>
          <w:iCs/>
        </w:rPr>
        <w:t xml:space="preserve"> benefits are uncertain</w:t>
      </w:r>
      <w:r w:rsidRPr="000A3110">
        <w:rPr>
          <w:iCs/>
        </w:rPr>
        <w:t xml:space="preserve"> due to the high degree of uncertainty in the extrapolated estimates</w:t>
      </w:r>
      <w:r w:rsidR="00ED3CEF" w:rsidRPr="000A3110">
        <w:rPr>
          <w:iCs/>
        </w:rPr>
        <w:t xml:space="preserve"> as these are based on</w:t>
      </w:r>
      <w:r w:rsidRPr="000A3110">
        <w:rPr>
          <w:iCs/>
        </w:rPr>
        <w:t xml:space="preserve"> immature data on subgroups </w:t>
      </w:r>
      <w:r w:rsidR="00ED3CEF" w:rsidRPr="000A3110">
        <w:rPr>
          <w:iCs/>
        </w:rPr>
        <w:t>with</w:t>
      </w:r>
      <w:r w:rsidRPr="000A3110">
        <w:rPr>
          <w:iCs/>
        </w:rPr>
        <w:t xml:space="preserve"> small patient numbers</w:t>
      </w:r>
      <w:r w:rsidR="00ED3CEF" w:rsidRPr="000A3110">
        <w:rPr>
          <w:iCs/>
        </w:rPr>
        <w:t>.</w:t>
      </w:r>
    </w:p>
    <w:p w:rsidR="00ED1978" w:rsidRPr="00482EF7" w:rsidRDefault="00ED1978" w:rsidP="00ED1978">
      <w:pPr>
        <w:pStyle w:val="ListParagraph"/>
        <w:rPr>
          <w:iCs/>
        </w:rPr>
      </w:pPr>
      <w:bookmarkStart w:id="94" w:name="_Toc413139283"/>
      <w:bookmarkStart w:id="95" w:name="_Toc497226192"/>
      <w:r w:rsidRPr="00D064D7">
        <w:t xml:space="preserve">Results of the </w:t>
      </w:r>
      <w:r>
        <w:t xml:space="preserve">key </w:t>
      </w:r>
      <w:r w:rsidRPr="00D064D7">
        <w:t xml:space="preserve">sensitivity </w:t>
      </w:r>
      <w:r w:rsidRPr="00231711">
        <w:t>analyses presented by the resubmission and additional analyses conducted during the evaluation a</w:t>
      </w:r>
      <w:r w:rsidRPr="00D064D7">
        <w:t>re summarised in</w:t>
      </w:r>
      <w:r>
        <w:t xml:space="preserve"> </w:t>
      </w:r>
      <w:r w:rsidR="00796D25" w:rsidRPr="000A3110">
        <w:t>Table</w:t>
      </w:r>
      <w:r w:rsidR="00D944C2">
        <w:t xml:space="preserve"> </w:t>
      </w:r>
      <w:r w:rsidR="00796D25" w:rsidRPr="000A3110">
        <w:rPr>
          <w:noProof/>
        </w:rPr>
        <w:t>28</w:t>
      </w:r>
      <w:r w:rsidRPr="000A3110">
        <w:t xml:space="preserve"> for the combined group of adults with high </w:t>
      </w:r>
      <w:r w:rsidRPr="000A3110">
        <w:rPr>
          <w:i/>
          <w:iCs/>
        </w:rPr>
        <w:t>NTRK</w:t>
      </w:r>
      <w:r w:rsidRPr="000A3110">
        <w:t xml:space="preserve"> frequency tumour types and all paediatric patients</w:t>
      </w:r>
      <w:r w:rsidR="00AC55EB">
        <w:t xml:space="preserve"> and</w:t>
      </w:r>
      <w:r w:rsidRPr="000A3110">
        <w:t xml:space="preserve"> </w:t>
      </w:r>
      <w:r w:rsidR="00796D25" w:rsidRPr="000A3110">
        <w:t>Table</w:t>
      </w:r>
      <w:r w:rsidR="00D944C2">
        <w:t xml:space="preserve"> </w:t>
      </w:r>
      <w:r w:rsidR="00796D25" w:rsidRPr="000A3110">
        <w:rPr>
          <w:noProof/>
        </w:rPr>
        <w:t>29</w:t>
      </w:r>
      <w:r w:rsidRPr="000A3110">
        <w:t xml:space="preserve"> for adults with the specified low </w:t>
      </w:r>
      <w:r w:rsidRPr="000A3110">
        <w:rPr>
          <w:i/>
          <w:iCs/>
        </w:rPr>
        <w:t xml:space="preserve">NTRK </w:t>
      </w:r>
      <w:r w:rsidRPr="000A3110">
        <w:t xml:space="preserve">frequency tumour types. Given the nature of the naïve indirect comparisons presented, and that the larotrectinib data are immature and rely on subgroup analyses based on small patient numbers, a high degree of uncertainty remains in the underlying data, which extends to the extrapolated estimates and the modelled incremental benefit of larotrectinib. These uncertainties </w:t>
      </w:r>
      <w:r w:rsidR="00B53C53" w:rsidRPr="000A3110">
        <w:t>cannot be addressed through</w:t>
      </w:r>
      <w:r w:rsidRPr="000A3110">
        <w:t xml:space="preserve"> sensitivity analyses and cannot be resolved, as the confounding in the initial comparison is unmeasured.</w:t>
      </w:r>
    </w:p>
    <w:p w:rsidR="00ED1978" w:rsidRDefault="00ED1978" w:rsidP="00ED1978">
      <w:pPr>
        <w:pStyle w:val="Caption"/>
      </w:pPr>
      <w:bookmarkStart w:id="96" w:name="_Ref79485077"/>
      <w:r>
        <w:t>Table</w:t>
      </w:r>
      <w:r w:rsidR="00D944C2">
        <w:t xml:space="preserve"> </w:t>
      </w:r>
      <w:r w:rsidR="00BB3DD1">
        <w:rPr>
          <w:noProof/>
        </w:rPr>
        <w:t>28</w:t>
      </w:r>
      <w:bookmarkEnd w:id="96"/>
      <w:r w:rsidR="00D944C2">
        <w:rPr>
          <w:noProof/>
        </w:rPr>
        <w:t>:</w:t>
      </w:r>
      <w:r w:rsidR="00D117CD">
        <w:rPr>
          <w:noProof/>
        </w:rPr>
        <w:t xml:space="preserve"> </w:t>
      </w:r>
      <w:r>
        <w:t xml:space="preserve">Key sensitivity analyses, </w:t>
      </w:r>
      <w:r w:rsidRPr="007E4A2D">
        <w:t xml:space="preserve">adult high </w:t>
      </w:r>
      <w:r w:rsidRPr="007E4A2D">
        <w:rPr>
          <w:i/>
        </w:rPr>
        <w:t>NTRK</w:t>
      </w:r>
      <w:r w:rsidRPr="007E4A2D">
        <w:t xml:space="preserve"> frequency and all paediatric patients combined</w:t>
      </w:r>
    </w:p>
    <w:tbl>
      <w:tblPr>
        <w:tblStyle w:val="HTATableshaded"/>
        <w:tblW w:w="5000" w:type="pct"/>
        <w:tblLayout w:type="fixed"/>
        <w:tblLook w:val="04A0" w:firstRow="1" w:lastRow="0" w:firstColumn="1" w:lastColumn="0" w:noHBand="0" w:noVBand="1"/>
        <w:tblCaption w:val="Table 28: Key sensitivity analyses, adult high NTRK frequency and all paediatric patients combined"/>
      </w:tblPr>
      <w:tblGrid>
        <w:gridCol w:w="4959"/>
        <w:gridCol w:w="1134"/>
        <w:gridCol w:w="1134"/>
        <w:gridCol w:w="1136"/>
        <w:gridCol w:w="653"/>
      </w:tblGrid>
      <w:tr w:rsidR="00ED1978" w:rsidRPr="00B827C5" w:rsidTr="003B6B2C">
        <w:trPr>
          <w:cnfStyle w:val="100000000000" w:firstRow="1" w:lastRow="0" w:firstColumn="0" w:lastColumn="0" w:oddVBand="0" w:evenVBand="0" w:oddHBand="0" w:evenHBand="0" w:firstRowFirstColumn="0" w:firstRowLastColumn="0" w:lastRowFirstColumn="0" w:lastRowLastColumn="0"/>
          <w:trHeight w:val="300"/>
          <w:tblHeader/>
        </w:trPr>
        <w:tc>
          <w:tcPr>
            <w:tcW w:w="2750" w:type="pct"/>
            <w:noWrap/>
            <w:hideMark/>
          </w:tcPr>
          <w:p w:rsidR="00ED1978" w:rsidRPr="00A605F7" w:rsidRDefault="00ED1978" w:rsidP="00E8209E">
            <w:pPr>
              <w:pStyle w:val="TableText"/>
              <w:rPr>
                <w:b/>
              </w:rPr>
            </w:pPr>
          </w:p>
        </w:tc>
        <w:tc>
          <w:tcPr>
            <w:tcW w:w="629" w:type="pct"/>
            <w:noWrap/>
            <w:hideMark/>
          </w:tcPr>
          <w:p w:rsidR="00ED1978" w:rsidRPr="00A605F7" w:rsidRDefault="00ED1978" w:rsidP="00E8209E">
            <w:pPr>
              <w:pStyle w:val="TableText"/>
              <w:jc w:val="center"/>
              <w:rPr>
                <w:b/>
              </w:rPr>
            </w:pPr>
            <w:r w:rsidRPr="00A605F7">
              <w:rPr>
                <w:b/>
              </w:rPr>
              <w:t>Inc. cost</w:t>
            </w:r>
            <w:r w:rsidR="006325BA">
              <w:rPr>
                <w:b/>
              </w:rPr>
              <w:t xml:space="preserve"> ($)</w:t>
            </w:r>
          </w:p>
        </w:tc>
        <w:tc>
          <w:tcPr>
            <w:tcW w:w="629" w:type="pct"/>
            <w:noWrap/>
            <w:hideMark/>
          </w:tcPr>
          <w:p w:rsidR="00ED1978" w:rsidRPr="00A605F7" w:rsidRDefault="00ED1978" w:rsidP="00E8209E">
            <w:pPr>
              <w:pStyle w:val="TableText"/>
              <w:jc w:val="center"/>
              <w:rPr>
                <w:b/>
              </w:rPr>
            </w:pPr>
            <w:r w:rsidRPr="00A605F7">
              <w:rPr>
                <w:b/>
              </w:rPr>
              <w:t>Inc. QALYs</w:t>
            </w:r>
          </w:p>
        </w:tc>
        <w:tc>
          <w:tcPr>
            <w:tcW w:w="630" w:type="pct"/>
            <w:noWrap/>
            <w:hideMark/>
          </w:tcPr>
          <w:p w:rsidR="00ED1978" w:rsidRPr="00A605F7" w:rsidRDefault="00ED1978" w:rsidP="00E8209E">
            <w:pPr>
              <w:pStyle w:val="TableText"/>
              <w:jc w:val="center"/>
              <w:rPr>
                <w:b/>
              </w:rPr>
            </w:pPr>
            <w:r w:rsidRPr="00A605F7">
              <w:rPr>
                <w:b/>
              </w:rPr>
              <w:t>ICER</w:t>
            </w:r>
          </w:p>
        </w:tc>
        <w:tc>
          <w:tcPr>
            <w:tcW w:w="362" w:type="pct"/>
            <w:noWrap/>
            <w:hideMark/>
          </w:tcPr>
          <w:p w:rsidR="00ED1978" w:rsidRPr="00A605F7" w:rsidRDefault="00ED1978" w:rsidP="00E8209E">
            <w:pPr>
              <w:pStyle w:val="TableText"/>
              <w:jc w:val="right"/>
              <w:rPr>
                <w:b/>
              </w:rPr>
            </w:pPr>
            <w:r w:rsidRPr="00A605F7">
              <w:rPr>
                <w:b/>
              </w:rPr>
              <w:t>%</w:t>
            </w:r>
          </w:p>
        </w:tc>
      </w:tr>
      <w:tr w:rsidR="00ED1978" w:rsidRPr="00B827C5" w:rsidTr="003B6B2C">
        <w:trPr>
          <w:cnfStyle w:val="100000000000" w:firstRow="1" w:lastRow="0" w:firstColumn="0" w:lastColumn="0" w:oddVBand="0" w:evenVBand="0" w:oddHBand="0" w:evenHBand="0" w:firstRowFirstColumn="0" w:firstRowLastColumn="0" w:lastRowFirstColumn="0" w:lastRowLastColumn="0"/>
          <w:trHeight w:val="300"/>
          <w:tblHeader/>
        </w:trPr>
        <w:tc>
          <w:tcPr>
            <w:tcW w:w="2750" w:type="pct"/>
            <w:noWrap/>
            <w:hideMark/>
          </w:tcPr>
          <w:p w:rsidR="00ED1978" w:rsidRPr="00A605F7" w:rsidRDefault="00ED1978" w:rsidP="00E8209E">
            <w:pPr>
              <w:pStyle w:val="TableText"/>
              <w:rPr>
                <w:b/>
              </w:rPr>
            </w:pPr>
            <w:r w:rsidRPr="00A605F7">
              <w:rPr>
                <w:b/>
              </w:rPr>
              <w:t>Base case, adult high NTRK frequency and all paediatrics</w:t>
            </w:r>
          </w:p>
        </w:tc>
        <w:tc>
          <w:tcPr>
            <w:tcW w:w="629" w:type="pct"/>
            <w:noWrap/>
            <w:hideMark/>
          </w:tcPr>
          <w:p w:rsidR="00ED1978" w:rsidRPr="00675CB4" w:rsidRDefault="00675CB4" w:rsidP="00E8209E">
            <w:pPr>
              <w:pStyle w:val="TableText"/>
              <w:jc w:val="right"/>
              <w:rPr>
                <w:b/>
                <w:highlight w:val="black"/>
              </w:rPr>
            </w:pPr>
            <w:r>
              <w:rPr>
                <w:b/>
                <w:noProof/>
                <w:color w:val="000000"/>
                <w:highlight w:val="black"/>
              </w:rPr>
              <w:t>'''''''''''''''''</w:t>
            </w:r>
          </w:p>
        </w:tc>
        <w:tc>
          <w:tcPr>
            <w:tcW w:w="629" w:type="pct"/>
            <w:noWrap/>
            <w:hideMark/>
          </w:tcPr>
          <w:p w:rsidR="00ED1978" w:rsidRPr="00A605F7" w:rsidRDefault="00ED1978" w:rsidP="00E8209E">
            <w:pPr>
              <w:pStyle w:val="TableText"/>
              <w:jc w:val="right"/>
              <w:rPr>
                <w:b/>
              </w:rPr>
            </w:pPr>
            <w:r w:rsidRPr="00A605F7">
              <w:rPr>
                <w:b/>
              </w:rPr>
              <w:t>0.910</w:t>
            </w:r>
          </w:p>
        </w:tc>
        <w:tc>
          <w:tcPr>
            <w:tcW w:w="630" w:type="pct"/>
            <w:noWrap/>
            <w:hideMark/>
          </w:tcPr>
          <w:p w:rsidR="00ED1978" w:rsidRPr="00A605F7" w:rsidRDefault="00675CB4" w:rsidP="00E8209E">
            <w:pPr>
              <w:pStyle w:val="TableText"/>
              <w:jc w:val="right"/>
              <w:rPr>
                <w:b/>
              </w:rPr>
            </w:pPr>
            <w:r>
              <w:rPr>
                <w:b/>
                <w:noProof/>
                <w:color w:val="000000"/>
                <w:highlight w:val="black"/>
              </w:rPr>
              <w:t>'''''''''''''''</w:t>
            </w:r>
            <w:r w:rsidR="006325BA">
              <w:rPr>
                <w:b/>
                <w:vertAlign w:val="superscript"/>
              </w:rPr>
              <w:t>1</w:t>
            </w:r>
          </w:p>
        </w:tc>
        <w:tc>
          <w:tcPr>
            <w:tcW w:w="362" w:type="pct"/>
            <w:noWrap/>
            <w:hideMark/>
          </w:tcPr>
          <w:p w:rsidR="00ED1978" w:rsidRPr="00A605F7" w:rsidRDefault="00ED1978" w:rsidP="00E8209E">
            <w:pPr>
              <w:pStyle w:val="TableText"/>
              <w:jc w:val="right"/>
            </w:pPr>
          </w:p>
        </w:tc>
      </w:tr>
      <w:tr w:rsidR="00ED1978" w:rsidRPr="008D6316" w:rsidTr="003B6B2C">
        <w:trPr>
          <w:trHeight w:val="300"/>
        </w:trPr>
        <w:tc>
          <w:tcPr>
            <w:tcW w:w="2750" w:type="pct"/>
            <w:tcBorders>
              <w:top w:val="single" w:sz="4" w:space="0" w:color="auto"/>
              <w:bottom w:val="single" w:sz="4" w:space="0" w:color="auto"/>
              <w:right w:val="nil"/>
            </w:tcBorders>
            <w:noWrap/>
            <w:hideMark/>
          </w:tcPr>
          <w:p w:rsidR="00ED1978" w:rsidRPr="00A605F7" w:rsidRDefault="00ED1978" w:rsidP="00E8209E">
            <w:pPr>
              <w:pStyle w:val="TableText"/>
              <w:keepNext/>
            </w:pPr>
            <w:r w:rsidRPr="00A605F7">
              <w:t>Time horizon, (base case: 15 years)</w:t>
            </w:r>
          </w:p>
        </w:tc>
        <w:tc>
          <w:tcPr>
            <w:tcW w:w="629" w:type="pct"/>
            <w:tcBorders>
              <w:top w:val="single" w:sz="4" w:space="0" w:color="auto"/>
              <w:left w:val="nil"/>
              <w:bottom w:val="single" w:sz="4" w:space="0" w:color="auto"/>
              <w:right w:val="nil"/>
            </w:tcBorders>
            <w:noWrap/>
          </w:tcPr>
          <w:p w:rsidR="00ED1978" w:rsidRPr="00A605F7" w:rsidRDefault="00ED1978" w:rsidP="00E8209E">
            <w:pPr>
              <w:pStyle w:val="TableText"/>
              <w:keepNext/>
              <w:jc w:val="right"/>
            </w:pPr>
          </w:p>
        </w:tc>
        <w:tc>
          <w:tcPr>
            <w:tcW w:w="629" w:type="pct"/>
            <w:tcBorders>
              <w:top w:val="single" w:sz="4" w:space="0" w:color="auto"/>
              <w:left w:val="nil"/>
              <w:bottom w:val="single" w:sz="4" w:space="0" w:color="auto"/>
              <w:right w:val="nil"/>
            </w:tcBorders>
            <w:noWrap/>
          </w:tcPr>
          <w:p w:rsidR="00ED1978" w:rsidRPr="00A605F7" w:rsidRDefault="00ED1978" w:rsidP="00E8209E">
            <w:pPr>
              <w:pStyle w:val="TableText"/>
              <w:keepNext/>
              <w:jc w:val="right"/>
            </w:pPr>
          </w:p>
        </w:tc>
        <w:tc>
          <w:tcPr>
            <w:tcW w:w="630" w:type="pct"/>
            <w:tcBorders>
              <w:top w:val="single" w:sz="4" w:space="0" w:color="auto"/>
              <w:left w:val="nil"/>
              <w:bottom w:val="single" w:sz="4" w:space="0" w:color="auto"/>
              <w:right w:val="nil"/>
            </w:tcBorders>
            <w:noWrap/>
          </w:tcPr>
          <w:p w:rsidR="00ED1978" w:rsidRPr="00A605F7" w:rsidRDefault="00ED1978" w:rsidP="00E8209E">
            <w:pPr>
              <w:pStyle w:val="TableText"/>
              <w:keepNext/>
              <w:jc w:val="right"/>
            </w:pPr>
          </w:p>
        </w:tc>
        <w:tc>
          <w:tcPr>
            <w:tcW w:w="362" w:type="pct"/>
            <w:tcBorders>
              <w:top w:val="single" w:sz="4" w:space="0" w:color="auto"/>
              <w:left w:val="nil"/>
              <w:bottom w:val="single" w:sz="4" w:space="0" w:color="auto"/>
            </w:tcBorders>
            <w:noWrap/>
          </w:tcPr>
          <w:p w:rsidR="00ED1978" w:rsidRPr="00A605F7" w:rsidRDefault="00ED1978" w:rsidP="00E8209E">
            <w:pPr>
              <w:pStyle w:val="TableText"/>
              <w:keepNext/>
              <w:jc w:val="right"/>
            </w:pPr>
          </w:p>
        </w:tc>
      </w:tr>
      <w:tr w:rsidR="00ED1978" w:rsidRPr="008D6316" w:rsidTr="003B6B2C">
        <w:trPr>
          <w:trHeight w:val="300"/>
        </w:trPr>
        <w:tc>
          <w:tcPr>
            <w:tcW w:w="2750" w:type="pct"/>
            <w:tcBorders>
              <w:top w:val="single" w:sz="4" w:space="0" w:color="auto"/>
              <w:bottom w:val="nil"/>
            </w:tcBorders>
            <w:noWrap/>
          </w:tcPr>
          <w:p w:rsidR="00ED1978" w:rsidRPr="00053DB1" w:rsidRDefault="00ED1978">
            <w:pPr>
              <w:pStyle w:val="TableText"/>
              <w:keepNext/>
              <w:rPr>
                <w:vertAlign w:val="superscript"/>
              </w:rPr>
            </w:pPr>
            <w:r w:rsidRPr="00A605F7">
              <w:t xml:space="preserve">10 years </w:t>
            </w:r>
            <w:r w:rsidRPr="00A605F7">
              <w:rPr>
                <w:b/>
              </w:rPr>
              <w:t>(#3)</w:t>
            </w:r>
          </w:p>
        </w:tc>
        <w:tc>
          <w:tcPr>
            <w:tcW w:w="629" w:type="pct"/>
            <w:tcBorders>
              <w:top w:val="single" w:sz="4" w:space="0" w:color="auto"/>
              <w:bottom w:val="nil"/>
            </w:tcBorders>
            <w:noWrap/>
          </w:tcPr>
          <w:p w:rsidR="00ED1978" w:rsidRPr="00675CB4" w:rsidRDefault="00675CB4" w:rsidP="00E8209E">
            <w:pPr>
              <w:pStyle w:val="TableText"/>
              <w:keepNext/>
              <w:jc w:val="right"/>
              <w:rPr>
                <w:highlight w:val="black"/>
              </w:rPr>
            </w:pPr>
            <w:r>
              <w:rPr>
                <w:noProof/>
                <w:color w:val="000000"/>
                <w:highlight w:val="black"/>
              </w:rPr>
              <w:t>'''''''''''''''''</w:t>
            </w:r>
          </w:p>
        </w:tc>
        <w:tc>
          <w:tcPr>
            <w:tcW w:w="629" w:type="pct"/>
            <w:tcBorders>
              <w:top w:val="single" w:sz="4" w:space="0" w:color="auto"/>
              <w:bottom w:val="nil"/>
            </w:tcBorders>
            <w:noWrap/>
          </w:tcPr>
          <w:p w:rsidR="00ED1978" w:rsidRPr="00A605F7" w:rsidRDefault="00ED1978" w:rsidP="00E8209E">
            <w:pPr>
              <w:pStyle w:val="TableText"/>
              <w:keepNext/>
              <w:jc w:val="right"/>
            </w:pPr>
            <w:r w:rsidRPr="00A605F7">
              <w:t>0.700</w:t>
            </w:r>
          </w:p>
        </w:tc>
        <w:tc>
          <w:tcPr>
            <w:tcW w:w="630" w:type="pct"/>
            <w:tcBorders>
              <w:top w:val="single" w:sz="4" w:space="0" w:color="auto"/>
              <w:bottom w:val="nil"/>
            </w:tcBorders>
            <w:noWrap/>
          </w:tcPr>
          <w:p w:rsidR="00ED1978" w:rsidRPr="00675CB4" w:rsidRDefault="00675CB4" w:rsidP="00E8209E">
            <w:pPr>
              <w:pStyle w:val="TableText"/>
              <w:keepNext/>
              <w:jc w:val="right"/>
            </w:pPr>
            <w:r>
              <w:rPr>
                <w:noProof/>
                <w:color w:val="000000"/>
                <w:highlight w:val="black"/>
              </w:rPr>
              <w:t>'''''''''''''''''''''</w:t>
            </w:r>
            <w:r w:rsidR="006325BA">
              <w:rPr>
                <w:b/>
                <w:vertAlign w:val="superscript"/>
              </w:rPr>
              <w:t>1</w:t>
            </w:r>
          </w:p>
        </w:tc>
        <w:tc>
          <w:tcPr>
            <w:tcW w:w="362" w:type="pct"/>
            <w:tcBorders>
              <w:top w:val="single" w:sz="4" w:space="0" w:color="auto"/>
              <w:bottom w:val="nil"/>
            </w:tcBorders>
            <w:noWrap/>
          </w:tcPr>
          <w:p w:rsidR="00ED1978" w:rsidRPr="00A605F7" w:rsidRDefault="00ED1978" w:rsidP="00E8209E">
            <w:pPr>
              <w:pStyle w:val="TableText"/>
              <w:keepNext/>
              <w:jc w:val="right"/>
            </w:pPr>
            <w:r w:rsidRPr="00A605F7">
              <w:t>13%</w:t>
            </w:r>
          </w:p>
        </w:tc>
      </w:tr>
      <w:tr w:rsidR="00ED1978" w:rsidRPr="00E02E0C" w:rsidTr="003B6B2C">
        <w:trPr>
          <w:trHeight w:val="300"/>
        </w:trPr>
        <w:tc>
          <w:tcPr>
            <w:tcW w:w="2750" w:type="pct"/>
            <w:tcBorders>
              <w:top w:val="nil"/>
              <w:bottom w:val="single" w:sz="4" w:space="0" w:color="auto"/>
            </w:tcBorders>
            <w:noWrap/>
          </w:tcPr>
          <w:p w:rsidR="00ED1978" w:rsidRPr="00A605F7" w:rsidRDefault="00ED1978" w:rsidP="00E8209E">
            <w:pPr>
              <w:pStyle w:val="TableText"/>
              <w:spacing w:line="257" w:lineRule="auto"/>
            </w:pPr>
            <w:r w:rsidRPr="00A605F7">
              <w:t xml:space="preserve">5 years for adults, 10 years for paediatrics </w:t>
            </w:r>
            <w:r w:rsidRPr="00A605F7">
              <w:rPr>
                <w:b/>
              </w:rPr>
              <w:t>(#4)</w:t>
            </w:r>
          </w:p>
        </w:tc>
        <w:tc>
          <w:tcPr>
            <w:tcW w:w="629" w:type="pct"/>
            <w:tcBorders>
              <w:top w:val="nil"/>
              <w:bottom w:val="single" w:sz="4" w:space="0" w:color="auto"/>
            </w:tcBorders>
            <w:noWrap/>
          </w:tcPr>
          <w:p w:rsidR="00ED1978" w:rsidRPr="00675CB4" w:rsidRDefault="00675CB4" w:rsidP="00E8209E">
            <w:pPr>
              <w:pStyle w:val="TableText"/>
              <w:spacing w:line="257" w:lineRule="auto"/>
              <w:jc w:val="right"/>
              <w:rPr>
                <w:highlight w:val="black"/>
              </w:rPr>
            </w:pPr>
            <w:r>
              <w:rPr>
                <w:noProof/>
                <w:color w:val="000000"/>
                <w:highlight w:val="black"/>
              </w:rPr>
              <w:t>'''''''''''''''''''</w:t>
            </w:r>
          </w:p>
        </w:tc>
        <w:tc>
          <w:tcPr>
            <w:tcW w:w="629" w:type="pct"/>
            <w:tcBorders>
              <w:top w:val="nil"/>
              <w:bottom w:val="single" w:sz="4" w:space="0" w:color="auto"/>
            </w:tcBorders>
            <w:noWrap/>
          </w:tcPr>
          <w:p w:rsidR="00ED1978" w:rsidRPr="00A605F7" w:rsidRDefault="00ED1978" w:rsidP="00E8209E">
            <w:pPr>
              <w:pStyle w:val="TableText"/>
              <w:spacing w:line="257" w:lineRule="auto"/>
              <w:jc w:val="right"/>
            </w:pPr>
            <w:r w:rsidRPr="00A605F7">
              <w:t>0.539</w:t>
            </w:r>
          </w:p>
        </w:tc>
        <w:tc>
          <w:tcPr>
            <w:tcW w:w="630" w:type="pct"/>
            <w:tcBorders>
              <w:top w:val="nil"/>
              <w:bottom w:val="single" w:sz="4" w:space="0" w:color="auto"/>
            </w:tcBorders>
            <w:noWrap/>
          </w:tcPr>
          <w:p w:rsidR="00ED1978" w:rsidRPr="00675CB4" w:rsidRDefault="00675CB4" w:rsidP="00E8209E">
            <w:pPr>
              <w:pStyle w:val="TableText"/>
              <w:spacing w:line="257" w:lineRule="auto"/>
              <w:jc w:val="right"/>
            </w:pPr>
            <w:r>
              <w:rPr>
                <w:noProof/>
                <w:color w:val="000000"/>
                <w:highlight w:val="black"/>
              </w:rPr>
              <w:t>'''''''''''''''''''</w:t>
            </w:r>
            <w:r w:rsidR="006325BA">
              <w:rPr>
                <w:b/>
                <w:vertAlign w:val="superscript"/>
              </w:rPr>
              <w:t>2</w:t>
            </w:r>
          </w:p>
        </w:tc>
        <w:tc>
          <w:tcPr>
            <w:tcW w:w="362" w:type="pct"/>
            <w:tcBorders>
              <w:top w:val="nil"/>
              <w:bottom w:val="single" w:sz="4" w:space="0" w:color="auto"/>
            </w:tcBorders>
            <w:noWrap/>
          </w:tcPr>
          <w:p w:rsidR="00ED1978" w:rsidRPr="00A605F7" w:rsidRDefault="00ED1978" w:rsidP="00E8209E">
            <w:pPr>
              <w:pStyle w:val="TableText"/>
              <w:spacing w:line="257" w:lineRule="auto"/>
              <w:jc w:val="right"/>
            </w:pPr>
            <w:r w:rsidRPr="00A605F7">
              <w:t>21%</w:t>
            </w:r>
          </w:p>
        </w:tc>
      </w:tr>
      <w:tr w:rsidR="004A4E96" w:rsidRPr="00E02E0C" w:rsidTr="003B6B2C">
        <w:trPr>
          <w:trHeight w:val="300"/>
        </w:trPr>
        <w:tc>
          <w:tcPr>
            <w:tcW w:w="2750" w:type="pct"/>
            <w:tcBorders>
              <w:top w:val="nil"/>
              <w:bottom w:val="single" w:sz="4" w:space="0" w:color="auto"/>
            </w:tcBorders>
            <w:noWrap/>
          </w:tcPr>
          <w:p w:rsidR="004A4E96" w:rsidRPr="00A605F7" w:rsidRDefault="004A4E96" w:rsidP="004A4E96">
            <w:pPr>
              <w:pStyle w:val="TableText"/>
              <w:spacing w:line="257" w:lineRule="auto"/>
            </w:pPr>
            <w:r w:rsidRPr="00A605F7">
              <w:t>Paediatric high frequency NTRK prevalence, 55.6%</w:t>
            </w:r>
          </w:p>
        </w:tc>
        <w:tc>
          <w:tcPr>
            <w:tcW w:w="629" w:type="pct"/>
            <w:tcBorders>
              <w:top w:val="nil"/>
              <w:bottom w:val="single" w:sz="4" w:space="0" w:color="auto"/>
            </w:tcBorders>
            <w:noWrap/>
          </w:tcPr>
          <w:p w:rsidR="004A4E96" w:rsidRPr="00675CB4" w:rsidRDefault="00675CB4" w:rsidP="004A4E96">
            <w:pPr>
              <w:pStyle w:val="TableText"/>
              <w:spacing w:line="257" w:lineRule="auto"/>
              <w:jc w:val="right"/>
              <w:rPr>
                <w:highlight w:val="black"/>
              </w:rPr>
            </w:pPr>
            <w:r>
              <w:rPr>
                <w:noProof/>
                <w:color w:val="000000"/>
                <w:highlight w:val="black"/>
              </w:rPr>
              <w:t>''''''''''''''''''</w:t>
            </w:r>
          </w:p>
        </w:tc>
        <w:tc>
          <w:tcPr>
            <w:tcW w:w="629" w:type="pct"/>
            <w:tcBorders>
              <w:top w:val="nil"/>
              <w:bottom w:val="single" w:sz="4" w:space="0" w:color="auto"/>
            </w:tcBorders>
            <w:noWrap/>
          </w:tcPr>
          <w:p w:rsidR="004A4E96" w:rsidRPr="00A605F7" w:rsidRDefault="004A4E96" w:rsidP="004A4E96">
            <w:pPr>
              <w:pStyle w:val="TableText"/>
              <w:spacing w:line="257" w:lineRule="auto"/>
              <w:jc w:val="right"/>
            </w:pPr>
            <w:r w:rsidRPr="00A605F7">
              <w:t>1.195</w:t>
            </w:r>
          </w:p>
        </w:tc>
        <w:tc>
          <w:tcPr>
            <w:tcW w:w="630" w:type="pct"/>
            <w:tcBorders>
              <w:top w:val="nil"/>
              <w:bottom w:val="single" w:sz="4" w:space="0" w:color="auto"/>
            </w:tcBorders>
            <w:noWrap/>
          </w:tcPr>
          <w:p w:rsidR="004A4E96" w:rsidRPr="00675CB4" w:rsidRDefault="00675CB4" w:rsidP="004A4E96">
            <w:pPr>
              <w:pStyle w:val="TableText"/>
              <w:spacing w:line="257" w:lineRule="auto"/>
              <w:jc w:val="right"/>
            </w:pPr>
            <w:r>
              <w:rPr>
                <w:noProof/>
                <w:color w:val="000000"/>
                <w:highlight w:val="black"/>
              </w:rPr>
              <w:t>''''''''''''''''''</w:t>
            </w:r>
            <w:r w:rsidR="006325BA">
              <w:rPr>
                <w:b/>
                <w:vertAlign w:val="superscript"/>
              </w:rPr>
              <w:t>3</w:t>
            </w:r>
          </w:p>
        </w:tc>
        <w:tc>
          <w:tcPr>
            <w:tcW w:w="362" w:type="pct"/>
            <w:tcBorders>
              <w:top w:val="nil"/>
              <w:bottom w:val="single" w:sz="4" w:space="0" w:color="auto"/>
            </w:tcBorders>
            <w:noWrap/>
          </w:tcPr>
          <w:p w:rsidR="004A4E96" w:rsidRPr="00A605F7" w:rsidRDefault="004A4E96" w:rsidP="004A4E96">
            <w:pPr>
              <w:pStyle w:val="TableText"/>
              <w:spacing w:line="257" w:lineRule="auto"/>
              <w:jc w:val="right"/>
            </w:pPr>
            <w:r w:rsidRPr="00A605F7">
              <w:t>–6%</w:t>
            </w:r>
          </w:p>
        </w:tc>
      </w:tr>
      <w:tr w:rsidR="00ED1978" w:rsidRPr="001D3633" w:rsidTr="003B6B2C">
        <w:trPr>
          <w:trHeight w:val="300"/>
        </w:trPr>
        <w:tc>
          <w:tcPr>
            <w:tcW w:w="2750" w:type="pct"/>
            <w:tcBorders>
              <w:top w:val="nil"/>
              <w:bottom w:val="nil"/>
            </w:tcBorders>
            <w:noWrap/>
            <w:hideMark/>
          </w:tcPr>
          <w:p w:rsidR="00ED1978" w:rsidRPr="00A605F7" w:rsidRDefault="00ED1978" w:rsidP="00E8209E">
            <w:pPr>
              <w:pStyle w:val="TableText"/>
              <w:keepNext/>
              <w:spacing w:line="257" w:lineRule="auto"/>
            </w:pPr>
            <w:r w:rsidRPr="00A605F7">
              <w:t>Most conservative paediatric low OS and PFS parametric models</w:t>
            </w:r>
            <w:r w:rsidRPr="00A605F7">
              <w:br/>
              <w:t xml:space="preserve">(base case: best fit) </w:t>
            </w:r>
            <w:r w:rsidRPr="00A605F7">
              <w:rPr>
                <w:b/>
              </w:rPr>
              <w:t>(#2)</w:t>
            </w:r>
          </w:p>
        </w:tc>
        <w:tc>
          <w:tcPr>
            <w:tcW w:w="629" w:type="pct"/>
            <w:tcBorders>
              <w:top w:val="nil"/>
              <w:bottom w:val="nil"/>
            </w:tcBorders>
            <w:noWrap/>
            <w:hideMark/>
          </w:tcPr>
          <w:p w:rsidR="00ED1978" w:rsidRPr="00675CB4" w:rsidRDefault="00675CB4" w:rsidP="00E8209E">
            <w:pPr>
              <w:pStyle w:val="TableText"/>
              <w:keepNext/>
              <w:spacing w:line="257" w:lineRule="auto"/>
              <w:jc w:val="right"/>
              <w:rPr>
                <w:highlight w:val="black"/>
              </w:rPr>
            </w:pPr>
            <w:r>
              <w:rPr>
                <w:noProof/>
                <w:color w:val="000000"/>
                <w:highlight w:val="black"/>
              </w:rPr>
              <w:t>'''''''''''''''''''</w:t>
            </w:r>
          </w:p>
        </w:tc>
        <w:tc>
          <w:tcPr>
            <w:tcW w:w="629" w:type="pct"/>
            <w:tcBorders>
              <w:top w:val="nil"/>
              <w:bottom w:val="nil"/>
            </w:tcBorders>
            <w:noWrap/>
            <w:hideMark/>
          </w:tcPr>
          <w:p w:rsidR="00ED1978" w:rsidRPr="00A605F7" w:rsidRDefault="00ED1978" w:rsidP="00E8209E">
            <w:pPr>
              <w:pStyle w:val="TableText"/>
              <w:keepNext/>
              <w:spacing w:line="257" w:lineRule="auto"/>
              <w:jc w:val="right"/>
            </w:pPr>
            <w:r w:rsidRPr="00A605F7">
              <w:t>0.889</w:t>
            </w:r>
          </w:p>
        </w:tc>
        <w:tc>
          <w:tcPr>
            <w:tcW w:w="630" w:type="pct"/>
            <w:tcBorders>
              <w:top w:val="nil"/>
              <w:bottom w:val="nil"/>
            </w:tcBorders>
            <w:noWrap/>
            <w:hideMark/>
          </w:tcPr>
          <w:p w:rsidR="00ED1978" w:rsidRPr="00675CB4" w:rsidRDefault="00675CB4" w:rsidP="00E8209E">
            <w:pPr>
              <w:pStyle w:val="TableText"/>
              <w:keepNext/>
              <w:spacing w:line="257" w:lineRule="auto"/>
              <w:jc w:val="right"/>
            </w:pPr>
            <w:r>
              <w:rPr>
                <w:noProof/>
                <w:color w:val="000000"/>
                <w:highlight w:val="black"/>
              </w:rPr>
              <w:t>'''''''''''''''''</w:t>
            </w:r>
            <w:r w:rsidR="006325BA">
              <w:rPr>
                <w:b/>
                <w:vertAlign w:val="superscript"/>
              </w:rPr>
              <w:t>1</w:t>
            </w:r>
          </w:p>
        </w:tc>
        <w:tc>
          <w:tcPr>
            <w:tcW w:w="362" w:type="pct"/>
            <w:tcBorders>
              <w:top w:val="nil"/>
              <w:bottom w:val="nil"/>
            </w:tcBorders>
            <w:noWrap/>
            <w:hideMark/>
          </w:tcPr>
          <w:p w:rsidR="00ED1978" w:rsidRPr="00A605F7" w:rsidRDefault="00ED1978" w:rsidP="00E8209E">
            <w:pPr>
              <w:pStyle w:val="TableText"/>
              <w:keepNext/>
              <w:spacing w:line="257" w:lineRule="auto"/>
              <w:jc w:val="right"/>
            </w:pPr>
            <w:r w:rsidRPr="00A605F7">
              <w:t>2%</w:t>
            </w:r>
          </w:p>
        </w:tc>
      </w:tr>
      <w:tr w:rsidR="00ED1978" w:rsidRPr="008D6316" w:rsidTr="003B6B2C">
        <w:trPr>
          <w:trHeight w:val="300"/>
        </w:trPr>
        <w:tc>
          <w:tcPr>
            <w:tcW w:w="2750" w:type="pct"/>
            <w:tcBorders>
              <w:top w:val="single" w:sz="4" w:space="0" w:color="auto"/>
              <w:bottom w:val="single" w:sz="4" w:space="0" w:color="auto"/>
              <w:right w:val="nil"/>
            </w:tcBorders>
            <w:noWrap/>
          </w:tcPr>
          <w:p w:rsidR="00ED1978" w:rsidRPr="00A605F7" w:rsidRDefault="00ED1978" w:rsidP="00E8209E">
            <w:pPr>
              <w:pStyle w:val="TableText"/>
              <w:keepNext/>
            </w:pPr>
            <w:r w:rsidRPr="00A605F7">
              <w:t>Larotrectin</w:t>
            </w:r>
            <w:r w:rsidR="00D117CD">
              <w:t>i</w:t>
            </w:r>
            <w:r w:rsidRPr="00A605F7">
              <w:t>b treatment costs (base case: best fit ToT)</w:t>
            </w:r>
          </w:p>
        </w:tc>
        <w:tc>
          <w:tcPr>
            <w:tcW w:w="629" w:type="pct"/>
            <w:tcBorders>
              <w:top w:val="single" w:sz="4" w:space="0" w:color="auto"/>
              <w:left w:val="nil"/>
              <w:bottom w:val="single" w:sz="4" w:space="0" w:color="auto"/>
              <w:right w:val="nil"/>
            </w:tcBorders>
            <w:noWrap/>
          </w:tcPr>
          <w:p w:rsidR="00ED1978" w:rsidRPr="00A605F7" w:rsidRDefault="00ED1978" w:rsidP="00E8209E">
            <w:pPr>
              <w:pStyle w:val="TableText"/>
              <w:keepNext/>
              <w:jc w:val="right"/>
            </w:pPr>
          </w:p>
        </w:tc>
        <w:tc>
          <w:tcPr>
            <w:tcW w:w="629" w:type="pct"/>
            <w:tcBorders>
              <w:top w:val="single" w:sz="4" w:space="0" w:color="auto"/>
              <w:left w:val="nil"/>
              <w:bottom w:val="single" w:sz="4" w:space="0" w:color="auto"/>
              <w:right w:val="nil"/>
            </w:tcBorders>
            <w:noWrap/>
          </w:tcPr>
          <w:p w:rsidR="00ED1978" w:rsidRPr="00A605F7" w:rsidRDefault="00ED1978" w:rsidP="00E8209E">
            <w:pPr>
              <w:pStyle w:val="TableText"/>
              <w:keepNext/>
              <w:jc w:val="right"/>
            </w:pPr>
          </w:p>
        </w:tc>
        <w:tc>
          <w:tcPr>
            <w:tcW w:w="630" w:type="pct"/>
            <w:tcBorders>
              <w:top w:val="single" w:sz="4" w:space="0" w:color="auto"/>
              <w:left w:val="nil"/>
              <w:bottom w:val="single" w:sz="4" w:space="0" w:color="auto"/>
              <w:right w:val="nil"/>
            </w:tcBorders>
            <w:noWrap/>
          </w:tcPr>
          <w:p w:rsidR="00ED1978" w:rsidRPr="00A605F7" w:rsidRDefault="00ED1978" w:rsidP="00E8209E">
            <w:pPr>
              <w:pStyle w:val="TableText"/>
              <w:keepNext/>
              <w:jc w:val="right"/>
            </w:pPr>
          </w:p>
        </w:tc>
        <w:tc>
          <w:tcPr>
            <w:tcW w:w="362" w:type="pct"/>
            <w:tcBorders>
              <w:top w:val="single" w:sz="4" w:space="0" w:color="auto"/>
              <w:left w:val="nil"/>
              <w:bottom w:val="single" w:sz="4" w:space="0" w:color="auto"/>
            </w:tcBorders>
            <w:noWrap/>
          </w:tcPr>
          <w:p w:rsidR="00ED1978" w:rsidRPr="00A605F7" w:rsidRDefault="00ED1978" w:rsidP="00E8209E">
            <w:pPr>
              <w:pStyle w:val="TableText"/>
              <w:keepNext/>
              <w:jc w:val="right"/>
            </w:pPr>
          </w:p>
        </w:tc>
      </w:tr>
      <w:tr w:rsidR="00ED1978" w:rsidRPr="004C0CBF" w:rsidTr="003B6B2C">
        <w:trPr>
          <w:trHeight w:val="300"/>
        </w:trPr>
        <w:tc>
          <w:tcPr>
            <w:tcW w:w="2750" w:type="pct"/>
            <w:tcBorders>
              <w:top w:val="nil"/>
              <w:bottom w:val="nil"/>
            </w:tcBorders>
            <w:noWrap/>
          </w:tcPr>
          <w:p w:rsidR="00ED1978" w:rsidRPr="00A605F7" w:rsidRDefault="00ED1978" w:rsidP="00E8209E">
            <w:pPr>
              <w:pStyle w:val="TableText"/>
              <w:keepNext/>
            </w:pPr>
            <w:r w:rsidRPr="00A605F7">
              <w:t xml:space="preserve">Cease larotrectinib treatment at disease progression </w:t>
            </w:r>
            <w:r w:rsidRPr="00A605F7">
              <w:rPr>
                <w:b/>
              </w:rPr>
              <w:t>(#1)</w:t>
            </w:r>
          </w:p>
        </w:tc>
        <w:tc>
          <w:tcPr>
            <w:tcW w:w="629" w:type="pct"/>
            <w:tcBorders>
              <w:top w:val="nil"/>
              <w:bottom w:val="nil"/>
            </w:tcBorders>
            <w:noWrap/>
          </w:tcPr>
          <w:p w:rsidR="00ED1978" w:rsidRPr="00675CB4" w:rsidRDefault="00675CB4" w:rsidP="00E8209E">
            <w:pPr>
              <w:pStyle w:val="TableText"/>
              <w:keepNext/>
              <w:jc w:val="right"/>
              <w:rPr>
                <w:highlight w:val="black"/>
              </w:rPr>
            </w:pPr>
            <w:r>
              <w:rPr>
                <w:noProof/>
                <w:color w:val="000000"/>
                <w:highlight w:val="black"/>
              </w:rPr>
              <w:t>'''''''''''''''''''''</w:t>
            </w:r>
          </w:p>
        </w:tc>
        <w:tc>
          <w:tcPr>
            <w:tcW w:w="629" w:type="pct"/>
            <w:tcBorders>
              <w:top w:val="nil"/>
              <w:bottom w:val="nil"/>
            </w:tcBorders>
            <w:noWrap/>
          </w:tcPr>
          <w:p w:rsidR="00ED1978" w:rsidRPr="00A605F7" w:rsidRDefault="00ED1978" w:rsidP="00E8209E">
            <w:pPr>
              <w:pStyle w:val="TableText"/>
              <w:keepNext/>
              <w:jc w:val="right"/>
            </w:pPr>
            <w:r w:rsidRPr="00A605F7">
              <w:t>0.910</w:t>
            </w:r>
          </w:p>
        </w:tc>
        <w:tc>
          <w:tcPr>
            <w:tcW w:w="630" w:type="pct"/>
            <w:tcBorders>
              <w:top w:val="nil"/>
              <w:bottom w:val="nil"/>
            </w:tcBorders>
            <w:noWrap/>
          </w:tcPr>
          <w:p w:rsidR="00ED1978" w:rsidRPr="00675CB4" w:rsidRDefault="00675CB4" w:rsidP="00E8209E">
            <w:pPr>
              <w:pStyle w:val="TableText"/>
              <w:keepNext/>
              <w:jc w:val="right"/>
            </w:pPr>
            <w:r>
              <w:rPr>
                <w:noProof/>
                <w:color w:val="000000"/>
                <w:highlight w:val="black"/>
              </w:rPr>
              <w:t>''''''''''''''''''''</w:t>
            </w:r>
            <w:r w:rsidR="006325BA">
              <w:rPr>
                <w:b/>
                <w:vertAlign w:val="superscript"/>
              </w:rPr>
              <w:t>3</w:t>
            </w:r>
          </w:p>
        </w:tc>
        <w:tc>
          <w:tcPr>
            <w:tcW w:w="362" w:type="pct"/>
            <w:tcBorders>
              <w:top w:val="nil"/>
              <w:bottom w:val="nil"/>
            </w:tcBorders>
            <w:noWrap/>
          </w:tcPr>
          <w:p w:rsidR="00ED1978" w:rsidRPr="00A605F7" w:rsidRDefault="00ED1978" w:rsidP="00E8209E">
            <w:pPr>
              <w:pStyle w:val="TableText"/>
              <w:keepNext/>
              <w:jc w:val="right"/>
            </w:pPr>
            <w:r w:rsidRPr="00A605F7">
              <w:t>–21%</w:t>
            </w:r>
          </w:p>
        </w:tc>
      </w:tr>
      <w:tr w:rsidR="00ED1978" w:rsidRPr="004C0CBF" w:rsidTr="003B6B2C">
        <w:trPr>
          <w:trHeight w:val="300"/>
        </w:trPr>
        <w:tc>
          <w:tcPr>
            <w:tcW w:w="2750" w:type="pct"/>
            <w:tcBorders>
              <w:top w:val="nil"/>
              <w:bottom w:val="nil"/>
            </w:tcBorders>
            <w:noWrap/>
            <w:hideMark/>
          </w:tcPr>
          <w:p w:rsidR="00ED1978" w:rsidRPr="00A605F7" w:rsidRDefault="00ED1978" w:rsidP="00E8209E">
            <w:pPr>
              <w:pStyle w:val="TableText"/>
              <w:keepNext/>
            </w:pPr>
            <w:r w:rsidRPr="00A605F7">
              <w:t>Larotrectinib ToT, second best fit</w:t>
            </w:r>
          </w:p>
        </w:tc>
        <w:tc>
          <w:tcPr>
            <w:tcW w:w="629" w:type="pct"/>
            <w:tcBorders>
              <w:top w:val="nil"/>
              <w:bottom w:val="nil"/>
            </w:tcBorders>
            <w:noWrap/>
            <w:hideMark/>
          </w:tcPr>
          <w:p w:rsidR="00ED1978" w:rsidRPr="00675CB4" w:rsidRDefault="00675CB4" w:rsidP="00E8209E">
            <w:pPr>
              <w:pStyle w:val="TableText"/>
              <w:keepNext/>
              <w:jc w:val="right"/>
              <w:rPr>
                <w:highlight w:val="black"/>
              </w:rPr>
            </w:pPr>
            <w:r>
              <w:rPr>
                <w:noProof/>
                <w:color w:val="000000"/>
                <w:highlight w:val="black"/>
              </w:rPr>
              <w:t>''''''''''''''''''''</w:t>
            </w:r>
          </w:p>
        </w:tc>
        <w:tc>
          <w:tcPr>
            <w:tcW w:w="629" w:type="pct"/>
            <w:tcBorders>
              <w:top w:val="nil"/>
              <w:bottom w:val="nil"/>
            </w:tcBorders>
            <w:noWrap/>
            <w:hideMark/>
          </w:tcPr>
          <w:p w:rsidR="00ED1978" w:rsidRPr="00A605F7" w:rsidRDefault="00ED1978" w:rsidP="00E8209E">
            <w:pPr>
              <w:pStyle w:val="TableText"/>
              <w:keepNext/>
              <w:jc w:val="right"/>
            </w:pPr>
            <w:r w:rsidRPr="00A605F7">
              <w:t>0.910</w:t>
            </w:r>
          </w:p>
        </w:tc>
        <w:tc>
          <w:tcPr>
            <w:tcW w:w="630" w:type="pct"/>
            <w:tcBorders>
              <w:top w:val="nil"/>
              <w:bottom w:val="nil"/>
            </w:tcBorders>
            <w:noWrap/>
            <w:hideMark/>
          </w:tcPr>
          <w:p w:rsidR="00ED1978" w:rsidRPr="00675CB4" w:rsidRDefault="00675CB4" w:rsidP="00E8209E">
            <w:pPr>
              <w:pStyle w:val="TableText"/>
              <w:keepNext/>
              <w:jc w:val="right"/>
            </w:pPr>
            <w:r>
              <w:rPr>
                <w:noProof/>
                <w:color w:val="000000"/>
                <w:highlight w:val="black"/>
              </w:rPr>
              <w:t>''''''''''''''''''''</w:t>
            </w:r>
            <w:r w:rsidR="006325BA">
              <w:rPr>
                <w:b/>
                <w:vertAlign w:val="superscript"/>
              </w:rPr>
              <w:t>3</w:t>
            </w:r>
          </w:p>
        </w:tc>
        <w:tc>
          <w:tcPr>
            <w:tcW w:w="362" w:type="pct"/>
            <w:tcBorders>
              <w:top w:val="nil"/>
              <w:bottom w:val="nil"/>
            </w:tcBorders>
            <w:noWrap/>
            <w:hideMark/>
          </w:tcPr>
          <w:p w:rsidR="00ED1978" w:rsidRPr="00A605F7" w:rsidRDefault="00ED1978" w:rsidP="00E8209E">
            <w:pPr>
              <w:pStyle w:val="TableText"/>
              <w:keepNext/>
              <w:jc w:val="right"/>
            </w:pPr>
            <w:r w:rsidRPr="00A605F7">
              <w:t>–17%</w:t>
            </w:r>
          </w:p>
        </w:tc>
      </w:tr>
      <w:tr w:rsidR="00ED1978" w:rsidRPr="008D6316" w:rsidTr="003B6B2C">
        <w:trPr>
          <w:trHeight w:val="300"/>
        </w:trPr>
        <w:tc>
          <w:tcPr>
            <w:tcW w:w="2750" w:type="pct"/>
            <w:tcBorders>
              <w:top w:val="nil"/>
              <w:bottom w:val="nil"/>
            </w:tcBorders>
            <w:noWrap/>
            <w:hideMark/>
          </w:tcPr>
          <w:p w:rsidR="00ED1978" w:rsidRPr="00A605F7" w:rsidRDefault="00ED1978" w:rsidP="00E8209E">
            <w:pPr>
              <w:pStyle w:val="TableText"/>
              <w:keepNext/>
            </w:pPr>
            <w:r w:rsidRPr="00A605F7">
              <w:t>Use PFS curve for ToT</w:t>
            </w:r>
          </w:p>
        </w:tc>
        <w:tc>
          <w:tcPr>
            <w:tcW w:w="629" w:type="pct"/>
            <w:tcBorders>
              <w:top w:val="nil"/>
              <w:bottom w:val="nil"/>
            </w:tcBorders>
            <w:noWrap/>
            <w:hideMark/>
          </w:tcPr>
          <w:p w:rsidR="00ED1978" w:rsidRPr="00675CB4" w:rsidRDefault="00675CB4" w:rsidP="00E8209E">
            <w:pPr>
              <w:pStyle w:val="TableText"/>
              <w:keepNext/>
              <w:jc w:val="right"/>
              <w:rPr>
                <w:highlight w:val="black"/>
              </w:rPr>
            </w:pPr>
            <w:r>
              <w:rPr>
                <w:noProof/>
                <w:color w:val="000000"/>
                <w:highlight w:val="black"/>
              </w:rPr>
              <w:t>''''''''''''''''''</w:t>
            </w:r>
          </w:p>
        </w:tc>
        <w:tc>
          <w:tcPr>
            <w:tcW w:w="629" w:type="pct"/>
            <w:tcBorders>
              <w:top w:val="nil"/>
              <w:bottom w:val="nil"/>
            </w:tcBorders>
            <w:noWrap/>
            <w:hideMark/>
          </w:tcPr>
          <w:p w:rsidR="00ED1978" w:rsidRPr="00A605F7" w:rsidRDefault="00ED1978" w:rsidP="00E8209E">
            <w:pPr>
              <w:pStyle w:val="TableText"/>
              <w:keepNext/>
              <w:jc w:val="right"/>
            </w:pPr>
            <w:r w:rsidRPr="00A605F7">
              <w:t>0.910</w:t>
            </w:r>
          </w:p>
        </w:tc>
        <w:tc>
          <w:tcPr>
            <w:tcW w:w="630" w:type="pct"/>
            <w:tcBorders>
              <w:top w:val="nil"/>
              <w:bottom w:val="nil"/>
            </w:tcBorders>
            <w:noWrap/>
            <w:hideMark/>
          </w:tcPr>
          <w:p w:rsidR="00ED1978" w:rsidRPr="00675CB4" w:rsidRDefault="00675CB4" w:rsidP="00E8209E">
            <w:pPr>
              <w:pStyle w:val="TableText"/>
              <w:keepNext/>
              <w:jc w:val="right"/>
            </w:pPr>
            <w:r>
              <w:rPr>
                <w:noProof/>
                <w:color w:val="000000"/>
                <w:highlight w:val="black"/>
              </w:rPr>
              <w:t>'''''''''''''''''''</w:t>
            </w:r>
            <w:r w:rsidR="006325BA">
              <w:rPr>
                <w:b/>
                <w:vertAlign w:val="superscript"/>
              </w:rPr>
              <w:t>3</w:t>
            </w:r>
          </w:p>
        </w:tc>
        <w:tc>
          <w:tcPr>
            <w:tcW w:w="362" w:type="pct"/>
            <w:tcBorders>
              <w:top w:val="nil"/>
              <w:bottom w:val="nil"/>
            </w:tcBorders>
            <w:noWrap/>
            <w:hideMark/>
          </w:tcPr>
          <w:p w:rsidR="00ED1978" w:rsidRPr="00A605F7" w:rsidRDefault="00ED1978" w:rsidP="00E8209E">
            <w:pPr>
              <w:pStyle w:val="TableText"/>
              <w:keepNext/>
              <w:jc w:val="right"/>
            </w:pPr>
            <w:r w:rsidRPr="00A605F7">
              <w:t>–14%</w:t>
            </w:r>
          </w:p>
        </w:tc>
      </w:tr>
      <w:tr w:rsidR="00ED1978" w:rsidRPr="008D6316" w:rsidTr="003B6B2C">
        <w:trPr>
          <w:trHeight w:val="300"/>
        </w:trPr>
        <w:tc>
          <w:tcPr>
            <w:tcW w:w="2750" w:type="pct"/>
            <w:tcBorders>
              <w:top w:val="nil"/>
              <w:bottom w:val="double" w:sz="4" w:space="0" w:color="auto"/>
            </w:tcBorders>
            <w:noWrap/>
            <w:hideMark/>
          </w:tcPr>
          <w:p w:rsidR="00ED1978" w:rsidRPr="00A605F7" w:rsidRDefault="00ED1978" w:rsidP="00E8209E">
            <w:pPr>
              <w:pStyle w:val="TableText"/>
              <w:spacing w:line="257" w:lineRule="auto"/>
            </w:pPr>
            <w:r w:rsidRPr="00A605F7">
              <w:t>Planned dose (base case: actual average dose)</w:t>
            </w:r>
          </w:p>
        </w:tc>
        <w:tc>
          <w:tcPr>
            <w:tcW w:w="629" w:type="pct"/>
            <w:tcBorders>
              <w:top w:val="nil"/>
              <w:bottom w:val="double" w:sz="4" w:space="0" w:color="auto"/>
            </w:tcBorders>
            <w:noWrap/>
            <w:hideMark/>
          </w:tcPr>
          <w:p w:rsidR="00ED1978" w:rsidRPr="00675CB4" w:rsidRDefault="00675CB4" w:rsidP="00E8209E">
            <w:pPr>
              <w:pStyle w:val="TableText"/>
              <w:spacing w:line="257" w:lineRule="auto"/>
              <w:jc w:val="right"/>
              <w:rPr>
                <w:highlight w:val="black"/>
              </w:rPr>
            </w:pPr>
            <w:r>
              <w:rPr>
                <w:noProof/>
                <w:color w:val="000000"/>
                <w:highlight w:val="black"/>
              </w:rPr>
              <w:t>'''''''''''''''''''</w:t>
            </w:r>
          </w:p>
        </w:tc>
        <w:tc>
          <w:tcPr>
            <w:tcW w:w="629" w:type="pct"/>
            <w:tcBorders>
              <w:top w:val="nil"/>
              <w:bottom w:val="double" w:sz="4" w:space="0" w:color="auto"/>
            </w:tcBorders>
            <w:noWrap/>
            <w:hideMark/>
          </w:tcPr>
          <w:p w:rsidR="00ED1978" w:rsidRPr="00A605F7" w:rsidRDefault="00ED1978" w:rsidP="00E8209E">
            <w:pPr>
              <w:pStyle w:val="TableText"/>
              <w:spacing w:line="257" w:lineRule="auto"/>
              <w:jc w:val="right"/>
            </w:pPr>
            <w:r w:rsidRPr="00A605F7">
              <w:t>0.910</w:t>
            </w:r>
          </w:p>
        </w:tc>
        <w:tc>
          <w:tcPr>
            <w:tcW w:w="630" w:type="pct"/>
            <w:tcBorders>
              <w:top w:val="nil"/>
              <w:bottom w:val="double" w:sz="4" w:space="0" w:color="auto"/>
            </w:tcBorders>
            <w:noWrap/>
            <w:hideMark/>
          </w:tcPr>
          <w:p w:rsidR="00ED1978" w:rsidRPr="00675CB4" w:rsidRDefault="00675CB4" w:rsidP="00E8209E">
            <w:pPr>
              <w:pStyle w:val="TableText"/>
              <w:spacing w:line="257" w:lineRule="auto"/>
              <w:jc w:val="right"/>
            </w:pPr>
            <w:r>
              <w:rPr>
                <w:noProof/>
                <w:color w:val="000000"/>
                <w:highlight w:val="black"/>
              </w:rPr>
              <w:t>''''''''''''''''''</w:t>
            </w:r>
            <w:r w:rsidR="006325BA">
              <w:rPr>
                <w:b/>
                <w:vertAlign w:val="superscript"/>
              </w:rPr>
              <w:t>1</w:t>
            </w:r>
          </w:p>
        </w:tc>
        <w:tc>
          <w:tcPr>
            <w:tcW w:w="362" w:type="pct"/>
            <w:tcBorders>
              <w:top w:val="nil"/>
              <w:bottom w:val="double" w:sz="4" w:space="0" w:color="auto"/>
            </w:tcBorders>
            <w:noWrap/>
            <w:hideMark/>
          </w:tcPr>
          <w:p w:rsidR="00ED1978" w:rsidRPr="00A605F7" w:rsidRDefault="00ED1978" w:rsidP="00E8209E">
            <w:pPr>
              <w:pStyle w:val="TableText"/>
              <w:spacing w:line="257" w:lineRule="auto"/>
              <w:jc w:val="right"/>
            </w:pPr>
            <w:r w:rsidRPr="00A605F7">
              <w:t>11%</w:t>
            </w:r>
          </w:p>
        </w:tc>
      </w:tr>
      <w:tr w:rsidR="00ED1978" w:rsidRPr="00D62DC7" w:rsidTr="003B6B2C">
        <w:trPr>
          <w:trHeight w:val="300"/>
        </w:trPr>
        <w:tc>
          <w:tcPr>
            <w:tcW w:w="2750" w:type="pct"/>
            <w:tcBorders>
              <w:top w:val="double" w:sz="4" w:space="0" w:color="auto"/>
              <w:bottom w:val="single" w:sz="4" w:space="0" w:color="auto"/>
              <w:right w:val="nil"/>
            </w:tcBorders>
            <w:noWrap/>
          </w:tcPr>
          <w:p w:rsidR="00ED1978" w:rsidRPr="00A605F7" w:rsidRDefault="00ED1978" w:rsidP="00E8209E">
            <w:pPr>
              <w:pStyle w:val="TableText"/>
              <w:keepNext/>
              <w:spacing w:line="257" w:lineRule="auto"/>
              <w:rPr>
                <w:b/>
              </w:rPr>
            </w:pPr>
            <w:r w:rsidRPr="00A605F7">
              <w:rPr>
                <w:b/>
              </w:rPr>
              <w:t>Multivariate analyses</w:t>
            </w:r>
          </w:p>
        </w:tc>
        <w:tc>
          <w:tcPr>
            <w:tcW w:w="629" w:type="pct"/>
            <w:tcBorders>
              <w:top w:val="double" w:sz="4" w:space="0" w:color="auto"/>
              <w:left w:val="nil"/>
              <w:bottom w:val="single" w:sz="4" w:space="0" w:color="auto"/>
              <w:right w:val="nil"/>
            </w:tcBorders>
            <w:noWrap/>
          </w:tcPr>
          <w:p w:rsidR="00ED1978" w:rsidRPr="00A605F7" w:rsidRDefault="00ED1978" w:rsidP="00E8209E">
            <w:pPr>
              <w:pStyle w:val="TableText"/>
              <w:keepNext/>
              <w:spacing w:line="257" w:lineRule="auto"/>
              <w:jc w:val="right"/>
              <w:rPr>
                <w:b/>
              </w:rPr>
            </w:pPr>
          </w:p>
        </w:tc>
        <w:tc>
          <w:tcPr>
            <w:tcW w:w="629" w:type="pct"/>
            <w:tcBorders>
              <w:top w:val="double" w:sz="4" w:space="0" w:color="auto"/>
              <w:left w:val="nil"/>
              <w:bottom w:val="single" w:sz="4" w:space="0" w:color="auto"/>
              <w:right w:val="nil"/>
            </w:tcBorders>
            <w:noWrap/>
          </w:tcPr>
          <w:p w:rsidR="00ED1978" w:rsidRPr="00A605F7" w:rsidRDefault="00ED1978" w:rsidP="00E8209E">
            <w:pPr>
              <w:pStyle w:val="TableText"/>
              <w:keepNext/>
              <w:spacing w:line="257" w:lineRule="auto"/>
              <w:jc w:val="right"/>
              <w:rPr>
                <w:b/>
              </w:rPr>
            </w:pPr>
          </w:p>
        </w:tc>
        <w:tc>
          <w:tcPr>
            <w:tcW w:w="630" w:type="pct"/>
            <w:tcBorders>
              <w:top w:val="double" w:sz="4" w:space="0" w:color="auto"/>
              <w:left w:val="nil"/>
              <w:bottom w:val="single" w:sz="4" w:space="0" w:color="auto"/>
              <w:right w:val="nil"/>
            </w:tcBorders>
            <w:noWrap/>
          </w:tcPr>
          <w:p w:rsidR="00ED1978" w:rsidRPr="00A605F7" w:rsidRDefault="00ED1978" w:rsidP="00E8209E">
            <w:pPr>
              <w:pStyle w:val="TableText"/>
              <w:keepNext/>
              <w:spacing w:line="257" w:lineRule="auto"/>
              <w:jc w:val="right"/>
              <w:rPr>
                <w:b/>
              </w:rPr>
            </w:pPr>
          </w:p>
        </w:tc>
        <w:tc>
          <w:tcPr>
            <w:tcW w:w="362" w:type="pct"/>
            <w:tcBorders>
              <w:top w:val="double" w:sz="4" w:space="0" w:color="auto"/>
              <w:left w:val="nil"/>
              <w:bottom w:val="single" w:sz="4" w:space="0" w:color="auto"/>
            </w:tcBorders>
            <w:noWrap/>
          </w:tcPr>
          <w:p w:rsidR="00ED1978" w:rsidRPr="00A605F7" w:rsidRDefault="00ED1978" w:rsidP="00E8209E">
            <w:pPr>
              <w:pStyle w:val="TableText"/>
              <w:keepNext/>
              <w:spacing w:line="257" w:lineRule="auto"/>
              <w:jc w:val="right"/>
              <w:rPr>
                <w:b/>
              </w:rPr>
            </w:pPr>
          </w:p>
        </w:tc>
      </w:tr>
      <w:tr w:rsidR="00ED1978" w:rsidRPr="004C0CBF" w:rsidTr="003B6B2C">
        <w:trPr>
          <w:trHeight w:val="300"/>
        </w:trPr>
        <w:tc>
          <w:tcPr>
            <w:tcW w:w="2750" w:type="pct"/>
            <w:tcBorders>
              <w:bottom w:val="nil"/>
            </w:tcBorders>
            <w:noWrap/>
          </w:tcPr>
          <w:p w:rsidR="00ED1978" w:rsidRPr="00A605F7" w:rsidRDefault="00ED1978" w:rsidP="00E8209E">
            <w:pPr>
              <w:pStyle w:val="TableText"/>
              <w:keepNext/>
              <w:spacing w:line="257" w:lineRule="auto"/>
            </w:pPr>
            <w:r w:rsidRPr="00A605F7">
              <w:t>#1 AND #2</w:t>
            </w:r>
          </w:p>
        </w:tc>
        <w:tc>
          <w:tcPr>
            <w:tcW w:w="629" w:type="pct"/>
            <w:tcBorders>
              <w:bottom w:val="nil"/>
            </w:tcBorders>
            <w:noWrap/>
          </w:tcPr>
          <w:p w:rsidR="00ED1978" w:rsidRPr="00675CB4" w:rsidRDefault="00675CB4" w:rsidP="00E8209E">
            <w:pPr>
              <w:pStyle w:val="TableText"/>
              <w:keepNext/>
              <w:spacing w:line="257" w:lineRule="auto"/>
              <w:jc w:val="right"/>
              <w:rPr>
                <w:highlight w:val="black"/>
              </w:rPr>
            </w:pPr>
            <w:r>
              <w:rPr>
                <w:noProof/>
                <w:color w:val="000000"/>
                <w:highlight w:val="black"/>
              </w:rPr>
              <w:t>''''''''''''''''''''''</w:t>
            </w:r>
          </w:p>
        </w:tc>
        <w:tc>
          <w:tcPr>
            <w:tcW w:w="629" w:type="pct"/>
            <w:tcBorders>
              <w:bottom w:val="nil"/>
            </w:tcBorders>
            <w:noWrap/>
          </w:tcPr>
          <w:p w:rsidR="00ED1978" w:rsidRPr="00A605F7" w:rsidRDefault="00ED1978" w:rsidP="00E8209E">
            <w:pPr>
              <w:pStyle w:val="TableText"/>
              <w:keepNext/>
              <w:spacing w:line="257" w:lineRule="auto"/>
              <w:jc w:val="right"/>
            </w:pPr>
            <w:r w:rsidRPr="00A605F7">
              <w:t>0.889</w:t>
            </w:r>
          </w:p>
        </w:tc>
        <w:tc>
          <w:tcPr>
            <w:tcW w:w="630" w:type="pct"/>
            <w:tcBorders>
              <w:bottom w:val="nil"/>
            </w:tcBorders>
            <w:noWrap/>
          </w:tcPr>
          <w:p w:rsidR="00ED1978" w:rsidRPr="00675CB4" w:rsidRDefault="00675CB4" w:rsidP="00E8209E">
            <w:pPr>
              <w:pStyle w:val="TableText"/>
              <w:keepNext/>
              <w:spacing w:line="257" w:lineRule="auto"/>
              <w:jc w:val="right"/>
            </w:pPr>
            <w:r>
              <w:rPr>
                <w:noProof/>
                <w:color w:val="000000"/>
                <w:highlight w:val="black"/>
              </w:rPr>
              <w:t>'''''''''''''''''''''</w:t>
            </w:r>
            <w:r w:rsidR="006325BA">
              <w:rPr>
                <w:b/>
                <w:vertAlign w:val="superscript"/>
              </w:rPr>
              <w:t>3</w:t>
            </w:r>
          </w:p>
        </w:tc>
        <w:tc>
          <w:tcPr>
            <w:tcW w:w="362" w:type="pct"/>
            <w:tcBorders>
              <w:bottom w:val="nil"/>
            </w:tcBorders>
            <w:noWrap/>
          </w:tcPr>
          <w:p w:rsidR="00ED1978" w:rsidRPr="00A605F7" w:rsidRDefault="00ED1978" w:rsidP="00E8209E">
            <w:pPr>
              <w:pStyle w:val="TableText"/>
              <w:keepNext/>
              <w:spacing w:line="257" w:lineRule="auto"/>
              <w:jc w:val="right"/>
            </w:pPr>
            <w:r w:rsidRPr="00A605F7">
              <w:t>–20%</w:t>
            </w:r>
          </w:p>
        </w:tc>
      </w:tr>
      <w:tr w:rsidR="00ED1978" w:rsidRPr="004C0CBF" w:rsidTr="003B6B2C">
        <w:trPr>
          <w:trHeight w:val="300"/>
        </w:trPr>
        <w:tc>
          <w:tcPr>
            <w:tcW w:w="2750" w:type="pct"/>
            <w:tcBorders>
              <w:top w:val="nil"/>
              <w:bottom w:val="nil"/>
            </w:tcBorders>
            <w:noWrap/>
          </w:tcPr>
          <w:p w:rsidR="00ED1978" w:rsidRPr="00A605F7" w:rsidRDefault="00ED1978" w:rsidP="00E8209E">
            <w:pPr>
              <w:pStyle w:val="TableText"/>
              <w:keepNext/>
              <w:spacing w:line="257" w:lineRule="auto"/>
            </w:pPr>
            <w:r w:rsidRPr="00A605F7">
              <w:t>#1, #2 AND #3</w:t>
            </w:r>
          </w:p>
        </w:tc>
        <w:tc>
          <w:tcPr>
            <w:tcW w:w="629" w:type="pct"/>
            <w:tcBorders>
              <w:top w:val="nil"/>
              <w:bottom w:val="nil"/>
            </w:tcBorders>
            <w:noWrap/>
          </w:tcPr>
          <w:p w:rsidR="00ED1978" w:rsidRPr="00675CB4" w:rsidRDefault="00675CB4" w:rsidP="00E8209E">
            <w:pPr>
              <w:pStyle w:val="TableText"/>
              <w:keepNext/>
              <w:spacing w:line="257" w:lineRule="auto"/>
              <w:jc w:val="right"/>
              <w:rPr>
                <w:highlight w:val="black"/>
              </w:rPr>
            </w:pPr>
            <w:r>
              <w:rPr>
                <w:noProof/>
                <w:color w:val="000000"/>
                <w:highlight w:val="black"/>
              </w:rPr>
              <w:t>''''''''''''''''''''</w:t>
            </w:r>
          </w:p>
        </w:tc>
        <w:tc>
          <w:tcPr>
            <w:tcW w:w="629" w:type="pct"/>
            <w:tcBorders>
              <w:top w:val="nil"/>
              <w:bottom w:val="nil"/>
            </w:tcBorders>
            <w:noWrap/>
          </w:tcPr>
          <w:p w:rsidR="00ED1978" w:rsidRPr="00A605F7" w:rsidRDefault="00ED1978" w:rsidP="00E8209E">
            <w:pPr>
              <w:pStyle w:val="TableText"/>
              <w:keepNext/>
              <w:spacing w:line="257" w:lineRule="auto"/>
              <w:jc w:val="right"/>
            </w:pPr>
            <w:r w:rsidRPr="00A605F7">
              <w:t>0.684</w:t>
            </w:r>
          </w:p>
        </w:tc>
        <w:tc>
          <w:tcPr>
            <w:tcW w:w="630" w:type="pct"/>
            <w:tcBorders>
              <w:top w:val="nil"/>
              <w:bottom w:val="nil"/>
            </w:tcBorders>
            <w:noWrap/>
          </w:tcPr>
          <w:p w:rsidR="00ED1978" w:rsidRPr="00675CB4" w:rsidRDefault="00675CB4" w:rsidP="00E8209E">
            <w:pPr>
              <w:pStyle w:val="TableText"/>
              <w:keepNext/>
              <w:spacing w:line="257" w:lineRule="auto"/>
              <w:jc w:val="right"/>
            </w:pPr>
            <w:r>
              <w:rPr>
                <w:noProof/>
                <w:color w:val="000000"/>
                <w:highlight w:val="black"/>
              </w:rPr>
              <w:t>'''''''''''''''''''</w:t>
            </w:r>
            <w:r w:rsidR="006325BA">
              <w:rPr>
                <w:b/>
                <w:vertAlign w:val="superscript"/>
              </w:rPr>
              <w:t>1</w:t>
            </w:r>
          </w:p>
        </w:tc>
        <w:tc>
          <w:tcPr>
            <w:tcW w:w="362" w:type="pct"/>
            <w:tcBorders>
              <w:top w:val="nil"/>
              <w:bottom w:val="nil"/>
            </w:tcBorders>
            <w:noWrap/>
          </w:tcPr>
          <w:p w:rsidR="00ED1978" w:rsidRPr="00A605F7" w:rsidRDefault="00ED1978" w:rsidP="00E8209E">
            <w:pPr>
              <w:pStyle w:val="TableText"/>
              <w:keepNext/>
              <w:spacing w:line="257" w:lineRule="auto"/>
              <w:jc w:val="right"/>
            </w:pPr>
            <w:r w:rsidRPr="00A605F7">
              <w:t>–3%</w:t>
            </w:r>
          </w:p>
        </w:tc>
      </w:tr>
      <w:tr w:rsidR="00ED1978" w:rsidRPr="004C0CBF" w:rsidTr="003B6B2C">
        <w:trPr>
          <w:trHeight w:val="300"/>
        </w:trPr>
        <w:tc>
          <w:tcPr>
            <w:tcW w:w="2750" w:type="pct"/>
            <w:tcBorders>
              <w:top w:val="nil"/>
            </w:tcBorders>
            <w:noWrap/>
          </w:tcPr>
          <w:p w:rsidR="00ED1978" w:rsidRPr="00A605F7" w:rsidRDefault="00ED1978" w:rsidP="00E8209E">
            <w:pPr>
              <w:pStyle w:val="TableText"/>
            </w:pPr>
            <w:r w:rsidRPr="00A605F7">
              <w:t>#1, #2 AND #4</w:t>
            </w:r>
          </w:p>
        </w:tc>
        <w:tc>
          <w:tcPr>
            <w:tcW w:w="629" w:type="pct"/>
            <w:tcBorders>
              <w:top w:val="nil"/>
            </w:tcBorders>
            <w:noWrap/>
          </w:tcPr>
          <w:p w:rsidR="00ED1978" w:rsidRPr="00675CB4" w:rsidRDefault="00675CB4" w:rsidP="00E8209E">
            <w:pPr>
              <w:pStyle w:val="TableText"/>
              <w:jc w:val="right"/>
              <w:rPr>
                <w:highlight w:val="black"/>
              </w:rPr>
            </w:pPr>
            <w:r>
              <w:rPr>
                <w:noProof/>
                <w:color w:val="000000"/>
                <w:highlight w:val="black"/>
              </w:rPr>
              <w:t>'''''''''''''''''''</w:t>
            </w:r>
          </w:p>
        </w:tc>
        <w:tc>
          <w:tcPr>
            <w:tcW w:w="629" w:type="pct"/>
            <w:tcBorders>
              <w:top w:val="nil"/>
            </w:tcBorders>
            <w:noWrap/>
          </w:tcPr>
          <w:p w:rsidR="00ED1978" w:rsidRPr="00A605F7" w:rsidRDefault="00ED1978" w:rsidP="00E8209E">
            <w:pPr>
              <w:pStyle w:val="TableText"/>
              <w:jc w:val="right"/>
            </w:pPr>
            <w:r w:rsidRPr="00A605F7">
              <w:t>0.522</w:t>
            </w:r>
          </w:p>
        </w:tc>
        <w:tc>
          <w:tcPr>
            <w:tcW w:w="630" w:type="pct"/>
            <w:tcBorders>
              <w:top w:val="nil"/>
            </w:tcBorders>
            <w:noWrap/>
          </w:tcPr>
          <w:p w:rsidR="00ED1978" w:rsidRPr="00675CB4" w:rsidRDefault="00675CB4" w:rsidP="00E8209E">
            <w:pPr>
              <w:pStyle w:val="TableText"/>
              <w:jc w:val="right"/>
            </w:pPr>
            <w:r>
              <w:rPr>
                <w:noProof/>
                <w:color w:val="000000"/>
                <w:highlight w:val="black"/>
              </w:rPr>
              <w:t>'''''''''''''''''''</w:t>
            </w:r>
            <w:r w:rsidR="006325BA">
              <w:rPr>
                <w:b/>
                <w:vertAlign w:val="superscript"/>
              </w:rPr>
              <w:t>1</w:t>
            </w:r>
          </w:p>
        </w:tc>
        <w:tc>
          <w:tcPr>
            <w:tcW w:w="362" w:type="pct"/>
            <w:tcBorders>
              <w:top w:val="nil"/>
            </w:tcBorders>
            <w:noWrap/>
          </w:tcPr>
          <w:p w:rsidR="00ED1978" w:rsidRPr="00A605F7" w:rsidRDefault="00ED1978" w:rsidP="00E8209E">
            <w:pPr>
              <w:pStyle w:val="TableText"/>
              <w:jc w:val="right"/>
            </w:pPr>
            <w:r w:rsidRPr="00A605F7">
              <w:t>0%</w:t>
            </w:r>
          </w:p>
        </w:tc>
      </w:tr>
    </w:tbl>
    <w:p w:rsidR="00FD03A0" w:rsidRPr="000539AE" w:rsidRDefault="00FD03A0" w:rsidP="00FD03A0">
      <w:pPr>
        <w:pStyle w:val="TableFooter"/>
      </w:pPr>
      <w:r w:rsidRPr="000539AE">
        <w:t>Source: Constructed during the evaluation from the ‘A3.1_Larotrectinib_PBACMSAC_CEA_June21_resub_6June21.xlsx’ workbook included in the resubmission.</w:t>
      </w:r>
    </w:p>
    <w:p w:rsidR="00FD03A0" w:rsidRPr="008939DB" w:rsidRDefault="00FD03A0" w:rsidP="00FD03A0">
      <w:pPr>
        <w:pStyle w:val="TableFooter"/>
        <w:rPr>
          <w:iCs/>
        </w:rPr>
      </w:pPr>
      <w:r w:rsidRPr="008939DB">
        <w:rPr>
          <w:iCs/>
        </w:rPr>
        <w:t xml:space="preserve">Note: </w:t>
      </w:r>
      <w:r w:rsidR="00D117CD">
        <w:rPr>
          <w:iCs/>
        </w:rPr>
        <w:t>These</w:t>
      </w:r>
      <w:r w:rsidR="00A605F7">
        <w:rPr>
          <w:iCs/>
        </w:rPr>
        <w:t xml:space="preserve"> a</w:t>
      </w:r>
      <w:r w:rsidRPr="008939DB">
        <w:rPr>
          <w:iCs/>
        </w:rPr>
        <w:t>nalyses in were revised during the evaluation: the distribution of tumour types was revised to reflect the distribution in the tested population (rather than the treated population). The most conservative OS and PFS parametric models were also applied for the high NTRK fusion frequency tumour types. Other minor revisions to treatment costs modelled.</w:t>
      </w:r>
    </w:p>
    <w:p w:rsidR="00ED1978" w:rsidRDefault="00FD03A0" w:rsidP="00053DB1">
      <w:pPr>
        <w:pStyle w:val="TableFooter"/>
        <w:spacing w:after="0"/>
      </w:pPr>
      <w:r>
        <w:t xml:space="preserve">ICER = incremental cost-effectiveness ratio; </w:t>
      </w:r>
      <w:r w:rsidRPr="00211488">
        <w:rPr>
          <w:i/>
        </w:rPr>
        <w:t>NTRK</w:t>
      </w:r>
      <w:r>
        <w:t xml:space="preserve"> = </w:t>
      </w:r>
      <w:r w:rsidRPr="00211488">
        <w:t>neurotrophic tropomyosin receptor kinase</w:t>
      </w:r>
      <w:r>
        <w:t>; OS = overall survival; PFS = progression-free survival; QALY = quality-adjusted life year; ToT = time on treatment.</w:t>
      </w:r>
    </w:p>
    <w:p w:rsidR="006325BA" w:rsidRDefault="006325BA">
      <w:pPr>
        <w:pStyle w:val="TableFigureFooter"/>
        <w:spacing w:after="0"/>
        <w:contextualSpacing w:val="0"/>
        <w:rPr>
          <w:i/>
        </w:rPr>
      </w:pPr>
      <w:r w:rsidRPr="009868C4">
        <w:rPr>
          <w:i/>
        </w:rPr>
        <w:t>The redacted values correspond to the following ranges</w:t>
      </w:r>
      <w:r>
        <w:rPr>
          <w:i/>
        </w:rPr>
        <w:t xml:space="preserve">: </w:t>
      </w:r>
    </w:p>
    <w:p w:rsidR="006325BA" w:rsidRPr="00870C5D" w:rsidRDefault="006325BA" w:rsidP="006325BA">
      <w:pPr>
        <w:pStyle w:val="TableFigureFooter"/>
        <w:spacing w:after="0"/>
        <w:contextualSpacing w:val="0"/>
      </w:pPr>
      <w:r>
        <w:rPr>
          <w:i/>
          <w:vertAlign w:val="superscript"/>
        </w:rPr>
        <w:t>1</w:t>
      </w:r>
      <w:r>
        <w:rPr>
          <w:i/>
        </w:rPr>
        <w:t xml:space="preserve"> </w:t>
      </w:r>
      <w:r w:rsidRPr="006325BA">
        <w:rPr>
          <w:i/>
        </w:rPr>
        <w:t>$75,000 to &lt; $95,000</w:t>
      </w:r>
    </w:p>
    <w:p w:rsidR="006325BA" w:rsidRPr="00870C5D" w:rsidRDefault="006325BA" w:rsidP="006325BA">
      <w:pPr>
        <w:pStyle w:val="TableFigureFooter"/>
        <w:spacing w:after="0"/>
        <w:contextualSpacing w:val="0"/>
      </w:pPr>
      <w:r>
        <w:rPr>
          <w:i/>
          <w:vertAlign w:val="superscript"/>
        </w:rPr>
        <w:t>2</w:t>
      </w:r>
      <w:r>
        <w:rPr>
          <w:i/>
        </w:rPr>
        <w:t xml:space="preserve"> </w:t>
      </w:r>
      <w:r w:rsidRPr="006325BA">
        <w:rPr>
          <w:i/>
        </w:rPr>
        <w:t>$95,000 to &lt; $115,000</w:t>
      </w:r>
    </w:p>
    <w:p w:rsidR="006325BA" w:rsidRDefault="006325BA" w:rsidP="00053DB1">
      <w:pPr>
        <w:pStyle w:val="TableFigureFooter"/>
        <w:spacing w:after="0"/>
        <w:contextualSpacing w:val="0"/>
      </w:pPr>
      <w:r>
        <w:rPr>
          <w:i/>
          <w:vertAlign w:val="superscript"/>
        </w:rPr>
        <w:t>3</w:t>
      </w:r>
      <w:r>
        <w:rPr>
          <w:i/>
        </w:rPr>
        <w:t xml:space="preserve"> </w:t>
      </w:r>
      <w:r w:rsidRPr="006325BA">
        <w:rPr>
          <w:i/>
        </w:rPr>
        <w:t>$55,000 to &lt; $75,000</w:t>
      </w:r>
    </w:p>
    <w:p w:rsidR="00ED1978" w:rsidRDefault="00CE0C5C" w:rsidP="00ED1978">
      <w:pPr>
        <w:pStyle w:val="ListParagraph"/>
      </w:pPr>
      <w:r w:rsidRPr="000A3110">
        <w:rPr>
          <w:iCs/>
        </w:rPr>
        <w:t>In the population of adults with high</w:t>
      </w:r>
      <w:r>
        <w:rPr>
          <w:i/>
        </w:rPr>
        <w:t xml:space="preserve"> </w:t>
      </w:r>
      <w:r w:rsidRPr="00EC45CE">
        <w:t>NTRK</w:t>
      </w:r>
      <w:r>
        <w:rPr>
          <w:i/>
        </w:rPr>
        <w:t xml:space="preserve"> </w:t>
      </w:r>
      <w:r w:rsidRPr="000A3110">
        <w:rPr>
          <w:iCs/>
        </w:rPr>
        <w:t>tumour types combined with paediatric patients, t</w:t>
      </w:r>
      <w:r w:rsidR="00ED1978" w:rsidRPr="000A3110">
        <w:rPr>
          <w:iCs/>
        </w:rPr>
        <w:t>he analyses were most sensitive to the time horizon and the approach used to estimate larotrectin</w:t>
      </w:r>
      <w:r w:rsidR="00D117CD">
        <w:rPr>
          <w:iCs/>
        </w:rPr>
        <w:t>i</w:t>
      </w:r>
      <w:r w:rsidR="00ED1978" w:rsidRPr="000A3110">
        <w:rPr>
          <w:iCs/>
        </w:rPr>
        <w:t>b treatment duration. Multivariate analyses reducing both the time horizon and restricting larotrectin</w:t>
      </w:r>
      <w:r w:rsidR="00D117CD">
        <w:rPr>
          <w:iCs/>
        </w:rPr>
        <w:t>i</w:t>
      </w:r>
      <w:r w:rsidR="00ED1978" w:rsidRPr="000A3110">
        <w:rPr>
          <w:iCs/>
        </w:rPr>
        <w:t>b use to before disease progression had the combined effect of no change in the base case estimate.</w:t>
      </w:r>
    </w:p>
    <w:p w:rsidR="00ED1978" w:rsidRDefault="00ED1978" w:rsidP="00B32B5C">
      <w:pPr>
        <w:pStyle w:val="Caption"/>
        <w:keepLines/>
      </w:pPr>
      <w:bookmarkStart w:id="97" w:name="_Ref79485084"/>
      <w:r>
        <w:t>Table</w:t>
      </w:r>
      <w:r w:rsidR="00D944C2">
        <w:t xml:space="preserve"> </w:t>
      </w:r>
      <w:r w:rsidR="00BB3DD1">
        <w:rPr>
          <w:noProof/>
        </w:rPr>
        <w:t>29</w:t>
      </w:r>
      <w:bookmarkEnd w:id="97"/>
      <w:r w:rsidR="00D944C2">
        <w:rPr>
          <w:noProof/>
        </w:rPr>
        <w:t>:</w:t>
      </w:r>
      <w:r w:rsidR="00D117CD">
        <w:rPr>
          <w:noProof/>
        </w:rPr>
        <w:t xml:space="preserve"> </w:t>
      </w:r>
      <w:r>
        <w:t>Key sensitivity analyses, specified a</w:t>
      </w:r>
      <w:r w:rsidRPr="002A05A4">
        <w:t xml:space="preserve">dult </w:t>
      </w:r>
      <w:r>
        <w:t>low</w:t>
      </w:r>
      <w:r w:rsidRPr="002A05A4">
        <w:t xml:space="preserve"> </w:t>
      </w:r>
      <w:r w:rsidRPr="00E15063">
        <w:rPr>
          <w:i/>
        </w:rPr>
        <w:t>NTRK</w:t>
      </w:r>
      <w:r w:rsidRPr="002A05A4">
        <w:t xml:space="preserve"> frequency </w:t>
      </w:r>
      <w:r>
        <w:t>tumour types combined</w:t>
      </w:r>
    </w:p>
    <w:tbl>
      <w:tblPr>
        <w:tblStyle w:val="HTATableshaded"/>
        <w:tblW w:w="5000" w:type="pct"/>
        <w:tblLayout w:type="fixed"/>
        <w:tblLook w:val="04A0" w:firstRow="1" w:lastRow="0" w:firstColumn="1" w:lastColumn="0" w:noHBand="0" w:noVBand="1"/>
        <w:tblCaption w:val="Table 29: Key sensitivity analyses, specified adult low NTRK frequency tumour types combined"/>
      </w:tblPr>
      <w:tblGrid>
        <w:gridCol w:w="4959"/>
        <w:gridCol w:w="1134"/>
        <w:gridCol w:w="1134"/>
        <w:gridCol w:w="1136"/>
        <w:gridCol w:w="653"/>
      </w:tblGrid>
      <w:tr w:rsidR="00ED1978" w:rsidRPr="00B827C5" w:rsidTr="003B6B2C">
        <w:trPr>
          <w:cnfStyle w:val="100000000000" w:firstRow="1" w:lastRow="0" w:firstColumn="0" w:lastColumn="0" w:oddVBand="0" w:evenVBand="0" w:oddHBand="0" w:evenHBand="0" w:firstRowFirstColumn="0" w:firstRowLastColumn="0" w:lastRowFirstColumn="0" w:lastRowLastColumn="0"/>
          <w:trHeight w:val="300"/>
          <w:tblHeader/>
        </w:trPr>
        <w:tc>
          <w:tcPr>
            <w:tcW w:w="2750" w:type="pct"/>
            <w:noWrap/>
            <w:hideMark/>
          </w:tcPr>
          <w:p w:rsidR="00ED1978" w:rsidRPr="00207881" w:rsidRDefault="00ED1978" w:rsidP="00B32B5C">
            <w:pPr>
              <w:pStyle w:val="TableText"/>
              <w:keepNext/>
              <w:keepLines/>
              <w:rPr>
                <w:b/>
              </w:rPr>
            </w:pPr>
          </w:p>
        </w:tc>
        <w:tc>
          <w:tcPr>
            <w:tcW w:w="629" w:type="pct"/>
            <w:noWrap/>
            <w:hideMark/>
          </w:tcPr>
          <w:p w:rsidR="00ED1978" w:rsidRPr="00B827C5" w:rsidRDefault="00ED1978" w:rsidP="00B32B5C">
            <w:pPr>
              <w:pStyle w:val="TableText"/>
              <w:keepNext/>
              <w:keepLines/>
              <w:jc w:val="center"/>
              <w:rPr>
                <w:b/>
              </w:rPr>
            </w:pPr>
            <w:r w:rsidRPr="00B827C5">
              <w:rPr>
                <w:b/>
              </w:rPr>
              <w:t>Inc. cost</w:t>
            </w:r>
            <w:r w:rsidR="006325BA">
              <w:rPr>
                <w:b/>
              </w:rPr>
              <w:t xml:space="preserve"> ($)</w:t>
            </w:r>
          </w:p>
        </w:tc>
        <w:tc>
          <w:tcPr>
            <w:tcW w:w="629" w:type="pct"/>
            <w:noWrap/>
            <w:hideMark/>
          </w:tcPr>
          <w:p w:rsidR="00ED1978" w:rsidRPr="00B827C5" w:rsidRDefault="00ED1978" w:rsidP="00B32B5C">
            <w:pPr>
              <w:pStyle w:val="TableText"/>
              <w:keepNext/>
              <w:keepLines/>
              <w:jc w:val="center"/>
              <w:rPr>
                <w:b/>
              </w:rPr>
            </w:pPr>
            <w:r w:rsidRPr="00B827C5">
              <w:rPr>
                <w:b/>
              </w:rPr>
              <w:t>Inc. QALYs</w:t>
            </w:r>
          </w:p>
        </w:tc>
        <w:tc>
          <w:tcPr>
            <w:tcW w:w="630" w:type="pct"/>
            <w:noWrap/>
            <w:hideMark/>
          </w:tcPr>
          <w:p w:rsidR="00ED1978" w:rsidRPr="00B827C5" w:rsidRDefault="00ED1978" w:rsidP="00B32B5C">
            <w:pPr>
              <w:pStyle w:val="TableText"/>
              <w:keepNext/>
              <w:keepLines/>
              <w:jc w:val="center"/>
              <w:rPr>
                <w:b/>
              </w:rPr>
            </w:pPr>
            <w:r w:rsidRPr="00B827C5">
              <w:rPr>
                <w:b/>
              </w:rPr>
              <w:t>ICER</w:t>
            </w:r>
          </w:p>
        </w:tc>
        <w:tc>
          <w:tcPr>
            <w:tcW w:w="362" w:type="pct"/>
            <w:noWrap/>
            <w:hideMark/>
          </w:tcPr>
          <w:p w:rsidR="00ED1978" w:rsidRPr="00B827C5" w:rsidRDefault="00ED1978" w:rsidP="00B32B5C">
            <w:pPr>
              <w:pStyle w:val="TableText"/>
              <w:keepNext/>
              <w:keepLines/>
              <w:jc w:val="right"/>
              <w:rPr>
                <w:b/>
              </w:rPr>
            </w:pPr>
            <w:r w:rsidRPr="00B827C5">
              <w:rPr>
                <w:b/>
              </w:rPr>
              <w:t>%</w:t>
            </w:r>
          </w:p>
        </w:tc>
      </w:tr>
      <w:tr w:rsidR="00ED1978" w:rsidRPr="00B827C5" w:rsidTr="003B6B2C">
        <w:trPr>
          <w:cnfStyle w:val="100000000000" w:firstRow="1" w:lastRow="0" w:firstColumn="0" w:lastColumn="0" w:oddVBand="0" w:evenVBand="0" w:oddHBand="0" w:evenHBand="0" w:firstRowFirstColumn="0" w:firstRowLastColumn="0" w:lastRowFirstColumn="0" w:lastRowLastColumn="0"/>
          <w:trHeight w:val="300"/>
          <w:tblHeader/>
        </w:trPr>
        <w:tc>
          <w:tcPr>
            <w:tcW w:w="2750" w:type="pct"/>
            <w:noWrap/>
            <w:hideMark/>
          </w:tcPr>
          <w:p w:rsidR="00ED1978" w:rsidRPr="00270917" w:rsidRDefault="00ED1978" w:rsidP="00B32B5C">
            <w:pPr>
              <w:pStyle w:val="TableText"/>
              <w:keepNext/>
              <w:keepLines/>
              <w:rPr>
                <w:b/>
              </w:rPr>
            </w:pPr>
            <w:r w:rsidRPr="00270917">
              <w:rPr>
                <w:b/>
              </w:rPr>
              <w:t>Base case, adult low frequency NTRK tumours combined</w:t>
            </w:r>
          </w:p>
        </w:tc>
        <w:tc>
          <w:tcPr>
            <w:tcW w:w="629" w:type="pct"/>
            <w:noWrap/>
            <w:hideMark/>
          </w:tcPr>
          <w:p w:rsidR="00ED1978" w:rsidRPr="00675CB4" w:rsidRDefault="00675CB4" w:rsidP="00B32B5C">
            <w:pPr>
              <w:pStyle w:val="TableText"/>
              <w:keepNext/>
              <w:keepLines/>
              <w:jc w:val="right"/>
              <w:rPr>
                <w:b/>
                <w:highlight w:val="black"/>
              </w:rPr>
            </w:pPr>
            <w:r>
              <w:rPr>
                <w:b/>
                <w:noProof/>
                <w:color w:val="000000"/>
                <w:highlight w:val="black"/>
              </w:rPr>
              <w:t>'''''''''</w:t>
            </w:r>
          </w:p>
        </w:tc>
        <w:tc>
          <w:tcPr>
            <w:tcW w:w="629" w:type="pct"/>
            <w:noWrap/>
            <w:hideMark/>
          </w:tcPr>
          <w:p w:rsidR="00ED1978" w:rsidRPr="00270917" w:rsidRDefault="00ED1978" w:rsidP="00B32B5C">
            <w:pPr>
              <w:pStyle w:val="TableText"/>
              <w:keepNext/>
              <w:keepLines/>
              <w:jc w:val="right"/>
              <w:rPr>
                <w:b/>
              </w:rPr>
            </w:pPr>
            <w:r w:rsidRPr="00270917">
              <w:rPr>
                <w:b/>
              </w:rPr>
              <w:t>0.008</w:t>
            </w:r>
          </w:p>
        </w:tc>
        <w:tc>
          <w:tcPr>
            <w:tcW w:w="630" w:type="pct"/>
            <w:noWrap/>
            <w:hideMark/>
          </w:tcPr>
          <w:p w:rsidR="00ED1978" w:rsidRPr="00675CB4" w:rsidRDefault="00675CB4" w:rsidP="00B32B5C">
            <w:pPr>
              <w:pStyle w:val="TableText"/>
              <w:keepNext/>
              <w:keepLines/>
              <w:jc w:val="right"/>
              <w:rPr>
                <w:b/>
              </w:rPr>
            </w:pPr>
            <w:r>
              <w:rPr>
                <w:b/>
                <w:noProof/>
                <w:color w:val="000000"/>
                <w:highlight w:val="black"/>
              </w:rPr>
              <w:t>'''''''''''''''''</w:t>
            </w:r>
            <w:r w:rsidR="006325BA">
              <w:rPr>
                <w:vertAlign w:val="superscript"/>
              </w:rPr>
              <w:t>1</w:t>
            </w:r>
          </w:p>
        </w:tc>
        <w:tc>
          <w:tcPr>
            <w:tcW w:w="362" w:type="pct"/>
            <w:noWrap/>
            <w:hideMark/>
          </w:tcPr>
          <w:p w:rsidR="00ED1978" w:rsidRPr="00270917" w:rsidRDefault="00ED1978" w:rsidP="00B32B5C">
            <w:pPr>
              <w:pStyle w:val="TableText"/>
              <w:keepNext/>
              <w:keepLines/>
              <w:jc w:val="right"/>
              <w:rPr>
                <w:b/>
              </w:rPr>
            </w:pPr>
          </w:p>
        </w:tc>
      </w:tr>
      <w:tr w:rsidR="00ED1978" w:rsidRPr="001D3633" w:rsidTr="003B6B2C">
        <w:trPr>
          <w:trHeight w:val="300"/>
        </w:trPr>
        <w:tc>
          <w:tcPr>
            <w:tcW w:w="2750" w:type="pct"/>
            <w:tcBorders>
              <w:bottom w:val="nil"/>
            </w:tcBorders>
            <w:noWrap/>
            <w:hideMark/>
          </w:tcPr>
          <w:p w:rsidR="00ED1978" w:rsidRPr="00053DB1" w:rsidRDefault="00ED1978" w:rsidP="00B32B5C">
            <w:pPr>
              <w:pStyle w:val="TableText"/>
              <w:keepNext/>
              <w:keepLines/>
              <w:spacing w:line="257" w:lineRule="auto"/>
              <w:rPr>
                <w:vertAlign w:val="superscript"/>
              </w:rPr>
            </w:pPr>
            <w:r w:rsidRPr="00270917">
              <w:t xml:space="preserve">Time horizon, 5 years (base case: 15 years) </w:t>
            </w:r>
            <w:r w:rsidRPr="00270917">
              <w:rPr>
                <w:b/>
              </w:rPr>
              <w:t>(#1)</w:t>
            </w:r>
          </w:p>
        </w:tc>
        <w:tc>
          <w:tcPr>
            <w:tcW w:w="629" w:type="pct"/>
            <w:tcBorders>
              <w:bottom w:val="nil"/>
            </w:tcBorders>
            <w:noWrap/>
            <w:hideMark/>
          </w:tcPr>
          <w:p w:rsidR="00ED1978" w:rsidRPr="00675CB4" w:rsidRDefault="00675CB4" w:rsidP="00B32B5C">
            <w:pPr>
              <w:pStyle w:val="TableText"/>
              <w:keepNext/>
              <w:keepLines/>
              <w:spacing w:line="257" w:lineRule="auto"/>
              <w:jc w:val="right"/>
              <w:rPr>
                <w:highlight w:val="black"/>
              </w:rPr>
            </w:pPr>
            <w:r>
              <w:rPr>
                <w:noProof/>
                <w:color w:val="000000"/>
                <w:highlight w:val="black"/>
              </w:rPr>
              <w:t>''''''''''''</w:t>
            </w:r>
          </w:p>
        </w:tc>
        <w:tc>
          <w:tcPr>
            <w:tcW w:w="629" w:type="pct"/>
            <w:tcBorders>
              <w:bottom w:val="nil"/>
            </w:tcBorders>
            <w:noWrap/>
            <w:hideMark/>
          </w:tcPr>
          <w:p w:rsidR="00ED1978" w:rsidRPr="00270917" w:rsidRDefault="00ED1978" w:rsidP="00B32B5C">
            <w:pPr>
              <w:pStyle w:val="TableText"/>
              <w:keepNext/>
              <w:keepLines/>
              <w:spacing w:line="257" w:lineRule="auto"/>
              <w:jc w:val="right"/>
            </w:pPr>
            <w:r w:rsidRPr="00270917">
              <w:t>0.005</w:t>
            </w:r>
          </w:p>
        </w:tc>
        <w:tc>
          <w:tcPr>
            <w:tcW w:w="630" w:type="pct"/>
            <w:tcBorders>
              <w:bottom w:val="nil"/>
            </w:tcBorders>
            <w:noWrap/>
            <w:hideMark/>
          </w:tcPr>
          <w:p w:rsidR="00ED1978" w:rsidRPr="00675CB4" w:rsidRDefault="00675CB4" w:rsidP="00B32B5C">
            <w:pPr>
              <w:pStyle w:val="TableText"/>
              <w:keepNext/>
              <w:keepLines/>
              <w:spacing w:line="257" w:lineRule="auto"/>
              <w:jc w:val="right"/>
            </w:pPr>
            <w:r>
              <w:rPr>
                <w:noProof/>
                <w:color w:val="000000"/>
                <w:highlight w:val="black"/>
              </w:rPr>
              <w:t>''''''''''''''''''''''</w:t>
            </w:r>
            <w:r w:rsidR="006325BA">
              <w:rPr>
                <w:vertAlign w:val="superscript"/>
              </w:rPr>
              <w:t>2</w:t>
            </w:r>
          </w:p>
        </w:tc>
        <w:tc>
          <w:tcPr>
            <w:tcW w:w="362" w:type="pct"/>
            <w:tcBorders>
              <w:bottom w:val="nil"/>
            </w:tcBorders>
            <w:noWrap/>
            <w:hideMark/>
          </w:tcPr>
          <w:p w:rsidR="00ED1978" w:rsidRPr="00270917" w:rsidRDefault="00ED1978" w:rsidP="00B32B5C">
            <w:pPr>
              <w:pStyle w:val="TableText"/>
              <w:keepNext/>
              <w:keepLines/>
              <w:spacing w:line="257" w:lineRule="auto"/>
              <w:jc w:val="right"/>
            </w:pPr>
            <w:r w:rsidRPr="00270917">
              <w:t>23%</w:t>
            </w:r>
          </w:p>
        </w:tc>
      </w:tr>
      <w:tr w:rsidR="00ED1978" w:rsidRPr="001D3633" w:rsidTr="003B6B2C">
        <w:trPr>
          <w:trHeight w:val="300"/>
        </w:trPr>
        <w:tc>
          <w:tcPr>
            <w:tcW w:w="2750" w:type="pct"/>
            <w:noWrap/>
            <w:hideMark/>
          </w:tcPr>
          <w:p w:rsidR="00ED1978" w:rsidRPr="00270917" w:rsidRDefault="00ED1978">
            <w:pPr>
              <w:pStyle w:val="TableText"/>
              <w:keepNext/>
              <w:keepLines/>
            </w:pPr>
            <w:r w:rsidRPr="00270917">
              <w:t xml:space="preserve">BSC comparators for STS, NSCLC and thyroid </w:t>
            </w:r>
            <w:r w:rsidRPr="00270917">
              <w:br/>
              <w:t>(base case: active treatment comparators)</w:t>
            </w:r>
          </w:p>
        </w:tc>
        <w:tc>
          <w:tcPr>
            <w:tcW w:w="629" w:type="pct"/>
            <w:noWrap/>
            <w:hideMark/>
          </w:tcPr>
          <w:p w:rsidR="00ED1978" w:rsidRPr="00675CB4" w:rsidRDefault="00675CB4" w:rsidP="00B32B5C">
            <w:pPr>
              <w:pStyle w:val="TableText"/>
              <w:keepNext/>
              <w:keepLines/>
              <w:jc w:val="right"/>
              <w:rPr>
                <w:highlight w:val="black"/>
              </w:rPr>
            </w:pPr>
            <w:r>
              <w:rPr>
                <w:noProof/>
                <w:color w:val="000000"/>
                <w:highlight w:val="black"/>
              </w:rPr>
              <w:t>''''''''''''''''</w:t>
            </w:r>
          </w:p>
        </w:tc>
        <w:tc>
          <w:tcPr>
            <w:tcW w:w="629" w:type="pct"/>
            <w:noWrap/>
            <w:hideMark/>
          </w:tcPr>
          <w:p w:rsidR="00ED1978" w:rsidRPr="00270917" w:rsidRDefault="00ED1978" w:rsidP="00B32B5C">
            <w:pPr>
              <w:pStyle w:val="TableText"/>
              <w:keepNext/>
              <w:keepLines/>
              <w:jc w:val="right"/>
            </w:pPr>
            <w:r w:rsidRPr="00270917">
              <w:t>0.009</w:t>
            </w:r>
          </w:p>
        </w:tc>
        <w:tc>
          <w:tcPr>
            <w:tcW w:w="630" w:type="pct"/>
            <w:noWrap/>
            <w:hideMark/>
          </w:tcPr>
          <w:p w:rsidR="00ED1978" w:rsidRPr="00675CB4" w:rsidRDefault="00675CB4" w:rsidP="00B32B5C">
            <w:pPr>
              <w:pStyle w:val="TableText"/>
              <w:keepNext/>
              <w:keepLines/>
              <w:jc w:val="right"/>
            </w:pPr>
            <w:r>
              <w:rPr>
                <w:noProof/>
                <w:color w:val="000000"/>
                <w:highlight w:val="black"/>
              </w:rPr>
              <w:t>'''''''''''''''''''''</w:t>
            </w:r>
            <w:r w:rsidR="006325BA">
              <w:rPr>
                <w:vertAlign w:val="superscript"/>
              </w:rPr>
              <w:t>3</w:t>
            </w:r>
          </w:p>
        </w:tc>
        <w:tc>
          <w:tcPr>
            <w:tcW w:w="362" w:type="pct"/>
            <w:noWrap/>
            <w:hideMark/>
          </w:tcPr>
          <w:p w:rsidR="00ED1978" w:rsidRPr="00270917" w:rsidRDefault="00ED1978" w:rsidP="00B32B5C">
            <w:pPr>
              <w:pStyle w:val="TableText"/>
              <w:keepNext/>
              <w:keepLines/>
              <w:jc w:val="right"/>
            </w:pPr>
            <w:r w:rsidRPr="00270917">
              <w:t>37%</w:t>
            </w:r>
          </w:p>
        </w:tc>
      </w:tr>
      <w:tr w:rsidR="00ED1978" w:rsidRPr="001D3633" w:rsidTr="003B6B2C">
        <w:trPr>
          <w:trHeight w:val="300"/>
        </w:trPr>
        <w:tc>
          <w:tcPr>
            <w:tcW w:w="2750" w:type="pct"/>
            <w:tcBorders>
              <w:top w:val="nil"/>
            </w:tcBorders>
            <w:noWrap/>
            <w:hideMark/>
          </w:tcPr>
          <w:p w:rsidR="00ED1978" w:rsidRPr="00270917" w:rsidRDefault="00ED1978" w:rsidP="00B32B5C">
            <w:pPr>
              <w:pStyle w:val="TableText"/>
              <w:keepNext/>
              <w:keepLines/>
            </w:pPr>
            <w:r w:rsidRPr="00270917">
              <w:t xml:space="preserve">Most conservative OS and PFS extrapolation – all </w:t>
            </w:r>
            <w:r w:rsidRPr="00270917">
              <w:rPr>
                <w:vertAlign w:val="superscript"/>
              </w:rPr>
              <w:t xml:space="preserve">a </w:t>
            </w:r>
            <w:r w:rsidRPr="00270917">
              <w:rPr>
                <w:vertAlign w:val="superscript"/>
              </w:rPr>
              <w:br/>
            </w:r>
            <w:r w:rsidRPr="00270917">
              <w:t xml:space="preserve">(base case: best fit OS and PFS functions) </w:t>
            </w:r>
            <w:r w:rsidRPr="00270917">
              <w:rPr>
                <w:b/>
              </w:rPr>
              <w:t>(#2)</w:t>
            </w:r>
          </w:p>
        </w:tc>
        <w:tc>
          <w:tcPr>
            <w:tcW w:w="629" w:type="pct"/>
            <w:tcBorders>
              <w:top w:val="nil"/>
            </w:tcBorders>
            <w:noWrap/>
            <w:hideMark/>
          </w:tcPr>
          <w:p w:rsidR="00ED1978" w:rsidRPr="00675CB4" w:rsidRDefault="00675CB4" w:rsidP="00B32B5C">
            <w:pPr>
              <w:pStyle w:val="TableText"/>
              <w:keepNext/>
              <w:keepLines/>
              <w:jc w:val="right"/>
              <w:rPr>
                <w:highlight w:val="black"/>
              </w:rPr>
            </w:pPr>
            <w:r>
              <w:rPr>
                <w:noProof/>
                <w:color w:val="000000"/>
                <w:highlight w:val="black"/>
              </w:rPr>
              <w:t>''''''''''</w:t>
            </w:r>
          </w:p>
        </w:tc>
        <w:tc>
          <w:tcPr>
            <w:tcW w:w="629" w:type="pct"/>
            <w:tcBorders>
              <w:top w:val="nil"/>
            </w:tcBorders>
            <w:noWrap/>
            <w:hideMark/>
          </w:tcPr>
          <w:p w:rsidR="00ED1978" w:rsidRPr="00270917" w:rsidRDefault="00ED1978" w:rsidP="00B32B5C">
            <w:pPr>
              <w:pStyle w:val="TableText"/>
              <w:keepNext/>
              <w:keepLines/>
              <w:jc w:val="right"/>
            </w:pPr>
            <w:r w:rsidRPr="00270917">
              <w:t>0.006</w:t>
            </w:r>
          </w:p>
        </w:tc>
        <w:tc>
          <w:tcPr>
            <w:tcW w:w="630" w:type="pct"/>
            <w:tcBorders>
              <w:top w:val="nil"/>
            </w:tcBorders>
            <w:noWrap/>
            <w:hideMark/>
          </w:tcPr>
          <w:p w:rsidR="00ED1978" w:rsidRPr="00675CB4" w:rsidRDefault="00675CB4" w:rsidP="00B32B5C">
            <w:pPr>
              <w:pStyle w:val="TableText"/>
              <w:keepNext/>
              <w:keepLines/>
              <w:jc w:val="right"/>
            </w:pPr>
            <w:r>
              <w:rPr>
                <w:noProof/>
                <w:color w:val="000000"/>
                <w:highlight w:val="black"/>
              </w:rPr>
              <w:t>''''''''''''''''''''''</w:t>
            </w:r>
            <w:r w:rsidR="006325BA">
              <w:rPr>
                <w:vertAlign w:val="superscript"/>
              </w:rPr>
              <w:t>3</w:t>
            </w:r>
          </w:p>
        </w:tc>
        <w:tc>
          <w:tcPr>
            <w:tcW w:w="362" w:type="pct"/>
            <w:tcBorders>
              <w:top w:val="nil"/>
            </w:tcBorders>
            <w:noWrap/>
            <w:hideMark/>
          </w:tcPr>
          <w:p w:rsidR="00ED1978" w:rsidRPr="00270917" w:rsidRDefault="00ED1978" w:rsidP="00B32B5C">
            <w:pPr>
              <w:pStyle w:val="TableText"/>
              <w:keepNext/>
              <w:keepLines/>
              <w:jc w:val="right"/>
            </w:pPr>
            <w:r w:rsidRPr="00270917">
              <w:t>29%</w:t>
            </w:r>
          </w:p>
        </w:tc>
      </w:tr>
      <w:tr w:rsidR="00ED1978" w:rsidRPr="008D6316" w:rsidTr="003B6B2C">
        <w:trPr>
          <w:trHeight w:val="300"/>
        </w:trPr>
        <w:tc>
          <w:tcPr>
            <w:tcW w:w="2750" w:type="pct"/>
            <w:tcBorders>
              <w:top w:val="nil"/>
              <w:bottom w:val="single" w:sz="4" w:space="0" w:color="auto"/>
            </w:tcBorders>
            <w:noWrap/>
            <w:hideMark/>
          </w:tcPr>
          <w:p w:rsidR="00ED1978" w:rsidRPr="00270917" w:rsidRDefault="00ED1978" w:rsidP="00B32B5C">
            <w:pPr>
              <w:pStyle w:val="TableText"/>
              <w:keepNext/>
              <w:keepLines/>
            </w:pPr>
            <w:r w:rsidRPr="00270917">
              <w:t>Use PFS curve for larotrectinib ToT (base case: best fit ToT)</w:t>
            </w:r>
          </w:p>
        </w:tc>
        <w:tc>
          <w:tcPr>
            <w:tcW w:w="629" w:type="pct"/>
            <w:tcBorders>
              <w:top w:val="nil"/>
              <w:bottom w:val="single" w:sz="4" w:space="0" w:color="auto"/>
            </w:tcBorders>
            <w:noWrap/>
            <w:hideMark/>
          </w:tcPr>
          <w:p w:rsidR="00ED1978" w:rsidRPr="00675CB4" w:rsidRDefault="00675CB4" w:rsidP="00B32B5C">
            <w:pPr>
              <w:pStyle w:val="TableText"/>
              <w:keepNext/>
              <w:keepLines/>
              <w:jc w:val="right"/>
              <w:rPr>
                <w:highlight w:val="black"/>
              </w:rPr>
            </w:pPr>
            <w:r>
              <w:rPr>
                <w:noProof/>
                <w:color w:val="000000"/>
                <w:highlight w:val="black"/>
              </w:rPr>
              <w:t>'''''''''''''</w:t>
            </w:r>
          </w:p>
        </w:tc>
        <w:tc>
          <w:tcPr>
            <w:tcW w:w="629" w:type="pct"/>
            <w:tcBorders>
              <w:top w:val="nil"/>
              <w:bottom w:val="single" w:sz="4" w:space="0" w:color="auto"/>
            </w:tcBorders>
            <w:noWrap/>
            <w:hideMark/>
          </w:tcPr>
          <w:p w:rsidR="00ED1978" w:rsidRPr="00270917" w:rsidRDefault="00ED1978" w:rsidP="00B32B5C">
            <w:pPr>
              <w:pStyle w:val="TableText"/>
              <w:keepNext/>
              <w:keepLines/>
              <w:jc w:val="right"/>
            </w:pPr>
            <w:r w:rsidRPr="00270917">
              <w:t>0.008</w:t>
            </w:r>
          </w:p>
        </w:tc>
        <w:tc>
          <w:tcPr>
            <w:tcW w:w="630" w:type="pct"/>
            <w:tcBorders>
              <w:top w:val="nil"/>
              <w:bottom w:val="single" w:sz="4" w:space="0" w:color="auto"/>
            </w:tcBorders>
            <w:noWrap/>
            <w:hideMark/>
          </w:tcPr>
          <w:p w:rsidR="00ED1978" w:rsidRPr="00675CB4" w:rsidRDefault="00675CB4" w:rsidP="00B32B5C">
            <w:pPr>
              <w:pStyle w:val="TableText"/>
              <w:keepNext/>
              <w:keepLines/>
              <w:jc w:val="right"/>
            </w:pPr>
            <w:r>
              <w:rPr>
                <w:noProof/>
                <w:color w:val="000000"/>
                <w:highlight w:val="black"/>
              </w:rPr>
              <w:t>'''''''''''''''''''''''</w:t>
            </w:r>
            <w:r w:rsidR="006325BA">
              <w:rPr>
                <w:vertAlign w:val="superscript"/>
              </w:rPr>
              <w:t>2</w:t>
            </w:r>
          </w:p>
        </w:tc>
        <w:tc>
          <w:tcPr>
            <w:tcW w:w="362" w:type="pct"/>
            <w:tcBorders>
              <w:top w:val="nil"/>
              <w:bottom w:val="single" w:sz="4" w:space="0" w:color="auto"/>
            </w:tcBorders>
            <w:noWrap/>
            <w:hideMark/>
          </w:tcPr>
          <w:p w:rsidR="00ED1978" w:rsidRPr="00270917" w:rsidRDefault="00ED1978" w:rsidP="00B32B5C">
            <w:pPr>
              <w:pStyle w:val="TableText"/>
              <w:keepNext/>
              <w:keepLines/>
              <w:jc w:val="right"/>
            </w:pPr>
            <w:r w:rsidRPr="00270917">
              <w:t>22%</w:t>
            </w:r>
          </w:p>
        </w:tc>
      </w:tr>
      <w:tr w:rsidR="00ED1978" w:rsidRPr="004C0CBF" w:rsidTr="003B6B2C">
        <w:trPr>
          <w:trHeight w:val="300"/>
        </w:trPr>
        <w:tc>
          <w:tcPr>
            <w:tcW w:w="2750" w:type="pct"/>
            <w:tcBorders>
              <w:top w:val="single" w:sz="4" w:space="0" w:color="auto"/>
              <w:bottom w:val="double" w:sz="4" w:space="0" w:color="auto"/>
            </w:tcBorders>
            <w:noWrap/>
          </w:tcPr>
          <w:p w:rsidR="00ED1978" w:rsidRPr="00270917" w:rsidRDefault="00ED1978" w:rsidP="00B32B5C">
            <w:pPr>
              <w:pStyle w:val="TableText"/>
              <w:keepNext/>
              <w:keepLines/>
            </w:pPr>
            <w:r w:rsidRPr="00270917">
              <w:t xml:space="preserve">Thyroid SoC treatment duration, 17.45 months </w:t>
            </w:r>
            <w:r w:rsidRPr="00270917">
              <w:br/>
              <w:t xml:space="preserve">(base case: disease progression) </w:t>
            </w:r>
            <w:r w:rsidRPr="00270917">
              <w:rPr>
                <w:b/>
              </w:rPr>
              <w:t>(#3)</w:t>
            </w:r>
          </w:p>
        </w:tc>
        <w:tc>
          <w:tcPr>
            <w:tcW w:w="629" w:type="pct"/>
            <w:tcBorders>
              <w:top w:val="single" w:sz="4" w:space="0" w:color="auto"/>
              <w:bottom w:val="double" w:sz="4" w:space="0" w:color="auto"/>
            </w:tcBorders>
            <w:noWrap/>
          </w:tcPr>
          <w:p w:rsidR="00ED1978" w:rsidRPr="00675CB4" w:rsidRDefault="00675CB4" w:rsidP="00B32B5C">
            <w:pPr>
              <w:pStyle w:val="TableText"/>
              <w:keepNext/>
              <w:keepLines/>
              <w:jc w:val="right"/>
              <w:rPr>
                <w:highlight w:val="black"/>
              </w:rPr>
            </w:pPr>
            <w:r>
              <w:rPr>
                <w:noProof/>
                <w:color w:val="000000"/>
                <w:highlight w:val="black"/>
              </w:rPr>
              <w:t>'''''''''''''</w:t>
            </w:r>
          </w:p>
        </w:tc>
        <w:tc>
          <w:tcPr>
            <w:tcW w:w="629" w:type="pct"/>
            <w:tcBorders>
              <w:top w:val="single" w:sz="4" w:space="0" w:color="auto"/>
              <w:bottom w:val="double" w:sz="4" w:space="0" w:color="auto"/>
            </w:tcBorders>
            <w:noWrap/>
          </w:tcPr>
          <w:p w:rsidR="00ED1978" w:rsidRPr="00270917" w:rsidRDefault="00ED1978" w:rsidP="00B32B5C">
            <w:pPr>
              <w:pStyle w:val="TableText"/>
              <w:keepNext/>
              <w:keepLines/>
              <w:jc w:val="right"/>
            </w:pPr>
            <w:r w:rsidRPr="00270917">
              <w:t>0.008</w:t>
            </w:r>
          </w:p>
        </w:tc>
        <w:tc>
          <w:tcPr>
            <w:tcW w:w="630" w:type="pct"/>
            <w:tcBorders>
              <w:top w:val="single" w:sz="4" w:space="0" w:color="auto"/>
              <w:bottom w:val="double" w:sz="4" w:space="0" w:color="auto"/>
            </w:tcBorders>
            <w:noWrap/>
          </w:tcPr>
          <w:p w:rsidR="00ED1978" w:rsidRPr="00675CB4" w:rsidRDefault="00675CB4" w:rsidP="00B32B5C">
            <w:pPr>
              <w:pStyle w:val="TableText"/>
              <w:keepNext/>
              <w:keepLines/>
              <w:jc w:val="right"/>
            </w:pPr>
            <w:r>
              <w:rPr>
                <w:noProof/>
                <w:color w:val="000000"/>
                <w:highlight w:val="black"/>
              </w:rPr>
              <w:t>'''''''''''''''''''''''</w:t>
            </w:r>
            <w:r w:rsidR="006325BA">
              <w:rPr>
                <w:vertAlign w:val="superscript"/>
              </w:rPr>
              <w:t>3</w:t>
            </w:r>
          </w:p>
        </w:tc>
        <w:tc>
          <w:tcPr>
            <w:tcW w:w="362" w:type="pct"/>
            <w:tcBorders>
              <w:top w:val="single" w:sz="4" w:space="0" w:color="auto"/>
              <w:bottom w:val="double" w:sz="4" w:space="0" w:color="auto"/>
            </w:tcBorders>
            <w:noWrap/>
          </w:tcPr>
          <w:p w:rsidR="00ED1978" w:rsidRPr="00270917" w:rsidRDefault="00ED1978" w:rsidP="00B32B5C">
            <w:pPr>
              <w:pStyle w:val="TableText"/>
              <w:keepNext/>
              <w:keepLines/>
              <w:jc w:val="right"/>
            </w:pPr>
            <w:r w:rsidRPr="00270917">
              <w:t>34%</w:t>
            </w:r>
          </w:p>
        </w:tc>
      </w:tr>
      <w:tr w:rsidR="00ED1978" w:rsidRPr="00D62DC7" w:rsidTr="003B6B2C">
        <w:trPr>
          <w:trHeight w:val="300"/>
        </w:trPr>
        <w:tc>
          <w:tcPr>
            <w:tcW w:w="2750" w:type="pct"/>
            <w:tcBorders>
              <w:top w:val="double" w:sz="4" w:space="0" w:color="auto"/>
              <w:bottom w:val="single" w:sz="4" w:space="0" w:color="auto"/>
            </w:tcBorders>
            <w:noWrap/>
          </w:tcPr>
          <w:p w:rsidR="00ED1978" w:rsidRPr="00270917" w:rsidRDefault="00ED1978" w:rsidP="00B32B5C">
            <w:pPr>
              <w:pStyle w:val="TableText"/>
              <w:keepNext/>
              <w:keepLines/>
              <w:rPr>
                <w:b/>
                <w:iCs/>
              </w:rPr>
            </w:pPr>
            <w:r w:rsidRPr="00270917">
              <w:rPr>
                <w:b/>
                <w:iCs/>
              </w:rPr>
              <w:t>Multivariate analyses</w:t>
            </w:r>
          </w:p>
        </w:tc>
        <w:tc>
          <w:tcPr>
            <w:tcW w:w="629" w:type="pct"/>
            <w:tcBorders>
              <w:top w:val="double" w:sz="4" w:space="0" w:color="auto"/>
              <w:bottom w:val="single" w:sz="4" w:space="0" w:color="auto"/>
            </w:tcBorders>
            <w:noWrap/>
          </w:tcPr>
          <w:p w:rsidR="00ED1978" w:rsidRPr="00270917" w:rsidRDefault="00ED1978" w:rsidP="00B32B5C">
            <w:pPr>
              <w:pStyle w:val="TableText"/>
              <w:keepNext/>
              <w:keepLines/>
              <w:jc w:val="right"/>
              <w:rPr>
                <w:b/>
                <w:iCs/>
              </w:rPr>
            </w:pPr>
          </w:p>
        </w:tc>
        <w:tc>
          <w:tcPr>
            <w:tcW w:w="629" w:type="pct"/>
            <w:tcBorders>
              <w:top w:val="double" w:sz="4" w:space="0" w:color="auto"/>
              <w:bottom w:val="single" w:sz="4" w:space="0" w:color="auto"/>
            </w:tcBorders>
            <w:noWrap/>
          </w:tcPr>
          <w:p w:rsidR="00ED1978" w:rsidRPr="00270917" w:rsidRDefault="00ED1978" w:rsidP="00B32B5C">
            <w:pPr>
              <w:pStyle w:val="TableText"/>
              <w:keepNext/>
              <w:keepLines/>
              <w:jc w:val="right"/>
              <w:rPr>
                <w:b/>
                <w:iCs/>
              </w:rPr>
            </w:pPr>
          </w:p>
        </w:tc>
        <w:tc>
          <w:tcPr>
            <w:tcW w:w="630" w:type="pct"/>
            <w:tcBorders>
              <w:top w:val="double" w:sz="4" w:space="0" w:color="auto"/>
              <w:bottom w:val="single" w:sz="4" w:space="0" w:color="auto"/>
            </w:tcBorders>
            <w:noWrap/>
          </w:tcPr>
          <w:p w:rsidR="00ED1978" w:rsidRPr="00270917" w:rsidRDefault="00ED1978" w:rsidP="00B32B5C">
            <w:pPr>
              <w:pStyle w:val="TableText"/>
              <w:keepNext/>
              <w:keepLines/>
              <w:jc w:val="right"/>
              <w:rPr>
                <w:b/>
                <w:iCs/>
              </w:rPr>
            </w:pPr>
          </w:p>
        </w:tc>
        <w:tc>
          <w:tcPr>
            <w:tcW w:w="362" w:type="pct"/>
            <w:tcBorders>
              <w:top w:val="double" w:sz="4" w:space="0" w:color="auto"/>
              <w:bottom w:val="single" w:sz="4" w:space="0" w:color="auto"/>
            </w:tcBorders>
            <w:noWrap/>
          </w:tcPr>
          <w:p w:rsidR="00ED1978" w:rsidRPr="00270917" w:rsidRDefault="00ED1978" w:rsidP="00B32B5C">
            <w:pPr>
              <w:pStyle w:val="TableText"/>
              <w:keepNext/>
              <w:keepLines/>
              <w:jc w:val="right"/>
              <w:rPr>
                <w:b/>
                <w:iCs/>
              </w:rPr>
            </w:pPr>
          </w:p>
        </w:tc>
      </w:tr>
      <w:tr w:rsidR="00ED1978" w:rsidRPr="004C0CBF" w:rsidTr="003B6B2C">
        <w:trPr>
          <w:trHeight w:val="300"/>
        </w:trPr>
        <w:tc>
          <w:tcPr>
            <w:tcW w:w="2750" w:type="pct"/>
            <w:tcBorders>
              <w:bottom w:val="nil"/>
            </w:tcBorders>
            <w:noWrap/>
          </w:tcPr>
          <w:p w:rsidR="00ED1978" w:rsidRPr="00270917" w:rsidRDefault="00ED1978" w:rsidP="00B32B5C">
            <w:pPr>
              <w:pStyle w:val="TableText"/>
              <w:keepNext/>
              <w:keepLines/>
              <w:rPr>
                <w:iCs/>
              </w:rPr>
            </w:pPr>
            <w:r w:rsidRPr="00270917">
              <w:rPr>
                <w:iCs/>
              </w:rPr>
              <w:t>#1 AND #2</w:t>
            </w:r>
          </w:p>
        </w:tc>
        <w:tc>
          <w:tcPr>
            <w:tcW w:w="629" w:type="pct"/>
            <w:tcBorders>
              <w:bottom w:val="nil"/>
            </w:tcBorders>
            <w:noWrap/>
          </w:tcPr>
          <w:p w:rsidR="00ED1978" w:rsidRPr="00675CB4" w:rsidRDefault="00675CB4" w:rsidP="00B32B5C">
            <w:pPr>
              <w:pStyle w:val="TableText"/>
              <w:keepNext/>
              <w:keepLines/>
              <w:jc w:val="right"/>
              <w:rPr>
                <w:iCs/>
                <w:highlight w:val="black"/>
              </w:rPr>
            </w:pPr>
            <w:r>
              <w:rPr>
                <w:iCs/>
                <w:noProof/>
                <w:color w:val="000000"/>
                <w:highlight w:val="black"/>
              </w:rPr>
              <w:t>'''''''''''</w:t>
            </w:r>
          </w:p>
        </w:tc>
        <w:tc>
          <w:tcPr>
            <w:tcW w:w="629" w:type="pct"/>
            <w:tcBorders>
              <w:bottom w:val="nil"/>
            </w:tcBorders>
            <w:noWrap/>
          </w:tcPr>
          <w:p w:rsidR="00ED1978" w:rsidRPr="00270917" w:rsidRDefault="00ED1978" w:rsidP="00B32B5C">
            <w:pPr>
              <w:pStyle w:val="TableText"/>
              <w:keepNext/>
              <w:keepLines/>
              <w:jc w:val="right"/>
              <w:rPr>
                <w:iCs/>
              </w:rPr>
            </w:pPr>
            <w:r w:rsidRPr="00270917">
              <w:rPr>
                <w:iCs/>
              </w:rPr>
              <w:t>0.004</w:t>
            </w:r>
          </w:p>
        </w:tc>
        <w:tc>
          <w:tcPr>
            <w:tcW w:w="630" w:type="pct"/>
            <w:tcBorders>
              <w:bottom w:val="nil"/>
            </w:tcBorders>
            <w:noWrap/>
          </w:tcPr>
          <w:p w:rsidR="00ED1978" w:rsidRPr="00675CB4" w:rsidRDefault="00675CB4" w:rsidP="00B32B5C">
            <w:pPr>
              <w:pStyle w:val="TableText"/>
              <w:keepNext/>
              <w:keepLines/>
              <w:jc w:val="right"/>
              <w:rPr>
                <w:iCs/>
              </w:rPr>
            </w:pPr>
            <w:r>
              <w:rPr>
                <w:iCs/>
                <w:noProof/>
                <w:color w:val="000000"/>
                <w:highlight w:val="black"/>
              </w:rPr>
              <w:t>''''''''''''''''''''</w:t>
            </w:r>
            <w:r w:rsidR="006325BA">
              <w:rPr>
                <w:vertAlign w:val="superscript"/>
              </w:rPr>
              <w:t>3</w:t>
            </w:r>
          </w:p>
        </w:tc>
        <w:tc>
          <w:tcPr>
            <w:tcW w:w="362" w:type="pct"/>
            <w:tcBorders>
              <w:bottom w:val="nil"/>
            </w:tcBorders>
            <w:noWrap/>
          </w:tcPr>
          <w:p w:rsidR="00ED1978" w:rsidRPr="00270917" w:rsidRDefault="00ED1978" w:rsidP="00B32B5C">
            <w:pPr>
              <w:pStyle w:val="TableText"/>
              <w:keepNext/>
              <w:keepLines/>
              <w:jc w:val="right"/>
              <w:rPr>
                <w:iCs/>
              </w:rPr>
            </w:pPr>
            <w:r w:rsidRPr="00270917">
              <w:rPr>
                <w:iCs/>
              </w:rPr>
              <w:t>43%</w:t>
            </w:r>
          </w:p>
        </w:tc>
      </w:tr>
      <w:tr w:rsidR="00ED1978" w:rsidRPr="004C0CBF" w:rsidTr="003B6B2C">
        <w:trPr>
          <w:trHeight w:val="300"/>
        </w:trPr>
        <w:tc>
          <w:tcPr>
            <w:tcW w:w="2750" w:type="pct"/>
            <w:tcBorders>
              <w:top w:val="nil"/>
            </w:tcBorders>
            <w:noWrap/>
          </w:tcPr>
          <w:p w:rsidR="00ED1978" w:rsidRPr="00270917" w:rsidRDefault="00ED1978" w:rsidP="00B32B5C">
            <w:pPr>
              <w:pStyle w:val="TableText"/>
              <w:keepNext/>
              <w:keepLines/>
              <w:rPr>
                <w:iCs/>
              </w:rPr>
            </w:pPr>
            <w:bookmarkStart w:id="98" w:name="_Hlk89366570"/>
            <w:r w:rsidRPr="00270917">
              <w:rPr>
                <w:iCs/>
              </w:rPr>
              <w:t>#1, #2 AND #3</w:t>
            </w:r>
          </w:p>
        </w:tc>
        <w:tc>
          <w:tcPr>
            <w:tcW w:w="629" w:type="pct"/>
            <w:tcBorders>
              <w:top w:val="nil"/>
            </w:tcBorders>
            <w:noWrap/>
          </w:tcPr>
          <w:p w:rsidR="00ED1978" w:rsidRPr="00675CB4" w:rsidRDefault="00675CB4" w:rsidP="00B32B5C">
            <w:pPr>
              <w:pStyle w:val="TableText"/>
              <w:keepNext/>
              <w:keepLines/>
              <w:jc w:val="right"/>
              <w:rPr>
                <w:iCs/>
                <w:highlight w:val="black"/>
              </w:rPr>
            </w:pPr>
            <w:r>
              <w:rPr>
                <w:iCs/>
                <w:noProof/>
                <w:color w:val="000000"/>
                <w:highlight w:val="black"/>
              </w:rPr>
              <w:t>'''''''''''</w:t>
            </w:r>
          </w:p>
        </w:tc>
        <w:tc>
          <w:tcPr>
            <w:tcW w:w="629" w:type="pct"/>
            <w:tcBorders>
              <w:top w:val="nil"/>
            </w:tcBorders>
            <w:noWrap/>
          </w:tcPr>
          <w:p w:rsidR="00ED1978" w:rsidRPr="00270917" w:rsidRDefault="00ED1978" w:rsidP="00B32B5C">
            <w:pPr>
              <w:pStyle w:val="TableText"/>
              <w:keepNext/>
              <w:keepLines/>
              <w:jc w:val="right"/>
              <w:rPr>
                <w:iCs/>
              </w:rPr>
            </w:pPr>
            <w:r w:rsidRPr="00270917">
              <w:rPr>
                <w:iCs/>
              </w:rPr>
              <w:t>0.004</w:t>
            </w:r>
          </w:p>
        </w:tc>
        <w:tc>
          <w:tcPr>
            <w:tcW w:w="630" w:type="pct"/>
            <w:tcBorders>
              <w:top w:val="nil"/>
            </w:tcBorders>
            <w:noWrap/>
          </w:tcPr>
          <w:p w:rsidR="00ED1978" w:rsidRPr="00675CB4" w:rsidRDefault="00675CB4" w:rsidP="00B32B5C">
            <w:pPr>
              <w:pStyle w:val="TableText"/>
              <w:keepNext/>
              <w:keepLines/>
              <w:jc w:val="right"/>
              <w:rPr>
                <w:iCs/>
              </w:rPr>
            </w:pPr>
            <w:r>
              <w:rPr>
                <w:iCs/>
                <w:noProof/>
                <w:color w:val="000000"/>
                <w:highlight w:val="black"/>
              </w:rPr>
              <w:t>'''''''''''''''''''''''</w:t>
            </w:r>
            <w:r w:rsidR="006325BA">
              <w:rPr>
                <w:vertAlign w:val="superscript"/>
              </w:rPr>
              <w:t>4</w:t>
            </w:r>
          </w:p>
        </w:tc>
        <w:tc>
          <w:tcPr>
            <w:tcW w:w="362" w:type="pct"/>
            <w:tcBorders>
              <w:top w:val="nil"/>
            </w:tcBorders>
            <w:noWrap/>
          </w:tcPr>
          <w:p w:rsidR="00ED1978" w:rsidRPr="00270917" w:rsidRDefault="00ED1978" w:rsidP="00B32B5C">
            <w:pPr>
              <w:pStyle w:val="TableText"/>
              <w:keepNext/>
              <w:keepLines/>
              <w:jc w:val="right"/>
              <w:rPr>
                <w:iCs/>
              </w:rPr>
            </w:pPr>
            <w:r w:rsidRPr="00270917">
              <w:rPr>
                <w:iCs/>
              </w:rPr>
              <w:t>82%</w:t>
            </w:r>
          </w:p>
        </w:tc>
      </w:tr>
    </w:tbl>
    <w:bookmarkEnd w:id="98"/>
    <w:p w:rsidR="00FD03A0" w:rsidRPr="000539AE" w:rsidRDefault="00FD03A0" w:rsidP="00B32B5C">
      <w:pPr>
        <w:pStyle w:val="TableFooter"/>
        <w:keepNext/>
        <w:keepLines/>
      </w:pPr>
      <w:r w:rsidRPr="000539AE">
        <w:t>Source: Constructed during the evaluation from the ‘A3.1_Larotrectinib_PBACMSAC_CEA_June21_resub_6June21.xlsx’ workbook included in the resubmission.</w:t>
      </w:r>
    </w:p>
    <w:p w:rsidR="00FD03A0" w:rsidRPr="00270917" w:rsidRDefault="00FD03A0" w:rsidP="00B32B5C">
      <w:pPr>
        <w:pStyle w:val="TableFooter"/>
        <w:keepNext/>
        <w:keepLines/>
        <w:rPr>
          <w:iCs/>
        </w:rPr>
      </w:pPr>
      <w:r w:rsidRPr="00270917">
        <w:rPr>
          <w:iCs/>
        </w:rPr>
        <w:t>Note: Analyses in were revised during the evaluation: the distribution of tumour types was revised to reflect the distribution in the tested population (rather than the treated population). Other minor revisions to treatment costs modelled and STS SoC data.</w:t>
      </w:r>
    </w:p>
    <w:p w:rsidR="00ED1978" w:rsidRDefault="00ED1978" w:rsidP="00B32B5C">
      <w:pPr>
        <w:pStyle w:val="TableFooter"/>
        <w:keepNext/>
        <w:keepLines/>
      </w:pPr>
      <w:r>
        <w:rPr>
          <w:vertAlign w:val="superscript"/>
        </w:rPr>
        <w:t>a</w:t>
      </w:r>
      <w:r>
        <w:t xml:space="preserve"> The most conservative OS and PFS parametric models were chosen for both larotrectinib and SoC extrapolation for all tumour types, except SoC for thyroid cancer, where the base case extrapolations appeared to be more plausible than the most conservative extrapolations.</w:t>
      </w:r>
    </w:p>
    <w:p w:rsidR="00FD03A0" w:rsidRDefault="00FD03A0" w:rsidP="00053DB1">
      <w:pPr>
        <w:pStyle w:val="TableFooter"/>
        <w:keepNext/>
        <w:keepLines/>
        <w:spacing w:after="0"/>
      </w:pPr>
      <w:r>
        <w:t xml:space="preserve">BSC = best supportive care; ICER = incremental cost-effectiveness ratio; NSCLC = non-small cell lung cancer; </w:t>
      </w:r>
      <w:r w:rsidRPr="00211488">
        <w:rPr>
          <w:i/>
        </w:rPr>
        <w:t>NTRK</w:t>
      </w:r>
      <w:r>
        <w:t xml:space="preserve"> = </w:t>
      </w:r>
      <w:r w:rsidRPr="00211488">
        <w:t>neurotrophic tropomyosin receptor kinase</w:t>
      </w:r>
      <w:r>
        <w:t>; OS = overall survival; PFS = progression-free survival; QALY = quality-adjusted life year; SoC = standard of care; STS = soft tissue sarcoma; ToT = time on treatment.</w:t>
      </w:r>
    </w:p>
    <w:p w:rsidR="006325BA" w:rsidRDefault="006325BA">
      <w:pPr>
        <w:pStyle w:val="TableFigureFooter"/>
        <w:spacing w:after="0"/>
        <w:contextualSpacing w:val="0"/>
        <w:rPr>
          <w:i/>
        </w:rPr>
      </w:pPr>
      <w:r w:rsidRPr="009868C4">
        <w:rPr>
          <w:i/>
        </w:rPr>
        <w:t>The redacted values correspond to the following ranges</w:t>
      </w:r>
      <w:r>
        <w:rPr>
          <w:i/>
        </w:rPr>
        <w:t xml:space="preserve">: </w:t>
      </w:r>
    </w:p>
    <w:p w:rsidR="006325BA" w:rsidRPr="00870C5D" w:rsidRDefault="006325BA" w:rsidP="006325BA">
      <w:pPr>
        <w:pStyle w:val="TableFigureFooter"/>
        <w:spacing w:after="0"/>
        <w:contextualSpacing w:val="0"/>
      </w:pPr>
      <w:r>
        <w:rPr>
          <w:i/>
          <w:vertAlign w:val="superscript"/>
        </w:rPr>
        <w:t>1</w:t>
      </w:r>
      <w:r>
        <w:rPr>
          <w:i/>
        </w:rPr>
        <w:t xml:space="preserve"> </w:t>
      </w:r>
      <w:r w:rsidRPr="006325BA">
        <w:rPr>
          <w:i/>
        </w:rPr>
        <w:t>$75,000 to &lt; $95,000</w:t>
      </w:r>
    </w:p>
    <w:p w:rsidR="006325BA" w:rsidRPr="00870C5D" w:rsidRDefault="006325BA" w:rsidP="006325BA">
      <w:pPr>
        <w:pStyle w:val="TableFigureFooter"/>
        <w:spacing w:after="0"/>
        <w:contextualSpacing w:val="0"/>
      </w:pPr>
      <w:r>
        <w:rPr>
          <w:i/>
          <w:vertAlign w:val="superscript"/>
        </w:rPr>
        <w:t>2</w:t>
      </w:r>
      <w:r>
        <w:rPr>
          <w:i/>
        </w:rPr>
        <w:t xml:space="preserve"> </w:t>
      </w:r>
      <w:r w:rsidRPr="006325BA">
        <w:rPr>
          <w:i/>
        </w:rPr>
        <w:t>$95,000 to &lt; $115,000</w:t>
      </w:r>
    </w:p>
    <w:p w:rsidR="006325BA" w:rsidRPr="00870C5D" w:rsidRDefault="006325BA" w:rsidP="006325BA">
      <w:pPr>
        <w:pStyle w:val="TableFigureFooter"/>
        <w:spacing w:after="0"/>
        <w:contextualSpacing w:val="0"/>
      </w:pPr>
      <w:r>
        <w:rPr>
          <w:i/>
          <w:vertAlign w:val="superscript"/>
        </w:rPr>
        <w:t>3</w:t>
      </w:r>
      <w:r>
        <w:rPr>
          <w:i/>
        </w:rPr>
        <w:t xml:space="preserve"> </w:t>
      </w:r>
      <w:r w:rsidRPr="006325BA">
        <w:rPr>
          <w:i/>
        </w:rPr>
        <w:t>$115,000 to &lt; $135,000</w:t>
      </w:r>
    </w:p>
    <w:p w:rsidR="006325BA" w:rsidRPr="00870C5D" w:rsidRDefault="006325BA" w:rsidP="006325BA">
      <w:pPr>
        <w:pStyle w:val="TableFigureFooter"/>
        <w:spacing w:after="0"/>
        <w:contextualSpacing w:val="0"/>
      </w:pPr>
      <w:r>
        <w:rPr>
          <w:i/>
          <w:vertAlign w:val="superscript"/>
        </w:rPr>
        <w:t>4</w:t>
      </w:r>
      <w:r>
        <w:rPr>
          <w:i/>
        </w:rPr>
        <w:t xml:space="preserve"> </w:t>
      </w:r>
      <w:r w:rsidRPr="006325BA">
        <w:rPr>
          <w:i/>
        </w:rPr>
        <w:t>$155,000 to &lt; $255,000</w:t>
      </w:r>
    </w:p>
    <w:p w:rsidR="006325BA" w:rsidRDefault="006325BA" w:rsidP="00B32B5C">
      <w:pPr>
        <w:pStyle w:val="TableFooter"/>
        <w:keepNext/>
        <w:keepLines/>
      </w:pPr>
    </w:p>
    <w:p w:rsidR="00ED1978" w:rsidRPr="00870C89" w:rsidRDefault="00ED1978" w:rsidP="00ED1978">
      <w:pPr>
        <w:pStyle w:val="ListParagraph"/>
        <w:rPr>
          <w:i/>
        </w:rPr>
      </w:pPr>
      <w:r w:rsidRPr="000A3110">
        <w:rPr>
          <w:iCs/>
        </w:rPr>
        <w:t>In adults with the specified low</w:t>
      </w:r>
      <w:r w:rsidRPr="00870C89">
        <w:rPr>
          <w:i/>
        </w:rPr>
        <w:t xml:space="preserve"> </w:t>
      </w:r>
      <w:r w:rsidRPr="000539AE">
        <w:rPr>
          <w:i/>
          <w:iCs/>
        </w:rPr>
        <w:t>NTRK</w:t>
      </w:r>
      <w:r w:rsidRPr="00870C89">
        <w:rPr>
          <w:i/>
        </w:rPr>
        <w:t xml:space="preserve"> </w:t>
      </w:r>
      <w:r w:rsidRPr="000A3110">
        <w:rPr>
          <w:iCs/>
        </w:rPr>
        <w:t>frequency tumour types, the analyses were most sensitive to assumptions regarding thyroid SoC (i.e</w:t>
      </w:r>
      <w:r w:rsidR="00D7335D" w:rsidRPr="000A3110">
        <w:rPr>
          <w:iCs/>
        </w:rPr>
        <w:t>.</w:t>
      </w:r>
      <w:r w:rsidRPr="000A3110">
        <w:rPr>
          <w:iCs/>
        </w:rPr>
        <w:t xml:space="preserve"> lenvatinib),</w:t>
      </w:r>
      <w:r w:rsidR="000539AE">
        <w:rPr>
          <w:iCs/>
        </w:rPr>
        <w:t xml:space="preserve"> and</w:t>
      </w:r>
      <w:r w:rsidRPr="000A3110">
        <w:rPr>
          <w:iCs/>
        </w:rPr>
        <w:t xml:space="preserve"> in particular</w:t>
      </w:r>
      <w:r w:rsidR="000539AE">
        <w:rPr>
          <w:iCs/>
        </w:rPr>
        <w:t>,</w:t>
      </w:r>
      <w:r w:rsidRPr="000A3110">
        <w:rPr>
          <w:iCs/>
        </w:rPr>
        <w:t xml:space="preserve"> </w:t>
      </w:r>
      <w:r w:rsidR="00CE0C5C" w:rsidRPr="000A3110">
        <w:rPr>
          <w:iCs/>
        </w:rPr>
        <w:t xml:space="preserve">the </w:t>
      </w:r>
      <w:r w:rsidRPr="000A3110">
        <w:rPr>
          <w:iCs/>
        </w:rPr>
        <w:t xml:space="preserve">duration of treatment. While the choice of lenvatinib as the modelled comparator is reasonable, the duration assumed in the base case (39.6 months) was higher than estimates the PBAC have previously </w:t>
      </w:r>
      <w:r w:rsidR="000539AE">
        <w:rPr>
          <w:iCs/>
        </w:rPr>
        <w:t xml:space="preserve">considered </w:t>
      </w:r>
      <w:r w:rsidRPr="000A3110">
        <w:rPr>
          <w:iCs/>
        </w:rPr>
        <w:t>(17.45 months, para 6.45, 5.08 lenvatinib PSD, November 2015). The analyses were also sensitive to the parametric models chosen for OS and PFS extrapolation and the time horizon. Multivariate analyses led to substantial increases in the ICER.</w:t>
      </w:r>
      <w:r w:rsidR="00831871" w:rsidRPr="00831871">
        <w:rPr>
          <w:i/>
          <w:iCs/>
        </w:rPr>
        <w:t xml:space="preserve"> </w:t>
      </w:r>
      <w:r w:rsidR="00831871" w:rsidRPr="000539AE">
        <w:t xml:space="preserve">The PSCR </w:t>
      </w:r>
      <w:r w:rsidR="000D6FA1" w:rsidRPr="000539AE">
        <w:t xml:space="preserve">stated </w:t>
      </w:r>
      <w:r w:rsidR="00831871" w:rsidRPr="000539AE">
        <w:t xml:space="preserve">that the overestimation of the cost offsets for lenvatinib was due to the error in the calculation of the cost of lenvatinib per cycle (see paragraph above). The ESCs considered that correcting for this error did not fully address </w:t>
      </w:r>
      <w:r w:rsidR="00A82EF0" w:rsidRPr="000539AE">
        <w:t xml:space="preserve">their </w:t>
      </w:r>
      <w:r w:rsidR="00831871" w:rsidRPr="000539AE">
        <w:t>concern</w:t>
      </w:r>
      <w:r w:rsidR="00A82EF0" w:rsidRPr="000539AE">
        <w:t>s</w:t>
      </w:r>
      <w:r w:rsidR="00831871" w:rsidRPr="000539AE">
        <w:t xml:space="preserve"> that the lenvatinib cost offsets were overestimated.</w:t>
      </w:r>
    </w:p>
    <w:p w:rsidR="00F1737B" w:rsidRPr="00962538" w:rsidRDefault="00F1737B" w:rsidP="00F1737B">
      <w:pPr>
        <w:pStyle w:val="PBACESHeading2"/>
      </w:pPr>
      <w:bookmarkStart w:id="99" w:name="_Toc82597081"/>
      <w:r>
        <w:t>Drug cost/patient/</w:t>
      </w:r>
      <w:r w:rsidRPr="00962538">
        <w:t>course</w:t>
      </w:r>
      <w:bookmarkEnd w:id="94"/>
      <w:bookmarkEnd w:id="95"/>
      <w:bookmarkEnd w:id="99"/>
    </w:p>
    <w:p w:rsidR="00F1737B" w:rsidRPr="000A3110" w:rsidRDefault="00F1737B" w:rsidP="00F1737B">
      <w:pPr>
        <w:pStyle w:val="ListParagraph"/>
      </w:pPr>
      <w:r w:rsidRPr="000A3110">
        <w:t>The per patient cost of larotrectinib based on the overall analysis and tumour type subgroups used in the model</w:t>
      </w:r>
      <w:r w:rsidR="00E0288C" w:rsidRPr="000A3110">
        <w:t>,</w:t>
      </w:r>
      <w:r w:rsidRPr="000A3110">
        <w:t xml:space="preserve"> and as used in financial analysis are presented in </w:t>
      </w:r>
      <w:r w:rsidR="00796D25" w:rsidRPr="000A3110">
        <w:t>Table</w:t>
      </w:r>
      <w:r w:rsidR="00D944C2">
        <w:t xml:space="preserve"> </w:t>
      </w:r>
      <w:r w:rsidR="00796D25" w:rsidRPr="000A3110">
        <w:rPr>
          <w:noProof/>
        </w:rPr>
        <w:t>30</w:t>
      </w:r>
      <w:r w:rsidRPr="000A3110">
        <w:t>. While the cost of larotrectin</w:t>
      </w:r>
      <w:r w:rsidR="00D117CD">
        <w:t>i</w:t>
      </w:r>
      <w:r w:rsidRPr="000A3110">
        <w:t xml:space="preserve">b applied in the financial analysis </w:t>
      </w:r>
      <w:r w:rsidR="00E0288C" w:rsidRPr="000A3110">
        <w:t xml:space="preserve">is </w:t>
      </w:r>
      <w:r w:rsidRPr="000A3110">
        <w:t>consistent with the treatment course cost of larotrectin</w:t>
      </w:r>
      <w:r w:rsidR="00D117CD">
        <w:t>i</w:t>
      </w:r>
      <w:r w:rsidRPr="000A3110">
        <w:t>b applied in the resubmission’s base case, these were based on overall pooled larotrectinib data set, where the tumour types included and their distribution are not likely to be applicable to the proposed setting.</w:t>
      </w:r>
    </w:p>
    <w:p w:rsidR="00F1737B" w:rsidRDefault="00F1737B" w:rsidP="00F1737B">
      <w:pPr>
        <w:pStyle w:val="ListParagraph"/>
      </w:pPr>
      <w:r>
        <w:t xml:space="preserve">The per patient cost of SoC is also presented in </w:t>
      </w:r>
      <w:r w:rsidR="00796D25">
        <w:t>Table</w:t>
      </w:r>
      <w:r w:rsidR="00D944C2">
        <w:t xml:space="preserve"> </w:t>
      </w:r>
      <w:r w:rsidR="00796D25">
        <w:rPr>
          <w:noProof/>
        </w:rPr>
        <w:t>30</w:t>
      </w:r>
      <w:r>
        <w:t xml:space="preserve">. </w:t>
      </w:r>
      <w:r w:rsidRPr="00182296">
        <w:t>Patients continued on SoC treatment until disease progression or until a maximum treatment number of cycles had been reached.</w:t>
      </w:r>
    </w:p>
    <w:p w:rsidR="00F1737B" w:rsidRDefault="00F1737B" w:rsidP="00F1737B">
      <w:pPr>
        <w:pStyle w:val="Caption"/>
      </w:pPr>
      <w:bookmarkStart w:id="100" w:name="_Ref79156057"/>
      <w:r>
        <w:t>Table</w:t>
      </w:r>
      <w:r w:rsidR="00D944C2">
        <w:t xml:space="preserve"> </w:t>
      </w:r>
      <w:r w:rsidR="00BB3DD1">
        <w:rPr>
          <w:noProof/>
        </w:rPr>
        <w:t>30</w:t>
      </w:r>
      <w:bookmarkEnd w:id="100"/>
      <w:r w:rsidR="00D944C2">
        <w:rPr>
          <w:noProof/>
        </w:rPr>
        <w:t>:</w:t>
      </w:r>
      <w:r w:rsidR="00D117CD">
        <w:rPr>
          <w:noProof/>
        </w:rPr>
        <w:t xml:space="preserve"> </w:t>
      </w:r>
      <w:r w:rsidRPr="007B6C1B">
        <w:t>Drug cost per patient for larotrectin</w:t>
      </w:r>
      <w:r w:rsidR="00D117CD">
        <w:t>i</w:t>
      </w:r>
      <w:r w:rsidRPr="007B6C1B">
        <w:t>b</w:t>
      </w:r>
      <w:r>
        <w:t>, overall and tumour type analyses, and SoC</w:t>
      </w:r>
    </w:p>
    <w:tbl>
      <w:tblPr>
        <w:tblStyle w:val="PBACTableStyle"/>
        <w:tblW w:w="5000" w:type="pct"/>
        <w:tblLayout w:type="fixed"/>
        <w:tblLook w:val="04A0" w:firstRow="1" w:lastRow="0" w:firstColumn="1" w:lastColumn="0" w:noHBand="0" w:noVBand="1"/>
        <w:tblCaption w:val="Table 30: Drug cost per patient for larotrectinib, overall and tumour type analyses, and SoC"/>
      </w:tblPr>
      <w:tblGrid>
        <w:gridCol w:w="3256"/>
        <w:gridCol w:w="1415"/>
        <w:gridCol w:w="1560"/>
        <w:gridCol w:w="994"/>
        <w:gridCol w:w="1791"/>
      </w:tblGrid>
      <w:tr w:rsidR="00F1737B" w:rsidRPr="000C17CB" w:rsidTr="004539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6" w:type="pct"/>
            <w:vMerge w:val="restart"/>
          </w:tcPr>
          <w:p w:rsidR="00F1737B" w:rsidRPr="000C17CB" w:rsidRDefault="00F1737B" w:rsidP="00CB375A">
            <w:pPr>
              <w:pStyle w:val="TableText"/>
            </w:pPr>
          </w:p>
        </w:tc>
        <w:tc>
          <w:tcPr>
            <w:tcW w:w="1650" w:type="pct"/>
            <w:gridSpan w:val="2"/>
            <w:tcBorders>
              <w:bottom w:val="single" w:sz="4" w:space="0" w:color="auto"/>
            </w:tcBorders>
          </w:tcPr>
          <w:p w:rsidR="00F1737B" w:rsidRDefault="00F1737B" w:rsidP="00CB375A">
            <w:pPr>
              <w:pStyle w:val="TableText"/>
              <w:jc w:val="center"/>
              <w:cnfStyle w:val="100000000000" w:firstRow="1" w:lastRow="0" w:firstColumn="0" w:lastColumn="0" w:oddVBand="0" w:evenVBand="0" w:oddHBand="0" w:evenHBand="0" w:firstRowFirstColumn="0" w:firstRowLastColumn="0" w:lastRowFirstColumn="0" w:lastRowLastColumn="0"/>
            </w:pPr>
            <w:r>
              <w:t>Economic analysis</w:t>
            </w:r>
          </w:p>
        </w:tc>
        <w:tc>
          <w:tcPr>
            <w:tcW w:w="1544" w:type="pct"/>
            <w:gridSpan w:val="2"/>
            <w:tcBorders>
              <w:bottom w:val="single" w:sz="4" w:space="0" w:color="auto"/>
            </w:tcBorders>
          </w:tcPr>
          <w:p w:rsidR="00F1737B" w:rsidRDefault="00F1737B" w:rsidP="00CB375A">
            <w:pPr>
              <w:pStyle w:val="TableText"/>
              <w:jc w:val="center"/>
              <w:cnfStyle w:val="100000000000" w:firstRow="1" w:lastRow="0" w:firstColumn="0" w:lastColumn="0" w:oddVBand="0" w:evenVBand="0" w:oddHBand="0" w:evenHBand="0" w:firstRowFirstColumn="0" w:firstRowLastColumn="0" w:lastRowFirstColumn="0" w:lastRowLastColumn="0"/>
            </w:pPr>
            <w:r>
              <w:t>Financial impact analysis</w:t>
            </w:r>
          </w:p>
        </w:tc>
      </w:tr>
      <w:tr w:rsidR="00F1737B" w:rsidRPr="00302734" w:rsidTr="009B5D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6" w:type="pct"/>
            <w:vMerge/>
            <w:tcBorders>
              <w:bottom w:val="single" w:sz="4" w:space="0" w:color="auto"/>
            </w:tcBorders>
          </w:tcPr>
          <w:p w:rsidR="00F1737B" w:rsidRPr="00302734" w:rsidRDefault="00F1737B" w:rsidP="00CB375A">
            <w:pPr>
              <w:pStyle w:val="TableText"/>
              <w:rPr>
                <w:b w:val="0"/>
              </w:rPr>
            </w:pPr>
          </w:p>
        </w:tc>
        <w:tc>
          <w:tcPr>
            <w:tcW w:w="785" w:type="pct"/>
            <w:tcBorders>
              <w:bottom w:val="single" w:sz="4" w:space="0" w:color="auto"/>
            </w:tcBorders>
          </w:tcPr>
          <w:p w:rsidR="00F1737B" w:rsidRPr="00302734" w:rsidRDefault="00F1737B" w:rsidP="00CB375A">
            <w:pPr>
              <w:pStyle w:val="TableText"/>
              <w:jc w:val="center"/>
              <w:cnfStyle w:val="100000000000" w:firstRow="1" w:lastRow="0" w:firstColumn="0" w:lastColumn="0" w:oddVBand="0" w:evenVBand="0" w:oddHBand="0" w:evenHBand="0" w:firstRowFirstColumn="0" w:firstRowLastColumn="0" w:lastRowFirstColumn="0" w:lastRowLastColumn="0"/>
              <w:rPr>
                <w:b w:val="0"/>
              </w:rPr>
            </w:pPr>
            <w:r w:rsidRPr="00302734">
              <w:rPr>
                <w:b w:val="0"/>
              </w:rPr>
              <w:t xml:space="preserve">Modelled ToT </w:t>
            </w:r>
            <w:r w:rsidRPr="00302734">
              <w:rPr>
                <w:b w:val="0"/>
              </w:rPr>
              <w:br/>
              <w:t>(years)</w:t>
            </w:r>
          </w:p>
        </w:tc>
        <w:tc>
          <w:tcPr>
            <w:tcW w:w="865" w:type="pct"/>
            <w:tcBorders>
              <w:bottom w:val="single" w:sz="4" w:space="0" w:color="auto"/>
            </w:tcBorders>
          </w:tcPr>
          <w:p w:rsidR="00F1737B" w:rsidRPr="00C8544D" w:rsidRDefault="00F1737B" w:rsidP="00CB375A">
            <w:pPr>
              <w:pStyle w:val="TableText"/>
              <w:jc w:val="center"/>
              <w:cnfStyle w:val="100000000000" w:firstRow="1" w:lastRow="0" w:firstColumn="0" w:lastColumn="0" w:oddVBand="0" w:evenVBand="0" w:oddHBand="0" w:evenHBand="0" w:firstRowFirstColumn="0" w:firstRowLastColumn="0" w:lastRowFirstColumn="0" w:lastRowLastColumn="0"/>
              <w:rPr>
                <w:b w:val="0"/>
              </w:rPr>
            </w:pPr>
            <w:r w:rsidRPr="00302734">
              <w:rPr>
                <w:b w:val="0"/>
              </w:rPr>
              <w:t xml:space="preserve">Treatment course cost </w:t>
            </w:r>
            <w:r w:rsidRPr="00302734">
              <w:rPr>
                <w:b w:val="0"/>
                <w:vertAlign w:val="superscript"/>
              </w:rPr>
              <w:t>a</w:t>
            </w:r>
            <w:r w:rsidR="002C1BF9">
              <w:rPr>
                <w:b w:val="0"/>
                <w:vertAlign w:val="superscript"/>
              </w:rPr>
              <w:t xml:space="preserve"> </w:t>
            </w:r>
            <w:r w:rsidR="002C1BF9">
              <w:rPr>
                <w:b w:val="0"/>
              </w:rPr>
              <w:t>($)</w:t>
            </w:r>
          </w:p>
        </w:tc>
        <w:tc>
          <w:tcPr>
            <w:tcW w:w="551" w:type="pct"/>
            <w:tcBorders>
              <w:bottom w:val="single" w:sz="4" w:space="0" w:color="auto"/>
            </w:tcBorders>
          </w:tcPr>
          <w:p w:rsidR="00F1737B" w:rsidRPr="00302734" w:rsidRDefault="00F1737B" w:rsidP="00CB375A">
            <w:pPr>
              <w:pStyle w:val="TableText"/>
              <w:jc w:val="center"/>
              <w:cnfStyle w:val="100000000000" w:firstRow="1" w:lastRow="0" w:firstColumn="0" w:lastColumn="0" w:oddVBand="0" w:evenVBand="0" w:oddHBand="0" w:evenHBand="0" w:firstRowFirstColumn="0" w:firstRowLastColumn="0" w:lastRowFirstColumn="0" w:lastRowLastColumn="0"/>
              <w:rPr>
                <w:b w:val="0"/>
              </w:rPr>
            </w:pPr>
            <w:r w:rsidRPr="00302734">
              <w:rPr>
                <w:b w:val="0"/>
              </w:rPr>
              <w:t>Duration (years)</w:t>
            </w:r>
          </w:p>
        </w:tc>
        <w:tc>
          <w:tcPr>
            <w:tcW w:w="993" w:type="pct"/>
            <w:tcBorders>
              <w:bottom w:val="single" w:sz="4" w:space="0" w:color="auto"/>
            </w:tcBorders>
          </w:tcPr>
          <w:p w:rsidR="00F1737B" w:rsidRPr="00302734" w:rsidRDefault="00F1737B" w:rsidP="00CB375A">
            <w:pPr>
              <w:pStyle w:val="TableText"/>
              <w:jc w:val="center"/>
              <w:cnfStyle w:val="100000000000" w:firstRow="1" w:lastRow="0" w:firstColumn="0" w:lastColumn="0" w:oddVBand="0" w:evenVBand="0" w:oddHBand="0" w:evenHBand="0" w:firstRowFirstColumn="0" w:firstRowLastColumn="0" w:lastRowFirstColumn="0" w:lastRowLastColumn="0"/>
              <w:rPr>
                <w:b w:val="0"/>
              </w:rPr>
            </w:pPr>
            <w:r w:rsidRPr="00302734">
              <w:rPr>
                <w:b w:val="0"/>
              </w:rPr>
              <w:t>Treatment course cost</w:t>
            </w:r>
            <w:r w:rsidR="002C1BF9">
              <w:rPr>
                <w:b w:val="0"/>
              </w:rPr>
              <w:t xml:space="preserve"> ($)</w:t>
            </w:r>
          </w:p>
        </w:tc>
      </w:tr>
      <w:tr w:rsidR="00F1737B" w:rsidRPr="00302734" w:rsidTr="009B5D06">
        <w:tc>
          <w:tcPr>
            <w:cnfStyle w:val="001000000000" w:firstRow="0" w:lastRow="0" w:firstColumn="1" w:lastColumn="0" w:oddVBand="0" w:evenVBand="0" w:oddHBand="0" w:evenHBand="0" w:firstRowFirstColumn="0" w:firstRowLastColumn="0" w:lastRowFirstColumn="0" w:lastRowLastColumn="0"/>
            <w:tcW w:w="1806" w:type="pct"/>
            <w:tcBorders>
              <w:right w:val="nil"/>
            </w:tcBorders>
          </w:tcPr>
          <w:p w:rsidR="00F1737B" w:rsidRPr="00302734" w:rsidRDefault="00F1737B" w:rsidP="00CB375A">
            <w:pPr>
              <w:pStyle w:val="TableText"/>
              <w:rPr>
                <w:b/>
              </w:rPr>
            </w:pPr>
            <w:r w:rsidRPr="00302734">
              <w:rPr>
                <w:b/>
              </w:rPr>
              <w:t>Larotrectinib</w:t>
            </w:r>
          </w:p>
        </w:tc>
        <w:tc>
          <w:tcPr>
            <w:tcW w:w="785" w:type="pct"/>
            <w:tcBorders>
              <w:left w:val="nil"/>
              <w:right w:val="nil"/>
            </w:tcBorders>
          </w:tcPr>
          <w:p w:rsidR="00F1737B" w:rsidRPr="00302734"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rPr>
                <w:b/>
              </w:rPr>
            </w:pPr>
          </w:p>
        </w:tc>
        <w:tc>
          <w:tcPr>
            <w:tcW w:w="865" w:type="pct"/>
            <w:tcBorders>
              <w:left w:val="nil"/>
              <w:right w:val="nil"/>
            </w:tcBorders>
          </w:tcPr>
          <w:p w:rsidR="00F1737B" w:rsidRPr="00302734"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rPr>
                <w:b/>
              </w:rPr>
            </w:pPr>
          </w:p>
        </w:tc>
        <w:tc>
          <w:tcPr>
            <w:tcW w:w="551" w:type="pct"/>
            <w:tcBorders>
              <w:left w:val="nil"/>
              <w:right w:val="nil"/>
            </w:tcBorders>
          </w:tcPr>
          <w:p w:rsidR="00F1737B" w:rsidRPr="00302734"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rPr>
                <w:b/>
              </w:rPr>
            </w:pPr>
          </w:p>
        </w:tc>
        <w:tc>
          <w:tcPr>
            <w:tcW w:w="993" w:type="pct"/>
            <w:tcBorders>
              <w:left w:val="nil"/>
            </w:tcBorders>
          </w:tcPr>
          <w:p w:rsidR="00F1737B" w:rsidRPr="00302734"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rPr>
                <w:b/>
              </w:rPr>
            </w:pPr>
          </w:p>
        </w:tc>
      </w:tr>
      <w:tr w:rsidR="00F1737B" w:rsidRPr="000C17CB" w:rsidTr="009B5D06">
        <w:tc>
          <w:tcPr>
            <w:cnfStyle w:val="001000000000" w:firstRow="0" w:lastRow="0" w:firstColumn="1" w:lastColumn="0" w:oddVBand="0" w:evenVBand="0" w:oddHBand="0" w:evenHBand="0" w:firstRowFirstColumn="0" w:firstRowLastColumn="0" w:lastRowFirstColumn="0" w:lastRowLastColumn="0"/>
            <w:tcW w:w="1806" w:type="pct"/>
            <w:tcBorders>
              <w:bottom w:val="single" w:sz="4" w:space="0" w:color="auto"/>
            </w:tcBorders>
          </w:tcPr>
          <w:p w:rsidR="00F1737B" w:rsidRPr="000C17CB" w:rsidRDefault="00F1737B" w:rsidP="00CB375A">
            <w:pPr>
              <w:pStyle w:val="TableText"/>
            </w:pPr>
            <w:r>
              <w:t xml:space="preserve">Overall pooled larotrectinib analysis </w:t>
            </w:r>
            <w:r w:rsidRPr="00A866FD">
              <w:rPr>
                <w:vertAlign w:val="superscript"/>
              </w:rPr>
              <w:t>b</w:t>
            </w:r>
          </w:p>
        </w:tc>
        <w:tc>
          <w:tcPr>
            <w:tcW w:w="785" w:type="pct"/>
            <w:tcBorders>
              <w:bottom w:val="single" w:sz="4" w:space="0" w:color="auto"/>
            </w:tcBorders>
          </w:tcPr>
          <w:p w:rsidR="00F1737B" w:rsidRPr="00053DB1" w:rsidRDefault="00F1737B" w:rsidP="00CB375A">
            <w:pPr>
              <w:pStyle w:val="TableText"/>
              <w:ind w:right="57"/>
              <w:jc w:val="center"/>
              <w:cnfStyle w:val="000000000000" w:firstRow="0" w:lastRow="0" w:firstColumn="0" w:lastColumn="0" w:oddVBand="0" w:evenVBand="0" w:oddHBand="0" w:evenHBand="0" w:firstRowFirstColumn="0" w:firstRowLastColumn="0" w:lastRowFirstColumn="0" w:lastRowLastColumn="0"/>
            </w:pPr>
            <w:r w:rsidRPr="00053DB1">
              <w:t>2.49</w:t>
            </w:r>
          </w:p>
        </w:tc>
        <w:tc>
          <w:tcPr>
            <w:tcW w:w="865" w:type="pct"/>
            <w:tcBorders>
              <w:bottom w:val="single" w:sz="4" w:space="0" w:color="auto"/>
            </w:tcBorders>
          </w:tcPr>
          <w:p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551" w:type="pct"/>
            <w:tcBorders>
              <w:bottom w:val="single" w:sz="4" w:space="0" w:color="auto"/>
            </w:tcBorders>
          </w:tcPr>
          <w:p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2.50</w:t>
            </w:r>
          </w:p>
        </w:tc>
        <w:tc>
          <w:tcPr>
            <w:tcW w:w="993" w:type="pct"/>
            <w:tcBorders>
              <w:bottom w:val="single" w:sz="4" w:space="0" w:color="auto"/>
            </w:tcBorders>
          </w:tcPr>
          <w:p w:rsidR="00F1737B"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t xml:space="preserve">Paed: </w:t>
            </w:r>
            <w:r w:rsidR="00675CB4">
              <w:rPr>
                <w:noProof/>
                <w:color w:val="000000"/>
                <w:highlight w:val="black"/>
              </w:rPr>
              <w:t>'''''''''''''''''''''</w:t>
            </w:r>
          </w:p>
          <w:p w:rsidR="00F1737B" w:rsidRPr="009B7BB3"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t xml:space="preserve">Adults: </w:t>
            </w:r>
            <w:r w:rsidR="00675CB4">
              <w:rPr>
                <w:noProof/>
                <w:color w:val="000000"/>
                <w:highlight w:val="black"/>
              </w:rPr>
              <w:t>''''''''''''''''''''</w:t>
            </w:r>
          </w:p>
        </w:tc>
      </w:tr>
      <w:tr w:rsidR="00F1737B" w:rsidRPr="000C17CB" w:rsidTr="009B5D06">
        <w:tc>
          <w:tcPr>
            <w:cnfStyle w:val="001000000000" w:firstRow="0" w:lastRow="0" w:firstColumn="1" w:lastColumn="0" w:oddVBand="0" w:evenVBand="0" w:oddHBand="0" w:evenHBand="0" w:firstRowFirstColumn="0" w:firstRowLastColumn="0" w:lastRowFirstColumn="0" w:lastRowLastColumn="0"/>
            <w:tcW w:w="1806" w:type="pct"/>
            <w:tcBorders>
              <w:right w:val="nil"/>
            </w:tcBorders>
          </w:tcPr>
          <w:p w:rsidR="00F1737B" w:rsidRPr="00302734" w:rsidRDefault="00F1737B" w:rsidP="00CB375A">
            <w:pPr>
              <w:pStyle w:val="TableText"/>
              <w:rPr>
                <w:u w:val="single"/>
              </w:rPr>
            </w:pPr>
            <w:r w:rsidRPr="00302734">
              <w:rPr>
                <w:u w:val="single"/>
              </w:rPr>
              <w:t>Larotrectinib subgroup analyses</w:t>
            </w:r>
            <w:r w:rsidRPr="001B4023">
              <w:rPr>
                <w:vertAlign w:val="superscript"/>
              </w:rPr>
              <w:t xml:space="preserve"> c</w:t>
            </w:r>
          </w:p>
        </w:tc>
        <w:tc>
          <w:tcPr>
            <w:tcW w:w="785" w:type="pct"/>
            <w:tcBorders>
              <w:left w:val="nil"/>
              <w:right w:val="nil"/>
            </w:tcBorders>
          </w:tcPr>
          <w:p w:rsidR="00F1737B" w:rsidRPr="00053DB1" w:rsidRDefault="00F1737B" w:rsidP="00CB375A">
            <w:pPr>
              <w:pStyle w:val="TableText"/>
              <w:ind w:right="57"/>
              <w:jc w:val="center"/>
              <w:cnfStyle w:val="000000000000" w:firstRow="0" w:lastRow="0" w:firstColumn="0" w:lastColumn="0" w:oddVBand="0" w:evenVBand="0" w:oddHBand="0" w:evenHBand="0" w:firstRowFirstColumn="0" w:firstRowLastColumn="0" w:lastRowFirstColumn="0" w:lastRowLastColumn="0"/>
            </w:pPr>
          </w:p>
        </w:tc>
        <w:tc>
          <w:tcPr>
            <w:tcW w:w="865" w:type="pct"/>
            <w:tcBorders>
              <w:left w:val="nil"/>
              <w:right w:val="nil"/>
            </w:tcBorders>
          </w:tcPr>
          <w:p w:rsidR="00F1737B" w:rsidRPr="009B7BB3"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c>
          <w:tcPr>
            <w:tcW w:w="551" w:type="pct"/>
            <w:tcBorders>
              <w:left w:val="nil"/>
              <w:right w:val="nil"/>
            </w:tcBorders>
          </w:tcPr>
          <w:p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c>
          <w:tcPr>
            <w:tcW w:w="993" w:type="pct"/>
            <w:tcBorders>
              <w:left w:val="nil"/>
            </w:tcBorders>
          </w:tcPr>
          <w:p w:rsidR="00F1737B"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r>
      <w:tr w:rsidR="00F1737B" w:rsidRPr="000C17CB" w:rsidTr="009B5D06">
        <w:tc>
          <w:tcPr>
            <w:cnfStyle w:val="001000000000" w:firstRow="0" w:lastRow="0" w:firstColumn="1" w:lastColumn="0" w:oddVBand="0" w:evenVBand="0" w:oddHBand="0" w:evenHBand="0" w:firstRowFirstColumn="0" w:firstRowLastColumn="0" w:lastRowFirstColumn="0" w:lastRowLastColumn="0"/>
            <w:tcW w:w="1806" w:type="pct"/>
            <w:vAlign w:val="top"/>
          </w:tcPr>
          <w:p w:rsidR="00F1737B" w:rsidRPr="000C17CB" w:rsidRDefault="00F1737B" w:rsidP="00CB375A">
            <w:pPr>
              <w:pStyle w:val="TableText"/>
            </w:pPr>
            <w:r w:rsidRPr="00404B22">
              <w:t xml:space="preserve">Paediatric high </w:t>
            </w:r>
            <w:r w:rsidRPr="001A5BD5">
              <w:rPr>
                <w:i/>
              </w:rPr>
              <w:t>NTRK</w:t>
            </w:r>
            <w:r w:rsidRPr="00404B22">
              <w:t xml:space="preserve"> fusion frequency</w:t>
            </w:r>
          </w:p>
        </w:tc>
        <w:tc>
          <w:tcPr>
            <w:tcW w:w="785" w:type="pct"/>
            <w:vAlign w:val="top"/>
          </w:tcPr>
          <w:p w:rsidR="00F1737B" w:rsidRPr="00053DB1"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pPr>
            <w:r w:rsidRPr="00053DB1">
              <w:t>4.95</w:t>
            </w:r>
          </w:p>
        </w:tc>
        <w:tc>
          <w:tcPr>
            <w:tcW w:w="865" w:type="pct"/>
            <w:vAlign w:val="top"/>
          </w:tcPr>
          <w:p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i/>
                <w:highlight w:val="black"/>
              </w:rPr>
            </w:pPr>
            <w:r>
              <w:rPr>
                <w:noProof/>
                <w:color w:val="000000"/>
                <w:highlight w:val="black"/>
              </w:rPr>
              <w:t>''''''''''''''''''''''</w:t>
            </w:r>
          </w:p>
        </w:tc>
        <w:tc>
          <w:tcPr>
            <w:tcW w:w="551" w:type="pct"/>
            <w:vMerge w:val="restart"/>
          </w:tcPr>
          <w:p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2.50</w:t>
            </w:r>
          </w:p>
        </w:tc>
        <w:tc>
          <w:tcPr>
            <w:tcW w:w="993" w:type="pct"/>
            <w:vMerge w:val="restart"/>
          </w:tcPr>
          <w:p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r>
      <w:tr w:rsidR="00F1737B" w:rsidRPr="000C17CB" w:rsidTr="009B5D06">
        <w:tc>
          <w:tcPr>
            <w:cnfStyle w:val="001000000000" w:firstRow="0" w:lastRow="0" w:firstColumn="1" w:lastColumn="0" w:oddVBand="0" w:evenVBand="0" w:oddHBand="0" w:evenHBand="0" w:firstRowFirstColumn="0" w:firstRowLastColumn="0" w:lastRowFirstColumn="0" w:lastRowLastColumn="0"/>
            <w:tcW w:w="1806" w:type="pct"/>
            <w:vAlign w:val="top"/>
          </w:tcPr>
          <w:p w:rsidR="00F1737B" w:rsidRPr="000C17CB" w:rsidRDefault="00F1737B" w:rsidP="00CB375A">
            <w:pPr>
              <w:pStyle w:val="TableText"/>
            </w:pPr>
            <w:r w:rsidRPr="00404B22">
              <w:t xml:space="preserve">Paediatric low </w:t>
            </w:r>
            <w:r w:rsidRPr="001A5BD5">
              <w:rPr>
                <w:i/>
              </w:rPr>
              <w:t>NTRK</w:t>
            </w:r>
            <w:r w:rsidRPr="00404B22">
              <w:t xml:space="preserve"> fusion frequency</w:t>
            </w:r>
          </w:p>
        </w:tc>
        <w:tc>
          <w:tcPr>
            <w:tcW w:w="785" w:type="pct"/>
            <w:vAlign w:val="top"/>
          </w:tcPr>
          <w:p w:rsidR="00F1737B" w:rsidRPr="00053DB1"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pPr>
            <w:r w:rsidRPr="00053DB1">
              <w:t>3.20</w:t>
            </w:r>
          </w:p>
        </w:tc>
        <w:tc>
          <w:tcPr>
            <w:tcW w:w="865" w:type="pct"/>
            <w:vAlign w:val="top"/>
          </w:tcPr>
          <w:p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i/>
                <w:highlight w:val="black"/>
              </w:rPr>
            </w:pPr>
            <w:r>
              <w:rPr>
                <w:noProof/>
                <w:color w:val="000000"/>
                <w:highlight w:val="black"/>
              </w:rPr>
              <w:t>'''''''''''''''''''''''</w:t>
            </w:r>
          </w:p>
        </w:tc>
        <w:tc>
          <w:tcPr>
            <w:tcW w:w="551" w:type="pct"/>
            <w:vMerge/>
          </w:tcPr>
          <w:p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c>
          <w:tcPr>
            <w:tcW w:w="993" w:type="pct"/>
            <w:vMerge/>
          </w:tcPr>
          <w:p w:rsidR="00F1737B" w:rsidRPr="00675CB4" w:rsidRDefault="00F1737B" w:rsidP="00CB375A">
            <w:pPr>
              <w:pStyle w:val="TableText"/>
              <w:cnfStyle w:val="000000000000" w:firstRow="0" w:lastRow="0" w:firstColumn="0" w:lastColumn="0" w:oddVBand="0" w:evenVBand="0" w:oddHBand="0" w:evenHBand="0" w:firstRowFirstColumn="0" w:firstRowLastColumn="0" w:lastRowFirstColumn="0" w:lastRowLastColumn="0"/>
            </w:pPr>
          </w:p>
        </w:tc>
      </w:tr>
      <w:tr w:rsidR="00F1737B" w:rsidRPr="000C17CB" w:rsidTr="009B5D06">
        <w:tc>
          <w:tcPr>
            <w:cnfStyle w:val="001000000000" w:firstRow="0" w:lastRow="0" w:firstColumn="1" w:lastColumn="0" w:oddVBand="0" w:evenVBand="0" w:oddHBand="0" w:evenHBand="0" w:firstRowFirstColumn="0" w:firstRowLastColumn="0" w:lastRowFirstColumn="0" w:lastRowLastColumn="0"/>
            <w:tcW w:w="1806" w:type="pct"/>
            <w:tcBorders>
              <w:bottom w:val="single" w:sz="4" w:space="0" w:color="auto"/>
            </w:tcBorders>
            <w:vAlign w:val="top"/>
          </w:tcPr>
          <w:p w:rsidR="00F1737B" w:rsidRPr="000C17CB" w:rsidRDefault="00F1737B" w:rsidP="00CB375A">
            <w:pPr>
              <w:pStyle w:val="TableText"/>
            </w:pPr>
            <w:r w:rsidRPr="00404B22">
              <w:t xml:space="preserve">Adult high </w:t>
            </w:r>
            <w:r w:rsidRPr="001A5BD5">
              <w:rPr>
                <w:i/>
              </w:rPr>
              <w:t>NTRK</w:t>
            </w:r>
            <w:r w:rsidRPr="00404B22">
              <w:t xml:space="preserve"> fusion frequency</w:t>
            </w:r>
          </w:p>
        </w:tc>
        <w:tc>
          <w:tcPr>
            <w:tcW w:w="785" w:type="pct"/>
            <w:tcBorders>
              <w:bottom w:val="single" w:sz="4" w:space="0" w:color="auto"/>
            </w:tcBorders>
            <w:vAlign w:val="top"/>
          </w:tcPr>
          <w:p w:rsidR="00F1737B" w:rsidRPr="00675CB4"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pPr>
            <w:r w:rsidRPr="00053DB1">
              <w:t>5.60</w:t>
            </w:r>
          </w:p>
        </w:tc>
        <w:tc>
          <w:tcPr>
            <w:tcW w:w="865" w:type="pct"/>
            <w:tcBorders>
              <w:bottom w:val="single" w:sz="4" w:space="0" w:color="auto"/>
            </w:tcBorders>
            <w:vAlign w:val="top"/>
          </w:tcPr>
          <w:p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i/>
                <w:highlight w:val="black"/>
              </w:rPr>
            </w:pPr>
            <w:r>
              <w:rPr>
                <w:noProof/>
                <w:color w:val="000000"/>
                <w:highlight w:val="black"/>
              </w:rPr>
              <w:t>'''''''''''''''''''''</w:t>
            </w:r>
          </w:p>
        </w:tc>
        <w:tc>
          <w:tcPr>
            <w:tcW w:w="551" w:type="pct"/>
            <w:vMerge/>
            <w:tcBorders>
              <w:bottom w:val="single" w:sz="4" w:space="0" w:color="auto"/>
            </w:tcBorders>
          </w:tcPr>
          <w:p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c>
          <w:tcPr>
            <w:tcW w:w="993" w:type="pct"/>
            <w:tcBorders>
              <w:bottom w:val="single" w:sz="4" w:space="0" w:color="auto"/>
            </w:tcBorders>
          </w:tcPr>
          <w:p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r>
      <w:tr w:rsidR="00F1737B" w:rsidRPr="000C17CB" w:rsidTr="009B5D06">
        <w:tc>
          <w:tcPr>
            <w:cnfStyle w:val="001000000000" w:firstRow="0" w:lastRow="0" w:firstColumn="1" w:lastColumn="0" w:oddVBand="0" w:evenVBand="0" w:oddHBand="0" w:evenHBand="0" w:firstRowFirstColumn="0" w:firstRowLastColumn="0" w:lastRowFirstColumn="0" w:lastRowLastColumn="0"/>
            <w:tcW w:w="1806" w:type="pct"/>
            <w:tcBorders>
              <w:bottom w:val="single" w:sz="4" w:space="0" w:color="auto"/>
              <w:right w:val="nil"/>
            </w:tcBorders>
            <w:vAlign w:val="top"/>
          </w:tcPr>
          <w:p w:rsidR="00F1737B" w:rsidRPr="000C17CB" w:rsidRDefault="00F1737B" w:rsidP="00CB375A">
            <w:pPr>
              <w:pStyle w:val="TableText"/>
            </w:pPr>
            <w:r w:rsidRPr="00404B22">
              <w:t xml:space="preserve">Adult low </w:t>
            </w:r>
            <w:r w:rsidRPr="001A5BD5">
              <w:rPr>
                <w:i/>
              </w:rPr>
              <w:t>NTRK</w:t>
            </w:r>
            <w:r w:rsidRPr="00404B22">
              <w:t xml:space="preserve"> fusion frequency</w:t>
            </w:r>
          </w:p>
        </w:tc>
        <w:tc>
          <w:tcPr>
            <w:tcW w:w="785" w:type="pct"/>
            <w:tcBorders>
              <w:left w:val="nil"/>
              <w:bottom w:val="single" w:sz="4" w:space="0" w:color="auto"/>
              <w:right w:val="nil"/>
            </w:tcBorders>
          </w:tcPr>
          <w:p w:rsidR="00F1737B" w:rsidRPr="00053DB1"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pPr>
          </w:p>
        </w:tc>
        <w:tc>
          <w:tcPr>
            <w:tcW w:w="865" w:type="pct"/>
            <w:tcBorders>
              <w:left w:val="nil"/>
              <w:bottom w:val="single" w:sz="4" w:space="0" w:color="auto"/>
              <w:right w:val="nil"/>
            </w:tcBorders>
          </w:tcPr>
          <w:p w:rsidR="00F1737B" w:rsidRPr="000D637E"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rPr>
                <w:i/>
              </w:rPr>
            </w:pPr>
          </w:p>
        </w:tc>
        <w:tc>
          <w:tcPr>
            <w:tcW w:w="551" w:type="pct"/>
            <w:tcBorders>
              <w:left w:val="nil"/>
              <w:bottom w:val="single" w:sz="4" w:space="0" w:color="auto"/>
              <w:right w:val="nil"/>
            </w:tcBorders>
          </w:tcPr>
          <w:p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rPr>
                <w:i/>
              </w:rPr>
            </w:pPr>
          </w:p>
        </w:tc>
        <w:tc>
          <w:tcPr>
            <w:tcW w:w="993" w:type="pct"/>
            <w:tcBorders>
              <w:left w:val="nil"/>
              <w:bottom w:val="single" w:sz="4" w:space="0" w:color="auto"/>
            </w:tcBorders>
          </w:tcPr>
          <w:p w:rsidR="00F1737B" w:rsidRPr="000D637E"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rPr>
                <w:i/>
              </w:rPr>
            </w:pPr>
          </w:p>
        </w:tc>
      </w:tr>
      <w:tr w:rsidR="00F1737B" w:rsidRPr="000C17CB" w:rsidTr="009B5D06">
        <w:tc>
          <w:tcPr>
            <w:cnfStyle w:val="001000000000" w:firstRow="0" w:lastRow="0" w:firstColumn="1" w:lastColumn="0" w:oddVBand="0" w:evenVBand="0" w:oddHBand="0" w:evenHBand="0" w:firstRowFirstColumn="0" w:firstRowLastColumn="0" w:lastRowFirstColumn="0" w:lastRowLastColumn="0"/>
            <w:tcW w:w="1806" w:type="pct"/>
            <w:tcBorders>
              <w:bottom w:val="nil"/>
            </w:tcBorders>
            <w:vAlign w:val="top"/>
          </w:tcPr>
          <w:p w:rsidR="00F1737B" w:rsidRPr="000C17CB" w:rsidRDefault="00F1737B" w:rsidP="005C157F">
            <w:pPr>
              <w:pStyle w:val="TableText"/>
              <w:numPr>
                <w:ilvl w:val="0"/>
                <w:numId w:val="25"/>
              </w:numPr>
              <w:ind w:left="164" w:hanging="142"/>
            </w:pPr>
            <w:r w:rsidRPr="00404B22">
              <w:t>Colorectal</w:t>
            </w:r>
          </w:p>
        </w:tc>
        <w:tc>
          <w:tcPr>
            <w:tcW w:w="785" w:type="pct"/>
            <w:tcBorders>
              <w:bottom w:val="nil"/>
            </w:tcBorders>
            <w:vAlign w:val="top"/>
          </w:tcPr>
          <w:p w:rsidR="00F1737B" w:rsidRPr="00675CB4"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pPr>
            <w:r w:rsidRPr="00053DB1">
              <w:t>0.78</w:t>
            </w:r>
          </w:p>
        </w:tc>
        <w:tc>
          <w:tcPr>
            <w:tcW w:w="865" w:type="pct"/>
            <w:tcBorders>
              <w:bottom w:val="nil"/>
            </w:tcBorders>
            <w:vAlign w:val="top"/>
          </w:tcPr>
          <w:p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i/>
                <w:highlight w:val="black"/>
              </w:rPr>
            </w:pPr>
            <w:r>
              <w:rPr>
                <w:noProof/>
                <w:color w:val="000000"/>
                <w:highlight w:val="black"/>
              </w:rPr>
              <w:t>''''''''''''''''''''</w:t>
            </w:r>
          </w:p>
        </w:tc>
        <w:tc>
          <w:tcPr>
            <w:tcW w:w="551" w:type="pct"/>
            <w:vMerge w:val="restart"/>
          </w:tcPr>
          <w:p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2.50</w:t>
            </w:r>
          </w:p>
        </w:tc>
        <w:tc>
          <w:tcPr>
            <w:tcW w:w="993" w:type="pct"/>
            <w:vMerge w:val="restart"/>
          </w:tcPr>
          <w:p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r>
      <w:tr w:rsidR="00F1737B" w:rsidRPr="000C17CB" w:rsidTr="009B5D06">
        <w:tc>
          <w:tcPr>
            <w:cnfStyle w:val="001000000000" w:firstRow="0" w:lastRow="0" w:firstColumn="1" w:lastColumn="0" w:oddVBand="0" w:evenVBand="0" w:oddHBand="0" w:evenHBand="0" w:firstRowFirstColumn="0" w:firstRowLastColumn="0" w:lastRowFirstColumn="0" w:lastRowLastColumn="0"/>
            <w:tcW w:w="1806" w:type="pct"/>
            <w:tcBorders>
              <w:top w:val="nil"/>
              <w:bottom w:val="nil"/>
            </w:tcBorders>
            <w:vAlign w:val="top"/>
          </w:tcPr>
          <w:p w:rsidR="00F1737B" w:rsidRPr="000C17CB" w:rsidRDefault="00F1737B" w:rsidP="005C157F">
            <w:pPr>
              <w:pStyle w:val="TableText"/>
              <w:numPr>
                <w:ilvl w:val="0"/>
                <w:numId w:val="25"/>
              </w:numPr>
              <w:ind w:left="164" w:hanging="142"/>
            </w:pPr>
            <w:r w:rsidRPr="00404B22">
              <w:t>STS</w:t>
            </w:r>
          </w:p>
        </w:tc>
        <w:tc>
          <w:tcPr>
            <w:tcW w:w="785" w:type="pct"/>
            <w:tcBorders>
              <w:top w:val="nil"/>
              <w:bottom w:val="nil"/>
            </w:tcBorders>
            <w:vAlign w:val="top"/>
          </w:tcPr>
          <w:p w:rsidR="00F1737B" w:rsidRPr="00675CB4"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pPr>
            <w:r w:rsidRPr="00053DB1">
              <w:t>2.08</w:t>
            </w:r>
          </w:p>
        </w:tc>
        <w:tc>
          <w:tcPr>
            <w:tcW w:w="865" w:type="pct"/>
            <w:tcBorders>
              <w:top w:val="nil"/>
              <w:bottom w:val="nil"/>
            </w:tcBorders>
            <w:vAlign w:val="top"/>
          </w:tcPr>
          <w:p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i/>
                <w:highlight w:val="black"/>
              </w:rPr>
            </w:pPr>
            <w:r>
              <w:rPr>
                <w:noProof/>
                <w:color w:val="000000"/>
                <w:highlight w:val="black"/>
              </w:rPr>
              <w:t>''''''''''''''''''''''</w:t>
            </w:r>
          </w:p>
        </w:tc>
        <w:tc>
          <w:tcPr>
            <w:tcW w:w="551" w:type="pct"/>
            <w:vMerge/>
          </w:tcPr>
          <w:p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c>
          <w:tcPr>
            <w:tcW w:w="993" w:type="pct"/>
            <w:vMerge/>
          </w:tcPr>
          <w:p w:rsidR="00F1737B" w:rsidRPr="00C20DA7"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r>
      <w:tr w:rsidR="00F1737B" w:rsidRPr="000C17CB" w:rsidTr="009B5D06">
        <w:tc>
          <w:tcPr>
            <w:cnfStyle w:val="001000000000" w:firstRow="0" w:lastRow="0" w:firstColumn="1" w:lastColumn="0" w:oddVBand="0" w:evenVBand="0" w:oddHBand="0" w:evenHBand="0" w:firstRowFirstColumn="0" w:firstRowLastColumn="0" w:lastRowFirstColumn="0" w:lastRowLastColumn="0"/>
            <w:tcW w:w="1806" w:type="pct"/>
            <w:tcBorders>
              <w:top w:val="nil"/>
              <w:bottom w:val="nil"/>
            </w:tcBorders>
            <w:vAlign w:val="top"/>
          </w:tcPr>
          <w:p w:rsidR="00F1737B" w:rsidRPr="000C17CB" w:rsidRDefault="00F1737B" w:rsidP="005C157F">
            <w:pPr>
              <w:pStyle w:val="TableText"/>
              <w:numPr>
                <w:ilvl w:val="0"/>
                <w:numId w:val="25"/>
              </w:numPr>
              <w:ind w:left="164" w:hanging="142"/>
            </w:pPr>
            <w:r w:rsidRPr="00404B22">
              <w:t>NSCLC</w:t>
            </w:r>
          </w:p>
        </w:tc>
        <w:tc>
          <w:tcPr>
            <w:tcW w:w="785" w:type="pct"/>
            <w:tcBorders>
              <w:top w:val="nil"/>
              <w:bottom w:val="nil"/>
            </w:tcBorders>
            <w:vAlign w:val="top"/>
          </w:tcPr>
          <w:p w:rsidR="00F1737B" w:rsidRPr="00675CB4"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pPr>
            <w:r w:rsidRPr="00053DB1">
              <w:t>2.62</w:t>
            </w:r>
          </w:p>
        </w:tc>
        <w:tc>
          <w:tcPr>
            <w:tcW w:w="865" w:type="pct"/>
            <w:tcBorders>
              <w:top w:val="nil"/>
              <w:bottom w:val="nil"/>
            </w:tcBorders>
            <w:vAlign w:val="top"/>
          </w:tcPr>
          <w:p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i/>
                <w:highlight w:val="black"/>
              </w:rPr>
            </w:pPr>
            <w:r>
              <w:rPr>
                <w:noProof/>
                <w:color w:val="000000"/>
                <w:highlight w:val="black"/>
              </w:rPr>
              <w:t>'''''''''''''''''''''''</w:t>
            </w:r>
          </w:p>
        </w:tc>
        <w:tc>
          <w:tcPr>
            <w:tcW w:w="551" w:type="pct"/>
            <w:vMerge/>
          </w:tcPr>
          <w:p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c>
          <w:tcPr>
            <w:tcW w:w="993" w:type="pct"/>
            <w:vMerge/>
          </w:tcPr>
          <w:p w:rsidR="00F1737B" w:rsidRPr="00C20DA7"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r>
      <w:tr w:rsidR="00F1737B" w:rsidRPr="000C17CB" w:rsidTr="009B5D06">
        <w:tc>
          <w:tcPr>
            <w:cnfStyle w:val="001000000000" w:firstRow="0" w:lastRow="0" w:firstColumn="1" w:lastColumn="0" w:oddVBand="0" w:evenVBand="0" w:oddHBand="0" w:evenHBand="0" w:firstRowFirstColumn="0" w:firstRowLastColumn="0" w:lastRowFirstColumn="0" w:lastRowLastColumn="0"/>
            <w:tcW w:w="1806" w:type="pct"/>
            <w:tcBorders>
              <w:top w:val="nil"/>
              <w:bottom w:val="single" w:sz="4" w:space="0" w:color="auto"/>
            </w:tcBorders>
            <w:vAlign w:val="top"/>
          </w:tcPr>
          <w:p w:rsidR="00F1737B" w:rsidRPr="000C17CB" w:rsidRDefault="00F1737B" w:rsidP="005C157F">
            <w:pPr>
              <w:pStyle w:val="TableText"/>
              <w:numPr>
                <w:ilvl w:val="0"/>
                <w:numId w:val="25"/>
              </w:numPr>
              <w:ind w:left="164" w:hanging="142"/>
            </w:pPr>
            <w:r w:rsidRPr="00404B22">
              <w:t>Thyroid</w:t>
            </w:r>
          </w:p>
        </w:tc>
        <w:tc>
          <w:tcPr>
            <w:tcW w:w="785" w:type="pct"/>
            <w:tcBorders>
              <w:top w:val="nil"/>
              <w:bottom w:val="single" w:sz="4" w:space="0" w:color="auto"/>
            </w:tcBorders>
            <w:vAlign w:val="top"/>
          </w:tcPr>
          <w:p w:rsidR="00F1737B" w:rsidRPr="00675CB4"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pPr>
            <w:r w:rsidRPr="00053DB1">
              <w:t>5.83</w:t>
            </w:r>
          </w:p>
        </w:tc>
        <w:tc>
          <w:tcPr>
            <w:tcW w:w="865" w:type="pct"/>
            <w:tcBorders>
              <w:top w:val="nil"/>
              <w:bottom w:val="single" w:sz="4" w:space="0" w:color="auto"/>
            </w:tcBorders>
            <w:vAlign w:val="top"/>
          </w:tcPr>
          <w:p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i/>
                <w:highlight w:val="black"/>
              </w:rPr>
            </w:pPr>
            <w:r>
              <w:rPr>
                <w:noProof/>
                <w:color w:val="000000"/>
                <w:highlight w:val="black"/>
              </w:rPr>
              <w:t>''''''''''''''''''''</w:t>
            </w:r>
          </w:p>
        </w:tc>
        <w:tc>
          <w:tcPr>
            <w:tcW w:w="551" w:type="pct"/>
            <w:vMerge/>
            <w:tcBorders>
              <w:bottom w:val="single" w:sz="4" w:space="0" w:color="auto"/>
            </w:tcBorders>
          </w:tcPr>
          <w:p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c>
          <w:tcPr>
            <w:tcW w:w="993" w:type="pct"/>
            <w:vMerge/>
            <w:tcBorders>
              <w:bottom w:val="single" w:sz="4" w:space="0" w:color="auto"/>
            </w:tcBorders>
          </w:tcPr>
          <w:p w:rsidR="00F1737B" w:rsidRPr="00C20DA7"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r>
      <w:tr w:rsidR="00F1737B" w:rsidRPr="00D72F92" w:rsidTr="009B5D06">
        <w:tc>
          <w:tcPr>
            <w:cnfStyle w:val="001000000000" w:firstRow="0" w:lastRow="0" w:firstColumn="1" w:lastColumn="0" w:oddVBand="0" w:evenVBand="0" w:oddHBand="0" w:evenHBand="0" w:firstRowFirstColumn="0" w:firstRowLastColumn="0" w:lastRowFirstColumn="0" w:lastRowLastColumn="0"/>
            <w:tcW w:w="1806" w:type="pct"/>
            <w:tcBorders>
              <w:bottom w:val="single" w:sz="4" w:space="0" w:color="auto"/>
              <w:right w:val="nil"/>
            </w:tcBorders>
            <w:vAlign w:val="top"/>
          </w:tcPr>
          <w:p w:rsidR="00F1737B" w:rsidRPr="00302734" w:rsidRDefault="00F1737B" w:rsidP="00CB375A">
            <w:pPr>
              <w:pStyle w:val="TableText"/>
              <w:rPr>
                <w:u w:val="single"/>
              </w:rPr>
            </w:pPr>
            <w:r w:rsidRPr="00302734">
              <w:rPr>
                <w:u w:val="single"/>
              </w:rPr>
              <w:t xml:space="preserve">Tumour type </w:t>
            </w:r>
            <w:r>
              <w:rPr>
                <w:u w:val="single"/>
              </w:rPr>
              <w:t>sub</w:t>
            </w:r>
            <w:r w:rsidRPr="00302734">
              <w:rPr>
                <w:u w:val="single"/>
              </w:rPr>
              <w:t>group combinations</w:t>
            </w:r>
          </w:p>
        </w:tc>
        <w:tc>
          <w:tcPr>
            <w:tcW w:w="785" w:type="pct"/>
            <w:tcBorders>
              <w:left w:val="nil"/>
              <w:bottom w:val="single" w:sz="4" w:space="0" w:color="auto"/>
              <w:right w:val="nil"/>
            </w:tcBorders>
            <w:vAlign w:val="top"/>
          </w:tcPr>
          <w:p w:rsidR="00F1737B" w:rsidRPr="00053DB1"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rPr>
                <w:b/>
              </w:rPr>
            </w:pPr>
          </w:p>
        </w:tc>
        <w:tc>
          <w:tcPr>
            <w:tcW w:w="865" w:type="pct"/>
            <w:tcBorders>
              <w:left w:val="nil"/>
              <w:bottom w:val="single" w:sz="4" w:space="0" w:color="auto"/>
              <w:right w:val="nil"/>
            </w:tcBorders>
            <w:vAlign w:val="top"/>
          </w:tcPr>
          <w:p w:rsidR="00F1737B" w:rsidRPr="00D72F92"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rPr>
                <w:b/>
                <w:i/>
              </w:rPr>
            </w:pPr>
          </w:p>
        </w:tc>
        <w:tc>
          <w:tcPr>
            <w:tcW w:w="551" w:type="pct"/>
            <w:tcBorders>
              <w:left w:val="nil"/>
              <w:bottom w:val="single" w:sz="4" w:space="0" w:color="auto"/>
              <w:right w:val="nil"/>
            </w:tcBorders>
          </w:tcPr>
          <w:p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rPr>
                <w:b/>
                <w:i/>
              </w:rPr>
            </w:pPr>
          </w:p>
        </w:tc>
        <w:tc>
          <w:tcPr>
            <w:tcW w:w="993" w:type="pct"/>
            <w:tcBorders>
              <w:left w:val="nil"/>
              <w:bottom w:val="single" w:sz="4" w:space="0" w:color="auto"/>
            </w:tcBorders>
          </w:tcPr>
          <w:p w:rsidR="00F1737B" w:rsidRPr="00D72F92"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rPr>
                <w:b/>
                <w:i/>
              </w:rPr>
            </w:pPr>
          </w:p>
        </w:tc>
      </w:tr>
      <w:tr w:rsidR="007C122C" w:rsidRPr="000C17CB" w:rsidTr="009B5D06">
        <w:tc>
          <w:tcPr>
            <w:cnfStyle w:val="001000000000" w:firstRow="0" w:lastRow="0" w:firstColumn="1" w:lastColumn="0" w:oddVBand="0" w:evenVBand="0" w:oddHBand="0" w:evenHBand="0" w:firstRowFirstColumn="0" w:firstRowLastColumn="0" w:lastRowFirstColumn="0" w:lastRowLastColumn="0"/>
            <w:tcW w:w="1806" w:type="pct"/>
            <w:tcBorders>
              <w:bottom w:val="nil"/>
              <w:right w:val="single" w:sz="4" w:space="0" w:color="auto"/>
            </w:tcBorders>
            <w:vAlign w:val="top"/>
          </w:tcPr>
          <w:p w:rsidR="007C122C" w:rsidRPr="00D72F92" w:rsidRDefault="007C122C" w:rsidP="007C122C">
            <w:pPr>
              <w:pStyle w:val="TableText"/>
            </w:pPr>
            <w:r>
              <w:t xml:space="preserve">Paediatric + adult high </w:t>
            </w:r>
            <w:r>
              <w:rPr>
                <w:i/>
              </w:rPr>
              <w:t>NTRK</w:t>
            </w:r>
            <w:r>
              <w:t xml:space="preserve"> frequency</w:t>
            </w:r>
          </w:p>
        </w:tc>
        <w:tc>
          <w:tcPr>
            <w:tcW w:w="785" w:type="pct"/>
            <w:tcBorders>
              <w:left w:val="single" w:sz="4" w:space="0" w:color="auto"/>
              <w:bottom w:val="nil"/>
              <w:right w:val="single" w:sz="4" w:space="0" w:color="auto"/>
            </w:tcBorders>
            <w:vAlign w:val="top"/>
          </w:tcPr>
          <w:p w:rsidR="007C122C" w:rsidRPr="00053DB1" w:rsidRDefault="007C122C" w:rsidP="007C122C">
            <w:pPr>
              <w:pStyle w:val="TableText"/>
              <w:jc w:val="center"/>
              <w:cnfStyle w:val="000000000000" w:firstRow="0" w:lastRow="0" w:firstColumn="0" w:lastColumn="0" w:oddVBand="0" w:evenVBand="0" w:oddHBand="0" w:evenHBand="0" w:firstRowFirstColumn="0" w:firstRowLastColumn="0" w:lastRowFirstColumn="0" w:lastRowLastColumn="0"/>
              <w:rPr>
                <w:i/>
              </w:rPr>
            </w:pPr>
            <w:r w:rsidRPr="00053DB1">
              <w:rPr>
                <w:i/>
              </w:rPr>
              <w:t xml:space="preserve">5.11 </w:t>
            </w:r>
            <w:r w:rsidRPr="00053DB1">
              <w:rPr>
                <w:i/>
                <w:vertAlign w:val="superscript"/>
              </w:rPr>
              <w:t>d</w:t>
            </w:r>
          </w:p>
        </w:tc>
        <w:tc>
          <w:tcPr>
            <w:tcW w:w="865" w:type="pct"/>
            <w:tcBorders>
              <w:left w:val="single" w:sz="4" w:space="0" w:color="auto"/>
              <w:bottom w:val="nil"/>
            </w:tcBorders>
            <w:vAlign w:val="top"/>
          </w:tcPr>
          <w:p w:rsidR="007C122C" w:rsidRPr="00000E89" w:rsidRDefault="00675CB4" w:rsidP="007C122C">
            <w:pPr>
              <w:pStyle w:val="TableText"/>
              <w:jc w:val="right"/>
              <w:cnfStyle w:val="000000000000" w:firstRow="0" w:lastRow="0" w:firstColumn="0" w:lastColumn="0" w:oddVBand="0" w:evenVBand="0" w:oddHBand="0" w:evenHBand="0" w:firstRowFirstColumn="0" w:firstRowLastColumn="0" w:lastRowFirstColumn="0" w:lastRowLastColumn="0"/>
              <w:rPr>
                <w:iCs/>
                <w:vertAlign w:val="superscript"/>
              </w:rPr>
            </w:pPr>
            <w:r>
              <w:rPr>
                <w:iCs/>
                <w:noProof/>
                <w:color w:val="000000"/>
                <w:highlight w:val="black"/>
              </w:rPr>
              <w:t>'''''''''''''''''''''''</w:t>
            </w:r>
            <w:r w:rsidR="00000E89" w:rsidRPr="00000E89">
              <w:rPr>
                <w:iCs/>
                <w:vertAlign w:val="superscript"/>
              </w:rPr>
              <w:t>#</w:t>
            </w:r>
          </w:p>
        </w:tc>
        <w:tc>
          <w:tcPr>
            <w:tcW w:w="551" w:type="pct"/>
            <w:vMerge w:val="restart"/>
            <w:tcBorders>
              <w:left w:val="single" w:sz="4" w:space="0" w:color="auto"/>
            </w:tcBorders>
          </w:tcPr>
          <w:p w:rsidR="007C122C" w:rsidRPr="00053DB1" w:rsidRDefault="007C122C" w:rsidP="007C122C">
            <w:pPr>
              <w:pStyle w:val="TableText"/>
              <w:jc w:val="right"/>
              <w:cnfStyle w:val="000000000000" w:firstRow="0" w:lastRow="0" w:firstColumn="0" w:lastColumn="0" w:oddVBand="0" w:evenVBand="0" w:oddHBand="0" w:evenHBand="0" w:firstRowFirstColumn="0" w:firstRowLastColumn="0" w:lastRowFirstColumn="0" w:lastRowLastColumn="0"/>
            </w:pPr>
            <w:r w:rsidRPr="00053DB1">
              <w:t>2.50</w:t>
            </w:r>
          </w:p>
        </w:tc>
        <w:tc>
          <w:tcPr>
            <w:tcW w:w="993" w:type="pct"/>
            <w:tcBorders>
              <w:left w:val="single" w:sz="4" w:space="0" w:color="auto"/>
              <w:bottom w:val="nil"/>
            </w:tcBorders>
          </w:tcPr>
          <w:p w:rsidR="007C122C" w:rsidRPr="005D5B10" w:rsidRDefault="00675CB4" w:rsidP="007C122C">
            <w:pPr>
              <w:pStyle w:val="TableText"/>
              <w:jc w:val="right"/>
              <w:cnfStyle w:val="000000000000" w:firstRow="0" w:lastRow="0" w:firstColumn="0" w:lastColumn="0" w:oddVBand="0" w:evenVBand="0" w:oddHBand="0" w:evenHBand="0" w:firstRowFirstColumn="0" w:firstRowLastColumn="0" w:lastRowFirstColumn="0" w:lastRowLastColumn="0"/>
            </w:pPr>
            <w:r>
              <w:rPr>
                <w:noProof/>
                <w:color w:val="000000"/>
                <w:highlight w:val="black"/>
              </w:rPr>
              <w:t>''''''''''''''''''''''</w:t>
            </w:r>
            <w:r w:rsidR="007C122C">
              <w:t>−</w:t>
            </w:r>
            <w:r>
              <w:rPr>
                <w:noProof/>
                <w:color w:val="000000"/>
                <w:highlight w:val="black"/>
              </w:rPr>
              <w:t>'''''''''''''''''''''</w:t>
            </w:r>
          </w:p>
        </w:tc>
      </w:tr>
      <w:tr w:rsidR="007C122C" w:rsidRPr="000C17CB" w:rsidTr="009B5D06">
        <w:tc>
          <w:tcPr>
            <w:cnfStyle w:val="001000000000" w:firstRow="0" w:lastRow="0" w:firstColumn="1" w:lastColumn="0" w:oddVBand="0" w:evenVBand="0" w:oddHBand="0" w:evenHBand="0" w:firstRowFirstColumn="0" w:firstRowLastColumn="0" w:lastRowFirstColumn="0" w:lastRowLastColumn="0"/>
            <w:tcW w:w="1806" w:type="pct"/>
            <w:tcBorders>
              <w:top w:val="nil"/>
              <w:bottom w:val="nil"/>
              <w:right w:val="single" w:sz="4" w:space="0" w:color="auto"/>
            </w:tcBorders>
            <w:vAlign w:val="top"/>
          </w:tcPr>
          <w:p w:rsidR="007C122C" w:rsidRPr="00D72F92" w:rsidRDefault="007C122C" w:rsidP="007C122C">
            <w:pPr>
              <w:pStyle w:val="TableText"/>
            </w:pPr>
            <w:r>
              <w:t xml:space="preserve">Adult low </w:t>
            </w:r>
            <w:r>
              <w:rPr>
                <w:i/>
              </w:rPr>
              <w:t>NTRK</w:t>
            </w:r>
            <w:r>
              <w:t xml:space="preserve"> frequency</w:t>
            </w:r>
          </w:p>
        </w:tc>
        <w:tc>
          <w:tcPr>
            <w:tcW w:w="785" w:type="pct"/>
            <w:tcBorders>
              <w:top w:val="nil"/>
              <w:left w:val="single" w:sz="4" w:space="0" w:color="auto"/>
              <w:bottom w:val="nil"/>
              <w:right w:val="single" w:sz="4" w:space="0" w:color="auto"/>
            </w:tcBorders>
            <w:vAlign w:val="top"/>
          </w:tcPr>
          <w:p w:rsidR="007C122C" w:rsidRPr="00053DB1" w:rsidRDefault="007C122C" w:rsidP="007C122C">
            <w:pPr>
              <w:pStyle w:val="TableText"/>
              <w:jc w:val="center"/>
              <w:cnfStyle w:val="000000000000" w:firstRow="0" w:lastRow="0" w:firstColumn="0" w:lastColumn="0" w:oddVBand="0" w:evenVBand="0" w:oddHBand="0" w:evenHBand="0" w:firstRowFirstColumn="0" w:firstRowLastColumn="0" w:lastRowFirstColumn="0" w:lastRowLastColumn="0"/>
              <w:rPr>
                <w:i/>
              </w:rPr>
            </w:pPr>
            <w:r w:rsidRPr="00053DB1">
              <w:rPr>
                <w:i/>
              </w:rPr>
              <w:t>2.93</w:t>
            </w:r>
            <w:r w:rsidRPr="00053DB1">
              <w:rPr>
                <w:i/>
                <w:vertAlign w:val="superscript"/>
              </w:rPr>
              <w:t xml:space="preserve"> e</w:t>
            </w:r>
          </w:p>
        </w:tc>
        <w:tc>
          <w:tcPr>
            <w:tcW w:w="865" w:type="pct"/>
            <w:tcBorders>
              <w:top w:val="nil"/>
              <w:left w:val="single" w:sz="4" w:space="0" w:color="auto"/>
              <w:bottom w:val="nil"/>
            </w:tcBorders>
            <w:vAlign w:val="top"/>
          </w:tcPr>
          <w:p w:rsidR="007C122C" w:rsidRPr="00000E89" w:rsidRDefault="00675CB4" w:rsidP="007C122C">
            <w:pPr>
              <w:pStyle w:val="TableText"/>
              <w:jc w:val="right"/>
              <w:cnfStyle w:val="000000000000" w:firstRow="0" w:lastRow="0" w:firstColumn="0" w:lastColumn="0" w:oddVBand="0" w:evenVBand="0" w:oddHBand="0" w:evenHBand="0" w:firstRowFirstColumn="0" w:firstRowLastColumn="0" w:lastRowFirstColumn="0" w:lastRowLastColumn="0"/>
              <w:rPr>
                <w:iCs/>
              </w:rPr>
            </w:pPr>
            <w:r>
              <w:rPr>
                <w:iCs/>
                <w:noProof/>
                <w:color w:val="000000"/>
                <w:highlight w:val="black"/>
              </w:rPr>
              <w:t>''''''''''''''''''''</w:t>
            </w:r>
            <w:r w:rsidR="00000E89" w:rsidRPr="00000E89">
              <w:rPr>
                <w:iCs/>
                <w:vertAlign w:val="superscript"/>
              </w:rPr>
              <w:t>#</w:t>
            </w:r>
          </w:p>
        </w:tc>
        <w:tc>
          <w:tcPr>
            <w:tcW w:w="551" w:type="pct"/>
            <w:vMerge/>
            <w:tcBorders>
              <w:left w:val="single" w:sz="4" w:space="0" w:color="auto"/>
            </w:tcBorders>
            <w:vAlign w:val="top"/>
          </w:tcPr>
          <w:p w:rsidR="007C122C" w:rsidRPr="005D5B10" w:rsidRDefault="007C122C" w:rsidP="007C122C">
            <w:pPr>
              <w:pStyle w:val="TableText"/>
              <w:jc w:val="right"/>
              <w:cnfStyle w:val="000000000000" w:firstRow="0" w:lastRow="0" w:firstColumn="0" w:lastColumn="0" w:oddVBand="0" w:evenVBand="0" w:oddHBand="0" w:evenHBand="0" w:firstRowFirstColumn="0" w:firstRowLastColumn="0" w:lastRowFirstColumn="0" w:lastRowLastColumn="0"/>
            </w:pPr>
          </w:p>
        </w:tc>
        <w:tc>
          <w:tcPr>
            <w:tcW w:w="993" w:type="pct"/>
            <w:tcBorders>
              <w:top w:val="nil"/>
              <w:left w:val="single" w:sz="4" w:space="0" w:color="auto"/>
              <w:bottom w:val="nil"/>
            </w:tcBorders>
          </w:tcPr>
          <w:p w:rsidR="007C122C" w:rsidRPr="00675CB4" w:rsidRDefault="00675CB4" w:rsidP="007C122C">
            <w:pPr>
              <w:pStyle w:val="TableText"/>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r>
      <w:tr w:rsidR="007C122C" w:rsidRPr="000C17CB" w:rsidTr="009B5D06">
        <w:tc>
          <w:tcPr>
            <w:cnfStyle w:val="001000000000" w:firstRow="0" w:lastRow="0" w:firstColumn="1" w:lastColumn="0" w:oddVBand="0" w:evenVBand="0" w:oddHBand="0" w:evenHBand="0" w:firstRowFirstColumn="0" w:firstRowLastColumn="0" w:lastRowFirstColumn="0" w:lastRowLastColumn="0"/>
            <w:tcW w:w="1806" w:type="pct"/>
            <w:tcBorders>
              <w:top w:val="nil"/>
              <w:bottom w:val="single" w:sz="4" w:space="0" w:color="auto"/>
              <w:right w:val="single" w:sz="4" w:space="0" w:color="auto"/>
            </w:tcBorders>
            <w:vAlign w:val="top"/>
          </w:tcPr>
          <w:p w:rsidR="007C122C" w:rsidRDefault="007C122C" w:rsidP="007C122C">
            <w:pPr>
              <w:pStyle w:val="TableText"/>
            </w:pPr>
            <w:r>
              <w:t>Overall proposed population</w:t>
            </w:r>
          </w:p>
        </w:tc>
        <w:tc>
          <w:tcPr>
            <w:tcW w:w="785" w:type="pct"/>
            <w:tcBorders>
              <w:top w:val="nil"/>
              <w:left w:val="single" w:sz="4" w:space="0" w:color="auto"/>
              <w:bottom w:val="single" w:sz="4" w:space="0" w:color="auto"/>
              <w:right w:val="single" w:sz="4" w:space="0" w:color="auto"/>
            </w:tcBorders>
            <w:vAlign w:val="top"/>
          </w:tcPr>
          <w:p w:rsidR="007C122C" w:rsidRPr="00053DB1" w:rsidRDefault="007C122C" w:rsidP="007C122C">
            <w:pPr>
              <w:pStyle w:val="TableText"/>
              <w:jc w:val="center"/>
              <w:cnfStyle w:val="000000000000" w:firstRow="0" w:lastRow="0" w:firstColumn="0" w:lastColumn="0" w:oddVBand="0" w:evenVBand="0" w:oddHBand="0" w:evenHBand="0" w:firstRowFirstColumn="0" w:firstRowLastColumn="0" w:lastRowFirstColumn="0" w:lastRowLastColumn="0"/>
              <w:rPr>
                <w:i/>
              </w:rPr>
            </w:pPr>
            <w:r w:rsidRPr="00053DB1">
              <w:rPr>
                <w:i/>
              </w:rPr>
              <w:t xml:space="preserve">3.64 </w:t>
            </w:r>
            <w:r w:rsidRPr="00053DB1">
              <w:rPr>
                <w:i/>
                <w:vertAlign w:val="superscript"/>
              </w:rPr>
              <w:t>f</w:t>
            </w:r>
          </w:p>
        </w:tc>
        <w:tc>
          <w:tcPr>
            <w:tcW w:w="865" w:type="pct"/>
            <w:tcBorders>
              <w:top w:val="nil"/>
              <w:left w:val="single" w:sz="4" w:space="0" w:color="auto"/>
              <w:bottom w:val="single" w:sz="4" w:space="0" w:color="auto"/>
            </w:tcBorders>
            <w:vAlign w:val="top"/>
          </w:tcPr>
          <w:p w:rsidR="007C122C" w:rsidRPr="00000E89" w:rsidRDefault="00675CB4" w:rsidP="007C122C">
            <w:pPr>
              <w:pStyle w:val="TableText"/>
              <w:jc w:val="right"/>
              <w:cnfStyle w:val="000000000000" w:firstRow="0" w:lastRow="0" w:firstColumn="0" w:lastColumn="0" w:oddVBand="0" w:evenVBand="0" w:oddHBand="0" w:evenHBand="0" w:firstRowFirstColumn="0" w:firstRowLastColumn="0" w:lastRowFirstColumn="0" w:lastRowLastColumn="0"/>
              <w:rPr>
                <w:iCs/>
              </w:rPr>
            </w:pPr>
            <w:r>
              <w:rPr>
                <w:iCs/>
                <w:noProof/>
                <w:color w:val="000000"/>
                <w:highlight w:val="black"/>
              </w:rPr>
              <w:t>'''''''''''''''''''''</w:t>
            </w:r>
            <w:r w:rsidR="00000E89" w:rsidRPr="00000E89">
              <w:rPr>
                <w:iCs/>
                <w:vertAlign w:val="superscript"/>
              </w:rPr>
              <w:t>#</w:t>
            </w:r>
          </w:p>
        </w:tc>
        <w:tc>
          <w:tcPr>
            <w:tcW w:w="551" w:type="pct"/>
            <w:vMerge/>
            <w:tcBorders>
              <w:left w:val="single" w:sz="4" w:space="0" w:color="auto"/>
              <w:bottom w:val="single" w:sz="4" w:space="0" w:color="auto"/>
            </w:tcBorders>
            <w:vAlign w:val="top"/>
          </w:tcPr>
          <w:p w:rsidR="007C122C" w:rsidRDefault="007C122C" w:rsidP="007C122C">
            <w:pPr>
              <w:pStyle w:val="TableText"/>
              <w:jc w:val="right"/>
              <w:cnfStyle w:val="000000000000" w:firstRow="0" w:lastRow="0" w:firstColumn="0" w:lastColumn="0" w:oddVBand="0" w:evenVBand="0" w:oddHBand="0" w:evenHBand="0" w:firstRowFirstColumn="0" w:firstRowLastColumn="0" w:lastRowFirstColumn="0" w:lastRowLastColumn="0"/>
              <w:rPr>
                <w:i/>
              </w:rPr>
            </w:pPr>
          </w:p>
        </w:tc>
        <w:tc>
          <w:tcPr>
            <w:tcW w:w="993" w:type="pct"/>
            <w:tcBorders>
              <w:top w:val="nil"/>
              <w:left w:val="single" w:sz="4" w:space="0" w:color="auto"/>
              <w:bottom w:val="single" w:sz="4" w:space="0" w:color="auto"/>
            </w:tcBorders>
          </w:tcPr>
          <w:p w:rsidR="007C122C" w:rsidRPr="005D5B10" w:rsidRDefault="00675CB4" w:rsidP="007C122C">
            <w:pPr>
              <w:pStyle w:val="TableText"/>
              <w:jc w:val="right"/>
              <w:cnfStyle w:val="000000000000" w:firstRow="0" w:lastRow="0" w:firstColumn="0" w:lastColumn="0" w:oddVBand="0" w:evenVBand="0" w:oddHBand="0" w:evenHBand="0" w:firstRowFirstColumn="0" w:firstRowLastColumn="0" w:lastRowFirstColumn="0" w:lastRowLastColumn="0"/>
            </w:pPr>
            <w:r>
              <w:rPr>
                <w:noProof/>
                <w:color w:val="000000"/>
                <w:highlight w:val="black"/>
              </w:rPr>
              <w:t>''''''''''''''''''''''</w:t>
            </w:r>
            <w:r w:rsidR="007C122C">
              <w:t>−</w:t>
            </w:r>
            <w:r>
              <w:rPr>
                <w:noProof/>
                <w:color w:val="000000"/>
                <w:highlight w:val="black"/>
              </w:rPr>
              <w:t>'''''''''''''''''''''</w:t>
            </w:r>
          </w:p>
        </w:tc>
      </w:tr>
      <w:tr w:rsidR="00F1737B" w:rsidRPr="000C17CB" w:rsidTr="009B5D06">
        <w:tc>
          <w:tcPr>
            <w:cnfStyle w:val="001000000000" w:firstRow="0" w:lastRow="0" w:firstColumn="1" w:lastColumn="0" w:oddVBand="0" w:evenVBand="0" w:oddHBand="0" w:evenHBand="0" w:firstRowFirstColumn="0" w:firstRowLastColumn="0" w:lastRowFirstColumn="0" w:lastRowLastColumn="0"/>
            <w:tcW w:w="1806" w:type="pct"/>
            <w:tcBorders>
              <w:top w:val="single" w:sz="4" w:space="0" w:color="auto"/>
              <w:bottom w:val="single" w:sz="4" w:space="0" w:color="auto"/>
              <w:right w:val="nil"/>
            </w:tcBorders>
            <w:vAlign w:val="top"/>
          </w:tcPr>
          <w:p w:rsidR="00F1737B" w:rsidRPr="001B4023" w:rsidRDefault="00F1737B" w:rsidP="00CB375A">
            <w:pPr>
              <w:pStyle w:val="TableText"/>
              <w:rPr>
                <w:b/>
              </w:rPr>
            </w:pPr>
            <w:r w:rsidRPr="001B4023">
              <w:rPr>
                <w:b/>
              </w:rPr>
              <w:t>SoC</w:t>
            </w:r>
            <w:r w:rsidR="00212140">
              <w:rPr>
                <w:b/>
              </w:rPr>
              <w:br/>
              <w:t>[duration of treatment in clinical study]</w:t>
            </w:r>
          </w:p>
        </w:tc>
        <w:tc>
          <w:tcPr>
            <w:tcW w:w="785" w:type="pct"/>
            <w:tcBorders>
              <w:top w:val="single" w:sz="4" w:space="0" w:color="auto"/>
              <w:left w:val="nil"/>
              <w:bottom w:val="single" w:sz="4" w:space="0" w:color="auto"/>
              <w:right w:val="nil"/>
            </w:tcBorders>
            <w:vAlign w:val="top"/>
          </w:tcPr>
          <w:p w:rsidR="00F1737B"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rPr>
                <w:i/>
              </w:rPr>
            </w:pPr>
          </w:p>
        </w:tc>
        <w:tc>
          <w:tcPr>
            <w:tcW w:w="865" w:type="pct"/>
            <w:tcBorders>
              <w:top w:val="single" w:sz="4" w:space="0" w:color="auto"/>
              <w:left w:val="nil"/>
              <w:bottom w:val="single" w:sz="4" w:space="0" w:color="auto"/>
              <w:right w:val="nil"/>
            </w:tcBorders>
            <w:vAlign w:val="top"/>
          </w:tcPr>
          <w:p w:rsidR="00F1737B"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rPr>
                <w:i/>
              </w:rPr>
            </w:pPr>
          </w:p>
        </w:tc>
        <w:tc>
          <w:tcPr>
            <w:tcW w:w="551" w:type="pct"/>
            <w:tcBorders>
              <w:top w:val="single" w:sz="4" w:space="0" w:color="auto"/>
              <w:left w:val="nil"/>
              <w:bottom w:val="single" w:sz="4" w:space="0" w:color="auto"/>
              <w:right w:val="nil"/>
            </w:tcBorders>
            <w:vAlign w:val="top"/>
          </w:tcPr>
          <w:p w:rsidR="00F1737B"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rPr>
                <w:i/>
              </w:rPr>
            </w:pPr>
          </w:p>
        </w:tc>
        <w:tc>
          <w:tcPr>
            <w:tcW w:w="993" w:type="pct"/>
            <w:tcBorders>
              <w:top w:val="single" w:sz="4" w:space="0" w:color="auto"/>
              <w:left w:val="nil"/>
              <w:bottom w:val="single" w:sz="4" w:space="0" w:color="auto"/>
            </w:tcBorders>
          </w:tcPr>
          <w:p w:rsidR="00F1737B"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r>
      <w:tr w:rsidR="00F1737B" w:rsidRPr="000C17CB" w:rsidTr="009B5D06">
        <w:tc>
          <w:tcPr>
            <w:cnfStyle w:val="001000000000" w:firstRow="0" w:lastRow="0" w:firstColumn="1" w:lastColumn="0" w:oddVBand="0" w:evenVBand="0" w:oddHBand="0" w:evenHBand="0" w:firstRowFirstColumn="0" w:firstRowLastColumn="0" w:lastRowFirstColumn="0" w:lastRowLastColumn="0"/>
            <w:tcW w:w="1806" w:type="pct"/>
            <w:tcBorders>
              <w:top w:val="single" w:sz="4" w:space="0" w:color="auto"/>
              <w:bottom w:val="single" w:sz="4" w:space="0" w:color="auto"/>
              <w:right w:val="single" w:sz="4" w:space="0" w:color="auto"/>
            </w:tcBorders>
            <w:vAlign w:val="top"/>
          </w:tcPr>
          <w:p w:rsidR="00F1737B" w:rsidRDefault="00F1737B" w:rsidP="0058286F">
            <w:pPr>
              <w:pStyle w:val="TableText"/>
            </w:pPr>
            <w:r w:rsidRPr="00404B22">
              <w:t xml:space="preserve">Paediatric high </w:t>
            </w:r>
            <w:r w:rsidRPr="001A5BD5">
              <w:rPr>
                <w:i/>
              </w:rPr>
              <w:t>NTRK</w:t>
            </w:r>
            <w:r w:rsidRPr="00404B22">
              <w:t xml:space="preserve"> fusion frequency</w:t>
            </w:r>
            <w:r>
              <w:br/>
              <w:t xml:space="preserve">[4 </w:t>
            </w:r>
            <w:r w:rsidR="0058286F">
              <w:t xml:space="preserve">treatment </w:t>
            </w:r>
            <w:r>
              <w:t>cycles]</w:t>
            </w:r>
          </w:p>
        </w:tc>
        <w:tc>
          <w:tcPr>
            <w:tcW w:w="785" w:type="pct"/>
            <w:tcBorders>
              <w:top w:val="single" w:sz="4" w:space="0" w:color="auto"/>
              <w:left w:val="single" w:sz="4" w:space="0" w:color="auto"/>
              <w:bottom w:val="single" w:sz="4" w:space="0" w:color="auto"/>
              <w:right w:val="single" w:sz="4" w:space="0" w:color="auto"/>
            </w:tcBorders>
            <w:vAlign w:val="top"/>
          </w:tcPr>
          <w:p w:rsidR="00F1737B" w:rsidRPr="00000E89"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pPr>
            <w:r w:rsidRPr="00000E89">
              <w:t>0.29</w:t>
            </w:r>
            <w:r w:rsidR="00F90063" w:rsidRPr="00000E89">
              <w:br/>
              <w:t>revised: 0.33</w:t>
            </w:r>
          </w:p>
        </w:tc>
        <w:tc>
          <w:tcPr>
            <w:tcW w:w="865" w:type="pct"/>
            <w:tcBorders>
              <w:top w:val="single" w:sz="4" w:space="0" w:color="auto"/>
              <w:left w:val="single" w:sz="4" w:space="0" w:color="auto"/>
              <w:bottom w:val="single" w:sz="4" w:space="0" w:color="auto"/>
            </w:tcBorders>
            <w:vAlign w:val="top"/>
          </w:tcPr>
          <w:p w:rsidR="00F1737B" w:rsidRPr="00053DB1" w:rsidRDefault="00E74A47"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 xml:space="preserve">$9,276 </w:t>
            </w:r>
            <w:r w:rsidRPr="00053DB1">
              <w:rPr>
                <w:vertAlign w:val="superscript"/>
              </w:rPr>
              <w:t>g</w:t>
            </w:r>
            <w:r w:rsidRPr="00053DB1">
              <w:br/>
              <w:t xml:space="preserve">revised: $9,234 </w:t>
            </w:r>
            <w:r w:rsidRPr="00053DB1">
              <w:rPr>
                <w:vertAlign w:val="superscript"/>
              </w:rPr>
              <w:t>h</w:t>
            </w:r>
          </w:p>
        </w:tc>
        <w:tc>
          <w:tcPr>
            <w:tcW w:w="551" w:type="pct"/>
            <w:tcBorders>
              <w:top w:val="single" w:sz="4" w:space="0" w:color="auto"/>
              <w:left w:val="single" w:sz="4" w:space="0" w:color="auto"/>
              <w:bottom w:val="single" w:sz="4" w:space="0" w:color="auto"/>
            </w:tcBorders>
            <w:vAlign w:val="top"/>
          </w:tcPr>
          <w:p w:rsidR="00F1737B" w:rsidRPr="00053DB1" w:rsidRDefault="00E7242E" w:rsidP="00E7242E">
            <w:pPr>
              <w:pStyle w:val="TableText"/>
              <w:jc w:val="right"/>
              <w:cnfStyle w:val="000000000000" w:firstRow="0" w:lastRow="0" w:firstColumn="0" w:lastColumn="0" w:oddVBand="0" w:evenVBand="0" w:oddHBand="0" w:evenHBand="0" w:firstRowFirstColumn="0" w:firstRowLastColumn="0" w:lastRowFirstColumn="0" w:lastRowLastColumn="0"/>
            </w:pPr>
            <w:r w:rsidRPr="00053DB1">
              <w:t xml:space="preserve">0.35 </w:t>
            </w:r>
            <w:r w:rsidRPr="00053DB1">
              <w:br/>
              <w:t>(</w:t>
            </w:r>
            <w:r w:rsidR="00F1737B" w:rsidRPr="00053DB1">
              <w:t>IFS</w:t>
            </w:r>
            <w:r w:rsidRPr="00053DB1">
              <w:t xml:space="preserve"> only)</w:t>
            </w:r>
          </w:p>
        </w:tc>
        <w:tc>
          <w:tcPr>
            <w:tcW w:w="993" w:type="pct"/>
            <w:tcBorders>
              <w:top w:val="single" w:sz="4" w:space="0" w:color="auto"/>
              <w:left w:val="single" w:sz="4" w:space="0" w:color="auto"/>
              <w:bottom w:val="single" w:sz="4" w:space="0" w:color="auto"/>
            </w:tcBorders>
            <w:vAlign w:val="top"/>
          </w:tcPr>
          <w:p w:rsidR="00F1737B" w:rsidRPr="00053DB1" w:rsidRDefault="00F1737B" w:rsidP="0014701A">
            <w:pPr>
              <w:pStyle w:val="TableText"/>
              <w:jc w:val="right"/>
              <w:cnfStyle w:val="000000000000" w:firstRow="0" w:lastRow="0" w:firstColumn="0" w:lastColumn="0" w:oddVBand="0" w:evenVBand="0" w:oddHBand="0" w:evenHBand="0" w:firstRowFirstColumn="0" w:firstRowLastColumn="0" w:lastRowFirstColumn="0" w:lastRowLastColumn="0"/>
            </w:pPr>
            <w:r w:rsidRPr="00053DB1">
              <w:t>$2,810</w:t>
            </w:r>
            <w:r w:rsidR="0014701A" w:rsidRPr="00053DB1">
              <w:t xml:space="preserve"> </w:t>
            </w:r>
            <w:r w:rsidR="0014701A" w:rsidRPr="00053DB1">
              <w:br/>
              <w:t>revised: $2,617</w:t>
            </w:r>
          </w:p>
        </w:tc>
      </w:tr>
      <w:tr w:rsidR="0014701A" w:rsidRPr="000C17CB" w:rsidTr="009B5D06">
        <w:trPr>
          <w:trHeight w:val="300"/>
        </w:trPr>
        <w:tc>
          <w:tcPr>
            <w:cnfStyle w:val="001000000000" w:firstRow="0" w:lastRow="0" w:firstColumn="1" w:lastColumn="0" w:oddVBand="0" w:evenVBand="0" w:oddHBand="0" w:evenHBand="0" w:firstRowFirstColumn="0" w:firstRowLastColumn="0" w:lastRowFirstColumn="0" w:lastRowLastColumn="0"/>
            <w:tcW w:w="1806" w:type="pct"/>
            <w:vMerge w:val="restart"/>
            <w:tcBorders>
              <w:top w:val="single" w:sz="4" w:space="0" w:color="auto"/>
              <w:right w:val="single" w:sz="4" w:space="0" w:color="auto"/>
            </w:tcBorders>
            <w:vAlign w:val="top"/>
          </w:tcPr>
          <w:p w:rsidR="0014701A" w:rsidRDefault="0014701A" w:rsidP="00CB375A">
            <w:pPr>
              <w:pStyle w:val="TableText"/>
            </w:pPr>
            <w:r w:rsidRPr="00404B22">
              <w:t xml:space="preserve">Paediatric low </w:t>
            </w:r>
            <w:r w:rsidRPr="001A5BD5">
              <w:rPr>
                <w:i/>
              </w:rPr>
              <w:t>NTRK</w:t>
            </w:r>
            <w:r w:rsidRPr="00404B22">
              <w:t xml:space="preserve"> fusion frequency</w:t>
            </w:r>
            <w:r>
              <w:br/>
              <w:t>[Up to 54 weeks]</w:t>
            </w:r>
          </w:p>
        </w:tc>
        <w:tc>
          <w:tcPr>
            <w:tcW w:w="785" w:type="pct"/>
            <w:vMerge w:val="restart"/>
            <w:tcBorders>
              <w:top w:val="single" w:sz="4" w:space="0" w:color="auto"/>
              <w:left w:val="single" w:sz="4" w:space="0" w:color="auto"/>
              <w:right w:val="single" w:sz="4" w:space="0" w:color="auto"/>
            </w:tcBorders>
            <w:vAlign w:val="top"/>
          </w:tcPr>
          <w:p w:rsidR="0014701A" w:rsidRDefault="0014701A" w:rsidP="00CB375A">
            <w:pPr>
              <w:pStyle w:val="TableText"/>
              <w:jc w:val="center"/>
              <w:cnfStyle w:val="000000000000" w:firstRow="0" w:lastRow="0" w:firstColumn="0" w:lastColumn="0" w:oddVBand="0" w:evenVBand="0" w:oddHBand="0" w:evenHBand="0" w:firstRowFirstColumn="0" w:firstRowLastColumn="0" w:lastRowFirstColumn="0" w:lastRowLastColumn="0"/>
              <w:rPr>
                <w:i/>
              </w:rPr>
            </w:pPr>
            <w:r w:rsidRPr="003E3341">
              <w:t>0.73</w:t>
            </w:r>
          </w:p>
        </w:tc>
        <w:tc>
          <w:tcPr>
            <w:tcW w:w="865" w:type="pct"/>
            <w:vMerge w:val="restart"/>
            <w:tcBorders>
              <w:top w:val="single" w:sz="4" w:space="0" w:color="auto"/>
              <w:left w:val="single" w:sz="4" w:space="0" w:color="auto"/>
            </w:tcBorders>
            <w:vAlign w:val="top"/>
          </w:tcPr>
          <w:p w:rsidR="0014701A" w:rsidRPr="00053DB1" w:rsidRDefault="0014701A"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 xml:space="preserve">$970 </w:t>
            </w:r>
            <w:r w:rsidRPr="00053DB1">
              <w:br/>
              <w:t>revised: $1,354</w:t>
            </w:r>
          </w:p>
        </w:tc>
        <w:tc>
          <w:tcPr>
            <w:tcW w:w="551" w:type="pct"/>
            <w:vMerge w:val="restart"/>
            <w:tcBorders>
              <w:top w:val="single" w:sz="4" w:space="0" w:color="auto"/>
              <w:left w:val="single" w:sz="4" w:space="0" w:color="auto"/>
            </w:tcBorders>
            <w:vAlign w:val="top"/>
          </w:tcPr>
          <w:p w:rsidR="0014701A" w:rsidRPr="00053DB1" w:rsidRDefault="0014701A"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CNS: 1.03</w:t>
            </w:r>
          </w:p>
          <w:p w:rsidR="0014701A" w:rsidRPr="00053DB1" w:rsidRDefault="0014701A" w:rsidP="00E7242E">
            <w:pPr>
              <w:pStyle w:val="TableText"/>
              <w:jc w:val="right"/>
              <w:cnfStyle w:val="000000000000" w:firstRow="0" w:lastRow="0" w:firstColumn="0" w:lastColumn="0" w:oddVBand="0" w:evenVBand="0" w:oddHBand="0" w:evenHBand="0" w:firstRowFirstColumn="0" w:firstRowLastColumn="0" w:lastRowFirstColumn="0" w:lastRowLastColumn="0"/>
            </w:pPr>
            <w:r w:rsidRPr="00053DB1">
              <w:t xml:space="preserve">STS: 0.23 </w:t>
            </w:r>
          </w:p>
        </w:tc>
        <w:tc>
          <w:tcPr>
            <w:tcW w:w="993" w:type="pct"/>
            <w:tcBorders>
              <w:top w:val="single" w:sz="4" w:space="0" w:color="auto"/>
              <w:left w:val="single" w:sz="4" w:space="0" w:color="auto"/>
              <w:bottom w:val="dotted" w:sz="4" w:space="0" w:color="auto"/>
            </w:tcBorders>
            <w:vAlign w:val="top"/>
          </w:tcPr>
          <w:p w:rsidR="0014701A" w:rsidRPr="00053DB1" w:rsidRDefault="0014701A" w:rsidP="0014701A">
            <w:pPr>
              <w:pStyle w:val="TableText"/>
              <w:jc w:val="right"/>
              <w:cnfStyle w:val="000000000000" w:firstRow="0" w:lastRow="0" w:firstColumn="0" w:lastColumn="0" w:oddVBand="0" w:evenVBand="0" w:oddHBand="0" w:evenHBand="0" w:firstRowFirstColumn="0" w:firstRowLastColumn="0" w:lastRowFirstColumn="0" w:lastRowLastColumn="0"/>
            </w:pPr>
            <w:r w:rsidRPr="00053DB1">
              <w:t>CNS: $1,378 (89%)</w:t>
            </w:r>
          </w:p>
        </w:tc>
      </w:tr>
      <w:tr w:rsidR="0014701A" w:rsidRPr="000C17CB" w:rsidTr="009B5D06">
        <w:trPr>
          <w:trHeight w:val="299"/>
        </w:trPr>
        <w:tc>
          <w:tcPr>
            <w:cnfStyle w:val="001000000000" w:firstRow="0" w:lastRow="0" w:firstColumn="1" w:lastColumn="0" w:oddVBand="0" w:evenVBand="0" w:oddHBand="0" w:evenHBand="0" w:firstRowFirstColumn="0" w:firstRowLastColumn="0" w:lastRowFirstColumn="0" w:lastRowLastColumn="0"/>
            <w:tcW w:w="1806" w:type="pct"/>
            <w:vMerge/>
            <w:tcBorders>
              <w:bottom w:val="single" w:sz="4" w:space="0" w:color="auto"/>
              <w:right w:val="single" w:sz="4" w:space="0" w:color="auto"/>
            </w:tcBorders>
            <w:vAlign w:val="top"/>
          </w:tcPr>
          <w:p w:rsidR="0014701A" w:rsidRPr="00404B22" w:rsidRDefault="0014701A" w:rsidP="00CB375A">
            <w:pPr>
              <w:pStyle w:val="TableText"/>
            </w:pPr>
          </w:p>
        </w:tc>
        <w:tc>
          <w:tcPr>
            <w:tcW w:w="785" w:type="pct"/>
            <w:vMerge/>
            <w:tcBorders>
              <w:left w:val="single" w:sz="4" w:space="0" w:color="auto"/>
              <w:bottom w:val="single" w:sz="4" w:space="0" w:color="auto"/>
              <w:right w:val="single" w:sz="4" w:space="0" w:color="auto"/>
            </w:tcBorders>
            <w:vAlign w:val="top"/>
          </w:tcPr>
          <w:p w:rsidR="0014701A" w:rsidRPr="003E3341" w:rsidRDefault="0014701A" w:rsidP="00CB375A">
            <w:pPr>
              <w:pStyle w:val="TableText"/>
              <w:jc w:val="center"/>
              <w:cnfStyle w:val="000000000000" w:firstRow="0" w:lastRow="0" w:firstColumn="0" w:lastColumn="0" w:oddVBand="0" w:evenVBand="0" w:oddHBand="0" w:evenHBand="0" w:firstRowFirstColumn="0" w:firstRowLastColumn="0" w:lastRowFirstColumn="0" w:lastRowLastColumn="0"/>
            </w:pPr>
          </w:p>
        </w:tc>
        <w:tc>
          <w:tcPr>
            <w:tcW w:w="865" w:type="pct"/>
            <w:vMerge/>
            <w:tcBorders>
              <w:left w:val="single" w:sz="4" w:space="0" w:color="auto"/>
            </w:tcBorders>
            <w:vAlign w:val="top"/>
          </w:tcPr>
          <w:p w:rsidR="0014701A" w:rsidRPr="00053DB1" w:rsidRDefault="0014701A" w:rsidP="00CB375A">
            <w:pPr>
              <w:pStyle w:val="TableText"/>
              <w:jc w:val="right"/>
              <w:cnfStyle w:val="000000000000" w:firstRow="0" w:lastRow="0" w:firstColumn="0" w:lastColumn="0" w:oddVBand="0" w:evenVBand="0" w:oddHBand="0" w:evenHBand="0" w:firstRowFirstColumn="0" w:firstRowLastColumn="0" w:lastRowFirstColumn="0" w:lastRowLastColumn="0"/>
            </w:pPr>
          </w:p>
        </w:tc>
        <w:tc>
          <w:tcPr>
            <w:tcW w:w="551" w:type="pct"/>
            <w:vMerge/>
            <w:tcBorders>
              <w:left w:val="single" w:sz="4" w:space="0" w:color="auto"/>
            </w:tcBorders>
            <w:vAlign w:val="top"/>
          </w:tcPr>
          <w:p w:rsidR="0014701A" w:rsidRPr="00053DB1" w:rsidRDefault="0014701A" w:rsidP="00CB375A">
            <w:pPr>
              <w:pStyle w:val="TableText"/>
              <w:jc w:val="right"/>
              <w:cnfStyle w:val="000000000000" w:firstRow="0" w:lastRow="0" w:firstColumn="0" w:lastColumn="0" w:oddVBand="0" w:evenVBand="0" w:oddHBand="0" w:evenHBand="0" w:firstRowFirstColumn="0" w:firstRowLastColumn="0" w:lastRowFirstColumn="0" w:lastRowLastColumn="0"/>
            </w:pPr>
          </w:p>
        </w:tc>
        <w:tc>
          <w:tcPr>
            <w:tcW w:w="993" w:type="pct"/>
            <w:tcBorders>
              <w:top w:val="dotted" w:sz="4" w:space="0" w:color="auto"/>
              <w:left w:val="single" w:sz="4" w:space="0" w:color="auto"/>
            </w:tcBorders>
            <w:vAlign w:val="top"/>
          </w:tcPr>
          <w:p w:rsidR="0014701A" w:rsidRPr="00053DB1" w:rsidRDefault="0014701A"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STS: $8,415 (11%)</w:t>
            </w:r>
            <w:r w:rsidRPr="00053DB1">
              <w:br/>
              <w:t>revised: $6,175</w:t>
            </w:r>
          </w:p>
        </w:tc>
      </w:tr>
      <w:tr w:rsidR="00F1737B" w:rsidRPr="000C17CB" w:rsidTr="009B5D06">
        <w:tc>
          <w:tcPr>
            <w:cnfStyle w:val="001000000000" w:firstRow="0" w:lastRow="0" w:firstColumn="1" w:lastColumn="0" w:oddVBand="0" w:evenVBand="0" w:oddHBand="0" w:evenHBand="0" w:firstRowFirstColumn="0" w:firstRowLastColumn="0" w:lastRowFirstColumn="0" w:lastRowLastColumn="0"/>
            <w:tcW w:w="1806" w:type="pct"/>
            <w:tcBorders>
              <w:top w:val="single" w:sz="4" w:space="0" w:color="auto"/>
              <w:bottom w:val="single" w:sz="4" w:space="0" w:color="auto"/>
              <w:right w:val="single" w:sz="4" w:space="0" w:color="auto"/>
            </w:tcBorders>
            <w:vAlign w:val="top"/>
          </w:tcPr>
          <w:p w:rsidR="00F1737B" w:rsidRDefault="00F1737B" w:rsidP="0058286F">
            <w:pPr>
              <w:pStyle w:val="TableText"/>
            </w:pPr>
            <w:r w:rsidRPr="00404B22">
              <w:t xml:space="preserve">Adult high </w:t>
            </w:r>
            <w:r w:rsidRPr="001A5BD5">
              <w:rPr>
                <w:i/>
              </w:rPr>
              <w:t>NTRK</w:t>
            </w:r>
            <w:r w:rsidRPr="00404B22">
              <w:t xml:space="preserve"> fusion frequency</w:t>
            </w:r>
            <w:r>
              <w:br/>
              <w:t>[</w:t>
            </w:r>
            <w:r w:rsidR="0058286F">
              <w:t xml:space="preserve">median </w:t>
            </w:r>
            <w:r>
              <w:t xml:space="preserve">5 </w:t>
            </w:r>
            <w:r w:rsidR="0058286F">
              <w:t xml:space="preserve">treatment </w:t>
            </w:r>
            <w:r>
              <w:t>cycles]</w:t>
            </w:r>
          </w:p>
        </w:tc>
        <w:tc>
          <w:tcPr>
            <w:tcW w:w="785" w:type="pct"/>
            <w:tcBorders>
              <w:top w:val="single" w:sz="4" w:space="0" w:color="auto"/>
              <w:left w:val="single" w:sz="4" w:space="0" w:color="auto"/>
              <w:bottom w:val="single" w:sz="4" w:space="0" w:color="auto"/>
              <w:right w:val="single" w:sz="4" w:space="0" w:color="auto"/>
            </w:tcBorders>
            <w:vAlign w:val="top"/>
          </w:tcPr>
          <w:p w:rsidR="00F1737B"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rPr>
                <w:i/>
              </w:rPr>
            </w:pPr>
            <w:r w:rsidRPr="003E3341">
              <w:t>0.24</w:t>
            </w:r>
          </w:p>
        </w:tc>
        <w:tc>
          <w:tcPr>
            <w:tcW w:w="865" w:type="pct"/>
            <w:tcBorders>
              <w:top w:val="single" w:sz="4" w:space="0" w:color="auto"/>
              <w:left w:val="single" w:sz="4" w:space="0" w:color="auto"/>
              <w:bottom w:val="single" w:sz="4" w:space="0" w:color="auto"/>
            </w:tcBorders>
            <w:vAlign w:val="top"/>
          </w:tcPr>
          <w:p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$1,847</w:t>
            </w:r>
            <w:r w:rsidR="00F90063" w:rsidRPr="00053DB1">
              <w:t xml:space="preserve"> </w:t>
            </w:r>
            <w:r w:rsidR="00F90063" w:rsidRPr="00053DB1">
              <w:br/>
              <w:t>revised: $1,601</w:t>
            </w:r>
          </w:p>
        </w:tc>
        <w:tc>
          <w:tcPr>
            <w:tcW w:w="551" w:type="pct"/>
            <w:tcBorders>
              <w:top w:val="single" w:sz="4" w:space="0" w:color="auto"/>
              <w:left w:val="single" w:sz="4" w:space="0" w:color="auto"/>
              <w:bottom w:val="single" w:sz="4" w:space="0" w:color="auto"/>
            </w:tcBorders>
            <w:vAlign w:val="top"/>
          </w:tcPr>
          <w:p w:rsidR="00F1737B" w:rsidRPr="00053DB1" w:rsidRDefault="00E7242E"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 xml:space="preserve">0.35 </w:t>
            </w:r>
          </w:p>
        </w:tc>
        <w:tc>
          <w:tcPr>
            <w:tcW w:w="993" w:type="pct"/>
            <w:tcBorders>
              <w:top w:val="single" w:sz="4" w:space="0" w:color="auto"/>
              <w:left w:val="single" w:sz="4" w:space="0" w:color="auto"/>
              <w:bottom w:val="single" w:sz="4" w:space="0" w:color="auto"/>
            </w:tcBorders>
            <w:vAlign w:val="top"/>
          </w:tcPr>
          <w:p w:rsidR="00F1737B" w:rsidRPr="00053DB1" w:rsidRDefault="00F1737B" w:rsidP="00192E6D">
            <w:pPr>
              <w:pStyle w:val="TableText"/>
              <w:jc w:val="right"/>
              <w:cnfStyle w:val="000000000000" w:firstRow="0" w:lastRow="0" w:firstColumn="0" w:lastColumn="0" w:oddVBand="0" w:evenVBand="0" w:oddHBand="0" w:evenHBand="0" w:firstRowFirstColumn="0" w:firstRowLastColumn="0" w:lastRowFirstColumn="0" w:lastRowLastColumn="0"/>
              <w:rPr>
                <w:b/>
              </w:rPr>
            </w:pPr>
            <w:r w:rsidRPr="00053DB1">
              <w:t>$2,241</w:t>
            </w:r>
            <w:r w:rsidR="00192E6D" w:rsidRPr="00053DB1">
              <w:t xml:space="preserve"> </w:t>
            </w:r>
            <w:r w:rsidR="00192E6D" w:rsidRPr="00053DB1">
              <w:br/>
              <w:t>revised: $1,942</w:t>
            </w:r>
          </w:p>
        </w:tc>
      </w:tr>
      <w:tr w:rsidR="00F1737B" w:rsidRPr="000C17CB" w:rsidTr="009B5D06">
        <w:tc>
          <w:tcPr>
            <w:cnfStyle w:val="001000000000" w:firstRow="0" w:lastRow="0" w:firstColumn="1" w:lastColumn="0" w:oddVBand="0" w:evenVBand="0" w:oddHBand="0" w:evenHBand="0" w:firstRowFirstColumn="0" w:firstRowLastColumn="0" w:lastRowFirstColumn="0" w:lastRowLastColumn="0"/>
            <w:tcW w:w="1806" w:type="pct"/>
            <w:tcBorders>
              <w:top w:val="single" w:sz="4" w:space="0" w:color="auto"/>
              <w:bottom w:val="single" w:sz="4" w:space="0" w:color="auto"/>
              <w:right w:val="nil"/>
            </w:tcBorders>
            <w:vAlign w:val="top"/>
          </w:tcPr>
          <w:p w:rsidR="00F1737B" w:rsidRDefault="00F1737B" w:rsidP="00CB375A">
            <w:pPr>
              <w:pStyle w:val="TableText"/>
            </w:pPr>
            <w:r w:rsidRPr="00404B22">
              <w:t xml:space="preserve">Adult low </w:t>
            </w:r>
            <w:r w:rsidRPr="001A5BD5">
              <w:rPr>
                <w:i/>
              </w:rPr>
              <w:t>NTRK</w:t>
            </w:r>
            <w:r w:rsidRPr="00404B22">
              <w:t xml:space="preserve"> fusion frequency</w:t>
            </w:r>
          </w:p>
        </w:tc>
        <w:tc>
          <w:tcPr>
            <w:tcW w:w="785" w:type="pct"/>
            <w:tcBorders>
              <w:top w:val="single" w:sz="4" w:space="0" w:color="auto"/>
              <w:left w:val="nil"/>
              <w:bottom w:val="single" w:sz="4" w:space="0" w:color="auto"/>
              <w:right w:val="nil"/>
            </w:tcBorders>
            <w:vAlign w:val="top"/>
          </w:tcPr>
          <w:p w:rsidR="00F1737B"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rPr>
                <w:i/>
              </w:rPr>
            </w:pPr>
          </w:p>
        </w:tc>
        <w:tc>
          <w:tcPr>
            <w:tcW w:w="865" w:type="pct"/>
            <w:tcBorders>
              <w:top w:val="single" w:sz="4" w:space="0" w:color="auto"/>
              <w:left w:val="nil"/>
              <w:bottom w:val="single" w:sz="4" w:space="0" w:color="auto"/>
              <w:right w:val="nil"/>
            </w:tcBorders>
            <w:vAlign w:val="top"/>
          </w:tcPr>
          <w:p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rPr>
                <w:i/>
              </w:rPr>
            </w:pPr>
          </w:p>
        </w:tc>
        <w:tc>
          <w:tcPr>
            <w:tcW w:w="551" w:type="pct"/>
            <w:tcBorders>
              <w:top w:val="single" w:sz="4" w:space="0" w:color="auto"/>
              <w:left w:val="nil"/>
              <w:bottom w:val="single" w:sz="4" w:space="0" w:color="auto"/>
              <w:right w:val="nil"/>
            </w:tcBorders>
            <w:vAlign w:val="top"/>
          </w:tcPr>
          <w:p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rPr>
                <w:i/>
              </w:rPr>
            </w:pPr>
          </w:p>
        </w:tc>
        <w:tc>
          <w:tcPr>
            <w:tcW w:w="993" w:type="pct"/>
            <w:tcBorders>
              <w:top w:val="single" w:sz="4" w:space="0" w:color="auto"/>
              <w:left w:val="nil"/>
              <w:bottom w:val="single" w:sz="4" w:space="0" w:color="auto"/>
            </w:tcBorders>
          </w:tcPr>
          <w:p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r>
      <w:tr w:rsidR="00F1737B" w:rsidRPr="000C17CB" w:rsidTr="009B5D06">
        <w:tc>
          <w:tcPr>
            <w:cnfStyle w:val="001000000000" w:firstRow="0" w:lastRow="0" w:firstColumn="1" w:lastColumn="0" w:oddVBand="0" w:evenVBand="0" w:oddHBand="0" w:evenHBand="0" w:firstRowFirstColumn="0" w:firstRowLastColumn="0" w:lastRowFirstColumn="0" w:lastRowLastColumn="0"/>
            <w:tcW w:w="1806" w:type="pct"/>
            <w:tcBorders>
              <w:top w:val="single" w:sz="4" w:space="0" w:color="auto"/>
              <w:bottom w:val="dotted" w:sz="4" w:space="0" w:color="auto"/>
              <w:right w:val="single" w:sz="4" w:space="0" w:color="auto"/>
            </w:tcBorders>
            <w:vAlign w:val="top"/>
          </w:tcPr>
          <w:p w:rsidR="00F1737B" w:rsidRPr="001B4023" w:rsidRDefault="00F1737B" w:rsidP="005C157F">
            <w:pPr>
              <w:pStyle w:val="TableText"/>
              <w:numPr>
                <w:ilvl w:val="0"/>
                <w:numId w:val="25"/>
              </w:numPr>
              <w:ind w:left="164" w:hanging="142"/>
            </w:pPr>
            <w:r w:rsidRPr="00404B22">
              <w:t>Colorectal</w:t>
            </w:r>
            <w:r>
              <w:t xml:space="preserve"> [mean </w:t>
            </w:r>
            <w:r w:rsidRPr="001B4023">
              <w:t>1</w:t>
            </w:r>
            <w:r w:rsidR="0058286F">
              <w:t>2.7</w:t>
            </w:r>
            <w:r w:rsidRPr="001B4023">
              <w:t xml:space="preserve"> weeks</w:t>
            </w:r>
            <w:r>
              <w:t>]</w:t>
            </w:r>
          </w:p>
        </w:tc>
        <w:tc>
          <w:tcPr>
            <w:tcW w:w="785" w:type="pct"/>
            <w:tcBorders>
              <w:top w:val="single" w:sz="4" w:space="0" w:color="auto"/>
              <w:left w:val="single" w:sz="4" w:space="0" w:color="auto"/>
              <w:bottom w:val="dotted" w:sz="4" w:space="0" w:color="auto"/>
              <w:right w:val="single" w:sz="4" w:space="0" w:color="auto"/>
            </w:tcBorders>
            <w:vAlign w:val="top"/>
          </w:tcPr>
          <w:p w:rsidR="00F1737B"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rPr>
                <w:i/>
              </w:rPr>
            </w:pPr>
            <w:r>
              <w:t>0.31</w:t>
            </w:r>
            <w:r w:rsidRPr="003B625D">
              <w:t xml:space="preserve"> </w:t>
            </w:r>
            <w:r w:rsidR="00E74A47">
              <w:rPr>
                <w:vertAlign w:val="superscript"/>
              </w:rPr>
              <w:t>i</w:t>
            </w:r>
          </w:p>
        </w:tc>
        <w:tc>
          <w:tcPr>
            <w:tcW w:w="865" w:type="pct"/>
            <w:tcBorders>
              <w:top w:val="single" w:sz="4" w:space="0" w:color="auto"/>
              <w:left w:val="single" w:sz="4" w:space="0" w:color="auto"/>
              <w:bottom w:val="dotted" w:sz="4" w:space="0" w:color="auto"/>
            </w:tcBorders>
            <w:vAlign w:val="top"/>
          </w:tcPr>
          <w:p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$12,761</w:t>
            </w:r>
            <w:r w:rsidR="00F90063" w:rsidRPr="00053DB1">
              <w:t xml:space="preserve"> </w:t>
            </w:r>
            <w:r w:rsidR="00F90063" w:rsidRPr="00053DB1">
              <w:br/>
              <w:t>revised: $13,128</w:t>
            </w:r>
          </w:p>
        </w:tc>
        <w:tc>
          <w:tcPr>
            <w:tcW w:w="551" w:type="pct"/>
            <w:tcBorders>
              <w:top w:val="single" w:sz="4" w:space="0" w:color="auto"/>
              <w:left w:val="single" w:sz="4" w:space="0" w:color="auto"/>
              <w:bottom w:val="dotted" w:sz="4" w:space="0" w:color="auto"/>
            </w:tcBorders>
            <w:vAlign w:val="top"/>
          </w:tcPr>
          <w:p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 xml:space="preserve">0.17 </w:t>
            </w:r>
            <w:r w:rsidR="00E74A47" w:rsidRPr="00053DB1">
              <w:rPr>
                <w:vertAlign w:val="superscript"/>
              </w:rPr>
              <w:t>j</w:t>
            </w:r>
          </w:p>
        </w:tc>
        <w:tc>
          <w:tcPr>
            <w:tcW w:w="993" w:type="pct"/>
            <w:tcBorders>
              <w:top w:val="single" w:sz="4" w:space="0" w:color="auto"/>
              <w:left w:val="single" w:sz="4" w:space="0" w:color="auto"/>
              <w:bottom w:val="dotted" w:sz="4" w:space="0" w:color="auto"/>
            </w:tcBorders>
            <w:vAlign w:val="top"/>
          </w:tcPr>
          <w:p w:rsidR="00F1737B" w:rsidRPr="00053DB1" w:rsidRDefault="00F1737B" w:rsidP="00192E6D">
            <w:pPr>
              <w:pStyle w:val="TableText"/>
              <w:jc w:val="right"/>
              <w:cnfStyle w:val="000000000000" w:firstRow="0" w:lastRow="0" w:firstColumn="0" w:lastColumn="0" w:oddVBand="0" w:evenVBand="0" w:oddHBand="0" w:evenHBand="0" w:firstRowFirstColumn="0" w:firstRowLastColumn="0" w:lastRowFirstColumn="0" w:lastRowLastColumn="0"/>
            </w:pPr>
            <w:r w:rsidRPr="00053DB1">
              <w:t>$6,897</w:t>
            </w:r>
            <w:r w:rsidR="00192E6D" w:rsidRPr="00053DB1">
              <w:t xml:space="preserve"> </w:t>
            </w:r>
            <w:r w:rsidR="00192E6D" w:rsidRPr="00053DB1">
              <w:br/>
              <w:t>revised: $7,100</w:t>
            </w:r>
          </w:p>
        </w:tc>
      </w:tr>
      <w:tr w:rsidR="00F1737B" w:rsidRPr="000C17CB" w:rsidTr="009B5D06">
        <w:tc>
          <w:tcPr>
            <w:cnfStyle w:val="001000000000" w:firstRow="0" w:lastRow="0" w:firstColumn="1" w:lastColumn="0" w:oddVBand="0" w:evenVBand="0" w:oddHBand="0" w:evenHBand="0" w:firstRowFirstColumn="0" w:firstRowLastColumn="0" w:lastRowFirstColumn="0" w:lastRowLastColumn="0"/>
            <w:tcW w:w="1806" w:type="pct"/>
            <w:tcBorders>
              <w:top w:val="dotted" w:sz="4" w:space="0" w:color="auto"/>
              <w:bottom w:val="dotted" w:sz="4" w:space="0" w:color="auto"/>
              <w:right w:val="single" w:sz="4" w:space="0" w:color="auto"/>
            </w:tcBorders>
            <w:vAlign w:val="top"/>
          </w:tcPr>
          <w:p w:rsidR="00F1737B" w:rsidRDefault="00F1737B" w:rsidP="005C157F">
            <w:pPr>
              <w:pStyle w:val="TableText"/>
              <w:numPr>
                <w:ilvl w:val="0"/>
                <w:numId w:val="25"/>
              </w:numPr>
              <w:ind w:left="164" w:hanging="142"/>
            </w:pPr>
            <w:r w:rsidRPr="00404B22">
              <w:t>STS</w:t>
            </w:r>
            <w:r>
              <w:t xml:space="preserve"> [until progression]</w:t>
            </w:r>
            <w:r w:rsidRPr="001B4023">
              <w:rPr>
                <w:vertAlign w:val="superscript"/>
              </w:rPr>
              <w:t xml:space="preserve"> </w:t>
            </w:r>
            <w:r w:rsidR="00E74A47">
              <w:rPr>
                <w:vertAlign w:val="superscript"/>
              </w:rPr>
              <w:t>k</w:t>
            </w:r>
          </w:p>
        </w:tc>
        <w:tc>
          <w:tcPr>
            <w:tcW w:w="785" w:type="pct"/>
            <w:tcBorders>
              <w:top w:val="dotted" w:sz="4" w:space="0" w:color="auto"/>
              <w:left w:val="single" w:sz="4" w:space="0" w:color="auto"/>
              <w:bottom w:val="dotted" w:sz="4" w:space="0" w:color="auto"/>
              <w:right w:val="single" w:sz="4" w:space="0" w:color="auto"/>
            </w:tcBorders>
            <w:vAlign w:val="top"/>
          </w:tcPr>
          <w:p w:rsidR="00F1737B" w:rsidRPr="00000E89" w:rsidRDefault="00F1737B" w:rsidP="00F90063">
            <w:pPr>
              <w:pStyle w:val="TableText"/>
              <w:jc w:val="center"/>
              <w:cnfStyle w:val="000000000000" w:firstRow="0" w:lastRow="0" w:firstColumn="0" w:lastColumn="0" w:oddVBand="0" w:evenVBand="0" w:oddHBand="0" w:evenHBand="0" w:firstRowFirstColumn="0" w:firstRowLastColumn="0" w:lastRowFirstColumn="0" w:lastRowLastColumn="0"/>
            </w:pPr>
            <w:r w:rsidRPr="00000E89">
              <w:t xml:space="preserve">0.28 </w:t>
            </w:r>
            <w:r w:rsidR="00E74A47" w:rsidRPr="00000E89">
              <w:rPr>
                <w:vertAlign w:val="superscript"/>
              </w:rPr>
              <w:t>i</w:t>
            </w:r>
            <w:r w:rsidR="00F90063" w:rsidRPr="00000E89">
              <w:br/>
              <w:t>revised: 0.30</w:t>
            </w:r>
          </w:p>
        </w:tc>
        <w:tc>
          <w:tcPr>
            <w:tcW w:w="865" w:type="pct"/>
            <w:tcBorders>
              <w:top w:val="dotted" w:sz="4" w:space="0" w:color="auto"/>
              <w:left w:val="single" w:sz="4" w:space="0" w:color="auto"/>
              <w:bottom w:val="dotted" w:sz="4" w:space="0" w:color="auto"/>
            </w:tcBorders>
            <w:vAlign w:val="top"/>
          </w:tcPr>
          <w:p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$629</w:t>
            </w:r>
            <w:r w:rsidR="00F90063" w:rsidRPr="00053DB1">
              <w:t xml:space="preserve"> </w:t>
            </w:r>
            <w:r w:rsidR="00F90063" w:rsidRPr="00053DB1">
              <w:br/>
              <w:t>revised: $672</w:t>
            </w:r>
          </w:p>
        </w:tc>
        <w:tc>
          <w:tcPr>
            <w:tcW w:w="551" w:type="pct"/>
            <w:tcBorders>
              <w:top w:val="dotted" w:sz="4" w:space="0" w:color="auto"/>
              <w:left w:val="single" w:sz="4" w:space="0" w:color="auto"/>
              <w:bottom w:val="dotted" w:sz="4" w:space="0" w:color="auto"/>
            </w:tcBorders>
            <w:vAlign w:val="top"/>
          </w:tcPr>
          <w:p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w:t>
            </w:r>
          </w:p>
        </w:tc>
        <w:tc>
          <w:tcPr>
            <w:tcW w:w="993" w:type="pct"/>
            <w:tcBorders>
              <w:top w:val="dotted" w:sz="4" w:space="0" w:color="auto"/>
              <w:left w:val="single" w:sz="4" w:space="0" w:color="auto"/>
              <w:bottom w:val="dotted" w:sz="4" w:space="0" w:color="auto"/>
            </w:tcBorders>
            <w:vAlign w:val="top"/>
          </w:tcPr>
          <w:p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w:t>
            </w:r>
          </w:p>
        </w:tc>
      </w:tr>
      <w:tr w:rsidR="00F1737B" w:rsidRPr="000C17CB" w:rsidTr="009B5D06">
        <w:tc>
          <w:tcPr>
            <w:cnfStyle w:val="001000000000" w:firstRow="0" w:lastRow="0" w:firstColumn="1" w:lastColumn="0" w:oddVBand="0" w:evenVBand="0" w:oddHBand="0" w:evenHBand="0" w:firstRowFirstColumn="0" w:firstRowLastColumn="0" w:lastRowFirstColumn="0" w:lastRowLastColumn="0"/>
            <w:tcW w:w="1806" w:type="pct"/>
            <w:tcBorders>
              <w:top w:val="dotted" w:sz="4" w:space="0" w:color="auto"/>
              <w:bottom w:val="dotted" w:sz="4" w:space="0" w:color="auto"/>
              <w:right w:val="single" w:sz="4" w:space="0" w:color="auto"/>
            </w:tcBorders>
            <w:vAlign w:val="top"/>
          </w:tcPr>
          <w:p w:rsidR="00F1737B" w:rsidRDefault="00F1737B" w:rsidP="005C157F">
            <w:pPr>
              <w:pStyle w:val="TableText"/>
              <w:numPr>
                <w:ilvl w:val="0"/>
                <w:numId w:val="25"/>
              </w:numPr>
              <w:ind w:left="164" w:hanging="142"/>
            </w:pPr>
            <w:r w:rsidRPr="00404B22">
              <w:t>NSCLC</w:t>
            </w:r>
            <w:r>
              <w:t xml:space="preserve"> [</w:t>
            </w:r>
            <w:r w:rsidR="0058286F">
              <w:t xml:space="preserve">median </w:t>
            </w:r>
            <w:r>
              <w:t xml:space="preserve">4 </w:t>
            </w:r>
            <w:r w:rsidR="0058286F">
              <w:t xml:space="preserve">treatment </w:t>
            </w:r>
            <w:r>
              <w:t>cycles]</w:t>
            </w:r>
          </w:p>
        </w:tc>
        <w:tc>
          <w:tcPr>
            <w:tcW w:w="785" w:type="pct"/>
            <w:tcBorders>
              <w:top w:val="dotted" w:sz="4" w:space="0" w:color="auto"/>
              <w:left w:val="single" w:sz="4" w:space="0" w:color="auto"/>
              <w:bottom w:val="dotted" w:sz="4" w:space="0" w:color="auto"/>
              <w:right w:val="single" w:sz="4" w:space="0" w:color="auto"/>
            </w:tcBorders>
            <w:vAlign w:val="top"/>
          </w:tcPr>
          <w:p w:rsidR="00F1737B"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rPr>
                <w:i/>
              </w:rPr>
            </w:pPr>
            <w:r>
              <w:t>0.19</w:t>
            </w:r>
          </w:p>
        </w:tc>
        <w:tc>
          <w:tcPr>
            <w:tcW w:w="865" w:type="pct"/>
            <w:tcBorders>
              <w:top w:val="dotted" w:sz="4" w:space="0" w:color="auto"/>
              <w:left w:val="single" w:sz="4" w:space="0" w:color="auto"/>
              <w:bottom w:val="dotted" w:sz="4" w:space="0" w:color="auto"/>
            </w:tcBorders>
            <w:vAlign w:val="top"/>
          </w:tcPr>
          <w:p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$607</w:t>
            </w:r>
            <w:r w:rsidR="00F90063" w:rsidRPr="00053DB1">
              <w:t xml:space="preserve"> </w:t>
            </w:r>
            <w:r w:rsidR="00F90063" w:rsidRPr="00053DB1">
              <w:br/>
              <w:t>revised: $446</w:t>
            </w:r>
          </w:p>
        </w:tc>
        <w:tc>
          <w:tcPr>
            <w:tcW w:w="551" w:type="pct"/>
            <w:tcBorders>
              <w:top w:val="dotted" w:sz="4" w:space="0" w:color="auto"/>
              <w:left w:val="single" w:sz="4" w:space="0" w:color="auto"/>
              <w:bottom w:val="dotted" w:sz="4" w:space="0" w:color="auto"/>
            </w:tcBorders>
            <w:vAlign w:val="top"/>
          </w:tcPr>
          <w:p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 xml:space="preserve">0.23 </w:t>
            </w:r>
          </w:p>
        </w:tc>
        <w:tc>
          <w:tcPr>
            <w:tcW w:w="993" w:type="pct"/>
            <w:tcBorders>
              <w:top w:val="dotted" w:sz="4" w:space="0" w:color="auto"/>
              <w:left w:val="single" w:sz="4" w:space="0" w:color="auto"/>
              <w:bottom w:val="dotted" w:sz="4" w:space="0" w:color="auto"/>
            </w:tcBorders>
            <w:vAlign w:val="top"/>
          </w:tcPr>
          <w:p w:rsidR="00F1737B" w:rsidRPr="00053DB1" w:rsidRDefault="00F1737B" w:rsidP="00192E6D">
            <w:pPr>
              <w:pStyle w:val="TableText"/>
              <w:jc w:val="right"/>
              <w:cnfStyle w:val="000000000000" w:firstRow="0" w:lastRow="0" w:firstColumn="0" w:lastColumn="0" w:oddVBand="0" w:evenVBand="0" w:oddHBand="0" w:evenHBand="0" w:firstRowFirstColumn="0" w:firstRowLastColumn="0" w:lastRowFirstColumn="0" w:lastRowLastColumn="0"/>
            </w:pPr>
            <w:r w:rsidRPr="00053DB1">
              <w:t>$729</w:t>
            </w:r>
            <w:r w:rsidR="00192E6D" w:rsidRPr="00053DB1">
              <w:t xml:space="preserve"> </w:t>
            </w:r>
            <w:r w:rsidR="00192E6D" w:rsidRPr="00053DB1">
              <w:br/>
              <w:t>revised: $536</w:t>
            </w:r>
          </w:p>
        </w:tc>
      </w:tr>
      <w:tr w:rsidR="00F1737B" w:rsidRPr="000C17CB" w:rsidTr="009B5D06">
        <w:tc>
          <w:tcPr>
            <w:cnfStyle w:val="001000000000" w:firstRow="0" w:lastRow="0" w:firstColumn="1" w:lastColumn="0" w:oddVBand="0" w:evenVBand="0" w:oddHBand="0" w:evenHBand="0" w:firstRowFirstColumn="0" w:firstRowLastColumn="0" w:lastRowFirstColumn="0" w:lastRowLastColumn="0"/>
            <w:tcW w:w="1806" w:type="pct"/>
            <w:tcBorders>
              <w:top w:val="dotted" w:sz="4" w:space="0" w:color="auto"/>
              <w:bottom w:val="single" w:sz="4" w:space="0" w:color="auto"/>
              <w:right w:val="single" w:sz="4" w:space="0" w:color="auto"/>
            </w:tcBorders>
            <w:vAlign w:val="top"/>
          </w:tcPr>
          <w:p w:rsidR="00F1737B" w:rsidRDefault="00F1737B" w:rsidP="0066607A">
            <w:pPr>
              <w:pStyle w:val="TableText"/>
              <w:numPr>
                <w:ilvl w:val="0"/>
                <w:numId w:val="25"/>
              </w:numPr>
              <w:ind w:left="164" w:hanging="142"/>
            </w:pPr>
            <w:r w:rsidRPr="00404B22">
              <w:t>Thyroid</w:t>
            </w:r>
            <w:r>
              <w:t xml:space="preserve"> [median 13.8 months]</w:t>
            </w:r>
          </w:p>
        </w:tc>
        <w:tc>
          <w:tcPr>
            <w:tcW w:w="785" w:type="pct"/>
            <w:tcBorders>
              <w:top w:val="dotted" w:sz="4" w:space="0" w:color="auto"/>
              <w:left w:val="single" w:sz="4" w:space="0" w:color="auto"/>
              <w:bottom w:val="single" w:sz="4" w:space="0" w:color="auto"/>
              <w:right w:val="single" w:sz="4" w:space="0" w:color="auto"/>
            </w:tcBorders>
            <w:vAlign w:val="top"/>
          </w:tcPr>
          <w:p w:rsidR="00F1737B"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rPr>
                <w:i/>
              </w:rPr>
            </w:pPr>
            <w:r>
              <w:t>3.30</w:t>
            </w:r>
            <w:r w:rsidRPr="003B625D">
              <w:t xml:space="preserve"> </w:t>
            </w:r>
            <w:r w:rsidR="00E74A47">
              <w:rPr>
                <w:vertAlign w:val="superscript"/>
              </w:rPr>
              <w:t>i</w:t>
            </w:r>
          </w:p>
        </w:tc>
        <w:tc>
          <w:tcPr>
            <w:tcW w:w="865" w:type="pct"/>
            <w:tcBorders>
              <w:top w:val="dotted" w:sz="4" w:space="0" w:color="auto"/>
              <w:left w:val="single" w:sz="4" w:space="0" w:color="auto"/>
            </w:tcBorders>
            <w:vAlign w:val="top"/>
          </w:tcPr>
          <w:p w:rsidR="00F1737B" w:rsidRPr="00053DB1" w:rsidRDefault="00F1737B" w:rsidP="00F90063">
            <w:pPr>
              <w:pStyle w:val="TableText"/>
              <w:jc w:val="right"/>
              <w:cnfStyle w:val="000000000000" w:firstRow="0" w:lastRow="0" w:firstColumn="0" w:lastColumn="0" w:oddVBand="0" w:evenVBand="0" w:oddHBand="0" w:evenHBand="0" w:firstRowFirstColumn="0" w:firstRowLastColumn="0" w:lastRowFirstColumn="0" w:lastRowLastColumn="0"/>
            </w:pPr>
            <w:r w:rsidRPr="00053DB1">
              <w:t>$447,662</w:t>
            </w:r>
            <w:r w:rsidR="00F90063" w:rsidRPr="00053DB1">
              <w:br/>
              <w:t>revised: $388,243</w:t>
            </w:r>
            <w:r w:rsidR="00F90063" w:rsidRPr="00053DB1" w:rsidDel="00F90063">
              <w:rPr>
                <w:rStyle w:val="CommentReference"/>
                <w:color w:val="auto"/>
                <w:lang w:eastAsia="en-US"/>
              </w:rPr>
              <w:t xml:space="preserve"> </w:t>
            </w:r>
          </w:p>
        </w:tc>
        <w:tc>
          <w:tcPr>
            <w:tcW w:w="551" w:type="pct"/>
            <w:tcBorders>
              <w:top w:val="dotted" w:sz="4" w:space="0" w:color="auto"/>
              <w:left w:val="single" w:sz="4" w:space="0" w:color="auto"/>
            </w:tcBorders>
            <w:vAlign w:val="top"/>
          </w:tcPr>
          <w:p w:rsidR="00F1737B" w:rsidRPr="00053DB1" w:rsidRDefault="00F1737B" w:rsidP="00F90063">
            <w:pPr>
              <w:pStyle w:val="TableText"/>
              <w:jc w:val="right"/>
              <w:cnfStyle w:val="000000000000" w:firstRow="0" w:lastRow="0" w:firstColumn="0" w:lastColumn="0" w:oddVBand="0" w:evenVBand="0" w:oddHBand="0" w:evenHBand="0" w:firstRowFirstColumn="0" w:firstRowLastColumn="0" w:lastRowFirstColumn="0" w:lastRowLastColumn="0"/>
            </w:pPr>
            <w:r w:rsidRPr="00053DB1">
              <w:t xml:space="preserve">1.53 </w:t>
            </w:r>
            <w:r w:rsidR="00F90063" w:rsidRPr="00053DB1">
              <w:rPr>
                <w:vertAlign w:val="superscript"/>
              </w:rPr>
              <w:t>l</w:t>
            </w:r>
          </w:p>
        </w:tc>
        <w:tc>
          <w:tcPr>
            <w:tcW w:w="993" w:type="pct"/>
            <w:tcBorders>
              <w:top w:val="dotted" w:sz="4" w:space="0" w:color="auto"/>
              <w:left w:val="single" w:sz="4" w:space="0" w:color="auto"/>
            </w:tcBorders>
            <w:vAlign w:val="top"/>
          </w:tcPr>
          <w:p w:rsidR="00F1737B" w:rsidRPr="00053DB1" w:rsidRDefault="00F1737B" w:rsidP="00192E6D">
            <w:pPr>
              <w:pStyle w:val="TableText"/>
              <w:jc w:val="right"/>
              <w:cnfStyle w:val="000000000000" w:firstRow="0" w:lastRow="0" w:firstColumn="0" w:lastColumn="0" w:oddVBand="0" w:evenVBand="0" w:oddHBand="0" w:evenHBand="0" w:firstRowFirstColumn="0" w:firstRowLastColumn="0" w:lastRowFirstColumn="0" w:lastRowLastColumn="0"/>
            </w:pPr>
            <w:r w:rsidRPr="00053DB1">
              <w:t>$</w:t>
            </w:r>
            <w:r w:rsidR="0014701A" w:rsidRPr="00053DB1">
              <w:t>206</w:t>
            </w:r>
            <w:r w:rsidRPr="00053DB1">
              <w:t>,517</w:t>
            </w:r>
            <w:r w:rsidR="00192E6D" w:rsidRPr="00053DB1">
              <w:t xml:space="preserve"> </w:t>
            </w:r>
            <w:r w:rsidR="00192E6D" w:rsidRPr="00053DB1">
              <w:br/>
              <w:t>revised: $156,919</w:t>
            </w:r>
          </w:p>
        </w:tc>
      </w:tr>
    </w:tbl>
    <w:p w:rsidR="00FD03A0" w:rsidRPr="000539AE" w:rsidRDefault="00FD03A0" w:rsidP="00FD03A0">
      <w:pPr>
        <w:pStyle w:val="TableFooter"/>
      </w:pPr>
      <w:r w:rsidRPr="000539AE">
        <w:t>Source: Constructed during the evaluation from the ‘A3.1_Larotrectinib_PBACMSAC_CEA_June21_resub_6June21.xlsx’ and the ‘A4.2_larotrectinib_PBACMSAC_Section4_June21_3June21.xlsx’ workbooks included in the resubmission.</w:t>
      </w:r>
    </w:p>
    <w:p w:rsidR="00E74A47" w:rsidRDefault="00E7242E" w:rsidP="00FD03A0">
      <w:pPr>
        <w:pStyle w:val="TableFooter"/>
        <w:rPr>
          <w:iCs/>
        </w:rPr>
      </w:pPr>
      <w:r w:rsidRPr="00000E89">
        <w:rPr>
          <w:iCs/>
        </w:rPr>
        <w:t xml:space="preserve">Note: </w:t>
      </w:r>
      <w:r w:rsidR="00000E89">
        <w:rPr>
          <w:iCs/>
        </w:rPr>
        <w:t xml:space="preserve">For the revised costs, </w:t>
      </w:r>
      <w:r w:rsidR="00E74A47" w:rsidRPr="00000E89">
        <w:rPr>
          <w:iCs/>
        </w:rPr>
        <w:t>Larotrectinib treatment costs in tumour type subgroup combinations were revised to reflect the distribution of tumour types eligible for testing on model entry. SoC treatment costs were revised to reflect the lowest cost combinations</w:t>
      </w:r>
      <w:r w:rsidRPr="00000E89">
        <w:rPr>
          <w:iCs/>
        </w:rPr>
        <w:t>. The duration of SoC treatment in the paediatric high subgroup was revised to re</w:t>
      </w:r>
      <w:r w:rsidR="00C64F7E" w:rsidRPr="00000E89">
        <w:rPr>
          <w:iCs/>
        </w:rPr>
        <w:t>f</w:t>
      </w:r>
      <w:r w:rsidRPr="00000E89">
        <w:rPr>
          <w:iCs/>
        </w:rPr>
        <w:t xml:space="preserve">lect the distribution of IFS and STS NTRK-positive patients expected in Australian clinical practice, and the SoC duration in </w:t>
      </w:r>
      <w:r w:rsidR="00D117CD" w:rsidRPr="00000E89">
        <w:rPr>
          <w:iCs/>
        </w:rPr>
        <w:t>patients</w:t>
      </w:r>
      <w:r w:rsidRPr="00000E89">
        <w:rPr>
          <w:iCs/>
        </w:rPr>
        <w:t xml:space="preserve"> with STS was revised to correct for an error where the Kaplan-Meier data had been offset by one row.</w:t>
      </w:r>
    </w:p>
    <w:p w:rsidR="00000E89" w:rsidRPr="00000E89" w:rsidRDefault="00000E89" w:rsidP="00FD03A0">
      <w:pPr>
        <w:pStyle w:val="TableFooter"/>
        <w:rPr>
          <w:iCs/>
        </w:rPr>
      </w:pPr>
      <w:r>
        <w:rPr>
          <w:iCs/>
          <w:vertAlign w:val="superscript"/>
        </w:rPr>
        <w:t xml:space="preserve"># </w:t>
      </w:r>
      <w:r>
        <w:rPr>
          <w:iCs/>
        </w:rPr>
        <w:t xml:space="preserve">Calculated by the </w:t>
      </w:r>
      <w:r w:rsidR="00D117CD">
        <w:rPr>
          <w:iCs/>
        </w:rPr>
        <w:t>evaluation</w:t>
      </w:r>
    </w:p>
    <w:p w:rsidR="00F1737B" w:rsidRDefault="00F1737B" w:rsidP="00F1737B">
      <w:pPr>
        <w:pStyle w:val="TableFooter"/>
      </w:pPr>
      <w:r>
        <w:rPr>
          <w:vertAlign w:val="superscript"/>
        </w:rPr>
        <w:t>a</w:t>
      </w:r>
      <w:r>
        <w:t xml:space="preserve"> Undiscounted</w:t>
      </w:r>
    </w:p>
    <w:p w:rsidR="00F1737B" w:rsidRDefault="00F1737B" w:rsidP="00F1737B">
      <w:pPr>
        <w:pStyle w:val="TableFooter"/>
      </w:pPr>
      <w:r w:rsidRPr="00A866FD">
        <w:rPr>
          <w:vertAlign w:val="superscript"/>
        </w:rPr>
        <w:t>b</w:t>
      </w:r>
      <w:r>
        <w:t xml:space="preserve"> Truncated mean treatment duration: ePAS5: 18.6 months; SAS3 New: 11.8 months</w:t>
      </w:r>
    </w:p>
    <w:p w:rsidR="00F1737B" w:rsidRPr="00053DB1" w:rsidRDefault="00F1737B" w:rsidP="00F1737B">
      <w:pPr>
        <w:pStyle w:val="TableFooter"/>
      </w:pPr>
      <w:r w:rsidRPr="001B4023">
        <w:rPr>
          <w:vertAlign w:val="superscript"/>
        </w:rPr>
        <w:t>c</w:t>
      </w:r>
      <w:r>
        <w:t xml:space="preserve"> </w:t>
      </w:r>
      <w:r w:rsidRPr="00053DB1">
        <w:t>Mean treatment in larotrectinib studies not reported for the subgroups</w:t>
      </w:r>
    </w:p>
    <w:p w:rsidR="007C122C" w:rsidRPr="00053DB1" w:rsidRDefault="007C122C" w:rsidP="007C122C">
      <w:pPr>
        <w:pStyle w:val="TableFooter"/>
      </w:pPr>
      <w:r w:rsidRPr="00053DB1">
        <w:rPr>
          <w:vertAlign w:val="superscript"/>
        </w:rPr>
        <w:t>d</w:t>
      </w:r>
      <w:r w:rsidRPr="00053DB1">
        <w:t xml:space="preserve"> Reduces to 3.64 years assuming no use beyond progression.</w:t>
      </w:r>
    </w:p>
    <w:p w:rsidR="007C122C" w:rsidRPr="00053DB1" w:rsidRDefault="004F426F" w:rsidP="007C122C">
      <w:pPr>
        <w:pStyle w:val="TableFooter"/>
      </w:pPr>
      <w:r w:rsidRPr="00053DB1">
        <w:rPr>
          <w:vertAlign w:val="superscript"/>
        </w:rPr>
        <w:t>e</w:t>
      </w:r>
      <w:r w:rsidR="007C122C" w:rsidRPr="00053DB1">
        <w:t xml:space="preserve"> Reduces to 2.90 years assuming no use beyond progression.</w:t>
      </w:r>
    </w:p>
    <w:p w:rsidR="007C122C" w:rsidRPr="00053DB1" w:rsidRDefault="007C122C" w:rsidP="007C122C">
      <w:pPr>
        <w:pStyle w:val="TableFooter"/>
      </w:pPr>
      <w:r w:rsidRPr="00053DB1">
        <w:rPr>
          <w:vertAlign w:val="superscript"/>
        </w:rPr>
        <w:t>f</w:t>
      </w:r>
      <w:r w:rsidRPr="00053DB1">
        <w:t xml:space="preserve"> Reduces to 3.14 years assuming no use beyond progression.</w:t>
      </w:r>
    </w:p>
    <w:p w:rsidR="00F1737B" w:rsidRPr="00053DB1" w:rsidRDefault="00F1737B" w:rsidP="00F1737B">
      <w:pPr>
        <w:pStyle w:val="TableFooter"/>
      </w:pPr>
      <w:r w:rsidRPr="00053DB1">
        <w:rPr>
          <w:vertAlign w:val="superscript"/>
        </w:rPr>
        <w:t>g</w:t>
      </w:r>
      <w:r w:rsidRPr="00053DB1">
        <w:t xml:space="preserve"> </w:t>
      </w:r>
      <w:r w:rsidR="00E74A47" w:rsidRPr="00053DB1">
        <w:t>Weighted 62% IFS treatment cost of $9,423 and 38% STS treatment cost of $8,009</w:t>
      </w:r>
      <w:r w:rsidR="00CF6EEE" w:rsidRPr="00053DB1">
        <w:t>. IFS treatment cost includes actinomycin D, which is not PBS listed, and so was not included in the financial analysis.</w:t>
      </w:r>
    </w:p>
    <w:p w:rsidR="007C122C" w:rsidRDefault="007C122C" w:rsidP="00F1737B">
      <w:pPr>
        <w:pStyle w:val="TableFooter"/>
      </w:pPr>
      <w:r w:rsidRPr="00053DB1">
        <w:rPr>
          <w:vertAlign w:val="superscript"/>
        </w:rPr>
        <w:t>h</w:t>
      </w:r>
      <w:r w:rsidRPr="00053DB1">
        <w:t xml:space="preserve"> </w:t>
      </w:r>
      <w:r w:rsidR="00E74A47" w:rsidRPr="00053DB1">
        <w:t>Weighted 98.8% IFS treatment cost of $9,240 and 1.2% STS treatment cost of $5,877</w:t>
      </w:r>
      <w:r w:rsidR="00CF6EEE" w:rsidRPr="00053DB1">
        <w:t>. IFS</w:t>
      </w:r>
      <w:r w:rsidR="00CF6EEE">
        <w:t xml:space="preserve"> treatment cost includes actinomycin D, which is not PBS listed, and so was not included in the financial analysis.</w:t>
      </w:r>
    </w:p>
    <w:p w:rsidR="007C122C" w:rsidRDefault="007C122C" w:rsidP="00F1737B">
      <w:pPr>
        <w:pStyle w:val="TableFooter"/>
      </w:pPr>
      <w:r w:rsidRPr="00E74A47">
        <w:rPr>
          <w:vertAlign w:val="superscript"/>
        </w:rPr>
        <w:t>i</w:t>
      </w:r>
      <w:r>
        <w:t xml:space="preserve"> </w:t>
      </w:r>
      <w:r w:rsidR="00E74A47">
        <w:t>Based on extrapolated PFS curve</w:t>
      </w:r>
    </w:p>
    <w:p w:rsidR="007C122C" w:rsidRDefault="007C122C" w:rsidP="00F1737B">
      <w:pPr>
        <w:pStyle w:val="TableFooter"/>
      </w:pPr>
      <w:r w:rsidRPr="00E74A47">
        <w:rPr>
          <w:vertAlign w:val="superscript"/>
        </w:rPr>
        <w:t>j</w:t>
      </w:r>
      <w:r>
        <w:t xml:space="preserve"> </w:t>
      </w:r>
      <w:r w:rsidR="00E74A47">
        <w:t>Based on median PFS of 2 months</w:t>
      </w:r>
    </w:p>
    <w:p w:rsidR="00F90063" w:rsidRDefault="00F90063" w:rsidP="00F1737B">
      <w:pPr>
        <w:pStyle w:val="TableFooter"/>
      </w:pPr>
      <w:r w:rsidRPr="00E74A47">
        <w:rPr>
          <w:vertAlign w:val="superscript"/>
        </w:rPr>
        <w:t>k</w:t>
      </w:r>
      <w:r>
        <w:t xml:space="preserve"> </w:t>
      </w:r>
      <w:r w:rsidR="00E74A47">
        <w:t>Median PFS was 2.6 months</w:t>
      </w:r>
    </w:p>
    <w:p w:rsidR="00F90063" w:rsidRDefault="00F90063" w:rsidP="00F1737B">
      <w:pPr>
        <w:pStyle w:val="TableFooter"/>
      </w:pPr>
      <w:r w:rsidRPr="00E74A47">
        <w:rPr>
          <w:vertAlign w:val="superscript"/>
        </w:rPr>
        <w:t>l</w:t>
      </w:r>
      <w:r>
        <w:t xml:space="preserve"> Based on median PFS of 18.3 months</w:t>
      </w:r>
    </w:p>
    <w:p w:rsidR="00FD03A0" w:rsidRDefault="00FD03A0" w:rsidP="00F1737B">
      <w:pPr>
        <w:pStyle w:val="TableFooter"/>
      </w:pPr>
      <w:r>
        <w:t>CNS = central nervous system; IFS = infantile fibrosarcoma; NSCLC = non-small cell lung cancer;</w:t>
      </w:r>
      <w:r w:rsidRPr="004834F1">
        <w:t xml:space="preserve"> </w:t>
      </w:r>
      <w:r w:rsidRPr="00211488">
        <w:rPr>
          <w:i/>
        </w:rPr>
        <w:t>NTRK</w:t>
      </w:r>
      <w:r>
        <w:t xml:space="preserve"> = </w:t>
      </w:r>
      <w:r w:rsidRPr="00211488">
        <w:t>neurotrophic tropomyosin receptor kinase</w:t>
      </w:r>
      <w:r>
        <w:t>; SoC = standard of care; STS = soft tissue sarcoma; ToT = time on treatment.</w:t>
      </w:r>
    </w:p>
    <w:p w:rsidR="00F1737B" w:rsidRPr="00962538" w:rsidRDefault="00F1737B" w:rsidP="00F1737B">
      <w:pPr>
        <w:pStyle w:val="PBACESHeading2"/>
      </w:pPr>
      <w:bookmarkStart w:id="101" w:name="_Toc413139284"/>
      <w:bookmarkStart w:id="102" w:name="_Toc497226193"/>
      <w:bookmarkStart w:id="103" w:name="_Toc82597082"/>
      <w:r w:rsidRPr="00962538">
        <w:t>Estimated PBS &amp; financial implications</w:t>
      </w:r>
      <w:bookmarkEnd w:id="101"/>
      <w:bookmarkEnd w:id="102"/>
      <w:bookmarkEnd w:id="103"/>
    </w:p>
    <w:p w:rsidR="00F1737B" w:rsidRPr="00EC2612" w:rsidRDefault="00F1737B" w:rsidP="00F1737B">
      <w:pPr>
        <w:pStyle w:val="ListParagraph"/>
      </w:pPr>
      <w:r w:rsidRPr="008B3B94">
        <w:t>The resubmission present</w:t>
      </w:r>
      <w:r>
        <w:t>ed</w:t>
      </w:r>
      <w:r w:rsidRPr="008B3B94">
        <w:t xml:space="preserve"> an updated epidemiological approach to estimate the use and financial impact of listing </w:t>
      </w:r>
      <w:r w:rsidRPr="008B3B94">
        <w:rPr>
          <w:i/>
        </w:rPr>
        <w:t>NTRK</w:t>
      </w:r>
      <w:r w:rsidRPr="008B3B94">
        <w:t xml:space="preserve"> fusion testi</w:t>
      </w:r>
      <w:r>
        <w:t xml:space="preserve">ng and larotrectinib treatment. This was </w:t>
      </w:r>
      <w:r w:rsidRPr="000A3110">
        <w:t>presented for each of the paediatric tumour types included in the pooled larotrectinib studies, and the adult tumour types specified in the proposed MBS and PBS listings.</w:t>
      </w:r>
    </w:p>
    <w:p w:rsidR="00F1737B" w:rsidRPr="000A3110" w:rsidRDefault="00F1737B" w:rsidP="00F1737B">
      <w:pPr>
        <w:pStyle w:val="ListParagraph"/>
        <w:rPr>
          <w:iCs/>
        </w:rPr>
      </w:pPr>
      <w:r>
        <w:t xml:space="preserve">The epidemiological approach taken was generally unchanged </w:t>
      </w:r>
      <w:r w:rsidR="00CE0C5C">
        <w:t>since</w:t>
      </w:r>
      <w:r>
        <w:t xml:space="preserve"> the previous submission. Incidence estimates, from the AIHW or from the published literature, were applied to population estimates projected by the ABS. </w:t>
      </w:r>
      <w:r w:rsidRPr="000A3110">
        <w:rPr>
          <w:iCs/>
        </w:rPr>
        <w:t xml:space="preserve">The incidence estimates from the AIHW were updated from the previous submission, which was reasonable. Estimates of </w:t>
      </w:r>
      <w:r w:rsidRPr="000A3110">
        <w:rPr>
          <w:i/>
        </w:rPr>
        <w:t xml:space="preserve">NTRK </w:t>
      </w:r>
      <w:r w:rsidRPr="000A3110">
        <w:rPr>
          <w:iCs/>
        </w:rPr>
        <w:t xml:space="preserve">fusion frequency, proportion with advanced disease at diagnosis and, where relevant, the proportion of patients eligible for later-line treatment were then applied to the estimated incident population for each tumour type to estimate the population eligible for larotrectinib treatment. </w:t>
      </w:r>
      <w:bookmarkStart w:id="104" w:name="_Hlk89346704"/>
      <w:r w:rsidRPr="000A3110">
        <w:rPr>
          <w:iCs/>
        </w:rPr>
        <w:t xml:space="preserve">These estimates were unchanged </w:t>
      </w:r>
      <w:r w:rsidR="002653D9" w:rsidRPr="000A3110">
        <w:rPr>
          <w:iCs/>
        </w:rPr>
        <w:t xml:space="preserve">from </w:t>
      </w:r>
      <w:r w:rsidRPr="000A3110">
        <w:rPr>
          <w:iCs/>
        </w:rPr>
        <w:t xml:space="preserve">the previous submission, except for the frequency of </w:t>
      </w:r>
      <w:r w:rsidRPr="000A3110">
        <w:rPr>
          <w:i/>
        </w:rPr>
        <w:t>NTRK</w:t>
      </w:r>
      <w:r w:rsidRPr="000A3110">
        <w:rPr>
          <w:iCs/>
        </w:rPr>
        <w:t xml:space="preserve"> fusions in paediatric STS, where the resubmission applied an estimate of 0.68%. This was reasonable</w:t>
      </w:r>
      <w:r w:rsidR="002653D9" w:rsidRPr="000A3110">
        <w:rPr>
          <w:iCs/>
        </w:rPr>
        <w:t xml:space="preserve"> and</w:t>
      </w:r>
      <w:r w:rsidRPr="000A3110">
        <w:rPr>
          <w:iCs/>
        </w:rPr>
        <w:t xml:space="preserve"> consistent with previous MSAC and PBAC advice.</w:t>
      </w:r>
      <w:bookmarkEnd w:id="104"/>
    </w:p>
    <w:p w:rsidR="00F1737B" w:rsidRPr="00DD269F" w:rsidRDefault="00F1737B" w:rsidP="00F1737B">
      <w:pPr>
        <w:pStyle w:val="ListParagraph"/>
      </w:pPr>
      <w:r w:rsidRPr="00C56B6C">
        <w:t xml:space="preserve">Uptake of </w:t>
      </w:r>
      <w:r w:rsidRPr="00C56B6C">
        <w:rPr>
          <w:i/>
        </w:rPr>
        <w:t>NTRK</w:t>
      </w:r>
      <w:r w:rsidRPr="00C56B6C">
        <w:t xml:space="preserve"> fusion testing and larotrectinib treatment was assumed to vary between the tumour type subgroups. All paediatric patients were assumed to undergo testing and treatment. Uptake in adult patients with high </w:t>
      </w:r>
      <w:r w:rsidRPr="00C56B6C">
        <w:rPr>
          <w:i/>
        </w:rPr>
        <w:t>NTRK</w:t>
      </w:r>
      <w:r w:rsidRPr="00C56B6C">
        <w:t xml:space="preserve"> fusion frequency types was </w:t>
      </w:r>
      <w:r w:rsidRPr="00053DB1">
        <w:t xml:space="preserve">assumed to increase from </w:t>
      </w:r>
      <w:r w:rsidR="00675CB4">
        <w:rPr>
          <w:noProof/>
          <w:color w:val="000000"/>
          <w:highlight w:val="black"/>
        </w:rPr>
        <w:t>'''''</w:t>
      </w:r>
      <w:r w:rsidRPr="00053DB1">
        <w:t xml:space="preserve">% in Year 1 to </w:t>
      </w:r>
      <w:r w:rsidR="00675CB4">
        <w:rPr>
          <w:noProof/>
          <w:color w:val="000000"/>
          <w:highlight w:val="black"/>
        </w:rPr>
        <w:t>''''''''</w:t>
      </w:r>
      <w:r w:rsidRPr="00053DB1">
        <w:t xml:space="preserve">% by Year 3, and uptake in adults with low </w:t>
      </w:r>
      <w:r w:rsidRPr="00053DB1">
        <w:rPr>
          <w:i/>
        </w:rPr>
        <w:t>NTRK</w:t>
      </w:r>
      <w:r w:rsidRPr="00053DB1">
        <w:t xml:space="preserve"> fusion frequency tumours was assumed to increase from </w:t>
      </w:r>
      <w:r w:rsidR="00675CB4">
        <w:rPr>
          <w:noProof/>
          <w:color w:val="000000"/>
          <w:highlight w:val="black"/>
        </w:rPr>
        <w:t>'''''</w:t>
      </w:r>
      <w:r w:rsidRPr="00053DB1">
        <w:t xml:space="preserve">% in Year 1 to </w:t>
      </w:r>
      <w:r w:rsidR="00675CB4">
        <w:rPr>
          <w:noProof/>
          <w:color w:val="000000"/>
          <w:highlight w:val="black"/>
        </w:rPr>
        <w:t>'''''</w:t>
      </w:r>
      <w:r w:rsidRPr="00053DB1">
        <w:t>% in all</w:t>
      </w:r>
      <w:r w:rsidRPr="000A3110">
        <w:t xml:space="preserve"> subsequent years. While higher uptake rates in adults with high </w:t>
      </w:r>
      <w:r w:rsidRPr="000A3110">
        <w:rPr>
          <w:i/>
          <w:iCs/>
        </w:rPr>
        <w:t xml:space="preserve">NTRK </w:t>
      </w:r>
      <w:r w:rsidRPr="000A3110">
        <w:t>fusion frequency tumour types have been assumed relative to the previous submission, these may still be an underestimate in Years 1-2.</w:t>
      </w:r>
      <w:r w:rsidR="00831871">
        <w:rPr>
          <w:i/>
          <w:iCs/>
        </w:rPr>
        <w:t xml:space="preserve"> </w:t>
      </w:r>
      <w:r w:rsidR="00831871" w:rsidRPr="00DD269F">
        <w:t xml:space="preserve">The ESCs </w:t>
      </w:r>
      <w:r w:rsidR="001F1495" w:rsidRPr="00DD269F">
        <w:t>considered that uptake in adults with low NTRK fusion frequency tumours was potentially overestimated given the uncertain clinical need of larotrectinib in this population.</w:t>
      </w:r>
    </w:p>
    <w:p w:rsidR="00B40229" w:rsidRPr="00482EF7" w:rsidRDefault="00B40229" w:rsidP="00B40229">
      <w:pPr>
        <w:pStyle w:val="ListParagraph"/>
        <w:rPr>
          <w:iCs/>
        </w:rPr>
      </w:pPr>
      <w:r w:rsidRPr="000A3110">
        <w:rPr>
          <w:iCs/>
        </w:rPr>
        <w:t xml:space="preserve">Further, there may also be a risk of </w:t>
      </w:r>
      <w:r w:rsidR="001F1495">
        <w:rPr>
          <w:iCs/>
        </w:rPr>
        <w:t>use outside the restrictions</w:t>
      </w:r>
      <w:r w:rsidRPr="000A3110">
        <w:rPr>
          <w:iCs/>
        </w:rPr>
        <w:t>, given that the tumour types enrolled in the larotrectinib studies and included in the TGA approved indication are broader than the requested PBS listing.</w:t>
      </w:r>
      <w:r w:rsidR="00767F24">
        <w:rPr>
          <w:iCs/>
        </w:rPr>
        <w:t xml:space="preserve"> A sensitivity analysis presented by the</w:t>
      </w:r>
      <w:r w:rsidRPr="00B40229">
        <w:rPr>
          <w:i/>
        </w:rPr>
        <w:t xml:space="preserve"> </w:t>
      </w:r>
      <w:r w:rsidRPr="00B40229">
        <w:t xml:space="preserve">resubmission assuming that all tumour types represented in the larotrectinib studies could receive </w:t>
      </w:r>
      <w:r w:rsidRPr="008F3FAF">
        <w:rPr>
          <w:i/>
        </w:rPr>
        <w:t>NTRK</w:t>
      </w:r>
      <w:r w:rsidRPr="00B40229">
        <w:t xml:space="preserve"> testing and larotrectinib treatment</w:t>
      </w:r>
      <w:r w:rsidR="00767F24">
        <w:t>,</w:t>
      </w:r>
      <w:r w:rsidR="00FE444B">
        <w:t xml:space="preserve"> </w:t>
      </w:r>
      <w:r w:rsidRPr="00B40229">
        <w:t xml:space="preserve">increases the number of patients treated with larotrectinib </w:t>
      </w:r>
      <w:r w:rsidR="00767F24">
        <w:t>from</w:t>
      </w:r>
      <w:r w:rsidR="00767F24" w:rsidRPr="00B40229">
        <w:t xml:space="preserve"> </w:t>
      </w:r>
      <w:r w:rsidR="000B6C23">
        <w:t>&lt; 500</w:t>
      </w:r>
      <w:r w:rsidR="000B6C23" w:rsidRPr="00B40229">
        <w:t xml:space="preserve"> </w:t>
      </w:r>
      <w:r w:rsidRPr="00B40229">
        <w:t xml:space="preserve">in </w:t>
      </w:r>
      <w:r w:rsidR="00767F24">
        <w:t>Year 1</w:t>
      </w:r>
      <w:r w:rsidRPr="00B40229">
        <w:t xml:space="preserve"> to </w:t>
      </w:r>
      <w:r w:rsidR="000B6C23">
        <w:t>&lt; 500</w:t>
      </w:r>
      <w:r w:rsidR="000B6C23" w:rsidRPr="00B40229">
        <w:t xml:space="preserve"> </w:t>
      </w:r>
      <w:r w:rsidRPr="00B40229">
        <w:t>in Year 6.</w:t>
      </w:r>
    </w:p>
    <w:p w:rsidR="00F1737B" w:rsidRDefault="00F1737B" w:rsidP="00F1737B">
      <w:pPr>
        <w:pStyle w:val="ListParagraph"/>
      </w:pPr>
      <w:r>
        <w:t xml:space="preserve">The resubmission </w:t>
      </w:r>
      <w:r w:rsidRPr="00495245">
        <w:t>estimate</w:t>
      </w:r>
      <w:r w:rsidR="00767F24">
        <w:t>d</w:t>
      </w:r>
      <w:r w:rsidRPr="00495245">
        <w:t xml:space="preserve"> that approximately </w:t>
      </w:r>
      <w:r w:rsidR="000B6C23">
        <w:t>&lt; 500</w:t>
      </w:r>
      <w:r w:rsidR="000B6C23" w:rsidRPr="00495245">
        <w:t xml:space="preserve"> </w:t>
      </w:r>
      <w:r w:rsidRPr="00495245">
        <w:t>patients will grandfather to PBS subsidised larotrectinib upon listing</w:t>
      </w:r>
      <w:r>
        <w:t>.</w:t>
      </w:r>
      <w:r>
        <w:rPr>
          <w:i/>
        </w:rPr>
        <w:t xml:space="preserve"> </w:t>
      </w:r>
      <w:r w:rsidRPr="000A3110">
        <w:t xml:space="preserve">Grandfathered patients were assumed to receive the same number of larotrectinib scripts as incident cases (including initial scripts). This may not be reasonable as some treatment would have been provided </w:t>
      </w:r>
      <w:r w:rsidR="00767F24">
        <w:t xml:space="preserve">to these patients </w:t>
      </w:r>
      <w:r w:rsidRPr="000A3110">
        <w:t>prior to PBS listing.</w:t>
      </w:r>
    </w:p>
    <w:p w:rsidR="00F1737B" w:rsidRDefault="00F1737B" w:rsidP="00F1737B">
      <w:pPr>
        <w:pStyle w:val="ListParagraph"/>
      </w:pPr>
      <w:r w:rsidRPr="0085706E">
        <w:t>The average daily doses applied in the resubmission are unchanged from the previous submission (188.6 mg in adults and 127.8 mg in paediatrics). The average treatment duration was a</w:t>
      </w:r>
      <w:r>
        <w:t xml:space="preserve">ssumed to be </w:t>
      </w:r>
      <w:r w:rsidRPr="00642581">
        <w:t>2.5</w:t>
      </w:r>
      <w:r w:rsidR="00606B83">
        <w:rPr>
          <w:rStyle w:val="FootnoteReference"/>
        </w:rPr>
        <w:footnoteReference w:id="14"/>
      </w:r>
      <w:r>
        <w:t xml:space="preserve"> years</w:t>
      </w:r>
      <w:r w:rsidRPr="0085706E">
        <w:t xml:space="preserve"> based on the extrapolated time on treatment curve </w:t>
      </w:r>
      <w:r>
        <w:t>from</w:t>
      </w:r>
      <w:r w:rsidRPr="0085706E">
        <w:t xml:space="preserve"> the pooled overall larotrectinib analysis.</w:t>
      </w:r>
      <w:r w:rsidRPr="000A3110">
        <w:rPr>
          <w:iCs/>
        </w:rPr>
        <w:t xml:space="preserve"> </w:t>
      </w:r>
      <w:bookmarkStart w:id="105" w:name="_Hlk89350725"/>
      <w:r w:rsidRPr="000A3110">
        <w:rPr>
          <w:iCs/>
        </w:rPr>
        <w:t xml:space="preserve">When the larotrectinib time on treatment subgroup analyses are weighted according to the distribution of tumour types expected in clinical practice, the average treatment duration is estimated to be </w:t>
      </w:r>
      <w:r w:rsidRPr="00053DB1">
        <w:rPr>
          <w:iCs/>
        </w:rPr>
        <w:t>3.6</w:t>
      </w:r>
      <w:r w:rsidR="00606B83">
        <w:rPr>
          <w:iCs/>
          <w:vertAlign w:val="superscript"/>
        </w:rPr>
        <w:t>14</w:t>
      </w:r>
      <w:r w:rsidRPr="00053DB1">
        <w:rPr>
          <w:iCs/>
        </w:rPr>
        <w:t xml:space="preserve"> years (</w:t>
      </w:r>
      <w:r w:rsidR="00796D25" w:rsidRPr="00053DB1">
        <w:rPr>
          <w:iCs/>
        </w:rPr>
        <w:t>Table</w:t>
      </w:r>
      <w:r w:rsidR="00D944C2" w:rsidRPr="00053DB1">
        <w:rPr>
          <w:iCs/>
        </w:rPr>
        <w:t xml:space="preserve"> </w:t>
      </w:r>
      <w:r w:rsidR="00796D25" w:rsidRPr="00053DB1">
        <w:rPr>
          <w:iCs/>
          <w:noProof/>
        </w:rPr>
        <w:t>30</w:t>
      </w:r>
      <w:r w:rsidRPr="00053DB1">
        <w:rPr>
          <w:iCs/>
        </w:rPr>
        <w:t>).</w:t>
      </w:r>
      <w:r w:rsidR="00ED1978" w:rsidRPr="00053DB1">
        <w:rPr>
          <w:iCs/>
        </w:rPr>
        <w:t xml:space="preserve"> However</w:t>
      </w:r>
      <w:r w:rsidR="004D6880" w:rsidRPr="00053DB1">
        <w:rPr>
          <w:iCs/>
        </w:rPr>
        <w:t>,</w:t>
      </w:r>
      <w:r w:rsidR="00ED1978" w:rsidRPr="00053DB1">
        <w:rPr>
          <w:iCs/>
        </w:rPr>
        <w:t xml:space="preserve"> the resubmission’s analyses assume treatment beyond progression – if treatment is not allowed beyond progression</w:t>
      </w:r>
      <w:r w:rsidR="00447F4F" w:rsidRPr="00053DB1">
        <w:rPr>
          <w:iCs/>
        </w:rPr>
        <w:t>,</w:t>
      </w:r>
      <w:r w:rsidR="00ED1978" w:rsidRPr="00053DB1">
        <w:rPr>
          <w:iCs/>
        </w:rPr>
        <w:t xml:space="preserve"> the estimated duration of treatment reduces to 3.1</w:t>
      </w:r>
      <w:r w:rsidR="00606B83">
        <w:rPr>
          <w:iCs/>
          <w:vertAlign w:val="superscript"/>
        </w:rPr>
        <w:t>14</w:t>
      </w:r>
      <w:r w:rsidR="00ED1978" w:rsidRPr="00053DB1">
        <w:rPr>
          <w:iCs/>
        </w:rPr>
        <w:t xml:space="preserve"> years</w:t>
      </w:r>
      <w:bookmarkEnd w:id="105"/>
      <w:r w:rsidR="00ED1978" w:rsidRPr="00053DB1">
        <w:rPr>
          <w:iCs/>
        </w:rPr>
        <w:t>.</w:t>
      </w:r>
      <w:r w:rsidR="00447F4F">
        <w:rPr>
          <w:iCs/>
        </w:rPr>
        <w:t xml:space="preserve"> </w:t>
      </w:r>
      <w:r w:rsidR="004E6AE3" w:rsidRPr="00DB4D90">
        <w:rPr>
          <w:iCs/>
        </w:rPr>
        <w:t xml:space="preserve">As the tumour type distribution in the overall larotrectinib data have limited applicability to the proposed clinical setting, </w:t>
      </w:r>
      <w:r w:rsidR="00E42CBA" w:rsidRPr="00DB4D90">
        <w:rPr>
          <w:iCs/>
        </w:rPr>
        <w:t>t</w:t>
      </w:r>
      <w:r w:rsidR="00447F4F" w:rsidRPr="00DB4D90">
        <w:rPr>
          <w:iCs/>
        </w:rPr>
        <w:t>he ESCs considered t</w:t>
      </w:r>
      <w:r w:rsidR="004E6AE3" w:rsidRPr="00DB4D90">
        <w:rPr>
          <w:iCs/>
        </w:rPr>
        <w:t>hat treatment duration of larotrectinib was likely underestimated.</w:t>
      </w:r>
    </w:p>
    <w:p w:rsidR="00F1737B" w:rsidRDefault="00F1737B" w:rsidP="00F1737B">
      <w:pPr>
        <w:pStyle w:val="ListParagraph"/>
      </w:pPr>
      <w:r>
        <w:t xml:space="preserve">The resubmission expected that the listing of larotrectinib would result in a reduction in costs </w:t>
      </w:r>
      <w:r w:rsidR="00D117CD">
        <w:t>associated</w:t>
      </w:r>
      <w:r w:rsidR="00DB4D90">
        <w:t xml:space="preserve"> with</w:t>
      </w:r>
      <w:r>
        <w:t xml:space="preserve"> SoC treatment. </w:t>
      </w:r>
      <w:r w:rsidRPr="000A3110">
        <w:rPr>
          <w:iCs/>
        </w:rPr>
        <w:t>The resubmission has not considered that, where an active therapy is proposed to be substituted by larotrectinib, SoC would be displaced, rather than replaced in a proportion of patients.</w:t>
      </w:r>
    </w:p>
    <w:p w:rsidR="00F1737B" w:rsidRPr="000A3110" w:rsidRDefault="00F1737B" w:rsidP="00F1737B">
      <w:pPr>
        <w:pStyle w:val="ListParagraph"/>
        <w:rPr>
          <w:iCs/>
        </w:rPr>
      </w:pPr>
      <w:r w:rsidRPr="000A3110">
        <w:rPr>
          <w:iCs/>
        </w:rPr>
        <w:t>As per the previous submission, the resubmission does not explicitly provide an epidemiological approach to estimate the number of patients eligible for</w:t>
      </w:r>
      <w:r w:rsidRPr="00AB4932">
        <w:rPr>
          <w:i/>
        </w:rPr>
        <w:t xml:space="preserve"> </w:t>
      </w:r>
      <w:r w:rsidRPr="00EC45CE">
        <w:t>NTRK</w:t>
      </w:r>
      <w:r>
        <w:rPr>
          <w:i/>
        </w:rPr>
        <w:t xml:space="preserve"> </w:t>
      </w:r>
      <w:r w:rsidRPr="000A3110">
        <w:rPr>
          <w:iCs/>
        </w:rPr>
        <w:t>fusion testing. Rather, the number of tests required to identify one patient with</w:t>
      </w:r>
      <w:r w:rsidRPr="00AB4932">
        <w:rPr>
          <w:i/>
        </w:rPr>
        <w:t xml:space="preserve"> </w:t>
      </w:r>
      <w:r w:rsidRPr="00EC45CE">
        <w:t>NTRK</w:t>
      </w:r>
      <w:r w:rsidRPr="00AB4932">
        <w:rPr>
          <w:i/>
        </w:rPr>
        <w:t xml:space="preserve"> </w:t>
      </w:r>
      <w:r w:rsidRPr="000A3110">
        <w:rPr>
          <w:iCs/>
        </w:rPr>
        <w:t>fusions has been applied to the number of patients estimated to receive larotrectinib. This approach implicitly assumes that the rate of uptake of both testing and treatment is the same; and that testing occurs at the time at which treatment decisions regarding larotrectinib are being taken. The estimates used are reasonable for the paediatric</w:t>
      </w:r>
      <w:r w:rsidRPr="000A0E2B">
        <w:rPr>
          <w:i/>
        </w:rPr>
        <w:t xml:space="preserve"> </w:t>
      </w:r>
      <w:r w:rsidRPr="000A3110">
        <w:rPr>
          <w:iCs/>
        </w:rPr>
        <w:t xml:space="preserve">subgroups and the adults with high </w:t>
      </w:r>
      <w:r w:rsidRPr="000A3110">
        <w:rPr>
          <w:i/>
        </w:rPr>
        <w:t>NTRK</w:t>
      </w:r>
      <w:r w:rsidRPr="000A3110">
        <w:rPr>
          <w:iCs/>
        </w:rPr>
        <w:t xml:space="preserve"> fusion frequency tumour types. However, in adult patients with low </w:t>
      </w:r>
      <w:r w:rsidRPr="000A3110">
        <w:rPr>
          <w:i/>
        </w:rPr>
        <w:t>NTRK</w:t>
      </w:r>
      <w:r w:rsidRPr="000A3110">
        <w:rPr>
          <w:iCs/>
        </w:rPr>
        <w:t xml:space="preserve"> fusion tumour types, this may not be a reasonable approach, given that </w:t>
      </w:r>
      <w:r w:rsidRPr="000A3110">
        <w:rPr>
          <w:i/>
        </w:rPr>
        <w:t>NTRK</w:t>
      </w:r>
      <w:r w:rsidRPr="000A3110">
        <w:rPr>
          <w:iCs/>
        </w:rPr>
        <w:t xml:space="preserve"> fusion testing can occur on diagnosis of advanced disease before initiation of first-line treatment, and that not all patients tested would be eligible for larotrectinib treatment on disease progression.</w:t>
      </w:r>
    </w:p>
    <w:p w:rsidR="00F1737B" w:rsidRPr="004A42EC" w:rsidRDefault="00F1737B" w:rsidP="00F1737B">
      <w:pPr>
        <w:pStyle w:val="ListParagraph"/>
      </w:pPr>
      <w:r>
        <w:t xml:space="preserve">For each adult patient with a low </w:t>
      </w:r>
      <w:r w:rsidRPr="000A0E2B">
        <w:rPr>
          <w:i/>
        </w:rPr>
        <w:t>NTRK</w:t>
      </w:r>
      <w:r>
        <w:t xml:space="preserve"> fusion frequency tumour type treated with larotrectinib, the resubmission estimated that </w:t>
      </w:r>
      <w:r w:rsidR="000B6C23">
        <w:t xml:space="preserve">&lt; 500 </w:t>
      </w:r>
      <w:r>
        <w:t xml:space="preserve">IHC tests were required. </w:t>
      </w:r>
      <w:r w:rsidRPr="000A3110">
        <w:rPr>
          <w:iCs/>
        </w:rPr>
        <w:t>This approach does not account</w:t>
      </w:r>
      <w:r w:rsidR="00D97993">
        <w:rPr>
          <w:iCs/>
        </w:rPr>
        <w:t xml:space="preserve"> for</w:t>
      </w:r>
      <w:r w:rsidRPr="000A3110">
        <w:rPr>
          <w:iCs/>
        </w:rPr>
        <w:t xml:space="preserve"> IHC sensitivity, and so more IHC tests are required to identify one true positive patient. Further, as IHC test performance was based on one study with small patient numbers such that the specificity reported in some tumour types (i.e. 100%) is unlikely to be reproducible in clinical practice. Given the low prevalence estimates – particularly for colorectal cancer and NSCLC – small reductions</w:t>
      </w:r>
      <w:r w:rsidRPr="000A0E2B">
        <w:rPr>
          <w:i/>
        </w:rPr>
        <w:t xml:space="preserve"> </w:t>
      </w:r>
      <w:r w:rsidRPr="000A3110">
        <w:rPr>
          <w:iCs/>
        </w:rPr>
        <w:t>in the specificity of IHC testing will lead to substantial increases in the number of NGS/FISH tests required.</w:t>
      </w:r>
    </w:p>
    <w:p w:rsidR="00453958" w:rsidRPr="00482EF7" w:rsidRDefault="00F1737B" w:rsidP="00482EF7">
      <w:pPr>
        <w:pStyle w:val="ListParagraph"/>
      </w:pPr>
      <w:r w:rsidRPr="0085706E">
        <w:t xml:space="preserve">The estimated use and financial implications of </w:t>
      </w:r>
      <w:r w:rsidRPr="00B61E92">
        <w:rPr>
          <w:i/>
        </w:rPr>
        <w:t>NTRK</w:t>
      </w:r>
      <w:r w:rsidRPr="0085706E">
        <w:t xml:space="preserve"> fusion testing and larotrectinib treatment is presented in</w:t>
      </w:r>
      <w:r>
        <w:t xml:space="preserve"> </w:t>
      </w:r>
      <w:r w:rsidR="00796D25">
        <w:t>Table</w:t>
      </w:r>
      <w:r w:rsidR="00D944C2">
        <w:t xml:space="preserve"> </w:t>
      </w:r>
      <w:r w:rsidR="00796D25">
        <w:rPr>
          <w:noProof/>
        </w:rPr>
        <w:t>31</w:t>
      </w:r>
      <w:r w:rsidRPr="0085706E">
        <w:t>.</w:t>
      </w:r>
    </w:p>
    <w:p w:rsidR="00F1737B" w:rsidRPr="00B01CD6" w:rsidRDefault="00F1737B" w:rsidP="009B5D06">
      <w:pPr>
        <w:pStyle w:val="Caption"/>
        <w:keepLines/>
      </w:pPr>
      <w:bookmarkStart w:id="106" w:name="_Ref79167694"/>
      <w:r>
        <w:t>Table</w:t>
      </w:r>
      <w:r w:rsidR="00D944C2">
        <w:t xml:space="preserve"> </w:t>
      </w:r>
      <w:r w:rsidR="00BB3DD1">
        <w:rPr>
          <w:noProof/>
        </w:rPr>
        <w:t>31</w:t>
      </w:r>
      <w:bookmarkEnd w:id="106"/>
      <w:r w:rsidR="00D944C2">
        <w:rPr>
          <w:noProof/>
        </w:rPr>
        <w:t>:</w:t>
      </w:r>
      <w:r w:rsidR="00D117CD">
        <w:rPr>
          <w:noProof/>
        </w:rPr>
        <w:t xml:space="preserve"> </w:t>
      </w:r>
      <w:r w:rsidRPr="00962538">
        <w:t>Estimated use and financial implications</w:t>
      </w:r>
      <w:r w:rsidR="00B01CD6">
        <w:t xml:space="preserve"> of </w:t>
      </w:r>
      <w:r w:rsidR="00B01CD6">
        <w:rPr>
          <w:i/>
        </w:rPr>
        <w:t>NTRK</w:t>
      </w:r>
      <w:r w:rsidR="00B01CD6">
        <w:t xml:space="preserve"> testing and larotrectinib treatment</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18"/>
        <w:gridCol w:w="1059"/>
        <w:gridCol w:w="1091"/>
        <w:gridCol w:w="1129"/>
        <w:gridCol w:w="1129"/>
        <w:gridCol w:w="1090"/>
        <w:gridCol w:w="1122"/>
      </w:tblGrid>
      <w:tr w:rsidR="00F1737B" w:rsidRPr="00962538" w:rsidTr="004D2827">
        <w:trPr>
          <w:tblHeader/>
        </w:trPr>
        <w:tc>
          <w:tcPr>
            <w:tcW w:w="1335" w:type="pct"/>
            <w:shd w:val="clear" w:color="auto" w:fill="auto"/>
            <w:vAlign w:val="center"/>
          </w:tcPr>
          <w:p w:rsidR="00F1737B" w:rsidRPr="00CA75B3" w:rsidRDefault="00F1737B" w:rsidP="009B5D06">
            <w:pPr>
              <w:pStyle w:val="TableText"/>
              <w:keepNext/>
              <w:keepLines/>
              <w:jc w:val="center"/>
              <w:rPr>
                <w:b/>
              </w:rPr>
            </w:pPr>
          </w:p>
        </w:tc>
        <w:tc>
          <w:tcPr>
            <w:tcW w:w="611" w:type="pct"/>
            <w:shd w:val="clear" w:color="auto" w:fill="auto"/>
            <w:vAlign w:val="center"/>
          </w:tcPr>
          <w:p w:rsidR="00F1737B" w:rsidRPr="00CA75B3" w:rsidRDefault="00F1737B" w:rsidP="009B5D06">
            <w:pPr>
              <w:pStyle w:val="TableText"/>
              <w:keepNext/>
              <w:keepLines/>
              <w:jc w:val="center"/>
              <w:rPr>
                <w:b/>
              </w:rPr>
            </w:pPr>
            <w:r w:rsidRPr="00CA75B3">
              <w:rPr>
                <w:b/>
              </w:rPr>
              <w:t>Year 1</w:t>
            </w:r>
          </w:p>
        </w:tc>
        <w:tc>
          <w:tcPr>
            <w:tcW w:w="611" w:type="pct"/>
            <w:shd w:val="clear" w:color="auto" w:fill="auto"/>
            <w:vAlign w:val="center"/>
          </w:tcPr>
          <w:p w:rsidR="00F1737B" w:rsidRPr="00CA75B3" w:rsidRDefault="00F1737B" w:rsidP="009B5D06">
            <w:pPr>
              <w:pStyle w:val="TableText"/>
              <w:keepNext/>
              <w:keepLines/>
              <w:jc w:val="center"/>
              <w:rPr>
                <w:b/>
              </w:rPr>
            </w:pPr>
            <w:r w:rsidRPr="00CA75B3">
              <w:rPr>
                <w:b/>
              </w:rPr>
              <w:t>Year 2</w:t>
            </w:r>
          </w:p>
        </w:tc>
        <w:tc>
          <w:tcPr>
            <w:tcW w:w="611" w:type="pct"/>
            <w:shd w:val="clear" w:color="auto" w:fill="auto"/>
            <w:vAlign w:val="center"/>
          </w:tcPr>
          <w:p w:rsidR="00F1737B" w:rsidRPr="00CA75B3" w:rsidRDefault="00F1737B" w:rsidP="009B5D06">
            <w:pPr>
              <w:pStyle w:val="TableText"/>
              <w:keepNext/>
              <w:keepLines/>
              <w:jc w:val="center"/>
              <w:rPr>
                <w:b/>
              </w:rPr>
            </w:pPr>
            <w:r w:rsidRPr="00CA75B3">
              <w:rPr>
                <w:b/>
              </w:rPr>
              <w:t>Year 3</w:t>
            </w:r>
          </w:p>
        </w:tc>
        <w:tc>
          <w:tcPr>
            <w:tcW w:w="611" w:type="pct"/>
            <w:shd w:val="clear" w:color="auto" w:fill="auto"/>
            <w:vAlign w:val="center"/>
          </w:tcPr>
          <w:p w:rsidR="00F1737B" w:rsidRPr="00CA75B3" w:rsidRDefault="00F1737B" w:rsidP="009B5D06">
            <w:pPr>
              <w:pStyle w:val="TableText"/>
              <w:keepNext/>
              <w:keepLines/>
              <w:jc w:val="center"/>
              <w:rPr>
                <w:b/>
              </w:rPr>
            </w:pPr>
            <w:r w:rsidRPr="00CA75B3">
              <w:rPr>
                <w:b/>
              </w:rPr>
              <w:t>Year 4</w:t>
            </w:r>
          </w:p>
        </w:tc>
        <w:tc>
          <w:tcPr>
            <w:tcW w:w="611" w:type="pct"/>
            <w:shd w:val="clear" w:color="auto" w:fill="auto"/>
            <w:vAlign w:val="center"/>
          </w:tcPr>
          <w:p w:rsidR="00F1737B" w:rsidRPr="00CA75B3" w:rsidRDefault="00F1737B" w:rsidP="009B5D06">
            <w:pPr>
              <w:pStyle w:val="TableText"/>
              <w:keepNext/>
              <w:keepLines/>
              <w:jc w:val="center"/>
              <w:rPr>
                <w:b/>
              </w:rPr>
            </w:pPr>
            <w:r w:rsidRPr="00CA75B3">
              <w:rPr>
                <w:b/>
              </w:rPr>
              <w:t>Year 5</w:t>
            </w:r>
          </w:p>
        </w:tc>
        <w:tc>
          <w:tcPr>
            <w:tcW w:w="610" w:type="pct"/>
          </w:tcPr>
          <w:p w:rsidR="00F1737B" w:rsidRPr="00CA75B3" w:rsidRDefault="00F1737B" w:rsidP="009B5D06">
            <w:pPr>
              <w:pStyle w:val="TableText"/>
              <w:keepNext/>
              <w:keepLines/>
              <w:jc w:val="center"/>
              <w:rPr>
                <w:b/>
              </w:rPr>
            </w:pPr>
            <w:r w:rsidRPr="00CA75B3">
              <w:rPr>
                <w:b/>
              </w:rPr>
              <w:t>Year 6</w:t>
            </w:r>
          </w:p>
        </w:tc>
      </w:tr>
      <w:tr w:rsidR="00F1737B" w:rsidRPr="00962538" w:rsidTr="00DB2C48">
        <w:tc>
          <w:tcPr>
            <w:tcW w:w="5000" w:type="pct"/>
            <w:gridSpan w:val="7"/>
            <w:tcBorders>
              <w:bottom w:val="single" w:sz="4" w:space="0" w:color="auto"/>
            </w:tcBorders>
            <w:shd w:val="clear" w:color="auto" w:fill="auto"/>
            <w:vAlign w:val="center"/>
          </w:tcPr>
          <w:p w:rsidR="00F1737B" w:rsidRPr="006474BE" w:rsidRDefault="00F1737B" w:rsidP="009B5D06">
            <w:pPr>
              <w:pStyle w:val="TableText"/>
              <w:keepNext/>
              <w:keepLines/>
              <w:rPr>
                <w:b/>
              </w:rPr>
            </w:pPr>
            <w:r w:rsidRPr="00CA75B3">
              <w:rPr>
                <w:b/>
              </w:rPr>
              <w:t xml:space="preserve">Estimated extent of use of </w:t>
            </w:r>
            <w:r>
              <w:rPr>
                <w:b/>
                <w:i/>
              </w:rPr>
              <w:t>NTRK</w:t>
            </w:r>
            <w:r>
              <w:rPr>
                <w:b/>
              </w:rPr>
              <w:t xml:space="preserve"> fusion testing</w:t>
            </w:r>
          </w:p>
        </w:tc>
      </w:tr>
      <w:tr w:rsidR="00DB2C48" w:rsidRPr="00962538" w:rsidTr="00DB2C48">
        <w:tc>
          <w:tcPr>
            <w:tcW w:w="1335" w:type="pct"/>
            <w:tcBorders>
              <w:top w:val="single" w:sz="4" w:space="0" w:color="auto"/>
              <w:bottom w:val="single" w:sz="4" w:space="0" w:color="auto"/>
              <w:right w:val="nil"/>
            </w:tcBorders>
            <w:shd w:val="clear" w:color="auto" w:fill="auto"/>
            <w:vAlign w:val="center"/>
          </w:tcPr>
          <w:p w:rsidR="00DB2C48" w:rsidRDefault="00DB2C48" w:rsidP="009B5D06">
            <w:pPr>
              <w:pStyle w:val="TableText"/>
              <w:keepNext/>
              <w:keepLines/>
              <w:rPr>
                <w:bCs/>
              </w:rPr>
            </w:pPr>
            <w:r>
              <w:rPr>
                <w:bCs/>
              </w:rPr>
              <w:t>IHC utilisation</w:t>
            </w:r>
          </w:p>
        </w:tc>
        <w:tc>
          <w:tcPr>
            <w:tcW w:w="611" w:type="pct"/>
            <w:tcBorders>
              <w:top w:val="single" w:sz="4" w:space="0" w:color="auto"/>
              <w:left w:val="nil"/>
              <w:bottom w:val="single" w:sz="4" w:space="0" w:color="auto"/>
              <w:right w:val="nil"/>
            </w:tcBorders>
            <w:shd w:val="clear" w:color="auto" w:fill="auto"/>
          </w:tcPr>
          <w:p w:rsidR="00DB2C48" w:rsidRPr="00B750BE" w:rsidRDefault="00DB2C48" w:rsidP="009B5D06">
            <w:pPr>
              <w:pStyle w:val="TableNumber"/>
              <w:keepNext/>
              <w:keepLines/>
              <w:jc w:val="right"/>
            </w:pPr>
          </w:p>
        </w:tc>
        <w:tc>
          <w:tcPr>
            <w:tcW w:w="611" w:type="pct"/>
            <w:tcBorders>
              <w:top w:val="single" w:sz="4" w:space="0" w:color="auto"/>
              <w:left w:val="nil"/>
              <w:bottom w:val="single" w:sz="4" w:space="0" w:color="auto"/>
              <w:right w:val="nil"/>
            </w:tcBorders>
            <w:shd w:val="clear" w:color="auto" w:fill="auto"/>
          </w:tcPr>
          <w:p w:rsidR="00DB2C48" w:rsidRPr="00B750BE" w:rsidRDefault="00DB2C48" w:rsidP="009B5D06">
            <w:pPr>
              <w:pStyle w:val="TableText"/>
              <w:keepNext/>
              <w:keepLines/>
              <w:tabs>
                <w:tab w:val="decimal" w:pos="396"/>
              </w:tabs>
              <w:jc w:val="right"/>
            </w:pPr>
          </w:p>
        </w:tc>
        <w:tc>
          <w:tcPr>
            <w:tcW w:w="611" w:type="pct"/>
            <w:tcBorders>
              <w:top w:val="single" w:sz="4" w:space="0" w:color="auto"/>
              <w:left w:val="nil"/>
              <w:bottom w:val="single" w:sz="4" w:space="0" w:color="auto"/>
              <w:right w:val="nil"/>
            </w:tcBorders>
            <w:shd w:val="clear" w:color="auto" w:fill="auto"/>
          </w:tcPr>
          <w:p w:rsidR="00DB2C48" w:rsidRPr="00B750BE" w:rsidRDefault="00DB2C48" w:rsidP="009B5D06">
            <w:pPr>
              <w:pStyle w:val="TableText"/>
              <w:keepNext/>
              <w:keepLines/>
              <w:tabs>
                <w:tab w:val="decimal" w:pos="396"/>
              </w:tabs>
              <w:jc w:val="right"/>
            </w:pPr>
          </w:p>
        </w:tc>
        <w:tc>
          <w:tcPr>
            <w:tcW w:w="611" w:type="pct"/>
            <w:tcBorders>
              <w:top w:val="single" w:sz="4" w:space="0" w:color="auto"/>
              <w:left w:val="nil"/>
              <w:bottom w:val="single" w:sz="4" w:space="0" w:color="auto"/>
              <w:right w:val="nil"/>
            </w:tcBorders>
            <w:shd w:val="clear" w:color="auto" w:fill="auto"/>
          </w:tcPr>
          <w:p w:rsidR="00DB2C48" w:rsidRPr="00B750BE" w:rsidRDefault="00DB2C48" w:rsidP="009B5D06">
            <w:pPr>
              <w:pStyle w:val="TableText"/>
              <w:keepNext/>
              <w:keepLines/>
              <w:tabs>
                <w:tab w:val="decimal" w:pos="396"/>
              </w:tabs>
              <w:jc w:val="right"/>
            </w:pPr>
          </w:p>
        </w:tc>
        <w:tc>
          <w:tcPr>
            <w:tcW w:w="611" w:type="pct"/>
            <w:tcBorders>
              <w:top w:val="single" w:sz="4" w:space="0" w:color="auto"/>
              <w:left w:val="nil"/>
              <w:bottom w:val="single" w:sz="4" w:space="0" w:color="auto"/>
              <w:right w:val="nil"/>
            </w:tcBorders>
            <w:shd w:val="clear" w:color="auto" w:fill="auto"/>
          </w:tcPr>
          <w:p w:rsidR="00DB2C48" w:rsidRPr="00B750BE" w:rsidRDefault="00DB2C48" w:rsidP="009B5D06">
            <w:pPr>
              <w:pStyle w:val="TableText"/>
              <w:keepNext/>
              <w:keepLines/>
              <w:tabs>
                <w:tab w:val="decimal" w:pos="396"/>
              </w:tabs>
              <w:jc w:val="right"/>
            </w:pPr>
          </w:p>
        </w:tc>
        <w:tc>
          <w:tcPr>
            <w:tcW w:w="610" w:type="pct"/>
            <w:tcBorders>
              <w:top w:val="single" w:sz="4" w:space="0" w:color="auto"/>
              <w:left w:val="nil"/>
              <w:bottom w:val="single" w:sz="4" w:space="0" w:color="auto"/>
            </w:tcBorders>
          </w:tcPr>
          <w:p w:rsidR="00DB2C48" w:rsidRPr="00B750BE" w:rsidRDefault="00DB2C48" w:rsidP="009B5D06">
            <w:pPr>
              <w:pStyle w:val="TableText"/>
              <w:keepNext/>
              <w:keepLines/>
              <w:tabs>
                <w:tab w:val="decimal" w:pos="396"/>
              </w:tabs>
              <w:jc w:val="right"/>
            </w:pPr>
          </w:p>
        </w:tc>
      </w:tr>
      <w:tr w:rsidR="00F1737B" w:rsidRPr="00962538" w:rsidTr="00DB2C48">
        <w:tc>
          <w:tcPr>
            <w:tcW w:w="1335" w:type="pct"/>
            <w:tcBorders>
              <w:top w:val="single" w:sz="4" w:space="0" w:color="auto"/>
              <w:bottom w:val="nil"/>
            </w:tcBorders>
            <w:shd w:val="clear" w:color="auto" w:fill="auto"/>
            <w:vAlign w:val="center"/>
          </w:tcPr>
          <w:p w:rsidR="00F1737B" w:rsidRPr="00962538" w:rsidRDefault="00F1737B" w:rsidP="009B5D06">
            <w:pPr>
              <w:pStyle w:val="TableText"/>
              <w:keepNext/>
              <w:keepLines/>
            </w:pPr>
            <w:r>
              <w:rPr>
                <w:bCs/>
              </w:rPr>
              <w:t>Adults</w:t>
            </w:r>
            <w:r w:rsidR="0058286F">
              <w:rPr>
                <w:bCs/>
              </w:rPr>
              <w:t xml:space="preserve"> with</w:t>
            </w:r>
            <w:r>
              <w:rPr>
                <w:bCs/>
              </w:rPr>
              <w:t xml:space="preserve"> low </w:t>
            </w:r>
            <w:r>
              <w:rPr>
                <w:bCs/>
                <w:i/>
              </w:rPr>
              <w:t>NTRK</w:t>
            </w:r>
            <w:r>
              <w:rPr>
                <w:bCs/>
              </w:rPr>
              <w:t xml:space="preserve"> fusion frequency </w:t>
            </w:r>
            <w:r w:rsidR="0058286F">
              <w:rPr>
                <w:bCs/>
              </w:rPr>
              <w:t xml:space="preserve">tumour types </w:t>
            </w:r>
            <w:r>
              <w:rPr>
                <w:bCs/>
              </w:rPr>
              <w:t>who receive larotrectinib</w:t>
            </w:r>
          </w:p>
        </w:tc>
        <w:tc>
          <w:tcPr>
            <w:tcW w:w="611" w:type="pct"/>
            <w:tcBorders>
              <w:top w:val="single" w:sz="4" w:space="0" w:color="auto"/>
              <w:bottom w:val="nil"/>
            </w:tcBorders>
            <w:shd w:val="clear" w:color="auto" w:fill="auto"/>
          </w:tcPr>
          <w:p w:rsidR="00F1737B" w:rsidRPr="00675CB4" w:rsidRDefault="00675CB4" w:rsidP="009B5D06">
            <w:pPr>
              <w:pStyle w:val="TableNumber"/>
              <w:keepNext/>
              <w:keepLines/>
              <w:jc w:val="right"/>
              <w:rPr>
                <w:highlight w:val="yellow"/>
              </w:rPr>
            </w:pPr>
            <w:r>
              <w:rPr>
                <w:noProof/>
                <w:color w:val="000000"/>
                <w:highlight w:val="black"/>
              </w:rPr>
              <w:t>'''''''</w:t>
            </w:r>
            <w:r w:rsidR="000B6C23">
              <w:rPr>
                <w:bCs/>
                <w:vertAlign w:val="superscript"/>
              </w:rPr>
              <w:t>1</w:t>
            </w:r>
          </w:p>
        </w:tc>
        <w:tc>
          <w:tcPr>
            <w:tcW w:w="611" w:type="pct"/>
            <w:tcBorders>
              <w:top w:val="single" w:sz="4" w:space="0" w:color="auto"/>
              <w:bottom w:val="nil"/>
            </w:tcBorders>
            <w:shd w:val="clear" w:color="auto" w:fill="auto"/>
          </w:tcPr>
          <w:p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single" w:sz="4" w:space="0" w:color="auto"/>
              <w:bottom w:val="nil"/>
            </w:tcBorders>
            <w:shd w:val="clear" w:color="auto" w:fill="auto"/>
          </w:tcPr>
          <w:p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single" w:sz="4" w:space="0" w:color="auto"/>
              <w:bottom w:val="nil"/>
            </w:tcBorders>
            <w:shd w:val="clear" w:color="auto" w:fill="auto"/>
          </w:tcPr>
          <w:p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single" w:sz="4" w:space="0" w:color="auto"/>
              <w:bottom w:val="nil"/>
            </w:tcBorders>
            <w:shd w:val="clear" w:color="auto" w:fill="auto"/>
          </w:tcPr>
          <w:p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0" w:type="pct"/>
            <w:tcBorders>
              <w:top w:val="single" w:sz="4" w:space="0" w:color="auto"/>
              <w:bottom w:val="nil"/>
            </w:tcBorders>
          </w:tcPr>
          <w:p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r>
      <w:tr w:rsidR="00F1737B" w:rsidRPr="00962538" w:rsidTr="004D2827">
        <w:tc>
          <w:tcPr>
            <w:tcW w:w="1335" w:type="pct"/>
            <w:tcBorders>
              <w:bottom w:val="nil"/>
            </w:tcBorders>
            <w:shd w:val="clear" w:color="auto" w:fill="auto"/>
            <w:vAlign w:val="center"/>
          </w:tcPr>
          <w:p w:rsidR="00F1737B" w:rsidRPr="00962538" w:rsidRDefault="00F1737B" w:rsidP="009B5D06">
            <w:pPr>
              <w:pStyle w:val="TableText"/>
              <w:keepNext/>
              <w:keepLines/>
            </w:pPr>
            <w:r>
              <w:rPr>
                <w:bCs/>
              </w:rPr>
              <w:t xml:space="preserve">No. IHC tests required </w:t>
            </w:r>
            <w:r>
              <w:rPr>
                <w:bCs/>
              </w:rPr>
              <w:br/>
              <w:t>(</w:t>
            </w:r>
            <w:r w:rsidR="00675CB4">
              <w:rPr>
                <w:bCs/>
                <w:noProof/>
                <w:color w:val="000000"/>
                <w:highlight w:val="black"/>
              </w:rPr>
              <w:t>''''''''''''''''</w:t>
            </w:r>
            <w:r w:rsidR="000B6C23">
              <w:rPr>
                <w:bCs/>
                <w:vertAlign w:val="superscript"/>
              </w:rPr>
              <w:t>1</w:t>
            </w:r>
            <w:r>
              <w:rPr>
                <w:bCs/>
              </w:rPr>
              <w:t xml:space="preserve"> per patient</w:t>
            </w:r>
            <w:r w:rsidR="00E46E90">
              <w:rPr>
                <w:bCs/>
              </w:rPr>
              <w:t xml:space="preserve"> treated</w:t>
            </w:r>
            <w:r>
              <w:rPr>
                <w:bCs/>
              </w:rPr>
              <w:t>)</w:t>
            </w:r>
          </w:p>
        </w:tc>
        <w:tc>
          <w:tcPr>
            <w:tcW w:w="611" w:type="pct"/>
            <w:tcBorders>
              <w:bottom w:val="nil"/>
            </w:tcBorders>
            <w:shd w:val="clear" w:color="auto" w:fill="auto"/>
          </w:tcPr>
          <w:p w:rsidR="00F1737B" w:rsidRPr="00675CB4" w:rsidRDefault="00675CB4" w:rsidP="009B5D06">
            <w:pPr>
              <w:pStyle w:val="TableNumber"/>
              <w:keepNext/>
              <w:keepLines/>
              <w:jc w:val="right"/>
              <w:rPr>
                <w:highlight w:val="yellow"/>
              </w:rPr>
            </w:pPr>
            <w:r>
              <w:rPr>
                <w:noProof/>
                <w:color w:val="000000"/>
                <w:highlight w:val="black"/>
              </w:rPr>
              <w:t>''''''''''''''</w:t>
            </w:r>
            <w:r w:rsidR="008F2037">
              <w:rPr>
                <w:bCs/>
                <w:vertAlign w:val="superscript"/>
              </w:rPr>
              <w:t>8</w:t>
            </w:r>
          </w:p>
        </w:tc>
        <w:tc>
          <w:tcPr>
            <w:tcW w:w="611" w:type="pct"/>
            <w:tcBorders>
              <w:bottom w:val="nil"/>
            </w:tcBorders>
            <w:shd w:val="clear" w:color="auto" w:fill="auto"/>
          </w:tcPr>
          <w:p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8F2037">
              <w:rPr>
                <w:bCs/>
                <w:vertAlign w:val="superscript"/>
              </w:rPr>
              <w:t>8</w:t>
            </w:r>
          </w:p>
        </w:tc>
        <w:tc>
          <w:tcPr>
            <w:tcW w:w="611" w:type="pct"/>
            <w:tcBorders>
              <w:bottom w:val="nil"/>
            </w:tcBorders>
            <w:shd w:val="clear" w:color="auto" w:fill="auto"/>
          </w:tcPr>
          <w:p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8F2037">
              <w:rPr>
                <w:bCs/>
                <w:vertAlign w:val="superscript"/>
              </w:rPr>
              <w:t>8</w:t>
            </w:r>
          </w:p>
        </w:tc>
        <w:tc>
          <w:tcPr>
            <w:tcW w:w="611" w:type="pct"/>
            <w:tcBorders>
              <w:bottom w:val="nil"/>
            </w:tcBorders>
            <w:shd w:val="clear" w:color="auto" w:fill="auto"/>
          </w:tcPr>
          <w:p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8F2037">
              <w:rPr>
                <w:bCs/>
                <w:vertAlign w:val="superscript"/>
              </w:rPr>
              <w:t>8</w:t>
            </w:r>
          </w:p>
        </w:tc>
        <w:tc>
          <w:tcPr>
            <w:tcW w:w="611" w:type="pct"/>
            <w:tcBorders>
              <w:bottom w:val="nil"/>
            </w:tcBorders>
            <w:shd w:val="clear" w:color="auto" w:fill="auto"/>
          </w:tcPr>
          <w:p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8F2037">
              <w:rPr>
                <w:bCs/>
                <w:vertAlign w:val="superscript"/>
              </w:rPr>
              <w:t>8</w:t>
            </w:r>
          </w:p>
        </w:tc>
        <w:tc>
          <w:tcPr>
            <w:tcW w:w="610" w:type="pct"/>
            <w:tcBorders>
              <w:bottom w:val="nil"/>
            </w:tcBorders>
          </w:tcPr>
          <w:p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8F2037">
              <w:rPr>
                <w:bCs/>
                <w:vertAlign w:val="superscript"/>
              </w:rPr>
              <w:t>8</w:t>
            </w:r>
          </w:p>
        </w:tc>
      </w:tr>
      <w:tr w:rsidR="00F1737B" w:rsidRPr="00962538" w:rsidTr="00DB2C48">
        <w:tc>
          <w:tcPr>
            <w:tcW w:w="1335" w:type="pct"/>
            <w:tcBorders>
              <w:top w:val="nil"/>
              <w:bottom w:val="single" w:sz="4" w:space="0" w:color="auto"/>
            </w:tcBorders>
            <w:shd w:val="clear" w:color="auto" w:fill="auto"/>
            <w:vAlign w:val="center"/>
          </w:tcPr>
          <w:p w:rsidR="00F1737B" w:rsidRPr="00B170B6" w:rsidRDefault="00F1737B" w:rsidP="009B5D06">
            <w:pPr>
              <w:pStyle w:val="TableText"/>
              <w:keepNext/>
              <w:keepLines/>
              <w:rPr>
                <w:iCs/>
              </w:rPr>
            </w:pPr>
            <w:r w:rsidRPr="00B170B6">
              <w:rPr>
                <w:bCs/>
                <w:iCs/>
              </w:rPr>
              <w:t>Revised (</w:t>
            </w:r>
            <w:r w:rsidR="00675CB4">
              <w:rPr>
                <w:bCs/>
                <w:iCs/>
                <w:noProof/>
                <w:color w:val="000000"/>
                <w:highlight w:val="black"/>
              </w:rPr>
              <w:t>'''''''''''''''</w:t>
            </w:r>
            <w:r w:rsidR="000B6C23">
              <w:rPr>
                <w:bCs/>
                <w:vertAlign w:val="superscript"/>
              </w:rPr>
              <w:t>1</w:t>
            </w:r>
            <w:r w:rsidRPr="00B170B6">
              <w:rPr>
                <w:bCs/>
                <w:iCs/>
              </w:rPr>
              <w:t xml:space="preserve"> per patient)</w:t>
            </w:r>
            <w:r w:rsidRPr="00B170B6">
              <w:rPr>
                <w:bCs/>
                <w:iCs/>
                <w:vertAlign w:val="superscript"/>
              </w:rPr>
              <w:t>a</w:t>
            </w:r>
          </w:p>
        </w:tc>
        <w:tc>
          <w:tcPr>
            <w:tcW w:w="611" w:type="pct"/>
            <w:tcBorders>
              <w:top w:val="nil"/>
              <w:bottom w:val="single" w:sz="4" w:space="0" w:color="auto"/>
            </w:tcBorders>
            <w:shd w:val="clear" w:color="auto" w:fill="auto"/>
          </w:tcPr>
          <w:p w:rsidR="00F1737B" w:rsidRPr="00675CB4" w:rsidRDefault="00675CB4" w:rsidP="009B5D06">
            <w:pPr>
              <w:pStyle w:val="TableNumber"/>
              <w:keepNext/>
              <w:keepLines/>
              <w:jc w:val="right"/>
              <w:rPr>
                <w:iCs/>
                <w:highlight w:val="yellow"/>
              </w:rPr>
            </w:pPr>
            <w:r>
              <w:rPr>
                <w:iCs/>
                <w:noProof/>
                <w:color w:val="000000"/>
                <w:highlight w:val="black"/>
              </w:rPr>
              <w:t>'''''''''''''</w:t>
            </w:r>
            <w:r w:rsidR="008F2037">
              <w:rPr>
                <w:bCs/>
                <w:vertAlign w:val="superscript"/>
              </w:rPr>
              <w:t>8</w:t>
            </w:r>
          </w:p>
        </w:tc>
        <w:tc>
          <w:tcPr>
            <w:tcW w:w="611" w:type="pct"/>
            <w:tcBorders>
              <w:top w:val="nil"/>
              <w:bottom w:val="single" w:sz="4" w:space="0" w:color="auto"/>
            </w:tcBorders>
            <w:shd w:val="clear" w:color="auto" w:fill="auto"/>
          </w:tcPr>
          <w:p w:rsidR="00F1737B" w:rsidRPr="00675CB4" w:rsidRDefault="00675CB4" w:rsidP="009B5D06">
            <w:pPr>
              <w:pStyle w:val="TableText"/>
              <w:keepNext/>
              <w:keepLines/>
              <w:tabs>
                <w:tab w:val="decimal" w:pos="396"/>
              </w:tabs>
              <w:jc w:val="right"/>
              <w:rPr>
                <w:iCs/>
                <w:highlight w:val="yellow"/>
              </w:rPr>
            </w:pPr>
            <w:r>
              <w:rPr>
                <w:iCs/>
                <w:noProof/>
                <w:color w:val="000000"/>
                <w:highlight w:val="black"/>
              </w:rPr>
              <w:t>''''''''''''''</w:t>
            </w:r>
            <w:r w:rsidR="008F2037">
              <w:rPr>
                <w:bCs/>
                <w:vertAlign w:val="superscript"/>
              </w:rPr>
              <w:t>8</w:t>
            </w:r>
          </w:p>
        </w:tc>
        <w:tc>
          <w:tcPr>
            <w:tcW w:w="611" w:type="pct"/>
            <w:tcBorders>
              <w:top w:val="nil"/>
              <w:bottom w:val="single" w:sz="4" w:space="0" w:color="auto"/>
            </w:tcBorders>
            <w:shd w:val="clear" w:color="auto" w:fill="auto"/>
          </w:tcPr>
          <w:p w:rsidR="00F1737B" w:rsidRPr="00675CB4" w:rsidRDefault="00675CB4" w:rsidP="009B5D06">
            <w:pPr>
              <w:pStyle w:val="TableText"/>
              <w:keepNext/>
              <w:keepLines/>
              <w:tabs>
                <w:tab w:val="decimal" w:pos="396"/>
              </w:tabs>
              <w:jc w:val="right"/>
              <w:rPr>
                <w:iCs/>
                <w:highlight w:val="yellow"/>
              </w:rPr>
            </w:pPr>
            <w:r>
              <w:rPr>
                <w:iCs/>
                <w:noProof/>
                <w:color w:val="000000"/>
                <w:highlight w:val="black"/>
              </w:rPr>
              <w:t>'''''''''''''</w:t>
            </w:r>
            <w:r w:rsidR="008F2037">
              <w:rPr>
                <w:bCs/>
                <w:vertAlign w:val="superscript"/>
              </w:rPr>
              <w:t>8</w:t>
            </w:r>
          </w:p>
        </w:tc>
        <w:tc>
          <w:tcPr>
            <w:tcW w:w="611" w:type="pct"/>
            <w:tcBorders>
              <w:top w:val="nil"/>
              <w:bottom w:val="single" w:sz="4" w:space="0" w:color="auto"/>
            </w:tcBorders>
            <w:shd w:val="clear" w:color="auto" w:fill="auto"/>
          </w:tcPr>
          <w:p w:rsidR="00F1737B" w:rsidRPr="00675CB4" w:rsidRDefault="00675CB4" w:rsidP="009B5D06">
            <w:pPr>
              <w:pStyle w:val="TableText"/>
              <w:keepNext/>
              <w:keepLines/>
              <w:tabs>
                <w:tab w:val="decimal" w:pos="396"/>
              </w:tabs>
              <w:jc w:val="right"/>
              <w:rPr>
                <w:iCs/>
                <w:highlight w:val="yellow"/>
              </w:rPr>
            </w:pPr>
            <w:r>
              <w:rPr>
                <w:iCs/>
                <w:noProof/>
                <w:color w:val="000000"/>
                <w:highlight w:val="black"/>
              </w:rPr>
              <w:t>'''''''''''''</w:t>
            </w:r>
            <w:r w:rsidR="008F2037">
              <w:rPr>
                <w:bCs/>
                <w:vertAlign w:val="superscript"/>
              </w:rPr>
              <w:t>8</w:t>
            </w:r>
          </w:p>
        </w:tc>
        <w:tc>
          <w:tcPr>
            <w:tcW w:w="611" w:type="pct"/>
            <w:tcBorders>
              <w:top w:val="nil"/>
              <w:bottom w:val="single" w:sz="4" w:space="0" w:color="auto"/>
            </w:tcBorders>
            <w:shd w:val="clear" w:color="auto" w:fill="auto"/>
          </w:tcPr>
          <w:p w:rsidR="00F1737B" w:rsidRPr="00675CB4" w:rsidRDefault="00675CB4" w:rsidP="009B5D06">
            <w:pPr>
              <w:pStyle w:val="TableText"/>
              <w:keepNext/>
              <w:keepLines/>
              <w:tabs>
                <w:tab w:val="decimal" w:pos="396"/>
              </w:tabs>
              <w:jc w:val="right"/>
              <w:rPr>
                <w:iCs/>
                <w:highlight w:val="yellow"/>
              </w:rPr>
            </w:pPr>
            <w:r>
              <w:rPr>
                <w:iCs/>
                <w:noProof/>
                <w:color w:val="000000"/>
                <w:highlight w:val="black"/>
              </w:rPr>
              <w:t>'''''''''''''''</w:t>
            </w:r>
            <w:r w:rsidR="008F2037">
              <w:rPr>
                <w:bCs/>
                <w:vertAlign w:val="superscript"/>
              </w:rPr>
              <w:t>8</w:t>
            </w:r>
          </w:p>
        </w:tc>
        <w:tc>
          <w:tcPr>
            <w:tcW w:w="610" w:type="pct"/>
            <w:tcBorders>
              <w:top w:val="nil"/>
              <w:bottom w:val="single" w:sz="4" w:space="0" w:color="auto"/>
            </w:tcBorders>
          </w:tcPr>
          <w:p w:rsidR="00F1737B" w:rsidRPr="00675CB4" w:rsidRDefault="00675CB4" w:rsidP="009B5D06">
            <w:pPr>
              <w:pStyle w:val="TableText"/>
              <w:keepNext/>
              <w:keepLines/>
              <w:tabs>
                <w:tab w:val="decimal" w:pos="396"/>
              </w:tabs>
              <w:jc w:val="right"/>
              <w:rPr>
                <w:iCs/>
                <w:highlight w:val="yellow"/>
              </w:rPr>
            </w:pPr>
            <w:r>
              <w:rPr>
                <w:iCs/>
                <w:noProof/>
                <w:color w:val="000000"/>
                <w:highlight w:val="black"/>
              </w:rPr>
              <w:t>'''''''''''''''</w:t>
            </w:r>
            <w:r w:rsidR="008F2037">
              <w:rPr>
                <w:bCs/>
                <w:vertAlign w:val="superscript"/>
              </w:rPr>
              <w:t>8</w:t>
            </w:r>
          </w:p>
        </w:tc>
      </w:tr>
      <w:tr w:rsidR="00DB2C48" w:rsidRPr="00962538" w:rsidTr="00DB2C48">
        <w:tc>
          <w:tcPr>
            <w:tcW w:w="1335" w:type="pct"/>
            <w:tcBorders>
              <w:top w:val="single" w:sz="4" w:space="0" w:color="auto"/>
              <w:bottom w:val="single" w:sz="4" w:space="0" w:color="auto"/>
              <w:right w:val="nil"/>
            </w:tcBorders>
            <w:shd w:val="clear" w:color="auto" w:fill="auto"/>
            <w:vAlign w:val="center"/>
          </w:tcPr>
          <w:p w:rsidR="00DB2C48" w:rsidRPr="00DB2C48" w:rsidRDefault="00DB2C48" w:rsidP="009B5D06">
            <w:pPr>
              <w:pStyle w:val="TableText"/>
              <w:keepNext/>
              <w:keepLines/>
              <w:rPr>
                <w:bCs/>
              </w:rPr>
            </w:pPr>
            <w:r>
              <w:rPr>
                <w:bCs/>
              </w:rPr>
              <w:t>NGS/FISH utilisation</w:t>
            </w:r>
          </w:p>
        </w:tc>
        <w:tc>
          <w:tcPr>
            <w:tcW w:w="611" w:type="pct"/>
            <w:tcBorders>
              <w:top w:val="single" w:sz="4" w:space="0" w:color="auto"/>
              <w:left w:val="nil"/>
              <w:bottom w:val="single" w:sz="4" w:space="0" w:color="auto"/>
              <w:right w:val="nil"/>
            </w:tcBorders>
            <w:shd w:val="clear" w:color="auto" w:fill="auto"/>
          </w:tcPr>
          <w:p w:rsidR="00DB2C48" w:rsidRPr="003D21BF" w:rsidRDefault="00DB2C48" w:rsidP="009B5D06">
            <w:pPr>
              <w:pStyle w:val="TableNumber"/>
              <w:keepNext/>
              <w:keepLines/>
              <w:jc w:val="right"/>
              <w:rPr>
                <w:i/>
              </w:rPr>
            </w:pPr>
          </w:p>
        </w:tc>
        <w:tc>
          <w:tcPr>
            <w:tcW w:w="611" w:type="pct"/>
            <w:tcBorders>
              <w:top w:val="single" w:sz="4" w:space="0" w:color="auto"/>
              <w:left w:val="nil"/>
              <w:bottom w:val="single" w:sz="4" w:space="0" w:color="auto"/>
              <w:right w:val="nil"/>
            </w:tcBorders>
            <w:shd w:val="clear" w:color="auto" w:fill="auto"/>
          </w:tcPr>
          <w:p w:rsidR="00DB2C48" w:rsidRPr="003D21BF" w:rsidRDefault="00DB2C48" w:rsidP="009B5D06">
            <w:pPr>
              <w:pStyle w:val="TableText"/>
              <w:keepNext/>
              <w:keepLines/>
              <w:tabs>
                <w:tab w:val="decimal" w:pos="396"/>
              </w:tabs>
              <w:jc w:val="right"/>
              <w:rPr>
                <w:i/>
              </w:rPr>
            </w:pPr>
          </w:p>
        </w:tc>
        <w:tc>
          <w:tcPr>
            <w:tcW w:w="611" w:type="pct"/>
            <w:tcBorders>
              <w:top w:val="single" w:sz="4" w:space="0" w:color="auto"/>
              <w:left w:val="nil"/>
              <w:bottom w:val="single" w:sz="4" w:space="0" w:color="auto"/>
              <w:right w:val="nil"/>
            </w:tcBorders>
            <w:shd w:val="clear" w:color="auto" w:fill="auto"/>
          </w:tcPr>
          <w:p w:rsidR="00DB2C48" w:rsidRPr="003D21BF" w:rsidRDefault="00DB2C48" w:rsidP="009B5D06">
            <w:pPr>
              <w:pStyle w:val="TableText"/>
              <w:keepNext/>
              <w:keepLines/>
              <w:tabs>
                <w:tab w:val="decimal" w:pos="396"/>
              </w:tabs>
              <w:jc w:val="right"/>
              <w:rPr>
                <w:i/>
              </w:rPr>
            </w:pPr>
          </w:p>
        </w:tc>
        <w:tc>
          <w:tcPr>
            <w:tcW w:w="611" w:type="pct"/>
            <w:tcBorders>
              <w:top w:val="single" w:sz="4" w:space="0" w:color="auto"/>
              <w:left w:val="nil"/>
              <w:bottom w:val="single" w:sz="4" w:space="0" w:color="auto"/>
              <w:right w:val="nil"/>
            </w:tcBorders>
            <w:shd w:val="clear" w:color="auto" w:fill="auto"/>
          </w:tcPr>
          <w:p w:rsidR="00DB2C48" w:rsidRPr="003D21BF" w:rsidRDefault="00DB2C48" w:rsidP="009B5D06">
            <w:pPr>
              <w:pStyle w:val="TableText"/>
              <w:keepNext/>
              <w:keepLines/>
              <w:tabs>
                <w:tab w:val="decimal" w:pos="396"/>
              </w:tabs>
              <w:jc w:val="right"/>
              <w:rPr>
                <w:i/>
              </w:rPr>
            </w:pPr>
          </w:p>
        </w:tc>
        <w:tc>
          <w:tcPr>
            <w:tcW w:w="611" w:type="pct"/>
            <w:tcBorders>
              <w:top w:val="single" w:sz="4" w:space="0" w:color="auto"/>
              <w:left w:val="nil"/>
              <w:bottom w:val="single" w:sz="4" w:space="0" w:color="auto"/>
              <w:right w:val="nil"/>
            </w:tcBorders>
            <w:shd w:val="clear" w:color="auto" w:fill="auto"/>
          </w:tcPr>
          <w:p w:rsidR="00DB2C48" w:rsidRPr="003D21BF" w:rsidRDefault="00DB2C48" w:rsidP="009B5D06">
            <w:pPr>
              <w:pStyle w:val="TableText"/>
              <w:keepNext/>
              <w:keepLines/>
              <w:tabs>
                <w:tab w:val="decimal" w:pos="396"/>
              </w:tabs>
              <w:jc w:val="right"/>
              <w:rPr>
                <w:i/>
              </w:rPr>
            </w:pPr>
          </w:p>
        </w:tc>
        <w:tc>
          <w:tcPr>
            <w:tcW w:w="610" w:type="pct"/>
            <w:tcBorders>
              <w:top w:val="single" w:sz="4" w:space="0" w:color="auto"/>
              <w:left w:val="nil"/>
              <w:bottom w:val="single" w:sz="4" w:space="0" w:color="auto"/>
            </w:tcBorders>
          </w:tcPr>
          <w:p w:rsidR="00DB2C48" w:rsidRPr="003D21BF" w:rsidRDefault="00DB2C48" w:rsidP="009B5D06">
            <w:pPr>
              <w:pStyle w:val="TableText"/>
              <w:keepNext/>
              <w:keepLines/>
              <w:tabs>
                <w:tab w:val="decimal" w:pos="396"/>
              </w:tabs>
              <w:jc w:val="right"/>
              <w:rPr>
                <w:i/>
              </w:rPr>
            </w:pPr>
          </w:p>
        </w:tc>
      </w:tr>
      <w:tr w:rsidR="00DB2C48" w:rsidRPr="00962538" w:rsidTr="00DB2C48">
        <w:tc>
          <w:tcPr>
            <w:tcW w:w="1335" w:type="pct"/>
            <w:tcBorders>
              <w:bottom w:val="dotted" w:sz="4" w:space="0" w:color="auto"/>
            </w:tcBorders>
            <w:shd w:val="clear" w:color="auto" w:fill="auto"/>
            <w:vAlign w:val="center"/>
          </w:tcPr>
          <w:p w:rsidR="00DB2C48" w:rsidRDefault="00DB2C48" w:rsidP="009B5D06">
            <w:pPr>
              <w:pStyle w:val="TableText"/>
              <w:keepNext/>
              <w:keepLines/>
            </w:pPr>
            <w:r>
              <w:rPr>
                <w:bCs/>
              </w:rPr>
              <w:t xml:space="preserve">Paediatric high </w:t>
            </w:r>
            <w:r>
              <w:rPr>
                <w:bCs/>
                <w:i/>
              </w:rPr>
              <w:t>NTRK</w:t>
            </w:r>
            <w:r>
              <w:rPr>
                <w:bCs/>
              </w:rPr>
              <w:t xml:space="preserve"> fusion frequency patients who receive larotrectinib </w:t>
            </w:r>
            <w:r w:rsidRPr="00DB2C48">
              <w:rPr>
                <w:b/>
                <w:bCs/>
              </w:rPr>
              <w:t>[A]</w:t>
            </w:r>
          </w:p>
        </w:tc>
        <w:tc>
          <w:tcPr>
            <w:tcW w:w="611" w:type="pct"/>
            <w:tcBorders>
              <w:bottom w:val="dotted" w:sz="4" w:space="0" w:color="auto"/>
            </w:tcBorders>
            <w:shd w:val="clear" w:color="auto" w:fill="auto"/>
          </w:tcPr>
          <w:p w:rsidR="00DB2C48" w:rsidRPr="00675CB4" w:rsidRDefault="00675CB4" w:rsidP="009B5D06">
            <w:pPr>
              <w:pStyle w:val="TableNumber"/>
              <w:keepNext/>
              <w:keepLine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0" w:type="pct"/>
            <w:tcBorders>
              <w:bottom w:val="dotted" w:sz="4" w:space="0" w:color="auto"/>
            </w:tcBorders>
          </w:tcPr>
          <w:p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r>
      <w:tr w:rsidR="00DB2C48" w:rsidRPr="00962538" w:rsidTr="00DB2C48">
        <w:tc>
          <w:tcPr>
            <w:tcW w:w="1335" w:type="pct"/>
            <w:tcBorders>
              <w:top w:val="dotted" w:sz="4" w:space="0" w:color="auto"/>
              <w:bottom w:val="single" w:sz="4" w:space="0" w:color="auto"/>
            </w:tcBorders>
            <w:shd w:val="clear" w:color="auto" w:fill="auto"/>
            <w:vAlign w:val="center"/>
          </w:tcPr>
          <w:p w:rsidR="00DB2C48" w:rsidRDefault="00DB2C48" w:rsidP="009B5D06">
            <w:pPr>
              <w:pStyle w:val="TableText"/>
              <w:keepNext/>
              <w:keepLines/>
            </w:pPr>
            <w:r>
              <w:rPr>
                <w:bCs/>
              </w:rPr>
              <w:t xml:space="preserve">No. NGS/FISH tests required </w:t>
            </w:r>
            <w:r>
              <w:rPr>
                <w:bCs/>
              </w:rPr>
              <w:br/>
              <w:t>(</w:t>
            </w:r>
            <w:r w:rsidR="00675CB4">
              <w:rPr>
                <w:bCs/>
                <w:noProof/>
                <w:color w:val="000000"/>
                <w:highlight w:val="black"/>
              </w:rPr>
              <w:t>'''''''''''</w:t>
            </w:r>
            <w:r w:rsidR="000B6C23">
              <w:rPr>
                <w:bCs/>
                <w:vertAlign w:val="superscript"/>
              </w:rPr>
              <w:t>1</w:t>
            </w:r>
            <w:r>
              <w:rPr>
                <w:bCs/>
              </w:rPr>
              <w:t xml:space="preserve"> per patient)</w:t>
            </w:r>
          </w:p>
        </w:tc>
        <w:tc>
          <w:tcPr>
            <w:tcW w:w="611" w:type="pct"/>
            <w:tcBorders>
              <w:top w:val="dotted" w:sz="4" w:space="0" w:color="auto"/>
              <w:bottom w:val="single" w:sz="4" w:space="0" w:color="auto"/>
            </w:tcBorders>
            <w:shd w:val="clear" w:color="auto" w:fill="auto"/>
          </w:tcPr>
          <w:p w:rsidR="00DB2C48" w:rsidRPr="00675CB4" w:rsidRDefault="00675CB4" w:rsidP="009B5D06">
            <w:pPr>
              <w:pStyle w:val="TableNumber"/>
              <w:keepNext/>
              <w:keepLine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0" w:type="pct"/>
            <w:tcBorders>
              <w:top w:val="dotted" w:sz="4" w:space="0" w:color="auto"/>
              <w:bottom w:val="single" w:sz="4" w:space="0" w:color="auto"/>
            </w:tcBorders>
          </w:tcPr>
          <w:p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r>
      <w:tr w:rsidR="00DB2C48" w:rsidRPr="00962538" w:rsidTr="00DB2C48">
        <w:tc>
          <w:tcPr>
            <w:tcW w:w="1335" w:type="pct"/>
            <w:tcBorders>
              <w:bottom w:val="dotted" w:sz="4" w:space="0" w:color="auto"/>
            </w:tcBorders>
            <w:shd w:val="clear" w:color="auto" w:fill="auto"/>
            <w:vAlign w:val="center"/>
          </w:tcPr>
          <w:p w:rsidR="00DB2C48" w:rsidRDefault="00DB2C48" w:rsidP="009B5D06">
            <w:pPr>
              <w:pStyle w:val="TableText"/>
              <w:keepNext/>
              <w:keepLines/>
            </w:pPr>
            <w:r>
              <w:rPr>
                <w:bCs/>
              </w:rPr>
              <w:t xml:space="preserve">Adult high </w:t>
            </w:r>
            <w:r>
              <w:rPr>
                <w:bCs/>
                <w:i/>
              </w:rPr>
              <w:t>NTRK</w:t>
            </w:r>
            <w:r>
              <w:rPr>
                <w:bCs/>
              </w:rPr>
              <w:t xml:space="preserve"> fusion frequency patients who receive larotrectinib </w:t>
            </w:r>
            <w:r w:rsidRPr="00DB2C48">
              <w:rPr>
                <w:b/>
                <w:bCs/>
              </w:rPr>
              <w:t>[B]</w:t>
            </w:r>
          </w:p>
        </w:tc>
        <w:tc>
          <w:tcPr>
            <w:tcW w:w="611" w:type="pct"/>
            <w:tcBorders>
              <w:bottom w:val="dotted" w:sz="4" w:space="0" w:color="auto"/>
            </w:tcBorders>
            <w:shd w:val="clear" w:color="auto" w:fill="auto"/>
          </w:tcPr>
          <w:p w:rsidR="00DB2C48" w:rsidRPr="00675CB4" w:rsidRDefault="00675CB4" w:rsidP="009B5D06">
            <w:pPr>
              <w:pStyle w:val="TableNumber"/>
              <w:keepNext/>
              <w:keepLine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0" w:type="pct"/>
            <w:tcBorders>
              <w:bottom w:val="dotted" w:sz="4" w:space="0" w:color="auto"/>
            </w:tcBorders>
          </w:tcPr>
          <w:p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r>
      <w:tr w:rsidR="00DB2C48" w:rsidRPr="00962538" w:rsidTr="00DB2C48">
        <w:tc>
          <w:tcPr>
            <w:tcW w:w="1335" w:type="pct"/>
            <w:tcBorders>
              <w:top w:val="dotted" w:sz="4" w:space="0" w:color="auto"/>
              <w:bottom w:val="single" w:sz="4" w:space="0" w:color="auto"/>
            </w:tcBorders>
            <w:shd w:val="clear" w:color="auto" w:fill="auto"/>
            <w:vAlign w:val="center"/>
          </w:tcPr>
          <w:p w:rsidR="00DB2C48" w:rsidRPr="00053DB1" w:rsidRDefault="00DB2C48">
            <w:pPr>
              <w:pStyle w:val="TableText"/>
              <w:keepNext/>
              <w:keepLines/>
              <w:rPr>
                <w:vertAlign w:val="superscript"/>
              </w:rPr>
            </w:pPr>
            <w:r>
              <w:rPr>
                <w:bCs/>
              </w:rPr>
              <w:t xml:space="preserve">No. NGS/FISH tests required </w:t>
            </w:r>
            <w:r>
              <w:rPr>
                <w:bCs/>
              </w:rPr>
              <w:br/>
              <w:t>(</w:t>
            </w:r>
            <w:r w:rsidR="00675CB4">
              <w:rPr>
                <w:bCs/>
                <w:noProof/>
                <w:color w:val="000000"/>
                <w:highlight w:val="black"/>
              </w:rPr>
              <w:t>''''''''''</w:t>
            </w:r>
            <w:r w:rsidR="000B6C23">
              <w:rPr>
                <w:bCs/>
                <w:vertAlign w:val="superscript"/>
              </w:rPr>
              <w:t>1</w:t>
            </w:r>
            <w:r>
              <w:rPr>
                <w:bCs/>
              </w:rPr>
              <w:t xml:space="preserve"> per patient)</w:t>
            </w:r>
          </w:p>
        </w:tc>
        <w:tc>
          <w:tcPr>
            <w:tcW w:w="611" w:type="pct"/>
            <w:tcBorders>
              <w:top w:val="dotted" w:sz="4" w:space="0" w:color="auto"/>
              <w:bottom w:val="single" w:sz="4" w:space="0" w:color="auto"/>
            </w:tcBorders>
            <w:shd w:val="clear" w:color="auto" w:fill="auto"/>
          </w:tcPr>
          <w:p w:rsidR="00DB2C48" w:rsidRPr="00675CB4" w:rsidRDefault="00675CB4" w:rsidP="009B5D06">
            <w:pPr>
              <w:pStyle w:val="TableNumber"/>
              <w:keepNext/>
              <w:keepLine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0" w:type="pct"/>
            <w:tcBorders>
              <w:top w:val="dotted" w:sz="4" w:space="0" w:color="auto"/>
              <w:bottom w:val="single" w:sz="4" w:space="0" w:color="auto"/>
            </w:tcBorders>
          </w:tcPr>
          <w:p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r>
      <w:tr w:rsidR="00DB2C48" w:rsidRPr="00962538" w:rsidTr="00DB2C48">
        <w:tc>
          <w:tcPr>
            <w:tcW w:w="1335" w:type="pct"/>
            <w:tcBorders>
              <w:bottom w:val="dotted" w:sz="4" w:space="0" w:color="auto"/>
            </w:tcBorders>
            <w:shd w:val="clear" w:color="auto" w:fill="auto"/>
            <w:vAlign w:val="center"/>
          </w:tcPr>
          <w:p w:rsidR="00DB2C48" w:rsidRDefault="00DB2C48" w:rsidP="009B5D06">
            <w:pPr>
              <w:pStyle w:val="TableText"/>
              <w:keepNext/>
              <w:keepLines/>
            </w:pPr>
            <w:r>
              <w:rPr>
                <w:bCs/>
              </w:rPr>
              <w:t xml:space="preserve">Paediatric low </w:t>
            </w:r>
            <w:r>
              <w:rPr>
                <w:bCs/>
                <w:i/>
              </w:rPr>
              <w:t>NTRK</w:t>
            </w:r>
            <w:r>
              <w:rPr>
                <w:bCs/>
              </w:rPr>
              <w:t xml:space="preserve"> fusion frequency patients who receive larotrectinib </w:t>
            </w:r>
            <w:r w:rsidRPr="00DB2C48">
              <w:rPr>
                <w:b/>
                <w:bCs/>
              </w:rPr>
              <w:t>[C]</w:t>
            </w:r>
          </w:p>
        </w:tc>
        <w:tc>
          <w:tcPr>
            <w:tcW w:w="611" w:type="pct"/>
            <w:tcBorders>
              <w:bottom w:val="dotted" w:sz="4" w:space="0" w:color="auto"/>
            </w:tcBorders>
            <w:shd w:val="clear" w:color="auto" w:fill="auto"/>
          </w:tcPr>
          <w:p w:rsidR="00DB2C48" w:rsidRPr="00675CB4" w:rsidRDefault="00675CB4" w:rsidP="009B5D06">
            <w:pPr>
              <w:pStyle w:val="TableNumber"/>
              <w:keepNext/>
              <w:keepLine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0" w:type="pct"/>
            <w:tcBorders>
              <w:bottom w:val="dotted" w:sz="4" w:space="0" w:color="auto"/>
            </w:tcBorders>
          </w:tcPr>
          <w:p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r>
      <w:tr w:rsidR="00DB2C48" w:rsidRPr="00962538" w:rsidTr="00DB2C48">
        <w:tc>
          <w:tcPr>
            <w:tcW w:w="1335" w:type="pct"/>
            <w:tcBorders>
              <w:top w:val="dotted" w:sz="4" w:space="0" w:color="auto"/>
              <w:bottom w:val="single" w:sz="4" w:space="0" w:color="auto"/>
            </w:tcBorders>
            <w:shd w:val="clear" w:color="auto" w:fill="auto"/>
            <w:vAlign w:val="center"/>
          </w:tcPr>
          <w:p w:rsidR="00DB2C48" w:rsidRDefault="00DB2C48" w:rsidP="009B5D06">
            <w:pPr>
              <w:pStyle w:val="TableText"/>
              <w:keepNext/>
              <w:keepLines/>
            </w:pPr>
            <w:r>
              <w:rPr>
                <w:bCs/>
              </w:rPr>
              <w:t xml:space="preserve">No. NGS/FISH tests required </w:t>
            </w:r>
            <w:r>
              <w:rPr>
                <w:bCs/>
              </w:rPr>
              <w:br/>
              <w:t>(</w:t>
            </w:r>
            <w:r w:rsidR="00675CB4">
              <w:rPr>
                <w:bCs/>
                <w:noProof/>
                <w:color w:val="000000"/>
                <w:highlight w:val="black"/>
              </w:rPr>
              <w:t>'''''''''''''</w:t>
            </w:r>
            <w:r w:rsidR="000B6C23">
              <w:rPr>
                <w:bCs/>
                <w:vertAlign w:val="superscript"/>
              </w:rPr>
              <w:t>1</w:t>
            </w:r>
            <w:r>
              <w:rPr>
                <w:bCs/>
              </w:rPr>
              <w:t xml:space="preserve"> per patient)</w:t>
            </w:r>
          </w:p>
        </w:tc>
        <w:tc>
          <w:tcPr>
            <w:tcW w:w="611" w:type="pct"/>
            <w:tcBorders>
              <w:top w:val="dotted" w:sz="4" w:space="0" w:color="auto"/>
              <w:bottom w:val="single" w:sz="4" w:space="0" w:color="auto"/>
            </w:tcBorders>
            <w:shd w:val="clear" w:color="auto" w:fill="auto"/>
          </w:tcPr>
          <w:p w:rsidR="00DB2C48" w:rsidRPr="00675CB4" w:rsidRDefault="00675CB4" w:rsidP="009B5D06">
            <w:pPr>
              <w:pStyle w:val="TableNumber"/>
              <w:keepNext/>
              <w:keepLine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0" w:type="pct"/>
            <w:tcBorders>
              <w:top w:val="dotted" w:sz="4" w:space="0" w:color="auto"/>
              <w:bottom w:val="single" w:sz="4" w:space="0" w:color="auto"/>
            </w:tcBorders>
          </w:tcPr>
          <w:p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r>
      <w:tr w:rsidR="00DB2C48" w:rsidRPr="00962538" w:rsidTr="00DB2C48">
        <w:tc>
          <w:tcPr>
            <w:tcW w:w="1335" w:type="pct"/>
            <w:tcBorders>
              <w:bottom w:val="dotted" w:sz="4" w:space="0" w:color="auto"/>
            </w:tcBorders>
            <w:shd w:val="clear" w:color="auto" w:fill="auto"/>
            <w:vAlign w:val="center"/>
          </w:tcPr>
          <w:p w:rsidR="00DB2C48" w:rsidRDefault="00DB2C48" w:rsidP="009B5D06">
            <w:pPr>
              <w:pStyle w:val="TableText"/>
              <w:keepNext/>
              <w:keepLines/>
            </w:pPr>
            <w:r>
              <w:rPr>
                <w:bCs/>
              </w:rPr>
              <w:t xml:space="preserve">Adults low </w:t>
            </w:r>
            <w:r>
              <w:rPr>
                <w:bCs/>
                <w:i/>
              </w:rPr>
              <w:t>NTRK</w:t>
            </w:r>
            <w:r>
              <w:rPr>
                <w:bCs/>
              </w:rPr>
              <w:t xml:space="preserve"> fusion frequency patients who receive larotrectinib </w:t>
            </w:r>
            <w:r w:rsidRPr="00DB2C48">
              <w:rPr>
                <w:b/>
                <w:bCs/>
              </w:rPr>
              <w:t>[D]</w:t>
            </w:r>
          </w:p>
        </w:tc>
        <w:tc>
          <w:tcPr>
            <w:tcW w:w="611" w:type="pct"/>
            <w:tcBorders>
              <w:bottom w:val="dotted" w:sz="4" w:space="0" w:color="auto"/>
            </w:tcBorders>
            <w:shd w:val="clear" w:color="auto" w:fill="auto"/>
          </w:tcPr>
          <w:p w:rsidR="00DB2C48" w:rsidRPr="00675CB4" w:rsidRDefault="00675CB4" w:rsidP="009B5D06">
            <w:pPr>
              <w:pStyle w:val="TableNumber"/>
              <w:keepNext/>
              <w:keepLine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0" w:type="pct"/>
            <w:tcBorders>
              <w:bottom w:val="dotted" w:sz="4" w:space="0" w:color="auto"/>
            </w:tcBorders>
          </w:tcPr>
          <w:p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r>
      <w:tr w:rsidR="00DB2C48" w:rsidRPr="00962538" w:rsidTr="00DB2C48">
        <w:tc>
          <w:tcPr>
            <w:tcW w:w="1335" w:type="pct"/>
            <w:tcBorders>
              <w:top w:val="dotted" w:sz="4" w:space="0" w:color="auto"/>
            </w:tcBorders>
            <w:shd w:val="clear" w:color="auto" w:fill="auto"/>
            <w:vAlign w:val="center"/>
          </w:tcPr>
          <w:p w:rsidR="00DB2C48" w:rsidRDefault="00DB2C48" w:rsidP="009B5D06">
            <w:pPr>
              <w:pStyle w:val="TableText"/>
              <w:keepNext/>
              <w:keepLines/>
            </w:pPr>
            <w:r>
              <w:rPr>
                <w:bCs/>
              </w:rPr>
              <w:t xml:space="preserve">No. NGS/FISH tests required </w:t>
            </w:r>
            <w:r>
              <w:rPr>
                <w:bCs/>
              </w:rPr>
              <w:br/>
              <w:t>(</w:t>
            </w:r>
            <w:r w:rsidR="00675CB4">
              <w:rPr>
                <w:bCs/>
                <w:noProof/>
                <w:color w:val="000000"/>
                <w:highlight w:val="black"/>
              </w:rPr>
              <w:t>'''''''''''</w:t>
            </w:r>
            <w:r w:rsidR="000B6C23">
              <w:rPr>
                <w:bCs/>
                <w:vertAlign w:val="superscript"/>
              </w:rPr>
              <w:t>1</w:t>
            </w:r>
            <w:r>
              <w:rPr>
                <w:bCs/>
              </w:rPr>
              <w:t xml:space="preserve"> per patient)</w:t>
            </w:r>
          </w:p>
        </w:tc>
        <w:tc>
          <w:tcPr>
            <w:tcW w:w="611" w:type="pct"/>
            <w:tcBorders>
              <w:top w:val="dotted" w:sz="4" w:space="0" w:color="auto"/>
            </w:tcBorders>
            <w:shd w:val="clear" w:color="auto" w:fill="auto"/>
          </w:tcPr>
          <w:p w:rsidR="00DB2C48" w:rsidRPr="00675CB4" w:rsidRDefault="00675CB4" w:rsidP="009B5D06">
            <w:pPr>
              <w:pStyle w:val="TableNumber"/>
              <w:keepNext/>
              <w:keepLine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tcBorders>
            <w:shd w:val="clear" w:color="auto" w:fill="auto"/>
          </w:tcPr>
          <w:p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tcBorders>
            <w:shd w:val="clear" w:color="auto" w:fill="auto"/>
          </w:tcPr>
          <w:p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tcBorders>
            <w:shd w:val="clear" w:color="auto" w:fill="auto"/>
          </w:tcPr>
          <w:p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tcBorders>
            <w:shd w:val="clear" w:color="auto" w:fill="auto"/>
          </w:tcPr>
          <w:p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0" w:type="pct"/>
            <w:tcBorders>
              <w:top w:val="dotted" w:sz="4" w:space="0" w:color="auto"/>
            </w:tcBorders>
          </w:tcPr>
          <w:p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r>
      <w:tr w:rsidR="00F1737B" w:rsidRPr="00962538" w:rsidTr="004D2827">
        <w:tc>
          <w:tcPr>
            <w:tcW w:w="1335" w:type="pct"/>
            <w:shd w:val="clear" w:color="auto" w:fill="auto"/>
            <w:vAlign w:val="center"/>
          </w:tcPr>
          <w:p w:rsidR="00F1737B" w:rsidRPr="00962538" w:rsidRDefault="00F1737B" w:rsidP="009B5D06">
            <w:pPr>
              <w:pStyle w:val="TableText"/>
              <w:keepNext/>
              <w:keepLines/>
            </w:pPr>
            <w:r>
              <w:t>Number of NGS/FISH tests</w:t>
            </w:r>
          </w:p>
        </w:tc>
        <w:tc>
          <w:tcPr>
            <w:tcW w:w="611" w:type="pct"/>
            <w:shd w:val="clear" w:color="auto" w:fill="auto"/>
          </w:tcPr>
          <w:p w:rsidR="00F1737B" w:rsidRPr="00675CB4" w:rsidRDefault="00675CB4" w:rsidP="009B5D06">
            <w:pPr>
              <w:pStyle w:val="TableNumber"/>
              <w:keepNext/>
              <w:keepLines/>
              <w:jc w:val="right"/>
              <w:rPr>
                <w:highlight w:val="yellow"/>
              </w:rPr>
            </w:pPr>
            <w:r>
              <w:rPr>
                <w:noProof/>
                <w:color w:val="000000"/>
                <w:highlight w:val="black"/>
              </w:rPr>
              <w:t>''''''''''</w:t>
            </w:r>
            <w:r w:rsidR="000B6C23">
              <w:rPr>
                <w:bCs/>
                <w:vertAlign w:val="superscript"/>
              </w:rPr>
              <w:t>1</w:t>
            </w:r>
          </w:p>
        </w:tc>
        <w:tc>
          <w:tcPr>
            <w:tcW w:w="611" w:type="pct"/>
            <w:shd w:val="clear" w:color="auto" w:fill="auto"/>
          </w:tcPr>
          <w:p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shd w:val="clear" w:color="auto" w:fill="auto"/>
          </w:tcPr>
          <w:p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shd w:val="clear" w:color="auto" w:fill="auto"/>
          </w:tcPr>
          <w:p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shd w:val="clear" w:color="auto" w:fill="auto"/>
          </w:tcPr>
          <w:p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0" w:type="pct"/>
          </w:tcPr>
          <w:p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r>
      <w:tr w:rsidR="00F1737B" w:rsidRPr="00962538" w:rsidTr="00CB375A">
        <w:tc>
          <w:tcPr>
            <w:tcW w:w="5000" w:type="pct"/>
            <w:gridSpan w:val="7"/>
            <w:shd w:val="clear" w:color="auto" w:fill="auto"/>
            <w:vAlign w:val="center"/>
          </w:tcPr>
          <w:p w:rsidR="00F1737B" w:rsidRPr="00CA75B3" w:rsidRDefault="00F1737B" w:rsidP="009B5D06">
            <w:pPr>
              <w:pStyle w:val="TableText"/>
              <w:keepNext/>
              <w:keepLines/>
              <w:rPr>
                <w:b/>
              </w:rPr>
            </w:pPr>
            <w:r w:rsidRPr="00CA75B3">
              <w:rPr>
                <w:b/>
              </w:rPr>
              <w:t xml:space="preserve">Estimated extent of use of </w:t>
            </w:r>
            <w:r>
              <w:rPr>
                <w:b/>
              </w:rPr>
              <w:t>larotrectinib</w:t>
            </w:r>
          </w:p>
        </w:tc>
      </w:tr>
      <w:tr w:rsidR="006746D6" w:rsidRPr="00962538" w:rsidTr="004D2827">
        <w:tc>
          <w:tcPr>
            <w:tcW w:w="1335" w:type="pct"/>
            <w:tcBorders>
              <w:bottom w:val="single" w:sz="4" w:space="0" w:color="auto"/>
            </w:tcBorders>
            <w:shd w:val="clear" w:color="auto" w:fill="auto"/>
            <w:vAlign w:val="center"/>
          </w:tcPr>
          <w:p w:rsidR="006746D6" w:rsidRPr="00962538" w:rsidRDefault="006746D6" w:rsidP="009B5D06">
            <w:pPr>
              <w:pStyle w:val="TableText"/>
              <w:keepNext/>
              <w:keepLines/>
            </w:pPr>
            <w:r>
              <w:t>No. grandfathered patients</w:t>
            </w:r>
            <w:r w:rsidR="00DB2C48">
              <w:t xml:space="preserve"> </w:t>
            </w:r>
            <w:r w:rsidR="00DB2C48" w:rsidRPr="00DB2C48">
              <w:rPr>
                <w:b/>
              </w:rPr>
              <w:t>[E]</w:t>
            </w:r>
          </w:p>
        </w:tc>
        <w:tc>
          <w:tcPr>
            <w:tcW w:w="611" w:type="pct"/>
            <w:tcBorders>
              <w:bottom w:val="single" w:sz="4" w:space="0" w:color="auto"/>
            </w:tcBorders>
            <w:shd w:val="clear" w:color="auto" w:fill="auto"/>
          </w:tcPr>
          <w:p w:rsidR="006746D6"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auto"/>
          </w:tcPr>
          <w:p w:rsidR="006746D6"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auto"/>
          </w:tcPr>
          <w:p w:rsidR="006746D6"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auto"/>
          </w:tcPr>
          <w:p w:rsidR="006746D6"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auto"/>
          </w:tcPr>
          <w:p w:rsidR="006746D6"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0" w:type="pct"/>
            <w:tcBorders>
              <w:bottom w:val="single" w:sz="4" w:space="0" w:color="auto"/>
            </w:tcBorders>
          </w:tcPr>
          <w:p w:rsidR="006746D6" w:rsidRPr="00675CB4" w:rsidRDefault="00675CB4" w:rsidP="009B5D06">
            <w:pPr>
              <w:pStyle w:val="TableText"/>
              <w:keepNext/>
              <w:keepLines/>
              <w:jc w:val="right"/>
            </w:pPr>
            <w:r>
              <w:rPr>
                <w:noProof/>
                <w:color w:val="000000"/>
                <w:highlight w:val="black"/>
              </w:rPr>
              <w:t>''''</w:t>
            </w:r>
            <w:r w:rsidR="002C1BF9">
              <w:rPr>
                <w:bCs/>
                <w:vertAlign w:val="superscript"/>
              </w:rPr>
              <w:t>1</w:t>
            </w:r>
          </w:p>
        </w:tc>
      </w:tr>
      <w:tr w:rsidR="00F1737B" w:rsidRPr="00962538" w:rsidTr="004D2827">
        <w:tc>
          <w:tcPr>
            <w:tcW w:w="1335" w:type="pct"/>
            <w:tcBorders>
              <w:bottom w:val="single" w:sz="4" w:space="0" w:color="auto"/>
            </w:tcBorders>
            <w:shd w:val="clear" w:color="auto" w:fill="auto"/>
            <w:vAlign w:val="center"/>
          </w:tcPr>
          <w:p w:rsidR="00F1737B" w:rsidRPr="00962538" w:rsidRDefault="00F1737B" w:rsidP="009B5D06">
            <w:pPr>
              <w:pStyle w:val="TableText"/>
              <w:keepNext/>
              <w:keepLines/>
              <w:rPr>
                <w:rFonts w:ascii="Times" w:eastAsia="Times New Roman" w:hAnsi="Times" w:cs="Times New Roman"/>
              </w:rPr>
            </w:pPr>
            <w:r w:rsidRPr="00962538">
              <w:t>Number of patients likely to be treated with proposed medicine</w:t>
            </w:r>
            <w:r w:rsidR="00DB2C48">
              <w:t xml:space="preserve"> </w:t>
            </w:r>
            <w:r w:rsidR="00DB2C48" w:rsidRPr="00DB2C48">
              <w:rPr>
                <w:b/>
              </w:rPr>
              <w:t>[A + B + C + D + E]</w:t>
            </w:r>
          </w:p>
        </w:tc>
        <w:tc>
          <w:tcPr>
            <w:tcW w:w="611" w:type="pct"/>
            <w:tcBorders>
              <w:bottom w:val="single" w:sz="4" w:space="0" w:color="auto"/>
            </w:tcBorders>
            <w:shd w:val="clear" w:color="auto" w:fill="auto"/>
          </w:tcPr>
          <w:p w:rsidR="00F1737B"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auto"/>
          </w:tcPr>
          <w:p w:rsidR="00F1737B"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auto"/>
          </w:tcPr>
          <w:p w:rsidR="00F1737B"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auto"/>
          </w:tcPr>
          <w:p w:rsidR="00F1737B"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auto"/>
          </w:tcPr>
          <w:p w:rsidR="00F1737B"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0" w:type="pct"/>
            <w:tcBorders>
              <w:bottom w:val="single" w:sz="4" w:space="0" w:color="auto"/>
            </w:tcBorders>
          </w:tcPr>
          <w:p w:rsidR="00F1737B" w:rsidRPr="00675CB4" w:rsidRDefault="00675CB4" w:rsidP="009B5D06">
            <w:pPr>
              <w:pStyle w:val="TableText"/>
              <w:keepNext/>
              <w:keepLines/>
              <w:jc w:val="right"/>
            </w:pPr>
            <w:r>
              <w:rPr>
                <w:noProof/>
                <w:color w:val="000000"/>
                <w:highlight w:val="black"/>
              </w:rPr>
              <w:t>'''''''</w:t>
            </w:r>
            <w:r w:rsidR="002C1BF9">
              <w:rPr>
                <w:bCs/>
                <w:vertAlign w:val="superscript"/>
              </w:rPr>
              <w:t>1</w:t>
            </w:r>
          </w:p>
        </w:tc>
      </w:tr>
      <w:tr w:rsidR="004D2827" w:rsidRPr="00962538" w:rsidTr="004D2827">
        <w:tc>
          <w:tcPr>
            <w:tcW w:w="1335" w:type="pct"/>
            <w:tcBorders>
              <w:bottom w:val="single" w:sz="4" w:space="0" w:color="auto"/>
            </w:tcBorders>
            <w:shd w:val="clear" w:color="auto" w:fill="D9D9D9" w:themeFill="background1" w:themeFillShade="D9"/>
            <w:vAlign w:val="center"/>
          </w:tcPr>
          <w:p w:rsidR="004D2827" w:rsidRPr="00962538" w:rsidRDefault="004D2827" w:rsidP="009B5D06">
            <w:pPr>
              <w:pStyle w:val="TableText"/>
              <w:keepNext/>
              <w:keepLines/>
            </w:pPr>
            <w:r w:rsidRPr="00962538">
              <w:t>Number of patients likely to be treated with proposed medicine</w:t>
            </w:r>
            <w:r>
              <w:t xml:space="preserve"> – November 2020 submission</w:t>
            </w:r>
          </w:p>
        </w:tc>
        <w:tc>
          <w:tcPr>
            <w:tcW w:w="611" w:type="pct"/>
            <w:tcBorders>
              <w:bottom w:val="single" w:sz="4" w:space="0" w:color="auto"/>
            </w:tcBorders>
            <w:shd w:val="clear" w:color="auto" w:fill="D9D9D9" w:themeFill="background1" w:themeFillShade="D9"/>
          </w:tcPr>
          <w:p w:rsidR="004D2827"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D9D9D9" w:themeFill="background1" w:themeFillShade="D9"/>
          </w:tcPr>
          <w:p w:rsidR="004D2827"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D9D9D9" w:themeFill="background1" w:themeFillShade="D9"/>
          </w:tcPr>
          <w:p w:rsidR="004D2827"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D9D9D9" w:themeFill="background1" w:themeFillShade="D9"/>
          </w:tcPr>
          <w:p w:rsidR="004D2827"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D9D9D9" w:themeFill="background1" w:themeFillShade="D9"/>
          </w:tcPr>
          <w:p w:rsidR="004D2827"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0" w:type="pct"/>
            <w:tcBorders>
              <w:bottom w:val="single" w:sz="4" w:space="0" w:color="auto"/>
            </w:tcBorders>
            <w:shd w:val="clear" w:color="auto" w:fill="D9D9D9" w:themeFill="background1" w:themeFillShade="D9"/>
          </w:tcPr>
          <w:p w:rsidR="004D2827" w:rsidRPr="00675CB4" w:rsidRDefault="00675CB4" w:rsidP="009B5D06">
            <w:pPr>
              <w:pStyle w:val="TableText"/>
              <w:keepNext/>
              <w:keepLines/>
              <w:jc w:val="right"/>
            </w:pPr>
            <w:r>
              <w:rPr>
                <w:noProof/>
                <w:color w:val="000000"/>
                <w:highlight w:val="black"/>
              </w:rPr>
              <w:t>''''''''''</w:t>
            </w:r>
            <w:r w:rsidR="002C1BF9">
              <w:rPr>
                <w:bCs/>
                <w:vertAlign w:val="superscript"/>
              </w:rPr>
              <w:t>1</w:t>
            </w:r>
          </w:p>
        </w:tc>
      </w:tr>
      <w:tr w:rsidR="00F1737B" w:rsidRPr="00962538" w:rsidTr="004D2827">
        <w:tc>
          <w:tcPr>
            <w:tcW w:w="1335" w:type="pct"/>
            <w:tcBorders>
              <w:bottom w:val="nil"/>
            </w:tcBorders>
            <w:shd w:val="clear" w:color="auto" w:fill="auto"/>
            <w:vAlign w:val="center"/>
          </w:tcPr>
          <w:p w:rsidR="00F1737B" w:rsidRPr="00962538" w:rsidRDefault="00F1737B" w:rsidP="009B5D06">
            <w:pPr>
              <w:pStyle w:val="TableText"/>
              <w:keepNext/>
              <w:keepLines/>
              <w:rPr>
                <w:rFonts w:ascii="Times" w:eastAsia="Times New Roman" w:hAnsi="Times" w:cs="Times New Roman"/>
              </w:rPr>
            </w:pPr>
            <w:r w:rsidRPr="00962538">
              <w:t>Number of scripts dispensed</w:t>
            </w:r>
            <w:r>
              <w:t xml:space="preserve"> </w:t>
            </w:r>
            <w:r>
              <w:rPr>
                <w:vertAlign w:val="superscript"/>
              </w:rPr>
              <w:t>b</w:t>
            </w:r>
          </w:p>
        </w:tc>
        <w:tc>
          <w:tcPr>
            <w:tcW w:w="611" w:type="pct"/>
            <w:tcBorders>
              <w:bottom w:val="nil"/>
            </w:tcBorders>
            <w:shd w:val="clear" w:color="auto" w:fill="auto"/>
          </w:tcPr>
          <w:p w:rsidR="00F1737B" w:rsidRPr="00675CB4" w:rsidRDefault="00675CB4" w:rsidP="009B5D06">
            <w:pPr>
              <w:pStyle w:val="TableText"/>
              <w:keepNext/>
              <w:keepLines/>
              <w:jc w:val="right"/>
            </w:pPr>
            <w:r>
              <w:rPr>
                <w:noProof/>
                <w:color w:val="000000"/>
                <w:highlight w:val="black"/>
              </w:rPr>
              <w:t>'''''''''''''</w:t>
            </w:r>
            <w:r w:rsidR="002C1BF9">
              <w:rPr>
                <w:bCs/>
                <w:vertAlign w:val="superscript"/>
              </w:rPr>
              <w:t>2</w:t>
            </w:r>
          </w:p>
        </w:tc>
        <w:tc>
          <w:tcPr>
            <w:tcW w:w="611" w:type="pct"/>
            <w:tcBorders>
              <w:bottom w:val="nil"/>
            </w:tcBorders>
            <w:shd w:val="clear" w:color="auto" w:fill="auto"/>
          </w:tcPr>
          <w:p w:rsidR="00F1737B" w:rsidRPr="00675CB4" w:rsidRDefault="00675CB4" w:rsidP="009B5D06">
            <w:pPr>
              <w:pStyle w:val="TableText"/>
              <w:keepNext/>
              <w:keepLines/>
              <w:jc w:val="right"/>
            </w:pPr>
            <w:r>
              <w:rPr>
                <w:noProof/>
                <w:color w:val="000000"/>
                <w:highlight w:val="black"/>
              </w:rPr>
              <w:t>'''''''''''''</w:t>
            </w:r>
            <w:r w:rsidR="002C1BF9">
              <w:rPr>
                <w:bCs/>
                <w:vertAlign w:val="superscript"/>
              </w:rPr>
              <w:t>2</w:t>
            </w:r>
          </w:p>
        </w:tc>
        <w:tc>
          <w:tcPr>
            <w:tcW w:w="611" w:type="pct"/>
            <w:tcBorders>
              <w:bottom w:val="nil"/>
            </w:tcBorders>
            <w:shd w:val="clear" w:color="auto" w:fill="auto"/>
          </w:tcPr>
          <w:p w:rsidR="00F1737B" w:rsidRPr="00675CB4" w:rsidRDefault="00675CB4" w:rsidP="009B5D06">
            <w:pPr>
              <w:pStyle w:val="TableText"/>
              <w:keepNext/>
              <w:keepLines/>
              <w:jc w:val="right"/>
            </w:pPr>
            <w:r>
              <w:rPr>
                <w:noProof/>
                <w:color w:val="000000"/>
                <w:highlight w:val="black"/>
              </w:rPr>
              <w:t>'''''''''''''''</w:t>
            </w:r>
            <w:r w:rsidR="002C1BF9">
              <w:rPr>
                <w:bCs/>
                <w:vertAlign w:val="superscript"/>
              </w:rPr>
              <w:t>2</w:t>
            </w:r>
          </w:p>
        </w:tc>
        <w:tc>
          <w:tcPr>
            <w:tcW w:w="611" w:type="pct"/>
            <w:tcBorders>
              <w:bottom w:val="nil"/>
            </w:tcBorders>
            <w:shd w:val="clear" w:color="auto" w:fill="auto"/>
          </w:tcPr>
          <w:p w:rsidR="00F1737B" w:rsidRPr="00675CB4" w:rsidRDefault="00675CB4" w:rsidP="009B5D06">
            <w:pPr>
              <w:pStyle w:val="TableText"/>
              <w:keepNext/>
              <w:keepLines/>
              <w:jc w:val="right"/>
            </w:pPr>
            <w:r>
              <w:rPr>
                <w:noProof/>
                <w:color w:val="000000"/>
                <w:highlight w:val="black"/>
              </w:rPr>
              <w:t>'''''''''''''</w:t>
            </w:r>
            <w:r w:rsidR="002C1BF9">
              <w:rPr>
                <w:bCs/>
                <w:vertAlign w:val="superscript"/>
              </w:rPr>
              <w:t>2</w:t>
            </w:r>
          </w:p>
        </w:tc>
        <w:tc>
          <w:tcPr>
            <w:tcW w:w="611" w:type="pct"/>
            <w:tcBorders>
              <w:bottom w:val="nil"/>
            </w:tcBorders>
            <w:shd w:val="clear" w:color="auto" w:fill="auto"/>
          </w:tcPr>
          <w:p w:rsidR="00F1737B" w:rsidRPr="00675CB4" w:rsidRDefault="00675CB4" w:rsidP="009B5D06">
            <w:pPr>
              <w:pStyle w:val="TableText"/>
              <w:keepNext/>
              <w:keepLines/>
              <w:jc w:val="right"/>
            </w:pPr>
            <w:r>
              <w:rPr>
                <w:noProof/>
                <w:color w:val="000000"/>
                <w:highlight w:val="black"/>
              </w:rPr>
              <w:t>'''''''''''''</w:t>
            </w:r>
            <w:r w:rsidR="002C1BF9">
              <w:rPr>
                <w:bCs/>
                <w:vertAlign w:val="superscript"/>
              </w:rPr>
              <w:t>2</w:t>
            </w:r>
          </w:p>
        </w:tc>
        <w:tc>
          <w:tcPr>
            <w:tcW w:w="610" w:type="pct"/>
            <w:tcBorders>
              <w:bottom w:val="nil"/>
            </w:tcBorders>
          </w:tcPr>
          <w:p w:rsidR="00F1737B" w:rsidRPr="00675CB4" w:rsidRDefault="00675CB4" w:rsidP="009B5D06">
            <w:pPr>
              <w:pStyle w:val="TableText"/>
              <w:keepNext/>
              <w:keepLines/>
              <w:jc w:val="right"/>
            </w:pPr>
            <w:r>
              <w:rPr>
                <w:noProof/>
                <w:color w:val="000000"/>
                <w:highlight w:val="black"/>
              </w:rPr>
              <w:t>''''''''''''</w:t>
            </w:r>
            <w:r w:rsidR="002C1BF9">
              <w:rPr>
                <w:bCs/>
                <w:vertAlign w:val="superscript"/>
              </w:rPr>
              <w:t>2</w:t>
            </w:r>
          </w:p>
        </w:tc>
      </w:tr>
      <w:tr w:rsidR="00F1737B" w:rsidRPr="00962538" w:rsidTr="004D2827">
        <w:tc>
          <w:tcPr>
            <w:tcW w:w="1335" w:type="pct"/>
            <w:tcBorders>
              <w:top w:val="nil"/>
            </w:tcBorders>
            <w:shd w:val="clear" w:color="auto" w:fill="auto"/>
            <w:vAlign w:val="center"/>
          </w:tcPr>
          <w:p w:rsidR="00F1737B" w:rsidRPr="00B170B6" w:rsidRDefault="00F1737B" w:rsidP="009B5D06">
            <w:pPr>
              <w:pStyle w:val="TableText"/>
              <w:keepNext/>
              <w:keepLines/>
              <w:rPr>
                <w:iCs/>
              </w:rPr>
            </w:pPr>
            <w:r w:rsidRPr="00B170B6">
              <w:rPr>
                <w:iCs/>
              </w:rPr>
              <w:t xml:space="preserve">Revised </w:t>
            </w:r>
            <w:r w:rsidRPr="00B170B6">
              <w:rPr>
                <w:iCs/>
                <w:vertAlign w:val="superscript"/>
              </w:rPr>
              <w:t>c</w:t>
            </w:r>
          </w:p>
        </w:tc>
        <w:tc>
          <w:tcPr>
            <w:tcW w:w="611" w:type="pct"/>
            <w:tcBorders>
              <w:top w:val="nil"/>
            </w:tcBorders>
            <w:shd w:val="clear" w:color="auto" w:fill="auto"/>
          </w:tcPr>
          <w:p w:rsidR="00F1737B" w:rsidRPr="00675CB4" w:rsidRDefault="00675CB4" w:rsidP="009B5D06">
            <w:pPr>
              <w:pStyle w:val="TableText"/>
              <w:keepNext/>
              <w:keepLines/>
              <w:jc w:val="right"/>
              <w:rPr>
                <w:iCs/>
              </w:rPr>
            </w:pPr>
            <w:r>
              <w:rPr>
                <w:iCs/>
                <w:noProof/>
                <w:color w:val="000000"/>
                <w:highlight w:val="black"/>
              </w:rPr>
              <w:t>''''''''''</w:t>
            </w:r>
            <w:r w:rsidR="002C1BF9">
              <w:rPr>
                <w:bCs/>
                <w:vertAlign w:val="superscript"/>
              </w:rPr>
              <w:t>2</w:t>
            </w:r>
          </w:p>
        </w:tc>
        <w:tc>
          <w:tcPr>
            <w:tcW w:w="611" w:type="pct"/>
            <w:tcBorders>
              <w:top w:val="nil"/>
            </w:tcBorders>
            <w:shd w:val="clear" w:color="auto" w:fill="auto"/>
          </w:tcPr>
          <w:p w:rsidR="00F1737B" w:rsidRPr="00675CB4" w:rsidRDefault="00675CB4" w:rsidP="009B5D06">
            <w:pPr>
              <w:pStyle w:val="TableText"/>
              <w:keepNext/>
              <w:keepLines/>
              <w:jc w:val="right"/>
              <w:rPr>
                <w:iCs/>
              </w:rPr>
            </w:pPr>
            <w:r>
              <w:rPr>
                <w:iCs/>
                <w:noProof/>
                <w:color w:val="000000"/>
                <w:highlight w:val="black"/>
              </w:rPr>
              <w:t>''''''''''''''</w:t>
            </w:r>
            <w:r w:rsidR="002C1BF9">
              <w:rPr>
                <w:bCs/>
                <w:vertAlign w:val="superscript"/>
              </w:rPr>
              <w:t>2</w:t>
            </w:r>
          </w:p>
        </w:tc>
        <w:tc>
          <w:tcPr>
            <w:tcW w:w="611" w:type="pct"/>
            <w:tcBorders>
              <w:top w:val="nil"/>
            </w:tcBorders>
            <w:shd w:val="clear" w:color="auto" w:fill="auto"/>
          </w:tcPr>
          <w:p w:rsidR="00F1737B" w:rsidRPr="00675CB4" w:rsidRDefault="00675CB4" w:rsidP="009B5D06">
            <w:pPr>
              <w:pStyle w:val="TableText"/>
              <w:keepNext/>
              <w:keepLines/>
              <w:jc w:val="right"/>
              <w:rPr>
                <w:iCs/>
              </w:rPr>
            </w:pPr>
            <w:r>
              <w:rPr>
                <w:iCs/>
                <w:noProof/>
                <w:color w:val="000000"/>
                <w:highlight w:val="black"/>
              </w:rPr>
              <w:t>''''''''''''</w:t>
            </w:r>
            <w:r w:rsidR="002C1BF9">
              <w:rPr>
                <w:bCs/>
                <w:vertAlign w:val="superscript"/>
              </w:rPr>
              <w:t>2</w:t>
            </w:r>
          </w:p>
        </w:tc>
        <w:tc>
          <w:tcPr>
            <w:tcW w:w="611" w:type="pct"/>
            <w:tcBorders>
              <w:top w:val="nil"/>
            </w:tcBorders>
            <w:shd w:val="clear" w:color="auto" w:fill="auto"/>
          </w:tcPr>
          <w:p w:rsidR="00F1737B" w:rsidRPr="00675CB4" w:rsidRDefault="00675CB4" w:rsidP="009B5D06">
            <w:pPr>
              <w:pStyle w:val="TableText"/>
              <w:keepNext/>
              <w:keepLines/>
              <w:jc w:val="right"/>
              <w:rPr>
                <w:iCs/>
              </w:rPr>
            </w:pPr>
            <w:r>
              <w:rPr>
                <w:iCs/>
                <w:noProof/>
                <w:color w:val="000000"/>
                <w:highlight w:val="black"/>
              </w:rPr>
              <w:t>'''''''''''''''</w:t>
            </w:r>
            <w:r w:rsidR="002C1BF9">
              <w:rPr>
                <w:bCs/>
                <w:vertAlign w:val="superscript"/>
              </w:rPr>
              <w:t>2</w:t>
            </w:r>
          </w:p>
        </w:tc>
        <w:tc>
          <w:tcPr>
            <w:tcW w:w="611" w:type="pct"/>
            <w:tcBorders>
              <w:top w:val="nil"/>
            </w:tcBorders>
            <w:shd w:val="clear" w:color="auto" w:fill="auto"/>
          </w:tcPr>
          <w:p w:rsidR="00F1737B" w:rsidRPr="00675CB4" w:rsidRDefault="00675CB4" w:rsidP="009B5D06">
            <w:pPr>
              <w:pStyle w:val="TableText"/>
              <w:keepNext/>
              <w:keepLines/>
              <w:jc w:val="right"/>
              <w:rPr>
                <w:iCs/>
              </w:rPr>
            </w:pPr>
            <w:r>
              <w:rPr>
                <w:iCs/>
                <w:noProof/>
                <w:color w:val="000000"/>
                <w:highlight w:val="black"/>
              </w:rPr>
              <w:t>'''''''''''''''</w:t>
            </w:r>
            <w:r w:rsidR="002C1BF9">
              <w:rPr>
                <w:bCs/>
                <w:vertAlign w:val="superscript"/>
              </w:rPr>
              <w:t>2</w:t>
            </w:r>
          </w:p>
        </w:tc>
        <w:tc>
          <w:tcPr>
            <w:tcW w:w="610" w:type="pct"/>
            <w:tcBorders>
              <w:top w:val="nil"/>
            </w:tcBorders>
          </w:tcPr>
          <w:p w:rsidR="00F1737B" w:rsidRPr="00675CB4" w:rsidRDefault="00675CB4" w:rsidP="009B5D06">
            <w:pPr>
              <w:pStyle w:val="TableText"/>
              <w:keepNext/>
              <w:keepLines/>
              <w:jc w:val="right"/>
              <w:rPr>
                <w:iCs/>
              </w:rPr>
            </w:pPr>
            <w:r>
              <w:rPr>
                <w:iCs/>
                <w:noProof/>
                <w:color w:val="000000"/>
                <w:highlight w:val="black"/>
              </w:rPr>
              <w:t>''''''''''''''</w:t>
            </w:r>
            <w:r w:rsidR="002C1BF9">
              <w:rPr>
                <w:bCs/>
                <w:vertAlign w:val="superscript"/>
              </w:rPr>
              <w:t>2</w:t>
            </w:r>
          </w:p>
        </w:tc>
      </w:tr>
      <w:tr w:rsidR="00F1737B" w:rsidRPr="00962538" w:rsidTr="00CB375A">
        <w:tc>
          <w:tcPr>
            <w:tcW w:w="5000" w:type="pct"/>
            <w:gridSpan w:val="7"/>
            <w:tcBorders>
              <w:bottom w:val="single" w:sz="4" w:space="0" w:color="auto"/>
            </w:tcBorders>
            <w:shd w:val="clear" w:color="auto" w:fill="auto"/>
            <w:vAlign w:val="center"/>
          </w:tcPr>
          <w:p w:rsidR="00F1737B" w:rsidRPr="00CA75B3" w:rsidRDefault="00F1737B" w:rsidP="00CB375A">
            <w:pPr>
              <w:pStyle w:val="TableText"/>
              <w:rPr>
                <w:b/>
                <w:bCs/>
                <w:color w:val="000000"/>
              </w:rPr>
            </w:pPr>
            <w:r>
              <w:rPr>
                <w:b/>
              </w:rPr>
              <w:t>Net</w:t>
            </w:r>
            <w:r w:rsidRPr="00CA75B3">
              <w:rPr>
                <w:b/>
              </w:rPr>
              <w:t xml:space="preserve"> financial implications to the MBS</w:t>
            </w:r>
          </w:p>
        </w:tc>
      </w:tr>
      <w:tr w:rsidR="00F1737B" w:rsidRPr="00962538" w:rsidTr="004D2827">
        <w:tc>
          <w:tcPr>
            <w:tcW w:w="1335" w:type="pct"/>
            <w:tcBorders>
              <w:bottom w:val="nil"/>
            </w:tcBorders>
            <w:shd w:val="clear" w:color="auto" w:fill="auto"/>
            <w:vAlign w:val="center"/>
          </w:tcPr>
          <w:p w:rsidR="00F1737B" w:rsidRPr="00962538" w:rsidRDefault="00F1737B" w:rsidP="00CB375A">
            <w:pPr>
              <w:pStyle w:val="TableText"/>
            </w:pPr>
            <w:r>
              <w:t xml:space="preserve">Cost of </w:t>
            </w:r>
            <w:r>
              <w:rPr>
                <w:i/>
              </w:rPr>
              <w:t>NTRK</w:t>
            </w:r>
            <w:r>
              <w:t xml:space="preserve"> fusion testing to the MBS</w:t>
            </w:r>
          </w:p>
        </w:tc>
        <w:tc>
          <w:tcPr>
            <w:tcW w:w="611" w:type="pct"/>
            <w:tcBorders>
              <w:bottom w:val="nil"/>
            </w:tcBorders>
            <w:shd w:val="clear" w:color="auto" w:fill="auto"/>
          </w:tcPr>
          <w:p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0" w:type="pct"/>
            <w:tcBorders>
              <w:bottom w:val="nil"/>
            </w:tcBorders>
          </w:tcPr>
          <w:p w:rsidR="00F1737B" w:rsidRPr="00675CB4" w:rsidRDefault="00675CB4" w:rsidP="00CB375A">
            <w:pPr>
              <w:pStyle w:val="TableText"/>
              <w:jc w:val="right"/>
            </w:pPr>
            <w:r>
              <w:rPr>
                <w:noProof/>
                <w:color w:val="000000"/>
                <w:highlight w:val="black"/>
              </w:rPr>
              <w:t>''''''''''''''''''''''''</w:t>
            </w:r>
            <w:r w:rsidR="00C8544D">
              <w:rPr>
                <w:bCs/>
                <w:vertAlign w:val="superscript"/>
              </w:rPr>
              <w:t>3</w:t>
            </w:r>
          </w:p>
        </w:tc>
      </w:tr>
      <w:tr w:rsidR="00F1737B" w:rsidRPr="00962538" w:rsidTr="004D2827">
        <w:tc>
          <w:tcPr>
            <w:tcW w:w="1335" w:type="pct"/>
            <w:tcBorders>
              <w:top w:val="nil"/>
              <w:bottom w:val="single" w:sz="4" w:space="0" w:color="auto"/>
            </w:tcBorders>
            <w:shd w:val="clear" w:color="auto" w:fill="auto"/>
            <w:vAlign w:val="center"/>
          </w:tcPr>
          <w:p w:rsidR="00F1737B" w:rsidRPr="00B170B6" w:rsidRDefault="00F1737B" w:rsidP="00CB375A">
            <w:pPr>
              <w:pStyle w:val="TableText"/>
              <w:rPr>
                <w:iCs/>
              </w:rPr>
            </w:pPr>
            <w:r w:rsidRPr="00B170B6">
              <w:rPr>
                <w:iCs/>
              </w:rPr>
              <w:t xml:space="preserve">Revised </w:t>
            </w:r>
            <w:r w:rsidRPr="00B170B6">
              <w:rPr>
                <w:iCs/>
                <w:vertAlign w:val="superscript"/>
              </w:rPr>
              <w:t>d</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c>
          <w:tcPr>
            <w:tcW w:w="610" w:type="pct"/>
            <w:tcBorders>
              <w:top w:val="nil"/>
              <w:bottom w:val="single" w:sz="4" w:space="0" w:color="auto"/>
            </w:tcBorders>
          </w:tcPr>
          <w:p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r>
      <w:tr w:rsidR="00F1737B" w:rsidRPr="00962538" w:rsidTr="004D2827">
        <w:tc>
          <w:tcPr>
            <w:tcW w:w="1335" w:type="pct"/>
            <w:tcBorders>
              <w:bottom w:val="nil"/>
            </w:tcBorders>
            <w:shd w:val="clear" w:color="auto" w:fill="auto"/>
            <w:vAlign w:val="center"/>
          </w:tcPr>
          <w:p w:rsidR="00F1737B" w:rsidRPr="00962538" w:rsidRDefault="00F1737B" w:rsidP="00CB375A">
            <w:pPr>
              <w:pStyle w:val="TableText"/>
            </w:pPr>
            <w:r>
              <w:t>Cost offsets to the MBS</w:t>
            </w:r>
          </w:p>
        </w:tc>
        <w:tc>
          <w:tcPr>
            <w:tcW w:w="611" w:type="pct"/>
            <w:tcBorders>
              <w:bottom w:val="nil"/>
            </w:tcBorders>
            <w:shd w:val="clear" w:color="auto" w:fill="auto"/>
          </w:tcPr>
          <w:p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0" w:type="pct"/>
            <w:tcBorders>
              <w:bottom w:val="nil"/>
            </w:tcBorders>
          </w:tcPr>
          <w:p w:rsidR="00F1737B" w:rsidRPr="00675CB4" w:rsidRDefault="00675CB4" w:rsidP="00CB375A">
            <w:pPr>
              <w:pStyle w:val="TableText"/>
              <w:jc w:val="right"/>
            </w:pPr>
            <w:r>
              <w:rPr>
                <w:noProof/>
                <w:color w:val="000000"/>
                <w:highlight w:val="black"/>
              </w:rPr>
              <w:t>'''''''''''''''''''</w:t>
            </w:r>
            <w:r w:rsidR="00C8544D">
              <w:rPr>
                <w:bCs/>
                <w:vertAlign w:val="superscript"/>
              </w:rPr>
              <w:t>3</w:t>
            </w:r>
          </w:p>
        </w:tc>
      </w:tr>
      <w:tr w:rsidR="00F1737B" w:rsidRPr="00962538" w:rsidTr="004D2827">
        <w:tc>
          <w:tcPr>
            <w:tcW w:w="1335" w:type="pct"/>
            <w:tcBorders>
              <w:top w:val="nil"/>
              <w:bottom w:val="single" w:sz="4" w:space="0" w:color="auto"/>
            </w:tcBorders>
            <w:shd w:val="clear" w:color="auto" w:fill="auto"/>
            <w:vAlign w:val="center"/>
          </w:tcPr>
          <w:p w:rsidR="00F1737B" w:rsidRPr="00B170B6" w:rsidRDefault="00F1737B" w:rsidP="00CB375A">
            <w:pPr>
              <w:pStyle w:val="TableText"/>
              <w:rPr>
                <w:iCs/>
              </w:rPr>
            </w:pPr>
            <w:r w:rsidRPr="00B170B6">
              <w:rPr>
                <w:iCs/>
              </w:rPr>
              <w:t xml:space="preserve">Revised </w:t>
            </w:r>
            <w:r w:rsidRPr="00B170B6">
              <w:rPr>
                <w:iCs/>
                <w:vertAlign w:val="superscript"/>
              </w:rPr>
              <w:t>e</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c>
          <w:tcPr>
            <w:tcW w:w="610" w:type="pct"/>
            <w:tcBorders>
              <w:top w:val="nil"/>
              <w:bottom w:val="single" w:sz="4" w:space="0" w:color="auto"/>
            </w:tcBorders>
          </w:tcPr>
          <w:p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r>
      <w:tr w:rsidR="00F1737B" w:rsidRPr="006474BE" w:rsidTr="004D2827">
        <w:tc>
          <w:tcPr>
            <w:tcW w:w="1335" w:type="pct"/>
            <w:tcBorders>
              <w:bottom w:val="nil"/>
            </w:tcBorders>
            <w:shd w:val="clear" w:color="auto" w:fill="auto"/>
            <w:vAlign w:val="center"/>
          </w:tcPr>
          <w:p w:rsidR="00F1737B" w:rsidRPr="006474BE" w:rsidRDefault="00F1737B" w:rsidP="00CB375A">
            <w:pPr>
              <w:pStyle w:val="TableText"/>
              <w:rPr>
                <w:b/>
              </w:rPr>
            </w:pPr>
            <w:r w:rsidRPr="00F51E50">
              <w:rPr>
                <w:b/>
              </w:rPr>
              <w:t>Net cost to the MBS</w:t>
            </w:r>
          </w:p>
        </w:tc>
        <w:tc>
          <w:tcPr>
            <w:tcW w:w="611" w:type="pct"/>
            <w:tcBorders>
              <w:bottom w:val="nil"/>
            </w:tcBorders>
            <w:shd w:val="clear" w:color="auto" w:fill="auto"/>
          </w:tcPr>
          <w:p w:rsidR="00F1737B" w:rsidRPr="00675CB4" w:rsidRDefault="00675CB4" w:rsidP="00CB375A">
            <w:pPr>
              <w:pStyle w:val="TableText"/>
              <w:jc w:val="right"/>
              <w:rPr>
                <w:b/>
              </w:rPr>
            </w:pPr>
            <w:r>
              <w:rPr>
                <w:b/>
                <w:noProof/>
                <w:color w:val="000000"/>
                <w:highlight w:val="black"/>
              </w:rPr>
              <w:t>'''''''''''''''''</w:t>
            </w:r>
            <w:r w:rsidR="00C8544D">
              <w:rPr>
                <w:bCs/>
                <w:vertAlign w:val="superscript"/>
              </w:rPr>
              <w:t>3</w:t>
            </w:r>
          </w:p>
        </w:tc>
        <w:tc>
          <w:tcPr>
            <w:tcW w:w="611" w:type="pct"/>
            <w:tcBorders>
              <w:bottom w:val="nil"/>
            </w:tcBorders>
            <w:shd w:val="clear" w:color="auto" w:fill="auto"/>
          </w:tcPr>
          <w:p w:rsidR="00F1737B" w:rsidRPr="00675CB4" w:rsidRDefault="00675CB4" w:rsidP="00CB375A">
            <w:pPr>
              <w:pStyle w:val="TableText"/>
              <w:jc w:val="right"/>
              <w:rPr>
                <w:b/>
              </w:rPr>
            </w:pPr>
            <w:r>
              <w:rPr>
                <w:b/>
                <w:noProof/>
                <w:color w:val="000000"/>
                <w:highlight w:val="black"/>
              </w:rPr>
              <w:t>''''''''''''''''''</w:t>
            </w:r>
            <w:r w:rsidR="00C8544D">
              <w:rPr>
                <w:bCs/>
                <w:vertAlign w:val="superscript"/>
              </w:rPr>
              <w:t>3</w:t>
            </w:r>
          </w:p>
        </w:tc>
        <w:tc>
          <w:tcPr>
            <w:tcW w:w="611" w:type="pct"/>
            <w:tcBorders>
              <w:bottom w:val="nil"/>
            </w:tcBorders>
            <w:shd w:val="clear" w:color="auto" w:fill="auto"/>
          </w:tcPr>
          <w:p w:rsidR="00F1737B" w:rsidRPr="00675CB4" w:rsidRDefault="00675CB4" w:rsidP="00CB375A">
            <w:pPr>
              <w:pStyle w:val="TableText"/>
              <w:jc w:val="right"/>
              <w:rPr>
                <w:b/>
              </w:rPr>
            </w:pPr>
            <w:r>
              <w:rPr>
                <w:b/>
                <w:noProof/>
                <w:color w:val="000000"/>
                <w:highlight w:val="black"/>
              </w:rPr>
              <w:t>'''''''''''''''''''</w:t>
            </w:r>
            <w:r w:rsidR="00C8544D">
              <w:rPr>
                <w:bCs/>
                <w:vertAlign w:val="superscript"/>
              </w:rPr>
              <w:t>3</w:t>
            </w:r>
          </w:p>
        </w:tc>
        <w:tc>
          <w:tcPr>
            <w:tcW w:w="611" w:type="pct"/>
            <w:tcBorders>
              <w:bottom w:val="nil"/>
            </w:tcBorders>
            <w:shd w:val="clear" w:color="auto" w:fill="auto"/>
          </w:tcPr>
          <w:p w:rsidR="00F1737B" w:rsidRPr="00675CB4" w:rsidRDefault="00675CB4" w:rsidP="00CB375A">
            <w:pPr>
              <w:pStyle w:val="TableText"/>
              <w:jc w:val="right"/>
              <w:rPr>
                <w:b/>
              </w:rPr>
            </w:pPr>
            <w:r>
              <w:rPr>
                <w:b/>
                <w:noProof/>
                <w:color w:val="000000"/>
                <w:highlight w:val="black"/>
              </w:rPr>
              <w:t>'''''''''''''''''''</w:t>
            </w:r>
            <w:r w:rsidR="00C8544D">
              <w:rPr>
                <w:bCs/>
                <w:vertAlign w:val="superscript"/>
              </w:rPr>
              <w:t>3</w:t>
            </w:r>
          </w:p>
        </w:tc>
        <w:tc>
          <w:tcPr>
            <w:tcW w:w="611" w:type="pct"/>
            <w:tcBorders>
              <w:bottom w:val="nil"/>
            </w:tcBorders>
            <w:shd w:val="clear" w:color="auto" w:fill="auto"/>
          </w:tcPr>
          <w:p w:rsidR="00F1737B" w:rsidRPr="00675CB4" w:rsidRDefault="00675CB4" w:rsidP="00CB375A">
            <w:pPr>
              <w:pStyle w:val="TableText"/>
              <w:jc w:val="right"/>
              <w:rPr>
                <w:b/>
              </w:rPr>
            </w:pPr>
            <w:r>
              <w:rPr>
                <w:b/>
                <w:noProof/>
                <w:color w:val="000000"/>
                <w:highlight w:val="black"/>
              </w:rPr>
              <w:t>''''''''''''''''''</w:t>
            </w:r>
            <w:r w:rsidR="00C8544D">
              <w:rPr>
                <w:bCs/>
                <w:vertAlign w:val="superscript"/>
              </w:rPr>
              <w:t>3</w:t>
            </w:r>
          </w:p>
        </w:tc>
        <w:tc>
          <w:tcPr>
            <w:tcW w:w="610" w:type="pct"/>
            <w:tcBorders>
              <w:bottom w:val="nil"/>
            </w:tcBorders>
          </w:tcPr>
          <w:p w:rsidR="00F1737B" w:rsidRPr="00675CB4" w:rsidRDefault="00675CB4" w:rsidP="00CB375A">
            <w:pPr>
              <w:pStyle w:val="TableText"/>
              <w:jc w:val="right"/>
              <w:rPr>
                <w:b/>
              </w:rPr>
            </w:pPr>
            <w:r>
              <w:rPr>
                <w:b/>
                <w:noProof/>
                <w:color w:val="000000"/>
                <w:highlight w:val="black"/>
              </w:rPr>
              <w:t>'''''''''''''''''''</w:t>
            </w:r>
            <w:r w:rsidR="00C8544D">
              <w:rPr>
                <w:bCs/>
                <w:vertAlign w:val="superscript"/>
              </w:rPr>
              <w:t>3</w:t>
            </w:r>
          </w:p>
        </w:tc>
      </w:tr>
      <w:tr w:rsidR="00F1737B" w:rsidRPr="006474BE" w:rsidTr="004D2827">
        <w:tc>
          <w:tcPr>
            <w:tcW w:w="1335" w:type="pct"/>
            <w:tcBorders>
              <w:top w:val="nil"/>
              <w:bottom w:val="single" w:sz="4" w:space="0" w:color="auto"/>
            </w:tcBorders>
            <w:shd w:val="clear" w:color="auto" w:fill="auto"/>
            <w:vAlign w:val="center"/>
          </w:tcPr>
          <w:p w:rsidR="00F1737B" w:rsidRPr="00B170B6" w:rsidRDefault="00F1737B" w:rsidP="00CB375A">
            <w:pPr>
              <w:pStyle w:val="TableText"/>
              <w:rPr>
                <w:b/>
                <w:iCs/>
              </w:rPr>
            </w:pPr>
            <w:r w:rsidRPr="00B170B6">
              <w:rPr>
                <w:b/>
                <w:iCs/>
              </w:rPr>
              <w:t>Revised</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b/>
                <w:iCs/>
              </w:rPr>
            </w:pPr>
            <w:r>
              <w:rPr>
                <w:b/>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b/>
                <w:iCs/>
              </w:rPr>
            </w:pPr>
            <w:r>
              <w:rPr>
                <w:b/>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b/>
                <w:iCs/>
              </w:rPr>
            </w:pPr>
            <w:r>
              <w:rPr>
                <w:b/>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b/>
                <w:iCs/>
              </w:rPr>
            </w:pPr>
            <w:r>
              <w:rPr>
                <w:b/>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b/>
                <w:iCs/>
              </w:rPr>
            </w:pPr>
            <w:r>
              <w:rPr>
                <w:b/>
                <w:iCs/>
                <w:noProof/>
                <w:color w:val="000000"/>
                <w:highlight w:val="black"/>
              </w:rPr>
              <w:t>''''''''''''''''''</w:t>
            </w:r>
            <w:r w:rsidR="00C8544D">
              <w:rPr>
                <w:bCs/>
                <w:vertAlign w:val="superscript"/>
              </w:rPr>
              <w:t>3</w:t>
            </w:r>
          </w:p>
        </w:tc>
        <w:tc>
          <w:tcPr>
            <w:tcW w:w="610" w:type="pct"/>
            <w:tcBorders>
              <w:top w:val="nil"/>
              <w:bottom w:val="single" w:sz="4" w:space="0" w:color="auto"/>
            </w:tcBorders>
          </w:tcPr>
          <w:p w:rsidR="00F1737B" w:rsidRPr="00675CB4" w:rsidRDefault="00675CB4" w:rsidP="00CB375A">
            <w:pPr>
              <w:pStyle w:val="TableText"/>
              <w:jc w:val="right"/>
              <w:rPr>
                <w:b/>
                <w:iCs/>
              </w:rPr>
            </w:pPr>
            <w:r>
              <w:rPr>
                <w:b/>
                <w:iCs/>
                <w:noProof/>
                <w:color w:val="000000"/>
                <w:highlight w:val="black"/>
              </w:rPr>
              <w:t>'''''''''''''''''''</w:t>
            </w:r>
            <w:r w:rsidR="00C8544D">
              <w:rPr>
                <w:bCs/>
                <w:vertAlign w:val="superscript"/>
              </w:rPr>
              <w:t>3</w:t>
            </w:r>
          </w:p>
        </w:tc>
      </w:tr>
      <w:tr w:rsidR="004D2827" w:rsidRPr="006474BE" w:rsidTr="004D2827">
        <w:tc>
          <w:tcPr>
            <w:tcW w:w="1335" w:type="pct"/>
            <w:tcBorders>
              <w:top w:val="single" w:sz="4" w:space="0" w:color="auto"/>
              <w:right w:val="nil"/>
            </w:tcBorders>
            <w:shd w:val="clear" w:color="auto" w:fill="D9D9D9" w:themeFill="background1" w:themeFillShade="D9"/>
            <w:vAlign w:val="center"/>
          </w:tcPr>
          <w:p w:rsidR="004D2827" w:rsidRPr="004D2827" w:rsidRDefault="004D2827" w:rsidP="00CB375A">
            <w:pPr>
              <w:pStyle w:val="TableText"/>
            </w:pPr>
            <w:r w:rsidRPr="004D2827">
              <w:t>November 2020 submission</w:t>
            </w:r>
          </w:p>
        </w:tc>
        <w:tc>
          <w:tcPr>
            <w:tcW w:w="611" w:type="pct"/>
            <w:tcBorders>
              <w:top w:val="single" w:sz="4" w:space="0" w:color="auto"/>
              <w:left w:val="nil"/>
              <w:right w:val="nil"/>
            </w:tcBorders>
            <w:shd w:val="clear" w:color="auto" w:fill="D9D9D9" w:themeFill="background1" w:themeFillShade="D9"/>
          </w:tcPr>
          <w:p w:rsidR="004D2827" w:rsidRPr="004D2827" w:rsidRDefault="004D2827" w:rsidP="00CB375A">
            <w:pPr>
              <w:pStyle w:val="TableText"/>
              <w:jc w:val="right"/>
            </w:pPr>
          </w:p>
        </w:tc>
        <w:tc>
          <w:tcPr>
            <w:tcW w:w="611" w:type="pct"/>
            <w:tcBorders>
              <w:top w:val="single" w:sz="4" w:space="0" w:color="auto"/>
              <w:left w:val="nil"/>
              <w:right w:val="nil"/>
            </w:tcBorders>
            <w:shd w:val="clear" w:color="auto" w:fill="D9D9D9" w:themeFill="background1" w:themeFillShade="D9"/>
          </w:tcPr>
          <w:p w:rsidR="004D2827" w:rsidRPr="004D2827" w:rsidRDefault="004D2827" w:rsidP="00CB375A">
            <w:pPr>
              <w:pStyle w:val="TableText"/>
              <w:jc w:val="right"/>
              <w:rPr>
                <w:i/>
              </w:rPr>
            </w:pPr>
          </w:p>
        </w:tc>
        <w:tc>
          <w:tcPr>
            <w:tcW w:w="611" w:type="pct"/>
            <w:tcBorders>
              <w:top w:val="single" w:sz="4" w:space="0" w:color="auto"/>
              <w:left w:val="nil"/>
              <w:right w:val="nil"/>
            </w:tcBorders>
            <w:shd w:val="clear" w:color="auto" w:fill="D9D9D9" w:themeFill="background1" w:themeFillShade="D9"/>
          </w:tcPr>
          <w:p w:rsidR="004D2827" w:rsidRPr="004D2827" w:rsidRDefault="004D2827" w:rsidP="00CB375A">
            <w:pPr>
              <w:pStyle w:val="TableText"/>
              <w:jc w:val="right"/>
              <w:rPr>
                <w:i/>
              </w:rPr>
            </w:pPr>
          </w:p>
        </w:tc>
        <w:tc>
          <w:tcPr>
            <w:tcW w:w="611" w:type="pct"/>
            <w:tcBorders>
              <w:top w:val="single" w:sz="4" w:space="0" w:color="auto"/>
              <w:left w:val="nil"/>
              <w:right w:val="nil"/>
            </w:tcBorders>
            <w:shd w:val="clear" w:color="auto" w:fill="D9D9D9" w:themeFill="background1" w:themeFillShade="D9"/>
          </w:tcPr>
          <w:p w:rsidR="004D2827" w:rsidRPr="004D2827" w:rsidRDefault="004D2827" w:rsidP="00CB375A">
            <w:pPr>
              <w:pStyle w:val="TableText"/>
              <w:jc w:val="right"/>
              <w:rPr>
                <w:i/>
              </w:rPr>
            </w:pPr>
          </w:p>
        </w:tc>
        <w:tc>
          <w:tcPr>
            <w:tcW w:w="611" w:type="pct"/>
            <w:tcBorders>
              <w:top w:val="single" w:sz="4" w:space="0" w:color="auto"/>
              <w:left w:val="nil"/>
              <w:right w:val="nil"/>
            </w:tcBorders>
            <w:shd w:val="clear" w:color="auto" w:fill="D9D9D9" w:themeFill="background1" w:themeFillShade="D9"/>
          </w:tcPr>
          <w:p w:rsidR="004D2827" w:rsidRPr="004D2827" w:rsidRDefault="004D2827" w:rsidP="00CB375A">
            <w:pPr>
              <w:pStyle w:val="TableText"/>
              <w:jc w:val="right"/>
              <w:rPr>
                <w:i/>
              </w:rPr>
            </w:pPr>
          </w:p>
        </w:tc>
        <w:tc>
          <w:tcPr>
            <w:tcW w:w="610" w:type="pct"/>
            <w:tcBorders>
              <w:top w:val="single" w:sz="4" w:space="0" w:color="auto"/>
              <w:left w:val="nil"/>
            </w:tcBorders>
            <w:shd w:val="clear" w:color="auto" w:fill="D9D9D9" w:themeFill="background1" w:themeFillShade="D9"/>
          </w:tcPr>
          <w:p w:rsidR="004D2827" w:rsidRPr="004D2827" w:rsidRDefault="004D2827" w:rsidP="00CB375A">
            <w:pPr>
              <w:pStyle w:val="TableText"/>
              <w:jc w:val="right"/>
              <w:rPr>
                <w:i/>
              </w:rPr>
            </w:pPr>
          </w:p>
        </w:tc>
      </w:tr>
      <w:tr w:rsidR="004D2827" w:rsidRPr="00D117CD" w:rsidTr="004D2827">
        <w:tc>
          <w:tcPr>
            <w:tcW w:w="1335" w:type="pct"/>
            <w:tcBorders>
              <w:top w:val="nil"/>
            </w:tcBorders>
            <w:shd w:val="clear" w:color="auto" w:fill="D9D9D9" w:themeFill="background1" w:themeFillShade="D9"/>
            <w:vAlign w:val="center"/>
          </w:tcPr>
          <w:p w:rsidR="004D2827" w:rsidRPr="00D117CD" w:rsidRDefault="00324BE9" w:rsidP="004D2827">
            <w:pPr>
              <w:pStyle w:val="TableText"/>
            </w:pPr>
            <w:r w:rsidRPr="00D117CD">
              <w:t>Net cost to the MBS (r</w:t>
            </w:r>
            <w:r w:rsidR="004D2827" w:rsidRPr="00D117CD">
              <w:t>evised</w:t>
            </w:r>
            <w:r w:rsidRPr="00D117CD">
              <w:t>)</w:t>
            </w:r>
          </w:p>
        </w:tc>
        <w:tc>
          <w:tcPr>
            <w:tcW w:w="611" w:type="pct"/>
            <w:tcBorders>
              <w:top w:val="nil"/>
            </w:tcBorders>
            <w:shd w:val="clear" w:color="auto" w:fill="D9D9D9" w:themeFill="background1" w:themeFillShade="D9"/>
          </w:tcPr>
          <w:p w:rsidR="004D2827" w:rsidRPr="00675CB4" w:rsidRDefault="00675CB4" w:rsidP="004D2827">
            <w:pPr>
              <w:pStyle w:val="TableText"/>
              <w:jc w:val="right"/>
            </w:pPr>
            <w:r>
              <w:rPr>
                <w:noProof/>
                <w:color w:val="000000"/>
                <w:highlight w:val="black"/>
              </w:rPr>
              <w:t>''''''''''''''''''''''</w:t>
            </w:r>
            <w:r w:rsidR="00C8544D">
              <w:rPr>
                <w:bCs/>
                <w:vertAlign w:val="superscript"/>
              </w:rPr>
              <w:t>3</w:t>
            </w:r>
          </w:p>
        </w:tc>
        <w:tc>
          <w:tcPr>
            <w:tcW w:w="611" w:type="pct"/>
            <w:tcBorders>
              <w:top w:val="nil"/>
            </w:tcBorders>
            <w:shd w:val="clear" w:color="auto" w:fill="D9D9D9" w:themeFill="background1" w:themeFillShade="D9"/>
          </w:tcPr>
          <w:p w:rsidR="004D2827" w:rsidRPr="00675CB4" w:rsidRDefault="00675CB4" w:rsidP="004D2827">
            <w:pPr>
              <w:pStyle w:val="TableText"/>
              <w:jc w:val="right"/>
            </w:pPr>
            <w:r>
              <w:rPr>
                <w:noProof/>
                <w:color w:val="000000"/>
                <w:highlight w:val="black"/>
              </w:rPr>
              <w:t>''''''''''''''''''''''''</w:t>
            </w:r>
            <w:r w:rsidR="00C8544D">
              <w:rPr>
                <w:bCs/>
                <w:vertAlign w:val="superscript"/>
              </w:rPr>
              <w:t>3</w:t>
            </w:r>
          </w:p>
        </w:tc>
        <w:tc>
          <w:tcPr>
            <w:tcW w:w="611" w:type="pct"/>
            <w:tcBorders>
              <w:top w:val="nil"/>
            </w:tcBorders>
            <w:shd w:val="clear" w:color="auto" w:fill="D9D9D9" w:themeFill="background1" w:themeFillShade="D9"/>
          </w:tcPr>
          <w:p w:rsidR="004D2827" w:rsidRPr="00675CB4" w:rsidRDefault="00675CB4" w:rsidP="004D2827">
            <w:pPr>
              <w:pStyle w:val="TableText"/>
              <w:jc w:val="right"/>
            </w:pPr>
            <w:r>
              <w:rPr>
                <w:noProof/>
                <w:color w:val="000000"/>
                <w:highlight w:val="black"/>
              </w:rPr>
              <w:t>'''''''''''''''''''''</w:t>
            </w:r>
            <w:r w:rsidR="00C8544D">
              <w:rPr>
                <w:bCs/>
                <w:vertAlign w:val="superscript"/>
              </w:rPr>
              <w:t>3</w:t>
            </w:r>
          </w:p>
        </w:tc>
        <w:tc>
          <w:tcPr>
            <w:tcW w:w="611" w:type="pct"/>
            <w:tcBorders>
              <w:top w:val="nil"/>
            </w:tcBorders>
            <w:shd w:val="clear" w:color="auto" w:fill="D9D9D9" w:themeFill="background1" w:themeFillShade="D9"/>
          </w:tcPr>
          <w:p w:rsidR="004D2827" w:rsidRPr="00675CB4" w:rsidRDefault="00675CB4" w:rsidP="004D2827">
            <w:pPr>
              <w:pStyle w:val="TableText"/>
              <w:jc w:val="right"/>
            </w:pPr>
            <w:r>
              <w:rPr>
                <w:noProof/>
                <w:color w:val="000000"/>
                <w:highlight w:val="black"/>
              </w:rPr>
              <w:t>''''''''''''''''''''</w:t>
            </w:r>
            <w:r w:rsidR="00C8544D">
              <w:rPr>
                <w:bCs/>
                <w:vertAlign w:val="superscript"/>
              </w:rPr>
              <w:t>3</w:t>
            </w:r>
          </w:p>
        </w:tc>
        <w:tc>
          <w:tcPr>
            <w:tcW w:w="611" w:type="pct"/>
            <w:tcBorders>
              <w:top w:val="nil"/>
            </w:tcBorders>
            <w:shd w:val="clear" w:color="auto" w:fill="D9D9D9" w:themeFill="background1" w:themeFillShade="D9"/>
          </w:tcPr>
          <w:p w:rsidR="004D2827" w:rsidRPr="00675CB4" w:rsidRDefault="00675CB4" w:rsidP="004D2827">
            <w:pPr>
              <w:pStyle w:val="TableText"/>
              <w:jc w:val="right"/>
            </w:pPr>
            <w:r>
              <w:rPr>
                <w:noProof/>
                <w:color w:val="000000"/>
                <w:highlight w:val="black"/>
              </w:rPr>
              <w:t>''''''''''''''''''''''''''</w:t>
            </w:r>
            <w:r w:rsidR="00C8544D">
              <w:rPr>
                <w:bCs/>
                <w:vertAlign w:val="superscript"/>
              </w:rPr>
              <w:t>3</w:t>
            </w:r>
          </w:p>
        </w:tc>
        <w:tc>
          <w:tcPr>
            <w:tcW w:w="610" w:type="pct"/>
            <w:tcBorders>
              <w:top w:val="nil"/>
            </w:tcBorders>
            <w:shd w:val="clear" w:color="auto" w:fill="D9D9D9" w:themeFill="background1" w:themeFillShade="D9"/>
          </w:tcPr>
          <w:p w:rsidR="004D2827" w:rsidRPr="00675CB4" w:rsidRDefault="00675CB4" w:rsidP="004D2827">
            <w:pPr>
              <w:pStyle w:val="TableText"/>
              <w:jc w:val="right"/>
            </w:pPr>
            <w:r>
              <w:rPr>
                <w:noProof/>
                <w:color w:val="000000"/>
                <w:highlight w:val="black"/>
              </w:rPr>
              <w:t>''''''''''''''''''''''''''''</w:t>
            </w:r>
            <w:r w:rsidR="00C8544D">
              <w:rPr>
                <w:bCs/>
                <w:vertAlign w:val="superscript"/>
              </w:rPr>
              <w:t>3</w:t>
            </w:r>
          </w:p>
        </w:tc>
      </w:tr>
      <w:tr w:rsidR="00F1737B" w:rsidRPr="00962538" w:rsidTr="00CB375A">
        <w:tc>
          <w:tcPr>
            <w:tcW w:w="5000" w:type="pct"/>
            <w:gridSpan w:val="7"/>
            <w:tcBorders>
              <w:bottom w:val="single" w:sz="4" w:space="0" w:color="auto"/>
            </w:tcBorders>
            <w:shd w:val="clear" w:color="auto" w:fill="auto"/>
            <w:vAlign w:val="center"/>
          </w:tcPr>
          <w:p w:rsidR="00F1737B" w:rsidRPr="00CA75B3" w:rsidRDefault="00F1737B" w:rsidP="00CB375A">
            <w:pPr>
              <w:pStyle w:val="TableText"/>
              <w:rPr>
                <w:b/>
              </w:rPr>
            </w:pPr>
            <w:r>
              <w:rPr>
                <w:b/>
              </w:rPr>
              <w:t>Net</w:t>
            </w:r>
            <w:r w:rsidRPr="00CA75B3">
              <w:rPr>
                <w:b/>
              </w:rPr>
              <w:t xml:space="preserve"> financial impl</w:t>
            </w:r>
            <w:r>
              <w:rPr>
                <w:b/>
              </w:rPr>
              <w:t>ications of</w:t>
            </w:r>
            <w:r w:rsidRPr="00CA75B3">
              <w:rPr>
                <w:b/>
              </w:rPr>
              <w:t xml:space="preserve"> to the PBS/RPBS</w:t>
            </w:r>
          </w:p>
        </w:tc>
      </w:tr>
      <w:tr w:rsidR="00F1737B" w:rsidRPr="00962538" w:rsidTr="004D2827">
        <w:tc>
          <w:tcPr>
            <w:tcW w:w="1335" w:type="pct"/>
            <w:tcBorders>
              <w:bottom w:val="nil"/>
            </w:tcBorders>
            <w:shd w:val="clear" w:color="auto" w:fill="auto"/>
            <w:vAlign w:val="center"/>
          </w:tcPr>
          <w:p w:rsidR="00F1737B" w:rsidRPr="00962538" w:rsidRDefault="00F1737B" w:rsidP="00CB375A">
            <w:pPr>
              <w:pStyle w:val="TableText"/>
              <w:rPr>
                <w:rFonts w:ascii="Times" w:eastAsia="Times New Roman" w:hAnsi="Times" w:cs="Times New Roman"/>
              </w:rPr>
            </w:pPr>
            <w:r w:rsidRPr="004F4630">
              <w:t>Cost of larotrectinib to the PBS</w:t>
            </w:r>
          </w:p>
        </w:tc>
        <w:tc>
          <w:tcPr>
            <w:tcW w:w="611" w:type="pct"/>
            <w:tcBorders>
              <w:bottom w:val="nil"/>
            </w:tcBorders>
            <w:shd w:val="clear" w:color="auto" w:fill="auto"/>
          </w:tcPr>
          <w:p w:rsidR="00F1737B" w:rsidRPr="00675CB4" w:rsidRDefault="00675CB4" w:rsidP="00CB375A">
            <w:pPr>
              <w:pStyle w:val="TableText"/>
              <w:jc w:val="right"/>
            </w:pPr>
            <w:r>
              <w:rPr>
                <w:noProof/>
                <w:color w:val="000000"/>
                <w:highlight w:val="black"/>
              </w:rPr>
              <w:t>'''''''''''''''''''''''''''''</w:t>
            </w:r>
            <w:r w:rsidR="00C8544D">
              <w:rPr>
                <w:bCs/>
                <w:vertAlign w:val="superscript"/>
              </w:rPr>
              <w:t>4</w:t>
            </w:r>
          </w:p>
        </w:tc>
        <w:tc>
          <w:tcPr>
            <w:tcW w:w="611" w:type="pct"/>
            <w:tcBorders>
              <w:bottom w:val="nil"/>
            </w:tcBorders>
            <w:shd w:val="clear" w:color="auto" w:fill="auto"/>
          </w:tcPr>
          <w:p w:rsidR="00F1737B" w:rsidRPr="00675CB4" w:rsidRDefault="00675CB4" w:rsidP="00CB375A">
            <w:pPr>
              <w:pStyle w:val="TableText"/>
              <w:jc w:val="right"/>
            </w:pPr>
            <w:r>
              <w:rPr>
                <w:noProof/>
                <w:color w:val="000000"/>
                <w:highlight w:val="black"/>
              </w:rPr>
              <w:t>'''''''''''''''''''''''''''</w:t>
            </w:r>
            <w:r w:rsidR="00C8544D">
              <w:rPr>
                <w:bCs/>
                <w:vertAlign w:val="superscript"/>
              </w:rPr>
              <w:t>4</w:t>
            </w:r>
          </w:p>
        </w:tc>
        <w:tc>
          <w:tcPr>
            <w:tcW w:w="611" w:type="pct"/>
            <w:tcBorders>
              <w:bottom w:val="nil"/>
            </w:tcBorders>
            <w:shd w:val="clear" w:color="auto" w:fill="auto"/>
          </w:tcPr>
          <w:p w:rsidR="00F1737B" w:rsidRPr="00675CB4" w:rsidRDefault="00675CB4" w:rsidP="00CB375A">
            <w:pPr>
              <w:pStyle w:val="TableText"/>
              <w:jc w:val="right"/>
            </w:pPr>
            <w:r>
              <w:rPr>
                <w:noProof/>
                <w:color w:val="000000"/>
                <w:highlight w:val="black"/>
              </w:rPr>
              <w:t>'''''''''''''''''''''''''''''</w:t>
            </w:r>
            <w:r w:rsidR="00C8544D">
              <w:rPr>
                <w:bCs/>
                <w:vertAlign w:val="superscript"/>
              </w:rPr>
              <w:t>4</w:t>
            </w:r>
          </w:p>
        </w:tc>
        <w:tc>
          <w:tcPr>
            <w:tcW w:w="611" w:type="pct"/>
            <w:tcBorders>
              <w:bottom w:val="nil"/>
            </w:tcBorders>
            <w:shd w:val="clear" w:color="auto" w:fill="auto"/>
          </w:tcPr>
          <w:p w:rsidR="00F1737B" w:rsidRPr="00675CB4" w:rsidRDefault="00675CB4" w:rsidP="00CB375A">
            <w:pPr>
              <w:pStyle w:val="TableText"/>
              <w:jc w:val="right"/>
            </w:pPr>
            <w:r>
              <w:rPr>
                <w:noProof/>
                <w:color w:val="000000"/>
                <w:highlight w:val="black"/>
              </w:rPr>
              <w:t>'''''''''''''''''''''''''''''''</w:t>
            </w:r>
            <w:r w:rsidR="00C8544D">
              <w:rPr>
                <w:bCs/>
                <w:vertAlign w:val="superscript"/>
              </w:rPr>
              <w:t>4</w:t>
            </w:r>
          </w:p>
        </w:tc>
        <w:tc>
          <w:tcPr>
            <w:tcW w:w="611" w:type="pct"/>
            <w:tcBorders>
              <w:bottom w:val="nil"/>
            </w:tcBorders>
            <w:shd w:val="clear" w:color="auto" w:fill="auto"/>
          </w:tcPr>
          <w:p w:rsidR="00F1737B" w:rsidRPr="00675CB4" w:rsidRDefault="00675CB4" w:rsidP="00CB375A">
            <w:pPr>
              <w:pStyle w:val="TableText"/>
              <w:jc w:val="right"/>
            </w:pPr>
            <w:r>
              <w:rPr>
                <w:noProof/>
                <w:color w:val="000000"/>
                <w:highlight w:val="black"/>
              </w:rPr>
              <w:t>'''''''''''''''''''''''''''''</w:t>
            </w:r>
            <w:r w:rsidR="00C8544D">
              <w:rPr>
                <w:bCs/>
                <w:vertAlign w:val="superscript"/>
              </w:rPr>
              <w:t>4</w:t>
            </w:r>
          </w:p>
        </w:tc>
        <w:tc>
          <w:tcPr>
            <w:tcW w:w="610" w:type="pct"/>
            <w:tcBorders>
              <w:bottom w:val="nil"/>
            </w:tcBorders>
          </w:tcPr>
          <w:p w:rsidR="00F1737B" w:rsidRPr="00675CB4" w:rsidRDefault="00675CB4" w:rsidP="00CB375A">
            <w:pPr>
              <w:pStyle w:val="TableText"/>
              <w:jc w:val="right"/>
            </w:pPr>
            <w:r>
              <w:rPr>
                <w:noProof/>
                <w:color w:val="000000"/>
                <w:highlight w:val="black"/>
              </w:rPr>
              <w:t>'''''''''''''''''''''''''''''</w:t>
            </w:r>
            <w:r w:rsidR="00C8544D">
              <w:rPr>
                <w:bCs/>
                <w:vertAlign w:val="superscript"/>
              </w:rPr>
              <w:t>4</w:t>
            </w:r>
          </w:p>
        </w:tc>
      </w:tr>
      <w:tr w:rsidR="00F1737B" w:rsidRPr="00962538" w:rsidTr="004D2827">
        <w:tc>
          <w:tcPr>
            <w:tcW w:w="1335" w:type="pct"/>
            <w:tcBorders>
              <w:top w:val="nil"/>
              <w:bottom w:val="single" w:sz="4" w:space="0" w:color="auto"/>
            </w:tcBorders>
            <w:shd w:val="clear" w:color="auto" w:fill="auto"/>
            <w:vAlign w:val="center"/>
          </w:tcPr>
          <w:p w:rsidR="00F1737B" w:rsidRPr="00B170B6" w:rsidRDefault="00F1737B" w:rsidP="00CB375A">
            <w:pPr>
              <w:pStyle w:val="TableText"/>
              <w:rPr>
                <w:iCs/>
              </w:rPr>
            </w:pPr>
            <w:r w:rsidRPr="00B170B6">
              <w:rPr>
                <w:iCs/>
              </w:rPr>
              <w:t xml:space="preserve">Revised </w:t>
            </w:r>
            <w:r w:rsidR="008276E8" w:rsidRPr="00B170B6">
              <w:rPr>
                <w:iCs/>
                <w:vertAlign w:val="superscript"/>
              </w:rPr>
              <w:t>c</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iCs/>
              </w:rPr>
            </w:pPr>
            <w:r>
              <w:rPr>
                <w:iCs/>
                <w:noProof/>
                <w:color w:val="000000"/>
                <w:highlight w:val="black"/>
              </w:rPr>
              <w:t>'''''''''''''''''''''''''''''''</w:t>
            </w:r>
            <w:r w:rsidR="00C8544D">
              <w:rPr>
                <w:bCs/>
                <w:vertAlign w:val="superscript"/>
              </w:rPr>
              <w:t>4</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iCs/>
              </w:rPr>
            </w:pPr>
            <w:r>
              <w:rPr>
                <w:iCs/>
                <w:noProof/>
                <w:color w:val="000000"/>
                <w:highlight w:val="black"/>
              </w:rPr>
              <w:t>''''''''''''''''''''''''''''''</w:t>
            </w:r>
            <w:r w:rsidR="00C8544D">
              <w:rPr>
                <w:bCs/>
                <w:vertAlign w:val="superscript"/>
              </w:rPr>
              <w:t>4</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iCs/>
              </w:rPr>
            </w:pPr>
            <w:r>
              <w:rPr>
                <w:iCs/>
                <w:noProof/>
                <w:color w:val="000000"/>
                <w:highlight w:val="black"/>
              </w:rPr>
              <w:t>''''''''''''''''''''''''''''''</w:t>
            </w:r>
            <w:r w:rsidR="00C8544D">
              <w:rPr>
                <w:bCs/>
                <w:vertAlign w:val="superscript"/>
              </w:rPr>
              <w:t>4</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iCs/>
              </w:rPr>
            </w:pPr>
            <w:r>
              <w:rPr>
                <w:iCs/>
                <w:noProof/>
                <w:color w:val="000000"/>
                <w:highlight w:val="black"/>
              </w:rPr>
              <w:t>'''''''''''''''''''''''''''''</w:t>
            </w:r>
            <w:r w:rsidR="00C8544D">
              <w:rPr>
                <w:bCs/>
                <w:vertAlign w:val="superscript"/>
              </w:rPr>
              <w:t>4</w:t>
            </w:r>
          </w:p>
        </w:tc>
        <w:tc>
          <w:tcPr>
            <w:tcW w:w="610" w:type="pct"/>
            <w:tcBorders>
              <w:top w:val="nil"/>
              <w:bottom w:val="single" w:sz="4" w:space="0" w:color="auto"/>
            </w:tcBorders>
          </w:tcPr>
          <w:p w:rsidR="00F1737B" w:rsidRPr="00675CB4" w:rsidRDefault="00675CB4" w:rsidP="00CB375A">
            <w:pPr>
              <w:pStyle w:val="TableText"/>
              <w:jc w:val="right"/>
              <w:rPr>
                <w:iCs/>
              </w:rPr>
            </w:pPr>
            <w:r>
              <w:rPr>
                <w:iCs/>
                <w:noProof/>
                <w:color w:val="000000"/>
                <w:highlight w:val="black"/>
              </w:rPr>
              <w:t>''''''''''''''''''''''''''''</w:t>
            </w:r>
            <w:r w:rsidR="00C8544D">
              <w:rPr>
                <w:bCs/>
                <w:vertAlign w:val="superscript"/>
              </w:rPr>
              <w:t>4</w:t>
            </w:r>
          </w:p>
        </w:tc>
      </w:tr>
      <w:tr w:rsidR="00F1737B" w:rsidRPr="00962538" w:rsidTr="004D2827">
        <w:tc>
          <w:tcPr>
            <w:tcW w:w="1335" w:type="pct"/>
            <w:tcBorders>
              <w:bottom w:val="nil"/>
            </w:tcBorders>
            <w:shd w:val="clear" w:color="auto" w:fill="auto"/>
            <w:vAlign w:val="center"/>
          </w:tcPr>
          <w:p w:rsidR="00F1737B" w:rsidRPr="00962538" w:rsidRDefault="00F1737B" w:rsidP="00CB375A">
            <w:pPr>
              <w:pStyle w:val="TableText"/>
            </w:pPr>
            <w:r>
              <w:t>Cost offsets to the PBS</w:t>
            </w:r>
          </w:p>
        </w:tc>
        <w:tc>
          <w:tcPr>
            <w:tcW w:w="611" w:type="pct"/>
            <w:tcBorders>
              <w:bottom w:val="nil"/>
            </w:tcBorders>
            <w:shd w:val="clear" w:color="auto" w:fill="auto"/>
          </w:tcPr>
          <w:p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0" w:type="pct"/>
            <w:tcBorders>
              <w:bottom w:val="nil"/>
            </w:tcBorders>
          </w:tcPr>
          <w:p w:rsidR="00F1737B" w:rsidRPr="00675CB4" w:rsidRDefault="00675CB4" w:rsidP="00CB375A">
            <w:pPr>
              <w:pStyle w:val="TableText"/>
              <w:jc w:val="right"/>
            </w:pPr>
            <w:r>
              <w:rPr>
                <w:noProof/>
                <w:color w:val="000000"/>
                <w:highlight w:val="black"/>
              </w:rPr>
              <w:t>''''''''''''''''''''''''''</w:t>
            </w:r>
            <w:r w:rsidR="00C8544D">
              <w:rPr>
                <w:bCs/>
                <w:vertAlign w:val="superscript"/>
              </w:rPr>
              <w:t>3</w:t>
            </w:r>
          </w:p>
        </w:tc>
      </w:tr>
      <w:tr w:rsidR="00F1737B" w:rsidRPr="006474BE" w:rsidTr="004D2827">
        <w:tc>
          <w:tcPr>
            <w:tcW w:w="1335" w:type="pct"/>
            <w:tcBorders>
              <w:top w:val="nil"/>
              <w:bottom w:val="single" w:sz="4" w:space="0" w:color="auto"/>
            </w:tcBorders>
            <w:shd w:val="clear" w:color="auto" w:fill="auto"/>
            <w:vAlign w:val="center"/>
          </w:tcPr>
          <w:p w:rsidR="00F1737B" w:rsidRPr="00B170B6" w:rsidRDefault="00F1737B" w:rsidP="00CB375A">
            <w:pPr>
              <w:pStyle w:val="TableText"/>
              <w:rPr>
                <w:b/>
                <w:iCs/>
              </w:rPr>
            </w:pPr>
            <w:r w:rsidRPr="00B170B6">
              <w:rPr>
                <w:iCs/>
              </w:rPr>
              <w:t xml:space="preserve">Revised </w:t>
            </w:r>
            <w:r w:rsidR="008276E8" w:rsidRPr="00B170B6">
              <w:rPr>
                <w:iCs/>
                <w:vertAlign w:val="superscript"/>
              </w:rPr>
              <w:t>f</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b/>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b/>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b/>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b/>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b/>
                <w:iCs/>
              </w:rPr>
            </w:pPr>
            <w:r>
              <w:rPr>
                <w:iCs/>
                <w:noProof/>
                <w:color w:val="000000"/>
                <w:highlight w:val="black"/>
              </w:rPr>
              <w:t>''''''''''''''''''''''''</w:t>
            </w:r>
            <w:r w:rsidR="00C8544D">
              <w:rPr>
                <w:bCs/>
                <w:vertAlign w:val="superscript"/>
              </w:rPr>
              <w:t>3</w:t>
            </w:r>
          </w:p>
        </w:tc>
        <w:tc>
          <w:tcPr>
            <w:tcW w:w="610" w:type="pct"/>
            <w:tcBorders>
              <w:top w:val="nil"/>
              <w:bottom w:val="single" w:sz="4" w:space="0" w:color="auto"/>
            </w:tcBorders>
          </w:tcPr>
          <w:p w:rsidR="00F1737B" w:rsidRPr="00675CB4" w:rsidRDefault="00675CB4" w:rsidP="00CB375A">
            <w:pPr>
              <w:pStyle w:val="TableText"/>
              <w:jc w:val="right"/>
              <w:rPr>
                <w:b/>
                <w:iCs/>
              </w:rPr>
            </w:pPr>
            <w:r>
              <w:rPr>
                <w:iCs/>
                <w:noProof/>
                <w:color w:val="000000"/>
                <w:highlight w:val="black"/>
              </w:rPr>
              <w:t>'''''''''''''''''''''''''''''</w:t>
            </w:r>
            <w:r w:rsidR="00C8544D">
              <w:rPr>
                <w:bCs/>
                <w:vertAlign w:val="superscript"/>
              </w:rPr>
              <w:t>3</w:t>
            </w:r>
          </w:p>
        </w:tc>
      </w:tr>
      <w:tr w:rsidR="00F1737B" w:rsidRPr="006474BE" w:rsidTr="004D2827">
        <w:tc>
          <w:tcPr>
            <w:tcW w:w="1335" w:type="pct"/>
            <w:tcBorders>
              <w:bottom w:val="nil"/>
            </w:tcBorders>
            <w:shd w:val="clear" w:color="auto" w:fill="auto"/>
            <w:vAlign w:val="center"/>
          </w:tcPr>
          <w:p w:rsidR="00F1737B" w:rsidRPr="006474BE" w:rsidRDefault="00F1737B" w:rsidP="00CB375A">
            <w:pPr>
              <w:pStyle w:val="TableText"/>
              <w:rPr>
                <w:b/>
              </w:rPr>
            </w:pPr>
            <w:r w:rsidRPr="00F51E50">
              <w:rPr>
                <w:b/>
              </w:rPr>
              <w:t>Net cost to the PBS</w:t>
            </w:r>
          </w:p>
        </w:tc>
        <w:tc>
          <w:tcPr>
            <w:tcW w:w="611" w:type="pct"/>
            <w:tcBorders>
              <w:bottom w:val="nil"/>
            </w:tcBorders>
            <w:shd w:val="clear" w:color="auto" w:fill="auto"/>
          </w:tcPr>
          <w:p w:rsidR="00F1737B" w:rsidRPr="00675CB4" w:rsidRDefault="00675CB4" w:rsidP="00CB375A">
            <w:pPr>
              <w:pStyle w:val="TableText"/>
              <w:jc w:val="right"/>
              <w:rPr>
                <w:b/>
              </w:rPr>
            </w:pPr>
            <w:r>
              <w:rPr>
                <w:b/>
                <w:noProof/>
                <w:color w:val="000000"/>
                <w:highlight w:val="black"/>
              </w:rPr>
              <w:t>'''''''''''''''''''''''</w:t>
            </w:r>
            <w:r w:rsidR="00C8544D">
              <w:rPr>
                <w:bCs/>
                <w:vertAlign w:val="superscript"/>
              </w:rPr>
              <w:t>4</w:t>
            </w:r>
          </w:p>
        </w:tc>
        <w:tc>
          <w:tcPr>
            <w:tcW w:w="611" w:type="pct"/>
            <w:tcBorders>
              <w:bottom w:val="nil"/>
            </w:tcBorders>
            <w:shd w:val="clear" w:color="auto" w:fill="auto"/>
          </w:tcPr>
          <w:p w:rsidR="00F1737B" w:rsidRPr="00675CB4" w:rsidRDefault="00675CB4" w:rsidP="00CB375A">
            <w:pPr>
              <w:pStyle w:val="TableText"/>
              <w:jc w:val="right"/>
              <w:rPr>
                <w:b/>
              </w:rPr>
            </w:pPr>
            <w:r>
              <w:rPr>
                <w:b/>
                <w:noProof/>
                <w:color w:val="000000"/>
                <w:highlight w:val="black"/>
              </w:rPr>
              <w:t>'''''''''''''''''''''''''</w:t>
            </w:r>
            <w:r w:rsidR="00C8544D">
              <w:rPr>
                <w:bCs/>
                <w:vertAlign w:val="superscript"/>
              </w:rPr>
              <w:t>4</w:t>
            </w:r>
          </w:p>
        </w:tc>
        <w:tc>
          <w:tcPr>
            <w:tcW w:w="611" w:type="pct"/>
            <w:tcBorders>
              <w:bottom w:val="nil"/>
            </w:tcBorders>
            <w:shd w:val="clear" w:color="auto" w:fill="auto"/>
          </w:tcPr>
          <w:p w:rsidR="00F1737B" w:rsidRPr="00675CB4" w:rsidRDefault="00675CB4" w:rsidP="00CB375A">
            <w:pPr>
              <w:pStyle w:val="TableText"/>
              <w:jc w:val="right"/>
              <w:rPr>
                <w:b/>
              </w:rPr>
            </w:pPr>
            <w:r>
              <w:rPr>
                <w:b/>
                <w:noProof/>
                <w:color w:val="000000"/>
                <w:highlight w:val="black"/>
              </w:rPr>
              <w:t>''''''''''''''''''''''''''</w:t>
            </w:r>
            <w:r w:rsidR="00C8544D">
              <w:rPr>
                <w:bCs/>
                <w:vertAlign w:val="superscript"/>
              </w:rPr>
              <w:t>4</w:t>
            </w:r>
          </w:p>
        </w:tc>
        <w:tc>
          <w:tcPr>
            <w:tcW w:w="611" w:type="pct"/>
            <w:tcBorders>
              <w:bottom w:val="nil"/>
            </w:tcBorders>
            <w:shd w:val="clear" w:color="auto" w:fill="auto"/>
          </w:tcPr>
          <w:p w:rsidR="00F1737B" w:rsidRPr="00675CB4" w:rsidRDefault="00675CB4" w:rsidP="00CB375A">
            <w:pPr>
              <w:pStyle w:val="TableText"/>
              <w:jc w:val="right"/>
              <w:rPr>
                <w:b/>
              </w:rPr>
            </w:pPr>
            <w:r>
              <w:rPr>
                <w:b/>
                <w:noProof/>
                <w:color w:val="000000"/>
                <w:highlight w:val="black"/>
              </w:rPr>
              <w:t>'''''''''''''''''''''''''</w:t>
            </w:r>
            <w:r w:rsidR="00C8544D">
              <w:rPr>
                <w:bCs/>
                <w:vertAlign w:val="superscript"/>
              </w:rPr>
              <w:t>4</w:t>
            </w:r>
          </w:p>
        </w:tc>
        <w:tc>
          <w:tcPr>
            <w:tcW w:w="611" w:type="pct"/>
            <w:tcBorders>
              <w:bottom w:val="nil"/>
            </w:tcBorders>
            <w:shd w:val="clear" w:color="auto" w:fill="auto"/>
          </w:tcPr>
          <w:p w:rsidR="00F1737B" w:rsidRPr="00675CB4" w:rsidRDefault="00675CB4" w:rsidP="00CB375A">
            <w:pPr>
              <w:pStyle w:val="TableText"/>
              <w:jc w:val="right"/>
              <w:rPr>
                <w:b/>
              </w:rPr>
            </w:pPr>
            <w:r>
              <w:rPr>
                <w:b/>
                <w:noProof/>
                <w:color w:val="000000"/>
                <w:highlight w:val="black"/>
              </w:rPr>
              <w:t>'''''''''''''''''''''''''</w:t>
            </w:r>
            <w:r w:rsidR="00C8544D">
              <w:rPr>
                <w:bCs/>
                <w:vertAlign w:val="superscript"/>
              </w:rPr>
              <w:t>4</w:t>
            </w:r>
          </w:p>
        </w:tc>
        <w:tc>
          <w:tcPr>
            <w:tcW w:w="610" w:type="pct"/>
            <w:tcBorders>
              <w:bottom w:val="nil"/>
            </w:tcBorders>
          </w:tcPr>
          <w:p w:rsidR="00F1737B" w:rsidRPr="00675CB4" w:rsidRDefault="00675CB4" w:rsidP="00CB375A">
            <w:pPr>
              <w:pStyle w:val="TableText"/>
              <w:jc w:val="right"/>
              <w:rPr>
                <w:b/>
              </w:rPr>
            </w:pPr>
            <w:r>
              <w:rPr>
                <w:b/>
                <w:noProof/>
                <w:color w:val="000000"/>
                <w:highlight w:val="black"/>
              </w:rPr>
              <w:t>'''''''''''''''''''''''''</w:t>
            </w:r>
            <w:r w:rsidR="00C8544D">
              <w:rPr>
                <w:bCs/>
                <w:vertAlign w:val="superscript"/>
              </w:rPr>
              <w:t>4</w:t>
            </w:r>
          </w:p>
        </w:tc>
      </w:tr>
      <w:tr w:rsidR="00F1737B" w:rsidRPr="006474BE" w:rsidTr="004D2827">
        <w:tc>
          <w:tcPr>
            <w:tcW w:w="1335" w:type="pct"/>
            <w:tcBorders>
              <w:top w:val="nil"/>
              <w:bottom w:val="single" w:sz="4" w:space="0" w:color="auto"/>
            </w:tcBorders>
            <w:shd w:val="clear" w:color="auto" w:fill="auto"/>
            <w:vAlign w:val="center"/>
          </w:tcPr>
          <w:p w:rsidR="00F1737B" w:rsidRPr="00EC00C0" w:rsidRDefault="00F1737B" w:rsidP="00CB375A">
            <w:pPr>
              <w:pStyle w:val="TableText"/>
              <w:rPr>
                <w:b/>
                <w:iCs/>
              </w:rPr>
            </w:pPr>
            <w:r w:rsidRPr="00EC00C0">
              <w:rPr>
                <w:b/>
                <w:iCs/>
              </w:rPr>
              <w:t>Revised</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b/>
                <w:iCs/>
              </w:rPr>
            </w:pPr>
            <w:r>
              <w:rPr>
                <w:b/>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b/>
                <w:iCs/>
              </w:rPr>
            </w:pPr>
            <w:r>
              <w:rPr>
                <w:b/>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b/>
                <w:iCs/>
              </w:rPr>
            </w:pPr>
            <w:r>
              <w:rPr>
                <w:b/>
                <w:iCs/>
                <w:noProof/>
                <w:color w:val="000000"/>
                <w:highlight w:val="black"/>
              </w:rPr>
              <w:t>''''''''''''''''''''''</w:t>
            </w:r>
            <w:r w:rsidR="00C8544D">
              <w:rPr>
                <w:bCs/>
                <w:vertAlign w:val="superscript"/>
              </w:rPr>
              <w:t>4</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b/>
                <w:iCs/>
              </w:rPr>
            </w:pPr>
            <w:r>
              <w:rPr>
                <w:b/>
                <w:iCs/>
                <w:noProof/>
                <w:color w:val="000000"/>
                <w:highlight w:val="black"/>
              </w:rPr>
              <w:t>''''''''''''''''''''''''''</w:t>
            </w:r>
            <w:r w:rsidR="00C8544D">
              <w:rPr>
                <w:bCs/>
                <w:vertAlign w:val="superscript"/>
              </w:rPr>
              <w:t>4</w:t>
            </w:r>
          </w:p>
        </w:tc>
        <w:tc>
          <w:tcPr>
            <w:tcW w:w="611" w:type="pct"/>
            <w:tcBorders>
              <w:top w:val="nil"/>
              <w:bottom w:val="single" w:sz="4" w:space="0" w:color="auto"/>
            </w:tcBorders>
            <w:shd w:val="clear" w:color="auto" w:fill="auto"/>
          </w:tcPr>
          <w:p w:rsidR="00F1737B" w:rsidRPr="00675CB4" w:rsidRDefault="00675CB4" w:rsidP="00CB375A">
            <w:pPr>
              <w:pStyle w:val="TableText"/>
              <w:jc w:val="right"/>
              <w:rPr>
                <w:b/>
                <w:iCs/>
              </w:rPr>
            </w:pPr>
            <w:r>
              <w:rPr>
                <w:b/>
                <w:iCs/>
                <w:noProof/>
                <w:color w:val="000000"/>
                <w:highlight w:val="black"/>
              </w:rPr>
              <w:t>''''''''''''''''''''''''</w:t>
            </w:r>
            <w:r w:rsidR="00C8544D">
              <w:rPr>
                <w:bCs/>
                <w:vertAlign w:val="superscript"/>
              </w:rPr>
              <w:t>4</w:t>
            </w:r>
          </w:p>
        </w:tc>
        <w:tc>
          <w:tcPr>
            <w:tcW w:w="610" w:type="pct"/>
            <w:tcBorders>
              <w:top w:val="nil"/>
              <w:bottom w:val="single" w:sz="4" w:space="0" w:color="auto"/>
            </w:tcBorders>
          </w:tcPr>
          <w:p w:rsidR="00F1737B" w:rsidRPr="00675CB4" w:rsidRDefault="00675CB4" w:rsidP="00CB375A">
            <w:pPr>
              <w:pStyle w:val="TableText"/>
              <w:jc w:val="right"/>
              <w:rPr>
                <w:b/>
                <w:iCs/>
              </w:rPr>
            </w:pPr>
            <w:r>
              <w:rPr>
                <w:b/>
                <w:iCs/>
                <w:noProof/>
                <w:color w:val="000000"/>
                <w:highlight w:val="black"/>
              </w:rPr>
              <w:t>'''''''''''''''''''''''''</w:t>
            </w:r>
            <w:r w:rsidR="00C8544D">
              <w:rPr>
                <w:bCs/>
                <w:vertAlign w:val="superscript"/>
              </w:rPr>
              <w:t>4</w:t>
            </w:r>
          </w:p>
        </w:tc>
      </w:tr>
      <w:tr w:rsidR="004D2827" w:rsidRPr="006474BE" w:rsidTr="004D2827">
        <w:tc>
          <w:tcPr>
            <w:tcW w:w="1335" w:type="pct"/>
            <w:tcBorders>
              <w:top w:val="single" w:sz="4" w:space="0" w:color="auto"/>
              <w:right w:val="nil"/>
            </w:tcBorders>
            <w:shd w:val="clear" w:color="auto" w:fill="D9D9D9" w:themeFill="background1" w:themeFillShade="D9"/>
            <w:vAlign w:val="center"/>
          </w:tcPr>
          <w:p w:rsidR="004D2827" w:rsidRPr="004D2827" w:rsidRDefault="004D2827" w:rsidP="00CB375A">
            <w:pPr>
              <w:pStyle w:val="TableText"/>
              <w:rPr>
                <w:i/>
              </w:rPr>
            </w:pPr>
            <w:r w:rsidRPr="004D2827">
              <w:t>November 2020 submission</w:t>
            </w:r>
          </w:p>
        </w:tc>
        <w:tc>
          <w:tcPr>
            <w:tcW w:w="611" w:type="pct"/>
            <w:tcBorders>
              <w:top w:val="single" w:sz="4" w:space="0" w:color="auto"/>
              <w:left w:val="nil"/>
              <w:right w:val="nil"/>
            </w:tcBorders>
            <w:shd w:val="clear" w:color="auto" w:fill="D9D9D9" w:themeFill="background1" w:themeFillShade="D9"/>
          </w:tcPr>
          <w:p w:rsidR="004D2827" w:rsidRPr="004D2827" w:rsidRDefault="004D2827" w:rsidP="00CB375A">
            <w:pPr>
              <w:pStyle w:val="TableText"/>
              <w:jc w:val="right"/>
              <w:rPr>
                <w:i/>
              </w:rPr>
            </w:pPr>
          </w:p>
        </w:tc>
        <w:tc>
          <w:tcPr>
            <w:tcW w:w="611" w:type="pct"/>
            <w:tcBorders>
              <w:top w:val="single" w:sz="4" w:space="0" w:color="auto"/>
              <w:left w:val="nil"/>
              <w:right w:val="nil"/>
            </w:tcBorders>
            <w:shd w:val="clear" w:color="auto" w:fill="D9D9D9" w:themeFill="background1" w:themeFillShade="D9"/>
          </w:tcPr>
          <w:p w:rsidR="004D2827" w:rsidRPr="004D2827" w:rsidRDefault="004D2827" w:rsidP="00CB375A">
            <w:pPr>
              <w:pStyle w:val="TableText"/>
              <w:jc w:val="right"/>
              <w:rPr>
                <w:i/>
              </w:rPr>
            </w:pPr>
          </w:p>
        </w:tc>
        <w:tc>
          <w:tcPr>
            <w:tcW w:w="611" w:type="pct"/>
            <w:tcBorders>
              <w:top w:val="single" w:sz="4" w:space="0" w:color="auto"/>
              <w:left w:val="nil"/>
              <w:right w:val="nil"/>
            </w:tcBorders>
            <w:shd w:val="clear" w:color="auto" w:fill="D9D9D9" w:themeFill="background1" w:themeFillShade="D9"/>
          </w:tcPr>
          <w:p w:rsidR="004D2827" w:rsidRPr="004D2827" w:rsidRDefault="004D2827" w:rsidP="00CB375A">
            <w:pPr>
              <w:pStyle w:val="TableText"/>
              <w:jc w:val="right"/>
              <w:rPr>
                <w:i/>
              </w:rPr>
            </w:pPr>
          </w:p>
        </w:tc>
        <w:tc>
          <w:tcPr>
            <w:tcW w:w="611" w:type="pct"/>
            <w:tcBorders>
              <w:top w:val="single" w:sz="4" w:space="0" w:color="auto"/>
              <w:left w:val="nil"/>
              <w:right w:val="nil"/>
            </w:tcBorders>
            <w:shd w:val="clear" w:color="auto" w:fill="D9D9D9" w:themeFill="background1" w:themeFillShade="D9"/>
          </w:tcPr>
          <w:p w:rsidR="004D2827" w:rsidRPr="004D2827" w:rsidRDefault="004D2827" w:rsidP="00CB375A">
            <w:pPr>
              <w:pStyle w:val="TableText"/>
              <w:jc w:val="right"/>
              <w:rPr>
                <w:i/>
              </w:rPr>
            </w:pPr>
          </w:p>
        </w:tc>
        <w:tc>
          <w:tcPr>
            <w:tcW w:w="611" w:type="pct"/>
            <w:tcBorders>
              <w:top w:val="single" w:sz="4" w:space="0" w:color="auto"/>
              <w:left w:val="nil"/>
              <w:right w:val="nil"/>
            </w:tcBorders>
            <w:shd w:val="clear" w:color="auto" w:fill="D9D9D9" w:themeFill="background1" w:themeFillShade="D9"/>
          </w:tcPr>
          <w:p w:rsidR="004D2827" w:rsidRPr="004D2827" w:rsidRDefault="004D2827" w:rsidP="00CB375A">
            <w:pPr>
              <w:pStyle w:val="TableText"/>
              <w:jc w:val="right"/>
              <w:rPr>
                <w:i/>
              </w:rPr>
            </w:pPr>
          </w:p>
        </w:tc>
        <w:tc>
          <w:tcPr>
            <w:tcW w:w="610" w:type="pct"/>
            <w:tcBorders>
              <w:top w:val="single" w:sz="4" w:space="0" w:color="auto"/>
              <w:left w:val="nil"/>
            </w:tcBorders>
            <w:shd w:val="clear" w:color="auto" w:fill="D9D9D9" w:themeFill="background1" w:themeFillShade="D9"/>
          </w:tcPr>
          <w:p w:rsidR="004D2827" w:rsidRPr="004D2827" w:rsidRDefault="004D2827" w:rsidP="00CB375A">
            <w:pPr>
              <w:pStyle w:val="TableText"/>
              <w:jc w:val="right"/>
              <w:rPr>
                <w:i/>
              </w:rPr>
            </w:pPr>
          </w:p>
        </w:tc>
      </w:tr>
      <w:tr w:rsidR="004D2827" w:rsidRPr="006474BE" w:rsidTr="004D2827">
        <w:tc>
          <w:tcPr>
            <w:tcW w:w="1335" w:type="pct"/>
            <w:tcBorders>
              <w:top w:val="nil"/>
            </w:tcBorders>
            <w:shd w:val="clear" w:color="auto" w:fill="D9D9D9" w:themeFill="background1" w:themeFillShade="D9"/>
            <w:vAlign w:val="center"/>
          </w:tcPr>
          <w:p w:rsidR="004D2827" w:rsidRPr="004D2827" w:rsidRDefault="00324BE9" w:rsidP="004D2827">
            <w:pPr>
              <w:pStyle w:val="TableText"/>
            </w:pPr>
            <w:r w:rsidRPr="004D2827">
              <w:t>Net cost to the PBS</w:t>
            </w:r>
            <w:r w:rsidRPr="004D2827">
              <w:rPr>
                <w:i/>
              </w:rPr>
              <w:t xml:space="preserve"> </w:t>
            </w:r>
            <w:r w:rsidRPr="00EC00C0">
              <w:rPr>
                <w:iCs/>
              </w:rPr>
              <w:t>(r</w:t>
            </w:r>
            <w:r w:rsidR="004D2827" w:rsidRPr="00EC00C0">
              <w:rPr>
                <w:iCs/>
              </w:rPr>
              <w:t>evised</w:t>
            </w:r>
            <w:r w:rsidRPr="00EC00C0">
              <w:rPr>
                <w:iCs/>
              </w:rPr>
              <w:t>)</w:t>
            </w:r>
          </w:p>
        </w:tc>
        <w:tc>
          <w:tcPr>
            <w:tcW w:w="611" w:type="pct"/>
            <w:tcBorders>
              <w:top w:val="nil"/>
            </w:tcBorders>
            <w:shd w:val="clear" w:color="auto" w:fill="D9D9D9" w:themeFill="background1" w:themeFillShade="D9"/>
          </w:tcPr>
          <w:p w:rsidR="004D2827" w:rsidRPr="00675CB4" w:rsidRDefault="00675CB4" w:rsidP="004D2827">
            <w:pPr>
              <w:pStyle w:val="TableText"/>
              <w:jc w:val="right"/>
              <w:rPr>
                <w:iCs/>
              </w:rPr>
            </w:pPr>
            <w:r>
              <w:rPr>
                <w:iCs/>
                <w:noProof/>
                <w:color w:val="000000"/>
                <w:highlight w:val="black"/>
              </w:rPr>
              <w:t>'''''''''''''''''''''''''''''</w:t>
            </w:r>
            <w:r w:rsidR="00C8544D">
              <w:rPr>
                <w:bCs/>
                <w:vertAlign w:val="superscript"/>
              </w:rPr>
              <w:t>3</w:t>
            </w:r>
          </w:p>
        </w:tc>
        <w:tc>
          <w:tcPr>
            <w:tcW w:w="611" w:type="pct"/>
            <w:tcBorders>
              <w:top w:val="nil"/>
            </w:tcBorders>
            <w:shd w:val="clear" w:color="auto" w:fill="D9D9D9" w:themeFill="background1" w:themeFillShade="D9"/>
          </w:tcPr>
          <w:p w:rsidR="004D2827" w:rsidRPr="00675CB4" w:rsidRDefault="00675CB4" w:rsidP="004D2827">
            <w:pPr>
              <w:pStyle w:val="TableText"/>
              <w:jc w:val="right"/>
              <w:rPr>
                <w:iCs/>
              </w:rPr>
            </w:pPr>
            <w:r>
              <w:rPr>
                <w:iCs/>
                <w:noProof/>
                <w:color w:val="000000"/>
                <w:highlight w:val="black"/>
              </w:rPr>
              <w:t>'''''''''''''''''''''''''''''''</w:t>
            </w:r>
            <w:r w:rsidR="00C8544D">
              <w:rPr>
                <w:bCs/>
                <w:vertAlign w:val="superscript"/>
              </w:rPr>
              <w:t>5</w:t>
            </w:r>
          </w:p>
        </w:tc>
        <w:tc>
          <w:tcPr>
            <w:tcW w:w="611" w:type="pct"/>
            <w:tcBorders>
              <w:top w:val="nil"/>
            </w:tcBorders>
            <w:shd w:val="clear" w:color="auto" w:fill="D9D9D9" w:themeFill="background1" w:themeFillShade="D9"/>
          </w:tcPr>
          <w:p w:rsidR="004D2827" w:rsidRPr="00675CB4" w:rsidRDefault="00675CB4" w:rsidP="004D2827">
            <w:pPr>
              <w:pStyle w:val="TableText"/>
              <w:jc w:val="right"/>
              <w:rPr>
                <w:iCs/>
              </w:rPr>
            </w:pPr>
            <w:r>
              <w:rPr>
                <w:iCs/>
                <w:noProof/>
                <w:color w:val="000000"/>
                <w:highlight w:val="black"/>
              </w:rPr>
              <w:t>'''''''''''''''''''''''''''</w:t>
            </w:r>
            <w:r w:rsidR="00C8544D">
              <w:rPr>
                <w:bCs/>
                <w:vertAlign w:val="superscript"/>
              </w:rPr>
              <w:t>5</w:t>
            </w:r>
          </w:p>
        </w:tc>
        <w:tc>
          <w:tcPr>
            <w:tcW w:w="611" w:type="pct"/>
            <w:tcBorders>
              <w:top w:val="nil"/>
            </w:tcBorders>
            <w:shd w:val="clear" w:color="auto" w:fill="D9D9D9" w:themeFill="background1" w:themeFillShade="D9"/>
          </w:tcPr>
          <w:p w:rsidR="004D2827" w:rsidRPr="00675CB4" w:rsidRDefault="00675CB4" w:rsidP="004D2827">
            <w:pPr>
              <w:pStyle w:val="TableText"/>
              <w:jc w:val="right"/>
              <w:rPr>
                <w:iCs/>
              </w:rPr>
            </w:pPr>
            <w:r>
              <w:rPr>
                <w:iCs/>
                <w:noProof/>
                <w:color w:val="000000"/>
                <w:highlight w:val="black"/>
              </w:rPr>
              <w:t>''''''''''''''''''''''''''''''</w:t>
            </w:r>
            <w:r w:rsidR="00C8544D">
              <w:rPr>
                <w:bCs/>
                <w:vertAlign w:val="superscript"/>
              </w:rPr>
              <w:t>6</w:t>
            </w:r>
          </w:p>
        </w:tc>
        <w:tc>
          <w:tcPr>
            <w:tcW w:w="611" w:type="pct"/>
            <w:tcBorders>
              <w:top w:val="nil"/>
            </w:tcBorders>
            <w:shd w:val="clear" w:color="auto" w:fill="D9D9D9" w:themeFill="background1" w:themeFillShade="D9"/>
          </w:tcPr>
          <w:p w:rsidR="004D2827" w:rsidRPr="00675CB4" w:rsidRDefault="00675CB4" w:rsidP="004D2827">
            <w:pPr>
              <w:pStyle w:val="TableText"/>
              <w:jc w:val="right"/>
              <w:rPr>
                <w:iCs/>
              </w:rPr>
            </w:pPr>
            <w:r>
              <w:rPr>
                <w:iCs/>
                <w:noProof/>
                <w:color w:val="000000"/>
                <w:highlight w:val="black"/>
              </w:rPr>
              <w:t>'''''''''''''''''''''''''''</w:t>
            </w:r>
            <w:r w:rsidR="00C8544D">
              <w:rPr>
                <w:bCs/>
                <w:vertAlign w:val="superscript"/>
              </w:rPr>
              <w:t>6</w:t>
            </w:r>
          </w:p>
        </w:tc>
        <w:tc>
          <w:tcPr>
            <w:tcW w:w="610" w:type="pct"/>
            <w:tcBorders>
              <w:top w:val="nil"/>
            </w:tcBorders>
            <w:shd w:val="clear" w:color="auto" w:fill="D9D9D9" w:themeFill="background1" w:themeFillShade="D9"/>
          </w:tcPr>
          <w:p w:rsidR="004D2827" w:rsidRPr="00675CB4" w:rsidRDefault="00675CB4" w:rsidP="004D2827">
            <w:pPr>
              <w:pStyle w:val="TableText"/>
              <w:jc w:val="right"/>
              <w:rPr>
                <w:iCs/>
              </w:rPr>
            </w:pPr>
            <w:r>
              <w:rPr>
                <w:iCs/>
                <w:noProof/>
                <w:color w:val="000000"/>
                <w:highlight w:val="black"/>
              </w:rPr>
              <w:t>'''''''''''''''''''''''''''''</w:t>
            </w:r>
            <w:r w:rsidR="00C8544D">
              <w:rPr>
                <w:bCs/>
                <w:vertAlign w:val="superscript"/>
              </w:rPr>
              <w:t>7</w:t>
            </w:r>
          </w:p>
        </w:tc>
      </w:tr>
      <w:tr w:rsidR="004D2827" w:rsidRPr="00962538" w:rsidTr="00CB375A">
        <w:tc>
          <w:tcPr>
            <w:tcW w:w="5000" w:type="pct"/>
            <w:gridSpan w:val="7"/>
            <w:tcBorders>
              <w:bottom w:val="single" w:sz="4" w:space="0" w:color="auto"/>
            </w:tcBorders>
            <w:shd w:val="clear" w:color="auto" w:fill="auto"/>
            <w:vAlign w:val="center"/>
          </w:tcPr>
          <w:p w:rsidR="004D2827" w:rsidRPr="00CA75B3" w:rsidRDefault="004D2827" w:rsidP="004D2827">
            <w:pPr>
              <w:pStyle w:val="TableText"/>
              <w:rPr>
                <w:b/>
              </w:rPr>
            </w:pPr>
            <w:r w:rsidRPr="00CA75B3">
              <w:rPr>
                <w:b/>
              </w:rPr>
              <w:t>Net financial implications</w:t>
            </w:r>
            <w:r w:rsidRPr="00CA75B3">
              <w:rPr>
                <w:b/>
                <w:color w:val="4472C4" w:themeColor="accent5"/>
              </w:rPr>
              <w:t xml:space="preserve"> </w:t>
            </w:r>
          </w:p>
        </w:tc>
      </w:tr>
      <w:tr w:rsidR="004D2827" w:rsidRPr="006474BE" w:rsidTr="004D2827">
        <w:tc>
          <w:tcPr>
            <w:tcW w:w="1335" w:type="pct"/>
            <w:tcBorders>
              <w:bottom w:val="nil"/>
            </w:tcBorders>
            <w:shd w:val="clear" w:color="auto" w:fill="auto"/>
            <w:vAlign w:val="center"/>
          </w:tcPr>
          <w:p w:rsidR="004D2827" w:rsidRPr="007B680C" w:rsidRDefault="004D2827" w:rsidP="004D2827">
            <w:pPr>
              <w:pStyle w:val="TableText"/>
            </w:pPr>
            <w:r w:rsidRPr="007B680C">
              <w:t>Net cost to Government</w:t>
            </w:r>
          </w:p>
        </w:tc>
        <w:tc>
          <w:tcPr>
            <w:tcW w:w="611" w:type="pct"/>
            <w:tcBorders>
              <w:bottom w:val="nil"/>
            </w:tcBorders>
            <w:shd w:val="clear" w:color="auto" w:fill="auto"/>
          </w:tcPr>
          <w:p w:rsidR="004D2827" w:rsidRPr="00675CB4" w:rsidRDefault="00675CB4" w:rsidP="004D2827">
            <w:pPr>
              <w:pStyle w:val="TableText"/>
              <w:jc w:val="center"/>
            </w:pPr>
            <w:r>
              <w:rPr>
                <w:noProof/>
                <w:color w:val="000000"/>
                <w:highlight w:val="black"/>
              </w:rPr>
              <w:t>''''''''''''''''''''''''''''</w:t>
            </w:r>
            <w:r w:rsidR="00C8544D">
              <w:rPr>
                <w:bCs/>
                <w:vertAlign w:val="superscript"/>
              </w:rPr>
              <w:t>4</w:t>
            </w:r>
          </w:p>
        </w:tc>
        <w:tc>
          <w:tcPr>
            <w:tcW w:w="611" w:type="pct"/>
            <w:tcBorders>
              <w:bottom w:val="nil"/>
            </w:tcBorders>
            <w:shd w:val="clear" w:color="auto" w:fill="auto"/>
          </w:tcPr>
          <w:p w:rsidR="004D2827" w:rsidRPr="00675CB4" w:rsidRDefault="00675CB4" w:rsidP="004D2827">
            <w:pPr>
              <w:pStyle w:val="TableText"/>
              <w:jc w:val="center"/>
            </w:pPr>
            <w:r>
              <w:rPr>
                <w:noProof/>
                <w:color w:val="000000"/>
                <w:highlight w:val="black"/>
              </w:rPr>
              <w:t>'''''''''''''''''''''''''''''''</w:t>
            </w:r>
            <w:r w:rsidR="00C8544D">
              <w:rPr>
                <w:bCs/>
                <w:vertAlign w:val="superscript"/>
              </w:rPr>
              <w:t>4</w:t>
            </w:r>
          </w:p>
        </w:tc>
        <w:tc>
          <w:tcPr>
            <w:tcW w:w="611" w:type="pct"/>
            <w:tcBorders>
              <w:bottom w:val="nil"/>
            </w:tcBorders>
            <w:shd w:val="clear" w:color="auto" w:fill="auto"/>
          </w:tcPr>
          <w:p w:rsidR="004D2827" w:rsidRPr="00675CB4" w:rsidRDefault="00675CB4" w:rsidP="004D2827">
            <w:pPr>
              <w:pStyle w:val="TableText"/>
              <w:jc w:val="center"/>
            </w:pPr>
            <w:r>
              <w:rPr>
                <w:noProof/>
                <w:color w:val="000000"/>
                <w:highlight w:val="black"/>
              </w:rPr>
              <w:t>''''''''''''''''''''''''''''''</w:t>
            </w:r>
            <w:r w:rsidR="00C8544D">
              <w:rPr>
                <w:bCs/>
                <w:vertAlign w:val="superscript"/>
              </w:rPr>
              <w:t>4</w:t>
            </w:r>
          </w:p>
        </w:tc>
        <w:tc>
          <w:tcPr>
            <w:tcW w:w="611" w:type="pct"/>
            <w:tcBorders>
              <w:bottom w:val="nil"/>
            </w:tcBorders>
            <w:shd w:val="clear" w:color="auto" w:fill="auto"/>
          </w:tcPr>
          <w:p w:rsidR="004D2827" w:rsidRPr="00675CB4" w:rsidRDefault="00675CB4" w:rsidP="004D2827">
            <w:pPr>
              <w:pStyle w:val="TableText"/>
              <w:jc w:val="center"/>
            </w:pPr>
            <w:r>
              <w:rPr>
                <w:noProof/>
                <w:color w:val="000000"/>
                <w:highlight w:val="black"/>
              </w:rPr>
              <w:t>''''''''''''''''''''''''''''''</w:t>
            </w:r>
            <w:r w:rsidR="00C8544D">
              <w:rPr>
                <w:bCs/>
                <w:vertAlign w:val="superscript"/>
              </w:rPr>
              <w:t>4</w:t>
            </w:r>
          </w:p>
        </w:tc>
        <w:tc>
          <w:tcPr>
            <w:tcW w:w="611" w:type="pct"/>
            <w:tcBorders>
              <w:bottom w:val="nil"/>
            </w:tcBorders>
            <w:shd w:val="clear" w:color="auto" w:fill="auto"/>
          </w:tcPr>
          <w:p w:rsidR="004D2827" w:rsidRPr="00675CB4" w:rsidRDefault="00675CB4" w:rsidP="004D2827">
            <w:pPr>
              <w:pStyle w:val="TableText"/>
              <w:jc w:val="center"/>
            </w:pPr>
            <w:r>
              <w:rPr>
                <w:noProof/>
                <w:color w:val="000000"/>
                <w:highlight w:val="black"/>
              </w:rPr>
              <w:t>'''''''''''''''''''''''''''</w:t>
            </w:r>
            <w:r w:rsidR="00C8544D">
              <w:rPr>
                <w:bCs/>
                <w:vertAlign w:val="superscript"/>
              </w:rPr>
              <w:t>4</w:t>
            </w:r>
          </w:p>
        </w:tc>
        <w:tc>
          <w:tcPr>
            <w:tcW w:w="610" w:type="pct"/>
            <w:tcBorders>
              <w:bottom w:val="nil"/>
            </w:tcBorders>
          </w:tcPr>
          <w:p w:rsidR="004D2827" w:rsidRPr="00675CB4" w:rsidRDefault="00675CB4" w:rsidP="004D2827">
            <w:pPr>
              <w:pStyle w:val="TableText"/>
              <w:jc w:val="center"/>
            </w:pPr>
            <w:r>
              <w:rPr>
                <w:noProof/>
                <w:color w:val="000000"/>
                <w:highlight w:val="black"/>
              </w:rPr>
              <w:t>''''''''''''''''''''''''''''''</w:t>
            </w:r>
            <w:r w:rsidR="00C8544D">
              <w:rPr>
                <w:bCs/>
                <w:vertAlign w:val="superscript"/>
              </w:rPr>
              <w:t>4</w:t>
            </w:r>
          </w:p>
        </w:tc>
      </w:tr>
      <w:tr w:rsidR="004D2827" w:rsidRPr="006474BE" w:rsidTr="004D2827">
        <w:tc>
          <w:tcPr>
            <w:tcW w:w="1335" w:type="pct"/>
            <w:tcBorders>
              <w:top w:val="nil"/>
              <w:bottom w:val="single" w:sz="4" w:space="0" w:color="auto"/>
            </w:tcBorders>
            <w:shd w:val="clear" w:color="auto" w:fill="auto"/>
            <w:vAlign w:val="center"/>
          </w:tcPr>
          <w:p w:rsidR="004D2827" w:rsidRPr="00B170B6" w:rsidRDefault="004D2827" w:rsidP="004D2827">
            <w:pPr>
              <w:pStyle w:val="TableText"/>
              <w:rPr>
                <w:iCs/>
              </w:rPr>
            </w:pPr>
            <w:r w:rsidRPr="00B170B6">
              <w:rPr>
                <w:iCs/>
              </w:rPr>
              <w:t>Revised</w:t>
            </w:r>
          </w:p>
        </w:tc>
        <w:tc>
          <w:tcPr>
            <w:tcW w:w="611" w:type="pct"/>
            <w:tcBorders>
              <w:top w:val="nil"/>
              <w:bottom w:val="single" w:sz="4" w:space="0" w:color="auto"/>
            </w:tcBorders>
            <w:shd w:val="clear" w:color="auto" w:fill="auto"/>
          </w:tcPr>
          <w:p w:rsidR="004D2827" w:rsidRPr="00675CB4" w:rsidRDefault="00675CB4" w:rsidP="004D2827">
            <w:pPr>
              <w:pStyle w:val="TableText"/>
              <w:jc w:val="center"/>
              <w:rPr>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rsidR="004D2827" w:rsidRPr="00675CB4" w:rsidRDefault="00675CB4" w:rsidP="004D2827">
            <w:pPr>
              <w:pStyle w:val="TableText"/>
              <w:jc w:val="center"/>
              <w:rPr>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rsidR="004D2827" w:rsidRPr="00675CB4" w:rsidRDefault="00675CB4" w:rsidP="004D2827">
            <w:pPr>
              <w:pStyle w:val="TableText"/>
              <w:jc w:val="center"/>
              <w:rPr>
                <w:iCs/>
              </w:rPr>
            </w:pPr>
            <w:r>
              <w:rPr>
                <w:iCs/>
                <w:noProof/>
                <w:color w:val="000000"/>
                <w:highlight w:val="black"/>
              </w:rPr>
              <w:t>''''''''''''''''''''''''''''''''</w:t>
            </w:r>
            <w:r w:rsidR="00C8544D">
              <w:rPr>
                <w:bCs/>
                <w:vertAlign w:val="superscript"/>
              </w:rPr>
              <w:t>4</w:t>
            </w:r>
          </w:p>
        </w:tc>
        <w:tc>
          <w:tcPr>
            <w:tcW w:w="611" w:type="pct"/>
            <w:tcBorders>
              <w:top w:val="nil"/>
              <w:bottom w:val="single" w:sz="4" w:space="0" w:color="auto"/>
            </w:tcBorders>
            <w:shd w:val="clear" w:color="auto" w:fill="auto"/>
          </w:tcPr>
          <w:p w:rsidR="004D2827" w:rsidRPr="00675CB4" w:rsidRDefault="00675CB4" w:rsidP="004D2827">
            <w:pPr>
              <w:pStyle w:val="TableText"/>
              <w:jc w:val="center"/>
              <w:rPr>
                <w:iCs/>
              </w:rPr>
            </w:pPr>
            <w:r>
              <w:rPr>
                <w:iCs/>
                <w:noProof/>
                <w:color w:val="000000"/>
                <w:highlight w:val="black"/>
              </w:rPr>
              <w:t>'''''''''''''''''''''''''''''''</w:t>
            </w:r>
            <w:r w:rsidR="00C8544D">
              <w:rPr>
                <w:bCs/>
                <w:vertAlign w:val="superscript"/>
              </w:rPr>
              <w:t>4</w:t>
            </w:r>
          </w:p>
        </w:tc>
        <w:tc>
          <w:tcPr>
            <w:tcW w:w="611" w:type="pct"/>
            <w:tcBorders>
              <w:top w:val="nil"/>
              <w:bottom w:val="single" w:sz="4" w:space="0" w:color="auto"/>
            </w:tcBorders>
            <w:shd w:val="clear" w:color="auto" w:fill="auto"/>
          </w:tcPr>
          <w:p w:rsidR="004D2827" w:rsidRPr="00675CB4" w:rsidRDefault="00675CB4" w:rsidP="004D2827">
            <w:pPr>
              <w:pStyle w:val="TableText"/>
              <w:jc w:val="center"/>
              <w:rPr>
                <w:iCs/>
              </w:rPr>
            </w:pPr>
            <w:r>
              <w:rPr>
                <w:iCs/>
                <w:noProof/>
                <w:color w:val="000000"/>
                <w:highlight w:val="black"/>
              </w:rPr>
              <w:t>''''''''''''''''''''''''''''</w:t>
            </w:r>
            <w:r w:rsidR="00C8544D">
              <w:rPr>
                <w:bCs/>
                <w:vertAlign w:val="superscript"/>
              </w:rPr>
              <w:t>4</w:t>
            </w:r>
          </w:p>
        </w:tc>
        <w:tc>
          <w:tcPr>
            <w:tcW w:w="610" w:type="pct"/>
            <w:tcBorders>
              <w:top w:val="nil"/>
              <w:bottom w:val="single" w:sz="4" w:space="0" w:color="auto"/>
            </w:tcBorders>
          </w:tcPr>
          <w:p w:rsidR="004D2827" w:rsidRPr="00675CB4" w:rsidRDefault="00675CB4" w:rsidP="004D2827">
            <w:pPr>
              <w:pStyle w:val="TableText"/>
              <w:jc w:val="center"/>
              <w:rPr>
                <w:iCs/>
              </w:rPr>
            </w:pPr>
            <w:r>
              <w:rPr>
                <w:iCs/>
                <w:noProof/>
                <w:color w:val="000000"/>
                <w:highlight w:val="black"/>
              </w:rPr>
              <w:t>''''''''''''''''''''''''''''''''</w:t>
            </w:r>
            <w:r w:rsidR="00C8544D">
              <w:rPr>
                <w:bCs/>
                <w:vertAlign w:val="superscript"/>
              </w:rPr>
              <w:t>4</w:t>
            </w:r>
          </w:p>
        </w:tc>
      </w:tr>
      <w:tr w:rsidR="004D2827" w:rsidRPr="006474BE" w:rsidTr="004D2827">
        <w:tc>
          <w:tcPr>
            <w:tcW w:w="1335" w:type="pct"/>
            <w:tcBorders>
              <w:top w:val="single" w:sz="4" w:space="0" w:color="auto"/>
              <w:bottom w:val="single" w:sz="4" w:space="0" w:color="auto"/>
              <w:right w:val="nil"/>
            </w:tcBorders>
            <w:shd w:val="clear" w:color="auto" w:fill="D9D9D9" w:themeFill="background1" w:themeFillShade="D9"/>
            <w:vAlign w:val="center"/>
          </w:tcPr>
          <w:p w:rsidR="004D2827" w:rsidRPr="007B680C" w:rsidRDefault="004D2827" w:rsidP="004D2827">
            <w:pPr>
              <w:pStyle w:val="TableText"/>
              <w:rPr>
                <w:i/>
              </w:rPr>
            </w:pPr>
            <w:r w:rsidRPr="004D2827">
              <w:t>November 2020 submission</w:t>
            </w:r>
          </w:p>
        </w:tc>
        <w:tc>
          <w:tcPr>
            <w:tcW w:w="611" w:type="pct"/>
            <w:tcBorders>
              <w:top w:val="single" w:sz="4" w:space="0" w:color="auto"/>
              <w:left w:val="nil"/>
              <w:bottom w:val="single" w:sz="4" w:space="0" w:color="auto"/>
              <w:right w:val="nil"/>
            </w:tcBorders>
            <w:shd w:val="clear" w:color="auto" w:fill="D9D9D9" w:themeFill="background1" w:themeFillShade="D9"/>
          </w:tcPr>
          <w:p w:rsidR="004D2827" w:rsidRPr="00B0715C" w:rsidRDefault="004D2827" w:rsidP="004D2827">
            <w:pPr>
              <w:pStyle w:val="TableText"/>
              <w:jc w:val="center"/>
              <w:rPr>
                <w:i/>
              </w:rPr>
            </w:pPr>
          </w:p>
        </w:tc>
        <w:tc>
          <w:tcPr>
            <w:tcW w:w="611" w:type="pct"/>
            <w:tcBorders>
              <w:top w:val="single" w:sz="4" w:space="0" w:color="auto"/>
              <w:left w:val="nil"/>
              <w:bottom w:val="single" w:sz="4" w:space="0" w:color="auto"/>
              <w:right w:val="nil"/>
            </w:tcBorders>
            <w:shd w:val="clear" w:color="auto" w:fill="D9D9D9" w:themeFill="background1" w:themeFillShade="D9"/>
          </w:tcPr>
          <w:p w:rsidR="004D2827" w:rsidRPr="00B0715C" w:rsidRDefault="004D2827" w:rsidP="004D2827">
            <w:pPr>
              <w:pStyle w:val="TableText"/>
              <w:jc w:val="center"/>
              <w:rPr>
                <w:i/>
              </w:rPr>
            </w:pPr>
          </w:p>
        </w:tc>
        <w:tc>
          <w:tcPr>
            <w:tcW w:w="611" w:type="pct"/>
            <w:tcBorders>
              <w:top w:val="single" w:sz="4" w:space="0" w:color="auto"/>
              <w:left w:val="nil"/>
              <w:bottom w:val="single" w:sz="4" w:space="0" w:color="auto"/>
              <w:right w:val="nil"/>
            </w:tcBorders>
            <w:shd w:val="clear" w:color="auto" w:fill="D9D9D9" w:themeFill="background1" w:themeFillShade="D9"/>
          </w:tcPr>
          <w:p w:rsidR="004D2827" w:rsidRPr="00B0715C" w:rsidRDefault="004D2827" w:rsidP="004D2827">
            <w:pPr>
              <w:pStyle w:val="TableText"/>
              <w:jc w:val="center"/>
              <w:rPr>
                <w:i/>
              </w:rPr>
            </w:pPr>
          </w:p>
        </w:tc>
        <w:tc>
          <w:tcPr>
            <w:tcW w:w="611" w:type="pct"/>
            <w:tcBorders>
              <w:top w:val="single" w:sz="4" w:space="0" w:color="auto"/>
              <w:left w:val="nil"/>
              <w:bottom w:val="single" w:sz="4" w:space="0" w:color="auto"/>
              <w:right w:val="nil"/>
            </w:tcBorders>
            <w:shd w:val="clear" w:color="auto" w:fill="D9D9D9" w:themeFill="background1" w:themeFillShade="D9"/>
          </w:tcPr>
          <w:p w:rsidR="004D2827" w:rsidRPr="00B0715C" w:rsidRDefault="004D2827" w:rsidP="004D2827">
            <w:pPr>
              <w:pStyle w:val="TableText"/>
              <w:jc w:val="center"/>
              <w:rPr>
                <w:i/>
              </w:rPr>
            </w:pPr>
          </w:p>
        </w:tc>
        <w:tc>
          <w:tcPr>
            <w:tcW w:w="611" w:type="pct"/>
            <w:tcBorders>
              <w:top w:val="single" w:sz="4" w:space="0" w:color="auto"/>
              <w:left w:val="nil"/>
              <w:bottom w:val="single" w:sz="4" w:space="0" w:color="auto"/>
              <w:right w:val="nil"/>
            </w:tcBorders>
            <w:shd w:val="clear" w:color="auto" w:fill="D9D9D9" w:themeFill="background1" w:themeFillShade="D9"/>
          </w:tcPr>
          <w:p w:rsidR="004D2827" w:rsidRPr="00B0715C" w:rsidRDefault="004D2827" w:rsidP="004D2827">
            <w:pPr>
              <w:pStyle w:val="TableText"/>
              <w:jc w:val="center"/>
              <w:rPr>
                <w:i/>
              </w:rPr>
            </w:pPr>
          </w:p>
        </w:tc>
        <w:tc>
          <w:tcPr>
            <w:tcW w:w="610" w:type="pct"/>
            <w:tcBorders>
              <w:top w:val="single" w:sz="4" w:space="0" w:color="auto"/>
              <w:left w:val="nil"/>
              <w:bottom w:val="single" w:sz="4" w:space="0" w:color="auto"/>
            </w:tcBorders>
            <w:shd w:val="clear" w:color="auto" w:fill="D9D9D9" w:themeFill="background1" w:themeFillShade="D9"/>
          </w:tcPr>
          <w:p w:rsidR="004D2827" w:rsidRPr="00B0715C" w:rsidRDefault="004D2827" w:rsidP="004D2827">
            <w:pPr>
              <w:pStyle w:val="TableText"/>
              <w:jc w:val="center"/>
              <w:rPr>
                <w:i/>
              </w:rPr>
            </w:pPr>
          </w:p>
        </w:tc>
      </w:tr>
      <w:tr w:rsidR="004D2827" w:rsidRPr="006474BE" w:rsidTr="004D2827">
        <w:tc>
          <w:tcPr>
            <w:tcW w:w="1335"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4D2827" w:rsidRPr="00B170B6" w:rsidRDefault="00324BE9" w:rsidP="004D2827">
            <w:pPr>
              <w:pStyle w:val="TableText"/>
            </w:pPr>
            <w:r w:rsidRPr="00B170B6">
              <w:t>Net cost to Government (r</w:t>
            </w:r>
            <w:r w:rsidR="004D2827" w:rsidRPr="00B170B6">
              <w:t>evised</w:t>
            </w:r>
            <w:r w:rsidRPr="00B170B6">
              <w:t>)</w:t>
            </w:r>
          </w:p>
        </w:tc>
        <w:tc>
          <w:tcPr>
            <w:tcW w:w="611" w:type="pct"/>
            <w:tcBorders>
              <w:top w:val="nil"/>
              <w:left w:val="single" w:sz="4" w:space="0" w:color="auto"/>
              <w:bottom w:val="single" w:sz="4" w:space="0" w:color="auto"/>
              <w:right w:val="single" w:sz="4" w:space="0" w:color="auto"/>
            </w:tcBorders>
            <w:shd w:val="clear" w:color="auto" w:fill="D9D9D9" w:themeFill="background1" w:themeFillShade="D9"/>
          </w:tcPr>
          <w:p w:rsidR="004D2827" w:rsidRPr="00675CB4" w:rsidRDefault="00675CB4" w:rsidP="004D2827">
            <w:pPr>
              <w:pStyle w:val="TableText"/>
              <w:jc w:val="center"/>
            </w:pPr>
            <w:r>
              <w:rPr>
                <w:noProof/>
                <w:color w:val="000000"/>
                <w:highlight w:val="black"/>
              </w:rPr>
              <w:t>''''''''''''''''''''''''''''''</w:t>
            </w:r>
            <w:r w:rsidR="00C8544D">
              <w:rPr>
                <w:bCs/>
                <w:vertAlign w:val="superscript"/>
              </w:rPr>
              <w:t>4</w:t>
            </w:r>
          </w:p>
        </w:tc>
        <w:tc>
          <w:tcPr>
            <w:tcW w:w="611" w:type="pct"/>
            <w:tcBorders>
              <w:top w:val="nil"/>
              <w:left w:val="single" w:sz="4" w:space="0" w:color="auto"/>
              <w:bottom w:val="single" w:sz="4" w:space="0" w:color="auto"/>
              <w:right w:val="single" w:sz="4" w:space="0" w:color="auto"/>
            </w:tcBorders>
            <w:shd w:val="clear" w:color="auto" w:fill="D9D9D9" w:themeFill="background1" w:themeFillShade="D9"/>
          </w:tcPr>
          <w:p w:rsidR="004D2827" w:rsidRPr="00675CB4" w:rsidRDefault="00675CB4" w:rsidP="004D2827">
            <w:pPr>
              <w:pStyle w:val="TableText"/>
              <w:jc w:val="center"/>
            </w:pPr>
            <w:r>
              <w:rPr>
                <w:noProof/>
                <w:color w:val="000000"/>
                <w:highlight w:val="black"/>
              </w:rPr>
              <w:t>'''''''''''''''''''''''''''''''</w:t>
            </w:r>
            <w:r w:rsidR="00C8544D">
              <w:rPr>
                <w:bCs/>
                <w:vertAlign w:val="superscript"/>
              </w:rPr>
              <w:t>5</w:t>
            </w:r>
          </w:p>
        </w:tc>
        <w:tc>
          <w:tcPr>
            <w:tcW w:w="611" w:type="pct"/>
            <w:tcBorders>
              <w:top w:val="nil"/>
              <w:left w:val="single" w:sz="4" w:space="0" w:color="auto"/>
              <w:bottom w:val="single" w:sz="4" w:space="0" w:color="auto"/>
              <w:right w:val="single" w:sz="4" w:space="0" w:color="auto"/>
            </w:tcBorders>
            <w:shd w:val="clear" w:color="auto" w:fill="D9D9D9" w:themeFill="background1" w:themeFillShade="D9"/>
          </w:tcPr>
          <w:p w:rsidR="004D2827" w:rsidRPr="00675CB4" w:rsidRDefault="00675CB4" w:rsidP="004D2827">
            <w:pPr>
              <w:pStyle w:val="TableText"/>
              <w:jc w:val="center"/>
            </w:pPr>
            <w:r>
              <w:rPr>
                <w:noProof/>
                <w:color w:val="000000"/>
                <w:highlight w:val="black"/>
              </w:rPr>
              <w:t>''''''''''''''''''''''''''''</w:t>
            </w:r>
            <w:r w:rsidR="00C8544D">
              <w:rPr>
                <w:bCs/>
                <w:vertAlign w:val="superscript"/>
              </w:rPr>
              <w:t>5</w:t>
            </w:r>
          </w:p>
        </w:tc>
        <w:tc>
          <w:tcPr>
            <w:tcW w:w="611" w:type="pct"/>
            <w:tcBorders>
              <w:top w:val="nil"/>
              <w:left w:val="single" w:sz="4" w:space="0" w:color="auto"/>
              <w:bottom w:val="single" w:sz="4" w:space="0" w:color="auto"/>
              <w:right w:val="single" w:sz="4" w:space="0" w:color="auto"/>
            </w:tcBorders>
            <w:shd w:val="clear" w:color="auto" w:fill="D9D9D9" w:themeFill="background1" w:themeFillShade="D9"/>
          </w:tcPr>
          <w:p w:rsidR="004D2827" w:rsidRPr="00675CB4" w:rsidRDefault="00675CB4" w:rsidP="004D2827">
            <w:pPr>
              <w:pStyle w:val="TableText"/>
              <w:jc w:val="center"/>
            </w:pPr>
            <w:r>
              <w:rPr>
                <w:noProof/>
                <w:color w:val="000000"/>
                <w:highlight w:val="black"/>
              </w:rPr>
              <w:t>'''''''''''''''''''''''''''''</w:t>
            </w:r>
            <w:r w:rsidR="00C8544D">
              <w:rPr>
                <w:bCs/>
                <w:vertAlign w:val="superscript"/>
              </w:rPr>
              <w:t>6</w:t>
            </w:r>
          </w:p>
        </w:tc>
        <w:tc>
          <w:tcPr>
            <w:tcW w:w="611" w:type="pct"/>
            <w:tcBorders>
              <w:top w:val="nil"/>
              <w:left w:val="single" w:sz="4" w:space="0" w:color="auto"/>
              <w:bottom w:val="single" w:sz="4" w:space="0" w:color="auto"/>
              <w:right w:val="single" w:sz="4" w:space="0" w:color="auto"/>
            </w:tcBorders>
            <w:shd w:val="clear" w:color="auto" w:fill="D9D9D9" w:themeFill="background1" w:themeFillShade="D9"/>
          </w:tcPr>
          <w:p w:rsidR="004D2827" w:rsidRPr="00675CB4" w:rsidRDefault="00675CB4" w:rsidP="004D2827">
            <w:pPr>
              <w:pStyle w:val="TableText"/>
              <w:jc w:val="center"/>
            </w:pPr>
            <w:r>
              <w:rPr>
                <w:noProof/>
                <w:color w:val="000000"/>
                <w:highlight w:val="black"/>
              </w:rPr>
              <w:t>''''''''''''''''''''''''''''''</w:t>
            </w:r>
            <w:r w:rsidR="00C8544D">
              <w:rPr>
                <w:bCs/>
                <w:vertAlign w:val="superscript"/>
              </w:rPr>
              <w:t>6</w:t>
            </w:r>
          </w:p>
        </w:tc>
        <w:tc>
          <w:tcPr>
            <w:tcW w:w="610" w:type="pct"/>
            <w:tcBorders>
              <w:top w:val="nil"/>
              <w:left w:val="single" w:sz="4" w:space="0" w:color="auto"/>
              <w:bottom w:val="single" w:sz="4" w:space="0" w:color="auto"/>
              <w:right w:val="single" w:sz="4" w:space="0" w:color="auto"/>
            </w:tcBorders>
            <w:shd w:val="clear" w:color="auto" w:fill="D9D9D9" w:themeFill="background1" w:themeFillShade="D9"/>
          </w:tcPr>
          <w:p w:rsidR="004D2827" w:rsidRPr="00675CB4" w:rsidRDefault="00675CB4" w:rsidP="004D2827">
            <w:pPr>
              <w:pStyle w:val="TableText"/>
              <w:jc w:val="center"/>
            </w:pPr>
            <w:r>
              <w:rPr>
                <w:noProof/>
                <w:color w:val="000000"/>
                <w:highlight w:val="black"/>
              </w:rPr>
              <w:t>''''''''''''''''''''''''''''</w:t>
            </w:r>
            <w:r w:rsidR="00C8544D">
              <w:rPr>
                <w:bCs/>
                <w:vertAlign w:val="superscript"/>
              </w:rPr>
              <w:t>7</w:t>
            </w:r>
          </w:p>
        </w:tc>
      </w:tr>
    </w:tbl>
    <w:p w:rsidR="007E671C" w:rsidRPr="00B170B6" w:rsidRDefault="007E671C" w:rsidP="007E671C">
      <w:pPr>
        <w:pStyle w:val="TableFooter"/>
      </w:pPr>
      <w:r w:rsidRPr="00B170B6">
        <w:t>Source: Constructed during the evaluation from Section 4 and the ‘A4.2_larotrectinib_PBACMSAC_Section4_June21_3June21’ workbook included in the resubmission.</w:t>
      </w:r>
    </w:p>
    <w:p w:rsidR="007E671C" w:rsidRPr="00053DB1" w:rsidRDefault="007E671C" w:rsidP="007E671C">
      <w:pPr>
        <w:pStyle w:val="TableFooter"/>
      </w:pPr>
      <w:r w:rsidRPr="00B170B6">
        <w:rPr>
          <w:vertAlign w:val="superscript"/>
        </w:rPr>
        <w:t>a</w:t>
      </w:r>
      <w:r w:rsidRPr="00B170B6">
        <w:t xml:space="preserve"> 1 / (weighted </w:t>
      </w:r>
      <w:r w:rsidRPr="00053DB1">
        <w:t xml:space="preserve">prevalence × weighted IHC sensitivity), where weighted prevalence was derived by dividing 47 patients estimated with </w:t>
      </w:r>
      <w:r w:rsidRPr="00053DB1">
        <w:rPr>
          <w:i/>
          <w:iCs/>
        </w:rPr>
        <w:t xml:space="preserve">NTRK </w:t>
      </w:r>
      <w:r w:rsidRPr="00053DB1">
        <w:t xml:space="preserve">fusions by the </w:t>
      </w:r>
      <w:r w:rsidR="00675CB4">
        <w:rPr>
          <w:noProof/>
          <w:color w:val="000000"/>
          <w:highlight w:val="black"/>
        </w:rPr>
        <w:t>'''''''''''''''</w:t>
      </w:r>
      <w:r w:rsidR="008F2037" w:rsidRPr="00053DB1">
        <w:rPr>
          <w:bCs/>
          <w:vertAlign w:val="superscript"/>
        </w:rPr>
        <w:t>9</w:t>
      </w:r>
      <w:r w:rsidRPr="00053DB1">
        <w:t xml:space="preserve"> patients eligible for later-line treatment. Weighted sensitivity 84.6% was applied.</w:t>
      </w:r>
    </w:p>
    <w:p w:rsidR="007E671C" w:rsidRPr="00053DB1" w:rsidRDefault="007E671C" w:rsidP="007E671C">
      <w:pPr>
        <w:pStyle w:val="TableFooter"/>
      </w:pPr>
      <w:r w:rsidRPr="00053DB1">
        <w:rPr>
          <w:vertAlign w:val="superscript"/>
        </w:rPr>
        <w:t>b</w:t>
      </w:r>
      <w:r w:rsidRPr="00053DB1">
        <w:t xml:space="preserve"> Assuming </w:t>
      </w:r>
      <w:r w:rsidR="00675CB4">
        <w:rPr>
          <w:noProof/>
          <w:color w:val="000000"/>
          <w:highlight w:val="black"/>
        </w:rPr>
        <w:t>'''''''''''</w:t>
      </w:r>
      <w:r w:rsidR="000B6C23" w:rsidRPr="00053DB1">
        <w:rPr>
          <w:bCs/>
          <w:vertAlign w:val="superscript"/>
        </w:rPr>
        <w:t>1</w:t>
      </w:r>
      <w:r w:rsidRPr="00053DB1">
        <w:t xml:space="preserve"> scripts in adult and </w:t>
      </w:r>
      <w:r w:rsidR="00675CB4">
        <w:rPr>
          <w:noProof/>
          <w:color w:val="000000"/>
          <w:highlight w:val="black"/>
        </w:rPr>
        <w:t>'''''''''''</w:t>
      </w:r>
      <w:r w:rsidR="000B6C23" w:rsidRPr="00053DB1">
        <w:rPr>
          <w:bCs/>
          <w:vertAlign w:val="superscript"/>
        </w:rPr>
        <w:t>1</w:t>
      </w:r>
      <w:r w:rsidRPr="00053DB1">
        <w:t xml:space="preserve"> scripts per paediatric patient as estimated by the resubmission. These total number of scripts represent the total number of scripts for 2.5 years.</w:t>
      </w:r>
    </w:p>
    <w:p w:rsidR="007E671C" w:rsidRPr="00053DB1" w:rsidRDefault="007E671C" w:rsidP="007E671C">
      <w:pPr>
        <w:pStyle w:val="TableFooter"/>
        <w:rPr>
          <w:iCs/>
        </w:rPr>
      </w:pPr>
      <w:r w:rsidRPr="00053DB1">
        <w:rPr>
          <w:iCs/>
          <w:vertAlign w:val="superscript"/>
        </w:rPr>
        <w:t>c</w:t>
      </w:r>
      <w:r w:rsidRPr="00053DB1">
        <w:rPr>
          <w:iCs/>
        </w:rPr>
        <w:t xml:space="preserve"> </w:t>
      </w:r>
      <w:r w:rsidR="008276E8" w:rsidRPr="00053DB1">
        <w:rPr>
          <w:iCs/>
        </w:rPr>
        <w:t>T</w:t>
      </w:r>
      <w:r w:rsidRPr="00053DB1">
        <w:rPr>
          <w:iCs/>
        </w:rPr>
        <w:t>he number of larotrectinib scripts was revised during the evaluation to distribute scripts over the 2.5 year treatment duration assumed.</w:t>
      </w:r>
    </w:p>
    <w:p w:rsidR="007E671C" w:rsidRPr="00B170B6" w:rsidRDefault="008276E8" w:rsidP="007E671C">
      <w:pPr>
        <w:pStyle w:val="TableFooter"/>
        <w:rPr>
          <w:iCs/>
        </w:rPr>
      </w:pPr>
      <w:r w:rsidRPr="00053DB1">
        <w:rPr>
          <w:iCs/>
          <w:vertAlign w:val="superscript"/>
        </w:rPr>
        <w:t>d</w:t>
      </w:r>
      <w:r w:rsidRPr="00053DB1">
        <w:rPr>
          <w:iCs/>
        </w:rPr>
        <w:t xml:space="preserve"> The number of IHC tests and costs were revised based on </w:t>
      </w:r>
      <w:r w:rsidR="00675CB4">
        <w:rPr>
          <w:iCs/>
          <w:noProof/>
          <w:color w:val="000000"/>
          <w:highlight w:val="black"/>
        </w:rPr>
        <w:t>''''''''''''''''</w:t>
      </w:r>
      <w:r w:rsidR="000B6C23" w:rsidRPr="00053DB1">
        <w:rPr>
          <w:bCs/>
          <w:vertAlign w:val="superscript"/>
        </w:rPr>
        <w:t>1</w:t>
      </w:r>
      <w:r w:rsidRPr="00053DB1">
        <w:rPr>
          <w:iCs/>
        </w:rPr>
        <w:t xml:space="preserve"> tests required to find one </w:t>
      </w:r>
      <w:r w:rsidRPr="00053DB1">
        <w:rPr>
          <w:i/>
        </w:rPr>
        <w:t>NTRK</w:t>
      </w:r>
      <w:r w:rsidRPr="00053DB1">
        <w:rPr>
          <w:iCs/>
        </w:rPr>
        <w:t xml:space="preserve"> fusion positive patient and the cost of NGS/FISH was revised during the evaluation to account for the implications of the Greatest Permissible Gap</w:t>
      </w:r>
      <w:r w:rsidRPr="00B170B6">
        <w:rPr>
          <w:iCs/>
        </w:rPr>
        <w:t xml:space="preserve"> on the NGS MBS rebate.</w:t>
      </w:r>
    </w:p>
    <w:p w:rsidR="008276E8" w:rsidRPr="00B170B6" w:rsidRDefault="008276E8" w:rsidP="007E671C">
      <w:pPr>
        <w:pStyle w:val="TableFooter"/>
        <w:rPr>
          <w:iCs/>
        </w:rPr>
      </w:pPr>
      <w:r w:rsidRPr="00B170B6">
        <w:rPr>
          <w:iCs/>
          <w:vertAlign w:val="superscript"/>
        </w:rPr>
        <w:t>e</w:t>
      </w:r>
      <w:r w:rsidRPr="00B170B6">
        <w:rPr>
          <w:iCs/>
        </w:rPr>
        <w:t xml:space="preserve"> Revised to assume only one use of MBS item 13950 each time a patient presents for treatment and to correct for the erroneous doubling of services.</w:t>
      </w:r>
    </w:p>
    <w:p w:rsidR="008276E8" w:rsidRPr="00B170B6" w:rsidRDefault="008276E8" w:rsidP="007E671C">
      <w:pPr>
        <w:pStyle w:val="TableFooter"/>
        <w:rPr>
          <w:iCs/>
        </w:rPr>
      </w:pPr>
      <w:r w:rsidRPr="00B170B6">
        <w:rPr>
          <w:iCs/>
          <w:vertAlign w:val="superscript"/>
        </w:rPr>
        <w:t xml:space="preserve">f </w:t>
      </w:r>
      <w:r w:rsidRPr="00B170B6">
        <w:rPr>
          <w:iCs/>
        </w:rPr>
        <w:t xml:space="preserve">Prices were revised during the evaluation to use the efficient price for the average dose (as used in </w:t>
      </w:r>
      <w:r w:rsidR="00BA3286" w:rsidRPr="00B170B6">
        <w:rPr>
          <w:iCs/>
        </w:rPr>
        <w:t>the economic evaluation</w:t>
      </w:r>
      <w:r w:rsidRPr="00B170B6">
        <w:rPr>
          <w:iCs/>
        </w:rPr>
        <w:t xml:space="preserve">) and SoC patient copayments were revised to assume only one copayment per original script of infusible PBS items (as per the Efficient Funding of Chemotherapy arrangements). </w:t>
      </w:r>
      <w:r w:rsidR="002451D9" w:rsidRPr="00B170B6">
        <w:rPr>
          <w:iCs/>
        </w:rPr>
        <w:t>Costs</w:t>
      </w:r>
      <w:r w:rsidR="00CE5D63" w:rsidRPr="00B170B6">
        <w:rPr>
          <w:iCs/>
        </w:rPr>
        <w:t xml:space="preserve"> for lenvatinib and trifluridine+tipiracil are based on published prices. </w:t>
      </w:r>
    </w:p>
    <w:p w:rsidR="007E671C" w:rsidRDefault="007E671C" w:rsidP="00053DB1">
      <w:pPr>
        <w:pStyle w:val="TableFooter"/>
        <w:spacing w:after="0"/>
        <w:rPr>
          <w:iCs/>
        </w:rPr>
      </w:pPr>
      <w:r w:rsidRPr="00B170B6">
        <w:rPr>
          <w:iCs/>
        </w:rPr>
        <w:t xml:space="preserve">FISH = fluorescence in situ hybridisation; IHC = immunohistochemistry; NGS = next generation sequencing; </w:t>
      </w:r>
      <w:r w:rsidRPr="00B170B6">
        <w:rPr>
          <w:i/>
        </w:rPr>
        <w:t>NTRK</w:t>
      </w:r>
      <w:r w:rsidRPr="00B170B6">
        <w:rPr>
          <w:iCs/>
        </w:rPr>
        <w:t xml:space="preserve"> = neurotrophic tropomyosin receptor kinase.</w:t>
      </w:r>
    </w:p>
    <w:p w:rsidR="002C1BF9" w:rsidRDefault="002C1BF9">
      <w:pPr>
        <w:pStyle w:val="TableFigureFooter"/>
        <w:spacing w:after="0"/>
        <w:contextualSpacing w:val="0"/>
        <w:rPr>
          <w:i/>
        </w:rPr>
      </w:pPr>
      <w:r w:rsidRPr="009868C4">
        <w:rPr>
          <w:i/>
        </w:rPr>
        <w:t>The redacted values correspond to the following ranges</w:t>
      </w:r>
      <w:r>
        <w:rPr>
          <w:i/>
        </w:rPr>
        <w:t xml:space="preserve">: </w:t>
      </w:r>
    </w:p>
    <w:p w:rsidR="002C1BF9" w:rsidRPr="00870C5D" w:rsidRDefault="002C1BF9" w:rsidP="002C1BF9">
      <w:pPr>
        <w:pStyle w:val="TableFigureFooter"/>
        <w:spacing w:after="0"/>
        <w:contextualSpacing w:val="0"/>
      </w:pPr>
      <w:r>
        <w:rPr>
          <w:i/>
          <w:vertAlign w:val="superscript"/>
        </w:rPr>
        <w:t>1</w:t>
      </w:r>
      <w:r>
        <w:rPr>
          <w:i/>
        </w:rPr>
        <w:t xml:space="preserve"> </w:t>
      </w:r>
      <w:r w:rsidRPr="002C1BF9">
        <w:rPr>
          <w:i/>
        </w:rPr>
        <w:t>&lt; 500</w:t>
      </w:r>
    </w:p>
    <w:p w:rsidR="002C1BF9" w:rsidRPr="00870C5D" w:rsidRDefault="002C1BF9" w:rsidP="002C1BF9">
      <w:pPr>
        <w:pStyle w:val="TableFigureFooter"/>
        <w:spacing w:after="0"/>
        <w:contextualSpacing w:val="0"/>
      </w:pPr>
      <w:r>
        <w:rPr>
          <w:i/>
          <w:vertAlign w:val="superscript"/>
        </w:rPr>
        <w:t>2</w:t>
      </w:r>
      <w:r>
        <w:rPr>
          <w:i/>
        </w:rPr>
        <w:t xml:space="preserve"> </w:t>
      </w:r>
      <w:r w:rsidRPr="002C1BF9">
        <w:rPr>
          <w:i/>
        </w:rPr>
        <w:t>500 to &lt; 5,000</w:t>
      </w:r>
    </w:p>
    <w:p w:rsidR="002C1BF9" w:rsidRPr="00870C5D" w:rsidRDefault="002C1BF9" w:rsidP="002C1BF9">
      <w:pPr>
        <w:pStyle w:val="TableFigureFooter"/>
        <w:spacing w:after="0"/>
        <w:contextualSpacing w:val="0"/>
      </w:pPr>
      <w:r>
        <w:rPr>
          <w:i/>
          <w:vertAlign w:val="superscript"/>
        </w:rPr>
        <w:t>3</w:t>
      </w:r>
      <w:r>
        <w:rPr>
          <w:i/>
        </w:rPr>
        <w:t xml:space="preserve"> </w:t>
      </w:r>
      <w:r w:rsidRPr="002C1BF9">
        <w:rPr>
          <w:i/>
        </w:rPr>
        <w:t>$0 to &lt; $10 million</w:t>
      </w:r>
    </w:p>
    <w:p w:rsidR="002C1BF9" w:rsidRPr="00870C5D" w:rsidRDefault="002C1BF9" w:rsidP="002C1BF9">
      <w:pPr>
        <w:pStyle w:val="TableFigureFooter"/>
        <w:spacing w:after="0"/>
        <w:contextualSpacing w:val="0"/>
      </w:pPr>
      <w:r>
        <w:rPr>
          <w:i/>
          <w:vertAlign w:val="superscript"/>
        </w:rPr>
        <w:t>4</w:t>
      </w:r>
      <w:r>
        <w:rPr>
          <w:i/>
        </w:rPr>
        <w:t xml:space="preserve"> </w:t>
      </w:r>
      <w:r w:rsidRPr="002C1BF9">
        <w:rPr>
          <w:i/>
        </w:rPr>
        <w:t>$10 million to &lt; $20 million</w:t>
      </w:r>
    </w:p>
    <w:p w:rsidR="002C1BF9" w:rsidRPr="00870C5D" w:rsidRDefault="002C1BF9" w:rsidP="002C1BF9">
      <w:pPr>
        <w:pStyle w:val="TableFigureFooter"/>
        <w:spacing w:after="0"/>
        <w:contextualSpacing w:val="0"/>
      </w:pPr>
      <w:r>
        <w:rPr>
          <w:i/>
          <w:vertAlign w:val="superscript"/>
        </w:rPr>
        <w:t>5</w:t>
      </w:r>
      <w:r>
        <w:rPr>
          <w:i/>
        </w:rPr>
        <w:t xml:space="preserve"> </w:t>
      </w:r>
      <w:r w:rsidRPr="002C1BF9">
        <w:rPr>
          <w:i/>
        </w:rPr>
        <w:t>$20 million to &lt; $30 million</w:t>
      </w:r>
    </w:p>
    <w:p w:rsidR="002C1BF9" w:rsidRPr="00870C5D" w:rsidRDefault="002C1BF9" w:rsidP="002C1BF9">
      <w:pPr>
        <w:pStyle w:val="TableFigureFooter"/>
        <w:spacing w:after="0"/>
        <w:contextualSpacing w:val="0"/>
      </w:pPr>
      <w:r>
        <w:rPr>
          <w:i/>
          <w:vertAlign w:val="superscript"/>
        </w:rPr>
        <w:t>6</w:t>
      </w:r>
      <w:r>
        <w:rPr>
          <w:i/>
        </w:rPr>
        <w:t xml:space="preserve"> </w:t>
      </w:r>
      <w:r w:rsidRPr="002C1BF9">
        <w:rPr>
          <w:i/>
        </w:rPr>
        <w:t>$30 million to &lt; $40 million</w:t>
      </w:r>
    </w:p>
    <w:p w:rsidR="002C1BF9" w:rsidRDefault="002C1BF9" w:rsidP="002C1BF9">
      <w:pPr>
        <w:pStyle w:val="TableFigureFooter"/>
        <w:spacing w:after="0"/>
        <w:contextualSpacing w:val="0"/>
        <w:rPr>
          <w:i/>
        </w:rPr>
      </w:pPr>
      <w:r>
        <w:rPr>
          <w:i/>
          <w:vertAlign w:val="superscript"/>
        </w:rPr>
        <w:t>7</w:t>
      </w:r>
      <w:r>
        <w:rPr>
          <w:i/>
        </w:rPr>
        <w:t xml:space="preserve"> </w:t>
      </w:r>
      <w:r w:rsidRPr="002C1BF9">
        <w:rPr>
          <w:i/>
        </w:rPr>
        <w:t>$40 million to &lt; $50 million</w:t>
      </w:r>
    </w:p>
    <w:p w:rsidR="008F2037" w:rsidRPr="00870C5D" w:rsidRDefault="008F2037" w:rsidP="008F2037">
      <w:pPr>
        <w:pStyle w:val="TableFigureFooter"/>
        <w:spacing w:after="0"/>
        <w:contextualSpacing w:val="0"/>
      </w:pPr>
      <w:r>
        <w:rPr>
          <w:i/>
          <w:vertAlign w:val="superscript"/>
        </w:rPr>
        <w:t>8</w:t>
      </w:r>
      <w:r>
        <w:rPr>
          <w:i/>
        </w:rPr>
        <w:t xml:space="preserve"> </w:t>
      </w:r>
      <w:r w:rsidRPr="008F2037">
        <w:rPr>
          <w:i/>
        </w:rPr>
        <w:t>5,000 to &lt; 10,000</w:t>
      </w:r>
    </w:p>
    <w:p w:rsidR="008F2037" w:rsidRPr="00870C5D" w:rsidRDefault="008F2037" w:rsidP="002C1BF9">
      <w:pPr>
        <w:pStyle w:val="TableFigureFooter"/>
        <w:spacing w:after="0"/>
        <w:contextualSpacing w:val="0"/>
      </w:pPr>
      <w:r>
        <w:rPr>
          <w:i/>
          <w:vertAlign w:val="superscript"/>
        </w:rPr>
        <w:t>9</w:t>
      </w:r>
      <w:r>
        <w:rPr>
          <w:i/>
        </w:rPr>
        <w:t xml:space="preserve"> </w:t>
      </w:r>
      <w:r w:rsidRPr="008F2037">
        <w:rPr>
          <w:i/>
        </w:rPr>
        <w:t>10,000 to &lt; 20,000</w:t>
      </w:r>
    </w:p>
    <w:p w:rsidR="002C1BF9" w:rsidRPr="00B170B6" w:rsidRDefault="002C1BF9" w:rsidP="00F1737B">
      <w:pPr>
        <w:pStyle w:val="TableFooter"/>
        <w:rPr>
          <w:iCs/>
        </w:rPr>
      </w:pPr>
    </w:p>
    <w:p w:rsidR="00ED1978" w:rsidRPr="000A3110" w:rsidRDefault="00ED1978" w:rsidP="00E8209E">
      <w:pPr>
        <w:pStyle w:val="ListParagraph"/>
        <w:rPr>
          <w:iCs/>
        </w:rPr>
      </w:pPr>
      <w:r w:rsidRPr="000A3110">
        <w:rPr>
          <w:iCs/>
        </w:rPr>
        <w:t>The net costs to the PBS were most sensitive to the duration of larotrectinib treatment, the size of the eligible population (including tumour types eligible for larotrectin</w:t>
      </w:r>
      <w:r w:rsidR="00D117CD">
        <w:rPr>
          <w:iCs/>
        </w:rPr>
        <w:t>i</w:t>
      </w:r>
      <w:r w:rsidRPr="000A3110">
        <w:rPr>
          <w:iCs/>
        </w:rPr>
        <w:t xml:space="preserve">b treatment) and the frequency of </w:t>
      </w:r>
      <w:r w:rsidRPr="000A3110">
        <w:rPr>
          <w:i/>
        </w:rPr>
        <w:t>NTRK</w:t>
      </w:r>
      <w:r w:rsidRPr="000A3110">
        <w:rPr>
          <w:iCs/>
        </w:rPr>
        <w:t xml:space="preserve"> fusions in the specified adult low frequency tumour types.</w:t>
      </w:r>
    </w:p>
    <w:p w:rsidR="00ED1978" w:rsidRPr="000A3110" w:rsidRDefault="00ED1978" w:rsidP="00ED1978">
      <w:pPr>
        <w:pStyle w:val="ListParagraph"/>
        <w:rPr>
          <w:iCs/>
          <w:color w:val="auto"/>
        </w:rPr>
      </w:pPr>
      <w:r w:rsidRPr="000A3110">
        <w:rPr>
          <w:iCs/>
        </w:rPr>
        <w:t xml:space="preserve">The net costs to the MBS were most sensitive to the incidence estimates applied, the tumour types included, </w:t>
      </w:r>
      <w:r w:rsidR="00F81E30" w:rsidRPr="000A3110">
        <w:rPr>
          <w:iCs/>
        </w:rPr>
        <w:t xml:space="preserve">the timing of </w:t>
      </w:r>
      <w:r w:rsidR="00F81E30" w:rsidRPr="000A3110">
        <w:rPr>
          <w:i/>
        </w:rPr>
        <w:t>NTRK</w:t>
      </w:r>
      <w:r w:rsidR="00F81E30" w:rsidRPr="000A3110">
        <w:rPr>
          <w:iCs/>
        </w:rPr>
        <w:t xml:space="preserve"> testing, </w:t>
      </w:r>
      <w:r w:rsidRPr="000A3110">
        <w:rPr>
          <w:iCs/>
        </w:rPr>
        <w:t xml:space="preserve">IHC </w:t>
      </w:r>
      <w:r w:rsidR="003D7DAE" w:rsidRPr="000A3110">
        <w:rPr>
          <w:iCs/>
        </w:rPr>
        <w:t>specificity and</w:t>
      </w:r>
      <w:r w:rsidRPr="000A3110">
        <w:rPr>
          <w:iCs/>
        </w:rPr>
        <w:t xml:space="preserve"> cost and the split of NGS and FISH testing</w:t>
      </w:r>
      <w:r w:rsidRPr="000A3110">
        <w:rPr>
          <w:iCs/>
          <w:color w:val="auto"/>
        </w:rPr>
        <w:t>.</w:t>
      </w:r>
    </w:p>
    <w:p w:rsidR="00FC30F3" w:rsidRPr="00962538" w:rsidRDefault="00FC30F3" w:rsidP="007E2F09">
      <w:pPr>
        <w:pStyle w:val="PBACESHeading2"/>
      </w:pPr>
      <w:bookmarkStart w:id="107" w:name="_Toc413139285"/>
      <w:bookmarkStart w:id="108" w:name="_Toc82597083"/>
      <w:r>
        <w:t>Quality use of m</w:t>
      </w:r>
      <w:r w:rsidRPr="00962538">
        <w:t>edicines</w:t>
      </w:r>
      <w:bookmarkEnd w:id="107"/>
      <w:r w:rsidR="001854A3">
        <w:t xml:space="preserve"> (QUM)</w:t>
      </w:r>
      <w:bookmarkEnd w:id="108"/>
    </w:p>
    <w:p w:rsidR="00CB0676" w:rsidRPr="00EE1619" w:rsidRDefault="001854A3" w:rsidP="00EE1619">
      <w:pPr>
        <w:pStyle w:val="ListParagraph"/>
        <w:rPr>
          <w:iCs/>
          <w:color w:val="auto"/>
        </w:rPr>
      </w:pPr>
      <w:r w:rsidRPr="000A3110">
        <w:rPr>
          <w:iCs/>
          <w:color w:val="auto"/>
        </w:rPr>
        <w:t xml:space="preserve">This has not changed </w:t>
      </w:r>
      <w:r w:rsidR="00874624" w:rsidRPr="000A3110">
        <w:rPr>
          <w:iCs/>
          <w:color w:val="auto"/>
        </w:rPr>
        <w:t>since</w:t>
      </w:r>
      <w:r w:rsidRPr="000A3110">
        <w:rPr>
          <w:iCs/>
          <w:color w:val="auto"/>
        </w:rPr>
        <w:t xml:space="preserve"> the previous submission</w:t>
      </w:r>
      <w:r w:rsidR="00874624" w:rsidRPr="000A3110">
        <w:rPr>
          <w:iCs/>
          <w:color w:val="auto"/>
        </w:rPr>
        <w:t xml:space="preserve"> (paragraphs 6.95 and 6.96, larotrectinib PSD, November 2020)</w:t>
      </w:r>
      <w:r w:rsidRPr="000A3110">
        <w:rPr>
          <w:iCs/>
          <w:color w:val="auto"/>
        </w:rPr>
        <w:t>.</w:t>
      </w:r>
      <w:r w:rsidR="00EE1619">
        <w:rPr>
          <w:iCs/>
          <w:color w:val="auto"/>
        </w:rPr>
        <w:t xml:space="preserve"> </w:t>
      </w:r>
      <w:r w:rsidRPr="00EE1619">
        <w:rPr>
          <w:iCs/>
          <w:color w:val="auto"/>
        </w:rPr>
        <w:t>A QUM issue will arise should larotrectinib be prescribed or be made available for a treatment line where it may substitute for more effective available therapies.</w:t>
      </w:r>
      <w:r w:rsidR="00EE1619">
        <w:rPr>
          <w:iCs/>
          <w:color w:val="auto"/>
        </w:rPr>
        <w:t xml:space="preserve"> </w:t>
      </w:r>
      <w:r w:rsidRPr="00EE1619">
        <w:rPr>
          <w:iCs/>
          <w:color w:val="auto"/>
        </w:rPr>
        <w:t>Previously, DUSC considered that risk of use outside the restriction was low, especially if a pathology report is required as part of the written authority application.</w:t>
      </w:r>
    </w:p>
    <w:p w:rsidR="00C317F3" w:rsidRPr="00962538" w:rsidRDefault="00070D75" w:rsidP="007E2F09">
      <w:pPr>
        <w:pStyle w:val="PBACESHeading2"/>
      </w:pPr>
      <w:bookmarkStart w:id="109" w:name="_Toc82597084"/>
      <w:r>
        <w:t>Financial management – risk sharing a</w:t>
      </w:r>
      <w:r w:rsidR="00C317F3" w:rsidRPr="00962538">
        <w:t>rrangements</w:t>
      </w:r>
      <w:bookmarkEnd w:id="77"/>
      <w:bookmarkEnd w:id="109"/>
    </w:p>
    <w:p w:rsidR="00C317F3" w:rsidRDefault="00361EA9" w:rsidP="0076446C">
      <w:pPr>
        <w:pStyle w:val="ListParagraph"/>
        <w:rPr>
          <w:color w:val="auto"/>
        </w:rPr>
      </w:pPr>
      <w:r>
        <w:rPr>
          <w:color w:val="auto"/>
        </w:rPr>
        <w:t>The</w:t>
      </w:r>
      <w:r w:rsidR="00982737">
        <w:rPr>
          <w:color w:val="auto"/>
        </w:rPr>
        <w:t xml:space="preserve"> previous submission’s individual </w:t>
      </w:r>
      <w:r>
        <w:rPr>
          <w:color w:val="auto"/>
        </w:rPr>
        <w:t>utilisation-based risk share arrangement</w:t>
      </w:r>
      <w:r w:rsidR="00982737">
        <w:rPr>
          <w:color w:val="auto"/>
        </w:rPr>
        <w:t xml:space="preserve">, </w:t>
      </w:r>
      <w:r w:rsidR="00982737" w:rsidRPr="00982737">
        <w:rPr>
          <w:color w:val="auto"/>
        </w:rPr>
        <w:t>consisting of a duration-based cap and rebate</w:t>
      </w:r>
      <w:r w:rsidR="00982737">
        <w:rPr>
          <w:color w:val="auto"/>
        </w:rPr>
        <w:t>,</w:t>
      </w:r>
      <w:r w:rsidR="00982737" w:rsidRPr="00982737">
        <w:rPr>
          <w:color w:val="auto"/>
        </w:rPr>
        <w:t xml:space="preserve"> </w:t>
      </w:r>
      <w:r>
        <w:rPr>
          <w:color w:val="auto"/>
        </w:rPr>
        <w:t>was removed from the current submission on</w:t>
      </w:r>
      <w:r w:rsidR="00FE444B">
        <w:rPr>
          <w:color w:val="auto"/>
        </w:rPr>
        <w:t xml:space="preserve"> the basis of</w:t>
      </w:r>
      <w:r>
        <w:rPr>
          <w:color w:val="auto"/>
        </w:rPr>
        <w:t xml:space="preserve"> PBAC advice (para</w:t>
      </w:r>
      <w:r w:rsidR="00097C90">
        <w:rPr>
          <w:color w:val="auto"/>
        </w:rPr>
        <w:t>graphs</w:t>
      </w:r>
      <w:r>
        <w:rPr>
          <w:color w:val="auto"/>
        </w:rPr>
        <w:t xml:space="preserve"> 7.20, 5.08 larotrectinib PSD, November 2020). </w:t>
      </w:r>
      <w:r w:rsidRPr="00447ECA">
        <w:rPr>
          <w:color w:val="auto"/>
        </w:rPr>
        <w:t>This is appropriate</w:t>
      </w:r>
      <w:r>
        <w:rPr>
          <w:i/>
          <w:color w:val="auto"/>
        </w:rPr>
        <w:t>.</w:t>
      </w:r>
      <w:r>
        <w:rPr>
          <w:color w:val="auto"/>
        </w:rPr>
        <w:t xml:space="preserve"> No alternate </w:t>
      </w:r>
      <w:r w:rsidRPr="00517DA5">
        <w:rPr>
          <w:color w:val="auto"/>
        </w:rPr>
        <w:t xml:space="preserve">risk sharing arrangements </w:t>
      </w:r>
      <w:r>
        <w:rPr>
          <w:color w:val="auto"/>
        </w:rPr>
        <w:t>we</w:t>
      </w:r>
      <w:r w:rsidRPr="00517DA5">
        <w:rPr>
          <w:color w:val="auto"/>
        </w:rPr>
        <w:t>re proposed</w:t>
      </w:r>
      <w:r>
        <w:rPr>
          <w:color w:val="auto"/>
        </w:rPr>
        <w:t>.</w:t>
      </w:r>
    </w:p>
    <w:p w:rsidR="00D117CD" w:rsidRPr="00D117CD" w:rsidRDefault="00D117CD" w:rsidP="00D117CD">
      <w:pPr>
        <w:ind w:firstLine="720"/>
        <w:rPr>
          <w:i/>
          <w:iCs/>
        </w:rPr>
      </w:pPr>
      <w:r w:rsidRPr="00D117CD">
        <w:rPr>
          <w:i/>
          <w:iCs/>
        </w:rPr>
        <w:t>For more detail on PBAC’s decision, see section 7 PBAC outcome</w:t>
      </w:r>
      <w:r>
        <w:rPr>
          <w:i/>
          <w:iCs/>
        </w:rPr>
        <w:t>.</w:t>
      </w:r>
    </w:p>
    <w:p w:rsidR="003E669D" w:rsidRDefault="003E669D" w:rsidP="003E669D">
      <w:pPr>
        <w:pStyle w:val="PBACESHeading1"/>
        <w:rPr>
          <w:rFonts w:asciiTheme="minorHAnsi" w:hAnsiTheme="minorHAnsi" w:cstheme="minorHAnsi"/>
          <w:sz w:val="32"/>
          <w:szCs w:val="40"/>
        </w:rPr>
      </w:pPr>
      <w:r>
        <w:rPr>
          <w:rFonts w:asciiTheme="minorHAnsi" w:hAnsiTheme="minorHAnsi" w:cstheme="minorHAnsi"/>
          <w:sz w:val="32"/>
          <w:szCs w:val="40"/>
        </w:rPr>
        <w:t xml:space="preserve">PBAC Outcome </w:t>
      </w:r>
    </w:p>
    <w:p w:rsidR="002461CC" w:rsidRPr="00846C69" w:rsidRDefault="00D117CD" w:rsidP="00846C69">
      <w:pPr>
        <w:rPr>
          <w:u w:val="single"/>
        </w:rPr>
      </w:pPr>
      <w:bookmarkStart w:id="110" w:name="_Hlk90026780"/>
      <w:r>
        <w:rPr>
          <w:u w:val="single"/>
        </w:rPr>
        <w:t>P</w:t>
      </w:r>
      <w:r w:rsidRPr="00846C69">
        <w:rPr>
          <w:u w:val="single"/>
        </w:rPr>
        <w:t>aediatric</w:t>
      </w:r>
      <w:r w:rsidR="002461CC" w:rsidRPr="00846C69">
        <w:rPr>
          <w:u w:val="single"/>
        </w:rPr>
        <w:t xml:space="preserve"> </w:t>
      </w:r>
      <w:r w:rsidR="002461CC" w:rsidRPr="00B56D9D">
        <w:rPr>
          <w:i/>
          <w:iCs/>
          <w:u w:val="single"/>
        </w:rPr>
        <w:t>NTRK</w:t>
      </w:r>
      <w:r w:rsidR="002461CC" w:rsidRPr="00846C69">
        <w:rPr>
          <w:u w:val="single"/>
        </w:rPr>
        <w:t xml:space="preserve"> fusion population</w:t>
      </w:r>
      <w:r w:rsidR="00FD3A6F">
        <w:rPr>
          <w:u w:val="single"/>
        </w:rPr>
        <w:t xml:space="preserve"> and</w:t>
      </w:r>
      <w:r w:rsidR="00FD3A6F" w:rsidRPr="00FD3A6F">
        <w:rPr>
          <w:u w:val="single"/>
        </w:rPr>
        <w:t xml:space="preserve"> </w:t>
      </w:r>
      <w:r w:rsidR="00FD3A6F">
        <w:rPr>
          <w:u w:val="single"/>
        </w:rPr>
        <w:t>a</w:t>
      </w:r>
      <w:r w:rsidR="00FD3A6F" w:rsidRPr="00846C69">
        <w:rPr>
          <w:u w:val="single"/>
        </w:rPr>
        <w:t>d</w:t>
      </w:r>
      <w:r w:rsidR="00FC588F">
        <w:rPr>
          <w:u w:val="single"/>
        </w:rPr>
        <w:t xml:space="preserve">ult high frequency </w:t>
      </w:r>
      <w:r w:rsidR="00FC588F" w:rsidRPr="00B56D9D">
        <w:rPr>
          <w:i/>
          <w:iCs/>
          <w:u w:val="single"/>
        </w:rPr>
        <w:t>NTRK</w:t>
      </w:r>
      <w:r w:rsidR="00FC588F">
        <w:rPr>
          <w:u w:val="single"/>
        </w:rPr>
        <w:t xml:space="preserve"> fusion</w:t>
      </w:r>
      <w:r w:rsidR="00B56D9D">
        <w:rPr>
          <w:u w:val="single"/>
        </w:rPr>
        <w:t xml:space="preserve"> population</w:t>
      </w:r>
      <w:bookmarkEnd w:id="110"/>
    </w:p>
    <w:p w:rsidR="0039473C" w:rsidRDefault="00436E3A" w:rsidP="0039473C">
      <w:pPr>
        <w:pStyle w:val="ListParagraph"/>
      </w:pPr>
      <w:bookmarkStart w:id="111" w:name="_Hlk89351164"/>
      <w:r w:rsidRPr="00436E3A">
        <w:t xml:space="preserve">The PBAC deferred </w:t>
      </w:r>
      <w:r>
        <w:t xml:space="preserve">making its decision on whether to recommend the listing of larotrectinib for </w:t>
      </w:r>
      <w:bookmarkStart w:id="112" w:name="_Hlk89351780"/>
      <w:r>
        <w:t xml:space="preserve">the treatment of </w:t>
      </w:r>
      <w:bookmarkStart w:id="113" w:name="_Hlk89342465"/>
      <w:r>
        <w:t xml:space="preserve">patients </w:t>
      </w:r>
      <w:r w:rsidR="0039473C">
        <w:t>with</w:t>
      </w:r>
      <w:r w:rsidR="00784B79">
        <w:t xml:space="preserve"> </w:t>
      </w:r>
      <w:r w:rsidR="0039473C">
        <w:t>tropomyosin receptor kinase (</w:t>
      </w:r>
      <w:r w:rsidR="0039473C" w:rsidRPr="00AD3BF1">
        <w:rPr>
          <w:i/>
          <w:iCs/>
        </w:rPr>
        <w:t>NTRK</w:t>
      </w:r>
      <w:r w:rsidR="0039473C">
        <w:t>)</w:t>
      </w:r>
      <w:r w:rsidR="00784B79">
        <w:t xml:space="preserve"> fusion tumours</w:t>
      </w:r>
      <w:r w:rsidR="0039473C">
        <w:t xml:space="preserve"> </w:t>
      </w:r>
      <w:bookmarkEnd w:id="113"/>
      <w:r w:rsidR="00131752" w:rsidRPr="00131752">
        <w:t>that are either unresectable locally advanced, metastatic, or locally advanced and would otherwise require disfiguring surgery or limb amputation to achieve a complete surgical resection.</w:t>
      </w:r>
      <w:bookmarkEnd w:id="112"/>
      <w:r w:rsidR="00131752" w:rsidRPr="00131752">
        <w:t xml:space="preserve"> </w:t>
      </w:r>
      <w:r w:rsidR="00131752" w:rsidRPr="00436E3A">
        <w:t xml:space="preserve">The PBAC was of a mind to recommend the listing for </w:t>
      </w:r>
      <w:r w:rsidR="003E1946">
        <w:t xml:space="preserve">paediatric patients with </w:t>
      </w:r>
      <w:r w:rsidR="003E1946" w:rsidRPr="003E1946">
        <w:rPr>
          <w:i/>
          <w:iCs/>
        </w:rPr>
        <w:t>NTRK</w:t>
      </w:r>
      <w:r w:rsidR="003E1946">
        <w:t xml:space="preserve"> fusion tumours and adult patients with high frequency </w:t>
      </w:r>
      <w:r w:rsidR="003E1946" w:rsidRPr="003E1946">
        <w:rPr>
          <w:i/>
          <w:iCs/>
        </w:rPr>
        <w:t>NTRK</w:t>
      </w:r>
      <w:r w:rsidR="003E1946">
        <w:t xml:space="preserve"> fusion tumours</w:t>
      </w:r>
      <w:r w:rsidR="00131752" w:rsidRPr="00436E3A">
        <w:t xml:space="preserve"> </w:t>
      </w:r>
      <w:r w:rsidR="004D770D">
        <w:t>(</w:t>
      </w:r>
      <w:r w:rsidR="004D770D" w:rsidRPr="003506F9">
        <w:t xml:space="preserve">MASC </w:t>
      </w:r>
      <w:r w:rsidR="004D770D">
        <w:t>and</w:t>
      </w:r>
      <w:r w:rsidR="004D770D" w:rsidRPr="003506F9">
        <w:t xml:space="preserve"> </w:t>
      </w:r>
      <w:r w:rsidR="004D770D">
        <w:t xml:space="preserve">secretory breast carcinoma) </w:t>
      </w:r>
      <w:r w:rsidR="00131752" w:rsidRPr="00436E3A">
        <w:t xml:space="preserve">on the basis that the incremental cost-effectiveness ratio (ICER) was acceptable at the proposed price, pending MSAC advice on the funding of the codependent </w:t>
      </w:r>
      <w:r w:rsidR="00131752" w:rsidRPr="003A63F2">
        <w:rPr>
          <w:i/>
          <w:iCs/>
        </w:rPr>
        <w:t>NTRK</w:t>
      </w:r>
      <w:r w:rsidR="00131752" w:rsidRPr="00436E3A">
        <w:t xml:space="preserve"> testing.</w:t>
      </w:r>
    </w:p>
    <w:bookmarkEnd w:id="111"/>
    <w:p w:rsidR="003A63F2" w:rsidRDefault="00724BD8" w:rsidP="0039473C">
      <w:pPr>
        <w:pStyle w:val="ListParagraph"/>
      </w:pPr>
      <w:r>
        <w:t xml:space="preserve">The PBAC noted the input from health care professionals which highlighted the need for treatment options particularly for paediatric cancer patients. </w:t>
      </w:r>
      <w:r w:rsidR="003A63F2">
        <w:t>The PBAC reiterated there was a</w:t>
      </w:r>
      <w:r w:rsidR="003A63F2" w:rsidRPr="003A63F2">
        <w:t xml:space="preserve"> clinical need for effective therapies for patients with</w:t>
      </w:r>
      <w:r w:rsidR="003A63F2">
        <w:t xml:space="preserve"> rare cancer</w:t>
      </w:r>
      <w:r w:rsidR="00F16873">
        <w:t>s harbouring</w:t>
      </w:r>
      <w:r w:rsidR="003A63F2" w:rsidRPr="003A63F2">
        <w:t xml:space="preserve"> </w:t>
      </w:r>
      <w:r w:rsidR="003A63F2" w:rsidRPr="00F16873">
        <w:rPr>
          <w:i/>
          <w:iCs/>
        </w:rPr>
        <w:t>NTRK</w:t>
      </w:r>
      <w:r w:rsidR="003A63F2" w:rsidRPr="003A63F2">
        <w:t xml:space="preserve"> fusio</w:t>
      </w:r>
      <w:r w:rsidR="00F16873">
        <w:t>ns</w:t>
      </w:r>
      <w:r w:rsidR="003A63F2" w:rsidRPr="003A63F2">
        <w:t>, for which there are few effective standard of care treatments. The PBAC</w:t>
      </w:r>
      <w:r w:rsidR="007C015A">
        <w:t xml:space="preserve"> noted </w:t>
      </w:r>
      <w:r w:rsidR="003A63F2" w:rsidRPr="003A63F2">
        <w:t>the majority of tumour</w:t>
      </w:r>
      <w:r w:rsidR="00891090">
        <w:t xml:space="preserve"> type</w:t>
      </w:r>
      <w:r w:rsidR="003A63F2" w:rsidRPr="003A63F2">
        <w:t xml:space="preserve">s in </w:t>
      </w:r>
      <w:r w:rsidR="007C015A">
        <w:t xml:space="preserve">paediatric patients </w:t>
      </w:r>
      <w:r w:rsidR="003A63F2" w:rsidRPr="003A63F2">
        <w:t xml:space="preserve">and </w:t>
      </w:r>
      <w:r w:rsidR="007C015A">
        <w:t>the tumour types specified</w:t>
      </w:r>
      <w:r w:rsidR="003E5F9E">
        <w:t xml:space="preserve"> for the adult high frequency sub</w:t>
      </w:r>
      <w:r w:rsidR="00B97D08">
        <w:t>group</w:t>
      </w:r>
      <w:r w:rsidR="003E5F9E">
        <w:t xml:space="preserve"> (</w:t>
      </w:r>
      <w:r w:rsidR="004D770D">
        <w:t>MASC</w:t>
      </w:r>
      <w:r w:rsidR="003E5F9E">
        <w:t xml:space="preserve"> and secretory breast carcinoma)</w:t>
      </w:r>
      <w:r w:rsidR="007C015A">
        <w:t xml:space="preserve"> </w:t>
      </w:r>
      <w:r w:rsidR="003E5F9E">
        <w:t xml:space="preserve">are </w:t>
      </w:r>
      <w:r w:rsidR="003A63F2" w:rsidRPr="003A63F2">
        <w:t>rare cancers.</w:t>
      </w:r>
    </w:p>
    <w:p w:rsidR="00F82E7E" w:rsidRDefault="00F82E7E" w:rsidP="0039473C">
      <w:pPr>
        <w:pStyle w:val="ListParagraph"/>
      </w:pPr>
      <w:r>
        <w:t xml:space="preserve">The PBAC noted that </w:t>
      </w:r>
      <w:r w:rsidR="00E83CD9">
        <w:t xml:space="preserve">salivary gland cancer which was specified for the adult high frequency </w:t>
      </w:r>
      <w:r w:rsidR="00E83CD9" w:rsidRPr="000B1C7F">
        <w:rPr>
          <w:i/>
          <w:iCs/>
        </w:rPr>
        <w:t>NTRK</w:t>
      </w:r>
      <w:r w:rsidR="00E83CD9">
        <w:t xml:space="preserve"> fusion population</w:t>
      </w:r>
      <w:r w:rsidR="005E57F7">
        <w:t>,</w:t>
      </w:r>
      <w:r w:rsidR="00E83CD9">
        <w:t xml:space="preserve"> was broader than MASC </w:t>
      </w:r>
      <w:r w:rsidR="000B1C7F" w:rsidRPr="000B1C7F">
        <w:t xml:space="preserve">specified in the </w:t>
      </w:r>
      <w:r w:rsidR="000B1C7F">
        <w:t xml:space="preserve">proposed </w:t>
      </w:r>
      <w:r w:rsidR="000B1C7F" w:rsidRPr="000B1C7F">
        <w:t>MBS item descriptor</w:t>
      </w:r>
      <w:r w:rsidR="000B1C7F">
        <w:t xml:space="preserve">. The PBAC considered it would appropriate for MASC to be specified for the adult high frequency </w:t>
      </w:r>
      <w:r w:rsidR="000B1C7F" w:rsidRPr="000B1C7F">
        <w:rPr>
          <w:i/>
          <w:iCs/>
        </w:rPr>
        <w:t>NTRK</w:t>
      </w:r>
      <w:r w:rsidR="000B1C7F">
        <w:t xml:space="preserve"> fusion population instead of salivary gland cancer to align the PBS restriction with MBS item descriptor and noting </w:t>
      </w:r>
      <w:r w:rsidR="00223F22" w:rsidRPr="00223F22">
        <w:t xml:space="preserve">the frequency of </w:t>
      </w:r>
      <w:r w:rsidR="00223F22" w:rsidRPr="00223F22">
        <w:rPr>
          <w:i/>
          <w:iCs/>
        </w:rPr>
        <w:t>NTRK</w:t>
      </w:r>
      <w:r w:rsidR="00223F22" w:rsidRPr="00223F22">
        <w:t xml:space="preserve"> fusions in non-MASC salivary gland tumours is low</w:t>
      </w:r>
      <w:r w:rsidR="00223F22">
        <w:t>.</w:t>
      </w:r>
    </w:p>
    <w:p w:rsidR="005A7B65" w:rsidRDefault="00547027" w:rsidP="003D7175">
      <w:pPr>
        <w:pStyle w:val="ListParagraph"/>
      </w:pPr>
      <w:r>
        <w:t xml:space="preserve">The PBAC noted there remained insufficient </w:t>
      </w:r>
      <w:r w:rsidR="005171D2">
        <w:t xml:space="preserve">evidence of a treatment benefit for patients </w:t>
      </w:r>
      <w:r w:rsidR="00FD3A6F">
        <w:t xml:space="preserve">continuing to </w:t>
      </w:r>
      <w:r w:rsidR="005171D2">
        <w:t>receiv</w:t>
      </w:r>
      <w:r w:rsidR="00FD3A6F">
        <w:t>e</w:t>
      </w:r>
      <w:r w:rsidR="005171D2">
        <w:t xml:space="preserve"> larotrectinib following disease progression. The PBAC </w:t>
      </w:r>
      <w:r w:rsidR="00BF6648">
        <w:t>considered</w:t>
      </w:r>
      <w:r w:rsidR="00A30D99">
        <w:t xml:space="preserve"> </w:t>
      </w:r>
      <w:r w:rsidR="002E7F83">
        <w:t xml:space="preserve">that </w:t>
      </w:r>
      <w:r w:rsidR="001464F7">
        <w:t xml:space="preserve">including a criterion in the continuation restriction which limits treatment to patients who have not had radiographic progression </w:t>
      </w:r>
      <w:r w:rsidR="005171D2">
        <w:t xml:space="preserve">would reduce the risk of use beyond progression. </w:t>
      </w:r>
    </w:p>
    <w:p w:rsidR="00A51CB4" w:rsidRDefault="00A51CB4" w:rsidP="0039473C">
      <w:pPr>
        <w:pStyle w:val="ListParagraph"/>
      </w:pPr>
      <w:r>
        <w:t xml:space="preserve">The PBAC recalled its previous advice </w:t>
      </w:r>
      <w:r w:rsidRPr="00A51CB4">
        <w:t xml:space="preserve">that specifying the names of the </w:t>
      </w:r>
      <w:r w:rsidR="00A30D99">
        <w:t xml:space="preserve">eligible </w:t>
      </w:r>
      <w:r w:rsidRPr="00A51CB4">
        <w:t xml:space="preserve">tumour types in the </w:t>
      </w:r>
      <w:r w:rsidR="00A30D99">
        <w:t xml:space="preserve">PBS restrictions </w:t>
      </w:r>
      <w:r w:rsidRPr="00A51CB4">
        <w:t>may reduce the risk of use beyond the intended populations.</w:t>
      </w:r>
      <w:r>
        <w:t xml:space="preserve"> The PBAC noted t</w:t>
      </w:r>
      <w:r w:rsidR="00E22CF5">
        <w:t xml:space="preserve">hat the resubmission specified tumour types for the adult subgroups only. The PBAC considered </w:t>
      </w:r>
      <w:r w:rsidR="00346F90">
        <w:t xml:space="preserve">that not specifying the tumour types for the paediatric subgroups was appropriate noting </w:t>
      </w:r>
      <w:r w:rsidR="00A30D99">
        <w:t xml:space="preserve">the high clinical need and </w:t>
      </w:r>
      <w:r w:rsidR="00097056">
        <w:t xml:space="preserve">relatively </w:t>
      </w:r>
      <w:r w:rsidR="00A30D99">
        <w:t xml:space="preserve">low </w:t>
      </w:r>
      <w:r w:rsidR="004D770D">
        <w:t>prevalence of</w:t>
      </w:r>
      <w:r w:rsidR="00A30D99">
        <w:t xml:space="preserve"> </w:t>
      </w:r>
      <w:r w:rsidR="00346F90">
        <w:t>paediatric cancer patients.</w:t>
      </w:r>
    </w:p>
    <w:p w:rsidR="005F0E54" w:rsidRPr="005F0E54" w:rsidRDefault="005F0E54" w:rsidP="005F0E54">
      <w:pPr>
        <w:pStyle w:val="ListParagraph"/>
      </w:pPr>
      <w:r>
        <w:t xml:space="preserve">The PBAC recalled </w:t>
      </w:r>
      <w:r w:rsidRPr="005F0E54">
        <w:t>that</w:t>
      </w:r>
      <w:r w:rsidR="00A30D99">
        <w:t>,</w:t>
      </w:r>
      <w:r w:rsidRPr="005F0E54">
        <w:t xml:space="preserve"> in its </w:t>
      </w:r>
      <w:r>
        <w:t>November</w:t>
      </w:r>
      <w:r w:rsidRPr="005F0E54">
        <w:t xml:space="preserve"> 202</w:t>
      </w:r>
      <w:r>
        <w:t>0</w:t>
      </w:r>
      <w:r w:rsidRPr="005F0E54">
        <w:t xml:space="preserve"> consideration of </w:t>
      </w:r>
      <w:r>
        <w:t>larotrectinib,</w:t>
      </w:r>
      <w:r w:rsidRPr="005F0E54">
        <w:t xml:space="preserve"> it had considered the claim of superior effectiveness compared </w:t>
      </w:r>
      <w:r>
        <w:t>to</w:t>
      </w:r>
      <w:r w:rsidR="00270917">
        <w:t xml:space="preserve"> Standard of Care</w:t>
      </w:r>
      <w:r>
        <w:t xml:space="preserve"> </w:t>
      </w:r>
      <w:r w:rsidR="00270917">
        <w:t>(</w:t>
      </w:r>
      <w:r>
        <w:t>SoC</w:t>
      </w:r>
      <w:r w:rsidR="00270917">
        <w:t>)</w:t>
      </w:r>
      <w:r w:rsidRPr="005F0E54">
        <w:t xml:space="preserve"> was </w:t>
      </w:r>
      <w:r w:rsidR="00397E1D">
        <w:t xml:space="preserve">acceptable for the high frequency adult and paediatric </w:t>
      </w:r>
      <w:r w:rsidR="00744D53">
        <w:t>populations</w:t>
      </w:r>
      <w:r w:rsidR="00174A2D">
        <w:t xml:space="preserve"> but not sufficiently supported for the low frequency paediatric population.</w:t>
      </w:r>
      <w:r w:rsidR="00174A2D" w:rsidRPr="00174A2D">
        <w:t xml:space="preserve"> </w:t>
      </w:r>
    </w:p>
    <w:p w:rsidR="006C634C" w:rsidRDefault="00904686" w:rsidP="0039473C">
      <w:pPr>
        <w:pStyle w:val="ListParagraph"/>
      </w:pPr>
      <w:r>
        <w:t xml:space="preserve">The PBAC noted the resubmission was based </w:t>
      </w:r>
      <w:r w:rsidR="00EE361F">
        <w:t>on a naïve indirect comparison</w:t>
      </w:r>
      <w:r w:rsidR="00CF123B">
        <w:t xml:space="preserve"> between</w:t>
      </w:r>
      <w:r w:rsidR="00EE361F">
        <w:t xml:space="preserve"> updated pooled efficacy data (July 2020 </w:t>
      </w:r>
      <w:r w:rsidR="00DA2798">
        <w:t xml:space="preserve">data </w:t>
      </w:r>
      <w:r w:rsidR="00D117CD">
        <w:t>cut-off</w:t>
      </w:r>
      <w:r w:rsidR="00EE361F">
        <w:t xml:space="preserve">) </w:t>
      </w:r>
      <w:r w:rsidR="00CF123B" w:rsidRPr="00CF123B">
        <w:t xml:space="preserve">from the same single-arm larotrectinib studies </w:t>
      </w:r>
      <w:r w:rsidR="0087057B">
        <w:t xml:space="preserve">as </w:t>
      </w:r>
      <w:r w:rsidR="00CF123B" w:rsidRPr="00CF123B">
        <w:t>in the previous submission (LOXO-001, NAVIGATE, and SCOUT) and SoC data from historical single-arm studies.</w:t>
      </w:r>
      <w:r w:rsidR="00CF123B">
        <w:t xml:space="preserve"> The PBAC noted that</w:t>
      </w:r>
      <w:r w:rsidR="00D6017C">
        <w:t>,</w:t>
      </w:r>
      <w:r w:rsidR="00CF123B">
        <w:t xml:space="preserve"> compared to the previous July 2019 </w:t>
      </w:r>
      <w:r w:rsidR="00DA2798">
        <w:t xml:space="preserve">data </w:t>
      </w:r>
      <w:r w:rsidR="00D117CD">
        <w:t>cut-off</w:t>
      </w:r>
      <w:r w:rsidR="00D6017C">
        <w:t>,</w:t>
      </w:r>
      <w:r w:rsidR="00CF123B">
        <w:t xml:space="preserve"> there was an additional 52 patients and median follow-up for OS increased to 24 months from 15.8 months.</w:t>
      </w:r>
      <w:r w:rsidR="003E74D1">
        <w:t xml:space="preserve"> The PBAC noted that</w:t>
      </w:r>
      <w:r w:rsidR="00D6017C">
        <w:t>,</w:t>
      </w:r>
      <w:r w:rsidR="003E74D1">
        <w:t xml:space="preserve"> as per the previous submission, the updated</w:t>
      </w:r>
      <w:r w:rsidR="009C59C9">
        <w:t xml:space="preserve"> </w:t>
      </w:r>
      <w:r w:rsidR="003E74D1">
        <w:t xml:space="preserve">evidence was indicative of a larger treatment effect in patients with high frequency </w:t>
      </w:r>
      <w:r w:rsidR="003E74D1" w:rsidRPr="003E74D1">
        <w:rPr>
          <w:i/>
          <w:iCs/>
        </w:rPr>
        <w:t>NTRK</w:t>
      </w:r>
      <w:r w:rsidR="003E74D1">
        <w:t xml:space="preserve"> fusion tumours compared to those with low frequency </w:t>
      </w:r>
      <w:r w:rsidR="003E74D1" w:rsidRPr="003E74D1">
        <w:rPr>
          <w:i/>
          <w:iCs/>
        </w:rPr>
        <w:t>NTRK</w:t>
      </w:r>
      <w:r w:rsidR="003E74D1">
        <w:t xml:space="preserve"> fusion tumours. However, the PBAC noted that</w:t>
      </w:r>
      <w:r w:rsidR="00334C21">
        <w:t xml:space="preserve"> the number of patients across the studies remained small and</w:t>
      </w:r>
      <w:r w:rsidR="003E74D1">
        <w:t xml:space="preserve"> the updated data </w:t>
      </w:r>
      <w:r w:rsidR="009C59C9">
        <w:t xml:space="preserve">remained immature with median OS not being reached for all tumour types combined. </w:t>
      </w:r>
    </w:p>
    <w:p w:rsidR="002B19AB" w:rsidRDefault="002B19AB" w:rsidP="00A27674">
      <w:pPr>
        <w:pStyle w:val="ListParagraph"/>
      </w:pPr>
      <w:r>
        <w:t>The PBAC noted that</w:t>
      </w:r>
      <w:r w:rsidRPr="002B19AB">
        <w:t xml:space="preserve"> an informative comparison of safety between larotrectinib and </w:t>
      </w:r>
      <w:r>
        <w:t>SoC</w:t>
      </w:r>
      <w:r w:rsidRPr="002B19AB">
        <w:t xml:space="preserve"> was not feasible given the limited data.</w:t>
      </w:r>
      <w:r w:rsidR="006D7D44">
        <w:t xml:space="preserve"> The PBAC noted there may be an increased risk of neurodevelopment impairment for paediatric patients the longer patients remain on treatment. </w:t>
      </w:r>
      <w:r>
        <w:t>The PBAC maintained that</w:t>
      </w:r>
      <w:r w:rsidR="00D6017C">
        <w:t>,</w:t>
      </w:r>
      <w:r>
        <w:t xml:space="preserve"> overall, </w:t>
      </w:r>
      <w:r w:rsidR="00A27674">
        <w:t>the available data indicated a manageable safety profile for larotrectinib, although there were insufficient data to assess the long-term safety of larotrectinib.</w:t>
      </w:r>
    </w:p>
    <w:p w:rsidR="0038405E" w:rsidRDefault="003C46F8" w:rsidP="00A82A0C">
      <w:pPr>
        <w:pStyle w:val="ListParagraph"/>
      </w:pPr>
      <w:r>
        <w:t xml:space="preserve">The PBAC recalled that, in November 2020, it advised that the </w:t>
      </w:r>
      <w:r w:rsidRPr="009502F7">
        <w:t>price reduction</w:t>
      </w:r>
      <w:r>
        <w:t xml:space="preserve"> </w:t>
      </w:r>
      <w:r w:rsidRPr="009502F7">
        <w:t>should be of a magnitude sufficient to achieve an ICER within the range of $70,000/QALY to $80,000/QALY</w:t>
      </w:r>
      <w:r>
        <w:t xml:space="preserve">. The PBAC further recalled it previously advised that to determine the magnitude of the price reduction required, adjustments to the economic analysis including i) </w:t>
      </w:r>
      <w:r w:rsidRPr="00CB51DE">
        <w:t xml:space="preserve">the most conservative OS and PFS extrapolations; ii) an </w:t>
      </w:r>
      <w:r w:rsidRPr="00A82A0C">
        <w:rPr>
          <w:i/>
          <w:iCs/>
        </w:rPr>
        <w:t>NTRK</w:t>
      </w:r>
      <w:r w:rsidRPr="00CB51DE">
        <w:t xml:space="preserve"> fusion frequency of 0.68% for paediatric STS</w:t>
      </w:r>
      <w:r>
        <w:t>;</w:t>
      </w:r>
      <w:r w:rsidRPr="00CB51DE">
        <w:t xml:space="preserve"> and iii) exclusion of the RSA rebate</w:t>
      </w:r>
      <w:r>
        <w:t>, should be applied</w:t>
      </w:r>
      <w:r w:rsidRPr="00CB51DE">
        <w:t xml:space="preserve"> </w:t>
      </w:r>
      <w:r>
        <w:t xml:space="preserve">to account for the uncertainties of the larotrectinib data. </w:t>
      </w:r>
    </w:p>
    <w:p w:rsidR="00D02805" w:rsidRDefault="00776EE2" w:rsidP="002C1BF9">
      <w:pPr>
        <w:pStyle w:val="ListParagraph"/>
      </w:pPr>
      <w:r>
        <w:t>The PBAC noted</w:t>
      </w:r>
      <w:r w:rsidR="006D7D44">
        <w:t xml:space="preserve"> the resubmission presented a cost-utility analysis</w:t>
      </w:r>
      <w:r w:rsidR="00974336">
        <w:t xml:space="preserve"> with a revised model structure,</w:t>
      </w:r>
      <w:r w:rsidR="006D7D44">
        <w:t xml:space="preserve"> comparing</w:t>
      </w:r>
      <w:r w:rsidR="00D6017C">
        <w:t xml:space="preserve"> (a)</w:t>
      </w:r>
      <w:r w:rsidR="008A7515" w:rsidRPr="008A7515">
        <w:t xml:space="preserve"> </w:t>
      </w:r>
      <w:r w:rsidR="008A7515" w:rsidRPr="00A82A0C">
        <w:rPr>
          <w:i/>
          <w:iCs/>
        </w:rPr>
        <w:t>NTRK</w:t>
      </w:r>
      <w:r w:rsidR="008A7515" w:rsidRPr="008A7515">
        <w:t xml:space="preserve"> testing and larotrectinib treatment in patients identified with </w:t>
      </w:r>
      <w:r w:rsidR="008A7515" w:rsidRPr="00A82A0C">
        <w:rPr>
          <w:i/>
          <w:iCs/>
        </w:rPr>
        <w:t>NTRK</w:t>
      </w:r>
      <w:r w:rsidR="008A7515" w:rsidRPr="008A7515">
        <w:t xml:space="preserve"> fusions and SoC treatment in those without, to </w:t>
      </w:r>
      <w:r w:rsidR="00D6017C">
        <w:t xml:space="preserve">(b) </w:t>
      </w:r>
      <w:r w:rsidR="008A7515" w:rsidRPr="008A7515">
        <w:t>no testing, where all patients were treated with SoC.</w:t>
      </w:r>
      <w:r w:rsidR="00974336">
        <w:t xml:space="preserve"> </w:t>
      </w:r>
      <w:r w:rsidR="008374BE">
        <w:t>The PBAC noted that the main</w:t>
      </w:r>
      <w:r w:rsidR="00974336">
        <w:t xml:space="preserve"> </w:t>
      </w:r>
      <w:r w:rsidR="00027818">
        <w:t>revised inputs</w:t>
      </w:r>
      <w:r w:rsidR="008374BE">
        <w:t xml:space="preserve"> to the economic analysis</w:t>
      </w:r>
      <w:r w:rsidR="00FB2566">
        <w:t xml:space="preserve"> were consistent with those outlined in paragraph 7.</w:t>
      </w:r>
      <w:r w:rsidR="00C96BAE">
        <w:t>8</w:t>
      </w:r>
      <w:r w:rsidR="00FB2566">
        <w:t xml:space="preserve"> and</w:t>
      </w:r>
      <w:r w:rsidR="008374BE">
        <w:t xml:space="preserve"> included </w:t>
      </w:r>
      <w:r w:rsidR="00027818">
        <w:t xml:space="preserve">a decrease in the time horizon from 20 to 15 years, updated </w:t>
      </w:r>
      <w:r w:rsidR="00027818" w:rsidRPr="00A82A0C">
        <w:rPr>
          <w:i/>
          <w:iCs/>
        </w:rPr>
        <w:t xml:space="preserve">NTRK </w:t>
      </w:r>
      <w:r w:rsidR="00027818">
        <w:t>fusion testing costs,</w:t>
      </w:r>
      <w:r w:rsidR="00974336">
        <w:t xml:space="preserve"> updated larotrectinib data and a price reduction for larotrectinib. </w:t>
      </w:r>
      <w:r w:rsidR="000E0ACB">
        <w:t>The PBAC noted the</w:t>
      </w:r>
      <w:r w:rsidR="00974336">
        <w:t xml:space="preserve"> </w:t>
      </w:r>
      <w:r w:rsidR="000E0ACB">
        <w:t xml:space="preserve">resulting ICER for the adult high </w:t>
      </w:r>
      <w:r w:rsidR="000E0ACB" w:rsidRPr="00A82A0C">
        <w:rPr>
          <w:i/>
          <w:iCs/>
        </w:rPr>
        <w:t>NTRK</w:t>
      </w:r>
      <w:r w:rsidR="000E0ACB">
        <w:t xml:space="preserve"> frequency subgroup and all paediatric patients combined </w:t>
      </w:r>
      <w:r w:rsidR="00C349E5">
        <w:t xml:space="preserve">was </w:t>
      </w:r>
      <w:r w:rsidR="002C1BF9" w:rsidRPr="002C1BF9">
        <w:t>$75,000 to &lt; $95,000</w:t>
      </w:r>
      <w:bookmarkStart w:id="114" w:name="_Hlk89341033"/>
      <w:r w:rsidR="00C349E5">
        <w:t>/QALY</w:t>
      </w:r>
      <w:bookmarkEnd w:id="114"/>
      <w:r w:rsidR="00B4406D">
        <w:t xml:space="preserve"> </w:t>
      </w:r>
      <w:r w:rsidR="005A5AD1">
        <w:t xml:space="preserve">when </w:t>
      </w:r>
      <w:r w:rsidR="00C22E9E" w:rsidRPr="00C22E9E">
        <w:t>t</w:t>
      </w:r>
      <w:bookmarkStart w:id="115" w:name="_Hlk89364721"/>
      <w:r w:rsidR="00C22E9E" w:rsidRPr="00C22E9E">
        <w:t>he distribution of tumour types</w:t>
      </w:r>
      <w:r w:rsidR="00C22E9E">
        <w:t xml:space="preserve"> were revised</w:t>
      </w:r>
      <w:r w:rsidR="00C22E9E" w:rsidRPr="00C22E9E">
        <w:t xml:space="preserve"> to reflect the distribution in the tested Australian population </w:t>
      </w:r>
      <w:bookmarkEnd w:id="115"/>
      <w:r w:rsidR="00C22E9E" w:rsidRPr="00C22E9E">
        <w:t>(rather than the treated population)</w:t>
      </w:r>
      <w:r w:rsidR="00C22E9E">
        <w:t xml:space="preserve"> and the</w:t>
      </w:r>
      <w:r w:rsidR="00C22E9E" w:rsidRPr="00C22E9E">
        <w:t xml:space="preserve"> most conservative OS and PFS parametric models </w:t>
      </w:r>
      <w:r w:rsidR="00C22E9E">
        <w:t xml:space="preserve">were applied </w:t>
      </w:r>
      <w:r w:rsidR="00C22E9E" w:rsidRPr="00C22E9E">
        <w:t xml:space="preserve">for the high </w:t>
      </w:r>
      <w:r w:rsidR="00C22E9E" w:rsidRPr="00A82A0C">
        <w:rPr>
          <w:i/>
          <w:iCs/>
        </w:rPr>
        <w:t xml:space="preserve">NTRK </w:t>
      </w:r>
      <w:r w:rsidR="00C22E9E" w:rsidRPr="00C22E9E">
        <w:t>fusion frequency tumour types</w:t>
      </w:r>
      <w:r w:rsidR="00C22E9E">
        <w:t>.</w:t>
      </w:r>
      <w:r w:rsidR="0038405E" w:rsidRPr="0038405E">
        <w:t xml:space="preserve"> </w:t>
      </w:r>
      <w:r w:rsidR="0038405E">
        <w:t xml:space="preserve">While the PBAC considered the treatment benefit of larotrectinib in the paediatric low frequency subgroup was uncertain, it noted that this subgroup did not have a substantial effect on the ICER. </w:t>
      </w:r>
      <w:r w:rsidR="00956AC6">
        <w:t>The PBAC</w:t>
      </w:r>
      <w:r w:rsidR="00A82A0C">
        <w:t xml:space="preserve"> noted there remained uncertainty around the incremental benefit</w:t>
      </w:r>
      <w:r w:rsidR="00A605F7">
        <w:t xml:space="preserve"> modelled</w:t>
      </w:r>
      <w:r w:rsidR="00A82A0C">
        <w:t xml:space="preserve"> for larotrectinib</w:t>
      </w:r>
      <w:r w:rsidR="0038405E">
        <w:t xml:space="preserve"> overall</w:t>
      </w:r>
      <w:r w:rsidR="00A82A0C">
        <w:t xml:space="preserve"> given</w:t>
      </w:r>
      <w:r w:rsidR="00066CBD">
        <w:t xml:space="preserve"> the lack of direct comparative data,</w:t>
      </w:r>
      <w:r w:rsidR="00244347">
        <w:t xml:space="preserve"> use of historical SoC data,</w:t>
      </w:r>
      <w:r w:rsidR="00A82A0C">
        <w:t xml:space="preserve"> small patient numbers across studies,</w:t>
      </w:r>
      <w:r w:rsidR="00066CBD">
        <w:t xml:space="preserve"> immaturity of the data and heterogeneity within and between tumour types</w:t>
      </w:r>
      <w:r w:rsidR="00956AC6">
        <w:t xml:space="preserve">. </w:t>
      </w:r>
      <w:r w:rsidR="00D02805">
        <w:t>However</w:t>
      </w:r>
      <w:r w:rsidR="00D02805" w:rsidRPr="00D02805">
        <w:t>, the PBAC considered the revised ICER was acceptable</w:t>
      </w:r>
      <w:r w:rsidR="00A82A0C">
        <w:t xml:space="preserve"> at the proposed price</w:t>
      </w:r>
      <w:r w:rsidR="00A82A0C" w:rsidRPr="00A82A0C">
        <w:t xml:space="preserve"> </w:t>
      </w:r>
      <w:r w:rsidR="00A82A0C">
        <w:t xml:space="preserve">for </w:t>
      </w:r>
      <w:r w:rsidR="00A82A0C" w:rsidRPr="00A82A0C">
        <w:t xml:space="preserve">paediatric patients with </w:t>
      </w:r>
      <w:r w:rsidR="00A82A0C" w:rsidRPr="00A82A0C">
        <w:rPr>
          <w:i/>
          <w:iCs/>
        </w:rPr>
        <w:t xml:space="preserve">NTRK </w:t>
      </w:r>
      <w:r w:rsidR="00A82A0C" w:rsidRPr="00A82A0C">
        <w:t xml:space="preserve">fusion tumours and adult patients with high frequency </w:t>
      </w:r>
      <w:r w:rsidR="00A82A0C" w:rsidRPr="00A82A0C">
        <w:rPr>
          <w:i/>
          <w:iCs/>
        </w:rPr>
        <w:t>NTRK</w:t>
      </w:r>
      <w:r w:rsidR="00A82A0C" w:rsidRPr="00A82A0C">
        <w:t xml:space="preserve"> fusion tumours</w:t>
      </w:r>
      <w:r w:rsidR="00A82A0C">
        <w:t>,</w:t>
      </w:r>
      <w:r w:rsidR="00D02805" w:rsidRPr="00D02805">
        <w:t xml:space="preserve"> in the context </w:t>
      </w:r>
      <w:r w:rsidR="00D02805">
        <w:t>of the high</w:t>
      </w:r>
      <w:r w:rsidR="00D02805" w:rsidRPr="00D02805">
        <w:t xml:space="preserve"> unmet </w:t>
      </w:r>
      <w:r w:rsidR="00D02805">
        <w:t xml:space="preserve">clinical </w:t>
      </w:r>
      <w:r w:rsidR="00D02805" w:rsidRPr="00D02805">
        <w:t xml:space="preserve">need for effective </w:t>
      </w:r>
      <w:r w:rsidR="00D02805">
        <w:t xml:space="preserve">treatments for </w:t>
      </w:r>
      <w:r w:rsidR="00A82A0C">
        <w:t xml:space="preserve">these patient populations. </w:t>
      </w:r>
    </w:p>
    <w:p w:rsidR="00AF6E3F" w:rsidRDefault="00615061" w:rsidP="003F0171">
      <w:pPr>
        <w:pStyle w:val="ListParagraph"/>
      </w:pPr>
      <w:r w:rsidRPr="00FB2566">
        <w:rPr>
          <w:iCs/>
        </w:rPr>
        <w:t xml:space="preserve">The PBAC noted </w:t>
      </w:r>
      <w:r w:rsidR="00EB2E0A" w:rsidRPr="00FB2566">
        <w:rPr>
          <w:iCs/>
        </w:rPr>
        <w:t xml:space="preserve">that the epidemiological approach used to estimate the number of patients eligible for treatment with larotrectinib remained generally unchanged from the previous submission. </w:t>
      </w:r>
      <w:r w:rsidR="00FB139B" w:rsidRPr="00FB2566">
        <w:rPr>
          <w:iCs/>
        </w:rPr>
        <w:t>The PBAC noted that the financial estimates appropriate</w:t>
      </w:r>
      <w:r w:rsidRPr="00FB2566">
        <w:rPr>
          <w:iCs/>
        </w:rPr>
        <w:t>ly</w:t>
      </w:r>
      <w:r w:rsidR="00FB139B" w:rsidRPr="00FB2566">
        <w:rPr>
          <w:iCs/>
        </w:rPr>
        <w:t xml:space="preserve"> revised the frequency of </w:t>
      </w:r>
      <w:r w:rsidR="00FB139B" w:rsidRPr="00FB2566">
        <w:rPr>
          <w:i/>
        </w:rPr>
        <w:t>NTRK</w:t>
      </w:r>
      <w:r w:rsidR="00FB139B" w:rsidRPr="00FB2566">
        <w:rPr>
          <w:iCs/>
        </w:rPr>
        <w:t xml:space="preserve"> fusions in paediatric STS to 0.68%.</w:t>
      </w:r>
      <w:r w:rsidR="00EB2E0A" w:rsidRPr="00FB2566">
        <w:rPr>
          <w:iCs/>
        </w:rPr>
        <w:t xml:space="preserve"> The PBAC </w:t>
      </w:r>
      <w:r w:rsidR="00652B3E" w:rsidRPr="00FB2566">
        <w:rPr>
          <w:iCs/>
        </w:rPr>
        <w:t xml:space="preserve">agreed with the ESCs that the </w:t>
      </w:r>
      <w:r w:rsidR="00652B3E" w:rsidRPr="000143D9">
        <w:rPr>
          <w:iCs/>
        </w:rPr>
        <w:t>2.5</w:t>
      </w:r>
      <w:r w:rsidR="00606B83">
        <w:rPr>
          <w:rStyle w:val="FootnoteReference"/>
          <w:iCs/>
        </w:rPr>
        <w:footnoteReference w:id="15"/>
      </w:r>
      <w:r w:rsidR="00652B3E" w:rsidRPr="00FB2566">
        <w:rPr>
          <w:iCs/>
        </w:rPr>
        <w:t xml:space="preserve"> year treatment duration for larotrectinib applied in the financial estimates was likely an underestimate</w:t>
      </w:r>
      <w:r w:rsidR="00B52206" w:rsidRPr="00FB2566">
        <w:rPr>
          <w:iCs/>
        </w:rPr>
        <w:t>,</w:t>
      </w:r>
      <w:r w:rsidR="00652B3E" w:rsidRPr="00FB2566">
        <w:rPr>
          <w:iCs/>
        </w:rPr>
        <w:t xml:space="preserve"> noting that </w:t>
      </w:r>
      <w:r w:rsidR="00150906" w:rsidRPr="00FB2566">
        <w:rPr>
          <w:iCs/>
        </w:rPr>
        <w:t>this treatment duration was based on the pooled overall larotrectinib analysis</w:t>
      </w:r>
      <w:r w:rsidR="00B52206" w:rsidRPr="00FB2566">
        <w:rPr>
          <w:iCs/>
        </w:rPr>
        <w:t xml:space="preserve"> which does not reflect the distribution of tumour types likely to be observed in Australian clinical practice</w:t>
      </w:r>
      <w:r w:rsidR="00963381" w:rsidRPr="00FB2566">
        <w:rPr>
          <w:iCs/>
        </w:rPr>
        <w:t>. The PBAC noted that the financial estimates also assumed treatment with larotrectinib beyond progression</w:t>
      </w:r>
      <w:r w:rsidR="00B52206" w:rsidRPr="00FB2566">
        <w:rPr>
          <w:iCs/>
        </w:rPr>
        <w:t xml:space="preserve">. </w:t>
      </w:r>
      <w:r w:rsidR="008E1FE3" w:rsidRPr="00FB2566">
        <w:rPr>
          <w:iCs/>
        </w:rPr>
        <w:t xml:space="preserve">The PBAC noted that when the larotrectinib time on treatment subgroup analyses are weighted according to the distribution of tumour types expected in clinical practice and treatment is not allowed beyond progression, the average treatment duration is estimated to be </w:t>
      </w:r>
      <w:r w:rsidR="008E1FE3" w:rsidRPr="000143D9">
        <w:rPr>
          <w:iCs/>
        </w:rPr>
        <w:t>3.</w:t>
      </w:r>
      <w:r w:rsidR="00BB0E26" w:rsidRPr="000143D9">
        <w:rPr>
          <w:iCs/>
        </w:rPr>
        <w:t>64</w:t>
      </w:r>
      <w:r w:rsidR="00606B83">
        <w:rPr>
          <w:iCs/>
          <w:vertAlign w:val="superscript"/>
        </w:rPr>
        <w:t>15</w:t>
      </w:r>
      <w:r w:rsidR="008E1FE3" w:rsidRPr="00FB2566">
        <w:rPr>
          <w:iCs/>
        </w:rPr>
        <w:t xml:space="preserve"> years</w:t>
      </w:r>
      <w:r w:rsidR="00BB0E26">
        <w:rPr>
          <w:iCs/>
        </w:rPr>
        <w:t xml:space="preserve"> in the combined </w:t>
      </w:r>
      <w:r w:rsidR="00D117CD">
        <w:rPr>
          <w:iCs/>
        </w:rPr>
        <w:t>p</w:t>
      </w:r>
      <w:r w:rsidR="00D117CD" w:rsidRPr="00BB0E26">
        <w:rPr>
          <w:iCs/>
        </w:rPr>
        <w:t>aediatric</w:t>
      </w:r>
      <w:r w:rsidR="00BB0E26" w:rsidRPr="00BB0E26">
        <w:rPr>
          <w:iCs/>
        </w:rPr>
        <w:t xml:space="preserve"> </w:t>
      </w:r>
      <w:r w:rsidR="00BB0E26" w:rsidRPr="00BB0E26">
        <w:rPr>
          <w:i/>
        </w:rPr>
        <w:t>NTRK</w:t>
      </w:r>
      <w:r w:rsidR="00BB0E26" w:rsidRPr="00BB0E26">
        <w:rPr>
          <w:iCs/>
        </w:rPr>
        <w:t xml:space="preserve"> fusion population and adult high frequency NTRK fusion population</w:t>
      </w:r>
      <w:r w:rsidR="008E1FE3" w:rsidRPr="00FB2566">
        <w:rPr>
          <w:iCs/>
        </w:rPr>
        <w:t xml:space="preserve">. </w:t>
      </w:r>
      <w:r w:rsidR="00FB2566">
        <w:rPr>
          <w:iCs/>
        </w:rPr>
        <w:t>The PBAC considered an RSA would be appropriate to manage the risk</w:t>
      </w:r>
      <w:r w:rsidR="0051608C">
        <w:rPr>
          <w:iCs/>
        </w:rPr>
        <w:t xml:space="preserve"> </w:t>
      </w:r>
      <w:r w:rsidR="00186395">
        <w:rPr>
          <w:iCs/>
        </w:rPr>
        <w:t xml:space="preserve">of use </w:t>
      </w:r>
      <w:r w:rsidR="00B4406D">
        <w:rPr>
          <w:iCs/>
        </w:rPr>
        <w:t>i</w:t>
      </w:r>
      <w:r w:rsidR="00FB2566">
        <w:rPr>
          <w:iCs/>
        </w:rPr>
        <w:t>n the low frequency adult population and a longer average treatment duration.</w:t>
      </w:r>
    </w:p>
    <w:p w:rsidR="008E1FE3" w:rsidRPr="00525B39" w:rsidRDefault="008E1FE3" w:rsidP="008E1FE3">
      <w:pPr>
        <w:spacing w:before="240" w:after="0"/>
        <w:rPr>
          <w:rFonts w:cs="Arial"/>
          <w:b/>
          <w:bCs/>
          <w:snapToGrid w:val="0"/>
          <w:lang w:val="en-GB"/>
        </w:rPr>
      </w:pPr>
      <w:bookmarkStart w:id="116" w:name="_Hlk89369182"/>
      <w:r w:rsidRPr="00525B39">
        <w:rPr>
          <w:rFonts w:cs="Arial"/>
          <w:b/>
          <w:bCs/>
          <w:snapToGrid w:val="0"/>
          <w:lang w:val="en-GB"/>
        </w:rPr>
        <w:t>Outcome:</w:t>
      </w:r>
    </w:p>
    <w:p w:rsidR="008E1FE3" w:rsidRDefault="008E1FE3" w:rsidP="00302638">
      <w:pPr>
        <w:spacing w:before="0" w:after="0"/>
        <w:rPr>
          <w:rFonts w:cs="Arial"/>
          <w:bCs/>
          <w:snapToGrid w:val="0"/>
          <w:lang w:val="en-GB"/>
        </w:rPr>
      </w:pPr>
      <w:r>
        <w:rPr>
          <w:rFonts w:cs="Arial"/>
          <w:bCs/>
          <w:snapToGrid w:val="0"/>
          <w:lang w:val="en-GB"/>
        </w:rPr>
        <w:t>Deferred</w:t>
      </w:r>
      <w:bookmarkEnd w:id="116"/>
    </w:p>
    <w:p w:rsidR="00302638" w:rsidRPr="00302638" w:rsidRDefault="00302638" w:rsidP="00302638">
      <w:pPr>
        <w:spacing w:before="0" w:after="0"/>
        <w:rPr>
          <w:rFonts w:cs="Arial"/>
          <w:bCs/>
          <w:snapToGrid w:val="0"/>
          <w:lang w:val="en-GB"/>
        </w:rPr>
      </w:pPr>
    </w:p>
    <w:p w:rsidR="008E1FE3" w:rsidRPr="00EF6898" w:rsidRDefault="008E1FE3" w:rsidP="008E1FE3">
      <w:pPr>
        <w:widowControl w:val="0"/>
        <w:spacing w:before="0" w:after="120"/>
        <w:rPr>
          <w:rFonts w:ascii="Calibri" w:eastAsia="Times New Roman" w:hAnsi="Calibri" w:cs="Arial"/>
          <w:snapToGrid w:val="0"/>
          <w:szCs w:val="24"/>
          <w:u w:val="single"/>
          <w:lang w:eastAsia="en-AU"/>
        </w:rPr>
      </w:pPr>
      <w:r>
        <w:rPr>
          <w:rFonts w:ascii="Calibri" w:eastAsia="Times New Roman" w:hAnsi="Calibri" w:cs="Arial"/>
          <w:snapToGrid w:val="0"/>
          <w:szCs w:val="24"/>
          <w:u w:val="single"/>
          <w:lang w:eastAsia="en-AU"/>
        </w:rPr>
        <w:t xml:space="preserve">Adult low </w:t>
      </w:r>
      <w:r w:rsidRPr="00856E2E">
        <w:rPr>
          <w:rFonts w:ascii="Calibri" w:eastAsia="Times New Roman" w:hAnsi="Calibri" w:cs="Arial"/>
          <w:snapToGrid w:val="0"/>
          <w:szCs w:val="24"/>
          <w:u w:val="single"/>
          <w:lang w:eastAsia="en-AU"/>
        </w:rPr>
        <w:t xml:space="preserve">frequency </w:t>
      </w:r>
      <w:r w:rsidRPr="00856E2E">
        <w:rPr>
          <w:rFonts w:ascii="Calibri" w:eastAsia="Times New Roman" w:hAnsi="Calibri" w:cs="Arial"/>
          <w:i/>
          <w:iCs/>
          <w:snapToGrid w:val="0"/>
          <w:szCs w:val="24"/>
          <w:u w:val="single"/>
          <w:lang w:eastAsia="en-AU"/>
        </w:rPr>
        <w:t>NTRK</w:t>
      </w:r>
      <w:r w:rsidRPr="00856E2E">
        <w:rPr>
          <w:rFonts w:ascii="Calibri" w:eastAsia="Times New Roman" w:hAnsi="Calibri" w:cs="Arial"/>
          <w:snapToGrid w:val="0"/>
          <w:szCs w:val="24"/>
          <w:u w:val="single"/>
          <w:lang w:eastAsia="en-AU"/>
        </w:rPr>
        <w:t xml:space="preserve"> fusion population</w:t>
      </w:r>
    </w:p>
    <w:p w:rsidR="008E1FE3" w:rsidRDefault="00E56F65" w:rsidP="008E1FE3">
      <w:pPr>
        <w:pStyle w:val="ListParagraph"/>
      </w:pPr>
      <w:r w:rsidRPr="00E56F65">
        <w:t>The PBAC did not recommend the listing of larotrectinib for</w:t>
      </w:r>
      <w:r>
        <w:t xml:space="preserve"> the </w:t>
      </w:r>
      <w:r w:rsidRPr="00E56F65">
        <w:t xml:space="preserve">treatment of adult patients with </w:t>
      </w:r>
      <w:r>
        <w:t>low</w:t>
      </w:r>
      <w:r w:rsidRPr="00E56F65">
        <w:t xml:space="preserve"> frequency </w:t>
      </w:r>
      <w:r w:rsidRPr="004A114D">
        <w:rPr>
          <w:i/>
          <w:iCs/>
        </w:rPr>
        <w:t>NTRK</w:t>
      </w:r>
      <w:r w:rsidRPr="00E56F65">
        <w:t xml:space="preserve"> fusion tumours that are either unresectable locally advanced, metastatic, or locally advanced and would otherwise require disfiguring surgery or limb amputation to achieve a complete surgical resection.</w:t>
      </w:r>
      <w:r>
        <w:t xml:space="preserve"> </w:t>
      </w:r>
      <w:r w:rsidRPr="00E56F65">
        <w:t xml:space="preserve">The PBAC considered that the ICER for this population remained high and uncertain. Further, the PBAC </w:t>
      </w:r>
      <w:r w:rsidR="004D770D">
        <w:t xml:space="preserve">considered there is less unmet </w:t>
      </w:r>
      <w:r w:rsidRPr="00E56F65">
        <w:t>clinical need within this patient population</w:t>
      </w:r>
      <w:r w:rsidR="00963381">
        <w:t xml:space="preserve"> given there are effective alternative treatments available for adult low frequency </w:t>
      </w:r>
      <w:r w:rsidR="00963381" w:rsidRPr="00963381">
        <w:rPr>
          <w:i/>
          <w:iCs/>
        </w:rPr>
        <w:t>NTRK</w:t>
      </w:r>
      <w:r w:rsidR="00963381">
        <w:t xml:space="preserve"> fusion tumours</w:t>
      </w:r>
      <w:r w:rsidRPr="00E56F65">
        <w:t>.</w:t>
      </w:r>
    </w:p>
    <w:p w:rsidR="00C05E68" w:rsidRDefault="00E5401E" w:rsidP="008E1FE3">
      <w:pPr>
        <w:pStyle w:val="ListParagraph"/>
      </w:pPr>
      <w:r>
        <w:t xml:space="preserve">The PBAC noted the resubmission specified four specific tumour types for the </w:t>
      </w:r>
      <w:r w:rsidR="00090F76">
        <w:t>adult low frequency subgroup:</w:t>
      </w:r>
      <w:r w:rsidR="00090F76" w:rsidRPr="00090F76">
        <w:t xml:space="preserve"> adult STS; CRC; thyroid cancer, and NSCLC.</w:t>
      </w:r>
      <w:r w:rsidR="00090F76">
        <w:t xml:space="preserve"> The PBAC</w:t>
      </w:r>
      <w:r w:rsidR="001E1D86">
        <w:t xml:space="preserve"> noted that the resubmission </w:t>
      </w:r>
      <w:r w:rsidR="001E1D86" w:rsidRPr="001E1D86">
        <w:t>specified</w:t>
      </w:r>
      <w:r w:rsidR="001E1D86">
        <w:t xml:space="preserve"> new comparators for</w:t>
      </w:r>
      <w:r w:rsidR="001E1D86" w:rsidRPr="001E1D86">
        <w:t xml:space="preserve"> NSCLC (docetaxel and placebo)</w:t>
      </w:r>
      <w:r w:rsidR="001E1D86">
        <w:t xml:space="preserve">, </w:t>
      </w:r>
      <w:r w:rsidR="001E1D86" w:rsidRPr="001E1D86">
        <w:t>thyroid cancer (lenvatinib)</w:t>
      </w:r>
      <w:r w:rsidR="001E1D86">
        <w:t xml:space="preserve"> and CRC (trifluridine/tipiracil)</w:t>
      </w:r>
      <w:r w:rsidR="001E1D86" w:rsidRPr="001E1D86">
        <w:t xml:space="preserve"> </w:t>
      </w:r>
      <w:r w:rsidR="001E1D86">
        <w:t xml:space="preserve">and considered these </w:t>
      </w:r>
      <w:r w:rsidR="00EC0CC2">
        <w:t xml:space="preserve">were more representative of </w:t>
      </w:r>
      <w:r w:rsidR="00EC0CC2" w:rsidRPr="00EC0CC2">
        <w:t xml:space="preserve">current SoC in the last treatment line setting where larotrectinib </w:t>
      </w:r>
      <w:r w:rsidR="000C55FB">
        <w:t xml:space="preserve">is proposed to be used in the adult low frequency subgroup. </w:t>
      </w:r>
      <w:r w:rsidR="00EC0CC2">
        <w:t xml:space="preserve"> </w:t>
      </w:r>
    </w:p>
    <w:p w:rsidR="00DD51B2" w:rsidRDefault="00947C89" w:rsidP="008E1FE3">
      <w:pPr>
        <w:pStyle w:val="ListParagraph"/>
      </w:pPr>
      <w:r>
        <w:t xml:space="preserve">The PBAC </w:t>
      </w:r>
      <w:r w:rsidR="00DD123D">
        <w:t xml:space="preserve">considered that an incremental benefit of larotrectinib compared to SoC in the adult low frequency subgroup was not clearly supported by </w:t>
      </w:r>
      <w:r w:rsidR="00963381">
        <w:t xml:space="preserve">the </w:t>
      </w:r>
      <w:r w:rsidR="0083755D">
        <w:t>additional larotrectinib</w:t>
      </w:r>
      <w:r w:rsidR="00DD123D">
        <w:t xml:space="preserve"> single-arm</w:t>
      </w:r>
      <w:r w:rsidR="00FB2566">
        <w:t xml:space="preserve"> data</w:t>
      </w:r>
      <w:r w:rsidR="00DD123D">
        <w:t xml:space="preserve"> and not</w:t>
      </w:r>
      <w:r w:rsidR="0011291D">
        <w:t>ed</w:t>
      </w:r>
      <w:r w:rsidR="00DD123D">
        <w:t xml:space="preserve"> that</w:t>
      </w:r>
      <w:r w:rsidR="00D30BCF">
        <w:t xml:space="preserve"> the data remained immature at the latest data cut</w:t>
      </w:r>
      <w:r w:rsidR="00892DCA">
        <w:t>.</w:t>
      </w:r>
      <w:r w:rsidR="00EB347C">
        <w:t xml:space="preserve"> The PBAC noted </w:t>
      </w:r>
      <w:r w:rsidR="00777133">
        <w:t xml:space="preserve">that the limited and uncertain nature of the available data was reflected </w:t>
      </w:r>
      <w:r w:rsidR="0077694C">
        <w:t xml:space="preserve">in the </w:t>
      </w:r>
      <w:r w:rsidR="00952A95">
        <w:t xml:space="preserve">latest </w:t>
      </w:r>
      <w:r w:rsidR="0077694C">
        <w:t xml:space="preserve">Kaplan-Meier curves </w:t>
      </w:r>
      <w:r w:rsidR="00952A95">
        <w:t xml:space="preserve">where a small number of additional patients resulted in significant change to the curves. </w:t>
      </w:r>
    </w:p>
    <w:p w:rsidR="004F1916" w:rsidRDefault="00780D3F" w:rsidP="008E1FE3">
      <w:pPr>
        <w:pStyle w:val="ListParagraph"/>
      </w:pPr>
      <w:r>
        <w:t xml:space="preserve">The PBAC maintained its previous consideration that the claim of superior effectiveness compared to SoC for the low frequency adult population was not sufficiently supported. </w:t>
      </w:r>
      <w:r w:rsidR="004F1916">
        <w:t>Further, the PBAC considered the</w:t>
      </w:r>
      <w:r w:rsidR="005E57F7">
        <w:t>re is less unmet</w:t>
      </w:r>
      <w:r w:rsidR="004F1916">
        <w:t xml:space="preserve"> clinical need within </w:t>
      </w:r>
      <w:r w:rsidR="00DD123D">
        <w:t>the low frequency adult population</w:t>
      </w:r>
      <w:r w:rsidR="004F1916">
        <w:t xml:space="preserve"> given there are existing effective therapies for several </w:t>
      </w:r>
      <w:r w:rsidR="00CE4C67">
        <w:t xml:space="preserve">adult </w:t>
      </w:r>
      <w:r w:rsidR="004F1916">
        <w:t>low frequency tumour types and the uncertainty around the incremental benefit of larotrectinib compared to these therapies.</w:t>
      </w:r>
    </w:p>
    <w:p w:rsidR="001B4FA3" w:rsidRDefault="00D867E8" w:rsidP="002C1BF9">
      <w:pPr>
        <w:pStyle w:val="ListParagraph"/>
      </w:pPr>
      <w:r>
        <w:t>The PBAC noted that the ICER for the adult low frequency subgroup was</w:t>
      </w:r>
      <w:r w:rsidR="00F9418A">
        <w:t xml:space="preserve"> </w:t>
      </w:r>
      <w:r w:rsidR="002C1BF9" w:rsidRPr="002C1BF9">
        <w:t>$75,000 to &lt; $95,000</w:t>
      </w:r>
      <w:r w:rsidR="00F9418A">
        <w:t xml:space="preserve">/QALY </w:t>
      </w:r>
      <w:r w:rsidR="00703DE8">
        <w:t>when the larotrectinib data used in the analysis was restricted to adult low frequency tumour types and t</w:t>
      </w:r>
      <w:r w:rsidR="00703DE8" w:rsidRPr="00703DE8">
        <w:t>he distribution of tumour types were revised to reflect the distribution in the tested Australian population</w:t>
      </w:r>
      <w:r w:rsidR="00703DE8">
        <w:t xml:space="preserve">. The PBAC noted that the ICER was higher than the range of </w:t>
      </w:r>
      <w:bookmarkStart w:id="117" w:name="_Hlk89367517"/>
      <w:bookmarkStart w:id="118" w:name="_Hlk89368167"/>
      <w:r w:rsidR="00703DE8" w:rsidRPr="00703DE8">
        <w:t>$70,000/QALY to $80,000/QALY</w:t>
      </w:r>
      <w:bookmarkEnd w:id="117"/>
      <w:r w:rsidR="005203A0">
        <w:t xml:space="preserve"> </w:t>
      </w:r>
      <w:bookmarkEnd w:id="118"/>
      <w:r w:rsidR="005203A0">
        <w:t xml:space="preserve">which it previously specified </w:t>
      </w:r>
      <w:r w:rsidR="00515873">
        <w:t>for</w:t>
      </w:r>
      <w:r w:rsidR="005203A0">
        <w:t xml:space="preserve"> determin</w:t>
      </w:r>
      <w:r w:rsidR="00515873">
        <w:t>ing</w:t>
      </w:r>
      <w:r w:rsidR="005203A0">
        <w:t xml:space="preserve"> the magnitude of price reduction for larotrectinib. </w:t>
      </w:r>
      <w:r w:rsidR="005E7C7D">
        <w:t>T</w:t>
      </w:r>
      <w:r w:rsidR="005203A0">
        <w:t xml:space="preserve">he PBAC considered </w:t>
      </w:r>
      <w:r w:rsidR="00515873">
        <w:t>the ICER was</w:t>
      </w:r>
      <w:r w:rsidR="005E7C7D">
        <w:t xml:space="preserve"> uncertain and</w:t>
      </w:r>
      <w:r w:rsidR="00515873">
        <w:t xml:space="preserve"> likely underestimated</w:t>
      </w:r>
      <w:r w:rsidR="005E7C7D">
        <w:t xml:space="preserve"> given t</w:t>
      </w:r>
      <w:r w:rsidR="00B05DEC">
        <w:t>here was insufficient evidence to support an incremental benefit compared to SoC</w:t>
      </w:r>
      <w:r w:rsidR="00515873">
        <w:t xml:space="preserve">. The PBAC noted that the analysis for the adult low frequency tumour subgroup was particularly sensitive to the time horizon, OS and PFS extrapolation and duration of </w:t>
      </w:r>
      <w:r w:rsidR="00EA1BAE">
        <w:t>l</w:t>
      </w:r>
      <w:r w:rsidR="00515873">
        <w:t>envatinib SoC treatment duration. The PBAC noted that</w:t>
      </w:r>
      <w:r w:rsidR="0097492B">
        <w:t xml:space="preserve"> the ICER increased to </w:t>
      </w:r>
      <w:r w:rsidR="002C1BF9" w:rsidRPr="002C1BF9">
        <w:t>$155,000 to &lt; $255,000</w:t>
      </w:r>
      <w:r w:rsidR="0097492B">
        <w:t>/QALY when i) the time horizon was reduced from 15 years to 5 years; ii) the most conservative OS and PFS extrapolations were used</w:t>
      </w:r>
      <w:r w:rsidR="00EE7396">
        <w:t>;</w:t>
      </w:r>
      <w:r w:rsidR="0097492B">
        <w:t xml:space="preserve"> and iii) the lenvatinib treatment duration was reduced from 39.6 months to</w:t>
      </w:r>
      <w:r w:rsidR="008412FF">
        <w:t xml:space="preserve"> the duration of</w:t>
      </w:r>
      <w:r w:rsidR="0097492B">
        <w:t xml:space="preserve"> 17.45</w:t>
      </w:r>
      <w:r w:rsidR="008412FF">
        <w:t xml:space="preserve"> months</w:t>
      </w:r>
      <w:r w:rsidR="00DC29F3">
        <w:t>, which</w:t>
      </w:r>
      <w:r w:rsidR="008412FF">
        <w:t xml:space="preserve"> the Committee had previously considered for lenvatinib. The PBAC advised that</w:t>
      </w:r>
      <w:r w:rsidR="00EE7396">
        <w:t>,</w:t>
      </w:r>
      <w:r w:rsidR="008412FF">
        <w:t xml:space="preserve"> given</w:t>
      </w:r>
      <w:r w:rsidR="00DF62C6">
        <w:t xml:space="preserve"> there would unlikely be sufficient data forthcoming to address</w:t>
      </w:r>
      <w:r w:rsidR="008412FF">
        <w:t xml:space="preserve"> the uncertainty around the eff</w:t>
      </w:r>
      <w:r w:rsidR="00DF62C6">
        <w:t>e</w:t>
      </w:r>
      <w:r w:rsidR="008412FF">
        <w:t>ctiveness of larotrectinib</w:t>
      </w:r>
      <w:r w:rsidR="00DF62C6">
        <w:t xml:space="preserve">, </w:t>
      </w:r>
      <w:r w:rsidR="008412FF">
        <w:t>a further substantial price reduction would be required to achieve a</w:t>
      </w:r>
      <w:r w:rsidR="0013369D">
        <w:t xml:space="preserve"> </w:t>
      </w:r>
      <w:r w:rsidR="00DF62C6">
        <w:t>cost-effective price. The PBAC advised that the</w:t>
      </w:r>
      <w:r w:rsidR="005E57F7">
        <w:t xml:space="preserve"> </w:t>
      </w:r>
      <w:r w:rsidR="00DF62C6">
        <w:t xml:space="preserve">magnitude </w:t>
      </w:r>
      <w:r w:rsidR="000F485B">
        <w:t>of the</w:t>
      </w:r>
      <w:r w:rsidR="00DF62C6">
        <w:t xml:space="preserve"> price reduction </w:t>
      </w:r>
      <w:r w:rsidR="000F485B">
        <w:t xml:space="preserve">required in order </w:t>
      </w:r>
      <w:r w:rsidR="00DF62C6">
        <w:t xml:space="preserve">to achieve an ICER within the range of </w:t>
      </w:r>
      <w:r w:rsidR="00DF62C6" w:rsidRPr="00DF62C6">
        <w:t>$70,000/QALY to $80,000/QALY</w:t>
      </w:r>
      <w:r w:rsidR="005E57F7">
        <w:t xml:space="preserve"> should be determined using more conservative extrapolations, </w:t>
      </w:r>
      <w:r w:rsidR="003C498C">
        <w:t xml:space="preserve">a </w:t>
      </w:r>
      <w:r w:rsidR="005E57F7">
        <w:t xml:space="preserve">shorter time horizon and </w:t>
      </w:r>
      <w:r w:rsidR="00577F21">
        <w:t>a reduced l</w:t>
      </w:r>
      <w:r w:rsidR="003C498C">
        <w:t>envatinib treatment duration</w:t>
      </w:r>
      <w:r w:rsidR="00DF62C6">
        <w:t>.</w:t>
      </w:r>
    </w:p>
    <w:p w:rsidR="00DF62C6" w:rsidRDefault="00EA1BAE" w:rsidP="008E1FE3">
      <w:pPr>
        <w:pStyle w:val="ListParagraph"/>
      </w:pPr>
      <w:r>
        <w:t xml:space="preserve">The PBAC noted that the financial estimates assumed that uptake in adult patients with low </w:t>
      </w:r>
      <w:r w:rsidRPr="00EA1BAE">
        <w:rPr>
          <w:i/>
          <w:iCs/>
        </w:rPr>
        <w:t xml:space="preserve">NTRK </w:t>
      </w:r>
      <w:r>
        <w:t xml:space="preserve">fusion frequency tumours would be </w:t>
      </w:r>
      <w:r w:rsidR="00675CB4">
        <w:rPr>
          <w:noProof/>
          <w:color w:val="000000"/>
          <w:highlight w:val="black"/>
        </w:rPr>
        <w:t>'''''</w:t>
      </w:r>
      <w:r>
        <w:t xml:space="preserve">% in Year 1 and </w:t>
      </w:r>
      <w:r w:rsidR="00675CB4">
        <w:rPr>
          <w:noProof/>
          <w:color w:val="000000"/>
          <w:highlight w:val="black"/>
        </w:rPr>
        <w:t>'''''</w:t>
      </w:r>
      <w:r>
        <w:t xml:space="preserve">% in subsequent years. The PBAC considered </w:t>
      </w:r>
      <w:r w:rsidR="000868AE">
        <w:t xml:space="preserve">that assumed uptake was likely overestimated given the uncertainty </w:t>
      </w:r>
      <w:r w:rsidR="00A46683">
        <w:t xml:space="preserve">regarding uptake of </w:t>
      </w:r>
      <w:r w:rsidR="00A46683" w:rsidRPr="00A46683">
        <w:rPr>
          <w:i/>
          <w:iCs/>
        </w:rPr>
        <w:t>NTRK</w:t>
      </w:r>
      <w:r w:rsidR="00A46683">
        <w:t xml:space="preserve"> testing</w:t>
      </w:r>
      <w:r w:rsidR="000868AE">
        <w:t xml:space="preserve"> in the adult low frequency subgroup. </w:t>
      </w:r>
    </w:p>
    <w:p w:rsidR="000868AE" w:rsidRPr="00525B39" w:rsidRDefault="000868AE" w:rsidP="000868AE">
      <w:pPr>
        <w:spacing w:before="240" w:after="0"/>
        <w:rPr>
          <w:rFonts w:cs="Arial"/>
          <w:b/>
          <w:bCs/>
          <w:snapToGrid w:val="0"/>
          <w:lang w:val="en-GB"/>
        </w:rPr>
      </w:pPr>
      <w:r w:rsidRPr="00525B39">
        <w:rPr>
          <w:rFonts w:cs="Arial"/>
          <w:b/>
          <w:bCs/>
          <w:snapToGrid w:val="0"/>
          <w:lang w:val="en-GB"/>
        </w:rPr>
        <w:t>Outcome:</w:t>
      </w:r>
    </w:p>
    <w:p w:rsidR="00ED2A9A" w:rsidRDefault="000868AE" w:rsidP="00DC29F3">
      <w:pPr>
        <w:spacing w:before="0" w:after="0"/>
        <w:rPr>
          <w:rFonts w:cs="Arial"/>
          <w:bCs/>
          <w:snapToGrid w:val="0"/>
          <w:lang w:val="en-GB"/>
        </w:rPr>
      </w:pPr>
      <w:r>
        <w:rPr>
          <w:rFonts w:cs="Arial"/>
          <w:bCs/>
          <w:snapToGrid w:val="0"/>
          <w:lang w:val="en-GB"/>
        </w:rPr>
        <w:t>Rejected</w:t>
      </w:r>
    </w:p>
    <w:p w:rsidR="00F06AD8" w:rsidRPr="00053DB1" w:rsidRDefault="00F06AD8" w:rsidP="00053DB1">
      <w:pPr>
        <w:pStyle w:val="PBACESHeading1"/>
        <w:rPr>
          <w:rFonts w:cstheme="minorHAnsi"/>
          <w:sz w:val="32"/>
          <w:szCs w:val="40"/>
        </w:rPr>
      </w:pPr>
      <w:r w:rsidRPr="00053DB1">
        <w:rPr>
          <w:rFonts w:asciiTheme="minorHAnsi" w:hAnsiTheme="minorHAnsi" w:cstheme="minorHAnsi"/>
          <w:sz w:val="32"/>
          <w:szCs w:val="40"/>
        </w:rPr>
        <w:t>Context for Decision</w:t>
      </w:r>
    </w:p>
    <w:p w:rsidR="00F06AD8" w:rsidRPr="007129F2" w:rsidRDefault="00F06AD8" w:rsidP="00053DB1">
      <w:pPr>
        <w:spacing w:after="120"/>
        <w:ind w:left="720"/>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F06AD8" w:rsidRPr="00053DB1" w:rsidRDefault="00F06AD8" w:rsidP="00053DB1">
      <w:pPr>
        <w:pStyle w:val="PBACESHeading1"/>
        <w:rPr>
          <w:rFonts w:cstheme="minorHAnsi"/>
          <w:b w:val="0"/>
          <w:sz w:val="32"/>
          <w:szCs w:val="40"/>
        </w:rPr>
      </w:pPr>
      <w:r w:rsidRPr="00053DB1">
        <w:rPr>
          <w:rFonts w:asciiTheme="minorHAnsi" w:hAnsiTheme="minorHAnsi" w:cstheme="minorHAnsi"/>
          <w:sz w:val="32"/>
          <w:szCs w:val="40"/>
        </w:rPr>
        <w:t>Sponsor’s Comment</w:t>
      </w:r>
    </w:p>
    <w:p w:rsidR="00CE6F4A" w:rsidRDefault="00CE679B" w:rsidP="00675CB4">
      <w:pPr>
        <w:spacing w:before="0" w:after="0"/>
        <w:ind w:left="720"/>
        <w:rPr>
          <w:rFonts w:cs="Arial"/>
          <w:bCs/>
          <w:snapToGrid w:val="0"/>
          <w:lang w:val="en-GB"/>
        </w:rPr>
      </w:pPr>
      <w:r w:rsidRPr="00CE679B">
        <w:rPr>
          <w:rFonts w:cs="Arial"/>
          <w:bCs/>
        </w:rPr>
        <w:t>Bayer are committed to continue working with the PBAC to ensure sustainable PBS listing conditions and earliest possible patient access to Vitrakvi® (Larotrectinib) for patients with NTRK fusion cancers.</w:t>
      </w:r>
    </w:p>
    <w:p w:rsidR="00CE6F4A" w:rsidRPr="00DC29F3" w:rsidRDefault="00CE6F4A" w:rsidP="00DC29F3">
      <w:pPr>
        <w:spacing w:before="0" w:after="0"/>
        <w:rPr>
          <w:rFonts w:cs="Arial"/>
          <w:bCs/>
          <w:snapToGrid w:val="0"/>
          <w:lang w:val="en-GB"/>
        </w:rPr>
      </w:pPr>
    </w:p>
    <w:sectPr w:rsidR="00CE6F4A" w:rsidRPr="00DC29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6A9" w:rsidRDefault="00B976A9" w:rsidP="00BA3306">
      <w:pPr>
        <w:spacing w:before="0" w:after="0"/>
      </w:pPr>
      <w:r>
        <w:separator/>
      </w:r>
    </w:p>
    <w:p w:rsidR="00B976A9" w:rsidRDefault="00B976A9"/>
  </w:endnote>
  <w:endnote w:type="continuationSeparator" w:id="0">
    <w:p w:rsidR="00B976A9" w:rsidRDefault="00B976A9" w:rsidP="00BA3306">
      <w:pPr>
        <w:spacing w:before="0" w:after="0"/>
      </w:pPr>
      <w:r>
        <w:continuationSeparator/>
      </w:r>
    </w:p>
    <w:p w:rsidR="00B976A9" w:rsidRDefault="00B97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ndara">
    <w:panose1 w:val="020E0502030303020204"/>
    <w:charset w:val="00"/>
    <w:family w:val="swiss"/>
    <w:pitch w:val="variable"/>
    <w:sig w:usb0="A00002EF" w:usb1="4000A44B" w:usb2="00000000" w:usb3="00000000" w:csb0="0000019F" w:csb1="00000000"/>
  </w:font>
  <w:font w:name="Humanist 77 7 B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桀頺ȷ"/>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A9" w:rsidRDefault="00B97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A9" w:rsidRDefault="00B976A9" w:rsidP="00C317F3">
    <w:pPr>
      <w:pStyle w:val="Footer"/>
      <w:jc w:val="center"/>
    </w:pPr>
    <w:sdt>
      <w:sdtPr>
        <w:rPr>
          <w:rFonts w:ascii="Calibri" w:eastAsia="Times New Roman" w:hAnsi="Calibri" w:cs="Arial"/>
          <w:snapToGrid w:val="0"/>
        </w:rPr>
        <w:id w:val="1704594310"/>
        <w:docPartObj>
          <w:docPartGallery w:val="Page Numbers (Bottom of Page)"/>
          <w:docPartUnique/>
        </w:docPartObj>
      </w:sdtPr>
      <w:sdtEndPr>
        <w:rPr>
          <w:noProof/>
        </w:rPr>
      </w:sdtEndPr>
      <w:sdtContent>
        <w:r w:rsidRPr="00930969">
          <w:rPr>
            <w:rFonts w:ascii="Calibri" w:eastAsia="Times New Roman" w:hAnsi="Calibri" w:cs="Arial"/>
            <w:b/>
            <w:snapToGrid w:val="0"/>
          </w:rPr>
          <w:fldChar w:fldCharType="begin"/>
        </w:r>
        <w:r w:rsidRPr="00930969">
          <w:rPr>
            <w:rFonts w:ascii="Calibri" w:eastAsia="Times New Roman" w:hAnsi="Calibri" w:cs="Arial"/>
            <w:b/>
            <w:snapToGrid w:val="0"/>
          </w:rPr>
          <w:instrText xml:space="preserve"> PAGE   \* MERGEFORMAT </w:instrText>
        </w:r>
        <w:r w:rsidRPr="00930969">
          <w:rPr>
            <w:rFonts w:ascii="Calibri" w:eastAsia="Times New Roman" w:hAnsi="Calibri" w:cs="Arial"/>
            <w:b/>
            <w:snapToGrid w:val="0"/>
          </w:rPr>
          <w:fldChar w:fldCharType="separate"/>
        </w:r>
        <w:r w:rsidR="003B6B2C">
          <w:rPr>
            <w:rFonts w:ascii="Calibri" w:eastAsia="Times New Roman" w:hAnsi="Calibri" w:cs="Arial"/>
            <w:b/>
            <w:noProof/>
            <w:snapToGrid w:val="0"/>
          </w:rPr>
          <w:t>36</w:t>
        </w:r>
        <w:r w:rsidRPr="00930969">
          <w:rPr>
            <w:rFonts w:ascii="Calibri" w:eastAsia="Times New Roman" w:hAnsi="Calibri" w:cs="Arial"/>
            <w:b/>
            <w:noProof/>
            <w:snapToGrid w:val="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A9" w:rsidRDefault="00B97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6A9" w:rsidRDefault="00B976A9" w:rsidP="00BA3306">
      <w:pPr>
        <w:spacing w:before="0" w:after="0"/>
      </w:pPr>
      <w:r>
        <w:separator/>
      </w:r>
    </w:p>
    <w:p w:rsidR="00B976A9" w:rsidRDefault="00B976A9"/>
  </w:footnote>
  <w:footnote w:type="continuationSeparator" w:id="0">
    <w:p w:rsidR="00B976A9" w:rsidRDefault="00B976A9" w:rsidP="00BA3306">
      <w:pPr>
        <w:spacing w:before="0" w:after="0"/>
      </w:pPr>
      <w:r>
        <w:continuationSeparator/>
      </w:r>
    </w:p>
    <w:p w:rsidR="00B976A9" w:rsidRDefault="00B976A9"/>
  </w:footnote>
  <w:footnote w:id="1">
    <w:p w:rsidR="00B976A9" w:rsidRDefault="00B976A9" w:rsidP="007E18EF">
      <w:pPr>
        <w:pStyle w:val="FootnoteText"/>
      </w:pPr>
      <w:r>
        <w:rPr>
          <w:rStyle w:val="FootnoteReference"/>
        </w:rPr>
        <w:footnoteRef/>
      </w:r>
      <w:r>
        <w:t xml:space="preserve"> </w:t>
      </w:r>
      <w:r w:rsidRPr="001A6A99">
        <w:t>Damjanov</w:t>
      </w:r>
      <w:r>
        <w:t xml:space="preserve"> et al (</w:t>
      </w:r>
      <w:r w:rsidRPr="001A6A99">
        <w:t>2016</w:t>
      </w:r>
      <w:r>
        <w:t>)</w:t>
      </w:r>
      <w:r w:rsidRPr="001A6A99">
        <w:t>. Mammary Analogue Secretory Carcinoma (MASC) of the salivary gland: A new tumor entity. Bosnian journal of basic medical sciences, 16, 237-238</w:t>
      </w:r>
      <w:r>
        <w:t>.</w:t>
      </w:r>
    </w:p>
  </w:footnote>
  <w:footnote w:id="2">
    <w:p w:rsidR="00B976A9" w:rsidRDefault="00B976A9" w:rsidP="007E18EF">
      <w:pPr>
        <w:pStyle w:val="FootnoteText"/>
      </w:pPr>
      <w:r>
        <w:rPr>
          <w:rStyle w:val="FootnoteReference"/>
        </w:rPr>
        <w:footnoteRef/>
      </w:r>
      <w:r>
        <w:t xml:space="preserve"> </w:t>
      </w:r>
      <w:r w:rsidRPr="00DC1BAD">
        <w:t xml:space="preserve">Solomon et al (2020). </w:t>
      </w:r>
      <w:r w:rsidRPr="002C7EA9">
        <w:rPr>
          <w:i/>
        </w:rPr>
        <w:t>NTRK</w:t>
      </w:r>
      <w:r w:rsidRPr="00DC1BAD">
        <w:t xml:space="preserve"> fusion detection across multiple assays and 33,997 cases: diagnostic implications and pitfalls. Modern Pathology 33(1):</w:t>
      </w:r>
      <w:r>
        <w:t xml:space="preserve">38-46; </w:t>
      </w:r>
      <w:r w:rsidRPr="00DC1BAD">
        <w:t xml:space="preserve">Westphalen et al. (2021). Genomic context of </w:t>
      </w:r>
      <w:r w:rsidRPr="002C7EA9">
        <w:rPr>
          <w:i/>
        </w:rPr>
        <w:t>NTRK1/2/3</w:t>
      </w:r>
      <w:r w:rsidRPr="00DC1BAD">
        <w:t xml:space="preserve"> fusion-positive tumours from a large real-world population.</w:t>
      </w:r>
      <w:r>
        <w:t xml:space="preserve"> npj Precision Oncology 5(1):</w:t>
      </w:r>
      <w:r w:rsidRPr="00DC1BAD">
        <w:t>69.</w:t>
      </w:r>
    </w:p>
  </w:footnote>
  <w:footnote w:id="3">
    <w:p w:rsidR="00B976A9" w:rsidRDefault="00B976A9" w:rsidP="00FC7CF6">
      <w:pPr>
        <w:pStyle w:val="FootnoteText"/>
      </w:pPr>
      <w:r>
        <w:rPr>
          <w:rStyle w:val="FootnoteReference"/>
        </w:rPr>
        <w:footnoteRef/>
      </w:r>
      <w:r>
        <w:t xml:space="preserve"> </w:t>
      </w:r>
      <w:r w:rsidRPr="006937B4">
        <w:t xml:space="preserve">Larotrectinib for the treatment for </w:t>
      </w:r>
      <w:r w:rsidRPr="002C7EA9">
        <w:rPr>
          <w:i/>
        </w:rPr>
        <w:t>NTRK</w:t>
      </w:r>
      <w:r w:rsidRPr="006937B4">
        <w:t xml:space="preserve"> fusion solid tumours was granted FDA accelerated approval on 26 November 2018 and EMA approval on 19 September 2019 for the treatment of solid tumours that have a </w:t>
      </w:r>
      <w:r w:rsidRPr="002C7EA9">
        <w:rPr>
          <w:i/>
        </w:rPr>
        <w:t>NTRK</w:t>
      </w:r>
      <w:r w:rsidRPr="006937B4">
        <w:t xml:space="preserve"> gene fusion in adult and paediatric patients that are either metastatic or where surgical resection is likely to result in severe morbidity, and who have no satisfactory alternative treatments or whose cancer has progressed following treatment.</w:t>
      </w:r>
    </w:p>
  </w:footnote>
  <w:footnote w:id="4">
    <w:p w:rsidR="00B976A9" w:rsidRDefault="00B976A9" w:rsidP="00D744A5">
      <w:pPr>
        <w:pStyle w:val="FootnoteText"/>
      </w:pPr>
      <w:r>
        <w:rPr>
          <w:rStyle w:val="FootnoteReference"/>
        </w:rPr>
        <w:footnoteRef/>
      </w:r>
      <w:r>
        <w:t xml:space="preserve"> Ypshino et al (2020). JSCO-ESMO-ASCO-JSMO- TOS: international expert consensus recommendations for tumour-agnostic treatments in patients with solid tumours with microsatellite instability or </w:t>
      </w:r>
      <w:r w:rsidRPr="002C7EA9">
        <w:rPr>
          <w:i/>
        </w:rPr>
        <w:t>NTRK</w:t>
      </w:r>
      <w:r>
        <w:t xml:space="preserve"> fusions. Annals of Oncology. Volume 31, Issue 7.</w:t>
      </w:r>
    </w:p>
  </w:footnote>
  <w:footnote w:id="5">
    <w:p w:rsidR="00B976A9" w:rsidRDefault="00B976A9" w:rsidP="00D744A5">
      <w:pPr>
        <w:pStyle w:val="FootnoteText"/>
      </w:pPr>
      <w:r>
        <w:rPr>
          <w:rStyle w:val="FootnoteReference"/>
        </w:rPr>
        <w:footnoteRef/>
      </w:r>
      <w:r>
        <w:t xml:space="preserve"> </w:t>
      </w:r>
      <w:r w:rsidRPr="00531CB2">
        <w:t xml:space="preserve">Hsiao SJ, Zehir A, Sireci AN, Aisner DL. Detection of Tumor </w:t>
      </w:r>
      <w:r w:rsidRPr="00434975">
        <w:rPr>
          <w:i/>
        </w:rPr>
        <w:t>NTRK</w:t>
      </w:r>
      <w:r w:rsidRPr="00531CB2">
        <w:t xml:space="preserve"> Gene Fusions to Identify Patients Who May Benefit from Tyrosine Kinase (TRK) Inhibitor Therapy. The Journal of Molecular Diagnostics. 2019;21(4):553-71</w:t>
      </w:r>
    </w:p>
  </w:footnote>
  <w:footnote w:id="6">
    <w:p w:rsidR="00B976A9" w:rsidRDefault="00B976A9" w:rsidP="00D744A5">
      <w:pPr>
        <w:pStyle w:val="FootnoteText"/>
      </w:pPr>
      <w:r>
        <w:rPr>
          <w:rStyle w:val="FootnoteReference"/>
        </w:rPr>
        <w:footnoteRef/>
      </w:r>
      <w:r>
        <w:t xml:space="preserve"> </w:t>
      </w:r>
      <w:r w:rsidRPr="00BC5E59">
        <w:t>Sandler E</w:t>
      </w:r>
      <w:r>
        <w:t xml:space="preserve"> </w:t>
      </w:r>
      <w:r w:rsidRPr="00BC5E59">
        <w:rPr>
          <w:i/>
        </w:rPr>
        <w:t>et al</w:t>
      </w:r>
      <w:r w:rsidRPr="00BC5E59">
        <w:t>. Efficacy of ifosfamide and doxorubicin given as a phase II “window” in children with newly diagnosed metastatic rhabdomyosarcoma: a report from the Intergroup Rhabdomyosarcoma Study Group. Medical and Pediatric Oncology: The Official Journal of SIOP—International Society of Pediatric Oncology (Societé Internationale d'Oncologie Pédiatrique. 2001;37(5):442-8.</w:t>
      </w:r>
    </w:p>
  </w:footnote>
  <w:footnote w:id="7">
    <w:p w:rsidR="00B976A9" w:rsidRDefault="00B976A9" w:rsidP="00D744A5">
      <w:pPr>
        <w:pStyle w:val="FootnoteText"/>
      </w:pPr>
      <w:r>
        <w:rPr>
          <w:rStyle w:val="FootnoteReference"/>
        </w:rPr>
        <w:footnoteRef/>
      </w:r>
      <w:r>
        <w:t xml:space="preserve"> </w:t>
      </w:r>
      <w:r w:rsidRPr="00BC5E59">
        <w:t>Wick W</w:t>
      </w:r>
      <w:r>
        <w:t xml:space="preserve"> </w:t>
      </w:r>
      <w:r w:rsidRPr="00BC5E59">
        <w:rPr>
          <w:i/>
        </w:rPr>
        <w:t>et al</w:t>
      </w:r>
      <w:r w:rsidRPr="00BC5E59">
        <w:t>. Lomustine and bevacizumab in progressive glioblastoma. New England Journal of Medicine. 2017;377(20):1954-63.</w:t>
      </w:r>
    </w:p>
  </w:footnote>
  <w:footnote w:id="8">
    <w:p w:rsidR="00B976A9" w:rsidRDefault="00B976A9" w:rsidP="00D744A5">
      <w:pPr>
        <w:pStyle w:val="FootnoteText"/>
      </w:pPr>
      <w:r>
        <w:rPr>
          <w:rStyle w:val="FootnoteReference"/>
        </w:rPr>
        <w:footnoteRef/>
      </w:r>
      <w:r>
        <w:t xml:space="preserve"> </w:t>
      </w:r>
      <w:r w:rsidRPr="006069C4">
        <w:t>Luk PP, Selinger CI, Eviston TJ, Lum T, Yu B, O'Toole SA, et al. Mammary analogue secretory carcinoma: an evaluation of its clinicopathological and genetic characteristics. Pathology. 2015;47(7):659-66.</w:t>
      </w:r>
    </w:p>
  </w:footnote>
  <w:footnote w:id="9">
    <w:p w:rsidR="00B976A9" w:rsidRDefault="00B976A9" w:rsidP="00D744A5">
      <w:pPr>
        <w:pStyle w:val="FootnoteText"/>
      </w:pPr>
      <w:r>
        <w:rPr>
          <w:rStyle w:val="FootnoteReference"/>
        </w:rPr>
        <w:footnoteRef/>
      </w:r>
      <w:r>
        <w:t xml:space="preserve"> </w:t>
      </w:r>
      <w:r w:rsidRPr="006069C4">
        <w:t>Majewska H, Skalova A, Stodulski D, Klimkova A, Steiner P, Stankiewicz C, et al. Mammary analogue secretory carcinoma of salivary glands: a new entity associated with ETV6 gene rearrangement. Virchows Arch. 2015;466(3):245-54.</w:t>
      </w:r>
    </w:p>
  </w:footnote>
  <w:footnote w:id="10">
    <w:p w:rsidR="00B976A9" w:rsidRDefault="00B976A9" w:rsidP="00D744A5">
      <w:pPr>
        <w:pStyle w:val="FootnoteText"/>
      </w:pPr>
      <w:r>
        <w:rPr>
          <w:rStyle w:val="FootnoteReference"/>
        </w:rPr>
        <w:footnoteRef/>
      </w:r>
      <w:r>
        <w:t xml:space="preserve"> </w:t>
      </w:r>
      <w:r w:rsidRPr="00BC5E59">
        <w:t>Schöffski P</w:t>
      </w:r>
      <w:r>
        <w:t xml:space="preserve"> </w:t>
      </w:r>
      <w:r w:rsidRPr="00BC5E59">
        <w:rPr>
          <w:i/>
        </w:rPr>
        <w:t>et al</w:t>
      </w:r>
      <w:r>
        <w:t xml:space="preserve">. </w:t>
      </w:r>
      <w:r w:rsidRPr="00BC5E59">
        <w:t>Eribulin versus dacarbazine in previously treated patients with advanced liposarcoma or leiomyosarcoma: a randomised, open-label, multicentre, phase 3 trial. The Lancet. 2016;387(10028):1629-37</w:t>
      </w:r>
    </w:p>
  </w:footnote>
  <w:footnote w:id="11">
    <w:p w:rsidR="00B976A9" w:rsidRDefault="00B976A9" w:rsidP="00D744A5">
      <w:pPr>
        <w:pStyle w:val="FootnoteText"/>
      </w:pPr>
      <w:r>
        <w:rPr>
          <w:rStyle w:val="FootnoteReference"/>
        </w:rPr>
        <w:footnoteRef/>
      </w:r>
      <w:r>
        <w:t xml:space="preserve"> </w:t>
      </w:r>
      <w:r w:rsidRPr="00081AD9">
        <w:t>Soft tissue sarcomas are rare malignancies. There are more than 50 histological subtypes of sarcoma, with US data from the Surveillance, Epidemiology, and End Results (SEER) Program indicating the most common sarcomas were liposarcomas (17.1%), leiomyosarcomas (13.6%), and malignant fibrous histiocytoma (8.2%).</w:t>
      </w:r>
      <w:r>
        <w:t xml:space="preserve"> Source: Paragraph 4.1, Eribulin Public Summary Document –November 2016 PBAC Meeting.</w:t>
      </w:r>
    </w:p>
  </w:footnote>
  <w:footnote w:id="12">
    <w:p w:rsidR="00B976A9" w:rsidRDefault="00B976A9">
      <w:pPr>
        <w:pStyle w:val="FootnoteText"/>
      </w:pPr>
      <w:r>
        <w:rPr>
          <w:rStyle w:val="FootnoteReference"/>
        </w:rPr>
        <w:footnoteRef/>
      </w:r>
      <w:r>
        <w:t xml:space="preserve"> </w:t>
      </w:r>
      <w:r w:rsidRPr="00A321EB">
        <w:t>Cherny NI, Dafni U, Bogaerts J, et al: ESMO-Magnitude of Clinical Benefit Scale version 1.1. Annals of Oncology 28:2340-2366, 2017</w:t>
      </w:r>
    </w:p>
  </w:footnote>
  <w:footnote w:id="13">
    <w:p w:rsidR="00B976A9" w:rsidRDefault="00B976A9" w:rsidP="003A12E6">
      <w:pPr>
        <w:pStyle w:val="FootnoteText"/>
        <w:jc w:val="left"/>
      </w:pPr>
      <w:r w:rsidRPr="00620D43">
        <w:rPr>
          <w:rStyle w:val="FootnoteReference"/>
          <w:i/>
        </w:rPr>
        <w:footnoteRef/>
      </w:r>
      <w:r w:rsidRPr="00620D43">
        <w:rPr>
          <w:i/>
        </w:rPr>
        <w:t xml:space="preserve"> Cancer Molecular Screening and Therapeutics (MoST) Program </w:t>
      </w:r>
      <w:hyperlink r:id="rId1" w:history="1">
        <w:r w:rsidRPr="00620D43">
          <w:rPr>
            <w:rStyle w:val="Hyperlink"/>
            <w:i/>
          </w:rPr>
          <w:t>https://www.australianclinicaltrials.gov.au/anzctr/trial/ACTRN12619001147178</w:t>
        </w:r>
      </w:hyperlink>
      <w:r w:rsidRPr="00620D43">
        <w:rPr>
          <w:i/>
        </w:rPr>
        <w:t>; Addendum 6 substudy 14-15: Larotrectinib</w:t>
      </w:r>
    </w:p>
  </w:footnote>
  <w:footnote w:id="14">
    <w:p w:rsidR="00B976A9" w:rsidRDefault="00B976A9">
      <w:pPr>
        <w:pStyle w:val="FootnoteText"/>
      </w:pPr>
      <w:r>
        <w:rPr>
          <w:rStyle w:val="FootnoteReference"/>
        </w:rPr>
        <w:footnoteRef/>
      </w:r>
      <w:r>
        <w:t xml:space="preserve"> </w:t>
      </w:r>
      <w:r w:rsidRPr="00D8079A">
        <w:rPr>
          <w:rFonts w:cstheme="minorHAnsi"/>
          <w:i/>
          <w:iCs/>
        </w:rPr>
        <w:t xml:space="preserve">Bayer affirms that the assumed average treatment duration was only provided for the purposes of informing the PBAC consideration. </w:t>
      </w:r>
      <w:r w:rsidRPr="00D44940">
        <w:rPr>
          <w:rFonts w:cstheme="minorHAnsi"/>
          <w:i/>
          <w:iCs/>
        </w:rPr>
        <w:t>Interpretation of the results and their application should therefore be limited to seeking to understand the basis for the PBAC outcome and should not be used for any other purpose.</w:t>
      </w:r>
    </w:p>
  </w:footnote>
  <w:footnote w:id="15">
    <w:p w:rsidR="00B976A9" w:rsidRDefault="00B976A9">
      <w:pPr>
        <w:pStyle w:val="FootnoteText"/>
      </w:pPr>
      <w:r>
        <w:rPr>
          <w:rStyle w:val="FootnoteReference"/>
        </w:rPr>
        <w:footnoteRef/>
      </w:r>
      <w:r>
        <w:t xml:space="preserve"> </w:t>
      </w:r>
      <w:r w:rsidRPr="00D8079A">
        <w:rPr>
          <w:rFonts w:cstheme="minorHAnsi"/>
          <w:i/>
          <w:iCs/>
        </w:rPr>
        <w:t xml:space="preserve">Bayer affirms that the assumed average treatment duration was only provided for the purposes of informing the PBAC consideration. </w:t>
      </w:r>
      <w:r w:rsidRPr="00D44940">
        <w:rPr>
          <w:rFonts w:cstheme="minorHAnsi"/>
          <w:i/>
          <w:iCs/>
        </w:rPr>
        <w:t>Interpretation of the results and their application should therefore be limited to seeking to understand the basis for the PBAC outcome and should not be used for any other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A9" w:rsidRDefault="00B97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A9" w:rsidRPr="00C90416" w:rsidRDefault="00B976A9" w:rsidP="00C90416">
    <w:pPr>
      <w:keepNext/>
      <w:widowControl w:val="0"/>
      <w:tabs>
        <w:tab w:val="center" w:pos="4513"/>
        <w:tab w:val="right" w:pos="9026"/>
      </w:tabs>
      <w:spacing w:before="0" w:after="0"/>
      <w:ind w:left="360"/>
      <w:jc w:val="center"/>
      <w:rPr>
        <w:rFonts w:ascii="Calibri" w:eastAsia="Times New Roman" w:hAnsi="Calibri" w:cs="Arial"/>
        <w:i/>
        <w:snapToGrid w:val="0"/>
        <w:color w:val="808080"/>
      </w:rPr>
    </w:pPr>
    <w:r w:rsidRPr="00F06AD8">
      <w:rPr>
        <w:rFonts w:ascii="Calibri" w:eastAsia="Times New Roman" w:hAnsi="Calibri" w:cs="Arial"/>
        <w:i/>
        <w:snapToGrid w:val="0"/>
        <w:color w:val="808080"/>
      </w:rPr>
      <w:t xml:space="preserve">Public Summary Document </w:t>
    </w:r>
    <w:r w:rsidRPr="00C90416">
      <w:rPr>
        <w:rFonts w:ascii="Calibri" w:eastAsia="Times New Roman" w:hAnsi="Calibri" w:cs="Arial"/>
        <w:i/>
        <w:snapToGrid w:val="0"/>
        <w:color w:val="808080"/>
      </w:rPr>
      <w:t>– November 2021 PBAC Meeting</w:t>
    </w:r>
  </w:p>
  <w:p w:rsidR="00B976A9" w:rsidRPr="00C90416" w:rsidRDefault="00B976A9" w:rsidP="00C904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A9" w:rsidRDefault="00B97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320582A"/>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0A60AD3"/>
    <w:multiLevelType w:val="multilevel"/>
    <w:tmpl w:val="D598E05E"/>
    <w:lvl w:ilvl="0">
      <w:start w:val="1"/>
      <w:numFmt w:val="upperLetter"/>
      <w:pStyle w:val="H1S2"/>
      <w:lvlText w:val="2%1"/>
      <w:lvlJc w:val="left"/>
      <w:pPr>
        <w:ind w:left="1900" w:hanging="1191"/>
      </w:pPr>
      <w:rPr>
        <w:rFonts w:hint="default"/>
      </w:rPr>
    </w:lvl>
    <w:lvl w:ilvl="1">
      <w:start w:val="1"/>
      <w:numFmt w:val="decimal"/>
      <w:pStyle w:val="H2S2"/>
      <w:lvlText w:val="2%1.%2"/>
      <w:lvlJc w:val="left"/>
      <w:pPr>
        <w:ind w:left="3317" w:hanging="1191"/>
      </w:pPr>
      <w:rPr>
        <w:rFonts w:hint="default"/>
        <w:sz w:val="32"/>
        <w:szCs w:val="32"/>
      </w:rPr>
    </w:lvl>
    <w:lvl w:ilvl="2">
      <w:start w:val="1"/>
      <w:numFmt w:val="decimal"/>
      <w:pStyle w:val="H3S2"/>
      <w:lvlText w:val="2%1.%2.%3"/>
      <w:lvlJc w:val="left"/>
      <w:pPr>
        <w:ind w:left="1900" w:hanging="1191"/>
      </w:pPr>
      <w:rPr>
        <w:rFonts w:hint="default"/>
      </w:rPr>
    </w:lvl>
    <w:lvl w:ilvl="3">
      <w:start w:val="1"/>
      <w:numFmt w:val="decimal"/>
      <w:lvlText w:val="2%1.%2.%3.%4"/>
      <w:lvlJc w:val="left"/>
      <w:pPr>
        <w:ind w:left="2297" w:hanging="1588"/>
      </w:pPr>
      <w:rPr>
        <w:rFonts w:hint="default"/>
      </w:rPr>
    </w:lvl>
    <w:lvl w:ilvl="4">
      <w:start w:val="1"/>
      <w:numFmt w:val="decimal"/>
      <w:lvlText w:val="2%1.%2.%3.%4.%5"/>
      <w:lvlJc w:val="left"/>
      <w:pPr>
        <w:ind w:left="1717" w:hanging="1008"/>
      </w:pPr>
      <w:rPr>
        <w:rFonts w:hint="default"/>
      </w:rPr>
    </w:lvl>
    <w:lvl w:ilvl="5">
      <w:start w:val="1"/>
      <w:numFmt w:val="decimal"/>
      <w:lvlText w:val="2%1.%2.%3.%4.%5.%6"/>
      <w:lvlJc w:val="left"/>
      <w:pPr>
        <w:ind w:left="1861" w:hanging="1152"/>
      </w:pPr>
      <w:rPr>
        <w:rFonts w:hint="default"/>
      </w:rPr>
    </w:lvl>
    <w:lvl w:ilvl="6">
      <w:start w:val="1"/>
      <w:numFmt w:val="decimal"/>
      <w:lvlText w:val="2%1.%2.%3.%4.%5.%6.%7"/>
      <w:lvlJc w:val="left"/>
      <w:pPr>
        <w:ind w:left="2005" w:hanging="1296"/>
      </w:pPr>
      <w:rPr>
        <w:rFonts w:hint="default"/>
      </w:rPr>
    </w:lvl>
    <w:lvl w:ilvl="7">
      <w:start w:val="1"/>
      <w:numFmt w:val="decimal"/>
      <w:lvlText w:val="2%1.%2.%3.%4.%5.%6.%7.%8"/>
      <w:lvlJc w:val="left"/>
      <w:pPr>
        <w:ind w:left="2149" w:hanging="1440"/>
      </w:pPr>
      <w:rPr>
        <w:rFonts w:hint="default"/>
      </w:rPr>
    </w:lvl>
    <w:lvl w:ilvl="8">
      <w:start w:val="1"/>
      <w:numFmt w:val="decimal"/>
      <w:lvlText w:val="2%1.%2.%3.%4.%5.%6.%7.%8.%9"/>
      <w:lvlJc w:val="left"/>
      <w:pPr>
        <w:ind w:left="2293" w:hanging="1584"/>
      </w:pPr>
      <w:rPr>
        <w:rFonts w:hint="default"/>
      </w:rPr>
    </w:lvl>
  </w:abstractNum>
  <w:abstractNum w:abstractNumId="2" w15:restartNumberingAfterBreak="0">
    <w:nsid w:val="0196175B"/>
    <w:multiLevelType w:val="hybridMultilevel"/>
    <w:tmpl w:val="383CC7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1E00C4A"/>
    <w:multiLevelType w:val="hybridMultilevel"/>
    <w:tmpl w:val="68620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EC7B48"/>
    <w:multiLevelType w:val="hybridMultilevel"/>
    <w:tmpl w:val="BED8E92E"/>
    <w:lvl w:ilvl="0" w:tplc="76B47716">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073DDC"/>
    <w:multiLevelType w:val="hybridMultilevel"/>
    <w:tmpl w:val="551C93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9617AC2"/>
    <w:multiLevelType w:val="multilevel"/>
    <w:tmpl w:val="92846974"/>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8004C"/>
    <w:multiLevelType w:val="hybridMultilevel"/>
    <w:tmpl w:val="4B8A3A3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2EE6BFE"/>
    <w:multiLevelType w:val="hybridMultilevel"/>
    <w:tmpl w:val="952671A4"/>
    <w:lvl w:ilvl="0" w:tplc="76B47716">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B12887"/>
    <w:multiLevelType w:val="hybridMultilevel"/>
    <w:tmpl w:val="1D4C71B8"/>
    <w:lvl w:ilvl="0" w:tplc="F984CEE0">
      <w:start w:val="1"/>
      <w:numFmt w:val="bullet"/>
      <w:lvlText w:val="-"/>
      <w:lvlJc w:val="left"/>
      <w:pPr>
        <w:tabs>
          <w:tab w:val="num" w:pos="720"/>
        </w:tabs>
        <w:ind w:left="720" w:hanging="360"/>
      </w:pPr>
      <w:rPr>
        <w:rFonts w:ascii="Times New Roman" w:hAnsi="Times New Roman" w:hint="default"/>
      </w:rPr>
    </w:lvl>
    <w:lvl w:ilvl="1" w:tplc="1780DC04" w:tentative="1">
      <w:start w:val="1"/>
      <w:numFmt w:val="bullet"/>
      <w:lvlText w:val="-"/>
      <w:lvlJc w:val="left"/>
      <w:pPr>
        <w:tabs>
          <w:tab w:val="num" w:pos="1440"/>
        </w:tabs>
        <w:ind w:left="1440" w:hanging="360"/>
      </w:pPr>
      <w:rPr>
        <w:rFonts w:ascii="Times New Roman" w:hAnsi="Times New Roman" w:hint="default"/>
      </w:rPr>
    </w:lvl>
    <w:lvl w:ilvl="2" w:tplc="3A58C03A" w:tentative="1">
      <w:start w:val="1"/>
      <w:numFmt w:val="bullet"/>
      <w:lvlText w:val="-"/>
      <w:lvlJc w:val="left"/>
      <w:pPr>
        <w:tabs>
          <w:tab w:val="num" w:pos="2160"/>
        </w:tabs>
        <w:ind w:left="2160" w:hanging="360"/>
      </w:pPr>
      <w:rPr>
        <w:rFonts w:ascii="Times New Roman" w:hAnsi="Times New Roman" w:hint="default"/>
      </w:rPr>
    </w:lvl>
    <w:lvl w:ilvl="3" w:tplc="1EFE6F78" w:tentative="1">
      <w:start w:val="1"/>
      <w:numFmt w:val="bullet"/>
      <w:lvlText w:val="-"/>
      <w:lvlJc w:val="left"/>
      <w:pPr>
        <w:tabs>
          <w:tab w:val="num" w:pos="2880"/>
        </w:tabs>
        <w:ind w:left="2880" w:hanging="360"/>
      </w:pPr>
      <w:rPr>
        <w:rFonts w:ascii="Times New Roman" w:hAnsi="Times New Roman" w:hint="default"/>
      </w:rPr>
    </w:lvl>
    <w:lvl w:ilvl="4" w:tplc="EF32F04E" w:tentative="1">
      <w:start w:val="1"/>
      <w:numFmt w:val="bullet"/>
      <w:lvlText w:val="-"/>
      <w:lvlJc w:val="left"/>
      <w:pPr>
        <w:tabs>
          <w:tab w:val="num" w:pos="3600"/>
        </w:tabs>
        <w:ind w:left="3600" w:hanging="360"/>
      </w:pPr>
      <w:rPr>
        <w:rFonts w:ascii="Times New Roman" w:hAnsi="Times New Roman" w:hint="default"/>
      </w:rPr>
    </w:lvl>
    <w:lvl w:ilvl="5" w:tplc="6B58674A" w:tentative="1">
      <w:start w:val="1"/>
      <w:numFmt w:val="bullet"/>
      <w:lvlText w:val="-"/>
      <w:lvlJc w:val="left"/>
      <w:pPr>
        <w:tabs>
          <w:tab w:val="num" w:pos="4320"/>
        </w:tabs>
        <w:ind w:left="4320" w:hanging="360"/>
      </w:pPr>
      <w:rPr>
        <w:rFonts w:ascii="Times New Roman" w:hAnsi="Times New Roman" w:hint="default"/>
      </w:rPr>
    </w:lvl>
    <w:lvl w:ilvl="6" w:tplc="02E0C046" w:tentative="1">
      <w:start w:val="1"/>
      <w:numFmt w:val="bullet"/>
      <w:lvlText w:val="-"/>
      <w:lvlJc w:val="left"/>
      <w:pPr>
        <w:tabs>
          <w:tab w:val="num" w:pos="5040"/>
        </w:tabs>
        <w:ind w:left="5040" w:hanging="360"/>
      </w:pPr>
      <w:rPr>
        <w:rFonts w:ascii="Times New Roman" w:hAnsi="Times New Roman" w:hint="default"/>
      </w:rPr>
    </w:lvl>
    <w:lvl w:ilvl="7" w:tplc="CE5C4A12" w:tentative="1">
      <w:start w:val="1"/>
      <w:numFmt w:val="bullet"/>
      <w:lvlText w:val="-"/>
      <w:lvlJc w:val="left"/>
      <w:pPr>
        <w:tabs>
          <w:tab w:val="num" w:pos="5760"/>
        </w:tabs>
        <w:ind w:left="5760" w:hanging="360"/>
      </w:pPr>
      <w:rPr>
        <w:rFonts w:ascii="Times New Roman" w:hAnsi="Times New Roman" w:hint="default"/>
      </w:rPr>
    </w:lvl>
    <w:lvl w:ilvl="8" w:tplc="035C1B6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4634013"/>
    <w:multiLevelType w:val="multilevel"/>
    <w:tmpl w:val="319ECF4C"/>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529775B"/>
    <w:multiLevelType w:val="hybridMultilevel"/>
    <w:tmpl w:val="4642B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6B6273"/>
    <w:multiLevelType w:val="hybridMultilevel"/>
    <w:tmpl w:val="3C3C3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182C4D"/>
    <w:multiLevelType w:val="hybridMultilevel"/>
    <w:tmpl w:val="C6567788"/>
    <w:lvl w:ilvl="0" w:tplc="0C7EC1D6">
      <w:start w:val="1"/>
      <w:numFmt w:val="bullet"/>
      <w:lvlText w:val=""/>
      <w:lvlJc w:val="left"/>
      <w:pPr>
        <w:ind w:left="714" w:hanging="354"/>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1A490F8C"/>
    <w:multiLevelType w:val="multilevel"/>
    <w:tmpl w:val="06B224CC"/>
    <w:lvl w:ilvl="0">
      <w:start w:val="1"/>
      <w:numFmt w:val="decimal"/>
      <w:pStyle w:val="Heading1"/>
      <w:lvlText w:val="%1."/>
      <w:lvlJc w:val="left"/>
      <w:pPr>
        <w:ind w:left="360" w:hanging="360"/>
      </w:pPr>
      <w:rPr>
        <w:rFonts w:hint="default"/>
        <w:b/>
      </w:rPr>
    </w:lvl>
    <w:lvl w:ilvl="1">
      <w:start w:val="1"/>
      <w:numFmt w:val="upperLetter"/>
      <w:pStyle w:val="Heading1subheading"/>
      <w:lvlText w:val="%1%2"/>
      <w:lvlJc w:val="left"/>
      <w:pPr>
        <w:ind w:left="576" w:hanging="576"/>
      </w:pPr>
      <w:rPr>
        <w:rFonts w:hint="default"/>
      </w:rPr>
    </w:lvl>
    <w:lvl w:ilvl="2">
      <w:start w:val="1"/>
      <w:numFmt w:val="decimal"/>
      <w:pStyle w:val="Heading2SECTION2"/>
      <w:lvlText w:val="%1%2.%3"/>
      <w:lvlJc w:val="left"/>
      <w:pPr>
        <w:ind w:left="0" w:firstLine="0"/>
      </w:pPr>
      <w:rPr>
        <w:rFonts w:hint="default"/>
      </w:rPr>
    </w:lvl>
    <w:lvl w:ilvl="3">
      <w:start w:val="1"/>
      <w:numFmt w:val="decimal"/>
      <w:lvlRestart w:val="1"/>
      <w:pStyle w:val="Heading2"/>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1A8924B3"/>
    <w:multiLevelType w:val="hybridMultilevel"/>
    <w:tmpl w:val="4B649EA4"/>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C367681"/>
    <w:multiLevelType w:val="hybridMultilevel"/>
    <w:tmpl w:val="186C50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F176BAB"/>
    <w:multiLevelType w:val="hybridMultilevel"/>
    <w:tmpl w:val="F8B4C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CE6248"/>
    <w:multiLevelType w:val="hybridMultilevel"/>
    <w:tmpl w:val="76C4B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2B3696"/>
    <w:multiLevelType w:val="hybridMultilevel"/>
    <w:tmpl w:val="D794DEF8"/>
    <w:lvl w:ilvl="0" w:tplc="76B47716">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19F7917"/>
    <w:multiLevelType w:val="hybridMultilevel"/>
    <w:tmpl w:val="4EDE3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6D33BD"/>
    <w:multiLevelType w:val="hybridMultilevel"/>
    <w:tmpl w:val="0A72FA20"/>
    <w:lvl w:ilvl="0" w:tplc="76B47716">
      <w:start w:val="1"/>
      <w:numFmt w:val="decimal"/>
      <w:lvlText w:val="%1."/>
      <w:lvlJc w:val="left"/>
      <w:pPr>
        <w:ind w:left="833" w:hanging="360"/>
      </w:pPr>
      <w:rPr>
        <w:rFonts w:hint="default"/>
        <w:color w:val="000000"/>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3" w15:restartNumberingAfterBreak="0">
    <w:nsid w:val="25AE421E"/>
    <w:multiLevelType w:val="hybridMultilevel"/>
    <w:tmpl w:val="6382EA38"/>
    <w:lvl w:ilvl="0" w:tplc="FB7A37EE">
      <w:start w:val="1"/>
      <w:numFmt w:val="bullet"/>
      <w:lvlText w:val=""/>
      <w:lvlJc w:val="left"/>
      <w:pPr>
        <w:tabs>
          <w:tab w:val="num" w:pos="360"/>
        </w:tabs>
        <w:ind w:left="360" w:hanging="360"/>
      </w:pPr>
      <w:rPr>
        <w:rFonts w:ascii="Symbol" w:hAnsi="Symbol" w:hint="default"/>
        <w:color w:val="3366FF"/>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CB1FE5"/>
    <w:multiLevelType w:val="hybridMultilevel"/>
    <w:tmpl w:val="837CD080"/>
    <w:lvl w:ilvl="0" w:tplc="76B47716">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65B352F"/>
    <w:multiLevelType w:val="hybridMultilevel"/>
    <w:tmpl w:val="FF60A8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00385A"/>
    <w:multiLevelType w:val="hybridMultilevel"/>
    <w:tmpl w:val="F59E6FFC"/>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29"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2DAE2ECB"/>
    <w:multiLevelType w:val="hybridMultilevel"/>
    <w:tmpl w:val="B6E02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954B83"/>
    <w:multiLevelType w:val="hybridMultilevel"/>
    <w:tmpl w:val="2D9AB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302A6E7C"/>
    <w:multiLevelType w:val="hybridMultilevel"/>
    <w:tmpl w:val="9A66C17A"/>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3A16BAA"/>
    <w:multiLevelType w:val="hybridMultilevel"/>
    <w:tmpl w:val="4D9E05E6"/>
    <w:lvl w:ilvl="0" w:tplc="93F6DF62">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36896AAF"/>
    <w:multiLevelType w:val="hybridMultilevel"/>
    <w:tmpl w:val="EA3A72DC"/>
    <w:lvl w:ilvl="0" w:tplc="76B47716">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A55215E"/>
    <w:multiLevelType w:val="hybridMultilevel"/>
    <w:tmpl w:val="AE58D640"/>
    <w:lvl w:ilvl="0" w:tplc="648A5F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BBE2B11"/>
    <w:multiLevelType w:val="hybridMultilevel"/>
    <w:tmpl w:val="E116CC8A"/>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38" w15:restartNumberingAfterBreak="0">
    <w:nsid w:val="3D1748E4"/>
    <w:multiLevelType w:val="hybridMultilevel"/>
    <w:tmpl w:val="D56E61B6"/>
    <w:lvl w:ilvl="0" w:tplc="B428E4A2">
      <w:start w:val="1"/>
      <w:numFmt w:val="bullet"/>
      <w:lvlText w:val=""/>
      <w:lvlJc w:val="left"/>
      <w:pPr>
        <w:ind w:left="714" w:hanging="354"/>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9" w15:restartNumberingAfterBreak="0">
    <w:nsid w:val="3FDD3985"/>
    <w:multiLevelType w:val="hybridMultilevel"/>
    <w:tmpl w:val="E0A6B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41" w15:restartNumberingAfterBreak="0">
    <w:nsid w:val="43222D59"/>
    <w:multiLevelType w:val="hybridMultilevel"/>
    <w:tmpl w:val="DB8AD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5F473A9"/>
    <w:multiLevelType w:val="hybridMultilevel"/>
    <w:tmpl w:val="C8FE2AF8"/>
    <w:lvl w:ilvl="0" w:tplc="57F611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65A311C"/>
    <w:multiLevelType w:val="hybridMultilevel"/>
    <w:tmpl w:val="E794B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7123FED"/>
    <w:multiLevelType w:val="hybridMultilevel"/>
    <w:tmpl w:val="EA3818A2"/>
    <w:lvl w:ilvl="0" w:tplc="64BE4998">
      <w:start w:val="1"/>
      <w:numFmt w:val="bullet"/>
      <w:lvlText w:val=""/>
      <w:lvlJc w:val="left"/>
      <w:pPr>
        <w:tabs>
          <w:tab w:val="num" w:pos="1080"/>
        </w:tabs>
        <w:ind w:left="1080" w:hanging="360"/>
      </w:pPr>
      <w:rPr>
        <w:rFonts w:ascii="Symbol" w:hAnsi="Symbol" w:hint="default"/>
        <w:color w:val="3366FF"/>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493378F7"/>
    <w:multiLevelType w:val="hybridMultilevel"/>
    <w:tmpl w:val="E6DAD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9EF0EDC"/>
    <w:multiLevelType w:val="hybridMultilevel"/>
    <w:tmpl w:val="72C0A80A"/>
    <w:lvl w:ilvl="0" w:tplc="62805CDA">
      <w:start w:val="1"/>
      <w:numFmt w:val="bullet"/>
      <w:pStyle w:val="Tablebulletlist"/>
      <w:lvlText w:val="•"/>
      <w:lvlJc w:val="left"/>
      <w:pPr>
        <w:ind w:left="468" w:hanging="360"/>
      </w:pPr>
      <w:rPr>
        <w:rFonts w:hint="default"/>
        <w:sz w:val="20"/>
        <w:szCs w:val="20"/>
      </w:rPr>
    </w:lvl>
    <w:lvl w:ilvl="1" w:tplc="B0A8C722">
      <w:start w:val="1"/>
      <w:numFmt w:val="bullet"/>
      <w:lvlText w:val="•"/>
      <w:lvlJc w:val="left"/>
      <w:pPr>
        <w:ind w:left="1061" w:hanging="356"/>
      </w:pPr>
      <w:rPr>
        <w:rFonts w:hint="default"/>
      </w:rPr>
    </w:lvl>
    <w:lvl w:ilvl="2" w:tplc="E0BC4358">
      <w:start w:val="1"/>
      <w:numFmt w:val="bullet"/>
      <w:lvlText w:val="•"/>
      <w:lvlJc w:val="left"/>
      <w:pPr>
        <w:ind w:left="1659" w:hanging="356"/>
      </w:pPr>
      <w:rPr>
        <w:rFonts w:hint="default"/>
      </w:rPr>
    </w:lvl>
    <w:lvl w:ilvl="3" w:tplc="EB8CDDD0">
      <w:start w:val="1"/>
      <w:numFmt w:val="bullet"/>
      <w:lvlText w:val="•"/>
      <w:lvlJc w:val="left"/>
      <w:pPr>
        <w:ind w:left="2257" w:hanging="356"/>
      </w:pPr>
      <w:rPr>
        <w:rFonts w:hint="default"/>
      </w:rPr>
    </w:lvl>
    <w:lvl w:ilvl="4" w:tplc="173E1550">
      <w:start w:val="1"/>
      <w:numFmt w:val="bullet"/>
      <w:lvlText w:val="•"/>
      <w:lvlJc w:val="left"/>
      <w:pPr>
        <w:ind w:left="2854" w:hanging="356"/>
      </w:pPr>
      <w:rPr>
        <w:rFonts w:hint="default"/>
      </w:rPr>
    </w:lvl>
    <w:lvl w:ilvl="5" w:tplc="08865432">
      <w:start w:val="1"/>
      <w:numFmt w:val="bullet"/>
      <w:lvlText w:val="•"/>
      <w:lvlJc w:val="left"/>
      <w:pPr>
        <w:ind w:left="3452" w:hanging="356"/>
      </w:pPr>
      <w:rPr>
        <w:rFonts w:hint="default"/>
      </w:rPr>
    </w:lvl>
    <w:lvl w:ilvl="6" w:tplc="677C8074">
      <w:start w:val="1"/>
      <w:numFmt w:val="bullet"/>
      <w:lvlText w:val="•"/>
      <w:lvlJc w:val="left"/>
      <w:pPr>
        <w:ind w:left="4050" w:hanging="356"/>
      </w:pPr>
      <w:rPr>
        <w:rFonts w:hint="default"/>
      </w:rPr>
    </w:lvl>
    <w:lvl w:ilvl="7" w:tplc="7082A91C">
      <w:start w:val="1"/>
      <w:numFmt w:val="bullet"/>
      <w:lvlText w:val="•"/>
      <w:lvlJc w:val="left"/>
      <w:pPr>
        <w:ind w:left="4648" w:hanging="356"/>
      </w:pPr>
      <w:rPr>
        <w:rFonts w:hint="default"/>
      </w:rPr>
    </w:lvl>
    <w:lvl w:ilvl="8" w:tplc="46545CBA">
      <w:start w:val="1"/>
      <w:numFmt w:val="bullet"/>
      <w:lvlText w:val="•"/>
      <w:lvlJc w:val="left"/>
      <w:pPr>
        <w:ind w:left="5245" w:hanging="356"/>
      </w:pPr>
      <w:rPr>
        <w:rFonts w:hint="default"/>
      </w:rPr>
    </w:lvl>
  </w:abstractNum>
  <w:abstractNum w:abstractNumId="48" w15:restartNumberingAfterBreak="0">
    <w:nsid w:val="4A0E4FCD"/>
    <w:multiLevelType w:val="hybridMultilevel"/>
    <w:tmpl w:val="D04CA33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70E7FCC"/>
    <w:multiLevelType w:val="hybridMultilevel"/>
    <w:tmpl w:val="0E2E50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8074071"/>
    <w:multiLevelType w:val="hybridMultilevel"/>
    <w:tmpl w:val="C9A68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8905DEF"/>
    <w:multiLevelType w:val="hybridMultilevel"/>
    <w:tmpl w:val="C944E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A87534"/>
    <w:multiLevelType w:val="hybridMultilevel"/>
    <w:tmpl w:val="57E2F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CFC787F"/>
    <w:multiLevelType w:val="hybridMultilevel"/>
    <w:tmpl w:val="06EAA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D1241D0"/>
    <w:multiLevelType w:val="hybridMultilevel"/>
    <w:tmpl w:val="00482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D387448"/>
    <w:multiLevelType w:val="multilevel"/>
    <w:tmpl w:val="B22A93B6"/>
    <w:numStyleLink w:val="Heading1a"/>
  </w:abstractNum>
  <w:abstractNum w:abstractNumId="57"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DAC5FFD"/>
    <w:multiLevelType w:val="multilevel"/>
    <w:tmpl w:val="0CAA3C6C"/>
    <w:lvl w:ilvl="0">
      <w:start w:val="1"/>
      <w:numFmt w:val="decimal"/>
      <w:lvlText w:val="%1"/>
      <w:lvlJc w:val="left"/>
      <w:pPr>
        <w:ind w:left="1287" w:hanging="720"/>
      </w:pPr>
    </w:lvl>
    <w:lvl w:ilvl="1">
      <w:start w:val="1"/>
      <w:numFmt w:val="decimal"/>
      <w:pStyle w:val="3-BodyText"/>
      <w:lvlText w:val="%1.%2"/>
      <w:lvlJc w:val="left"/>
      <w:pPr>
        <w:ind w:left="720" w:hanging="720"/>
      </w:pPr>
      <w:rPr>
        <w:color w:val="auto"/>
      </w:rPr>
    </w:lvl>
    <w:lvl w:ilvl="2">
      <w:start w:val="1"/>
      <w:numFmt w:val="lowerRoman"/>
      <w:lvlText w:val="%3."/>
      <w:lvlJc w:val="right"/>
      <w:pPr>
        <w:ind w:left="2517" w:hanging="177"/>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62302988"/>
    <w:multiLevelType w:val="hybridMultilevel"/>
    <w:tmpl w:val="23CA4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2400D51"/>
    <w:multiLevelType w:val="hybridMultilevel"/>
    <w:tmpl w:val="26340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4195F86"/>
    <w:multiLevelType w:val="hybridMultilevel"/>
    <w:tmpl w:val="A89616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AEF150B"/>
    <w:multiLevelType w:val="hybridMultilevel"/>
    <w:tmpl w:val="32F8E1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D2F04B2"/>
    <w:multiLevelType w:val="hybridMultilevel"/>
    <w:tmpl w:val="BF743F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6D6F0166"/>
    <w:multiLevelType w:val="hybridMultilevel"/>
    <w:tmpl w:val="E0F0D67C"/>
    <w:lvl w:ilvl="0" w:tplc="73FC0AB0">
      <w:start w:val="1"/>
      <w:numFmt w:val="decimal"/>
      <w:lvlText w:val="%1."/>
      <w:lvlJc w:val="left"/>
      <w:pPr>
        <w:ind w:left="720" w:hanging="360"/>
      </w:pPr>
      <w:rPr>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FBA0B51"/>
    <w:multiLevelType w:val="hybridMultilevel"/>
    <w:tmpl w:val="AE58EF74"/>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0111D0C"/>
    <w:multiLevelType w:val="hybridMultilevel"/>
    <w:tmpl w:val="C4B8830E"/>
    <w:lvl w:ilvl="0" w:tplc="596E63DE">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70901B21"/>
    <w:multiLevelType w:val="multilevel"/>
    <w:tmpl w:val="DEBA099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162133C"/>
    <w:multiLevelType w:val="hybridMultilevel"/>
    <w:tmpl w:val="25908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4DA27D6"/>
    <w:multiLevelType w:val="hybridMultilevel"/>
    <w:tmpl w:val="F54E495E"/>
    <w:lvl w:ilvl="0" w:tplc="44D037D8">
      <w:start w:val="1"/>
      <w:numFmt w:val="bullet"/>
      <w:pStyle w:val="Bullet6"/>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84D033C"/>
    <w:multiLevelType w:val="multilevel"/>
    <w:tmpl w:val="33EC2DA4"/>
    <w:lvl w:ilvl="0">
      <w:start w:val="1"/>
      <w:numFmt w:val="decimal"/>
      <w:pStyle w:val="PBACESHeading1"/>
      <w:lvlText w:val="%1"/>
      <w:lvlJc w:val="left"/>
      <w:pPr>
        <w:ind w:left="720" w:hanging="720"/>
      </w:pPr>
      <w:rPr>
        <w:rFonts w:hint="default"/>
        <w:b/>
      </w:rPr>
    </w:lvl>
    <w:lvl w:ilvl="1">
      <w:start w:val="1"/>
      <w:numFmt w:val="none"/>
      <w:pStyle w:val="PBACESHeadingCAPS"/>
      <w:suff w:val="nothing"/>
      <w:lvlText w:val=""/>
      <w:lvlJc w:val="left"/>
      <w:pPr>
        <w:ind w:left="720" w:hanging="720"/>
      </w:pPr>
      <w:rPr>
        <w:rFonts w:hint="default"/>
      </w:rPr>
    </w:lvl>
    <w:lvl w:ilvl="2">
      <w:start w:val="1"/>
      <w:numFmt w:val="none"/>
      <w:lvlRestart w:val="1"/>
      <w:pStyle w:val="PBACESHeading2"/>
      <w:suff w:val="nothing"/>
      <w:lvlText w:val=""/>
      <w:lvlJc w:val="left"/>
      <w:pPr>
        <w:ind w:left="720" w:hanging="720"/>
      </w:pPr>
      <w:rPr>
        <w:rFonts w:hint="default"/>
      </w:rPr>
    </w:lvl>
    <w:lvl w:ilvl="3">
      <w:start w:val="1"/>
      <w:numFmt w:val="none"/>
      <w:lvlRestart w:val="1"/>
      <w:pStyle w:val="PBACESHeading3"/>
      <w:suff w:val="nothing"/>
      <w:lvlText w:val=""/>
      <w:lvlJc w:val="left"/>
      <w:pPr>
        <w:ind w:left="1080" w:hanging="1080"/>
      </w:pPr>
      <w:rPr>
        <w:rFonts w:hint="default"/>
      </w:rPr>
    </w:lvl>
    <w:lvl w:ilvl="4">
      <w:start w:val="1"/>
      <w:numFmt w:val="decimal"/>
      <w:lvlRestart w:val="1"/>
      <w:pStyle w:val="ListParagraph"/>
      <w:lvlText w:val="%1.%5"/>
      <w:lvlJc w:val="left"/>
      <w:pPr>
        <w:ind w:left="720" w:hanging="720"/>
      </w:pPr>
      <w:rPr>
        <w:rFonts w:hint="default"/>
        <w:i w:val="0"/>
        <w:iCs/>
        <w:color w:val="auto"/>
      </w:rPr>
    </w:lvl>
    <w:lvl w:ilvl="5">
      <w:start w:val="1"/>
      <w:numFmt w:val="decimal"/>
      <w:lvlRestart w:val="1"/>
      <w:pStyle w:val="MSACHeading1"/>
      <w:lvlText w:val="%6"/>
      <w:lvlJc w:val="left"/>
      <w:pPr>
        <w:ind w:left="720" w:hanging="720"/>
      </w:pPr>
      <w:rPr>
        <w:rFonts w:hint="default"/>
      </w:rPr>
    </w:lvl>
    <w:lvl w:ilvl="6">
      <w:start w:val="1"/>
      <w:numFmt w:val="none"/>
      <w:pStyle w:val="MSACESHeading2"/>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90E5713"/>
    <w:multiLevelType w:val="hybridMultilevel"/>
    <w:tmpl w:val="573E7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9784CE3"/>
    <w:multiLevelType w:val="hybridMultilevel"/>
    <w:tmpl w:val="A89616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7D962F94"/>
    <w:multiLevelType w:val="hybridMultilevel"/>
    <w:tmpl w:val="74903CEE"/>
    <w:lvl w:ilvl="0" w:tplc="16D68352">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6" w15:restartNumberingAfterBreak="0">
    <w:nsid w:val="7EBC358B"/>
    <w:multiLevelType w:val="hybridMultilevel"/>
    <w:tmpl w:val="DA7C6A16"/>
    <w:lvl w:ilvl="0" w:tplc="5C548CF8">
      <w:start w:val="1"/>
      <w:numFmt w:val="bullet"/>
      <w:lvlText w:val=""/>
      <w:lvlJc w:val="left"/>
      <w:pPr>
        <w:tabs>
          <w:tab w:val="num" w:pos="360"/>
        </w:tabs>
        <w:ind w:left="360" w:hanging="360"/>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FD02776"/>
    <w:multiLevelType w:val="hybridMultilevel"/>
    <w:tmpl w:val="4B8A3A36"/>
    <w:lvl w:ilvl="0" w:tplc="DBFA83DC">
      <w:start w:val="1"/>
      <w:numFmt w:val="bullet"/>
      <w:lvlText w:val=""/>
      <w:lvlJc w:val="left"/>
      <w:pPr>
        <w:tabs>
          <w:tab w:val="num" w:pos="360"/>
        </w:tabs>
        <w:ind w:left="360" w:hanging="360"/>
      </w:pPr>
      <w:rPr>
        <w:rFonts w:ascii="Symbol" w:hAnsi="Symbol" w:hint="default"/>
        <w:color w:val="auto"/>
        <w:sz w:val="22"/>
        <w:szCs w:val="22"/>
      </w:rPr>
    </w:lvl>
    <w:lvl w:ilvl="1" w:tplc="32EAB9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1"/>
  </w:num>
  <w:num w:numId="2">
    <w:abstractNumId w:val="27"/>
  </w:num>
  <w:num w:numId="3">
    <w:abstractNumId w:val="36"/>
  </w:num>
  <w:num w:numId="4">
    <w:abstractNumId w:val="15"/>
  </w:num>
  <w:num w:numId="5">
    <w:abstractNumId w:val="11"/>
  </w:num>
  <w:num w:numId="6">
    <w:abstractNumId w:val="45"/>
  </w:num>
  <w:num w:numId="7">
    <w:abstractNumId w:val="7"/>
  </w:num>
  <w:num w:numId="8">
    <w:abstractNumId w:val="26"/>
  </w:num>
  <w:num w:numId="9">
    <w:abstractNumId w:val="52"/>
  </w:num>
  <w:num w:numId="10">
    <w:abstractNumId w:val="5"/>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2"/>
  </w:num>
  <w:num w:numId="13">
    <w:abstractNumId w:val="35"/>
  </w:num>
  <w:num w:numId="14">
    <w:abstractNumId w:val="37"/>
  </w:num>
  <w:num w:numId="15">
    <w:abstractNumId w:val="12"/>
  </w:num>
  <w:num w:numId="16">
    <w:abstractNumId w:val="53"/>
  </w:num>
  <w:num w:numId="17">
    <w:abstractNumId w:val="28"/>
  </w:num>
  <w:num w:numId="18">
    <w:abstractNumId w:val="70"/>
  </w:num>
  <w:num w:numId="19">
    <w:abstractNumId w:val="1"/>
  </w:num>
  <w:num w:numId="20">
    <w:abstractNumId w:val="47"/>
  </w:num>
  <w:num w:numId="21">
    <w:abstractNumId w:val="54"/>
  </w:num>
  <w:num w:numId="22">
    <w:abstractNumId w:val="33"/>
  </w:num>
  <w:num w:numId="23">
    <w:abstractNumId w:val="41"/>
  </w:num>
  <w:num w:numId="24">
    <w:abstractNumId w:val="25"/>
  </w:num>
  <w:num w:numId="25">
    <w:abstractNumId w:val="18"/>
  </w:num>
  <w:num w:numId="26">
    <w:abstractNumId w:val="64"/>
  </w:num>
  <w:num w:numId="27">
    <w:abstractNumId w:val="17"/>
  </w:num>
  <w:num w:numId="28">
    <w:abstractNumId w:val="65"/>
  </w:num>
  <w:num w:numId="29">
    <w:abstractNumId w:val="16"/>
  </w:num>
  <w:num w:numId="30">
    <w:abstractNumId w:val="62"/>
  </w:num>
  <w:num w:numId="31">
    <w:abstractNumId w:val="61"/>
  </w:num>
  <w:num w:numId="32">
    <w:abstractNumId w:val="30"/>
  </w:num>
  <w:num w:numId="33">
    <w:abstractNumId w:val="76"/>
  </w:num>
  <w:num w:numId="34">
    <w:abstractNumId w:val="23"/>
  </w:num>
  <w:num w:numId="35">
    <w:abstractNumId w:val="8"/>
  </w:num>
  <w:num w:numId="36">
    <w:abstractNumId w:val="44"/>
  </w:num>
  <w:num w:numId="37">
    <w:abstractNumId w:val="57"/>
  </w:num>
  <w:num w:numId="38">
    <w:abstractNumId w:val="40"/>
  </w:num>
  <w:num w:numId="39">
    <w:abstractNumId w:val="32"/>
  </w:num>
  <w:num w:numId="40">
    <w:abstractNumId w:val="66"/>
  </w:num>
  <w:num w:numId="41">
    <w:abstractNumId w:val="75"/>
  </w:num>
  <w:num w:numId="42">
    <w:abstractNumId w:val="29"/>
  </w:num>
  <w:num w:numId="43">
    <w:abstractNumId w:val="56"/>
  </w:num>
  <w:num w:numId="44">
    <w:abstractNumId w:val="42"/>
  </w:num>
  <w:num w:numId="45">
    <w:abstractNumId w:val="77"/>
  </w:num>
  <w:num w:numId="46">
    <w:abstractNumId w:val="48"/>
  </w:num>
  <w:num w:numId="47">
    <w:abstractNumId w:val="50"/>
  </w:num>
  <w:num w:numId="48">
    <w:abstractNumId w:val="63"/>
  </w:num>
  <w:num w:numId="49">
    <w:abstractNumId w:val="31"/>
  </w:num>
  <w:num w:numId="50">
    <w:abstractNumId w:val="46"/>
  </w:num>
  <w:num w:numId="51">
    <w:abstractNumId w:val="3"/>
  </w:num>
  <w:num w:numId="52">
    <w:abstractNumId w:val="39"/>
  </w:num>
  <w:num w:numId="53">
    <w:abstractNumId w:val="51"/>
  </w:num>
  <w:num w:numId="54">
    <w:abstractNumId w:val="67"/>
  </w:num>
  <w:num w:numId="55">
    <w:abstractNumId w:val="34"/>
  </w:num>
  <w:num w:numId="56">
    <w:abstractNumId w:val="22"/>
  </w:num>
  <w:num w:numId="57">
    <w:abstractNumId w:val="55"/>
  </w:num>
  <w:num w:numId="58">
    <w:abstractNumId w:val="69"/>
  </w:num>
  <w:num w:numId="59">
    <w:abstractNumId w:val="24"/>
  </w:num>
  <w:num w:numId="60">
    <w:abstractNumId w:val="20"/>
  </w:num>
  <w:num w:numId="61">
    <w:abstractNumId w:val="19"/>
  </w:num>
  <w:num w:numId="62">
    <w:abstractNumId w:val="9"/>
  </w:num>
  <w:num w:numId="63">
    <w:abstractNumId w:val="73"/>
  </w:num>
  <w:num w:numId="64">
    <w:abstractNumId w:val="4"/>
  </w:num>
  <w:num w:numId="65">
    <w:abstractNumId w:val="43"/>
  </w:num>
  <w:num w:numId="66">
    <w:abstractNumId w:val="60"/>
  </w:num>
  <w:num w:numId="67">
    <w:abstractNumId w:val="21"/>
  </w:num>
  <w:num w:numId="68">
    <w:abstractNumId w:val="13"/>
  </w:num>
  <w:num w:numId="69">
    <w:abstractNumId w:val="74"/>
  </w:num>
  <w:num w:numId="70">
    <w:abstractNumId w:val="59"/>
  </w:num>
  <w:num w:numId="71">
    <w:abstractNumId w:val="10"/>
  </w:num>
  <w:num w:numId="72">
    <w:abstractNumId w:val="49"/>
  </w:num>
  <w:num w:numId="73">
    <w:abstractNumId w:val="15"/>
  </w:num>
  <w:num w:numId="74">
    <w:abstractNumId w:val="38"/>
  </w:num>
  <w:num w:numId="75">
    <w:abstractNumId w:val="15"/>
  </w:num>
  <w:num w:numId="76">
    <w:abstractNumId w:val="15"/>
  </w:num>
  <w:num w:numId="77">
    <w:abstractNumId w:val="15"/>
  </w:num>
  <w:num w:numId="78">
    <w:abstractNumId w:val="15"/>
  </w:num>
  <w:num w:numId="79">
    <w:abstractNumId w:val="15"/>
  </w:num>
  <w:num w:numId="80">
    <w:abstractNumId w:val="15"/>
  </w:num>
  <w:num w:numId="81">
    <w:abstractNumId w:val="15"/>
  </w:num>
  <w:num w:numId="82">
    <w:abstractNumId w:val="15"/>
  </w:num>
  <w:num w:numId="83">
    <w:abstractNumId w:val="14"/>
  </w:num>
  <w:num w:numId="84">
    <w:abstractNumId w:val="71"/>
  </w:num>
  <w:num w:numId="85">
    <w:abstractNumId w:val="71"/>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num>
  <w:num w:numId="88">
    <w:abstractNumId w:val="15"/>
  </w:num>
  <w:num w:numId="89">
    <w:abstractNumId w:val="15"/>
  </w:num>
  <w:num w:numId="90">
    <w:abstractNumId w:val="71"/>
  </w:num>
  <w:num w:numId="91">
    <w:abstractNumId w:val="71"/>
  </w:num>
  <w:num w:numId="92">
    <w:abstractNumId w:val="71"/>
  </w:num>
  <w:num w:numId="93">
    <w:abstractNumId w:val="71"/>
  </w:num>
  <w:num w:numId="94">
    <w:abstractNumId w:val="71"/>
  </w:num>
  <w:num w:numId="95">
    <w:abstractNumId w:val="71"/>
  </w:num>
  <w:num w:numId="96">
    <w:abstractNumId w:val="6"/>
  </w:num>
  <w:num w:numId="97">
    <w:abstractNumId w:val="2"/>
  </w:num>
  <w:num w:numId="9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1"/>
  </w:num>
  <w:num w:numId="100">
    <w:abstractNumId w:val="0"/>
  </w:num>
  <w:num w:numId="101">
    <w:abstractNumId w:val="71"/>
  </w:num>
  <w:num w:numId="102">
    <w:abstractNumId w:val="58"/>
  </w:num>
  <w:num w:numId="103">
    <w:abstractNumId w:val="71"/>
  </w:num>
  <w:num w:numId="104">
    <w:abstractNumId w:val="71"/>
  </w:num>
  <w:num w:numId="105">
    <w:abstractNumId w:val="6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hideSpellingErrors/>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s-ES"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GB" w:vendorID="64" w:dllVersion="131078" w:nlCheck="1" w:checkStyle="1"/>
  <w:proofState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a9rxsd40vwspeerz5x9zxh05f9xx5waw0w&quot;&gt;1602-1 comm library&lt;record-ids&gt;&lt;item&gt;15&lt;/item&gt;&lt;item&gt;16&lt;/item&gt;&lt;item&gt;17&lt;/item&gt;&lt;item&gt;19&lt;/item&gt;&lt;item&gt;20&lt;/item&gt;&lt;item&gt;21&lt;/item&gt;&lt;item&gt;23&lt;/item&gt;&lt;item&gt;25&lt;/item&gt;&lt;item&gt;27&lt;/item&gt;&lt;item&gt;29&lt;/item&gt;&lt;item&gt;30&lt;/item&gt;&lt;item&gt;33&lt;/item&gt;&lt;item&gt;34&lt;/item&gt;&lt;item&gt;40&lt;/item&gt;&lt;item&gt;47&lt;/item&gt;&lt;item&gt;49&lt;/item&gt;&lt;item&gt;79&lt;/item&gt;&lt;item&gt;80&lt;/item&gt;&lt;item&gt;81&lt;/item&gt;&lt;item&gt;82&lt;/item&gt;&lt;item&gt;83&lt;/item&gt;&lt;item&gt;84&lt;/item&gt;&lt;item&gt;85&lt;/item&gt;&lt;item&gt;86&lt;/item&gt;&lt;item&gt;88&lt;/item&gt;&lt;item&gt;89&lt;/item&gt;&lt;item&gt;90&lt;/item&gt;&lt;item&gt;92&lt;/item&gt;&lt;item&gt;94&lt;/item&gt;&lt;item&gt;95&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5&lt;/item&gt;&lt;item&gt;117&lt;/item&gt;&lt;item&gt;118&lt;/item&gt;&lt;item&gt;119&lt;/item&gt;&lt;item&gt;120&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record-ids&gt;&lt;/item&gt;&lt;/Libraries&gt;"/>
  </w:docVars>
  <w:rsids>
    <w:rsidRoot w:val="00BC2E79"/>
    <w:rsid w:val="00000E89"/>
    <w:rsid w:val="00001AB4"/>
    <w:rsid w:val="00002AA3"/>
    <w:rsid w:val="00004678"/>
    <w:rsid w:val="000054D3"/>
    <w:rsid w:val="00005AF7"/>
    <w:rsid w:val="000062E0"/>
    <w:rsid w:val="0001066F"/>
    <w:rsid w:val="0001115F"/>
    <w:rsid w:val="0001281E"/>
    <w:rsid w:val="00012EE8"/>
    <w:rsid w:val="000131C9"/>
    <w:rsid w:val="00013222"/>
    <w:rsid w:val="000143D9"/>
    <w:rsid w:val="00014B4C"/>
    <w:rsid w:val="00015001"/>
    <w:rsid w:val="000153DF"/>
    <w:rsid w:val="0001548D"/>
    <w:rsid w:val="00016D91"/>
    <w:rsid w:val="000170E1"/>
    <w:rsid w:val="000203BE"/>
    <w:rsid w:val="0002095B"/>
    <w:rsid w:val="00021BEB"/>
    <w:rsid w:val="00022220"/>
    <w:rsid w:val="00023C29"/>
    <w:rsid w:val="00023C46"/>
    <w:rsid w:val="0002488A"/>
    <w:rsid w:val="00025A0E"/>
    <w:rsid w:val="000276FC"/>
    <w:rsid w:val="00027818"/>
    <w:rsid w:val="00030D9F"/>
    <w:rsid w:val="00032738"/>
    <w:rsid w:val="00033CE1"/>
    <w:rsid w:val="00034404"/>
    <w:rsid w:val="0003497C"/>
    <w:rsid w:val="00035362"/>
    <w:rsid w:val="00035982"/>
    <w:rsid w:val="000359BA"/>
    <w:rsid w:val="000361EB"/>
    <w:rsid w:val="000418C5"/>
    <w:rsid w:val="00042237"/>
    <w:rsid w:val="0004335B"/>
    <w:rsid w:val="000439CE"/>
    <w:rsid w:val="0004441D"/>
    <w:rsid w:val="00044D54"/>
    <w:rsid w:val="000455DE"/>
    <w:rsid w:val="00045717"/>
    <w:rsid w:val="000461CF"/>
    <w:rsid w:val="00046853"/>
    <w:rsid w:val="0004736B"/>
    <w:rsid w:val="0004758F"/>
    <w:rsid w:val="0005001F"/>
    <w:rsid w:val="000510A9"/>
    <w:rsid w:val="000511A1"/>
    <w:rsid w:val="00051AA5"/>
    <w:rsid w:val="000522EE"/>
    <w:rsid w:val="00052BCD"/>
    <w:rsid w:val="00052CE5"/>
    <w:rsid w:val="000539AE"/>
    <w:rsid w:val="00053B64"/>
    <w:rsid w:val="00053DB1"/>
    <w:rsid w:val="00054171"/>
    <w:rsid w:val="00055BC0"/>
    <w:rsid w:val="00055DCD"/>
    <w:rsid w:val="000564D3"/>
    <w:rsid w:val="000578D9"/>
    <w:rsid w:val="00057EDA"/>
    <w:rsid w:val="00057F71"/>
    <w:rsid w:val="00061062"/>
    <w:rsid w:val="00061DB8"/>
    <w:rsid w:val="00062018"/>
    <w:rsid w:val="00062067"/>
    <w:rsid w:val="0006287B"/>
    <w:rsid w:val="00063F2B"/>
    <w:rsid w:val="0006442F"/>
    <w:rsid w:val="00064488"/>
    <w:rsid w:val="000644FA"/>
    <w:rsid w:val="00064873"/>
    <w:rsid w:val="00064D04"/>
    <w:rsid w:val="00065C62"/>
    <w:rsid w:val="00065CDE"/>
    <w:rsid w:val="00065F4A"/>
    <w:rsid w:val="0006645B"/>
    <w:rsid w:val="00066731"/>
    <w:rsid w:val="00066CBD"/>
    <w:rsid w:val="00067105"/>
    <w:rsid w:val="000676E5"/>
    <w:rsid w:val="000677DE"/>
    <w:rsid w:val="0007063B"/>
    <w:rsid w:val="000708AA"/>
    <w:rsid w:val="00070951"/>
    <w:rsid w:val="00070D75"/>
    <w:rsid w:val="00071773"/>
    <w:rsid w:val="00073480"/>
    <w:rsid w:val="00073769"/>
    <w:rsid w:val="0007521A"/>
    <w:rsid w:val="00076B17"/>
    <w:rsid w:val="00076E36"/>
    <w:rsid w:val="000773CF"/>
    <w:rsid w:val="00080803"/>
    <w:rsid w:val="00080CDB"/>
    <w:rsid w:val="00080FF3"/>
    <w:rsid w:val="000821B3"/>
    <w:rsid w:val="00082868"/>
    <w:rsid w:val="000846A4"/>
    <w:rsid w:val="000847FE"/>
    <w:rsid w:val="00084B18"/>
    <w:rsid w:val="00086133"/>
    <w:rsid w:val="0008687D"/>
    <w:rsid w:val="000868AE"/>
    <w:rsid w:val="000905E1"/>
    <w:rsid w:val="00090F76"/>
    <w:rsid w:val="00092727"/>
    <w:rsid w:val="00092945"/>
    <w:rsid w:val="0009326A"/>
    <w:rsid w:val="0009334C"/>
    <w:rsid w:val="00093CF2"/>
    <w:rsid w:val="00094CDE"/>
    <w:rsid w:val="00095653"/>
    <w:rsid w:val="0009688E"/>
    <w:rsid w:val="00096A5C"/>
    <w:rsid w:val="00096BCD"/>
    <w:rsid w:val="00096DF2"/>
    <w:rsid w:val="00097056"/>
    <w:rsid w:val="000975AC"/>
    <w:rsid w:val="00097C90"/>
    <w:rsid w:val="000A0B21"/>
    <w:rsid w:val="000A15D5"/>
    <w:rsid w:val="000A194A"/>
    <w:rsid w:val="000A1F7B"/>
    <w:rsid w:val="000A2694"/>
    <w:rsid w:val="000A2EF1"/>
    <w:rsid w:val="000A2FBE"/>
    <w:rsid w:val="000A3110"/>
    <w:rsid w:val="000A3D99"/>
    <w:rsid w:val="000A3F4C"/>
    <w:rsid w:val="000A499E"/>
    <w:rsid w:val="000A5FF0"/>
    <w:rsid w:val="000A6FBD"/>
    <w:rsid w:val="000A7333"/>
    <w:rsid w:val="000A73FC"/>
    <w:rsid w:val="000A7EA5"/>
    <w:rsid w:val="000B1841"/>
    <w:rsid w:val="000B1A51"/>
    <w:rsid w:val="000B1C7F"/>
    <w:rsid w:val="000B2BE3"/>
    <w:rsid w:val="000B2D7F"/>
    <w:rsid w:val="000B303F"/>
    <w:rsid w:val="000B35EA"/>
    <w:rsid w:val="000B56CD"/>
    <w:rsid w:val="000B5994"/>
    <w:rsid w:val="000B5FEE"/>
    <w:rsid w:val="000B6356"/>
    <w:rsid w:val="000B6B69"/>
    <w:rsid w:val="000B6C23"/>
    <w:rsid w:val="000B7AED"/>
    <w:rsid w:val="000C005C"/>
    <w:rsid w:val="000C0142"/>
    <w:rsid w:val="000C0600"/>
    <w:rsid w:val="000C0C4F"/>
    <w:rsid w:val="000C1044"/>
    <w:rsid w:val="000C11CC"/>
    <w:rsid w:val="000C27DE"/>
    <w:rsid w:val="000C32AD"/>
    <w:rsid w:val="000C33FB"/>
    <w:rsid w:val="000C434C"/>
    <w:rsid w:val="000C4881"/>
    <w:rsid w:val="000C5066"/>
    <w:rsid w:val="000C55FB"/>
    <w:rsid w:val="000C5EE4"/>
    <w:rsid w:val="000C668E"/>
    <w:rsid w:val="000C699A"/>
    <w:rsid w:val="000C6A40"/>
    <w:rsid w:val="000C7531"/>
    <w:rsid w:val="000C7883"/>
    <w:rsid w:val="000C793A"/>
    <w:rsid w:val="000D0023"/>
    <w:rsid w:val="000D03F7"/>
    <w:rsid w:val="000D0A81"/>
    <w:rsid w:val="000D169F"/>
    <w:rsid w:val="000D1AB4"/>
    <w:rsid w:val="000D20E6"/>
    <w:rsid w:val="000D245A"/>
    <w:rsid w:val="000D274E"/>
    <w:rsid w:val="000D324F"/>
    <w:rsid w:val="000D36DD"/>
    <w:rsid w:val="000D39EF"/>
    <w:rsid w:val="000D5051"/>
    <w:rsid w:val="000D6FA1"/>
    <w:rsid w:val="000E07CD"/>
    <w:rsid w:val="000E0ACB"/>
    <w:rsid w:val="000E0E3C"/>
    <w:rsid w:val="000E15F6"/>
    <w:rsid w:val="000E3CBA"/>
    <w:rsid w:val="000E4CFB"/>
    <w:rsid w:val="000E52DB"/>
    <w:rsid w:val="000E54F2"/>
    <w:rsid w:val="000E5E3E"/>
    <w:rsid w:val="000E7019"/>
    <w:rsid w:val="000F0245"/>
    <w:rsid w:val="000F228F"/>
    <w:rsid w:val="000F243A"/>
    <w:rsid w:val="000F2534"/>
    <w:rsid w:val="000F2A4A"/>
    <w:rsid w:val="000F2F49"/>
    <w:rsid w:val="000F313A"/>
    <w:rsid w:val="000F31F4"/>
    <w:rsid w:val="000F3652"/>
    <w:rsid w:val="000F388B"/>
    <w:rsid w:val="000F430E"/>
    <w:rsid w:val="000F485B"/>
    <w:rsid w:val="000F48A8"/>
    <w:rsid w:val="000F5467"/>
    <w:rsid w:val="000F6059"/>
    <w:rsid w:val="0010002D"/>
    <w:rsid w:val="00100571"/>
    <w:rsid w:val="0010086D"/>
    <w:rsid w:val="001018A8"/>
    <w:rsid w:val="00101BF3"/>
    <w:rsid w:val="00102513"/>
    <w:rsid w:val="00104A1D"/>
    <w:rsid w:val="001059D6"/>
    <w:rsid w:val="00105E30"/>
    <w:rsid w:val="001063DE"/>
    <w:rsid w:val="001064BF"/>
    <w:rsid w:val="001074B5"/>
    <w:rsid w:val="001117C3"/>
    <w:rsid w:val="00111951"/>
    <w:rsid w:val="00111D77"/>
    <w:rsid w:val="001122C9"/>
    <w:rsid w:val="0011291D"/>
    <w:rsid w:val="00112F1A"/>
    <w:rsid w:val="00113630"/>
    <w:rsid w:val="00113D54"/>
    <w:rsid w:val="00113D98"/>
    <w:rsid w:val="001150C8"/>
    <w:rsid w:val="00115744"/>
    <w:rsid w:val="00116155"/>
    <w:rsid w:val="00116366"/>
    <w:rsid w:val="00116FEE"/>
    <w:rsid w:val="00117CF4"/>
    <w:rsid w:val="00120FEF"/>
    <w:rsid w:val="00122C04"/>
    <w:rsid w:val="00122D8E"/>
    <w:rsid w:val="00122F5C"/>
    <w:rsid w:val="0012523C"/>
    <w:rsid w:val="00125673"/>
    <w:rsid w:val="00125B2A"/>
    <w:rsid w:val="001263AE"/>
    <w:rsid w:val="001267BB"/>
    <w:rsid w:val="0012701F"/>
    <w:rsid w:val="0012795A"/>
    <w:rsid w:val="001279AE"/>
    <w:rsid w:val="00127AB6"/>
    <w:rsid w:val="0013008F"/>
    <w:rsid w:val="001310D2"/>
    <w:rsid w:val="00131752"/>
    <w:rsid w:val="001323D6"/>
    <w:rsid w:val="0013369D"/>
    <w:rsid w:val="00133B1C"/>
    <w:rsid w:val="00134267"/>
    <w:rsid w:val="00134422"/>
    <w:rsid w:val="001346E5"/>
    <w:rsid w:val="00135050"/>
    <w:rsid w:val="00136399"/>
    <w:rsid w:val="001369F7"/>
    <w:rsid w:val="00136C41"/>
    <w:rsid w:val="00136E76"/>
    <w:rsid w:val="00136F93"/>
    <w:rsid w:val="00140952"/>
    <w:rsid w:val="00140A20"/>
    <w:rsid w:val="00140E66"/>
    <w:rsid w:val="00141161"/>
    <w:rsid w:val="001418E7"/>
    <w:rsid w:val="00141EFB"/>
    <w:rsid w:val="001433C2"/>
    <w:rsid w:val="00144062"/>
    <w:rsid w:val="001456E4"/>
    <w:rsid w:val="001464F7"/>
    <w:rsid w:val="001468C6"/>
    <w:rsid w:val="00146C47"/>
    <w:rsid w:val="0014701A"/>
    <w:rsid w:val="001476FF"/>
    <w:rsid w:val="00150906"/>
    <w:rsid w:val="00150924"/>
    <w:rsid w:val="001511BF"/>
    <w:rsid w:val="0015150F"/>
    <w:rsid w:val="00152475"/>
    <w:rsid w:val="00152635"/>
    <w:rsid w:val="00153D09"/>
    <w:rsid w:val="00154735"/>
    <w:rsid w:val="00154A61"/>
    <w:rsid w:val="00156158"/>
    <w:rsid w:val="0015714E"/>
    <w:rsid w:val="001636DA"/>
    <w:rsid w:val="00165A49"/>
    <w:rsid w:val="001664AE"/>
    <w:rsid w:val="001667A9"/>
    <w:rsid w:val="001709D4"/>
    <w:rsid w:val="00171C44"/>
    <w:rsid w:val="00173352"/>
    <w:rsid w:val="00173577"/>
    <w:rsid w:val="00173E55"/>
    <w:rsid w:val="00174120"/>
    <w:rsid w:val="00174A2D"/>
    <w:rsid w:val="00175987"/>
    <w:rsid w:val="001761F8"/>
    <w:rsid w:val="00176528"/>
    <w:rsid w:val="00176658"/>
    <w:rsid w:val="00176AA5"/>
    <w:rsid w:val="001770A7"/>
    <w:rsid w:val="0017720E"/>
    <w:rsid w:val="001772CC"/>
    <w:rsid w:val="001774AE"/>
    <w:rsid w:val="0017764C"/>
    <w:rsid w:val="00177893"/>
    <w:rsid w:val="00177C6B"/>
    <w:rsid w:val="001806E4"/>
    <w:rsid w:val="001813E9"/>
    <w:rsid w:val="0018141A"/>
    <w:rsid w:val="0018373E"/>
    <w:rsid w:val="001839C0"/>
    <w:rsid w:val="00183CEB"/>
    <w:rsid w:val="00184221"/>
    <w:rsid w:val="0018443E"/>
    <w:rsid w:val="00184AB5"/>
    <w:rsid w:val="00184E10"/>
    <w:rsid w:val="001854A3"/>
    <w:rsid w:val="00185C35"/>
    <w:rsid w:val="001862B7"/>
    <w:rsid w:val="00186307"/>
    <w:rsid w:val="00186395"/>
    <w:rsid w:val="001863F7"/>
    <w:rsid w:val="00186EBC"/>
    <w:rsid w:val="00186FAD"/>
    <w:rsid w:val="00187FD5"/>
    <w:rsid w:val="00190A60"/>
    <w:rsid w:val="00190DF5"/>
    <w:rsid w:val="001916C0"/>
    <w:rsid w:val="00192CDE"/>
    <w:rsid w:val="00192E6D"/>
    <w:rsid w:val="00193C90"/>
    <w:rsid w:val="00194F5D"/>
    <w:rsid w:val="00195166"/>
    <w:rsid w:val="00195C83"/>
    <w:rsid w:val="00195DA4"/>
    <w:rsid w:val="00196493"/>
    <w:rsid w:val="00197D31"/>
    <w:rsid w:val="001A0142"/>
    <w:rsid w:val="001A20DC"/>
    <w:rsid w:val="001A20EB"/>
    <w:rsid w:val="001A2470"/>
    <w:rsid w:val="001A3090"/>
    <w:rsid w:val="001A34D9"/>
    <w:rsid w:val="001A3DC9"/>
    <w:rsid w:val="001A400F"/>
    <w:rsid w:val="001A414A"/>
    <w:rsid w:val="001A4D9D"/>
    <w:rsid w:val="001A5E15"/>
    <w:rsid w:val="001A6433"/>
    <w:rsid w:val="001B00CE"/>
    <w:rsid w:val="001B059F"/>
    <w:rsid w:val="001B062A"/>
    <w:rsid w:val="001B12A9"/>
    <w:rsid w:val="001B2429"/>
    <w:rsid w:val="001B3FAD"/>
    <w:rsid w:val="001B4FA3"/>
    <w:rsid w:val="001B5B6B"/>
    <w:rsid w:val="001B6389"/>
    <w:rsid w:val="001B6435"/>
    <w:rsid w:val="001B7453"/>
    <w:rsid w:val="001C04CC"/>
    <w:rsid w:val="001C051E"/>
    <w:rsid w:val="001C0612"/>
    <w:rsid w:val="001C06AA"/>
    <w:rsid w:val="001C16CE"/>
    <w:rsid w:val="001C3679"/>
    <w:rsid w:val="001C40A1"/>
    <w:rsid w:val="001C4730"/>
    <w:rsid w:val="001C479D"/>
    <w:rsid w:val="001C4FD2"/>
    <w:rsid w:val="001C5911"/>
    <w:rsid w:val="001C6866"/>
    <w:rsid w:val="001C69D7"/>
    <w:rsid w:val="001C7497"/>
    <w:rsid w:val="001C796E"/>
    <w:rsid w:val="001C7D1B"/>
    <w:rsid w:val="001D2625"/>
    <w:rsid w:val="001D28F0"/>
    <w:rsid w:val="001D46CB"/>
    <w:rsid w:val="001D5D47"/>
    <w:rsid w:val="001D5DE3"/>
    <w:rsid w:val="001D6284"/>
    <w:rsid w:val="001D6459"/>
    <w:rsid w:val="001D6745"/>
    <w:rsid w:val="001D725A"/>
    <w:rsid w:val="001D7E2D"/>
    <w:rsid w:val="001E00E3"/>
    <w:rsid w:val="001E07AE"/>
    <w:rsid w:val="001E0994"/>
    <w:rsid w:val="001E0B0D"/>
    <w:rsid w:val="001E1827"/>
    <w:rsid w:val="001E1D86"/>
    <w:rsid w:val="001E2471"/>
    <w:rsid w:val="001E25EC"/>
    <w:rsid w:val="001E3101"/>
    <w:rsid w:val="001E4E98"/>
    <w:rsid w:val="001E5896"/>
    <w:rsid w:val="001E5918"/>
    <w:rsid w:val="001E6057"/>
    <w:rsid w:val="001E7970"/>
    <w:rsid w:val="001E7DFF"/>
    <w:rsid w:val="001F073C"/>
    <w:rsid w:val="001F09F0"/>
    <w:rsid w:val="001F0D0A"/>
    <w:rsid w:val="001F0F85"/>
    <w:rsid w:val="001F1495"/>
    <w:rsid w:val="001F1A70"/>
    <w:rsid w:val="001F1C99"/>
    <w:rsid w:val="001F1CEC"/>
    <w:rsid w:val="001F1EFF"/>
    <w:rsid w:val="001F2912"/>
    <w:rsid w:val="001F2F47"/>
    <w:rsid w:val="001F3C55"/>
    <w:rsid w:val="001F5259"/>
    <w:rsid w:val="001F5F6F"/>
    <w:rsid w:val="001F6896"/>
    <w:rsid w:val="001F7354"/>
    <w:rsid w:val="001F75EF"/>
    <w:rsid w:val="001F79C6"/>
    <w:rsid w:val="00200296"/>
    <w:rsid w:val="00201439"/>
    <w:rsid w:val="00201661"/>
    <w:rsid w:val="002018BB"/>
    <w:rsid w:val="00201ADB"/>
    <w:rsid w:val="00201B6A"/>
    <w:rsid w:val="00202BA2"/>
    <w:rsid w:val="00202F19"/>
    <w:rsid w:val="00203ACF"/>
    <w:rsid w:val="00203F3B"/>
    <w:rsid w:val="00204015"/>
    <w:rsid w:val="00204205"/>
    <w:rsid w:val="00204B6C"/>
    <w:rsid w:val="00204D5B"/>
    <w:rsid w:val="0020579A"/>
    <w:rsid w:val="002058E5"/>
    <w:rsid w:val="0021010F"/>
    <w:rsid w:val="002106D5"/>
    <w:rsid w:val="00210905"/>
    <w:rsid w:val="00210FAA"/>
    <w:rsid w:val="00211340"/>
    <w:rsid w:val="00211F51"/>
    <w:rsid w:val="00211FBA"/>
    <w:rsid w:val="00212140"/>
    <w:rsid w:val="00212802"/>
    <w:rsid w:val="00213C87"/>
    <w:rsid w:val="00214438"/>
    <w:rsid w:val="0021481D"/>
    <w:rsid w:val="00214AD3"/>
    <w:rsid w:val="00214D77"/>
    <w:rsid w:val="00214FC4"/>
    <w:rsid w:val="00215787"/>
    <w:rsid w:val="00215DBB"/>
    <w:rsid w:val="00216816"/>
    <w:rsid w:val="00216BAA"/>
    <w:rsid w:val="002205EB"/>
    <w:rsid w:val="00220FE5"/>
    <w:rsid w:val="0022112C"/>
    <w:rsid w:val="00221313"/>
    <w:rsid w:val="002218A0"/>
    <w:rsid w:val="0022264E"/>
    <w:rsid w:val="002234A6"/>
    <w:rsid w:val="00223F22"/>
    <w:rsid w:val="00225FCB"/>
    <w:rsid w:val="0022604F"/>
    <w:rsid w:val="002261F0"/>
    <w:rsid w:val="00227B6B"/>
    <w:rsid w:val="00230740"/>
    <w:rsid w:val="00230821"/>
    <w:rsid w:val="00231711"/>
    <w:rsid w:val="00231CB1"/>
    <w:rsid w:val="00233296"/>
    <w:rsid w:val="002355E8"/>
    <w:rsid w:val="0024112E"/>
    <w:rsid w:val="0024171F"/>
    <w:rsid w:val="002425EA"/>
    <w:rsid w:val="00242EA0"/>
    <w:rsid w:val="00243685"/>
    <w:rsid w:val="00243D1A"/>
    <w:rsid w:val="00243F24"/>
    <w:rsid w:val="00244347"/>
    <w:rsid w:val="0024459C"/>
    <w:rsid w:val="002451D9"/>
    <w:rsid w:val="00245AD1"/>
    <w:rsid w:val="00245F0E"/>
    <w:rsid w:val="002461CC"/>
    <w:rsid w:val="00246BDF"/>
    <w:rsid w:val="00246D05"/>
    <w:rsid w:val="002470BB"/>
    <w:rsid w:val="002475D0"/>
    <w:rsid w:val="002500D3"/>
    <w:rsid w:val="00250964"/>
    <w:rsid w:val="0025098D"/>
    <w:rsid w:val="00250C80"/>
    <w:rsid w:val="00251867"/>
    <w:rsid w:val="002527C6"/>
    <w:rsid w:val="002530E7"/>
    <w:rsid w:val="002532B4"/>
    <w:rsid w:val="0025352C"/>
    <w:rsid w:val="00253668"/>
    <w:rsid w:val="0025487C"/>
    <w:rsid w:val="00254EEB"/>
    <w:rsid w:val="00254FA7"/>
    <w:rsid w:val="0025613F"/>
    <w:rsid w:val="00257C43"/>
    <w:rsid w:val="00257E15"/>
    <w:rsid w:val="00257F7C"/>
    <w:rsid w:val="00257F91"/>
    <w:rsid w:val="00260453"/>
    <w:rsid w:val="00261DC6"/>
    <w:rsid w:val="00262C13"/>
    <w:rsid w:val="00262F1E"/>
    <w:rsid w:val="002636D6"/>
    <w:rsid w:val="002638ED"/>
    <w:rsid w:val="00264623"/>
    <w:rsid w:val="00264773"/>
    <w:rsid w:val="00264E52"/>
    <w:rsid w:val="002651D6"/>
    <w:rsid w:val="00265396"/>
    <w:rsid w:val="002653D9"/>
    <w:rsid w:val="0026593D"/>
    <w:rsid w:val="00266204"/>
    <w:rsid w:val="00267DD9"/>
    <w:rsid w:val="00267FAE"/>
    <w:rsid w:val="0027022F"/>
    <w:rsid w:val="002706FB"/>
    <w:rsid w:val="00270917"/>
    <w:rsid w:val="00270BBC"/>
    <w:rsid w:val="00272112"/>
    <w:rsid w:val="00275427"/>
    <w:rsid w:val="0027575E"/>
    <w:rsid w:val="00276C8A"/>
    <w:rsid w:val="002772A3"/>
    <w:rsid w:val="00277CF4"/>
    <w:rsid w:val="00277D40"/>
    <w:rsid w:val="002801F4"/>
    <w:rsid w:val="0028045C"/>
    <w:rsid w:val="0028066D"/>
    <w:rsid w:val="0028080A"/>
    <w:rsid w:val="00280B5B"/>
    <w:rsid w:val="00280D8D"/>
    <w:rsid w:val="00281DCF"/>
    <w:rsid w:val="00281DDC"/>
    <w:rsid w:val="00282CF0"/>
    <w:rsid w:val="002836DF"/>
    <w:rsid w:val="00284F96"/>
    <w:rsid w:val="0028530D"/>
    <w:rsid w:val="00285597"/>
    <w:rsid w:val="002861AB"/>
    <w:rsid w:val="0028639A"/>
    <w:rsid w:val="002864AB"/>
    <w:rsid w:val="00286FE1"/>
    <w:rsid w:val="00287596"/>
    <w:rsid w:val="002879FE"/>
    <w:rsid w:val="00287E1E"/>
    <w:rsid w:val="002920CA"/>
    <w:rsid w:val="002923DF"/>
    <w:rsid w:val="0029289C"/>
    <w:rsid w:val="002928F4"/>
    <w:rsid w:val="002A08C0"/>
    <w:rsid w:val="002A1CCD"/>
    <w:rsid w:val="002A206C"/>
    <w:rsid w:val="002A2A30"/>
    <w:rsid w:val="002A347F"/>
    <w:rsid w:val="002A391F"/>
    <w:rsid w:val="002A42D7"/>
    <w:rsid w:val="002A4503"/>
    <w:rsid w:val="002A4A31"/>
    <w:rsid w:val="002A5DC1"/>
    <w:rsid w:val="002A6BD3"/>
    <w:rsid w:val="002A78B9"/>
    <w:rsid w:val="002B05B8"/>
    <w:rsid w:val="002B19AB"/>
    <w:rsid w:val="002B1C70"/>
    <w:rsid w:val="002B278B"/>
    <w:rsid w:val="002B442A"/>
    <w:rsid w:val="002B4941"/>
    <w:rsid w:val="002B531E"/>
    <w:rsid w:val="002B5D74"/>
    <w:rsid w:val="002B67CA"/>
    <w:rsid w:val="002B6817"/>
    <w:rsid w:val="002B7927"/>
    <w:rsid w:val="002B7ADB"/>
    <w:rsid w:val="002C00F5"/>
    <w:rsid w:val="002C02F5"/>
    <w:rsid w:val="002C0328"/>
    <w:rsid w:val="002C1201"/>
    <w:rsid w:val="002C1543"/>
    <w:rsid w:val="002C17C7"/>
    <w:rsid w:val="002C18ED"/>
    <w:rsid w:val="002C1BF9"/>
    <w:rsid w:val="002C1D2F"/>
    <w:rsid w:val="002C5071"/>
    <w:rsid w:val="002C5469"/>
    <w:rsid w:val="002C587A"/>
    <w:rsid w:val="002C591C"/>
    <w:rsid w:val="002C7C13"/>
    <w:rsid w:val="002C7EA9"/>
    <w:rsid w:val="002D0D65"/>
    <w:rsid w:val="002D0EF2"/>
    <w:rsid w:val="002D1242"/>
    <w:rsid w:val="002D14C8"/>
    <w:rsid w:val="002D1A73"/>
    <w:rsid w:val="002D214E"/>
    <w:rsid w:val="002D23E6"/>
    <w:rsid w:val="002D24AC"/>
    <w:rsid w:val="002D2FCA"/>
    <w:rsid w:val="002D3887"/>
    <w:rsid w:val="002D53D6"/>
    <w:rsid w:val="002D5522"/>
    <w:rsid w:val="002D5993"/>
    <w:rsid w:val="002D68CA"/>
    <w:rsid w:val="002D69A8"/>
    <w:rsid w:val="002D6CF3"/>
    <w:rsid w:val="002D7222"/>
    <w:rsid w:val="002D7823"/>
    <w:rsid w:val="002D7B28"/>
    <w:rsid w:val="002E022A"/>
    <w:rsid w:val="002E1B71"/>
    <w:rsid w:val="002E2DE4"/>
    <w:rsid w:val="002E3536"/>
    <w:rsid w:val="002E3A16"/>
    <w:rsid w:val="002E3DA9"/>
    <w:rsid w:val="002E4293"/>
    <w:rsid w:val="002E4C2D"/>
    <w:rsid w:val="002E5140"/>
    <w:rsid w:val="002E5285"/>
    <w:rsid w:val="002E5DEA"/>
    <w:rsid w:val="002E5FD2"/>
    <w:rsid w:val="002E6750"/>
    <w:rsid w:val="002E724A"/>
    <w:rsid w:val="002E7F83"/>
    <w:rsid w:val="002F051C"/>
    <w:rsid w:val="002F078A"/>
    <w:rsid w:val="002F1D01"/>
    <w:rsid w:val="002F26E6"/>
    <w:rsid w:val="002F311E"/>
    <w:rsid w:val="002F313A"/>
    <w:rsid w:val="002F345B"/>
    <w:rsid w:val="002F3B49"/>
    <w:rsid w:val="002F4515"/>
    <w:rsid w:val="002F5FEC"/>
    <w:rsid w:val="002F71B8"/>
    <w:rsid w:val="002F71F4"/>
    <w:rsid w:val="002F7AF1"/>
    <w:rsid w:val="002F7E08"/>
    <w:rsid w:val="00301EA1"/>
    <w:rsid w:val="00301F26"/>
    <w:rsid w:val="00302638"/>
    <w:rsid w:val="00302FCC"/>
    <w:rsid w:val="0030396F"/>
    <w:rsid w:val="003042E0"/>
    <w:rsid w:val="00304DD2"/>
    <w:rsid w:val="003062AE"/>
    <w:rsid w:val="003063D8"/>
    <w:rsid w:val="0031033B"/>
    <w:rsid w:val="00310E37"/>
    <w:rsid w:val="003126E8"/>
    <w:rsid w:val="003135FA"/>
    <w:rsid w:val="003139E5"/>
    <w:rsid w:val="0031480D"/>
    <w:rsid w:val="00314BFC"/>
    <w:rsid w:val="00314DD5"/>
    <w:rsid w:val="00315514"/>
    <w:rsid w:val="00317E18"/>
    <w:rsid w:val="003208AE"/>
    <w:rsid w:val="00323CDD"/>
    <w:rsid w:val="003240BA"/>
    <w:rsid w:val="00324141"/>
    <w:rsid w:val="003241B8"/>
    <w:rsid w:val="00324B79"/>
    <w:rsid w:val="00324BE9"/>
    <w:rsid w:val="0032564C"/>
    <w:rsid w:val="00326B08"/>
    <w:rsid w:val="00327751"/>
    <w:rsid w:val="003303AF"/>
    <w:rsid w:val="00331066"/>
    <w:rsid w:val="0033113D"/>
    <w:rsid w:val="003313EB"/>
    <w:rsid w:val="00331A16"/>
    <w:rsid w:val="00333C49"/>
    <w:rsid w:val="00333C84"/>
    <w:rsid w:val="00334ACF"/>
    <w:rsid w:val="00334C21"/>
    <w:rsid w:val="00335C1C"/>
    <w:rsid w:val="003369AA"/>
    <w:rsid w:val="00336A73"/>
    <w:rsid w:val="00337802"/>
    <w:rsid w:val="003406EA"/>
    <w:rsid w:val="00341A14"/>
    <w:rsid w:val="0034215D"/>
    <w:rsid w:val="003426F7"/>
    <w:rsid w:val="0034385F"/>
    <w:rsid w:val="00343C24"/>
    <w:rsid w:val="00343DAD"/>
    <w:rsid w:val="00344B2B"/>
    <w:rsid w:val="00345A34"/>
    <w:rsid w:val="00345E01"/>
    <w:rsid w:val="00346F90"/>
    <w:rsid w:val="003479E8"/>
    <w:rsid w:val="00347AEF"/>
    <w:rsid w:val="0035045D"/>
    <w:rsid w:val="00351381"/>
    <w:rsid w:val="0035242E"/>
    <w:rsid w:val="003530A6"/>
    <w:rsid w:val="00353627"/>
    <w:rsid w:val="00353B30"/>
    <w:rsid w:val="00355773"/>
    <w:rsid w:val="00355F72"/>
    <w:rsid w:val="00356521"/>
    <w:rsid w:val="00357657"/>
    <w:rsid w:val="00357E32"/>
    <w:rsid w:val="00361EA9"/>
    <w:rsid w:val="003627A9"/>
    <w:rsid w:val="00362B14"/>
    <w:rsid w:val="00363471"/>
    <w:rsid w:val="003639A6"/>
    <w:rsid w:val="00364258"/>
    <w:rsid w:val="003645D5"/>
    <w:rsid w:val="003646E7"/>
    <w:rsid w:val="00364A4A"/>
    <w:rsid w:val="00365EC6"/>
    <w:rsid w:val="00366358"/>
    <w:rsid w:val="00367641"/>
    <w:rsid w:val="003679AE"/>
    <w:rsid w:val="00370085"/>
    <w:rsid w:val="00370688"/>
    <w:rsid w:val="003712D6"/>
    <w:rsid w:val="003714BA"/>
    <w:rsid w:val="003715FD"/>
    <w:rsid w:val="0037425F"/>
    <w:rsid w:val="003747ED"/>
    <w:rsid w:val="00375DAC"/>
    <w:rsid w:val="00375EE6"/>
    <w:rsid w:val="00376372"/>
    <w:rsid w:val="0037641F"/>
    <w:rsid w:val="00376D7B"/>
    <w:rsid w:val="003804EB"/>
    <w:rsid w:val="003814BC"/>
    <w:rsid w:val="00382495"/>
    <w:rsid w:val="0038281C"/>
    <w:rsid w:val="003833F6"/>
    <w:rsid w:val="00383470"/>
    <w:rsid w:val="0038404E"/>
    <w:rsid w:val="0038405E"/>
    <w:rsid w:val="003843E5"/>
    <w:rsid w:val="0038516B"/>
    <w:rsid w:val="00385A64"/>
    <w:rsid w:val="00386D1A"/>
    <w:rsid w:val="003873E3"/>
    <w:rsid w:val="003902A0"/>
    <w:rsid w:val="0039045D"/>
    <w:rsid w:val="00390472"/>
    <w:rsid w:val="003911D1"/>
    <w:rsid w:val="00391479"/>
    <w:rsid w:val="0039182E"/>
    <w:rsid w:val="0039342B"/>
    <w:rsid w:val="0039473C"/>
    <w:rsid w:val="00394C83"/>
    <w:rsid w:val="00396339"/>
    <w:rsid w:val="003964BE"/>
    <w:rsid w:val="00396514"/>
    <w:rsid w:val="003966A9"/>
    <w:rsid w:val="00397170"/>
    <w:rsid w:val="00397624"/>
    <w:rsid w:val="00397E1D"/>
    <w:rsid w:val="003A0073"/>
    <w:rsid w:val="003A04B8"/>
    <w:rsid w:val="003A096A"/>
    <w:rsid w:val="003A0C71"/>
    <w:rsid w:val="003A12E6"/>
    <w:rsid w:val="003A16B5"/>
    <w:rsid w:val="003A3433"/>
    <w:rsid w:val="003A44EC"/>
    <w:rsid w:val="003A48B9"/>
    <w:rsid w:val="003A4F05"/>
    <w:rsid w:val="003A537E"/>
    <w:rsid w:val="003A5DCE"/>
    <w:rsid w:val="003A63F2"/>
    <w:rsid w:val="003A660F"/>
    <w:rsid w:val="003A676C"/>
    <w:rsid w:val="003A693E"/>
    <w:rsid w:val="003A79A4"/>
    <w:rsid w:val="003B00F8"/>
    <w:rsid w:val="003B068F"/>
    <w:rsid w:val="003B095E"/>
    <w:rsid w:val="003B0FE3"/>
    <w:rsid w:val="003B2200"/>
    <w:rsid w:val="003B27D7"/>
    <w:rsid w:val="003B29E5"/>
    <w:rsid w:val="003B31A3"/>
    <w:rsid w:val="003B369D"/>
    <w:rsid w:val="003B3C35"/>
    <w:rsid w:val="003B4358"/>
    <w:rsid w:val="003B57AD"/>
    <w:rsid w:val="003B5B37"/>
    <w:rsid w:val="003B6B2C"/>
    <w:rsid w:val="003B72B9"/>
    <w:rsid w:val="003B7303"/>
    <w:rsid w:val="003C0127"/>
    <w:rsid w:val="003C055D"/>
    <w:rsid w:val="003C0EAF"/>
    <w:rsid w:val="003C1A9F"/>
    <w:rsid w:val="003C3423"/>
    <w:rsid w:val="003C3E67"/>
    <w:rsid w:val="003C3EED"/>
    <w:rsid w:val="003C43BA"/>
    <w:rsid w:val="003C46F8"/>
    <w:rsid w:val="003C481B"/>
    <w:rsid w:val="003C498C"/>
    <w:rsid w:val="003C54D2"/>
    <w:rsid w:val="003C777E"/>
    <w:rsid w:val="003D0477"/>
    <w:rsid w:val="003D11A9"/>
    <w:rsid w:val="003D1451"/>
    <w:rsid w:val="003D155A"/>
    <w:rsid w:val="003D1593"/>
    <w:rsid w:val="003D1B6D"/>
    <w:rsid w:val="003D1FB3"/>
    <w:rsid w:val="003D22BF"/>
    <w:rsid w:val="003D29B1"/>
    <w:rsid w:val="003D2A37"/>
    <w:rsid w:val="003D2CCD"/>
    <w:rsid w:val="003D3E6A"/>
    <w:rsid w:val="003D3EB8"/>
    <w:rsid w:val="003D3EFE"/>
    <w:rsid w:val="003D5DF0"/>
    <w:rsid w:val="003D69EF"/>
    <w:rsid w:val="003D7175"/>
    <w:rsid w:val="003D7DAE"/>
    <w:rsid w:val="003E0694"/>
    <w:rsid w:val="003E0EDB"/>
    <w:rsid w:val="003E1514"/>
    <w:rsid w:val="003E15BE"/>
    <w:rsid w:val="003E1946"/>
    <w:rsid w:val="003E289D"/>
    <w:rsid w:val="003E311B"/>
    <w:rsid w:val="003E3DED"/>
    <w:rsid w:val="003E4021"/>
    <w:rsid w:val="003E5F9E"/>
    <w:rsid w:val="003E6196"/>
    <w:rsid w:val="003E6475"/>
    <w:rsid w:val="003E669D"/>
    <w:rsid w:val="003E7484"/>
    <w:rsid w:val="003E74D1"/>
    <w:rsid w:val="003F0171"/>
    <w:rsid w:val="003F105A"/>
    <w:rsid w:val="003F2CC6"/>
    <w:rsid w:val="003F57E6"/>
    <w:rsid w:val="003F58AB"/>
    <w:rsid w:val="003F5AB9"/>
    <w:rsid w:val="003F6199"/>
    <w:rsid w:val="003F6B95"/>
    <w:rsid w:val="00401499"/>
    <w:rsid w:val="00401E77"/>
    <w:rsid w:val="004033BF"/>
    <w:rsid w:val="00403677"/>
    <w:rsid w:val="004037CD"/>
    <w:rsid w:val="00404499"/>
    <w:rsid w:val="004044F2"/>
    <w:rsid w:val="0040461D"/>
    <w:rsid w:val="00404909"/>
    <w:rsid w:val="00404B7C"/>
    <w:rsid w:val="00404C3E"/>
    <w:rsid w:val="00405625"/>
    <w:rsid w:val="004067E0"/>
    <w:rsid w:val="00406B82"/>
    <w:rsid w:val="00407251"/>
    <w:rsid w:val="00407FC2"/>
    <w:rsid w:val="00410D98"/>
    <w:rsid w:val="00410F9D"/>
    <w:rsid w:val="004112C2"/>
    <w:rsid w:val="004114F1"/>
    <w:rsid w:val="00411D3A"/>
    <w:rsid w:val="00412F57"/>
    <w:rsid w:val="004139AA"/>
    <w:rsid w:val="00413FE6"/>
    <w:rsid w:val="00414707"/>
    <w:rsid w:val="00414755"/>
    <w:rsid w:val="0041498A"/>
    <w:rsid w:val="004149BF"/>
    <w:rsid w:val="00414FDC"/>
    <w:rsid w:val="00415DE5"/>
    <w:rsid w:val="00416479"/>
    <w:rsid w:val="0041685C"/>
    <w:rsid w:val="00420540"/>
    <w:rsid w:val="00421450"/>
    <w:rsid w:val="00422A89"/>
    <w:rsid w:val="00422F23"/>
    <w:rsid w:val="00423A00"/>
    <w:rsid w:val="00423F3A"/>
    <w:rsid w:val="00425029"/>
    <w:rsid w:val="00426090"/>
    <w:rsid w:val="00426C29"/>
    <w:rsid w:val="00426CF2"/>
    <w:rsid w:val="0042787F"/>
    <w:rsid w:val="00427E55"/>
    <w:rsid w:val="004306E4"/>
    <w:rsid w:val="004314FB"/>
    <w:rsid w:val="00432CD2"/>
    <w:rsid w:val="00432F0F"/>
    <w:rsid w:val="004336ED"/>
    <w:rsid w:val="00434825"/>
    <w:rsid w:val="00434975"/>
    <w:rsid w:val="004366F7"/>
    <w:rsid w:val="00436E3A"/>
    <w:rsid w:val="00437BB5"/>
    <w:rsid w:val="00441A26"/>
    <w:rsid w:val="0044321F"/>
    <w:rsid w:val="00444DB1"/>
    <w:rsid w:val="00444ECA"/>
    <w:rsid w:val="004455F9"/>
    <w:rsid w:val="00445768"/>
    <w:rsid w:val="00446076"/>
    <w:rsid w:val="00447D36"/>
    <w:rsid w:val="00447DD2"/>
    <w:rsid w:val="00447ECA"/>
    <w:rsid w:val="00447F4F"/>
    <w:rsid w:val="004506D3"/>
    <w:rsid w:val="00451E88"/>
    <w:rsid w:val="0045389C"/>
    <w:rsid w:val="00453958"/>
    <w:rsid w:val="00453BAE"/>
    <w:rsid w:val="00453D59"/>
    <w:rsid w:val="004548E9"/>
    <w:rsid w:val="00455463"/>
    <w:rsid w:val="00455FCF"/>
    <w:rsid w:val="00456242"/>
    <w:rsid w:val="00460B6A"/>
    <w:rsid w:val="00460DDB"/>
    <w:rsid w:val="004619BB"/>
    <w:rsid w:val="00462E9B"/>
    <w:rsid w:val="0046366C"/>
    <w:rsid w:val="004643AF"/>
    <w:rsid w:val="00465273"/>
    <w:rsid w:val="0046562C"/>
    <w:rsid w:val="00465D3F"/>
    <w:rsid w:val="00465EB9"/>
    <w:rsid w:val="00465F00"/>
    <w:rsid w:val="0046600B"/>
    <w:rsid w:val="0046621E"/>
    <w:rsid w:val="004664B8"/>
    <w:rsid w:val="00470637"/>
    <w:rsid w:val="00471A1D"/>
    <w:rsid w:val="00471B02"/>
    <w:rsid w:val="00472493"/>
    <w:rsid w:val="00472D4D"/>
    <w:rsid w:val="00472E90"/>
    <w:rsid w:val="00473128"/>
    <w:rsid w:val="00474F9E"/>
    <w:rsid w:val="004753A1"/>
    <w:rsid w:val="004753AF"/>
    <w:rsid w:val="00477C42"/>
    <w:rsid w:val="00477C8C"/>
    <w:rsid w:val="00480443"/>
    <w:rsid w:val="0048079E"/>
    <w:rsid w:val="00481549"/>
    <w:rsid w:val="00482AB0"/>
    <w:rsid w:val="00482EF7"/>
    <w:rsid w:val="0048761C"/>
    <w:rsid w:val="00487931"/>
    <w:rsid w:val="004907B2"/>
    <w:rsid w:val="004908B7"/>
    <w:rsid w:val="00490A71"/>
    <w:rsid w:val="004919DD"/>
    <w:rsid w:val="00491DD3"/>
    <w:rsid w:val="004935EF"/>
    <w:rsid w:val="0049361B"/>
    <w:rsid w:val="0049414F"/>
    <w:rsid w:val="004946BF"/>
    <w:rsid w:val="00494F7C"/>
    <w:rsid w:val="00497316"/>
    <w:rsid w:val="0049784F"/>
    <w:rsid w:val="00497BED"/>
    <w:rsid w:val="00497D5B"/>
    <w:rsid w:val="004A0C6D"/>
    <w:rsid w:val="004A114D"/>
    <w:rsid w:val="004A19AB"/>
    <w:rsid w:val="004A2599"/>
    <w:rsid w:val="004A27C8"/>
    <w:rsid w:val="004A2C11"/>
    <w:rsid w:val="004A2DF5"/>
    <w:rsid w:val="004A30D9"/>
    <w:rsid w:val="004A4886"/>
    <w:rsid w:val="004A4E96"/>
    <w:rsid w:val="004A4EF3"/>
    <w:rsid w:val="004A5421"/>
    <w:rsid w:val="004A54B4"/>
    <w:rsid w:val="004A5746"/>
    <w:rsid w:val="004A5D42"/>
    <w:rsid w:val="004A7491"/>
    <w:rsid w:val="004A7519"/>
    <w:rsid w:val="004B0002"/>
    <w:rsid w:val="004B0AE6"/>
    <w:rsid w:val="004B0FD3"/>
    <w:rsid w:val="004B1D34"/>
    <w:rsid w:val="004B2B2C"/>
    <w:rsid w:val="004B3C00"/>
    <w:rsid w:val="004B4F1F"/>
    <w:rsid w:val="004B5325"/>
    <w:rsid w:val="004B57DC"/>
    <w:rsid w:val="004B72AC"/>
    <w:rsid w:val="004B72DC"/>
    <w:rsid w:val="004B7D80"/>
    <w:rsid w:val="004C025E"/>
    <w:rsid w:val="004C0E62"/>
    <w:rsid w:val="004C0EF5"/>
    <w:rsid w:val="004C1D0C"/>
    <w:rsid w:val="004C2128"/>
    <w:rsid w:val="004C22C9"/>
    <w:rsid w:val="004C2517"/>
    <w:rsid w:val="004C2FF3"/>
    <w:rsid w:val="004C3B63"/>
    <w:rsid w:val="004C445C"/>
    <w:rsid w:val="004C56B1"/>
    <w:rsid w:val="004C5B7E"/>
    <w:rsid w:val="004C5D40"/>
    <w:rsid w:val="004C5F62"/>
    <w:rsid w:val="004D0371"/>
    <w:rsid w:val="004D0426"/>
    <w:rsid w:val="004D1006"/>
    <w:rsid w:val="004D1702"/>
    <w:rsid w:val="004D1744"/>
    <w:rsid w:val="004D175F"/>
    <w:rsid w:val="004D2827"/>
    <w:rsid w:val="004D2FE9"/>
    <w:rsid w:val="004D45DF"/>
    <w:rsid w:val="004D4736"/>
    <w:rsid w:val="004D51DE"/>
    <w:rsid w:val="004D5466"/>
    <w:rsid w:val="004D677C"/>
    <w:rsid w:val="004D6880"/>
    <w:rsid w:val="004D769F"/>
    <w:rsid w:val="004D770D"/>
    <w:rsid w:val="004D7725"/>
    <w:rsid w:val="004D7F30"/>
    <w:rsid w:val="004E00A4"/>
    <w:rsid w:val="004E0147"/>
    <w:rsid w:val="004E044F"/>
    <w:rsid w:val="004E0C0B"/>
    <w:rsid w:val="004E0FD2"/>
    <w:rsid w:val="004E1A1E"/>
    <w:rsid w:val="004E2125"/>
    <w:rsid w:val="004E2B87"/>
    <w:rsid w:val="004E3033"/>
    <w:rsid w:val="004E3343"/>
    <w:rsid w:val="004E346E"/>
    <w:rsid w:val="004E38D4"/>
    <w:rsid w:val="004E5280"/>
    <w:rsid w:val="004E5662"/>
    <w:rsid w:val="004E5696"/>
    <w:rsid w:val="004E5DAC"/>
    <w:rsid w:val="004E5F8F"/>
    <w:rsid w:val="004E6AE3"/>
    <w:rsid w:val="004E6CFF"/>
    <w:rsid w:val="004E6D75"/>
    <w:rsid w:val="004E72A0"/>
    <w:rsid w:val="004E7AD4"/>
    <w:rsid w:val="004F0ECA"/>
    <w:rsid w:val="004F157D"/>
    <w:rsid w:val="004F1802"/>
    <w:rsid w:val="004F1916"/>
    <w:rsid w:val="004F1A7D"/>
    <w:rsid w:val="004F1EA7"/>
    <w:rsid w:val="004F2160"/>
    <w:rsid w:val="004F2F2F"/>
    <w:rsid w:val="004F3688"/>
    <w:rsid w:val="004F3AAE"/>
    <w:rsid w:val="004F426F"/>
    <w:rsid w:val="004F4BDE"/>
    <w:rsid w:val="004F4D74"/>
    <w:rsid w:val="004F7CAC"/>
    <w:rsid w:val="0050175A"/>
    <w:rsid w:val="005018D4"/>
    <w:rsid w:val="00501C7B"/>
    <w:rsid w:val="00502A52"/>
    <w:rsid w:val="00502B8C"/>
    <w:rsid w:val="005036A1"/>
    <w:rsid w:val="00503E77"/>
    <w:rsid w:val="00504DA3"/>
    <w:rsid w:val="00504F0C"/>
    <w:rsid w:val="0050709E"/>
    <w:rsid w:val="00507D80"/>
    <w:rsid w:val="00511320"/>
    <w:rsid w:val="005119C9"/>
    <w:rsid w:val="00513609"/>
    <w:rsid w:val="00513692"/>
    <w:rsid w:val="005143F9"/>
    <w:rsid w:val="00514E56"/>
    <w:rsid w:val="00515873"/>
    <w:rsid w:val="0051608C"/>
    <w:rsid w:val="00516566"/>
    <w:rsid w:val="005171D2"/>
    <w:rsid w:val="00517796"/>
    <w:rsid w:val="00517DA5"/>
    <w:rsid w:val="00517DE4"/>
    <w:rsid w:val="005203A0"/>
    <w:rsid w:val="005209FD"/>
    <w:rsid w:val="005218C3"/>
    <w:rsid w:val="005235F3"/>
    <w:rsid w:val="00525716"/>
    <w:rsid w:val="00526F28"/>
    <w:rsid w:val="0052758B"/>
    <w:rsid w:val="005276E2"/>
    <w:rsid w:val="00527DC0"/>
    <w:rsid w:val="005303B3"/>
    <w:rsid w:val="00531C11"/>
    <w:rsid w:val="0053211C"/>
    <w:rsid w:val="0053350B"/>
    <w:rsid w:val="00535C74"/>
    <w:rsid w:val="005361AB"/>
    <w:rsid w:val="0053624C"/>
    <w:rsid w:val="00536A81"/>
    <w:rsid w:val="0053721C"/>
    <w:rsid w:val="00537749"/>
    <w:rsid w:val="00537C11"/>
    <w:rsid w:val="005403E5"/>
    <w:rsid w:val="00540C02"/>
    <w:rsid w:val="00540CFF"/>
    <w:rsid w:val="005416CF"/>
    <w:rsid w:val="00541D43"/>
    <w:rsid w:val="00542068"/>
    <w:rsid w:val="00543577"/>
    <w:rsid w:val="005439E5"/>
    <w:rsid w:val="00543AF9"/>
    <w:rsid w:val="00544C74"/>
    <w:rsid w:val="00544DE1"/>
    <w:rsid w:val="005453CB"/>
    <w:rsid w:val="00545978"/>
    <w:rsid w:val="00545E47"/>
    <w:rsid w:val="00545F18"/>
    <w:rsid w:val="00546649"/>
    <w:rsid w:val="00546701"/>
    <w:rsid w:val="00547027"/>
    <w:rsid w:val="0054785B"/>
    <w:rsid w:val="00547860"/>
    <w:rsid w:val="00547CCA"/>
    <w:rsid w:val="00547FC0"/>
    <w:rsid w:val="00550080"/>
    <w:rsid w:val="00550BCA"/>
    <w:rsid w:val="00551DCF"/>
    <w:rsid w:val="005521BA"/>
    <w:rsid w:val="0055323C"/>
    <w:rsid w:val="00553407"/>
    <w:rsid w:val="005535A0"/>
    <w:rsid w:val="00554E88"/>
    <w:rsid w:val="0055532F"/>
    <w:rsid w:val="00555716"/>
    <w:rsid w:val="00555864"/>
    <w:rsid w:val="005558A9"/>
    <w:rsid w:val="00555AF3"/>
    <w:rsid w:val="00556355"/>
    <w:rsid w:val="005563ED"/>
    <w:rsid w:val="00557628"/>
    <w:rsid w:val="0055780A"/>
    <w:rsid w:val="0056012D"/>
    <w:rsid w:val="00560B4A"/>
    <w:rsid w:val="00560BC3"/>
    <w:rsid w:val="005617DF"/>
    <w:rsid w:val="00561D24"/>
    <w:rsid w:val="00561F6B"/>
    <w:rsid w:val="00563C84"/>
    <w:rsid w:val="0056429D"/>
    <w:rsid w:val="00565F1D"/>
    <w:rsid w:val="00566926"/>
    <w:rsid w:val="00566EC2"/>
    <w:rsid w:val="005715DA"/>
    <w:rsid w:val="0057324A"/>
    <w:rsid w:val="005738A6"/>
    <w:rsid w:val="00575488"/>
    <w:rsid w:val="0057628D"/>
    <w:rsid w:val="0057629E"/>
    <w:rsid w:val="00576A03"/>
    <w:rsid w:val="00576ADE"/>
    <w:rsid w:val="00577726"/>
    <w:rsid w:val="00577A6F"/>
    <w:rsid w:val="00577CFD"/>
    <w:rsid w:val="00577DEF"/>
    <w:rsid w:val="00577F21"/>
    <w:rsid w:val="00580FF2"/>
    <w:rsid w:val="00582033"/>
    <w:rsid w:val="0058286F"/>
    <w:rsid w:val="005829B7"/>
    <w:rsid w:val="005831A7"/>
    <w:rsid w:val="00584978"/>
    <w:rsid w:val="00584C70"/>
    <w:rsid w:val="00584CC8"/>
    <w:rsid w:val="0058607D"/>
    <w:rsid w:val="005867D1"/>
    <w:rsid w:val="005872DB"/>
    <w:rsid w:val="00587DD1"/>
    <w:rsid w:val="00590013"/>
    <w:rsid w:val="0059108C"/>
    <w:rsid w:val="00592FC3"/>
    <w:rsid w:val="00597972"/>
    <w:rsid w:val="00597DE3"/>
    <w:rsid w:val="00597FAB"/>
    <w:rsid w:val="005A0382"/>
    <w:rsid w:val="005A08B9"/>
    <w:rsid w:val="005A0ECA"/>
    <w:rsid w:val="005A1249"/>
    <w:rsid w:val="005A1AC8"/>
    <w:rsid w:val="005A2195"/>
    <w:rsid w:val="005A3281"/>
    <w:rsid w:val="005A363A"/>
    <w:rsid w:val="005A429B"/>
    <w:rsid w:val="005A4C43"/>
    <w:rsid w:val="005A59FA"/>
    <w:rsid w:val="005A5AD1"/>
    <w:rsid w:val="005A5C43"/>
    <w:rsid w:val="005A5E2E"/>
    <w:rsid w:val="005A6033"/>
    <w:rsid w:val="005A671F"/>
    <w:rsid w:val="005A6FD4"/>
    <w:rsid w:val="005A73B6"/>
    <w:rsid w:val="005A7B65"/>
    <w:rsid w:val="005B104C"/>
    <w:rsid w:val="005B2570"/>
    <w:rsid w:val="005B26B5"/>
    <w:rsid w:val="005B309D"/>
    <w:rsid w:val="005B51CA"/>
    <w:rsid w:val="005B5D92"/>
    <w:rsid w:val="005B5DED"/>
    <w:rsid w:val="005B61A1"/>
    <w:rsid w:val="005B61EA"/>
    <w:rsid w:val="005B62C8"/>
    <w:rsid w:val="005B6525"/>
    <w:rsid w:val="005B65E6"/>
    <w:rsid w:val="005B668F"/>
    <w:rsid w:val="005B672C"/>
    <w:rsid w:val="005B688F"/>
    <w:rsid w:val="005B68DA"/>
    <w:rsid w:val="005C0ED1"/>
    <w:rsid w:val="005C157F"/>
    <w:rsid w:val="005C17A8"/>
    <w:rsid w:val="005C2085"/>
    <w:rsid w:val="005C2210"/>
    <w:rsid w:val="005C2FC7"/>
    <w:rsid w:val="005C3A10"/>
    <w:rsid w:val="005C3BDE"/>
    <w:rsid w:val="005C407E"/>
    <w:rsid w:val="005C4F8F"/>
    <w:rsid w:val="005C6996"/>
    <w:rsid w:val="005C6A66"/>
    <w:rsid w:val="005C6F2D"/>
    <w:rsid w:val="005C793C"/>
    <w:rsid w:val="005C79EC"/>
    <w:rsid w:val="005C7D71"/>
    <w:rsid w:val="005D064B"/>
    <w:rsid w:val="005D0AD8"/>
    <w:rsid w:val="005D0BC0"/>
    <w:rsid w:val="005D0D1C"/>
    <w:rsid w:val="005D161C"/>
    <w:rsid w:val="005D2D84"/>
    <w:rsid w:val="005D3EB2"/>
    <w:rsid w:val="005D4D12"/>
    <w:rsid w:val="005D4DDC"/>
    <w:rsid w:val="005D55C4"/>
    <w:rsid w:val="005D5BA1"/>
    <w:rsid w:val="005D5D2E"/>
    <w:rsid w:val="005D6543"/>
    <w:rsid w:val="005D697E"/>
    <w:rsid w:val="005D69EA"/>
    <w:rsid w:val="005D6A4A"/>
    <w:rsid w:val="005D7BF9"/>
    <w:rsid w:val="005E0008"/>
    <w:rsid w:val="005E28C9"/>
    <w:rsid w:val="005E2EBC"/>
    <w:rsid w:val="005E2F26"/>
    <w:rsid w:val="005E3351"/>
    <w:rsid w:val="005E335B"/>
    <w:rsid w:val="005E3D7F"/>
    <w:rsid w:val="005E49B2"/>
    <w:rsid w:val="005E4C99"/>
    <w:rsid w:val="005E5759"/>
    <w:rsid w:val="005E57F7"/>
    <w:rsid w:val="005E6358"/>
    <w:rsid w:val="005E720C"/>
    <w:rsid w:val="005E7404"/>
    <w:rsid w:val="005E7C7D"/>
    <w:rsid w:val="005F0A1B"/>
    <w:rsid w:val="005F0AE8"/>
    <w:rsid w:val="005F0E54"/>
    <w:rsid w:val="005F1FD6"/>
    <w:rsid w:val="005F2515"/>
    <w:rsid w:val="005F2A6B"/>
    <w:rsid w:val="005F3366"/>
    <w:rsid w:val="005F3416"/>
    <w:rsid w:val="005F383C"/>
    <w:rsid w:val="005F396F"/>
    <w:rsid w:val="005F3DEB"/>
    <w:rsid w:val="005F40C1"/>
    <w:rsid w:val="005F5AAE"/>
    <w:rsid w:val="005F6EC7"/>
    <w:rsid w:val="005F7FDE"/>
    <w:rsid w:val="00600A39"/>
    <w:rsid w:val="00601FE7"/>
    <w:rsid w:val="006024D3"/>
    <w:rsid w:val="00606838"/>
    <w:rsid w:val="00606B83"/>
    <w:rsid w:val="00606EF9"/>
    <w:rsid w:val="0060706A"/>
    <w:rsid w:val="00607082"/>
    <w:rsid w:val="0060748A"/>
    <w:rsid w:val="00607758"/>
    <w:rsid w:val="00610582"/>
    <w:rsid w:val="00610674"/>
    <w:rsid w:val="00610D5E"/>
    <w:rsid w:val="006110E8"/>
    <w:rsid w:val="006112E3"/>
    <w:rsid w:val="00612C77"/>
    <w:rsid w:val="006130CC"/>
    <w:rsid w:val="00613467"/>
    <w:rsid w:val="0061392A"/>
    <w:rsid w:val="00614191"/>
    <w:rsid w:val="00615061"/>
    <w:rsid w:val="00615F95"/>
    <w:rsid w:val="00616C56"/>
    <w:rsid w:val="00616E5C"/>
    <w:rsid w:val="00617E91"/>
    <w:rsid w:val="00617FF2"/>
    <w:rsid w:val="0062027A"/>
    <w:rsid w:val="00620607"/>
    <w:rsid w:val="00620D7E"/>
    <w:rsid w:val="00622C14"/>
    <w:rsid w:val="00623092"/>
    <w:rsid w:val="00623261"/>
    <w:rsid w:val="00623454"/>
    <w:rsid w:val="0062398E"/>
    <w:rsid w:val="00623DDF"/>
    <w:rsid w:val="00624315"/>
    <w:rsid w:val="006245AB"/>
    <w:rsid w:val="00624778"/>
    <w:rsid w:val="0062545B"/>
    <w:rsid w:val="0062552A"/>
    <w:rsid w:val="0062726F"/>
    <w:rsid w:val="00627CBD"/>
    <w:rsid w:val="00627E01"/>
    <w:rsid w:val="00630496"/>
    <w:rsid w:val="00630BAB"/>
    <w:rsid w:val="00630F62"/>
    <w:rsid w:val="006310C9"/>
    <w:rsid w:val="006325BA"/>
    <w:rsid w:val="00633192"/>
    <w:rsid w:val="006332BE"/>
    <w:rsid w:val="00633A25"/>
    <w:rsid w:val="0063447B"/>
    <w:rsid w:val="00634FDD"/>
    <w:rsid w:val="006374EB"/>
    <w:rsid w:val="006377B3"/>
    <w:rsid w:val="00637C5B"/>
    <w:rsid w:val="006408C3"/>
    <w:rsid w:val="00640E65"/>
    <w:rsid w:val="00641F9D"/>
    <w:rsid w:val="00642581"/>
    <w:rsid w:val="0064290C"/>
    <w:rsid w:val="006429DF"/>
    <w:rsid w:val="006432F4"/>
    <w:rsid w:val="0064344A"/>
    <w:rsid w:val="006436B7"/>
    <w:rsid w:val="006448C0"/>
    <w:rsid w:val="006448DD"/>
    <w:rsid w:val="00644935"/>
    <w:rsid w:val="00644B1E"/>
    <w:rsid w:val="00645463"/>
    <w:rsid w:val="00645AB3"/>
    <w:rsid w:val="00645B8F"/>
    <w:rsid w:val="0064620D"/>
    <w:rsid w:val="00646CA4"/>
    <w:rsid w:val="0064719A"/>
    <w:rsid w:val="00647FE8"/>
    <w:rsid w:val="00650223"/>
    <w:rsid w:val="00650CA3"/>
    <w:rsid w:val="00651A6E"/>
    <w:rsid w:val="00652162"/>
    <w:rsid w:val="0065226B"/>
    <w:rsid w:val="00652528"/>
    <w:rsid w:val="00652B3E"/>
    <w:rsid w:val="00652ED2"/>
    <w:rsid w:val="0065310A"/>
    <w:rsid w:val="00653123"/>
    <w:rsid w:val="00654C2A"/>
    <w:rsid w:val="00655158"/>
    <w:rsid w:val="00655536"/>
    <w:rsid w:val="00656A27"/>
    <w:rsid w:val="00657754"/>
    <w:rsid w:val="00660EA0"/>
    <w:rsid w:val="006618AA"/>
    <w:rsid w:val="00662DFF"/>
    <w:rsid w:val="00662E7D"/>
    <w:rsid w:val="00664356"/>
    <w:rsid w:val="006649E0"/>
    <w:rsid w:val="00664BDE"/>
    <w:rsid w:val="00665FC6"/>
    <w:rsid w:val="0066607A"/>
    <w:rsid w:val="00667104"/>
    <w:rsid w:val="00667CBF"/>
    <w:rsid w:val="00670628"/>
    <w:rsid w:val="00672008"/>
    <w:rsid w:val="00672120"/>
    <w:rsid w:val="00672191"/>
    <w:rsid w:val="006726DE"/>
    <w:rsid w:val="0067327D"/>
    <w:rsid w:val="00673352"/>
    <w:rsid w:val="00673803"/>
    <w:rsid w:val="00673843"/>
    <w:rsid w:val="00673B4A"/>
    <w:rsid w:val="006746D6"/>
    <w:rsid w:val="0067582A"/>
    <w:rsid w:val="00675CB4"/>
    <w:rsid w:val="006763A3"/>
    <w:rsid w:val="006770D5"/>
    <w:rsid w:val="006800BA"/>
    <w:rsid w:val="00680FEE"/>
    <w:rsid w:val="00681091"/>
    <w:rsid w:val="006814EF"/>
    <w:rsid w:val="00681C5B"/>
    <w:rsid w:val="0068368C"/>
    <w:rsid w:val="006836A0"/>
    <w:rsid w:val="00683ED1"/>
    <w:rsid w:val="0068446B"/>
    <w:rsid w:val="00685979"/>
    <w:rsid w:val="0068650C"/>
    <w:rsid w:val="00686A71"/>
    <w:rsid w:val="00686DB1"/>
    <w:rsid w:val="00687797"/>
    <w:rsid w:val="00690057"/>
    <w:rsid w:val="0069052C"/>
    <w:rsid w:val="00690549"/>
    <w:rsid w:val="006906B5"/>
    <w:rsid w:val="006909A5"/>
    <w:rsid w:val="00690C0B"/>
    <w:rsid w:val="00690EF9"/>
    <w:rsid w:val="0069123E"/>
    <w:rsid w:val="00691278"/>
    <w:rsid w:val="0069144A"/>
    <w:rsid w:val="00691913"/>
    <w:rsid w:val="00692FEA"/>
    <w:rsid w:val="0069330F"/>
    <w:rsid w:val="00693399"/>
    <w:rsid w:val="006938A8"/>
    <w:rsid w:val="006941E7"/>
    <w:rsid w:val="0069459C"/>
    <w:rsid w:val="00697C4F"/>
    <w:rsid w:val="006A03AB"/>
    <w:rsid w:val="006A138B"/>
    <w:rsid w:val="006A1569"/>
    <w:rsid w:val="006A15B9"/>
    <w:rsid w:val="006A1835"/>
    <w:rsid w:val="006A18A1"/>
    <w:rsid w:val="006A1C6B"/>
    <w:rsid w:val="006A2C96"/>
    <w:rsid w:val="006A4228"/>
    <w:rsid w:val="006A631B"/>
    <w:rsid w:val="006A632C"/>
    <w:rsid w:val="006A679E"/>
    <w:rsid w:val="006B0480"/>
    <w:rsid w:val="006B140A"/>
    <w:rsid w:val="006B5681"/>
    <w:rsid w:val="006B592E"/>
    <w:rsid w:val="006B5D29"/>
    <w:rsid w:val="006B6044"/>
    <w:rsid w:val="006B6242"/>
    <w:rsid w:val="006B69AD"/>
    <w:rsid w:val="006B6C39"/>
    <w:rsid w:val="006B6DE4"/>
    <w:rsid w:val="006B71B1"/>
    <w:rsid w:val="006B7A48"/>
    <w:rsid w:val="006C014A"/>
    <w:rsid w:val="006C0974"/>
    <w:rsid w:val="006C0B82"/>
    <w:rsid w:val="006C25FC"/>
    <w:rsid w:val="006C2667"/>
    <w:rsid w:val="006C29FD"/>
    <w:rsid w:val="006C2D10"/>
    <w:rsid w:val="006C2DB7"/>
    <w:rsid w:val="006C425E"/>
    <w:rsid w:val="006C4869"/>
    <w:rsid w:val="006C4906"/>
    <w:rsid w:val="006C5C80"/>
    <w:rsid w:val="006C5DED"/>
    <w:rsid w:val="006C634C"/>
    <w:rsid w:val="006C6AA6"/>
    <w:rsid w:val="006C7423"/>
    <w:rsid w:val="006C74A2"/>
    <w:rsid w:val="006D04EE"/>
    <w:rsid w:val="006D190A"/>
    <w:rsid w:val="006D26FA"/>
    <w:rsid w:val="006D3130"/>
    <w:rsid w:val="006D3271"/>
    <w:rsid w:val="006D33C5"/>
    <w:rsid w:val="006D354B"/>
    <w:rsid w:val="006D4E1F"/>
    <w:rsid w:val="006D5379"/>
    <w:rsid w:val="006D5D03"/>
    <w:rsid w:val="006D5D72"/>
    <w:rsid w:val="006D5F43"/>
    <w:rsid w:val="006D64BF"/>
    <w:rsid w:val="006D66BE"/>
    <w:rsid w:val="006D7D25"/>
    <w:rsid w:val="006D7D44"/>
    <w:rsid w:val="006E0181"/>
    <w:rsid w:val="006E285B"/>
    <w:rsid w:val="006E29E6"/>
    <w:rsid w:val="006E383E"/>
    <w:rsid w:val="006E3B8C"/>
    <w:rsid w:val="006E3DE3"/>
    <w:rsid w:val="006E440A"/>
    <w:rsid w:val="006E4469"/>
    <w:rsid w:val="006E5246"/>
    <w:rsid w:val="006E5B24"/>
    <w:rsid w:val="006E5E49"/>
    <w:rsid w:val="006E6CF4"/>
    <w:rsid w:val="006E7302"/>
    <w:rsid w:val="006F0B67"/>
    <w:rsid w:val="006F0BA2"/>
    <w:rsid w:val="006F0BE4"/>
    <w:rsid w:val="006F161E"/>
    <w:rsid w:val="006F1B0E"/>
    <w:rsid w:val="006F1B9D"/>
    <w:rsid w:val="006F1BB3"/>
    <w:rsid w:val="006F21CC"/>
    <w:rsid w:val="006F3500"/>
    <w:rsid w:val="006F350A"/>
    <w:rsid w:val="006F391F"/>
    <w:rsid w:val="006F3964"/>
    <w:rsid w:val="006F41E2"/>
    <w:rsid w:val="006F506B"/>
    <w:rsid w:val="006F5691"/>
    <w:rsid w:val="006F74E7"/>
    <w:rsid w:val="006F78CD"/>
    <w:rsid w:val="006F78D0"/>
    <w:rsid w:val="00700FE7"/>
    <w:rsid w:val="00703418"/>
    <w:rsid w:val="0070384E"/>
    <w:rsid w:val="00703DE8"/>
    <w:rsid w:val="0070525A"/>
    <w:rsid w:val="00705451"/>
    <w:rsid w:val="007061AA"/>
    <w:rsid w:val="007063D3"/>
    <w:rsid w:val="00706665"/>
    <w:rsid w:val="00710485"/>
    <w:rsid w:val="007109D8"/>
    <w:rsid w:val="00710FDB"/>
    <w:rsid w:val="007119A3"/>
    <w:rsid w:val="007124E3"/>
    <w:rsid w:val="007125B1"/>
    <w:rsid w:val="00712C73"/>
    <w:rsid w:val="00712CC3"/>
    <w:rsid w:val="0071362E"/>
    <w:rsid w:val="007139D6"/>
    <w:rsid w:val="007149B3"/>
    <w:rsid w:val="00714E0D"/>
    <w:rsid w:val="00715033"/>
    <w:rsid w:val="0071738F"/>
    <w:rsid w:val="00717C8E"/>
    <w:rsid w:val="0072026D"/>
    <w:rsid w:val="00722107"/>
    <w:rsid w:val="007222CD"/>
    <w:rsid w:val="00722446"/>
    <w:rsid w:val="00722B72"/>
    <w:rsid w:val="0072344E"/>
    <w:rsid w:val="00723CB0"/>
    <w:rsid w:val="00723E1E"/>
    <w:rsid w:val="00723F51"/>
    <w:rsid w:val="00724745"/>
    <w:rsid w:val="00724BD8"/>
    <w:rsid w:val="007277CB"/>
    <w:rsid w:val="00730D7F"/>
    <w:rsid w:val="007312B2"/>
    <w:rsid w:val="00732B11"/>
    <w:rsid w:val="007356C0"/>
    <w:rsid w:val="00735761"/>
    <w:rsid w:val="00735846"/>
    <w:rsid w:val="00736AD4"/>
    <w:rsid w:val="00737271"/>
    <w:rsid w:val="00737E1E"/>
    <w:rsid w:val="00740014"/>
    <w:rsid w:val="007408F2"/>
    <w:rsid w:val="00740C87"/>
    <w:rsid w:val="00741380"/>
    <w:rsid w:val="0074350A"/>
    <w:rsid w:val="00743B80"/>
    <w:rsid w:val="00744B48"/>
    <w:rsid w:val="00744D53"/>
    <w:rsid w:val="0074657F"/>
    <w:rsid w:val="00746EA3"/>
    <w:rsid w:val="007503C5"/>
    <w:rsid w:val="00750420"/>
    <w:rsid w:val="00750726"/>
    <w:rsid w:val="0075082C"/>
    <w:rsid w:val="0075084E"/>
    <w:rsid w:val="007509A6"/>
    <w:rsid w:val="00750B24"/>
    <w:rsid w:val="00750B5A"/>
    <w:rsid w:val="00751C6B"/>
    <w:rsid w:val="00751CBA"/>
    <w:rsid w:val="00751F15"/>
    <w:rsid w:val="0075240B"/>
    <w:rsid w:val="0075396E"/>
    <w:rsid w:val="007540C1"/>
    <w:rsid w:val="00754A5F"/>
    <w:rsid w:val="00757FE7"/>
    <w:rsid w:val="00760326"/>
    <w:rsid w:val="00762141"/>
    <w:rsid w:val="00762AE0"/>
    <w:rsid w:val="0076380C"/>
    <w:rsid w:val="00763F78"/>
    <w:rsid w:val="0076446C"/>
    <w:rsid w:val="00764539"/>
    <w:rsid w:val="00765328"/>
    <w:rsid w:val="00766CB9"/>
    <w:rsid w:val="00767F24"/>
    <w:rsid w:val="00770966"/>
    <w:rsid w:val="007723E1"/>
    <w:rsid w:val="00772C70"/>
    <w:rsid w:val="00772D45"/>
    <w:rsid w:val="00774370"/>
    <w:rsid w:val="007750AD"/>
    <w:rsid w:val="0077548D"/>
    <w:rsid w:val="007766AC"/>
    <w:rsid w:val="007768E5"/>
    <w:rsid w:val="0077694C"/>
    <w:rsid w:val="00776EE2"/>
    <w:rsid w:val="00777133"/>
    <w:rsid w:val="00777ECF"/>
    <w:rsid w:val="007806D9"/>
    <w:rsid w:val="00780D3F"/>
    <w:rsid w:val="00781777"/>
    <w:rsid w:val="00781EC7"/>
    <w:rsid w:val="00781F4B"/>
    <w:rsid w:val="0078218C"/>
    <w:rsid w:val="00783DBF"/>
    <w:rsid w:val="007845AC"/>
    <w:rsid w:val="00784613"/>
    <w:rsid w:val="007847FA"/>
    <w:rsid w:val="00784B79"/>
    <w:rsid w:val="00784D38"/>
    <w:rsid w:val="00785C48"/>
    <w:rsid w:val="00785FA7"/>
    <w:rsid w:val="00787332"/>
    <w:rsid w:val="00790910"/>
    <w:rsid w:val="00790D95"/>
    <w:rsid w:val="00791DE1"/>
    <w:rsid w:val="00791F29"/>
    <w:rsid w:val="00791F2F"/>
    <w:rsid w:val="00791FBA"/>
    <w:rsid w:val="007923B9"/>
    <w:rsid w:val="0079375E"/>
    <w:rsid w:val="007938C3"/>
    <w:rsid w:val="00793BDE"/>
    <w:rsid w:val="0079482C"/>
    <w:rsid w:val="0079515E"/>
    <w:rsid w:val="007959BA"/>
    <w:rsid w:val="00796995"/>
    <w:rsid w:val="00796D25"/>
    <w:rsid w:val="00797338"/>
    <w:rsid w:val="00797D36"/>
    <w:rsid w:val="007A003B"/>
    <w:rsid w:val="007A0667"/>
    <w:rsid w:val="007A0C94"/>
    <w:rsid w:val="007A321D"/>
    <w:rsid w:val="007A37EA"/>
    <w:rsid w:val="007A3A8C"/>
    <w:rsid w:val="007A3FE6"/>
    <w:rsid w:val="007A40DF"/>
    <w:rsid w:val="007A4500"/>
    <w:rsid w:val="007A5FB6"/>
    <w:rsid w:val="007A6254"/>
    <w:rsid w:val="007A70E9"/>
    <w:rsid w:val="007B07A5"/>
    <w:rsid w:val="007B0E0C"/>
    <w:rsid w:val="007B17F4"/>
    <w:rsid w:val="007B212C"/>
    <w:rsid w:val="007B23AF"/>
    <w:rsid w:val="007B2AF8"/>
    <w:rsid w:val="007B31A5"/>
    <w:rsid w:val="007B390A"/>
    <w:rsid w:val="007B41C9"/>
    <w:rsid w:val="007B50A8"/>
    <w:rsid w:val="007B6280"/>
    <w:rsid w:val="007B73DB"/>
    <w:rsid w:val="007B78F5"/>
    <w:rsid w:val="007B7A41"/>
    <w:rsid w:val="007C001C"/>
    <w:rsid w:val="007C00D9"/>
    <w:rsid w:val="007C015A"/>
    <w:rsid w:val="007C0D0E"/>
    <w:rsid w:val="007C122C"/>
    <w:rsid w:val="007C26E5"/>
    <w:rsid w:val="007C3499"/>
    <w:rsid w:val="007C3942"/>
    <w:rsid w:val="007C6500"/>
    <w:rsid w:val="007C6B1D"/>
    <w:rsid w:val="007C720A"/>
    <w:rsid w:val="007C733D"/>
    <w:rsid w:val="007C7499"/>
    <w:rsid w:val="007C75DD"/>
    <w:rsid w:val="007D1092"/>
    <w:rsid w:val="007D118C"/>
    <w:rsid w:val="007D1875"/>
    <w:rsid w:val="007D1924"/>
    <w:rsid w:val="007D2621"/>
    <w:rsid w:val="007D37FD"/>
    <w:rsid w:val="007D3DB1"/>
    <w:rsid w:val="007D4ACE"/>
    <w:rsid w:val="007D4D09"/>
    <w:rsid w:val="007D5974"/>
    <w:rsid w:val="007D5CA8"/>
    <w:rsid w:val="007D6B9E"/>
    <w:rsid w:val="007D7D09"/>
    <w:rsid w:val="007E0973"/>
    <w:rsid w:val="007E0CAF"/>
    <w:rsid w:val="007E1072"/>
    <w:rsid w:val="007E18EF"/>
    <w:rsid w:val="007E2BA8"/>
    <w:rsid w:val="007E2F09"/>
    <w:rsid w:val="007E3F07"/>
    <w:rsid w:val="007E58EB"/>
    <w:rsid w:val="007E5C2C"/>
    <w:rsid w:val="007E5D77"/>
    <w:rsid w:val="007E671C"/>
    <w:rsid w:val="007F0008"/>
    <w:rsid w:val="007F03BA"/>
    <w:rsid w:val="007F08CA"/>
    <w:rsid w:val="007F0A78"/>
    <w:rsid w:val="007F0CE5"/>
    <w:rsid w:val="007F1C75"/>
    <w:rsid w:val="007F3B6E"/>
    <w:rsid w:val="007F3E07"/>
    <w:rsid w:val="007F5F86"/>
    <w:rsid w:val="007F6A4F"/>
    <w:rsid w:val="007F72C9"/>
    <w:rsid w:val="007F7AC2"/>
    <w:rsid w:val="007F7C93"/>
    <w:rsid w:val="00802A64"/>
    <w:rsid w:val="00802B63"/>
    <w:rsid w:val="00802BE4"/>
    <w:rsid w:val="008038E6"/>
    <w:rsid w:val="00804649"/>
    <w:rsid w:val="00806434"/>
    <w:rsid w:val="0080663A"/>
    <w:rsid w:val="008071C9"/>
    <w:rsid w:val="00807559"/>
    <w:rsid w:val="00807807"/>
    <w:rsid w:val="008102A2"/>
    <w:rsid w:val="008104D4"/>
    <w:rsid w:val="008115C2"/>
    <w:rsid w:val="008117BF"/>
    <w:rsid w:val="00811DEA"/>
    <w:rsid w:val="008127AA"/>
    <w:rsid w:val="00813202"/>
    <w:rsid w:val="00813288"/>
    <w:rsid w:val="0081419C"/>
    <w:rsid w:val="008147A3"/>
    <w:rsid w:val="00815732"/>
    <w:rsid w:val="008173F4"/>
    <w:rsid w:val="00817D91"/>
    <w:rsid w:val="00820EB8"/>
    <w:rsid w:val="00821A29"/>
    <w:rsid w:val="00821F7E"/>
    <w:rsid w:val="008223AA"/>
    <w:rsid w:val="00823233"/>
    <w:rsid w:val="00824426"/>
    <w:rsid w:val="00824B0E"/>
    <w:rsid w:val="00824C9D"/>
    <w:rsid w:val="008254EF"/>
    <w:rsid w:val="008260B8"/>
    <w:rsid w:val="00826BE4"/>
    <w:rsid w:val="00826E76"/>
    <w:rsid w:val="00827126"/>
    <w:rsid w:val="008276E8"/>
    <w:rsid w:val="00830597"/>
    <w:rsid w:val="00830E52"/>
    <w:rsid w:val="00831616"/>
    <w:rsid w:val="00831871"/>
    <w:rsid w:val="0083233F"/>
    <w:rsid w:val="008324E3"/>
    <w:rsid w:val="00832684"/>
    <w:rsid w:val="00833E59"/>
    <w:rsid w:val="00834292"/>
    <w:rsid w:val="00834C32"/>
    <w:rsid w:val="00835290"/>
    <w:rsid w:val="0083551D"/>
    <w:rsid w:val="008367E7"/>
    <w:rsid w:val="00836E8D"/>
    <w:rsid w:val="008374BE"/>
    <w:rsid w:val="0083755D"/>
    <w:rsid w:val="00837D84"/>
    <w:rsid w:val="00840DCB"/>
    <w:rsid w:val="008412FF"/>
    <w:rsid w:val="00843AE8"/>
    <w:rsid w:val="0084411D"/>
    <w:rsid w:val="00844347"/>
    <w:rsid w:val="0084437F"/>
    <w:rsid w:val="008443C3"/>
    <w:rsid w:val="008450F3"/>
    <w:rsid w:val="00845946"/>
    <w:rsid w:val="00846C69"/>
    <w:rsid w:val="00846D09"/>
    <w:rsid w:val="008476A0"/>
    <w:rsid w:val="00847B14"/>
    <w:rsid w:val="00847D48"/>
    <w:rsid w:val="00847D96"/>
    <w:rsid w:val="0085041B"/>
    <w:rsid w:val="00850763"/>
    <w:rsid w:val="008509E0"/>
    <w:rsid w:val="00851C5E"/>
    <w:rsid w:val="00852433"/>
    <w:rsid w:val="00852456"/>
    <w:rsid w:val="008525D7"/>
    <w:rsid w:val="00852F38"/>
    <w:rsid w:val="0085475F"/>
    <w:rsid w:val="00854EF0"/>
    <w:rsid w:val="008558C1"/>
    <w:rsid w:val="00856C34"/>
    <w:rsid w:val="00856CD3"/>
    <w:rsid w:val="00856E2E"/>
    <w:rsid w:val="00860870"/>
    <w:rsid w:val="0086103B"/>
    <w:rsid w:val="008621C6"/>
    <w:rsid w:val="00862B69"/>
    <w:rsid w:val="008631B5"/>
    <w:rsid w:val="00863E95"/>
    <w:rsid w:val="00864421"/>
    <w:rsid w:val="00865546"/>
    <w:rsid w:val="00865DB3"/>
    <w:rsid w:val="00865DC1"/>
    <w:rsid w:val="0086756E"/>
    <w:rsid w:val="00867E67"/>
    <w:rsid w:val="00867FB7"/>
    <w:rsid w:val="00870112"/>
    <w:rsid w:val="00870130"/>
    <w:rsid w:val="0087057B"/>
    <w:rsid w:val="00870C8E"/>
    <w:rsid w:val="008711B8"/>
    <w:rsid w:val="00872350"/>
    <w:rsid w:val="0087365A"/>
    <w:rsid w:val="008743C7"/>
    <w:rsid w:val="00874624"/>
    <w:rsid w:val="008750F9"/>
    <w:rsid w:val="00875341"/>
    <w:rsid w:val="0087536F"/>
    <w:rsid w:val="00875677"/>
    <w:rsid w:val="00875B7F"/>
    <w:rsid w:val="008765D7"/>
    <w:rsid w:val="008802C9"/>
    <w:rsid w:val="00880A40"/>
    <w:rsid w:val="00880F55"/>
    <w:rsid w:val="008810DB"/>
    <w:rsid w:val="0088184D"/>
    <w:rsid w:val="00881C81"/>
    <w:rsid w:val="00881CC0"/>
    <w:rsid w:val="00882C06"/>
    <w:rsid w:val="00882CC7"/>
    <w:rsid w:val="00883156"/>
    <w:rsid w:val="00883CC3"/>
    <w:rsid w:val="00885A82"/>
    <w:rsid w:val="00886412"/>
    <w:rsid w:val="008865BD"/>
    <w:rsid w:val="008869F4"/>
    <w:rsid w:val="00887CB9"/>
    <w:rsid w:val="00887E3D"/>
    <w:rsid w:val="00890936"/>
    <w:rsid w:val="00890C1A"/>
    <w:rsid w:val="00891090"/>
    <w:rsid w:val="008911CB"/>
    <w:rsid w:val="008913AF"/>
    <w:rsid w:val="0089155B"/>
    <w:rsid w:val="0089195C"/>
    <w:rsid w:val="00891BC1"/>
    <w:rsid w:val="008922E3"/>
    <w:rsid w:val="00892DCA"/>
    <w:rsid w:val="00892E1C"/>
    <w:rsid w:val="0089382F"/>
    <w:rsid w:val="008939DB"/>
    <w:rsid w:val="00893EEF"/>
    <w:rsid w:val="00894D2E"/>
    <w:rsid w:val="0089500B"/>
    <w:rsid w:val="008957DB"/>
    <w:rsid w:val="00896084"/>
    <w:rsid w:val="008975A2"/>
    <w:rsid w:val="00897B51"/>
    <w:rsid w:val="008A0AC0"/>
    <w:rsid w:val="008A12B3"/>
    <w:rsid w:val="008A14CB"/>
    <w:rsid w:val="008A15D1"/>
    <w:rsid w:val="008A184F"/>
    <w:rsid w:val="008A19DA"/>
    <w:rsid w:val="008A1C05"/>
    <w:rsid w:val="008A1F30"/>
    <w:rsid w:val="008A24FE"/>
    <w:rsid w:val="008A2658"/>
    <w:rsid w:val="008A2C72"/>
    <w:rsid w:val="008A3029"/>
    <w:rsid w:val="008A3ADD"/>
    <w:rsid w:val="008A4090"/>
    <w:rsid w:val="008A40BC"/>
    <w:rsid w:val="008A40DD"/>
    <w:rsid w:val="008A4880"/>
    <w:rsid w:val="008A52B1"/>
    <w:rsid w:val="008A5754"/>
    <w:rsid w:val="008A5E0E"/>
    <w:rsid w:val="008A74F9"/>
    <w:rsid w:val="008A7501"/>
    <w:rsid w:val="008A7515"/>
    <w:rsid w:val="008B07C8"/>
    <w:rsid w:val="008B0C53"/>
    <w:rsid w:val="008B11EC"/>
    <w:rsid w:val="008B1259"/>
    <w:rsid w:val="008B12AD"/>
    <w:rsid w:val="008B1D4B"/>
    <w:rsid w:val="008B1FFD"/>
    <w:rsid w:val="008B2287"/>
    <w:rsid w:val="008B2C31"/>
    <w:rsid w:val="008B2E71"/>
    <w:rsid w:val="008B30DE"/>
    <w:rsid w:val="008B43C8"/>
    <w:rsid w:val="008B4EA4"/>
    <w:rsid w:val="008B5B32"/>
    <w:rsid w:val="008B6964"/>
    <w:rsid w:val="008B76B0"/>
    <w:rsid w:val="008B7F4F"/>
    <w:rsid w:val="008C0E19"/>
    <w:rsid w:val="008C10D7"/>
    <w:rsid w:val="008C1490"/>
    <w:rsid w:val="008C1C98"/>
    <w:rsid w:val="008C23C3"/>
    <w:rsid w:val="008C2989"/>
    <w:rsid w:val="008C2FFB"/>
    <w:rsid w:val="008C339F"/>
    <w:rsid w:val="008C3D0F"/>
    <w:rsid w:val="008C460D"/>
    <w:rsid w:val="008C4952"/>
    <w:rsid w:val="008C4E0E"/>
    <w:rsid w:val="008C62A0"/>
    <w:rsid w:val="008C67E8"/>
    <w:rsid w:val="008C69C5"/>
    <w:rsid w:val="008C756B"/>
    <w:rsid w:val="008D043F"/>
    <w:rsid w:val="008D090C"/>
    <w:rsid w:val="008D09DD"/>
    <w:rsid w:val="008D1176"/>
    <w:rsid w:val="008D1784"/>
    <w:rsid w:val="008D22C6"/>
    <w:rsid w:val="008D31C5"/>
    <w:rsid w:val="008D32E3"/>
    <w:rsid w:val="008D475B"/>
    <w:rsid w:val="008D4944"/>
    <w:rsid w:val="008D4FFB"/>
    <w:rsid w:val="008D55CD"/>
    <w:rsid w:val="008D5BFC"/>
    <w:rsid w:val="008D6BDD"/>
    <w:rsid w:val="008D7385"/>
    <w:rsid w:val="008D78FF"/>
    <w:rsid w:val="008D7BF5"/>
    <w:rsid w:val="008E1CBF"/>
    <w:rsid w:val="008E1FE3"/>
    <w:rsid w:val="008E2BAF"/>
    <w:rsid w:val="008E307B"/>
    <w:rsid w:val="008E32CC"/>
    <w:rsid w:val="008E49A5"/>
    <w:rsid w:val="008E4D91"/>
    <w:rsid w:val="008E7763"/>
    <w:rsid w:val="008E77C1"/>
    <w:rsid w:val="008F06C2"/>
    <w:rsid w:val="008F07C6"/>
    <w:rsid w:val="008F07FC"/>
    <w:rsid w:val="008F0D02"/>
    <w:rsid w:val="008F1529"/>
    <w:rsid w:val="008F2037"/>
    <w:rsid w:val="008F216F"/>
    <w:rsid w:val="008F2523"/>
    <w:rsid w:val="008F32EA"/>
    <w:rsid w:val="008F3519"/>
    <w:rsid w:val="008F3FAF"/>
    <w:rsid w:val="008F482E"/>
    <w:rsid w:val="008F4A7E"/>
    <w:rsid w:val="008F5299"/>
    <w:rsid w:val="008F57F7"/>
    <w:rsid w:val="008F5AE3"/>
    <w:rsid w:val="008F5E79"/>
    <w:rsid w:val="008F6878"/>
    <w:rsid w:val="008F6CA5"/>
    <w:rsid w:val="008F703E"/>
    <w:rsid w:val="008F7FE6"/>
    <w:rsid w:val="00900174"/>
    <w:rsid w:val="0090028B"/>
    <w:rsid w:val="00900374"/>
    <w:rsid w:val="009003BE"/>
    <w:rsid w:val="00901CF6"/>
    <w:rsid w:val="009023B3"/>
    <w:rsid w:val="00903F33"/>
    <w:rsid w:val="00904686"/>
    <w:rsid w:val="00904D14"/>
    <w:rsid w:val="00906672"/>
    <w:rsid w:val="00906C2F"/>
    <w:rsid w:val="00906DA3"/>
    <w:rsid w:val="00906FA5"/>
    <w:rsid w:val="0090702D"/>
    <w:rsid w:val="0090734D"/>
    <w:rsid w:val="00907899"/>
    <w:rsid w:val="00907C66"/>
    <w:rsid w:val="009105DC"/>
    <w:rsid w:val="0091238F"/>
    <w:rsid w:val="00913E2D"/>
    <w:rsid w:val="00914422"/>
    <w:rsid w:val="00914DA7"/>
    <w:rsid w:val="0091557F"/>
    <w:rsid w:val="00915F63"/>
    <w:rsid w:val="00916AFA"/>
    <w:rsid w:val="00917342"/>
    <w:rsid w:val="00917704"/>
    <w:rsid w:val="009177E9"/>
    <w:rsid w:val="009221AD"/>
    <w:rsid w:val="00923366"/>
    <w:rsid w:val="009240B7"/>
    <w:rsid w:val="0092600B"/>
    <w:rsid w:val="009265C7"/>
    <w:rsid w:val="00926CCF"/>
    <w:rsid w:val="00926DA7"/>
    <w:rsid w:val="00927CA1"/>
    <w:rsid w:val="00930969"/>
    <w:rsid w:val="00930D09"/>
    <w:rsid w:val="009328C9"/>
    <w:rsid w:val="009331CF"/>
    <w:rsid w:val="009334AC"/>
    <w:rsid w:val="00933919"/>
    <w:rsid w:val="00934564"/>
    <w:rsid w:val="009359EC"/>
    <w:rsid w:val="00936135"/>
    <w:rsid w:val="00937E53"/>
    <w:rsid w:val="00940676"/>
    <w:rsid w:val="00941829"/>
    <w:rsid w:val="00941A22"/>
    <w:rsid w:val="00941ED9"/>
    <w:rsid w:val="00942010"/>
    <w:rsid w:val="00942D50"/>
    <w:rsid w:val="0094320A"/>
    <w:rsid w:val="0094396D"/>
    <w:rsid w:val="009449EB"/>
    <w:rsid w:val="00944ED0"/>
    <w:rsid w:val="009452FB"/>
    <w:rsid w:val="00945A89"/>
    <w:rsid w:val="00945AD8"/>
    <w:rsid w:val="00945E55"/>
    <w:rsid w:val="00946503"/>
    <w:rsid w:val="009466E3"/>
    <w:rsid w:val="00947C89"/>
    <w:rsid w:val="009500E3"/>
    <w:rsid w:val="009502F7"/>
    <w:rsid w:val="0095099A"/>
    <w:rsid w:val="0095169A"/>
    <w:rsid w:val="0095170D"/>
    <w:rsid w:val="009522AE"/>
    <w:rsid w:val="00952632"/>
    <w:rsid w:val="00952A95"/>
    <w:rsid w:val="0095307F"/>
    <w:rsid w:val="009548FF"/>
    <w:rsid w:val="00954987"/>
    <w:rsid w:val="00954DDB"/>
    <w:rsid w:val="0095540F"/>
    <w:rsid w:val="00955526"/>
    <w:rsid w:val="00955722"/>
    <w:rsid w:val="00956598"/>
    <w:rsid w:val="00956AC6"/>
    <w:rsid w:val="00956AF1"/>
    <w:rsid w:val="00957FD5"/>
    <w:rsid w:val="00960B21"/>
    <w:rsid w:val="00961D8A"/>
    <w:rsid w:val="009624F6"/>
    <w:rsid w:val="00962538"/>
    <w:rsid w:val="00963381"/>
    <w:rsid w:val="009651B1"/>
    <w:rsid w:val="00965269"/>
    <w:rsid w:val="009653A9"/>
    <w:rsid w:val="00965D29"/>
    <w:rsid w:val="00966C09"/>
    <w:rsid w:val="00967541"/>
    <w:rsid w:val="0096799F"/>
    <w:rsid w:val="00967B48"/>
    <w:rsid w:val="00967CE3"/>
    <w:rsid w:val="009706BE"/>
    <w:rsid w:val="00970D2E"/>
    <w:rsid w:val="0097190B"/>
    <w:rsid w:val="00971A41"/>
    <w:rsid w:val="00971BDA"/>
    <w:rsid w:val="0097260D"/>
    <w:rsid w:val="00972C33"/>
    <w:rsid w:val="00972F81"/>
    <w:rsid w:val="009732E6"/>
    <w:rsid w:val="00973890"/>
    <w:rsid w:val="00973E9B"/>
    <w:rsid w:val="00974336"/>
    <w:rsid w:val="00974527"/>
    <w:rsid w:val="0097492B"/>
    <w:rsid w:val="00974E67"/>
    <w:rsid w:val="0097574A"/>
    <w:rsid w:val="00975850"/>
    <w:rsid w:val="00975A73"/>
    <w:rsid w:val="00976AE1"/>
    <w:rsid w:val="009774A2"/>
    <w:rsid w:val="00977E1A"/>
    <w:rsid w:val="0098041E"/>
    <w:rsid w:val="009808B3"/>
    <w:rsid w:val="00980F87"/>
    <w:rsid w:val="00981467"/>
    <w:rsid w:val="009817F3"/>
    <w:rsid w:val="00982737"/>
    <w:rsid w:val="0098342E"/>
    <w:rsid w:val="00984441"/>
    <w:rsid w:val="009844CF"/>
    <w:rsid w:val="0098468F"/>
    <w:rsid w:val="00984DD8"/>
    <w:rsid w:val="009850A1"/>
    <w:rsid w:val="00986A9B"/>
    <w:rsid w:val="00990147"/>
    <w:rsid w:val="009907BA"/>
    <w:rsid w:val="0099085F"/>
    <w:rsid w:val="00991816"/>
    <w:rsid w:val="009923D7"/>
    <w:rsid w:val="0099252B"/>
    <w:rsid w:val="009925DB"/>
    <w:rsid w:val="00992F01"/>
    <w:rsid w:val="00993114"/>
    <w:rsid w:val="00993CC9"/>
    <w:rsid w:val="009940A4"/>
    <w:rsid w:val="00994242"/>
    <w:rsid w:val="00995692"/>
    <w:rsid w:val="00995AD7"/>
    <w:rsid w:val="009A0E22"/>
    <w:rsid w:val="009A1740"/>
    <w:rsid w:val="009A2132"/>
    <w:rsid w:val="009A3291"/>
    <w:rsid w:val="009A3E7C"/>
    <w:rsid w:val="009A3FE6"/>
    <w:rsid w:val="009A4305"/>
    <w:rsid w:val="009A4421"/>
    <w:rsid w:val="009A4A1B"/>
    <w:rsid w:val="009A4C69"/>
    <w:rsid w:val="009A4E04"/>
    <w:rsid w:val="009A580E"/>
    <w:rsid w:val="009A599F"/>
    <w:rsid w:val="009A6A4D"/>
    <w:rsid w:val="009A6F74"/>
    <w:rsid w:val="009A751C"/>
    <w:rsid w:val="009A7B53"/>
    <w:rsid w:val="009B04A8"/>
    <w:rsid w:val="009B0768"/>
    <w:rsid w:val="009B2581"/>
    <w:rsid w:val="009B2DE7"/>
    <w:rsid w:val="009B3779"/>
    <w:rsid w:val="009B3D58"/>
    <w:rsid w:val="009B4FC5"/>
    <w:rsid w:val="009B56F6"/>
    <w:rsid w:val="009B5AC4"/>
    <w:rsid w:val="009B5D06"/>
    <w:rsid w:val="009B6D61"/>
    <w:rsid w:val="009C0CC4"/>
    <w:rsid w:val="009C0F03"/>
    <w:rsid w:val="009C13CD"/>
    <w:rsid w:val="009C293A"/>
    <w:rsid w:val="009C2D7B"/>
    <w:rsid w:val="009C34AA"/>
    <w:rsid w:val="009C4BDD"/>
    <w:rsid w:val="009C4D08"/>
    <w:rsid w:val="009C4F22"/>
    <w:rsid w:val="009C59C9"/>
    <w:rsid w:val="009C7232"/>
    <w:rsid w:val="009C73A3"/>
    <w:rsid w:val="009C7786"/>
    <w:rsid w:val="009D0A54"/>
    <w:rsid w:val="009D14FC"/>
    <w:rsid w:val="009D18BC"/>
    <w:rsid w:val="009D3237"/>
    <w:rsid w:val="009D3628"/>
    <w:rsid w:val="009D4C2A"/>
    <w:rsid w:val="009D597C"/>
    <w:rsid w:val="009D6088"/>
    <w:rsid w:val="009D6914"/>
    <w:rsid w:val="009D6915"/>
    <w:rsid w:val="009D734F"/>
    <w:rsid w:val="009D7D53"/>
    <w:rsid w:val="009E06E9"/>
    <w:rsid w:val="009E08A4"/>
    <w:rsid w:val="009E1A3C"/>
    <w:rsid w:val="009E1C22"/>
    <w:rsid w:val="009E247C"/>
    <w:rsid w:val="009E2481"/>
    <w:rsid w:val="009E37E4"/>
    <w:rsid w:val="009E3B74"/>
    <w:rsid w:val="009E3C7E"/>
    <w:rsid w:val="009E43E8"/>
    <w:rsid w:val="009E4684"/>
    <w:rsid w:val="009E478C"/>
    <w:rsid w:val="009E4CFE"/>
    <w:rsid w:val="009E5606"/>
    <w:rsid w:val="009E5734"/>
    <w:rsid w:val="009E6473"/>
    <w:rsid w:val="009E662A"/>
    <w:rsid w:val="009E7696"/>
    <w:rsid w:val="009E7A04"/>
    <w:rsid w:val="009E7F11"/>
    <w:rsid w:val="009F0381"/>
    <w:rsid w:val="009F1535"/>
    <w:rsid w:val="009F193A"/>
    <w:rsid w:val="009F1BA9"/>
    <w:rsid w:val="009F2B50"/>
    <w:rsid w:val="009F3631"/>
    <w:rsid w:val="009F363C"/>
    <w:rsid w:val="009F3790"/>
    <w:rsid w:val="009F39EF"/>
    <w:rsid w:val="009F3C70"/>
    <w:rsid w:val="009F476C"/>
    <w:rsid w:val="009F572B"/>
    <w:rsid w:val="009F586C"/>
    <w:rsid w:val="009F5D30"/>
    <w:rsid w:val="009F5E23"/>
    <w:rsid w:val="009F64A6"/>
    <w:rsid w:val="009F7A90"/>
    <w:rsid w:val="009F7CEB"/>
    <w:rsid w:val="00A00274"/>
    <w:rsid w:val="00A026D3"/>
    <w:rsid w:val="00A027E1"/>
    <w:rsid w:val="00A03256"/>
    <w:rsid w:val="00A03463"/>
    <w:rsid w:val="00A03CC6"/>
    <w:rsid w:val="00A040FD"/>
    <w:rsid w:val="00A0426A"/>
    <w:rsid w:val="00A04C0D"/>
    <w:rsid w:val="00A0573C"/>
    <w:rsid w:val="00A0646D"/>
    <w:rsid w:val="00A071FD"/>
    <w:rsid w:val="00A07327"/>
    <w:rsid w:val="00A10545"/>
    <w:rsid w:val="00A1064D"/>
    <w:rsid w:val="00A10F77"/>
    <w:rsid w:val="00A10FBF"/>
    <w:rsid w:val="00A11FEF"/>
    <w:rsid w:val="00A125EE"/>
    <w:rsid w:val="00A12A44"/>
    <w:rsid w:val="00A12B6B"/>
    <w:rsid w:val="00A13DD6"/>
    <w:rsid w:val="00A157D8"/>
    <w:rsid w:val="00A15829"/>
    <w:rsid w:val="00A16638"/>
    <w:rsid w:val="00A1673C"/>
    <w:rsid w:val="00A17490"/>
    <w:rsid w:val="00A177F5"/>
    <w:rsid w:val="00A179C8"/>
    <w:rsid w:val="00A17B16"/>
    <w:rsid w:val="00A20973"/>
    <w:rsid w:val="00A20B1A"/>
    <w:rsid w:val="00A21315"/>
    <w:rsid w:val="00A216F9"/>
    <w:rsid w:val="00A228CE"/>
    <w:rsid w:val="00A22A39"/>
    <w:rsid w:val="00A2315A"/>
    <w:rsid w:val="00A242F2"/>
    <w:rsid w:val="00A2502D"/>
    <w:rsid w:val="00A258AA"/>
    <w:rsid w:val="00A2597A"/>
    <w:rsid w:val="00A2672F"/>
    <w:rsid w:val="00A26E4A"/>
    <w:rsid w:val="00A27674"/>
    <w:rsid w:val="00A27B71"/>
    <w:rsid w:val="00A27DDD"/>
    <w:rsid w:val="00A30D99"/>
    <w:rsid w:val="00A30F89"/>
    <w:rsid w:val="00A321EB"/>
    <w:rsid w:val="00A330F7"/>
    <w:rsid w:val="00A33B4D"/>
    <w:rsid w:val="00A34436"/>
    <w:rsid w:val="00A34573"/>
    <w:rsid w:val="00A34F6E"/>
    <w:rsid w:val="00A35483"/>
    <w:rsid w:val="00A379CD"/>
    <w:rsid w:val="00A40D21"/>
    <w:rsid w:val="00A41E5D"/>
    <w:rsid w:val="00A42350"/>
    <w:rsid w:val="00A44F58"/>
    <w:rsid w:val="00A45200"/>
    <w:rsid w:val="00A45378"/>
    <w:rsid w:val="00A45BED"/>
    <w:rsid w:val="00A46302"/>
    <w:rsid w:val="00A46683"/>
    <w:rsid w:val="00A4717E"/>
    <w:rsid w:val="00A47E69"/>
    <w:rsid w:val="00A50925"/>
    <w:rsid w:val="00A511EE"/>
    <w:rsid w:val="00A518C7"/>
    <w:rsid w:val="00A51CA2"/>
    <w:rsid w:val="00A51CB4"/>
    <w:rsid w:val="00A52502"/>
    <w:rsid w:val="00A52C0C"/>
    <w:rsid w:val="00A533C3"/>
    <w:rsid w:val="00A535FB"/>
    <w:rsid w:val="00A539CB"/>
    <w:rsid w:val="00A53FA8"/>
    <w:rsid w:val="00A545E4"/>
    <w:rsid w:val="00A550AE"/>
    <w:rsid w:val="00A551DE"/>
    <w:rsid w:val="00A5798C"/>
    <w:rsid w:val="00A6015F"/>
    <w:rsid w:val="00A605F7"/>
    <w:rsid w:val="00A60854"/>
    <w:rsid w:val="00A62B3B"/>
    <w:rsid w:val="00A630E7"/>
    <w:rsid w:val="00A63378"/>
    <w:rsid w:val="00A635B1"/>
    <w:rsid w:val="00A63630"/>
    <w:rsid w:val="00A6374D"/>
    <w:rsid w:val="00A6517D"/>
    <w:rsid w:val="00A65C1F"/>
    <w:rsid w:val="00A65E0F"/>
    <w:rsid w:val="00A672A8"/>
    <w:rsid w:val="00A72F26"/>
    <w:rsid w:val="00A73A9C"/>
    <w:rsid w:val="00A73FC6"/>
    <w:rsid w:val="00A744E8"/>
    <w:rsid w:val="00A74505"/>
    <w:rsid w:val="00A7473E"/>
    <w:rsid w:val="00A747E0"/>
    <w:rsid w:val="00A7509F"/>
    <w:rsid w:val="00A75112"/>
    <w:rsid w:val="00A75903"/>
    <w:rsid w:val="00A75DA1"/>
    <w:rsid w:val="00A76EA4"/>
    <w:rsid w:val="00A7775D"/>
    <w:rsid w:val="00A778B1"/>
    <w:rsid w:val="00A77ABA"/>
    <w:rsid w:val="00A77BDE"/>
    <w:rsid w:val="00A77CBB"/>
    <w:rsid w:val="00A77F64"/>
    <w:rsid w:val="00A80F79"/>
    <w:rsid w:val="00A81521"/>
    <w:rsid w:val="00A81F82"/>
    <w:rsid w:val="00A82813"/>
    <w:rsid w:val="00A82A0C"/>
    <w:rsid w:val="00A82EF0"/>
    <w:rsid w:val="00A83A87"/>
    <w:rsid w:val="00A841B0"/>
    <w:rsid w:val="00A845BC"/>
    <w:rsid w:val="00A84EAA"/>
    <w:rsid w:val="00A85543"/>
    <w:rsid w:val="00A85A2B"/>
    <w:rsid w:val="00A86148"/>
    <w:rsid w:val="00A86DA9"/>
    <w:rsid w:val="00A9020E"/>
    <w:rsid w:val="00A9091D"/>
    <w:rsid w:val="00A93543"/>
    <w:rsid w:val="00A93BCC"/>
    <w:rsid w:val="00A93F16"/>
    <w:rsid w:val="00A93F6B"/>
    <w:rsid w:val="00A948EE"/>
    <w:rsid w:val="00A94EC9"/>
    <w:rsid w:val="00A94EFC"/>
    <w:rsid w:val="00A94F26"/>
    <w:rsid w:val="00A95515"/>
    <w:rsid w:val="00A9587A"/>
    <w:rsid w:val="00A95CC8"/>
    <w:rsid w:val="00A963DD"/>
    <w:rsid w:val="00A9644D"/>
    <w:rsid w:val="00A96F4C"/>
    <w:rsid w:val="00A97219"/>
    <w:rsid w:val="00A97DEC"/>
    <w:rsid w:val="00AA03CB"/>
    <w:rsid w:val="00AA07C1"/>
    <w:rsid w:val="00AA1044"/>
    <w:rsid w:val="00AA1681"/>
    <w:rsid w:val="00AA1CEE"/>
    <w:rsid w:val="00AA2BB0"/>
    <w:rsid w:val="00AA2FA1"/>
    <w:rsid w:val="00AA35CC"/>
    <w:rsid w:val="00AA51C1"/>
    <w:rsid w:val="00AA53D3"/>
    <w:rsid w:val="00AA5E89"/>
    <w:rsid w:val="00AA6156"/>
    <w:rsid w:val="00AA6862"/>
    <w:rsid w:val="00AA73AC"/>
    <w:rsid w:val="00AA7B77"/>
    <w:rsid w:val="00AA7BFF"/>
    <w:rsid w:val="00AB0EF2"/>
    <w:rsid w:val="00AB120C"/>
    <w:rsid w:val="00AB1837"/>
    <w:rsid w:val="00AB187A"/>
    <w:rsid w:val="00AB2ACB"/>
    <w:rsid w:val="00AB4629"/>
    <w:rsid w:val="00AB480E"/>
    <w:rsid w:val="00AB514A"/>
    <w:rsid w:val="00AB5906"/>
    <w:rsid w:val="00AB6EEF"/>
    <w:rsid w:val="00AB7229"/>
    <w:rsid w:val="00AC1026"/>
    <w:rsid w:val="00AC1E12"/>
    <w:rsid w:val="00AC2D2E"/>
    <w:rsid w:val="00AC3452"/>
    <w:rsid w:val="00AC3705"/>
    <w:rsid w:val="00AC3AC5"/>
    <w:rsid w:val="00AC3B2A"/>
    <w:rsid w:val="00AC3D58"/>
    <w:rsid w:val="00AC3DCF"/>
    <w:rsid w:val="00AC4F2D"/>
    <w:rsid w:val="00AC50E3"/>
    <w:rsid w:val="00AC512D"/>
    <w:rsid w:val="00AC55EB"/>
    <w:rsid w:val="00AC59CF"/>
    <w:rsid w:val="00AC5DB0"/>
    <w:rsid w:val="00AC6E3B"/>
    <w:rsid w:val="00AC7295"/>
    <w:rsid w:val="00AD073F"/>
    <w:rsid w:val="00AD1DD7"/>
    <w:rsid w:val="00AD23C4"/>
    <w:rsid w:val="00AD24A4"/>
    <w:rsid w:val="00AD2713"/>
    <w:rsid w:val="00AD2D40"/>
    <w:rsid w:val="00AD35BC"/>
    <w:rsid w:val="00AD3BF1"/>
    <w:rsid w:val="00AD51C9"/>
    <w:rsid w:val="00AD542F"/>
    <w:rsid w:val="00AD58E4"/>
    <w:rsid w:val="00AD7397"/>
    <w:rsid w:val="00AE06A7"/>
    <w:rsid w:val="00AE0E03"/>
    <w:rsid w:val="00AE15D8"/>
    <w:rsid w:val="00AE1BBD"/>
    <w:rsid w:val="00AE1E07"/>
    <w:rsid w:val="00AE2A68"/>
    <w:rsid w:val="00AE2BEB"/>
    <w:rsid w:val="00AE30F0"/>
    <w:rsid w:val="00AE36AC"/>
    <w:rsid w:val="00AE390B"/>
    <w:rsid w:val="00AE3A5A"/>
    <w:rsid w:val="00AE4143"/>
    <w:rsid w:val="00AE4E6D"/>
    <w:rsid w:val="00AE6002"/>
    <w:rsid w:val="00AE6218"/>
    <w:rsid w:val="00AE772D"/>
    <w:rsid w:val="00AF023C"/>
    <w:rsid w:val="00AF04E2"/>
    <w:rsid w:val="00AF0CF8"/>
    <w:rsid w:val="00AF0DF9"/>
    <w:rsid w:val="00AF1461"/>
    <w:rsid w:val="00AF1A88"/>
    <w:rsid w:val="00AF4BE4"/>
    <w:rsid w:val="00AF4C16"/>
    <w:rsid w:val="00AF5EA1"/>
    <w:rsid w:val="00AF5F4A"/>
    <w:rsid w:val="00AF6324"/>
    <w:rsid w:val="00AF6DC1"/>
    <w:rsid w:val="00AF6E3F"/>
    <w:rsid w:val="00AF701B"/>
    <w:rsid w:val="00AF7178"/>
    <w:rsid w:val="00AF757B"/>
    <w:rsid w:val="00AF7AF4"/>
    <w:rsid w:val="00AF7BE8"/>
    <w:rsid w:val="00B0025B"/>
    <w:rsid w:val="00B00746"/>
    <w:rsid w:val="00B00DC9"/>
    <w:rsid w:val="00B01CD6"/>
    <w:rsid w:val="00B0230D"/>
    <w:rsid w:val="00B02EF1"/>
    <w:rsid w:val="00B0369A"/>
    <w:rsid w:val="00B0529B"/>
    <w:rsid w:val="00B05A6C"/>
    <w:rsid w:val="00B05CD6"/>
    <w:rsid w:val="00B05DEC"/>
    <w:rsid w:val="00B05E21"/>
    <w:rsid w:val="00B061B5"/>
    <w:rsid w:val="00B10316"/>
    <w:rsid w:val="00B115F3"/>
    <w:rsid w:val="00B11EA0"/>
    <w:rsid w:val="00B128D4"/>
    <w:rsid w:val="00B13338"/>
    <w:rsid w:val="00B13DB9"/>
    <w:rsid w:val="00B14FDA"/>
    <w:rsid w:val="00B153AE"/>
    <w:rsid w:val="00B1542E"/>
    <w:rsid w:val="00B15FCD"/>
    <w:rsid w:val="00B170B6"/>
    <w:rsid w:val="00B17BC8"/>
    <w:rsid w:val="00B17E1D"/>
    <w:rsid w:val="00B17FDB"/>
    <w:rsid w:val="00B21BB1"/>
    <w:rsid w:val="00B225D0"/>
    <w:rsid w:val="00B22D8E"/>
    <w:rsid w:val="00B23AF6"/>
    <w:rsid w:val="00B23E32"/>
    <w:rsid w:val="00B241EE"/>
    <w:rsid w:val="00B24309"/>
    <w:rsid w:val="00B259DF"/>
    <w:rsid w:val="00B25D68"/>
    <w:rsid w:val="00B27408"/>
    <w:rsid w:val="00B2777B"/>
    <w:rsid w:val="00B30120"/>
    <w:rsid w:val="00B30D73"/>
    <w:rsid w:val="00B310B8"/>
    <w:rsid w:val="00B3264A"/>
    <w:rsid w:val="00B32891"/>
    <w:rsid w:val="00B32B5C"/>
    <w:rsid w:val="00B32DDE"/>
    <w:rsid w:val="00B33051"/>
    <w:rsid w:val="00B33914"/>
    <w:rsid w:val="00B339EF"/>
    <w:rsid w:val="00B344EB"/>
    <w:rsid w:val="00B35CC9"/>
    <w:rsid w:val="00B367E2"/>
    <w:rsid w:val="00B3773F"/>
    <w:rsid w:val="00B40229"/>
    <w:rsid w:val="00B408E4"/>
    <w:rsid w:val="00B4220C"/>
    <w:rsid w:val="00B4237B"/>
    <w:rsid w:val="00B4406D"/>
    <w:rsid w:val="00B443BE"/>
    <w:rsid w:val="00B446C2"/>
    <w:rsid w:val="00B45574"/>
    <w:rsid w:val="00B4584A"/>
    <w:rsid w:val="00B4656A"/>
    <w:rsid w:val="00B4778B"/>
    <w:rsid w:val="00B47A8D"/>
    <w:rsid w:val="00B50417"/>
    <w:rsid w:val="00B50809"/>
    <w:rsid w:val="00B51EBA"/>
    <w:rsid w:val="00B52206"/>
    <w:rsid w:val="00B53B58"/>
    <w:rsid w:val="00B53C53"/>
    <w:rsid w:val="00B542BF"/>
    <w:rsid w:val="00B5576A"/>
    <w:rsid w:val="00B55CAC"/>
    <w:rsid w:val="00B56AAC"/>
    <w:rsid w:val="00B56D6A"/>
    <w:rsid w:val="00B56D9D"/>
    <w:rsid w:val="00B56E5C"/>
    <w:rsid w:val="00B60B3A"/>
    <w:rsid w:val="00B619BC"/>
    <w:rsid w:val="00B63460"/>
    <w:rsid w:val="00B63CB0"/>
    <w:rsid w:val="00B64CA3"/>
    <w:rsid w:val="00B65330"/>
    <w:rsid w:val="00B65F65"/>
    <w:rsid w:val="00B66C04"/>
    <w:rsid w:val="00B66C37"/>
    <w:rsid w:val="00B66D19"/>
    <w:rsid w:val="00B67119"/>
    <w:rsid w:val="00B70522"/>
    <w:rsid w:val="00B70ED9"/>
    <w:rsid w:val="00B70F1B"/>
    <w:rsid w:val="00B7105D"/>
    <w:rsid w:val="00B71675"/>
    <w:rsid w:val="00B717AA"/>
    <w:rsid w:val="00B71B62"/>
    <w:rsid w:val="00B721CA"/>
    <w:rsid w:val="00B72733"/>
    <w:rsid w:val="00B7345A"/>
    <w:rsid w:val="00B75BC0"/>
    <w:rsid w:val="00B7636B"/>
    <w:rsid w:val="00B76492"/>
    <w:rsid w:val="00B76AB8"/>
    <w:rsid w:val="00B76D9F"/>
    <w:rsid w:val="00B7796D"/>
    <w:rsid w:val="00B779DD"/>
    <w:rsid w:val="00B80B83"/>
    <w:rsid w:val="00B82171"/>
    <w:rsid w:val="00B8254D"/>
    <w:rsid w:val="00B83300"/>
    <w:rsid w:val="00B84C0B"/>
    <w:rsid w:val="00B85359"/>
    <w:rsid w:val="00B8560C"/>
    <w:rsid w:val="00B858C9"/>
    <w:rsid w:val="00B863A0"/>
    <w:rsid w:val="00B8733D"/>
    <w:rsid w:val="00B900AD"/>
    <w:rsid w:val="00B916D5"/>
    <w:rsid w:val="00B92681"/>
    <w:rsid w:val="00B93854"/>
    <w:rsid w:val="00B94C30"/>
    <w:rsid w:val="00B94F28"/>
    <w:rsid w:val="00B95098"/>
    <w:rsid w:val="00B976A9"/>
    <w:rsid w:val="00B97AB8"/>
    <w:rsid w:val="00B97D08"/>
    <w:rsid w:val="00BA0032"/>
    <w:rsid w:val="00BA01AB"/>
    <w:rsid w:val="00BA03D7"/>
    <w:rsid w:val="00BA09D2"/>
    <w:rsid w:val="00BA1831"/>
    <w:rsid w:val="00BA1C48"/>
    <w:rsid w:val="00BA1E4D"/>
    <w:rsid w:val="00BA288E"/>
    <w:rsid w:val="00BA3286"/>
    <w:rsid w:val="00BA3306"/>
    <w:rsid w:val="00BA33A8"/>
    <w:rsid w:val="00BA386E"/>
    <w:rsid w:val="00BA436E"/>
    <w:rsid w:val="00BA546E"/>
    <w:rsid w:val="00BA5724"/>
    <w:rsid w:val="00BA5D41"/>
    <w:rsid w:val="00BA63DA"/>
    <w:rsid w:val="00BA6FE2"/>
    <w:rsid w:val="00BA72B0"/>
    <w:rsid w:val="00BA73EE"/>
    <w:rsid w:val="00BB0E26"/>
    <w:rsid w:val="00BB1B90"/>
    <w:rsid w:val="00BB2329"/>
    <w:rsid w:val="00BB3110"/>
    <w:rsid w:val="00BB3DD1"/>
    <w:rsid w:val="00BB4575"/>
    <w:rsid w:val="00BB47CE"/>
    <w:rsid w:val="00BB482B"/>
    <w:rsid w:val="00BB4920"/>
    <w:rsid w:val="00BB54A6"/>
    <w:rsid w:val="00BB5FF9"/>
    <w:rsid w:val="00BB61BE"/>
    <w:rsid w:val="00BB65D0"/>
    <w:rsid w:val="00BB6875"/>
    <w:rsid w:val="00BB7C37"/>
    <w:rsid w:val="00BC06A6"/>
    <w:rsid w:val="00BC1190"/>
    <w:rsid w:val="00BC1CAF"/>
    <w:rsid w:val="00BC1ECD"/>
    <w:rsid w:val="00BC2614"/>
    <w:rsid w:val="00BC2C5B"/>
    <w:rsid w:val="00BC2E79"/>
    <w:rsid w:val="00BC3F39"/>
    <w:rsid w:val="00BC4380"/>
    <w:rsid w:val="00BC4C8F"/>
    <w:rsid w:val="00BC5965"/>
    <w:rsid w:val="00BC76D8"/>
    <w:rsid w:val="00BD03EC"/>
    <w:rsid w:val="00BD0424"/>
    <w:rsid w:val="00BD099D"/>
    <w:rsid w:val="00BD296F"/>
    <w:rsid w:val="00BD2D2C"/>
    <w:rsid w:val="00BD4E3F"/>
    <w:rsid w:val="00BD590A"/>
    <w:rsid w:val="00BE07C5"/>
    <w:rsid w:val="00BE0F0E"/>
    <w:rsid w:val="00BE21B8"/>
    <w:rsid w:val="00BE2753"/>
    <w:rsid w:val="00BE31E0"/>
    <w:rsid w:val="00BE3CAA"/>
    <w:rsid w:val="00BE3D49"/>
    <w:rsid w:val="00BE3E5F"/>
    <w:rsid w:val="00BE4D22"/>
    <w:rsid w:val="00BE52DD"/>
    <w:rsid w:val="00BE55E0"/>
    <w:rsid w:val="00BE583A"/>
    <w:rsid w:val="00BE5C69"/>
    <w:rsid w:val="00BE6A81"/>
    <w:rsid w:val="00BE73F8"/>
    <w:rsid w:val="00BF043D"/>
    <w:rsid w:val="00BF0EE5"/>
    <w:rsid w:val="00BF10F5"/>
    <w:rsid w:val="00BF22A7"/>
    <w:rsid w:val="00BF2574"/>
    <w:rsid w:val="00BF27C1"/>
    <w:rsid w:val="00BF2FF5"/>
    <w:rsid w:val="00BF50F5"/>
    <w:rsid w:val="00BF53BC"/>
    <w:rsid w:val="00BF55BF"/>
    <w:rsid w:val="00BF6648"/>
    <w:rsid w:val="00BF6973"/>
    <w:rsid w:val="00BF7612"/>
    <w:rsid w:val="00BF7E30"/>
    <w:rsid w:val="00C018E3"/>
    <w:rsid w:val="00C031FA"/>
    <w:rsid w:val="00C0408D"/>
    <w:rsid w:val="00C05E68"/>
    <w:rsid w:val="00C05EB4"/>
    <w:rsid w:val="00C06459"/>
    <w:rsid w:val="00C07417"/>
    <w:rsid w:val="00C07652"/>
    <w:rsid w:val="00C07BBA"/>
    <w:rsid w:val="00C07DB5"/>
    <w:rsid w:val="00C10407"/>
    <w:rsid w:val="00C10744"/>
    <w:rsid w:val="00C10B20"/>
    <w:rsid w:val="00C10B79"/>
    <w:rsid w:val="00C10C26"/>
    <w:rsid w:val="00C115F0"/>
    <w:rsid w:val="00C12B59"/>
    <w:rsid w:val="00C12CA7"/>
    <w:rsid w:val="00C14F74"/>
    <w:rsid w:val="00C164A4"/>
    <w:rsid w:val="00C16ACC"/>
    <w:rsid w:val="00C17105"/>
    <w:rsid w:val="00C20506"/>
    <w:rsid w:val="00C2155E"/>
    <w:rsid w:val="00C2162A"/>
    <w:rsid w:val="00C21642"/>
    <w:rsid w:val="00C221BF"/>
    <w:rsid w:val="00C22E9E"/>
    <w:rsid w:val="00C231CD"/>
    <w:rsid w:val="00C23FEA"/>
    <w:rsid w:val="00C2405D"/>
    <w:rsid w:val="00C262DC"/>
    <w:rsid w:val="00C268CF"/>
    <w:rsid w:val="00C27FD2"/>
    <w:rsid w:val="00C317F3"/>
    <w:rsid w:val="00C318B4"/>
    <w:rsid w:val="00C31DEF"/>
    <w:rsid w:val="00C31E29"/>
    <w:rsid w:val="00C32157"/>
    <w:rsid w:val="00C33973"/>
    <w:rsid w:val="00C339CC"/>
    <w:rsid w:val="00C341E1"/>
    <w:rsid w:val="00C34615"/>
    <w:rsid w:val="00C34943"/>
    <w:rsid w:val="00C349C2"/>
    <w:rsid w:val="00C349E5"/>
    <w:rsid w:val="00C3514D"/>
    <w:rsid w:val="00C351FD"/>
    <w:rsid w:val="00C35243"/>
    <w:rsid w:val="00C35BD5"/>
    <w:rsid w:val="00C35FE0"/>
    <w:rsid w:val="00C361F4"/>
    <w:rsid w:val="00C367E6"/>
    <w:rsid w:val="00C36CB3"/>
    <w:rsid w:val="00C41302"/>
    <w:rsid w:val="00C4156F"/>
    <w:rsid w:val="00C41C96"/>
    <w:rsid w:val="00C41FA3"/>
    <w:rsid w:val="00C42422"/>
    <w:rsid w:val="00C4431D"/>
    <w:rsid w:val="00C44C37"/>
    <w:rsid w:val="00C44E37"/>
    <w:rsid w:val="00C45E55"/>
    <w:rsid w:val="00C46368"/>
    <w:rsid w:val="00C46AE5"/>
    <w:rsid w:val="00C47654"/>
    <w:rsid w:val="00C47E05"/>
    <w:rsid w:val="00C47E70"/>
    <w:rsid w:val="00C504A1"/>
    <w:rsid w:val="00C51841"/>
    <w:rsid w:val="00C51EB3"/>
    <w:rsid w:val="00C52BE0"/>
    <w:rsid w:val="00C56093"/>
    <w:rsid w:val="00C574C5"/>
    <w:rsid w:val="00C5754C"/>
    <w:rsid w:val="00C57E4D"/>
    <w:rsid w:val="00C60D47"/>
    <w:rsid w:val="00C60F3A"/>
    <w:rsid w:val="00C61998"/>
    <w:rsid w:val="00C622A3"/>
    <w:rsid w:val="00C626E2"/>
    <w:rsid w:val="00C628C8"/>
    <w:rsid w:val="00C62C40"/>
    <w:rsid w:val="00C63BF8"/>
    <w:rsid w:val="00C6421A"/>
    <w:rsid w:val="00C64F7E"/>
    <w:rsid w:val="00C656EF"/>
    <w:rsid w:val="00C67273"/>
    <w:rsid w:val="00C6780E"/>
    <w:rsid w:val="00C71A5D"/>
    <w:rsid w:val="00C71A80"/>
    <w:rsid w:val="00C721CC"/>
    <w:rsid w:val="00C723E1"/>
    <w:rsid w:val="00C73340"/>
    <w:rsid w:val="00C736E7"/>
    <w:rsid w:val="00C73ADE"/>
    <w:rsid w:val="00C7519E"/>
    <w:rsid w:val="00C7681B"/>
    <w:rsid w:val="00C802FD"/>
    <w:rsid w:val="00C8065C"/>
    <w:rsid w:val="00C80E39"/>
    <w:rsid w:val="00C8155F"/>
    <w:rsid w:val="00C81A12"/>
    <w:rsid w:val="00C82261"/>
    <w:rsid w:val="00C824E4"/>
    <w:rsid w:val="00C82523"/>
    <w:rsid w:val="00C82817"/>
    <w:rsid w:val="00C8296F"/>
    <w:rsid w:val="00C82B5D"/>
    <w:rsid w:val="00C8369D"/>
    <w:rsid w:val="00C846BE"/>
    <w:rsid w:val="00C84C02"/>
    <w:rsid w:val="00C84E15"/>
    <w:rsid w:val="00C853BA"/>
    <w:rsid w:val="00C8544D"/>
    <w:rsid w:val="00C865CE"/>
    <w:rsid w:val="00C86BD5"/>
    <w:rsid w:val="00C87120"/>
    <w:rsid w:val="00C87F5E"/>
    <w:rsid w:val="00C90416"/>
    <w:rsid w:val="00C90710"/>
    <w:rsid w:val="00C90DD7"/>
    <w:rsid w:val="00C90E71"/>
    <w:rsid w:val="00C914EA"/>
    <w:rsid w:val="00C9161F"/>
    <w:rsid w:val="00C918A6"/>
    <w:rsid w:val="00C91A66"/>
    <w:rsid w:val="00C920A1"/>
    <w:rsid w:val="00C934DC"/>
    <w:rsid w:val="00C93787"/>
    <w:rsid w:val="00C963DE"/>
    <w:rsid w:val="00C96BAE"/>
    <w:rsid w:val="00CA0C26"/>
    <w:rsid w:val="00CA1185"/>
    <w:rsid w:val="00CA1369"/>
    <w:rsid w:val="00CA2CFF"/>
    <w:rsid w:val="00CA2E48"/>
    <w:rsid w:val="00CA46F6"/>
    <w:rsid w:val="00CA4C92"/>
    <w:rsid w:val="00CA50F3"/>
    <w:rsid w:val="00CA57C0"/>
    <w:rsid w:val="00CA63CB"/>
    <w:rsid w:val="00CA69AC"/>
    <w:rsid w:val="00CA75B3"/>
    <w:rsid w:val="00CB0576"/>
    <w:rsid w:val="00CB05FC"/>
    <w:rsid w:val="00CB0676"/>
    <w:rsid w:val="00CB07A8"/>
    <w:rsid w:val="00CB0987"/>
    <w:rsid w:val="00CB0B7E"/>
    <w:rsid w:val="00CB2072"/>
    <w:rsid w:val="00CB2B03"/>
    <w:rsid w:val="00CB375A"/>
    <w:rsid w:val="00CB51DE"/>
    <w:rsid w:val="00CB5389"/>
    <w:rsid w:val="00CB74C6"/>
    <w:rsid w:val="00CB7F38"/>
    <w:rsid w:val="00CC019B"/>
    <w:rsid w:val="00CC01D2"/>
    <w:rsid w:val="00CC10E1"/>
    <w:rsid w:val="00CC1344"/>
    <w:rsid w:val="00CC2D03"/>
    <w:rsid w:val="00CC3543"/>
    <w:rsid w:val="00CC41A6"/>
    <w:rsid w:val="00CC4757"/>
    <w:rsid w:val="00CC56AA"/>
    <w:rsid w:val="00CC79A7"/>
    <w:rsid w:val="00CD12E3"/>
    <w:rsid w:val="00CD1D44"/>
    <w:rsid w:val="00CD298E"/>
    <w:rsid w:val="00CD3934"/>
    <w:rsid w:val="00CD3D49"/>
    <w:rsid w:val="00CD5BEE"/>
    <w:rsid w:val="00CD6327"/>
    <w:rsid w:val="00CE03B7"/>
    <w:rsid w:val="00CE045E"/>
    <w:rsid w:val="00CE0C5C"/>
    <w:rsid w:val="00CE119E"/>
    <w:rsid w:val="00CE283A"/>
    <w:rsid w:val="00CE2B78"/>
    <w:rsid w:val="00CE353B"/>
    <w:rsid w:val="00CE4C67"/>
    <w:rsid w:val="00CE51E4"/>
    <w:rsid w:val="00CE52EA"/>
    <w:rsid w:val="00CE5848"/>
    <w:rsid w:val="00CE5D63"/>
    <w:rsid w:val="00CE679B"/>
    <w:rsid w:val="00CE6AE0"/>
    <w:rsid w:val="00CE6F4A"/>
    <w:rsid w:val="00CE74A3"/>
    <w:rsid w:val="00CE7A3F"/>
    <w:rsid w:val="00CF0478"/>
    <w:rsid w:val="00CF123B"/>
    <w:rsid w:val="00CF15C2"/>
    <w:rsid w:val="00CF178C"/>
    <w:rsid w:val="00CF17F9"/>
    <w:rsid w:val="00CF25CA"/>
    <w:rsid w:val="00CF262A"/>
    <w:rsid w:val="00CF2B76"/>
    <w:rsid w:val="00CF4240"/>
    <w:rsid w:val="00CF437B"/>
    <w:rsid w:val="00CF4597"/>
    <w:rsid w:val="00CF4B93"/>
    <w:rsid w:val="00CF56DC"/>
    <w:rsid w:val="00CF6EEE"/>
    <w:rsid w:val="00CF775E"/>
    <w:rsid w:val="00CF7964"/>
    <w:rsid w:val="00CF7C01"/>
    <w:rsid w:val="00CF7FDC"/>
    <w:rsid w:val="00D0003B"/>
    <w:rsid w:val="00D014CC"/>
    <w:rsid w:val="00D026F7"/>
    <w:rsid w:val="00D02805"/>
    <w:rsid w:val="00D03162"/>
    <w:rsid w:val="00D034DD"/>
    <w:rsid w:val="00D03A89"/>
    <w:rsid w:val="00D0466A"/>
    <w:rsid w:val="00D04952"/>
    <w:rsid w:val="00D0522F"/>
    <w:rsid w:val="00D06A16"/>
    <w:rsid w:val="00D07E63"/>
    <w:rsid w:val="00D1078F"/>
    <w:rsid w:val="00D10E60"/>
    <w:rsid w:val="00D117CD"/>
    <w:rsid w:val="00D12550"/>
    <w:rsid w:val="00D12CD2"/>
    <w:rsid w:val="00D13312"/>
    <w:rsid w:val="00D133F1"/>
    <w:rsid w:val="00D136A4"/>
    <w:rsid w:val="00D1383E"/>
    <w:rsid w:val="00D14D23"/>
    <w:rsid w:val="00D15755"/>
    <w:rsid w:val="00D15D8B"/>
    <w:rsid w:val="00D15E1D"/>
    <w:rsid w:val="00D1638F"/>
    <w:rsid w:val="00D165AD"/>
    <w:rsid w:val="00D168AB"/>
    <w:rsid w:val="00D17984"/>
    <w:rsid w:val="00D17D5D"/>
    <w:rsid w:val="00D20109"/>
    <w:rsid w:val="00D21342"/>
    <w:rsid w:val="00D2263F"/>
    <w:rsid w:val="00D226AF"/>
    <w:rsid w:val="00D22CFC"/>
    <w:rsid w:val="00D23207"/>
    <w:rsid w:val="00D23ADA"/>
    <w:rsid w:val="00D24D4B"/>
    <w:rsid w:val="00D24DAD"/>
    <w:rsid w:val="00D2525F"/>
    <w:rsid w:val="00D25916"/>
    <w:rsid w:val="00D26D97"/>
    <w:rsid w:val="00D272B5"/>
    <w:rsid w:val="00D30AA5"/>
    <w:rsid w:val="00D30BCF"/>
    <w:rsid w:val="00D31DDC"/>
    <w:rsid w:val="00D329E6"/>
    <w:rsid w:val="00D32AD7"/>
    <w:rsid w:val="00D3368F"/>
    <w:rsid w:val="00D340C0"/>
    <w:rsid w:val="00D34BCD"/>
    <w:rsid w:val="00D3525B"/>
    <w:rsid w:val="00D35C3D"/>
    <w:rsid w:val="00D3696A"/>
    <w:rsid w:val="00D37972"/>
    <w:rsid w:val="00D40896"/>
    <w:rsid w:val="00D41534"/>
    <w:rsid w:val="00D4183F"/>
    <w:rsid w:val="00D42CE3"/>
    <w:rsid w:val="00D451FC"/>
    <w:rsid w:val="00D456A7"/>
    <w:rsid w:val="00D45B2A"/>
    <w:rsid w:val="00D470D4"/>
    <w:rsid w:val="00D4725E"/>
    <w:rsid w:val="00D47BCD"/>
    <w:rsid w:val="00D47F1B"/>
    <w:rsid w:val="00D5033C"/>
    <w:rsid w:val="00D5155E"/>
    <w:rsid w:val="00D51B2C"/>
    <w:rsid w:val="00D52333"/>
    <w:rsid w:val="00D5238F"/>
    <w:rsid w:val="00D537FF"/>
    <w:rsid w:val="00D53F67"/>
    <w:rsid w:val="00D541EC"/>
    <w:rsid w:val="00D55759"/>
    <w:rsid w:val="00D55E0F"/>
    <w:rsid w:val="00D579FE"/>
    <w:rsid w:val="00D6017C"/>
    <w:rsid w:val="00D6060D"/>
    <w:rsid w:val="00D61F15"/>
    <w:rsid w:val="00D630B5"/>
    <w:rsid w:val="00D63C48"/>
    <w:rsid w:val="00D64289"/>
    <w:rsid w:val="00D65178"/>
    <w:rsid w:val="00D659FE"/>
    <w:rsid w:val="00D65D37"/>
    <w:rsid w:val="00D6667B"/>
    <w:rsid w:val="00D70497"/>
    <w:rsid w:val="00D70DD2"/>
    <w:rsid w:val="00D71194"/>
    <w:rsid w:val="00D71282"/>
    <w:rsid w:val="00D71400"/>
    <w:rsid w:val="00D71568"/>
    <w:rsid w:val="00D7174E"/>
    <w:rsid w:val="00D720D3"/>
    <w:rsid w:val="00D7296B"/>
    <w:rsid w:val="00D7335D"/>
    <w:rsid w:val="00D737CD"/>
    <w:rsid w:val="00D744A5"/>
    <w:rsid w:val="00D752BA"/>
    <w:rsid w:val="00D757B5"/>
    <w:rsid w:val="00D766C1"/>
    <w:rsid w:val="00D769BD"/>
    <w:rsid w:val="00D77883"/>
    <w:rsid w:val="00D81051"/>
    <w:rsid w:val="00D81B24"/>
    <w:rsid w:val="00D82732"/>
    <w:rsid w:val="00D8366C"/>
    <w:rsid w:val="00D83ABA"/>
    <w:rsid w:val="00D83CE3"/>
    <w:rsid w:val="00D8441F"/>
    <w:rsid w:val="00D85569"/>
    <w:rsid w:val="00D867E8"/>
    <w:rsid w:val="00D9086E"/>
    <w:rsid w:val="00D90C2A"/>
    <w:rsid w:val="00D90D1F"/>
    <w:rsid w:val="00D91B29"/>
    <w:rsid w:val="00D92D71"/>
    <w:rsid w:val="00D93869"/>
    <w:rsid w:val="00D93937"/>
    <w:rsid w:val="00D93963"/>
    <w:rsid w:val="00D93CD6"/>
    <w:rsid w:val="00D93D75"/>
    <w:rsid w:val="00D93D78"/>
    <w:rsid w:val="00D94009"/>
    <w:rsid w:val="00D944C2"/>
    <w:rsid w:val="00D95394"/>
    <w:rsid w:val="00D97063"/>
    <w:rsid w:val="00D970E7"/>
    <w:rsid w:val="00D97258"/>
    <w:rsid w:val="00D97993"/>
    <w:rsid w:val="00D97A7E"/>
    <w:rsid w:val="00DA01E5"/>
    <w:rsid w:val="00DA032B"/>
    <w:rsid w:val="00DA0456"/>
    <w:rsid w:val="00DA05A4"/>
    <w:rsid w:val="00DA0DB4"/>
    <w:rsid w:val="00DA1310"/>
    <w:rsid w:val="00DA1DE8"/>
    <w:rsid w:val="00DA2140"/>
    <w:rsid w:val="00DA2798"/>
    <w:rsid w:val="00DA3968"/>
    <w:rsid w:val="00DA55BB"/>
    <w:rsid w:val="00DA59E8"/>
    <w:rsid w:val="00DA6B9D"/>
    <w:rsid w:val="00DA73EE"/>
    <w:rsid w:val="00DA7605"/>
    <w:rsid w:val="00DB03B9"/>
    <w:rsid w:val="00DB0D51"/>
    <w:rsid w:val="00DB138D"/>
    <w:rsid w:val="00DB1886"/>
    <w:rsid w:val="00DB2C48"/>
    <w:rsid w:val="00DB3D27"/>
    <w:rsid w:val="00DB467E"/>
    <w:rsid w:val="00DB4D90"/>
    <w:rsid w:val="00DB4D93"/>
    <w:rsid w:val="00DB64BA"/>
    <w:rsid w:val="00DB64C3"/>
    <w:rsid w:val="00DB6864"/>
    <w:rsid w:val="00DC09BB"/>
    <w:rsid w:val="00DC1419"/>
    <w:rsid w:val="00DC1743"/>
    <w:rsid w:val="00DC1929"/>
    <w:rsid w:val="00DC1BAD"/>
    <w:rsid w:val="00DC273B"/>
    <w:rsid w:val="00DC29F3"/>
    <w:rsid w:val="00DC378C"/>
    <w:rsid w:val="00DC3C90"/>
    <w:rsid w:val="00DC4CC9"/>
    <w:rsid w:val="00DC4D00"/>
    <w:rsid w:val="00DC5DE3"/>
    <w:rsid w:val="00DC66B9"/>
    <w:rsid w:val="00DC6A0F"/>
    <w:rsid w:val="00DC6F32"/>
    <w:rsid w:val="00DC7746"/>
    <w:rsid w:val="00DC783D"/>
    <w:rsid w:val="00DD0F62"/>
    <w:rsid w:val="00DD123D"/>
    <w:rsid w:val="00DD2409"/>
    <w:rsid w:val="00DD269F"/>
    <w:rsid w:val="00DD3049"/>
    <w:rsid w:val="00DD30CC"/>
    <w:rsid w:val="00DD4AB8"/>
    <w:rsid w:val="00DD5134"/>
    <w:rsid w:val="00DD51B2"/>
    <w:rsid w:val="00DD5714"/>
    <w:rsid w:val="00DD624A"/>
    <w:rsid w:val="00DD7812"/>
    <w:rsid w:val="00DE0DFD"/>
    <w:rsid w:val="00DE1F52"/>
    <w:rsid w:val="00DE269A"/>
    <w:rsid w:val="00DE30E2"/>
    <w:rsid w:val="00DE3841"/>
    <w:rsid w:val="00DE3A9A"/>
    <w:rsid w:val="00DE4BE8"/>
    <w:rsid w:val="00DE5FBB"/>
    <w:rsid w:val="00DE6421"/>
    <w:rsid w:val="00DE6938"/>
    <w:rsid w:val="00DE706B"/>
    <w:rsid w:val="00DE748A"/>
    <w:rsid w:val="00DE74A7"/>
    <w:rsid w:val="00DE75D7"/>
    <w:rsid w:val="00DE7EFE"/>
    <w:rsid w:val="00DF0F10"/>
    <w:rsid w:val="00DF116E"/>
    <w:rsid w:val="00DF11E0"/>
    <w:rsid w:val="00DF16C0"/>
    <w:rsid w:val="00DF2A80"/>
    <w:rsid w:val="00DF2D1A"/>
    <w:rsid w:val="00DF3A42"/>
    <w:rsid w:val="00DF548B"/>
    <w:rsid w:val="00DF561F"/>
    <w:rsid w:val="00DF5DFE"/>
    <w:rsid w:val="00DF62C6"/>
    <w:rsid w:val="00DF7FDE"/>
    <w:rsid w:val="00E00E4E"/>
    <w:rsid w:val="00E01465"/>
    <w:rsid w:val="00E01D22"/>
    <w:rsid w:val="00E0288C"/>
    <w:rsid w:val="00E03D8D"/>
    <w:rsid w:val="00E041E4"/>
    <w:rsid w:val="00E047C9"/>
    <w:rsid w:val="00E05FBC"/>
    <w:rsid w:val="00E10B7D"/>
    <w:rsid w:val="00E11113"/>
    <w:rsid w:val="00E111FA"/>
    <w:rsid w:val="00E1135C"/>
    <w:rsid w:val="00E11457"/>
    <w:rsid w:val="00E11482"/>
    <w:rsid w:val="00E121FA"/>
    <w:rsid w:val="00E126CC"/>
    <w:rsid w:val="00E1357A"/>
    <w:rsid w:val="00E147EC"/>
    <w:rsid w:val="00E15789"/>
    <w:rsid w:val="00E15E1E"/>
    <w:rsid w:val="00E16540"/>
    <w:rsid w:val="00E169FC"/>
    <w:rsid w:val="00E16D79"/>
    <w:rsid w:val="00E17939"/>
    <w:rsid w:val="00E17B98"/>
    <w:rsid w:val="00E2003B"/>
    <w:rsid w:val="00E208E7"/>
    <w:rsid w:val="00E21A31"/>
    <w:rsid w:val="00E2267B"/>
    <w:rsid w:val="00E227EA"/>
    <w:rsid w:val="00E22CF5"/>
    <w:rsid w:val="00E231D3"/>
    <w:rsid w:val="00E23426"/>
    <w:rsid w:val="00E23660"/>
    <w:rsid w:val="00E236E3"/>
    <w:rsid w:val="00E2371C"/>
    <w:rsid w:val="00E24337"/>
    <w:rsid w:val="00E2509A"/>
    <w:rsid w:val="00E264A6"/>
    <w:rsid w:val="00E265C3"/>
    <w:rsid w:val="00E26783"/>
    <w:rsid w:val="00E272A8"/>
    <w:rsid w:val="00E2761D"/>
    <w:rsid w:val="00E2770C"/>
    <w:rsid w:val="00E27C0E"/>
    <w:rsid w:val="00E300D7"/>
    <w:rsid w:val="00E302F6"/>
    <w:rsid w:val="00E306F4"/>
    <w:rsid w:val="00E31301"/>
    <w:rsid w:val="00E31326"/>
    <w:rsid w:val="00E31A1E"/>
    <w:rsid w:val="00E31B9C"/>
    <w:rsid w:val="00E31F49"/>
    <w:rsid w:val="00E32C18"/>
    <w:rsid w:val="00E34344"/>
    <w:rsid w:val="00E34484"/>
    <w:rsid w:val="00E3652D"/>
    <w:rsid w:val="00E36E27"/>
    <w:rsid w:val="00E37424"/>
    <w:rsid w:val="00E37EC3"/>
    <w:rsid w:val="00E42CBA"/>
    <w:rsid w:val="00E444D4"/>
    <w:rsid w:val="00E45180"/>
    <w:rsid w:val="00E45305"/>
    <w:rsid w:val="00E45E7E"/>
    <w:rsid w:val="00E46AC9"/>
    <w:rsid w:val="00E46E90"/>
    <w:rsid w:val="00E5073C"/>
    <w:rsid w:val="00E51CDC"/>
    <w:rsid w:val="00E52233"/>
    <w:rsid w:val="00E52661"/>
    <w:rsid w:val="00E53407"/>
    <w:rsid w:val="00E5350E"/>
    <w:rsid w:val="00E53C48"/>
    <w:rsid w:val="00E53DB6"/>
    <w:rsid w:val="00E53E47"/>
    <w:rsid w:val="00E5401E"/>
    <w:rsid w:val="00E54ACA"/>
    <w:rsid w:val="00E54F26"/>
    <w:rsid w:val="00E54FB3"/>
    <w:rsid w:val="00E55904"/>
    <w:rsid w:val="00E55E72"/>
    <w:rsid w:val="00E56372"/>
    <w:rsid w:val="00E569BD"/>
    <w:rsid w:val="00E56F65"/>
    <w:rsid w:val="00E57521"/>
    <w:rsid w:val="00E577A5"/>
    <w:rsid w:val="00E57A7F"/>
    <w:rsid w:val="00E60005"/>
    <w:rsid w:val="00E6031B"/>
    <w:rsid w:val="00E60616"/>
    <w:rsid w:val="00E60EE3"/>
    <w:rsid w:val="00E614D7"/>
    <w:rsid w:val="00E6157A"/>
    <w:rsid w:val="00E628DC"/>
    <w:rsid w:val="00E6346D"/>
    <w:rsid w:val="00E6376B"/>
    <w:rsid w:val="00E64B45"/>
    <w:rsid w:val="00E653B6"/>
    <w:rsid w:val="00E65ECC"/>
    <w:rsid w:val="00E6646E"/>
    <w:rsid w:val="00E66614"/>
    <w:rsid w:val="00E66775"/>
    <w:rsid w:val="00E66924"/>
    <w:rsid w:val="00E6768E"/>
    <w:rsid w:val="00E678BA"/>
    <w:rsid w:val="00E67F25"/>
    <w:rsid w:val="00E702A2"/>
    <w:rsid w:val="00E7054E"/>
    <w:rsid w:val="00E705FB"/>
    <w:rsid w:val="00E7176C"/>
    <w:rsid w:val="00E71CEB"/>
    <w:rsid w:val="00E71DC7"/>
    <w:rsid w:val="00E72163"/>
    <w:rsid w:val="00E7242E"/>
    <w:rsid w:val="00E72658"/>
    <w:rsid w:val="00E7321F"/>
    <w:rsid w:val="00E7398B"/>
    <w:rsid w:val="00E74154"/>
    <w:rsid w:val="00E74270"/>
    <w:rsid w:val="00E74302"/>
    <w:rsid w:val="00E74A47"/>
    <w:rsid w:val="00E75A4C"/>
    <w:rsid w:val="00E75AAA"/>
    <w:rsid w:val="00E772E4"/>
    <w:rsid w:val="00E77758"/>
    <w:rsid w:val="00E80035"/>
    <w:rsid w:val="00E816BF"/>
    <w:rsid w:val="00E81A24"/>
    <w:rsid w:val="00E8209E"/>
    <w:rsid w:val="00E8269B"/>
    <w:rsid w:val="00E828FA"/>
    <w:rsid w:val="00E82AC0"/>
    <w:rsid w:val="00E82ED0"/>
    <w:rsid w:val="00E83CD9"/>
    <w:rsid w:val="00E85860"/>
    <w:rsid w:val="00E86450"/>
    <w:rsid w:val="00E8744F"/>
    <w:rsid w:val="00E876C2"/>
    <w:rsid w:val="00E90C3E"/>
    <w:rsid w:val="00E9114D"/>
    <w:rsid w:val="00E91979"/>
    <w:rsid w:val="00E91DA7"/>
    <w:rsid w:val="00E92522"/>
    <w:rsid w:val="00E92B30"/>
    <w:rsid w:val="00E930FA"/>
    <w:rsid w:val="00E93202"/>
    <w:rsid w:val="00E93402"/>
    <w:rsid w:val="00E93676"/>
    <w:rsid w:val="00E93E5F"/>
    <w:rsid w:val="00E93FDD"/>
    <w:rsid w:val="00E951DA"/>
    <w:rsid w:val="00E976DF"/>
    <w:rsid w:val="00E97F87"/>
    <w:rsid w:val="00EA0064"/>
    <w:rsid w:val="00EA1417"/>
    <w:rsid w:val="00EA1B29"/>
    <w:rsid w:val="00EA1BAE"/>
    <w:rsid w:val="00EA1DF5"/>
    <w:rsid w:val="00EA3D4B"/>
    <w:rsid w:val="00EA43AE"/>
    <w:rsid w:val="00EA440F"/>
    <w:rsid w:val="00EA49C1"/>
    <w:rsid w:val="00EA4CAB"/>
    <w:rsid w:val="00EA514A"/>
    <w:rsid w:val="00EA53CB"/>
    <w:rsid w:val="00EA5552"/>
    <w:rsid w:val="00EA655D"/>
    <w:rsid w:val="00EA66E6"/>
    <w:rsid w:val="00EA701D"/>
    <w:rsid w:val="00EB1D3A"/>
    <w:rsid w:val="00EB1DF5"/>
    <w:rsid w:val="00EB295A"/>
    <w:rsid w:val="00EB2E0A"/>
    <w:rsid w:val="00EB31B2"/>
    <w:rsid w:val="00EB347C"/>
    <w:rsid w:val="00EB360C"/>
    <w:rsid w:val="00EB38E8"/>
    <w:rsid w:val="00EB426B"/>
    <w:rsid w:val="00EB4535"/>
    <w:rsid w:val="00EB4A34"/>
    <w:rsid w:val="00EB5E6D"/>
    <w:rsid w:val="00EB6F52"/>
    <w:rsid w:val="00EB71FB"/>
    <w:rsid w:val="00EB7A2B"/>
    <w:rsid w:val="00EC00C0"/>
    <w:rsid w:val="00EC041E"/>
    <w:rsid w:val="00EC0CC2"/>
    <w:rsid w:val="00EC32A5"/>
    <w:rsid w:val="00EC3F0C"/>
    <w:rsid w:val="00EC45CE"/>
    <w:rsid w:val="00EC4758"/>
    <w:rsid w:val="00EC49C9"/>
    <w:rsid w:val="00EC4D32"/>
    <w:rsid w:val="00EC57D3"/>
    <w:rsid w:val="00EC5EB6"/>
    <w:rsid w:val="00EC6559"/>
    <w:rsid w:val="00EC6741"/>
    <w:rsid w:val="00EC6784"/>
    <w:rsid w:val="00EC76D3"/>
    <w:rsid w:val="00EC7E7E"/>
    <w:rsid w:val="00ED0177"/>
    <w:rsid w:val="00ED0EF9"/>
    <w:rsid w:val="00ED13F4"/>
    <w:rsid w:val="00ED169A"/>
    <w:rsid w:val="00ED1978"/>
    <w:rsid w:val="00ED29A2"/>
    <w:rsid w:val="00ED2A9A"/>
    <w:rsid w:val="00ED3973"/>
    <w:rsid w:val="00ED3CEF"/>
    <w:rsid w:val="00ED47F3"/>
    <w:rsid w:val="00ED49F3"/>
    <w:rsid w:val="00ED50F3"/>
    <w:rsid w:val="00ED5BB3"/>
    <w:rsid w:val="00ED5D32"/>
    <w:rsid w:val="00ED5DF9"/>
    <w:rsid w:val="00ED697E"/>
    <w:rsid w:val="00ED7372"/>
    <w:rsid w:val="00ED7509"/>
    <w:rsid w:val="00ED7997"/>
    <w:rsid w:val="00EE0603"/>
    <w:rsid w:val="00EE12B2"/>
    <w:rsid w:val="00EE1619"/>
    <w:rsid w:val="00EE1BEE"/>
    <w:rsid w:val="00EE2852"/>
    <w:rsid w:val="00EE2957"/>
    <w:rsid w:val="00EE361F"/>
    <w:rsid w:val="00EE3FDB"/>
    <w:rsid w:val="00EE4A2A"/>
    <w:rsid w:val="00EE5014"/>
    <w:rsid w:val="00EE50F8"/>
    <w:rsid w:val="00EE5519"/>
    <w:rsid w:val="00EE65F2"/>
    <w:rsid w:val="00EE7347"/>
    <w:rsid w:val="00EE7396"/>
    <w:rsid w:val="00EF1EFE"/>
    <w:rsid w:val="00EF2532"/>
    <w:rsid w:val="00EF2D1F"/>
    <w:rsid w:val="00EF3278"/>
    <w:rsid w:val="00EF3E2D"/>
    <w:rsid w:val="00EF3E8B"/>
    <w:rsid w:val="00EF56C6"/>
    <w:rsid w:val="00EF62BA"/>
    <w:rsid w:val="00EF6898"/>
    <w:rsid w:val="00F00678"/>
    <w:rsid w:val="00F00D1E"/>
    <w:rsid w:val="00F01472"/>
    <w:rsid w:val="00F0152D"/>
    <w:rsid w:val="00F01723"/>
    <w:rsid w:val="00F01AC8"/>
    <w:rsid w:val="00F02D30"/>
    <w:rsid w:val="00F049EC"/>
    <w:rsid w:val="00F0542E"/>
    <w:rsid w:val="00F05C23"/>
    <w:rsid w:val="00F0645B"/>
    <w:rsid w:val="00F06665"/>
    <w:rsid w:val="00F06AD8"/>
    <w:rsid w:val="00F073D7"/>
    <w:rsid w:val="00F07A7B"/>
    <w:rsid w:val="00F10121"/>
    <w:rsid w:val="00F1071F"/>
    <w:rsid w:val="00F12ECC"/>
    <w:rsid w:val="00F12ED0"/>
    <w:rsid w:val="00F13CFE"/>
    <w:rsid w:val="00F145A6"/>
    <w:rsid w:val="00F1546C"/>
    <w:rsid w:val="00F15603"/>
    <w:rsid w:val="00F15A89"/>
    <w:rsid w:val="00F15CE4"/>
    <w:rsid w:val="00F1668F"/>
    <w:rsid w:val="00F16853"/>
    <w:rsid w:val="00F16873"/>
    <w:rsid w:val="00F169F4"/>
    <w:rsid w:val="00F1737B"/>
    <w:rsid w:val="00F176A3"/>
    <w:rsid w:val="00F2102C"/>
    <w:rsid w:val="00F22079"/>
    <w:rsid w:val="00F22098"/>
    <w:rsid w:val="00F226A1"/>
    <w:rsid w:val="00F227A3"/>
    <w:rsid w:val="00F230C7"/>
    <w:rsid w:val="00F234BF"/>
    <w:rsid w:val="00F23B69"/>
    <w:rsid w:val="00F24ECF"/>
    <w:rsid w:val="00F254A7"/>
    <w:rsid w:val="00F26024"/>
    <w:rsid w:val="00F26B4B"/>
    <w:rsid w:val="00F26DFE"/>
    <w:rsid w:val="00F2706C"/>
    <w:rsid w:val="00F30372"/>
    <w:rsid w:val="00F305DE"/>
    <w:rsid w:val="00F3094A"/>
    <w:rsid w:val="00F31433"/>
    <w:rsid w:val="00F3195B"/>
    <w:rsid w:val="00F31D40"/>
    <w:rsid w:val="00F31FEB"/>
    <w:rsid w:val="00F32FBF"/>
    <w:rsid w:val="00F34DF3"/>
    <w:rsid w:val="00F36331"/>
    <w:rsid w:val="00F37097"/>
    <w:rsid w:val="00F37864"/>
    <w:rsid w:val="00F37B89"/>
    <w:rsid w:val="00F44440"/>
    <w:rsid w:val="00F44DC4"/>
    <w:rsid w:val="00F45825"/>
    <w:rsid w:val="00F46127"/>
    <w:rsid w:val="00F46FCD"/>
    <w:rsid w:val="00F51078"/>
    <w:rsid w:val="00F510B0"/>
    <w:rsid w:val="00F512F7"/>
    <w:rsid w:val="00F522D0"/>
    <w:rsid w:val="00F52725"/>
    <w:rsid w:val="00F5383E"/>
    <w:rsid w:val="00F5552F"/>
    <w:rsid w:val="00F556D2"/>
    <w:rsid w:val="00F56314"/>
    <w:rsid w:val="00F5669F"/>
    <w:rsid w:val="00F57195"/>
    <w:rsid w:val="00F573E3"/>
    <w:rsid w:val="00F6049A"/>
    <w:rsid w:val="00F615E1"/>
    <w:rsid w:val="00F6177B"/>
    <w:rsid w:val="00F61817"/>
    <w:rsid w:val="00F61E38"/>
    <w:rsid w:val="00F625F2"/>
    <w:rsid w:val="00F630C9"/>
    <w:rsid w:val="00F64889"/>
    <w:rsid w:val="00F64E83"/>
    <w:rsid w:val="00F65F36"/>
    <w:rsid w:val="00F663F9"/>
    <w:rsid w:val="00F67D14"/>
    <w:rsid w:val="00F7085A"/>
    <w:rsid w:val="00F714B4"/>
    <w:rsid w:val="00F72B42"/>
    <w:rsid w:val="00F72BB2"/>
    <w:rsid w:val="00F72C58"/>
    <w:rsid w:val="00F730C9"/>
    <w:rsid w:val="00F73132"/>
    <w:rsid w:val="00F733F3"/>
    <w:rsid w:val="00F73A39"/>
    <w:rsid w:val="00F73E47"/>
    <w:rsid w:val="00F752A7"/>
    <w:rsid w:val="00F758FF"/>
    <w:rsid w:val="00F75D3A"/>
    <w:rsid w:val="00F764DF"/>
    <w:rsid w:val="00F80139"/>
    <w:rsid w:val="00F807DD"/>
    <w:rsid w:val="00F81E30"/>
    <w:rsid w:val="00F825B5"/>
    <w:rsid w:val="00F82E7E"/>
    <w:rsid w:val="00F82EA5"/>
    <w:rsid w:val="00F833DE"/>
    <w:rsid w:val="00F841CA"/>
    <w:rsid w:val="00F847E7"/>
    <w:rsid w:val="00F84AB3"/>
    <w:rsid w:val="00F85470"/>
    <w:rsid w:val="00F86C00"/>
    <w:rsid w:val="00F87280"/>
    <w:rsid w:val="00F87C31"/>
    <w:rsid w:val="00F90063"/>
    <w:rsid w:val="00F91515"/>
    <w:rsid w:val="00F9212E"/>
    <w:rsid w:val="00F94000"/>
    <w:rsid w:val="00F9418A"/>
    <w:rsid w:val="00F9445F"/>
    <w:rsid w:val="00F94B8C"/>
    <w:rsid w:val="00F95F0A"/>
    <w:rsid w:val="00F96E21"/>
    <w:rsid w:val="00FA0329"/>
    <w:rsid w:val="00FA0896"/>
    <w:rsid w:val="00FA0BF4"/>
    <w:rsid w:val="00FA0C76"/>
    <w:rsid w:val="00FA1A77"/>
    <w:rsid w:val="00FA220E"/>
    <w:rsid w:val="00FA25E6"/>
    <w:rsid w:val="00FA2D8D"/>
    <w:rsid w:val="00FA3738"/>
    <w:rsid w:val="00FA39F2"/>
    <w:rsid w:val="00FA47A2"/>
    <w:rsid w:val="00FA48AC"/>
    <w:rsid w:val="00FA4C7D"/>
    <w:rsid w:val="00FA51F4"/>
    <w:rsid w:val="00FA5504"/>
    <w:rsid w:val="00FA6198"/>
    <w:rsid w:val="00FA67B8"/>
    <w:rsid w:val="00FA6B7E"/>
    <w:rsid w:val="00FA790C"/>
    <w:rsid w:val="00FB139B"/>
    <w:rsid w:val="00FB1D4C"/>
    <w:rsid w:val="00FB2566"/>
    <w:rsid w:val="00FB4924"/>
    <w:rsid w:val="00FB495B"/>
    <w:rsid w:val="00FB57DB"/>
    <w:rsid w:val="00FB5E2E"/>
    <w:rsid w:val="00FB6669"/>
    <w:rsid w:val="00FB6919"/>
    <w:rsid w:val="00FB6A7D"/>
    <w:rsid w:val="00FB6FEE"/>
    <w:rsid w:val="00FB7864"/>
    <w:rsid w:val="00FB7B14"/>
    <w:rsid w:val="00FB7D0D"/>
    <w:rsid w:val="00FC06E3"/>
    <w:rsid w:val="00FC22AB"/>
    <w:rsid w:val="00FC272E"/>
    <w:rsid w:val="00FC294A"/>
    <w:rsid w:val="00FC2DD5"/>
    <w:rsid w:val="00FC30F3"/>
    <w:rsid w:val="00FC3953"/>
    <w:rsid w:val="00FC4036"/>
    <w:rsid w:val="00FC42A7"/>
    <w:rsid w:val="00FC4DBD"/>
    <w:rsid w:val="00FC531D"/>
    <w:rsid w:val="00FC56EE"/>
    <w:rsid w:val="00FC588F"/>
    <w:rsid w:val="00FC594B"/>
    <w:rsid w:val="00FC6904"/>
    <w:rsid w:val="00FC6A1F"/>
    <w:rsid w:val="00FC6E65"/>
    <w:rsid w:val="00FC732D"/>
    <w:rsid w:val="00FC7CF6"/>
    <w:rsid w:val="00FC7DDB"/>
    <w:rsid w:val="00FC7EF4"/>
    <w:rsid w:val="00FD0395"/>
    <w:rsid w:val="00FD03A0"/>
    <w:rsid w:val="00FD0DA5"/>
    <w:rsid w:val="00FD1088"/>
    <w:rsid w:val="00FD1492"/>
    <w:rsid w:val="00FD1872"/>
    <w:rsid w:val="00FD2394"/>
    <w:rsid w:val="00FD2E62"/>
    <w:rsid w:val="00FD3A6F"/>
    <w:rsid w:val="00FD4211"/>
    <w:rsid w:val="00FD4E7A"/>
    <w:rsid w:val="00FD567D"/>
    <w:rsid w:val="00FD5FAA"/>
    <w:rsid w:val="00FD6CBA"/>
    <w:rsid w:val="00FD7841"/>
    <w:rsid w:val="00FE1086"/>
    <w:rsid w:val="00FE1EF6"/>
    <w:rsid w:val="00FE2065"/>
    <w:rsid w:val="00FE2431"/>
    <w:rsid w:val="00FE3D45"/>
    <w:rsid w:val="00FE444B"/>
    <w:rsid w:val="00FE4C58"/>
    <w:rsid w:val="00FE4E96"/>
    <w:rsid w:val="00FE6746"/>
    <w:rsid w:val="00FE76D7"/>
    <w:rsid w:val="00FE7840"/>
    <w:rsid w:val="00FE7970"/>
    <w:rsid w:val="00FE7DF2"/>
    <w:rsid w:val="00FE7ED3"/>
    <w:rsid w:val="00FE7EE9"/>
    <w:rsid w:val="00FF2550"/>
    <w:rsid w:val="00FF2751"/>
    <w:rsid w:val="00FF321A"/>
    <w:rsid w:val="00FF3592"/>
    <w:rsid w:val="00FF5299"/>
    <w:rsid w:val="00FF610D"/>
    <w:rsid w:val="00FF68A0"/>
    <w:rsid w:val="00FF7372"/>
    <w:rsid w:val="00FF754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0" w:unhideWhenUsed="1"/>
    <w:lsdException w:name="heading 6" w:semiHidden="1" w:uiPriority="12" w:unhideWhenUsed="1"/>
    <w:lsdException w:name="heading 7" w:semiHidden="1" w:uiPriority="12" w:unhideWhenUsed="1"/>
    <w:lsdException w:name="heading 8" w:semiHidden="1" w:uiPriority="7" w:unhideWhenUsed="1" w:qFormat="1"/>
    <w:lsdException w:name="heading 9" w:semiHidden="1" w:uiPriority="12"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lsdException w:name="endnote reference" w:semiHidden="1" w:uiPriority="0"/>
    <w:lsdException w:name="endnote text" w:semiHidden="1" w:uiPriority="0"/>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uiPriority="4" w:unhideWhenUsed="1" w:qFormat="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2"/>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iPriority="0" w:unhideWhenUsed="1"/>
    <w:lsdException w:name="FollowedHyperlink" w:semiHidden="1" w:unhideWhenUsed="1"/>
    <w:lsdException w:name="Strong" w:semiHidden="1" w:uiPriority="25"/>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4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AE8"/>
    <w:pPr>
      <w:spacing w:before="120" w:line="240" w:lineRule="auto"/>
      <w:jc w:val="both"/>
    </w:pPr>
    <w:rPr>
      <w:sz w:val="24"/>
    </w:rPr>
  </w:style>
  <w:style w:type="paragraph" w:styleId="Heading1">
    <w:name w:val="heading 1"/>
    <w:next w:val="MSACESParagraph"/>
    <w:link w:val="Heading1Char"/>
    <w:uiPriority w:val="9"/>
    <w:qFormat/>
    <w:rsid w:val="00214D77"/>
    <w:pPr>
      <w:keepNext/>
      <w:keepLines/>
      <w:numPr>
        <w:numId w:val="4"/>
      </w:numPr>
      <w:spacing w:before="400" w:after="120"/>
      <w:outlineLvl w:val="0"/>
    </w:pPr>
    <w:rPr>
      <w:rFonts w:ascii="Times New Roman" w:eastAsiaTheme="majorEastAsia" w:hAnsi="Times New Roman" w:cstheme="majorBidi"/>
      <w:b/>
      <w:sz w:val="24"/>
      <w:szCs w:val="28"/>
    </w:rPr>
  </w:style>
  <w:style w:type="paragraph" w:styleId="Heading2">
    <w:name w:val="heading 2"/>
    <w:basedOn w:val="Normal"/>
    <w:next w:val="Normal"/>
    <w:link w:val="Heading2Char"/>
    <w:uiPriority w:val="9"/>
    <w:qFormat/>
    <w:rsid w:val="004A5746"/>
    <w:pPr>
      <w:keepNext/>
      <w:keepLines/>
      <w:numPr>
        <w:ilvl w:val="3"/>
        <w:numId w:val="4"/>
      </w:numPr>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9"/>
    <w:qFormat/>
    <w:rsid w:val="008F216F"/>
    <w:pPr>
      <w:keepNext/>
      <w:keepLines/>
      <w:numPr>
        <w:ilvl w:val="5"/>
        <w:numId w:val="4"/>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9"/>
    <w:qFormat/>
    <w:rsid w:val="008F216F"/>
    <w:pPr>
      <w:numPr>
        <w:ilvl w:val="6"/>
      </w:numPr>
      <w:spacing w:before="240" w:after="0"/>
      <w:outlineLvl w:val="3"/>
    </w:pPr>
    <w:rPr>
      <w:i/>
      <w:color w:val="000000" w:themeColor="text1"/>
    </w:rPr>
  </w:style>
  <w:style w:type="paragraph" w:styleId="Heading5">
    <w:name w:val="heading 5"/>
    <w:aliases w:val="Heading 2 - Body"/>
    <w:basedOn w:val="Heading2"/>
    <w:next w:val="Normal"/>
    <w:link w:val="Heading5Char"/>
    <w:uiPriority w:val="10"/>
    <w:semiHidden/>
    <w:rsid w:val="003B095E"/>
    <w:pPr>
      <w:numPr>
        <w:ilvl w:val="0"/>
        <w:numId w:val="0"/>
      </w:numPr>
      <w:outlineLvl w:val="4"/>
    </w:pPr>
  </w:style>
  <w:style w:type="paragraph" w:styleId="Heading6">
    <w:name w:val="heading 6"/>
    <w:aliases w:val="Heading 3 - Body"/>
    <w:basedOn w:val="Heading3"/>
    <w:next w:val="Normal"/>
    <w:link w:val="Heading6Char"/>
    <w:uiPriority w:val="12"/>
    <w:semiHidden/>
    <w:rsid w:val="00624315"/>
    <w:pPr>
      <w:outlineLvl w:val="5"/>
    </w:pPr>
    <w:rPr>
      <w:sz w:val="24"/>
    </w:rPr>
  </w:style>
  <w:style w:type="paragraph" w:styleId="Heading7">
    <w:name w:val="heading 7"/>
    <w:basedOn w:val="Heading1"/>
    <w:next w:val="Normal"/>
    <w:link w:val="Heading7Char"/>
    <w:uiPriority w:val="12"/>
    <w:semiHidden/>
    <w:rsid w:val="00472D4D"/>
    <w:pPr>
      <w:numPr>
        <w:numId w:val="0"/>
      </w:numPr>
      <w:spacing w:before="120"/>
      <w:ind w:left="1296" w:hanging="1296"/>
      <w:outlineLvl w:val="6"/>
    </w:pPr>
    <w:rPr>
      <w:i/>
      <w:szCs w:val="24"/>
    </w:rPr>
  </w:style>
  <w:style w:type="paragraph" w:styleId="Heading8">
    <w:name w:val="heading 8"/>
    <w:basedOn w:val="Normal"/>
    <w:next w:val="Normal"/>
    <w:link w:val="Heading8Char"/>
    <w:uiPriority w:val="7"/>
    <w:semiHidden/>
    <w:qFormat/>
    <w:rsid w:val="002B5D7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semiHidden/>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D77"/>
    <w:rPr>
      <w:rFonts w:ascii="Times New Roman" w:eastAsiaTheme="majorEastAsia" w:hAnsi="Times New Roman" w:cstheme="majorBidi"/>
      <w:b/>
      <w:sz w:val="24"/>
      <w:szCs w:val="28"/>
    </w:rPr>
  </w:style>
  <w:style w:type="character" w:customStyle="1" w:styleId="Heading2Char">
    <w:name w:val="Heading 2 Char"/>
    <w:basedOn w:val="DefaultParagraphFont"/>
    <w:link w:val="Heading2"/>
    <w:uiPriority w:val="9"/>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9"/>
    <w:rsid w:val="008F216F"/>
    <w:rPr>
      <w:rFonts w:eastAsiaTheme="majorEastAsia" w:cstheme="majorBidi"/>
      <w:b/>
      <w:sz w:val="28"/>
      <w:szCs w:val="28"/>
    </w:rPr>
  </w:style>
  <w:style w:type="paragraph" w:styleId="ListParagraph">
    <w:name w:val="List Paragraph"/>
    <w:aliases w:val="PBAC ES Paragraph,Figure_name,List Paragraph1,Numbered Indented Text,Bullet- First level,List NUmber,Listenabsatz1,lp1,List Paragraph11,Style 2,TOC style,List Paragraph2,List Paragraph Char Char,Number_1,SGLText List Paragraph,new"/>
    <w:basedOn w:val="Normal"/>
    <w:link w:val="ListParagraphChar"/>
    <w:uiPriority w:val="34"/>
    <w:qFormat/>
    <w:rsid w:val="004908B7"/>
    <w:pPr>
      <w:numPr>
        <w:ilvl w:val="4"/>
        <w:numId w:val="1"/>
      </w:numPr>
    </w:pPr>
    <w:rPr>
      <w:color w:val="000000" w:themeColor="text1"/>
    </w:rPr>
  </w:style>
  <w:style w:type="paragraph" w:styleId="BalloonText">
    <w:name w:val="Balloon Text"/>
    <w:basedOn w:val="Normal"/>
    <w:link w:val="BalloonTextChar"/>
    <w:uiPriority w:val="9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Normal"/>
    <w:link w:val="InstructionalTextChar"/>
    <w:uiPriority w:val="3"/>
    <w:qFormat/>
    <w:rsid w:val="00C71A5D"/>
    <w:rPr>
      <w:color w:val="0070C0"/>
    </w:rPr>
  </w:style>
  <w:style w:type="character" w:customStyle="1" w:styleId="Heading4Char">
    <w:name w:val="Heading 4 Char"/>
    <w:basedOn w:val="DefaultParagraphFont"/>
    <w:link w:val="Heading4"/>
    <w:uiPriority w:val="9"/>
    <w:rsid w:val="008F216F"/>
    <w:rPr>
      <w:rFonts w:eastAsiaTheme="majorEastAsia" w:cstheme="majorBidi"/>
      <w:b/>
      <w:i/>
      <w:color w:val="000000" w:themeColor="text1"/>
      <w:sz w:val="24"/>
      <w:szCs w:val="28"/>
    </w:rPr>
  </w:style>
  <w:style w:type="character" w:customStyle="1" w:styleId="Heading5Char">
    <w:name w:val="Heading 5 Char"/>
    <w:aliases w:val="Heading 2 - Body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semiHidden/>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semiHidden/>
    <w:rsid w:val="00645AB3"/>
    <w:rPr>
      <w:rFonts w:eastAsiaTheme="majorEastAsia" w:cstheme="majorBidi"/>
      <w:b/>
      <w:sz w:val="36"/>
      <w:szCs w:val="28"/>
    </w:rPr>
  </w:style>
  <w:style w:type="character" w:customStyle="1" w:styleId="BalloonTextChar">
    <w:name w:val="Balloon Text Char"/>
    <w:basedOn w:val="DefaultParagraphFont"/>
    <w:link w:val="BalloonText"/>
    <w:uiPriority w:val="99"/>
    <w:semiHidden/>
    <w:rsid w:val="00F0542E"/>
    <w:rPr>
      <w:rFonts w:ascii="Segoe UI" w:hAnsi="Segoe UI" w:cs="Segoe UI"/>
      <w:sz w:val="18"/>
      <w:szCs w:val="18"/>
    </w:rPr>
  </w:style>
  <w:style w:type="table" w:styleId="TableGrid">
    <w:name w:val="Table Grid"/>
    <w:aliases w:val="Summary box,Table Gridbeth,CMA Table Template,ASD Table"/>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Bullet"/>
    <w:next w:val="Normal"/>
    <w:link w:val="CaptionChar"/>
    <w:qFormat/>
    <w:rsid w:val="00D51B2C"/>
    <w:pPr>
      <w:keepNext/>
      <w:tabs>
        <w:tab w:val="left" w:pos="1418"/>
      </w:tabs>
      <w:spacing w:before="240" w:after="40"/>
      <w:ind w:left="1418" w:hanging="1418"/>
      <w:contextualSpacing/>
    </w:pPr>
    <w:rPr>
      <w:rFonts w:ascii="Arial Narrow" w:hAnsi="Arial Narrow"/>
      <w:b/>
      <w:iCs/>
      <w:sz w:val="20"/>
      <w:szCs w:val="18"/>
    </w:rPr>
  </w:style>
  <w:style w:type="paragraph" w:customStyle="1" w:styleId="TableText">
    <w:name w:val="Table Text"/>
    <w:basedOn w:val="Normal"/>
    <w:link w:val="TableTextChar"/>
    <w:qFormat/>
    <w:rsid w:val="00F0152D"/>
    <w:pPr>
      <w:widowControl w:val="0"/>
      <w:spacing w:before="40" w:after="40" w:line="256" w:lineRule="auto"/>
      <w:jc w:val="left"/>
    </w:pPr>
    <w:rPr>
      <w:rFonts w:ascii="Arial Narrow" w:hAnsi="Arial Narrow"/>
      <w:sz w:val="20"/>
    </w:rPr>
  </w:style>
  <w:style w:type="character" w:styleId="Hyperlink">
    <w:name w:val="Hyperlink"/>
    <w:basedOn w:val="DefaultParagraphFont"/>
    <w:rsid w:val="00BA3306"/>
    <w:rPr>
      <w:color w:val="00B0F0"/>
      <w:u w:val="single"/>
    </w:rPr>
  </w:style>
  <w:style w:type="paragraph" w:styleId="FootnoteText">
    <w:name w:val="footnote text"/>
    <w:basedOn w:val="Normal"/>
    <w:link w:val="FootnoteTextChar"/>
    <w:uiPriority w:val="99"/>
    <w:rsid w:val="00BA3306"/>
    <w:pPr>
      <w:spacing w:before="0" w:after="0"/>
    </w:pPr>
    <w:rPr>
      <w:sz w:val="18"/>
      <w:szCs w:val="20"/>
    </w:rPr>
  </w:style>
  <w:style w:type="character" w:customStyle="1" w:styleId="FootnoteTextChar">
    <w:name w:val="Footnote Text Char"/>
    <w:basedOn w:val="DefaultParagraphFont"/>
    <w:link w:val="FootnoteText"/>
    <w:uiPriority w:val="99"/>
    <w:rsid w:val="00481549"/>
    <w:rPr>
      <w:sz w:val="18"/>
      <w:szCs w:val="20"/>
    </w:rPr>
  </w:style>
  <w:style w:type="character" w:styleId="FootnoteReference">
    <w:name w:val="footnote reference"/>
    <w:basedOn w:val="DefaultParagraphFont"/>
    <w:uiPriority w:val="99"/>
    <w:semiHidden/>
    <w:rsid w:val="00BA3306"/>
    <w:rPr>
      <w:vertAlign w:val="superscript"/>
    </w:rPr>
  </w:style>
  <w:style w:type="character" w:styleId="CommentReference">
    <w:name w:val="annotation reference"/>
    <w:aliases w:val="Table Title"/>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F95F0A"/>
    <w:rPr>
      <w:color w:val="0070C0"/>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Bullet Char"/>
    <w:link w:val="Caption"/>
    <w:rsid w:val="00D51B2C"/>
    <w:rPr>
      <w:rFonts w:ascii="Arial Narrow" w:hAnsi="Arial Narrow"/>
      <w:b/>
      <w:iCs/>
      <w:sz w:val="20"/>
      <w:szCs w:val="18"/>
    </w:rPr>
  </w:style>
  <w:style w:type="paragraph" w:customStyle="1" w:styleId="TableFooter">
    <w:name w:val="Table Footer"/>
    <w:basedOn w:val="Normal"/>
    <w:link w:val="TableFooterChar"/>
    <w:qFormat/>
    <w:rsid w:val="00140A20"/>
    <w:pPr>
      <w:widowControl w:val="0"/>
      <w:spacing w:before="0" w:after="24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245AD1"/>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semiHidden/>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semiHidden/>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semiHidden/>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semiHidden/>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semiHidden/>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semiHidden/>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semiHidden/>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semiHidden/>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Figure_name Char,List Paragraph1 Char,Numbered Indented Text Char,Bullet- First level Char,List NUmber Char,Listenabsatz1 Char,lp1 Char,List Paragraph11 Char,Style 2 Char,TOC style Char,List Paragraph2 Char"/>
    <w:basedOn w:val="DefaultParagraphFont"/>
    <w:link w:val="ListParagraph"/>
    <w:uiPriority w:val="34"/>
    <w:qFormat/>
    <w:locked/>
    <w:rsid w:val="00F12ED0"/>
    <w:rPr>
      <w:color w:val="000000" w:themeColor="text1"/>
      <w:sz w:val="24"/>
    </w:rPr>
  </w:style>
  <w:style w:type="numbering" w:customStyle="1" w:styleId="Headings">
    <w:name w:val="Headings"/>
    <w:uiPriority w:val="99"/>
    <w:rsid w:val="00C317F3"/>
    <w:pPr>
      <w:numPr>
        <w:numId w:val="2"/>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numPr>
        <w:numId w:val="1"/>
      </w:num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245AD1"/>
    <w:rPr>
      <w:rFonts w:ascii="Times New Roman" w:eastAsiaTheme="majorEastAsia" w:hAnsi="Times New Roman"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F0152D"/>
    <w:rPr>
      <w:rFonts w:ascii="Arial Narrow" w:hAnsi="Arial Narrow"/>
      <w:sz w:val="20"/>
    </w:rPr>
  </w:style>
  <w:style w:type="paragraph" w:customStyle="1" w:styleId="OutlineHeading1">
    <w:name w:val="Outline Heading 1"/>
    <w:basedOn w:val="Heading1"/>
    <w:next w:val="Normal"/>
    <w:link w:val="OutlineHeading1Char"/>
    <w:uiPriority w:val="3"/>
    <w:qFormat/>
    <w:rsid w:val="00243F24"/>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2532B4"/>
    <w:pPr>
      <w:numPr>
        <w:numId w:val="8"/>
      </w:numPr>
      <w:spacing w:after="120"/>
      <w:jc w:val="left"/>
    </w:pPr>
    <w:rPr>
      <w:rFonts w:ascii="Calibri" w:hAnsi="Calibri"/>
    </w:rPr>
  </w:style>
  <w:style w:type="paragraph" w:customStyle="1" w:styleId="PBACESHeading2">
    <w:name w:val="PBAC ES Heading 2"/>
    <w:basedOn w:val="Heading2"/>
    <w:link w:val="PBACESHeading2Char"/>
    <w:uiPriority w:val="1"/>
    <w:qFormat/>
    <w:rsid w:val="00E54ACA"/>
    <w:pPr>
      <w:numPr>
        <w:ilvl w:val="2"/>
        <w:numId w:val="1"/>
      </w:numPr>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2532B4"/>
    <w:rPr>
      <w:rFonts w:ascii="Calibri" w:hAnsi="Calibri"/>
      <w:color w:val="0070C0"/>
      <w:sz w:val="24"/>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pPr>
      <w:numPr>
        <w:ilvl w:val="1"/>
      </w:numPr>
    </w:pPr>
    <w:rPr>
      <w:i w:val="0"/>
      <w:smallCaps/>
      <w:sz w:val="32"/>
    </w:rPr>
  </w:style>
  <w:style w:type="paragraph" w:customStyle="1" w:styleId="PBACESHeading3">
    <w:name w:val="PBAC ES Heading 3"/>
    <w:basedOn w:val="PBACESHeading2"/>
    <w:link w:val="PBACESHeading3Char"/>
    <w:uiPriority w:val="1"/>
    <w:qFormat/>
    <w:rsid w:val="00396339"/>
    <w:pPr>
      <w:numPr>
        <w:ilvl w:val="3"/>
      </w:numPr>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ilvl w:val="0"/>
        <w:numId w:val="9"/>
      </w:numPr>
      <w:spacing w:after="120"/>
      <w:ind w:left="1491" w:hanging="357"/>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7109D8"/>
    <w:pPr>
      <w:numPr>
        <w:ilvl w:val="0"/>
        <w:numId w:val="0"/>
      </w:numPr>
    </w:pPr>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qFormat/>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ascii="Times New Roman" w:eastAsia="Times New Roman" w:hAnsi="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1E1827"/>
    <w:pPr>
      <w:numPr>
        <w:ilvl w:val="5"/>
        <w:numId w:val="1"/>
      </w:numPr>
      <w:spacing w:before="160" w:after="240"/>
    </w:pPr>
    <w:rPr>
      <w:rFonts w:ascii="Arial" w:hAnsi="Arial"/>
    </w:rPr>
  </w:style>
  <w:style w:type="paragraph" w:customStyle="1" w:styleId="MSACESParagraph">
    <w:name w:val="MSAC ES Paragraph"/>
    <w:link w:val="MSACESParagraphChar"/>
    <w:uiPriority w:val="1"/>
    <w:qFormat/>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qFormat/>
    <w:rsid w:val="001E1827"/>
    <w:pPr>
      <w:numPr>
        <w:ilvl w:val="6"/>
        <w:numId w:val="1"/>
      </w:numPr>
    </w:pPr>
    <w:rPr>
      <w:rFonts w:ascii="Cambria" w:hAnsi="Cambria"/>
      <w:i w:val="0"/>
      <w:sz w:val="24"/>
    </w:rPr>
  </w:style>
  <w:style w:type="paragraph" w:customStyle="1" w:styleId="MSACESBulletPoint">
    <w:name w:val="MSAC ES Bullet Point"/>
    <w:basedOn w:val="MSACESParagraph"/>
    <w:link w:val="MSACESBulletPointChar"/>
    <w:uiPriority w:val="1"/>
    <w:qFormat/>
    <w:rsid w:val="002532B4"/>
    <w:pPr>
      <w:numPr>
        <w:numId w:val="5"/>
      </w:numPr>
      <w:spacing w:before="120" w:after="120"/>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numPr>
        <w:numId w:val="0"/>
      </w:numPr>
      <w:spacing w:before="240" w:line="240" w:lineRule="auto"/>
      <w:ind w:left="720" w:hanging="720"/>
    </w:pPr>
    <w:rPr>
      <w:rFonts w:eastAsia="Times New Roman" w:cs="Arial"/>
      <w:snapToGrid w:val="0"/>
      <w:szCs w:val="32"/>
    </w:rPr>
  </w:style>
  <w:style w:type="paragraph" w:customStyle="1" w:styleId="ESHeading2">
    <w:name w:val="ES Heading 2"/>
    <w:basedOn w:val="Heading2"/>
    <w:link w:val="ESHeading2Char"/>
    <w:rsid w:val="00703418"/>
    <w:pPr>
      <w:numPr>
        <w:ilvl w:val="0"/>
        <w:numId w:val="0"/>
      </w:num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6"/>
      </w:numPr>
    </w:pPr>
  </w:style>
  <w:style w:type="paragraph" w:customStyle="1" w:styleId="MainBodyBulletPoint">
    <w:name w:val="MainBody Bullet Point"/>
    <w:basedOn w:val="InstructionBulletpoint"/>
    <w:link w:val="MainBodyBulletPointChar"/>
    <w:uiPriority w:val="1"/>
    <w:qFormat/>
    <w:rsid w:val="002532B4"/>
    <w:pPr>
      <w:numPr>
        <w:numId w:val="7"/>
      </w:numPr>
    </w:pPr>
    <w:rPr>
      <w:color w:val="auto"/>
    </w:rPr>
  </w:style>
  <w:style w:type="character" w:customStyle="1" w:styleId="MainBodyBulletPointChar">
    <w:name w:val="MainBody Bullet Point Char"/>
    <w:basedOn w:val="InstructionBulletpointChar"/>
    <w:link w:val="MainBodyBulletPoint"/>
    <w:uiPriority w:val="1"/>
    <w:rsid w:val="00F61E38"/>
    <w:rPr>
      <w:rFonts w:ascii="Calibri" w:hAnsi="Calibri"/>
      <w:color w:val="0070C0"/>
      <w:sz w:val="24"/>
    </w:rPr>
  </w:style>
  <w:style w:type="character" w:customStyle="1" w:styleId="OutlineHeading1Char">
    <w:name w:val="Outline Heading 1 Char"/>
    <w:basedOn w:val="Heading1Char"/>
    <w:link w:val="OutlineHeading1"/>
    <w:uiPriority w:val="3"/>
    <w:rsid w:val="00F630C9"/>
    <w:rPr>
      <w:rFonts w:ascii="Times New Roman" w:eastAsiaTheme="majorEastAsia" w:hAnsi="Times New Roman" w:cstheme="majorBidi"/>
      <w:b/>
      <w:sz w:val="32"/>
      <w:szCs w:val="28"/>
    </w:rPr>
  </w:style>
  <w:style w:type="numbering" w:customStyle="1" w:styleId="Style1">
    <w:name w:val="Style1"/>
    <w:uiPriority w:val="99"/>
    <w:rsid w:val="009A580E"/>
    <w:pPr>
      <w:numPr>
        <w:numId w:val="10"/>
      </w:numPr>
    </w:pPr>
  </w:style>
  <w:style w:type="numbering" w:customStyle="1" w:styleId="Style2">
    <w:name w:val="Style2"/>
    <w:uiPriority w:val="99"/>
    <w:rsid w:val="002A391F"/>
    <w:pPr>
      <w:numPr>
        <w:numId w:val="12"/>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3D1FB3"/>
    <w:rPr>
      <w:i/>
      <w:iCs/>
    </w:rPr>
  </w:style>
  <w:style w:type="numbering" w:customStyle="1" w:styleId="Style3">
    <w:name w:val="Style3"/>
    <w:uiPriority w:val="99"/>
    <w:rsid w:val="0076446C"/>
    <w:pPr>
      <w:numPr>
        <w:numId w:val="13"/>
      </w:numPr>
    </w:pPr>
  </w:style>
  <w:style w:type="character" w:customStyle="1" w:styleId="TableRowHeaderChar">
    <w:name w:val="Table Row Header Char"/>
    <w:basedOn w:val="TableTextChar"/>
    <w:link w:val="TableRowHeader"/>
    <w:rsid w:val="0015150F"/>
    <w:rPr>
      <w:rFonts w:ascii="Arial Narrow" w:hAnsi="Arial Narrow"/>
      <w:b/>
      <w:sz w:val="20"/>
    </w:rPr>
  </w:style>
  <w:style w:type="table" w:customStyle="1" w:styleId="HTATableshaded">
    <w:name w:val="HTA Table shaded"/>
    <w:basedOn w:val="TableNormal"/>
    <w:rsid w:val="005B5D92"/>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ASDTable1">
    <w:name w:val="ASD Table1"/>
    <w:basedOn w:val="TableNormal"/>
    <w:next w:val="TableGrid"/>
    <w:uiPriority w:val="59"/>
    <w:rsid w:val="00EA0064"/>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BodyText">
    <w:name w:val="Body Text"/>
    <w:link w:val="BodyTextChar"/>
    <w:uiPriority w:val="4"/>
    <w:qFormat/>
    <w:rsid w:val="00C8155F"/>
    <w:pPr>
      <w:spacing w:after="200" w:line="276" w:lineRule="auto"/>
    </w:pPr>
    <w:rPr>
      <w:rFonts w:cs="Tahoma"/>
    </w:rPr>
  </w:style>
  <w:style w:type="character" w:customStyle="1" w:styleId="BodyTextChar">
    <w:name w:val="Body Text Char"/>
    <w:basedOn w:val="DefaultParagraphFont"/>
    <w:link w:val="BodyText"/>
    <w:uiPriority w:val="4"/>
    <w:rsid w:val="00C8155F"/>
    <w:rPr>
      <w:rFonts w:cs="Tahoma"/>
    </w:rPr>
  </w:style>
  <w:style w:type="paragraph" w:customStyle="1" w:styleId="TableFigNotes0">
    <w:name w:val="TableFigNotes+0"/>
    <w:basedOn w:val="Normal"/>
    <w:uiPriority w:val="4"/>
    <w:qFormat/>
    <w:rsid w:val="00C8155F"/>
    <w:pPr>
      <w:keepNext/>
      <w:keepLines/>
      <w:spacing w:before="0" w:after="0"/>
      <w:jc w:val="left"/>
    </w:pPr>
    <w:rPr>
      <w:rFonts w:ascii="Calibri" w:eastAsia="Times New Roman" w:hAnsi="Calibri" w:cs="Tahoma"/>
      <w:color w:val="000000"/>
      <w:sz w:val="16"/>
      <w:szCs w:val="18"/>
      <w:lang w:val="en-US" w:eastAsia="en-AU"/>
    </w:rPr>
  </w:style>
  <w:style w:type="paragraph" w:customStyle="1" w:styleId="Tabletextleft">
    <w:name w:val="Table text left"/>
    <w:basedOn w:val="Normal"/>
    <w:link w:val="TabletextleftChar"/>
    <w:qFormat/>
    <w:rsid w:val="00C8155F"/>
    <w:pPr>
      <w:spacing w:before="20" w:after="20"/>
      <w:jc w:val="left"/>
    </w:pPr>
    <w:rPr>
      <w:rFonts w:eastAsia="Times New Roman" w:cs="Times New Roman"/>
      <w:sz w:val="18"/>
      <w:szCs w:val="20"/>
      <w:lang w:eastAsia="en-AU"/>
    </w:rPr>
  </w:style>
  <w:style w:type="character" w:customStyle="1" w:styleId="TabletextleftChar">
    <w:name w:val="Table text left Char"/>
    <w:basedOn w:val="DefaultParagraphFont"/>
    <w:link w:val="Tabletextleft"/>
    <w:rsid w:val="00C8155F"/>
    <w:rPr>
      <w:rFonts w:eastAsia="Times New Roman" w:cs="Times New Roman"/>
      <w:sz w:val="18"/>
      <w:szCs w:val="20"/>
      <w:lang w:eastAsia="en-AU"/>
    </w:rPr>
  </w:style>
  <w:style w:type="paragraph" w:customStyle="1" w:styleId="Tabletextbold">
    <w:name w:val="Table text bold"/>
    <w:basedOn w:val="Tabletextleft"/>
    <w:link w:val="TabletextboldChar"/>
    <w:qFormat/>
    <w:rsid w:val="00FD1872"/>
    <w:pPr>
      <w:ind w:left="57" w:right="57"/>
    </w:pPr>
    <w:rPr>
      <w:rFonts w:eastAsia="Arial"/>
      <w:b/>
      <w:lang w:val="de-DE"/>
    </w:rPr>
  </w:style>
  <w:style w:type="character" w:customStyle="1" w:styleId="TabletextboldChar">
    <w:name w:val="Table text bold Char"/>
    <w:basedOn w:val="TabletextleftChar"/>
    <w:link w:val="Tabletextbold"/>
    <w:rsid w:val="00FD1872"/>
    <w:rPr>
      <w:rFonts w:eastAsia="Arial" w:cs="Times New Roman"/>
      <w:b/>
      <w:sz w:val="18"/>
      <w:szCs w:val="20"/>
      <w:lang w:val="de-DE" w:eastAsia="en-AU"/>
    </w:rPr>
  </w:style>
  <w:style w:type="paragraph" w:customStyle="1" w:styleId="EndNoteBibliographyTitle">
    <w:name w:val="EndNote Bibliography Title"/>
    <w:basedOn w:val="Normal"/>
    <w:link w:val="EndNoteBibliographyTitleChar"/>
    <w:rsid w:val="004B5325"/>
    <w:pPr>
      <w:spacing w:after="0"/>
      <w:jc w:val="center"/>
    </w:pPr>
    <w:rPr>
      <w:rFonts w:ascii="Calibri" w:hAnsi="Calibri" w:cs="Calibri"/>
      <w:noProof/>
      <w:lang w:val="en-US"/>
    </w:rPr>
  </w:style>
  <w:style w:type="character" w:customStyle="1" w:styleId="EndNoteBibliographyTitleChar">
    <w:name w:val="EndNote Bibliography Title Char"/>
    <w:basedOn w:val="MSACSubtitleChar"/>
    <w:link w:val="EndNoteBibliographyTitle"/>
    <w:rsid w:val="004B5325"/>
    <w:rPr>
      <w:rFonts w:ascii="Calibri" w:hAnsi="Calibri" w:cs="Calibri"/>
      <w:b w:val="0"/>
      <w:i w:val="0"/>
      <w:noProof/>
      <w:color w:val="000080"/>
      <w:sz w:val="24"/>
      <w:lang w:val="en-US"/>
    </w:rPr>
  </w:style>
  <w:style w:type="paragraph" w:customStyle="1" w:styleId="EndNoteBibliography">
    <w:name w:val="EndNote Bibliography"/>
    <w:basedOn w:val="Normal"/>
    <w:link w:val="EndNoteBibliographyChar"/>
    <w:rsid w:val="004B5325"/>
    <w:pPr>
      <w:jc w:val="left"/>
    </w:pPr>
    <w:rPr>
      <w:rFonts w:ascii="Calibri" w:hAnsi="Calibri" w:cs="Calibri"/>
      <w:noProof/>
      <w:lang w:val="en-US"/>
    </w:rPr>
  </w:style>
  <w:style w:type="character" w:customStyle="1" w:styleId="EndNoteBibliographyChar">
    <w:name w:val="EndNote Bibliography Char"/>
    <w:basedOn w:val="MSACSubtitleChar"/>
    <w:link w:val="EndNoteBibliography"/>
    <w:rsid w:val="004B5325"/>
    <w:rPr>
      <w:rFonts w:ascii="Calibri" w:hAnsi="Calibri" w:cs="Calibri"/>
      <w:b w:val="0"/>
      <w:i w:val="0"/>
      <w:noProof/>
      <w:color w:val="000080"/>
      <w:sz w:val="24"/>
      <w:lang w:val="en-US"/>
    </w:rPr>
  </w:style>
  <w:style w:type="numbering" w:customStyle="1" w:styleId="NoList1">
    <w:name w:val="No List1"/>
    <w:next w:val="NoList"/>
    <w:uiPriority w:val="99"/>
    <w:semiHidden/>
    <w:unhideWhenUsed/>
    <w:rsid w:val="002D214E"/>
  </w:style>
  <w:style w:type="table" w:customStyle="1" w:styleId="ASDTable2">
    <w:name w:val="ASD Table2"/>
    <w:basedOn w:val="TableNormal"/>
    <w:next w:val="TableGrid"/>
    <w:uiPriority w:val="59"/>
    <w:rsid w:val="002D214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PBACTableStyle1">
    <w:name w:val="PBAC Table Style1"/>
    <w:basedOn w:val="TableGrid1"/>
    <w:uiPriority w:val="99"/>
    <w:rsid w:val="002D214E"/>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2">
    <w:name w:val="List Table 1 Light2"/>
    <w:basedOn w:val="TableNormal"/>
    <w:next w:val="ListTable1Light"/>
    <w:uiPriority w:val="46"/>
    <w:rsid w:val="002D214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2">
    <w:name w:val="List Table 7 Colorful - Accent 62"/>
    <w:basedOn w:val="TableNormal"/>
    <w:next w:val="ListTable7Colorful-Accent6"/>
    <w:uiPriority w:val="52"/>
    <w:rsid w:val="002D214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
    <w:name w:val="Table Grid 11"/>
    <w:basedOn w:val="TableNormal"/>
    <w:next w:val="TableGrid1"/>
    <w:uiPriority w:val="99"/>
    <w:semiHidden/>
    <w:unhideWhenUsed/>
    <w:rsid w:val="002D214E"/>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Table1Light11">
    <w:name w:val="List Table 1 Light11"/>
    <w:basedOn w:val="TableNormal"/>
    <w:uiPriority w:val="46"/>
    <w:rsid w:val="002D214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1">
    <w:name w:val="List Table 7 Colorful - Accent 611"/>
    <w:basedOn w:val="TableNormal"/>
    <w:uiPriority w:val="52"/>
    <w:rsid w:val="002D214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H1">
    <w:name w:val="Table H1"/>
    <w:basedOn w:val="BodyText"/>
    <w:uiPriority w:val="4"/>
    <w:qFormat/>
    <w:rsid w:val="002D214E"/>
    <w:pPr>
      <w:keepNext/>
      <w:tabs>
        <w:tab w:val="left" w:pos="416"/>
        <w:tab w:val="left" w:pos="582"/>
        <w:tab w:val="left" w:pos="1134"/>
      </w:tabs>
      <w:spacing w:before="40" w:after="40" w:line="240" w:lineRule="auto"/>
    </w:pPr>
    <w:rPr>
      <w:b/>
      <w:spacing w:val="-1"/>
      <w:sz w:val="18"/>
      <w:szCs w:val="18"/>
      <w:lang w:val="en-US"/>
    </w:rPr>
  </w:style>
  <w:style w:type="table" w:customStyle="1" w:styleId="HTATableshaded1">
    <w:name w:val="HTA Table shaded1"/>
    <w:basedOn w:val="TableNormal"/>
    <w:rsid w:val="002D214E"/>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Bullet6">
    <w:name w:val="Bullet+6"/>
    <w:basedOn w:val="Normal"/>
    <w:next w:val="BodyText"/>
    <w:uiPriority w:val="2"/>
    <w:qFormat/>
    <w:rsid w:val="002D214E"/>
    <w:pPr>
      <w:numPr>
        <w:numId w:val="18"/>
      </w:numPr>
      <w:spacing w:before="0" w:after="120" w:line="276" w:lineRule="auto"/>
      <w:ind w:left="432" w:hanging="432"/>
      <w:jc w:val="left"/>
    </w:pPr>
    <w:rPr>
      <w:rFonts w:cs="Arial"/>
      <w:sz w:val="22"/>
    </w:rPr>
  </w:style>
  <w:style w:type="paragraph" w:styleId="EndnoteText">
    <w:name w:val="endnote text"/>
    <w:basedOn w:val="Normal"/>
    <w:link w:val="EndnoteTextChar"/>
    <w:rsid w:val="002D214E"/>
    <w:pPr>
      <w:spacing w:before="0" w:after="0"/>
    </w:pPr>
    <w:rPr>
      <w:sz w:val="20"/>
      <w:szCs w:val="20"/>
    </w:rPr>
  </w:style>
  <w:style w:type="character" w:customStyle="1" w:styleId="EndnoteTextChar">
    <w:name w:val="Endnote Text Char"/>
    <w:basedOn w:val="DefaultParagraphFont"/>
    <w:link w:val="EndnoteText"/>
    <w:rsid w:val="002D214E"/>
    <w:rPr>
      <w:sz w:val="20"/>
      <w:szCs w:val="20"/>
    </w:rPr>
  </w:style>
  <w:style w:type="character" w:styleId="EndnoteReference">
    <w:name w:val="endnote reference"/>
    <w:basedOn w:val="DefaultParagraphFont"/>
    <w:rsid w:val="002D214E"/>
    <w:rPr>
      <w:vertAlign w:val="superscript"/>
    </w:rPr>
  </w:style>
  <w:style w:type="table" w:customStyle="1" w:styleId="TableGrid10">
    <w:name w:val="Table Grid1"/>
    <w:basedOn w:val="TableNormal"/>
    <w:next w:val="TableGrid"/>
    <w:uiPriority w:val="39"/>
    <w:rsid w:val="002D214E"/>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aliases w:val="- H19,Comment Text Char1 Char,Comment Text Char Char Char"/>
    <w:basedOn w:val="Normal"/>
    <w:link w:val="CommentTextChar"/>
    <w:uiPriority w:val="99"/>
    <w:unhideWhenUsed/>
    <w:qFormat/>
    <w:rsid w:val="002D214E"/>
    <w:pPr>
      <w:spacing w:before="0" w:after="200"/>
      <w:jc w:val="left"/>
    </w:pPr>
    <w:rPr>
      <w:sz w:val="20"/>
      <w:szCs w:val="20"/>
    </w:rPr>
  </w:style>
  <w:style w:type="character" w:customStyle="1" w:styleId="CommentTextChar">
    <w:name w:val="Comment Text Char"/>
    <w:aliases w:val="- H19 Char,Comment Text Char1 Char Char,Comment Text Char Char Char Char"/>
    <w:basedOn w:val="DefaultParagraphFont"/>
    <w:link w:val="CommentText"/>
    <w:uiPriority w:val="99"/>
    <w:rsid w:val="002D214E"/>
    <w:rPr>
      <w:sz w:val="20"/>
      <w:szCs w:val="20"/>
    </w:rPr>
  </w:style>
  <w:style w:type="paragraph" w:customStyle="1" w:styleId="TableHeadingleft">
    <w:name w:val="Table Heading left"/>
    <w:basedOn w:val="Normal"/>
    <w:next w:val="Tabletextleft"/>
    <w:qFormat/>
    <w:rsid w:val="002D214E"/>
    <w:pPr>
      <w:spacing w:before="40" w:after="40"/>
      <w:jc w:val="left"/>
    </w:pPr>
    <w:rPr>
      <w:rFonts w:cs="Tahoma"/>
      <w:b/>
      <w:sz w:val="18"/>
      <w:szCs w:val="18"/>
      <w:lang w:val="de-DE"/>
    </w:rPr>
  </w:style>
  <w:style w:type="paragraph" w:customStyle="1" w:styleId="H2S2">
    <w:name w:val="H2 S2"/>
    <w:basedOn w:val="Heading2"/>
    <w:rsid w:val="002D214E"/>
    <w:pPr>
      <w:numPr>
        <w:ilvl w:val="1"/>
        <w:numId w:val="19"/>
      </w:numPr>
      <w:spacing w:before="0" w:after="200" w:line="276" w:lineRule="auto"/>
      <w:ind w:left="1191"/>
    </w:pPr>
    <w:rPr>
      <w:rFonts w:ascii="Tahoma" w:eastAsiaTheme="minorHAnsi" w:hAnsi="Tahoma" w:cs="Tahoma"/>
      <w:b w:val="0"/>
      <w:i w:val="0"/>
      <w:snapToGrid/>
      <w:sz w:val="32"/>
      <w:szCs w:val="22"/>
    </w:rPr>
  </w:style>
  <w:style w:type="paragraph" w:customStyle="1" w:styleId="H1S2">
    <w:name w:val="H1 S2"/>
    <w:basedOn w:val="Heading1"/>
    <w:rsid w:val="002D214E"/>
    <w:pPr>
      <w:keepLines w:val="0"/>
      <w:numPr>
        <w:numId w:val="19"/>
      </w:numPr>
      <w:spacing w:before="0" w:after="200" w:line="276" w:lineRule="auto"/>
    </w:pPr>
    <w:rPr>
      <w:rFonts w:ascii="Tahoma" w:eastAsiaTheme="minorHAnsi" w:hAnsi="Tahoma" w:cs="Tahoma"/>
      <w:b w:val="0"/>
      <w:sz w:val="36"/>
      <w:szCs w:val="22"/>
    </w:rPr>
  </w:style>
  <w:style w:type="paragraph" w:customStyle="1" w:styleId="H3S2">
    <w:name w:val="H3 S2"/>
    <w:basedOn w:val="Heading3"/>
    <w:next w:val="BodyText"/>
    <w:rsid w:val="002D214E"/>
    <w:pPr>
      <w:numPr>
        <w:ilvl w:val="2"/>
        <w:numId w:val="19"/>
      </w:numPr>
      <w:spacing w:before="0" w:after="200" w:line="276" w:lineRule="auto"/>
      <w:jc w:val="left"/>
    </w:pPr>
    <w:rPr>
      <w:rFonts w:ascii="Tahoma" w:eastAsiaTheme="minorHAnsi" w:hAnsi="Tahoma" w:cs="Tahoma"/>
      <w:b w:val="0"/>
      <w:szCs w:val="22"/>
    </w:rPr>
  </w:style>
  <w:style w:type="table" w:customStyle="1" w:styleId="TableGrid2">
    <w:name w:val="Table Grid2"/>
    <w:basedOn w:val="TableNormal"/>
    <w:next w:val="TableGrid"/>
    <w:rsid w:val="002D214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2">
    <w:name w:val="HTA Table shaded2"/>
    <w:basedOn w:val="TableNormal"/>
    <w:rsid w:val="002D214E"/>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
    <w:name w:val="HTA Table shaded3"/>
    <w:basedOn w:val="TableNormal"/>
    <w:rsid w:val="002D214E"/>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4">
    <w:name w:val="Table Grid4"/>
    <w:basedOn w:val="TableNormal"/>
    <w:next w:val="TableGrid"/>
    <w:uiPriority w:val="59"/>
    <w:rsid w:val="002D214E"/>
    <w:pPr>
      <w:spacing w:before="40"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autoRedefine/>
    <w:qFormat/>
    <w:rsid w:val="000B6356"/>
    <w:pPr>
      <w:keepNext/>
      <w:spacing w:before="40" w:after="40"/>
      <w:contextualSpacing/>
      <w:jc w:val="left"/>
    </w:pPr>
    <w:rPr>
      <w:rFonts w:ascii="Arial Narrow" w:eastAsia="Times New Roman" w:hAnsi="Arial Narrow" w:cs="Tahoma"/>
      <w:b/>
      <w:sz w:val="20"/>
    </w:rPr>
  </w:style>
  <w:style w:type="character" w:customStyle="1" w:styleId="TableHeadingChar">
    <w:name w:val="TableHeading Char"/>
    <w:link w:val="TableHeading"/>
    <w:rsid w:val="000B6356"/>
    <w:rPr>
      <w:rFonts w:ascii="Arial Narrow" w:eastAsia="Times New Roman" w:hAnsi="Arial Narrow" w:cs="Tahoma"/>
      <w:b/>
      <w:sz w:val="20"/>
    </w:rPr>
  </w:style>
  <w:style w:type="paragraph" w:customStyle="1" w:styleId="Default">
    <w:name w:val="Default"/>
    <w:rsid w:val="002D214E"/>
    <w:pPr>
      <w:autoSpaceDE w:val="0"/>
      <w:autoSpaceDN w:val="0"/>
      <w:adjustRightInd w:val="0"/>
      <w:spacing w:after="0" w:line="240" w:lineRule="auto"/>
    </w:pPr>
    <w:rPr>
      <w:rFonts w:ascii="Arial" w:hAnsi="Arial" w:cs="Arial"/>
      <w:color w:val="000000"/>
      <w:sz w:val="24"/>
      <w:szCs w:val="24"/>
    </w:rPr>
  </w:style>
  <w:style w:type="paragraph" w:customStyle="1" w:styleId="Tableheadingcent">
    <w:name w:val="Table heading cent"/>
    <w:basedOn w:val="Normal"/>
    <w:qFormat/>
    <w:rsid w:val="002D214E"/>
    <w:pPr>
      <w:spacing w:before="40" w:after="40"/>
      <w:jc w:val="center"/>
    </w:pPr>
    <w:rPr>
      <w:rFonts w:cs="Tahoma"/>
      <w:b/>
      <w:sz w:val="18"/>
      <w:szCs w:val="18"/>
      <w:lang w:val="de-DE"/>
    </w:rPr>
  </w:style>
  <w:style w:type="paragraph" w:customStyle="1" w:styleId="Dash12">
    <w:name w:val="Dash+12"/>
    <w:basedOn w:val="Normal"/>
    <w:uiPriority w:val="2"/>
    <w:rsid w:val="002D214E"/>
    <w:pPr>
      <w:tabs>
        <w:tab w:val="left" w:pos="1134"/>
      </w:tabs>
      <w:spacing w:before="0" w:after="240" w:line="276" w:lineRule="auto"/>
      <w:jc w:val="left"/>
    </w:pPr>
    <w:rPr>
      <w:rFonts w:cs="Tahoma"/>
      <w:color w:val="000000"/>
      <w:sz w:val="22"/>
      <w:lang w:eastAsia="en-AU"/>
    </w:rPr>
  </w:style>
  <w:style w:type="paragraph" w:customStyle="1" w:styleId="TableParagraph">
    <w:name w:val="Table Paragraph"/>
    <w:basedOn w:val="Normal"/>
    <w:uiPriority w:val="1"/>
    <w:qFormat/>
    <w:rsid w:val="002D214E"/>
    <w:pPr>
      <w:widowControl w:val="0"/>
      <w:spacing w:before="0" w:after="0"/>
      <w:jc w:val="left"/>
    </w:pPr>
    <w:rPr>
      <w:sz w:val="22"/>
      <w:lang w:val="en-US"/>
    </w:rPr>
  </w:style>
  <w:style w:type="paragraph" w:customStyle="1" w:styleId="Tablebulletlist">
    <w:name w:val="Table bullet list"/>
    <w:basedOn w:val="Tabletextleft"/>
    <w:qFormat/>
    <w:rsid w:val="002D214E"/>
    <w:pPr>
      <w:widowControl w:val="0"/>
      <w:numPr>
        <w:numId w:val="20"/>
      </w:numPr>
      <w:tabs>
        <w:tab w:val="left" w:pos="464"/>
      </w:tabs>
      <w:spacing w:before="34" w:after="0"/>
    </w:pPr>
    <w:rPr>
      <w:rFonts w:eastAsia="Calibri"/>
      <w:szCs w:val="18"/>
      <w:lang w:val="en-US"/>
    </w:rPr>
  </w:style>
  <w:style w:type="paragraph" w:customStyle="1" w:styleId="TableFigNotes18">
    <w:name w:val="TableFigNotes+18"/>
    <w:basedOn w:val="BodyText"/>
    <w:next w:val="BodyText"/>
    <w:link w:val="TableFigNotes18Char"/>
    <w:uiPriority w:val="4"/>
    <w:qFormat/>
    <w:rsid w:val="002D214E"/>
    <w:pPr>
      <w:keepLines/>
      <w:spacing w:after="360"/>
    </w:pPr>
    <w:rPr>
      <w:color w:val="000000"/>
      <w:sz w:val="16"/>
      <w:szCs w:val="18"/>
      <w:lang w:eastAsia="en-AU"/>
    </w:rPr>
  </w:style>
  <w:style w:type="character" w:customStyle="1" w:styleId="TableFigNotes18Char">
    <w:name w:val="TableFigNotes+18 Char"/>
    <w:basedOn w:val="DefaultParagraphFont"/>
    <w:link w:val="TableFigNotes18"/>
    <w:uiPriority w:val="4"/>
    <w:rsid w:val="002D214E"/>
    <w:rPr>
      <w:rFonts w:cs="Tahoma"/>
      <w:color w:val="000000"/>
      <w:sz w:val="16"/>
      <w:szCs w:val="18"/>
      <w:lang w:eastAsia="en-AU"/>
    </w:rPr>
  </w:style>
  <w:style w:type="paragraph" w:customStyle="1" w:styleId="In-tableHeading">
    <w:name w:val="In-table Heading"/>
    <w:qFormat/>
    <w:rsid w:val="002D214E"/>
    <w:pPr>
      <w:keepNext/>
      <w:spacing w:after="0" w:line="240" w:lineRule="auto"/>
    </w:pPr>
    <w:rPr>
      <w:rFonts w:ascii="Arial Narrow" w:eastAsiaTheme="majorEastAsia" w:hAnsi="Arial Narrow" w:cs="Times New Roman"/>
      <w:b/>
      <w:sz w:val="20"/>
      <w:szCs w:val="24"/>
      <w:lang w:val="en-US" w:eastAsia="en-AU"/>
    </w:rPr>
  </w:style>
  <w:style w:type="table" w:customStyle="1" w:styleId="ASDTable11">
    <w:name w:val="ASD Table11"/>
    <w:basedOn w:val="TableNormal"/>
    <w:next w:val="TableGrid"/>
    <w:uiPriority w:val="59"/>
    <w:rsid w:val="002D214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HTATableshaded4">
    <w:name w:val="HTA Table shaded4"/>
    <w:basedOn w:val="TableNormal"/>
    <w:rsid w:val="007C75DD"/>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5">
    <w:name w:val="HTA Table shaded5"/>
    <w:basedOn w:val="TableNormal"/>
    <w:rsid w:val="00AC3DCF"/>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6">
    <w:name w:val="HTA Table shaded6"/>
    <w:basedOn w:val="TableNormal"/>
    <w:rsid w:val="0010002D"/>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ASDTable3">
    <w:name w:val="ASD Table3"/>
    <w:basedOn w:val="TableNormal"/>
    <w:next w:val="TableGrid"/>
    <w:uiPriority w:val="59"/>
    <w:rsid w:val="00751CBA"/>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numbering" w:customStyle="1" w:styleId="NoList2">
    <w:name w:val="No List2"/>
    <w:next w:val="NoList"/>
    <w:uiPriority w:val="99"/>
    <w:semiHidden/>
    <w:unhideWhenUsed/>
    <w:rsid w:val="00F37B89"/>
  </w:style>
  <w:style w:type="table" w:customStyle="1" w:styleId="ASDTable4">
    <w:name w:val="ASD Table4"/>
    <w:basedOn w:val="TableNormal"/>
    <w:next w:val="TableGrid"/>
    <w:uiPriority w:val="59"/>
    <w:rsid w:val="00F37B8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PBACTableStyle2">
    <w:name w:val="PBAC Table Style2"/>
    <w:basedOn w:val="TableGrid1"/>
    <w:uiPriority w:val="99"/>
    <w:rsid w:val="00F37B89"/>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3">
    <w:name w:val="List Table 1 Light3"/>
    <w:basedOn w:val="TableNormal"/>
    <w:next w:val="ListTable1Light"/>
    <w:uiPriority w:val="46"/>
    <w:rsid w:val="00F37B8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3">
    <w:name w:val="List Table 7 Colorful - Accent 63"/>
    <w:basedOn w:val="TableNormal"/>
    <w:next w:val="ListTable7Colorful-Accent6"/>
    <w:uiPriority w:val="52"/>
    <w:rsid w:val="00F37B8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2">
    <w:name w:val="Table Grid 12"/>
    <w:basedOn w:val="TableNormal"/>
    <w:next w:val="TableGrid1"/>
    <w:uiPriority w:val="99"/>
    <w:semiHidden/>
    <w:unhideWhenUsed/>
    <w:rsid w:val="00F37B89"/>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Table1Light12">
    <w:name w:val="List Table 1 Light12"/>
    <w:basedOn w:val="TableNormal"/>
    <w:uiPriority w:val="46"/>
    <w:rsid w:val="00F37B8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2">
    <w:name w:val="List Table 7 Colorful - Accent 612"/>
    <w:basedOn w:val="TableNormal"/>
    <w:uiPriority w:val="52"/>
    <w:rsid w:val="00F37B8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HTATableshaded7">
    <w:name w:val="HTA Table shaded7"/>
    <w:basedOn w:val="TableNormal"/>
    <w:rsid w:val="00F37B8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10">
    <w:name w:val="Table Grid11"/>
    <w:basedOn w:val="TableNormal"/>
    <w:next w:val="TableGrid"/>
    <w:uiPriority w:val="39"/>
    <w:rsid w:val="00F37B89"/>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37B8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11">
    <w:name w:val="HTA Table shaded11"/>
    <w:basedOn w:val="TableNormal"/>
    <w:rsid w:val="00F37B8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1">
    <w:name w:val="HTA Table shaded21"/>
    <w:basedOn w:val="TableNormal"/>
    <w:rsid w:val="00F37B8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1">
    <w:name w:val="HTA Table shaded31"/>
    <w:basedOn w:val="TableNormal"/>
    <w:rsid w:val="00F37B8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41">
    <w:name w:val="Table Grid41"/>
    <w:basedOn w:val="TableNormal"/>
    <w:next w:val="TableGrid"/>
    <w:uiPriority w:val="59"/>
    <w:rsid w:val="00F37B89"/>
    <w:pPr>
      <w:spacing w:before="40"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2">
    <w:name w:val="ASD Table12"/>
    <w:basedOn w:val="TableNormal"/>
    <w:next w:val="TableGrid"/>
    <w:uiPriority w:val="59"/>
    <w:rsid w:val="00F37B8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Summarybox1">
    <w:name w:val="Summary box1"/>
    <w:basedOn w:val="TableNormal"/>
    <w:next w:val="TableGrid"/>
    <w:uiPriority w:val="59"/>
    <w:rsid w:val="00F37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37B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intro">
    <w:name w:val="Bullet intro"/>
    <w:basedOn w:val="BodyText"/>
    <w:uiPriority w:val="2"/>
    <w:qFormat/>
    <w:rsid w:val="00F37B89"/>
    <w:pPr>
      <w:spacing w:after="120"/>
    </w:pPr>
    <w:rPr>
      <w:rFonts w:cs="Arial"/>
    </w:rPr>
  </w:style>
  <w:style w:type="paragraph" w:customStyle="1" w:styleId="TFAbbrevs0">
    <w:name w:val="TFAbbrevs+0"/>
    <w:basedOn w:val="Normal"/>
    <w:qFormat/>
    <w:rsid w:val="00F37B89"/>
    <w:pPr>
      <w:keepNext/>
      <w:keepLines/>
      <w:spacing w:before="0" w:after="0"/>
      <w:jc w:val="left"/>
    </w:pPr>
    <w:rPr>
      <w:rFonts w:ascii="Arial Narrow" w:eastAsia="Times New Roman" w:hAnsi="Arial Narrow" w:cs="Times New Roman"/>
      <w:color w:val="000000"/>
      <w:sz w:val="18"/>
      <w:szCs w:val="18"/>
      <w:lang w:eastAsia="en-AU"/>
    </w:rPr>
  </w:style>
  <w:style w:type="paragraph" w:customStyle="1" w:styleId="Tabletextright">
    <w:name w:val="Table text right"/>
    <w:basedOn w:val="Normal"/>
    <w:link w:val="TabletextrightChar"/>
    <w:qFormat/>
    <w:rsid w:val="00F37B89"/>
    <w:pPr>
      <w:keepNext/>
      <w:spacing w:before="0" w:after="0"/>
      <w:jc w:val="right"/>
    </w:pPr>
    <w:rPr>
      <w:rFonts w:ascii="Arial Narrow" w:eastAsia="Times New Roman" w:hAnsi="Arial Narrow" w:cs="Arial"/>
      <w:sz w:val="20"/>
      <w:szCs w:val="20"/>
    </w:rPr>
  </w:style>
  <w:style w:type="character" w:customStyle="1" w:styleId="TabletextrightChar">
    <w:name w:val="Table text right Char"/>
    <w:basedOn w:val="DefaultParagraphFont"/>
    <w:link w:val="Tabletextright"/>
    <w:rsid w:val="00F37B89"/>
    <w:rPr>
      <w:rFonts w:ascii="Arial Narrow" w:eastAsia="Times New Roman" w:hAnsi="Arial Narrow" w:cs="Arial"/>
      <w:sz w:val="20"/>
      <w:szCs w:val="20"/>
    </w:rPr>
  </w:style>
  <w:style w:type="paragraph" w:customStyle="1" w:styleId="BoxText">
    <w:name w:val="BoxText"/>
    <w:basedOn w:val="BodyText"/>
    <w:link w:val="BoxTextChar"/>
    <w:uiPriority w:val="3"/>
    <w:rsid w:val="00F37B89"/>
    <w:pPr>
      <w:pBdr>
        <w:top w:val="single" w:sz="6" w:space="1" w:color="000000"/>
        <w:left w:val="single" w:sz="6" w:space="4" w:color="000000"/>
        <w:bottom w:val="single" w:sz="6" w:space="1" w:color="000000"/>
        <w:right w:val="single" w:sz="6" w:space="4" w:color="000000"/>
      </w:pBdr>
    </w:pPr>
  </w:style>
  <w:style w:type="character" w:customStyle="1" w:styleId="BoxTextChar">
    <w:name w:val="BoxText Char"/>
    <w:basedOn w:val="DefaultParagraphFont"/>
    <w:link w:val="BoxText"/>
    <w:uiPriority w:val="3"/>
    <w:rsid w:val="00F37B89"/>
    <w:rPr>
      <w:rFonts w:cs="Tahoma"/>
    </w:rPr>
  </w:style>
  <w:style w:type="table" w:customStyle="1" w:styleId="HTATableshaded8">
    <w:name w:val="HTA Table shaded8"/>
    <w:basedOn w:val="TableNormal"/>
    <w:rsid w:val="00A03CC6"/>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9">
    <w:name w:val="HTA Table shaded9"/>
    <w:basedOn w:val="TableNormal"/>
    <w:rsid w:val="00A03CC6"/>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10">
    <w:name w:val="HTA Table shaded10"/>
    <w:basedOn w:val="TableNormal"/>
    <w:rsid w:val="00465EB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PBACTableStyle3">
    <w:name w:val="PBAC Table Style3"/>
    <w:basedOn w:val="TableGrid1"/>
    <w:uiPriority w:val="99"/>
    <w:rsid w:val="00465EB9"/>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465EB9"/>
  </w:style>
  <w:style w:type="table" w:customStyle="1" w:styleId="ASDTable5">
    <w:name w:val="ASD Table5"/>
    <w:basedOn w:val="TableNormal"/>
    <w:next w:val="TableGrid"/>
    <w:uiPriority w:val="59"/>
    <w:rsid w:val="00465EB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PBACTableStyle4">
    <w:name w:val="PBAC Table Style4"/>
    <w:basedOn w:val="TableGrid1"/>
    <w:uiPriority w:val="99"/>
    <w:rsid w:val="00465EB9"/>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4">
    <w:name w:val="List Table 1 Light4"/>
    <w:basedOn w:val="TableNormal"/>
    <w:next w:val="ListTable1Light"/>
    <w:uiPriority w:val="46"/>
    <w:rsid w:val="00465E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4">
    <w:name w:val="List Table 7 Colorful - Accent 64"/>
    <w:basedOn w:val="TableNormal"/>
    <w:next w:val="ListTable7Colorful-Accent6"/>
    <w:uiPriority w:val="52"/>
    <w:rsid w:val="00465E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3">
    <w:name w:val="Table Grid 13"/>
    <w:basedOn w:val="TableNormal"/>
    <w:next w:val="TableGrid1"/>
    <w:uiPriority w:val="99"/>
    <w:semiHidden/>
    <w:unhideWhenUsed/>
    <w:rsid w:val="00465EB9"/>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Table1Light13">
    <w:name w:val="List Table 1 Light13"/>
    <w:basedOn w:val="TableNormal"/>
    <w:uiPriority w:val="46"/>
    <w:rsid w:val="00465E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3">
    <w:name w:val="List Table 7 Colorful - Accent 613"/>
    <w:basedOn w:val="TableNormal"/>
    <w:uiPriority w:val="52"/>
    <w:rsid w:val="00465E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HTATableshaded12">
    <w:name w:val="HTA Table shaded12"/>
    <w:basedOn w:val="TableNormal"/>
    <w:rsid w:val="00465EB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20">
    <w:name w:val="Table Grid12"/>
    <w:basedOn w:val="TableNormal"/>
    <w:next w:val="TableGrid"/>
    <w:uiPriority w:val="39"/>
    <w:rsid w:val="00465EB9"/>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465EB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13">
    <w:name w:val="HTA Table shaded13"/>
    <w:basedOn w:val="TableNormal"/>
    <w:rsid w:val="00465EB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2">
    <w:name w:val="HTA Table shaded22"/>
    <w:basedOn w:val="TableNormal"/>
    <w:rsid w:val="00465EB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2">
    <w:name w:val="HTA Table shaded32"/>
    <w:basedOn w:val="TableNormal"/>
    <w:rsid w:val="00465EB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42">
    <w:name w:val="Table Grid42"/>
    <w:basedOn w:val="TableNormal"/>
    <w:next w:val="TableGrid"/>
    <w:uiPriority w:val="59"/>
    <w:rsid w:val="00465EB9"/>
    <w:pPr>
      <w:spacing w:before="40"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3">
    <w:name w:val="ASD Table13"/>
    <w:basedOn w:val="TableNormal"/>
    <w:next w:val="TableGrid"/>
    <w:uiPriority w:val="59"/>
    <w:rsid w:val="00465EB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Summarybox11">
    <w:name w:val="Summary box11"/>
    <w:basedOn w:val="TableNormal"/>
    <w:next w:val="TableGrid"/>
    <w:uiPriority w:val="59"/>
    <w:rsid w:val="0046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465E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4">
    <w:name w:val="No List4"/>
    <w:next w:val="NoList"/>
    <w:uiPriority w:val="99"/>
    <w:semiHidden/>
    <w:unhideWhenUsed/>
    <w:rsid w:val="000905E1"/>
  </w:style>
  <w:style w:type="table" w:customStyle="1" w:styleId="ASDTable6">
    <w:name w:val="ASD Table6"/>
    <w:basedOn w:val="TableNormal"/>
    <w:next w:val="TableGrid"/>
    <w:uiPriority w:val="59"/>
    <w:rsid w:val="000905E1"/>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PBACTableStyle5">
    <w:name w:val="PBAC Table Style5"/>
    <w:basedOn w:val="TableGrid1"/>
    <w:uiPriority w:val="99"/>
    <w:rsid w:val="000905E1"/>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5">
    <w:name w:val="List Table 1 Light5"/>
    <w:basedOn w:val="TableNormal"/>
    <w:next w:val="ListTable1Light"/>
    <w:uiPriority w:val="46"/>
    <w:rsid w:val="000905E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5">
    <w:name w:val="List Table 7 Colorful - Accent 65"/>
    <w:basedOn w:val="TableNormal"/>
    <w:next w:val="ListTable7Colorful-Accent6"/>
    <w:uiPriority w:val="52"/>
    <w:rsid w:val="000905E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4">
    <w:name w:val="Table Grid 14"/>
    <w:basedOn w:val="TableNormal"/>
    <w:next w:val="TableGrid1"/>
    <w:uiPriority w:val="99"/>
    <w:semiHidden/>
    <w:unhideWhenUsed/>
    <w:rsid w:val="000905E1"/>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Table1Light14">
    <w:name w:val="List Table 1 Light14"/>
    <w:basedOn w:val="TableNormal"/>
    <w:uiPriority w:val="46"/>
    <w:rsid w:val="000905E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4">
    <w:name w:val="List Table 7 Colorful - Accent 614"/>
    <w:basedOn w:val="TableNormal"/>
    <w:uiPriority w:val="52"/>
    <w:rsid w:val="000905E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HTATableshaded14">
    <w:name w:val="HTA Table shaded14"/>
    <w:basedOn w:val="TableNormal"/>
    <w:rsid w:val="000905E1"/>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30">
    <w:name w:val="Table Grid13"/>
    <w:basedOn w:val="TableNormal"/>
    <w:next w:val="TableGrid"/>
    <w:uiPriority w:val="39"/>
    <w:rsid w:val="000905E1"/>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905E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15">
    <w:name w:val="HTA Table shaded15"/>
    <w:basedOn w:val="TableNormal"/>
    <w:rsid w:val="000905E1"/>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3">
    <w:name w:val="HTA Table shaded23"/>
    <w:basedOn w:val="TableNormal"/>
    <w:rsid w:val="000905E1"/>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3">
    <w:name w:val="HTA Table shaded33"/>
    <w:basedOn w:val="TableNormal"/>
    <w:rsid w:val="000905E1"/>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43">
    <w:name w:val="Table Grid43"/>
    <w:basedOn w:val="TableNormal"/>
    <w:next w:val="TableGrid"/>
    <w:uiPriority w:val="59"/>
    <w:rsid w:val="000905E1"/>
    <w:pPr>
      <w:spacing w:before="40"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4">
    <w:name w:val="ASD Table14"/>
    <w:basedOn w:val="TableNormal"/>
    <w:next w:val="TableGrid"/>
    <w:uiPriority w:val="59"/>
    <w:rsid w:val="000905E1"/>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Summarybox12">
    <w:name w:val="Summary box12"/>
    <w:basedOn w:val="TableNormal"/>
    <w:next w:val="TableGrid"/>
    <w:uiPriority w:val="59"/>
    <w:rsid w:val="00090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next w:val="TableGridLight"/>
    <w:uiPriority w:val="40"/>
    <w:rsid w:val="000905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TATableshaded16">
    <w:name w:val="HTA Table shaded16"/>
    <w:basedOn w:val="TableNormal"/>
    <w:rsid w:val="00C4156F"/>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numbering" w:customStyle="1" w:styleId="NoList5">
    <w:name w:val="No List5"/>
    <w:next w:val="NoList"/>
    <w:uiPriority w:val="99"/>
    <w:semiHidden/>
    <w:unhideWhenUsed/>
    <w:rsid w:val="00615F95"/>
  </w:style>
  <w:style w:type="table" w:customStyle="1" w:styleId="ASDTable7">
    <w:name w:val="ASD Table7"/>
    <w:basedOn w:val="TableNormal"/>
    <w:next w:val="TableGrid"/>
    <w:uiPriority w:val="59"/>
    <w:rsid w:val="00615F95"/>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PBACTableStyle6">
    <w:name w:val="PBAC Table Style6"/>
    <w:basedOn w:val="TableGrid1"/>
    <w:uiPriority w:val="99"/>
    <w:rsid w:val="00615F95"/>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6">
    <w:name w:val="List Table 1 Light6"/>
    <w:basedOn w:val="TableNormal"/>
    <w:next w:val="ListTable1Light"/>
    <w:uiPriority w:val="46"/>
    <w:rsid w:val="00615F9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6">
    <w:name w:val="List Table 7 Colorful - Accent 66"/>
    <w:basedOn w:val="TableNormal"/>
    <w:next w:val="ListTable7Colorful-Accent6"/>
    <w:uiPriority w:val="52"/>
    <w:rsid w:val="00615F9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5">
    <w:name w:val="Table Grid 15"/>
    <w:basedOn w:val="TableNormal"/>
    <w:next w:val="TableGrid1"/>
    <w:uiPriority w:val="99"/>
    <w:semiHidden/>
    <w:unhideWhenUsed/>
    <w:rsid w:val="00615F95"/>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Table1Light15">
    <w:name w:val="List Table 1 Light15"/>
    <w:basedOn w:val="TableNormal"/>
    <w:uiPriority w:val="46"/>
    <w:rsid w:val="00615F9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5">
    <w:name w:val="List Table 7 Colorful - Accent 615"/>
    <w:basedOn w:val="TableNormal"/>
    <w:uiPriority w:val="52"/>
    <w:rsid w:val="00615F9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HTATableshaded17">
    <w:name w:val="HTA Table shaded17"/>
    <w:basedOn w:val="TableNormal"/>
    <w:rsid w:val="00615F95"/>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40">
    <w:name w:val="Table Grid14"/>
    <w:basedOn w:val="TableNormal"/>
    <w:next w:val="TableGrid"/>
    <w:uiPriority w:val="39"/>
    <w:rsid w:val="00615F95"/>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615F9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18">
    <w:name w:val="HTA Table shaded18"/>
    <w:basedOn w:val="TableNormal"/>
    <w:rsid w:val="00615F95"/>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4">
    <w:name w:val="HTA Table shaded24"/>
    <w:basedOn w:val="TableNormal"/>
    <w:rsid w:val="00615F95"/>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4">
    <w:name w:val="HTA Table shaded34"/>
    <w:basedOn w:val="TableNormal"/>
    <w:rsid w:val="00615F95"/>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44">
    <w:name w:val="Table Grid44"/>
    <w:basedOn w:val="TableNormal"/>
    <w:next w:val="TableGrid"/>
    <w:uiPriority w:val="59"/>
    <w:rsid w:val="00615F95"/>
    <w:pPr>
      <w:spacing w:before="40"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5">
    <w:name w:val="ASD Table15"/>
    <w:basedOn w:val="TableNormal"/>
    <w:next w:val="TableGrid"/>
    <w:uiPriority w:val="59"/>
    <w:rsid w:val="00615F95"/>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Summarybox13">
    <w:name w:val="Summary box13"/>
    <w:basedOn w:val="TableNormal"/>
    <w:next w:val="TableGrid"/>
    <w:uiPriority w:val="59"/>
    <w:rsid w:val="0061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
    <w:name w:val="Table Grid Light3"/>
    <w:basedOn w:val="TableNormal"/>
    <w:next w:val="TableGridLight"/>
    <w:uiPriority w:val="40"/>
    <w:rsid w:val="00615F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TATableshaded19">
    <w:name w:val="HTA Table shaded19"/>
    <w:basedOn w:val="TableNormal"/>
    <w:rsid w:val="00FB6FEE"/>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numbering" w:customStyle="1" w:styleId="NoList6">
    <w:name w:val="No List6"/>
    <w:next w:val="NoList"/>
    <w:uiPriority w:val="99"/>
    <w:semiHidden/>
    <w:unhideWhenUsed/>
    <w:rsid w:val="00D51B2C"/>
  </w:style>
  <w:style w:type="table" w:customStyle="1" w:styleId="ASDTable8">
    <w:name w:val="ASD Table8"/>
    <w:basedOn w:val="TableNormal"/>
    <w:next w:val="TableGrid"/>
    <w:uiPriority w:val="59"/>
    <w:rsid w:val="00D51B2C"/>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PBACTableStyle7">
    <w:name w:val="PBAC Table Style7"/>
    <w:basedOn w:val="TableGrid1"/>
    <w:uiPriority w:val="99"/>
    <w:rsid w:val="00D51B2C"/>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7">
    <w:name w:val="List Table 1 Light7"/>
    <w:basedOn w:val="TableNormal"/>
    <w:next w:val="ListTable1Light"/>
    <w:uiPriority w:val="46"/>
    <w:rsid w:val="00D51B2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7">
    <w:name w:val="List Table 7 Colorful - Accent 67"/>
    <w:basedOn w:val="TableNormal"/>
    <w:next w:val="ListTable7Colorful-Accent6"/>
    <w:uiPriority w:val="52"/>
    <w:rsid w:val="00D51B2C"/>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6">
    <w:name w:val="Table Grid 16"/>
    <w:basedOn w:val="TableNormal"/>
    <w:next w:val="TableGrid1"/>
    <w:uiPriority w:val="99"/>
    <w:semiHidden/>
    <w:unhideWhenUsed/>
    <w:rsid w:val="00D51B2C"/>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Table1Light16">
    <w:name w:val="List Table 1 Light16"/>
    <w:basedOn w:val="TableNormal"/>
    <w:uiPriority w:val="46"/>
    <w:rsid w:val="00D51B2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6">
    <w:name w:val="List Table 7 Colorful - Accent 616"/>
    <w:basedOn w:val="TableNormal"/>
    <w:uiPriority w:val="52"/>
    <w:rsid w:val="00D51B2C"/>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HTATableshaded20">
    <w:name w:val="HTA Table shaded20"/>
    <w:basedOn w:val="TableNormal"/>
    <w:rsid w:val="00D51B2C"/>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50">
    <w:name w:val="Table Grid15"/>
    <w:basedOn w:val="TableNormal"/>
    <w:next w:val="TableGrid"/>
    <w:uiPriority w:val="39"/>
    <w:rsid w:val="00D51B2C"/>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D51B2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110">
    <w:name w:val="HTA Table shaded110"/>
    <w:basedOn w:val="TableNormal"/>
    <w:rsid w:val="00D51B2C"/>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5">
    <w:name w:val="HTA Table shaded25"/>
    <w:basedOn w:val="TableNormal"/>
    <w:rsid w:val="00D51B2C"/>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5">
    <w:name w:val="HTA Table shaded35"/>
    <w:basedOn w:val="TableNormal"/>
    <w:rsid w:val="00D51B2C"/>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45">
    <w:name w:val="Table Grid45"/>
    <w:basedOn w:val="TableNormal"/>
    <w:next w:val="TableGrid"/>
    <w:uiPriority w:val="59"/>
    <w:rsid w:val="00D51B2C"/>
    <w:pPr>
      <w:spacing w:before="40"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6">
    <w:name w:val="ASD Table16"/>
    <w:basedOn w:val="TableNormal"/>
    <w:next w:val="TableGrid"/>
    <w:uiPriority w:val="59"/>
    <w:rsid w:val="00D51B2C"/>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Summarybox14">
    <w:name w:val="Summary box14"/>
    <w:basedOn w:val="TableNormal"/>
    <w:next w:val="TableGrid"/>
    <w:uiPriority w:val="59"/>
    <w:rsid w:val="00D5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4">
    <w:name w:val="Table Grid Light4"/>
    <w:basedOn w:val="TableNormal"/>
    <w:next w:val="TableGridLight"/>
    <w:uiPriority w:val="40"/>
    <w:rsid w:val="00D51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BACHeading1">
    <w:name w:val="PBAC Heading 1"/>
    <w:qFormat/>
    <w:rsid w:val="00EC6784"/>
    <w:pPr>
      <w:spacing w:after="0" w:line="240" w:lineRule="auto"/>
      <w:ind w:left="720" w:hanging="720"/>
      <w:outlineLvl w:val="0"/>
    </w:pPr>
    <w:rPr>
      <w:rFonts w:ascii="Calibri" w:eastAsia="Times New Roman" w:hAnsi="Calibri" w:cs="Calibri"/>
      <w:b/>
      <w:snapToGrid w:val="0"/>
      <w:sz w:val="32"/>
      <w:szCs w:val="32"/>
    </w:rPr>
  </w:style>
  <w:style w:type="table" w:customStyle="1" w:styleId="ASDTable9">
    <w:name w:val="ASD Table9"/>
    <w:basedOn w:val="TableNormal"/>
    <w:next w:val="TableGrid"/>
    <w:uiPriority w:val="39"/>
    <w:rsid w:val="005C1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14D77"/>
  </w:style>
  <w:style w:type="paragraph" w:customStyle="1" w:styleId="Table">
    <w:name w:val="Table"/>
    <w:basedOn w:val="Normal"/>
    <w:link w:val="TableChar"/>
    <w:qFormat/>
    <w:rsid w:val="00214D77"/>
    <w:pPr>
      <w:spacing w:before="0" w:after="0"/>
      <w:jc w:val="left"/>
    </w:pPr>
    <w:rPr>
      <w:rFonts w:ascii="Candara" w:eastAsia="Times New Roman" w:hAnsi="Candara" w:cs="Times New Roman"/>
      <w:sz w:val="20"/>
      <w:lang w:bidi="en-US"/>
    </w:rPr>
  </w:style>
  <w:style w:type="character" w:customStyle="1" w:styleId="TableChar">
    <w:name w:val="Table Char"/>
    <w:basedOn w:val="DefaultParagraphFont"/>
    <w:link w:val="Table"/>
    <w:locked/>
    <w:rsid w:val="00214D77"/>
    <w:rPr>
      <w:rFonts w:ascii="Candara" w:eastAsia="Times New Roman" w:hAnsi="Candara" w:cs="Times New Roman"/>
      <w:sz w:val="20"/>
      <w:lang w:bidi="en-US"/>
    </w:rPr>
  </w:style>
  <w:style w:type="paragraph" w:customStyle="1" w:styleId="TableCentre">
    <w:name w:val="Table Centre"/>
    <w:basedOn w:val="Table"/>
    <w:uiPriority w:val="99"/>
    <w:qFormat/>
    <w:rsid w:val="00214D77"/>
    <w:pPr>
      <w:jc w:val="center"/>
    </w:pPr>
  </w:style>
  <w:style w:type="table" w:customStyle="1" w:styleId="ASDTable10">
    <w:name w:val="ASD Table10"/>
    <w:basedOn w:val="TableNormal"/>
    <w:next w:val="TableGrid"/>
    <w:uiPriority w:val="39"/>
    <w:rsid w:val="0021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qFormat/>
    <w:rsid w:val="00214D77"/>
    <w:pPr>
      <w:spacing w:before="40" w:after="40"/>
      <w:jc w:val="left"/>
    </w:pPr>
    <w:rPr>
      <w:rFonts w:ascii="Arial Narrow" w:eastAsia="Times New Roman" w:hAnsi="Arial Narrow" w:cs="Times New Roman"/>
      <w:sz w:val="20"/>
      <w:szCs w:val="24"/>
    </w:rPr>
  </w:style>
  <w:style w:type="character" w:customStyle="1" w:styleId="TabletextChar0">
    <w:name w:val="Table text Char"/>
    <w:basedOn w:val="DefaultParagraphFont"/>
    <w:link w:val="Tabletext0"/>
    <w:rsid w:val="00214D77"/>
    <w:rPr>
      <w:rFonts w:ascii="Arial Narrow" w:eastAsia="Times New Roman" w:hAnsi="Arial Narrow" w:cs="Times New Roman"/>
      <w:sz w:val="20"/>
      <w:szCs w:val="24"/>
    </w:rPr>
  </w:style>
  <w:style w:type="character" w:customStyle="1" w:styleId="ESHeading2Char">
    <w:name w:val="ES Heading 2 Char"/>
    <w:basedOn w:val="Heading2Char"/>
    <w:link w:val="ESHeading2"/>
    <w:rsid w:val="00214D77"/>
    <w:rPr>
      <w:rFonts w:asciiTheme="majorHAnsi" w:eastAsiaTheme="majorEastAsia" w:hAnsiTheme="majorHAnsi" w:cstheme="majorBidi"/>
      <w:b/>
      <w:i/>
      <w:snapToGrid w:val="0"/>
      <w:sz w:val="28"/>
      <w:szCs w:val="28"/>
    </w:rPr>
  </w:style>
  <w:style w:type="table" w:customStyle="1" w:styleId="Submissiontemplate2">
    <w:name w:val="Submission template2"/>
    <w:basedOn w:val="TableNormal"/>
    <w:uiPriority w:val="99"/>
    <w:rsid w:val="00214D77"/>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textboldleft">
    <w:name w:val="Table text bold left"/>
    <w:basedOn w:val="Tabletextbold"/>
    <w:link w:val="TabletextboldleftChar"/>
    <w:qFormat/>
    <w:rsid w:val="00214D77"/>
    <w:pPr>
      <w:keepNext/>
      <w:spacing w:before="0" w:after="0"/>
      <w:ind w:left="0" w:right="0"/>
    </w:pPr>
    <w:rPr>
      <w:rFonts w:ascii="Arial Narrow" w:eastAsia="Times New Roman" w:hAnsi="Arial Narrow" w:cs="Arial"/>
      <w:sz w:val="20"/>
    </w:rPr>
  </w:style>
  <w:style w:type="character" w:customStyle="1" w:styleId="TabletextboldleftChar">
    <w:name w:val="Table text bold left Char"/>
    <w:basedOn w:val="TabletextboldChar"/>
    <w:link w:val="Tabletextboldleft"/>
    <w:rsid w:val="00214D77"/>
    <w:rPr>
      <w:rFonts w:ascii="Arial Narrow" w:eastAsia="Times New Roman" w:hAnsi="Arial Narrow" w:cs="Arial"/>
      <w:b/>
      <w:sz w:val="20"/>
      <w:szCs w:val="20"/>
      <w:lang w:val="de-DE" w:eastAsia="en-AU"/>
    </w:rPr>
  </w:style>
  <w:style w:type="table" w:customStyle="1" w:styleId="Submissiontemplate7">
    <w:name w:val="Submission template7"/>
    <w:basedOn w:val="TableNormal"/>
    <w:uiPriority w:val="99"/>
    <w:rsid w:val="00214D77"/>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caption">
    <w:name w:val="Table caption"/>
    <w:basedOn w:val="Normal"/>
    <w:link w:val="TablecaptionChar"/>
    <w:qFormat/>
    <w:rsid w:val="00214D77"/>
    <w:pPr>
      <w:keepNext/>
      <w:keepLines/>
      <w:spacing w:before="0" w:after="0"/>
    </w:pPr>
    <w:rPr>
      <w:rFonts w:ascii="Arial Narrow" w:eastAsia="Times New Roman" w:hAnsi="Arial Narrow" w:cs="Arial"/>
      <w:sz w:val="20"/>
      <w:szCs w:val="20"/>
    </w:rPr>
  </w:style>
  <w:style w:type="character" w:customStyle="1" w:styleId="TablecaptionChar">
    <w:name w:val="Table caption Char"/>
    <w:basedOn w:val="DefaultParagraphFont"/>
    <w:link w:val="Tablecaption"/>
    <w:rsid w:val="00214D77"/>
    <w:rPr>
      <w:rFonts w:ascii="Arial Narrow" w:eastAsia="Times New Roman" w:hAnsi="Arial Narrow" w:cs="Arial"/>
      <w:sz w:val="20"/>
      <w:szCs w:val="20"/>
    </w:rPr>
  </w:style>
  <w:style w:type="paragraph" w:customStyle="1" w:styleId="Tabletextcentred">
    <w:name w:val="Table text centred"/>
    <w:basedOn w:val="Tabletext0"/>
    <w:link w:val="TabletextcentredChar"/>
    <w:qFormat/>
    <w:rsid w:val="00214D77"/>
    <w:pPr>
      <w:jc w:val="center"/>
    </w:pPr>
  </w:style>
  <w:style w:type="character" w:customStyle="1" w:styleId="TabletextcentredChar">
    <w:name w:val="Table text centred Char"/>
    <w:basedOn w:val="TabletextChar0"/>
    <w:link w:val="Tabletextcentred"/>
    <w:rsid w:val="00214D77"/>
    <w:rPr>
      <w:rFonts w:ascii="Arial Narrow" w:eastAsia="Times New Roman" w:hAnsi="Arial Narrow" w:cs="Times New Roman"/>
      <w:sz w:val="20"/>
      <w:szCs w:val="24"/>
    </w:rPr>
  </w:style>
  <w:style w:type="character" w:customStyle="1" w:styleId="TableBold">
    <w:name w:val="Table Bold"/>
    <w:uiPriority w:val="4"/>
    <w:qFormat/>
    <w:rsid w:val="00214D77"/>
    <w:rPr>
      <w:rFonts w:ascii="Calibri" w:hAnsi="Calibri" w:hint="default"/>
      <w:b/>
      <w:bCs w:val="0"/>
      <w:sz w:val="20"/>
      <w:lang w:val="en-AU"/>
    </w:rPr>
  </w:style>
  <w:style w:type="table" w:customStyle="1" w:styleId="TableGrid121">
    <w:name w:val="Table Grid121"/>
    <w:basedOn w:val="TableNormal"/>
    <w:next w:val="TableGrid"/>
    <w:uiPriority w:val="59"/>
    <w:rsid w:val="00214D77"/>
    <w:pPr>
      <w:spacing w:after="0" w:line="240" w:lineRule="auto"/>
    </w:pPr>
    <w:rPr>
      <w:rFonts w:ascii="Candara" w:eastAsia="Times New Roman" w:hAnsi="Candara" w:cs="Times New Roman"/>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Style2Char">
    <w:name w:val="Style2 Char"/>
    <w:basedOn w:val="DefaultParagraphFont"/>
    <w:rsid w:val="00214D77"/>
    <w:rPr>
      <w:rFonts w:ascii="Arial" w:eastAsia="Times New Roman" w:hAnsi="Arial" w:cs="Arial"/>
      <w:color w:val="3366FF"/>
      <w:szCs w:val="24"/>
      <w:lang w:eastAsia="en-AU"/>
    </w:rPr>
  </w:style>
  <w:style w:type="paragraph" w:customStyle="1" w:styleId="NormalBulletList">
    <w:name w:val="Normal Bullet List"/>
    <w:basedOn w:val="Normal"/>
    <w:uiPriority w:val="3"/>
    <w:qFormat/>
    <w:rsid w:val="00214D77"/>
    <w:pPr>
      <w:numPr>
        <w:numId w:val="38"/>
      </w:numPr>
      <w:spacing w:before="0" w:after="240" w:line="276" w:lineRule="auto"/>
      <w:contextualSpacing/>
    </w:pPr>
    <w:rPr>
      <w:rFonts w:ascii="Candara" w:eastAsia="Times New Roman" w:hAnsi="Candara" w:cs="Times New Roman"/>
      <w:lang w:bidi="en-US"/>
    </w:rPr>
  </w:style>
  <w:style w:type="character" w:customStyle="1" w:styleId="SmallBold">
    <w:name w:val="Small Bold"/>
    <w:basedOn w:val="DefaultParagraphFont"/>
    <w:uiPriority w:val="4"/>
    <w:qFormat/>
    <w:rsid w:val="00214D77"/>
    <w:rPr>
      <w:rFonts w:ascii="Candara" w:hAnsi="Candara"/>
      <w:b/>
      <w:sz w:val="20"/>
      <w:lang w:val="en-AU"/>
    </w:rPr>
  </w:style>
  <w:style w:type="table" w:customStyle="1" w:styleId="Submissiontemplate">
    <w:name w:val="Submission template"/>
    <w:basedOn w:val="TableNormal"/>
    <w:uiPriority w:val="99"/>
    <w:rsid w:val="00214D77"/>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notes">
    <w:name w:val="Tablenotes"/>
    <w:basedOn w:val="Normal"/>
    <w:link w:val="TablenotesChar"/>
    <w:autoRedefine/>
    <w:qFormat/>
    <w:rsid w:val="00214D77"/>
    <w:pPr>
      <w:widowControl w:val="0"/>
      <w:spacing w:before="60" w:after="120"/>
      <w:contextualSpacing/>
      <w:jc w:val="left"/>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14D77"/>
    <w:rPr>
      <w:rFonts w:ascii="Arial Narrow" w:eastAsia="Times New Roman" w:hAnsi="Arial Narrow" w:cs="Arial"/>
      <w:snapToGrid w:val="0"/>
      <w:sz w:val="18"/>
      <w:szCs w:val="20"/>
    </w:rPr>
  </w:style>
  <w:style w:type="table" w:customStyle="1" w:styleId="TableGrid26">
    <w:name w:val="Table Grid26"/>
    <w:basedOn w:val="TableNormal"/>
    <w:next w:val="TableGrid"/>
    <w:rsid w:val="00214D77"/>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paragraph" w:customStyle="1" w:styleId="Tablenotes1">
    <w:name w:val="Tablenotes 1"/>
    <w:basedOn w:val="Normal"/>
    <w:link w:val="Tablenotes1Char"/>
    <w:qFormat/>
    <w:rsid w:val="00214D77"/>
    <w:pPr>
      <w:widowControl w:val="0"/>
      <w:spacing w:before="0" w:after="240"/>
      <w:contextualSpacing/>
      <w:jc w:val="left"/>
    </w:pPr>
    <w:rPr>
      <w:rFonts w:ascii="Arial Narrow" w:eastAsia="Times New Roman" w:hAnsi="Arial Narrow" w:cs="Arial"/>
      <w:snapToGrid w:val="0"/>
      <w:sz w:val="18"/>
      <w:szCs w:val="20"/>
    </w:rPr>
  </w:style>
  <w:style w:type="character" w:customStyle="1" w:styleId="Tablenotes1Char">
    <w:name w:val="Tablenotes 1 Char"/>
    <w:basedOn w:val="DefaultParagraphFont"/>
    <w:link w:val="Tablenotes1"/>
    <w:rsid w:val="00214D77"/>
    <w:rPr>
      <w:rFonts w:ascii="Arial Narrow" w:eastAsia="Times New Roman" w:hAnsi="Arial Narrow" w:cs="Arial"/>
      <w:snapToGrid w:val="0"/>
      <w:sz w:val="18"/>
      <w:szCs w:val="20"/>
    </w:rPr>
  </w:style>
  <w:style w:type="numbering" w:customStyle="1" w:styleId="Heading1a">
    <w:name w:val="Heading 1a"/>
    <w:basedOn w:val="NoList"/>
    <w:uiPriority w:val="99"/>
    <w:rsid w:val="00214D77"/>
    <w:pPr>
      <w:numPr>
        <w:numId w:val="42"/>
      </w:numPr>
    </w:pPr>
  </w:style>
  <w:style w:type="paragraph" w:customStyle="1" w:styleId="Tabletext-left">
    <w:name w:val="Table text - left"/>
    <w:basedOn w:val="Normal"/>
    <w:link w:val="Tabletext-leftChar"/>
    <w:rsid w:val="00214D77"/>
    <w:pPr>
      <w:keepNext/>
      <w:tabs>
        <w:tab w:val="left" w:pos="2835"/>
      </w:tabs>
      <w:spacing w:after="120" w:line="312" w:lineRule="auto"/>
    </w:pPr>
    <w:rPr>
      <w:rFonts w:eastAsia="Times New Roman" w:cs="Arial"/>
      <w:sz w:val="20"/>
      <w:szCs w:val="20"/>
    </w:rPr>
  </w:style>
  <w:style w:type="character" w:customStyle="1" w:styleId="Tabletext-leftChar">
    <w:name w:val="Table text - left Char"/>
    <w:basedOn w:val="DefaultParagraphFont"/>
    <w:link w:val="Tabletext-left"/>
    <w:rsid w:val="00214D77"/>
    <w:rPr>
      <w:rFonts w:eastAsia="Times New Roman" w:cs="Arial"/>
      <w:sz w:val="20"/>
      <w:szCs w:val="20"/>
    </w:rPr>
  </w:style>
  <w:style w:type="table" w:customStyle="1" w:styleId="TableGrid9">
    <w:name w:val="Table Grid9"/>
    <w:basedOn w:val="TableNormal"/>
    <w:next w:val="TableGrid"/>
    <w:uiPriority w:val="39"/>
    <w:rsid w:val="00214D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14D77"/>
    <w:rPr>
      <w:color w:val="605E5C"/>
      <w:shd w:val="clear" w:color="auto" w:fill="E1DFDD"/>
    </w:rPr>
  </w:style>
  <w:style w:type="table" w:customStyle="1" w:styleId="TableGrid17">
    <w:name w:val="Table Grid 17"/>
    <w:basedOn w:val="TableNormal"/>
    <w:next w:val="TableGrid1"/>
    <w:uiPriority w:val="99"/>
    <w:semiHidden/>
    <w:unhideWhenUsed/>
    <w:rsid w:val="00214D77"/>
    <w:pPr>
      <w:spacing w:after="0" w:line="240" w:lineRule="auto"/>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1">
    <w:name w:val="Title1"/>
    <w:basedOn w:val="Heading1"/>
    <w:link w:val="titleChar"/>
    <w:qFormat/>
    <w:rsid w:val="00E00E4E"/>
    <w:pPr>
      <w:keepNext w:val="0"/>
      <w:keepLines w:val="0"/>
      <w:widowControl w:val="0"/>
      <w:numPr>
        <w:numId w:val="0"/>
      </w:numPr>
      <w:tabs>
        <w:tab w:val="left" w:pos="1134"/>
      </w:tabs>
      <w:spacing w:before="0" w:after="0" w:line="240" w:lineRule="auto"/>
      <w:ind w:left="1134" w:hanging="1134"/>
      <w:jc w:val="both"/>
    </w:pPr>
    <w:rPr>
      <w:rFonts w:ascii="Calibri" w:eastAsia="Times New Roman" w:hAnsi="Calibri" w:cstheme="minorHAnsi"/>
      <w:caps/>
      <w:snapToGrid w:val="0"/>
      <w:sz w:val="36"/>
      <w:szCs w:val="36"/>
    </w:rPr>
  </w:style>
  <w:style w:type="character" w:customStyle="1" w:styleId="titleChar">
    <w:name w:val="title Char"/>
    <w:basedOn w:val="Heading1Char"/>
    <w:link w:val="Title1"/>
    <w:rsid w:val="00E00E4E"/>
    <w:rPr>
      <w:rFonts w:ascii="Calibri" w:eastAsia="Times New Roman" w:hAnsi="Calibri" w:cstheme="minorHAnsi"/>
      <w:b/>
      <w:caps/>
      <w:snapToGrid w:val="0"/>
      <w:sz w:val="36"/>
      <w:szCs w:val="36"/>
    </w:rPr>
  </w:style>
  <w:style w:type="character" w:customStyle="1" w:styleId="3-BodyTextChar">
    <w:name w:val="3-Body Text Char"/>
    <w:basedOn w:val="DefaultParagraphFont"/>
    <w:link w:val="3-BodyText"/>
    <w:locked/>
    <w:rsid w:val="00D02805"/>
    <w:rPr>
      <w:rFonts w:ascii="Calibri" w:eastAsia="Calibri" w:hAnsi="Calibri" w:cs="Times New Roman"/>
      <w:sz w:val="24"/>
    </w:rPr>
  </w:style>
  <w:style w:type="paragraph" w:customStyle="1" w:styleId="3-BodyText">
    <w:name w:val="3-Body Text"/>
    <w:link w:val="3-BodyTextChar"/>
    <w:qFormat/>
    <w:rsid w:val="00D02805"/>
    <w:pPr>
      <w:numPr>
        <w:ilvl w:val="1"/>
        <w:numId w:val="102"/>
      </w:numPr>
      <w:spacing w:after="120" w:line="240" w:lineRule="auto"/>
      <w:jc w:val="both"/>
    </w:pPr>
    <w:rPr>
      <w:rFonts w:ascii="Calibri" w:eastAsia="Calibri" w:hAnsi="Calibri" w:cs="Times New Roman"/>
      <w:sz w:val="24"/>
    </w:rPr>
  </w:style>
  <w:style w:type="character" w:customStyle="1" w:styleId="TableFigureFooterChar">
    <w:name w:val="Table/Figure Footer Char"/>
    <w:link w:val="TableFigureFooter"/>
    <w:locked/>
    <w:rsid w:val="00577A6F"/>
    <w:rPr>
      <w:rFonts w:ascii="Arial Narrow" w:eastAsia="Times New Roman" w:hAnsi="Arial Narrow" w:cs="Arial"/>
      <w:sz w:val="18"/>
      <w:lang w:eastAsia="en-AU"/>
    </w:rPr>
  </w:style>
  <w:style w:type="paragraph" w:customStyle="1" w:styleId="TableFigureFooter">
    <w:name w:val="Table/Figure Footer"/>
    <w:basedOn w:val="Normal"/>
    <w:link w:val="TableFigureFooterChar"/>
    <w:qFormat/>
    <w:rsid w:val="00577A6F"/>
    <w:pPr>
      <w:snapToGrid w:val="0"/>
      <w:spacing w:before="0" w:after="120"/>
      <w:contextualSpacing/>
    </w:pPr>
    <w:rPr>
      <w:rFonts w:ascii="Arial Narrow" w:eastAsia="Times New Roman" w:hAnsi="Arial Narrow" w:cs="Arial"/>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66710492">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507673851">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10238365">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australianclinicaltrials.gov.au/anzctr/trial/ACTRN12619001147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9297C-3089-4D2F-A492-6FE29CBB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27145</Words>
  <Characters>154733</Characters>
  <Application>Microsoft Office Word</Application>
  <DocSecurity>0</DocSecurity>
  <Lines>1289</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2022-03-11T01:27:00Z</dcterms:created>
  <dcterms:modified xsi:type="dcterms:W3CDTF">2022-03-11T04:21:00Z</dcterms:modified>
</cp:coreProperties>
</file>