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E01AF" w14:textId="53A5EE34" w:rsidR="00A042A9" w:rsidRDefault="00A042A9" w:rsidP="00A042A9">
      <w:pPr>
        <w:pStyle w:val="1-MainHeading"/>
      </w:pPr>
      <w:bookmarkStart w:id="0" w:name="_Toc22898842"/>
      <w:bookmarkStart w:id="1" w:name="_Toc82598876"/>
      <w:bookmarkStart w:id="2" w:name="_Hlk81850277"/>
      <w:bookmarkStart w:id="3" w:name="_Hlk82444631"/>
      <w:r>
        <w:t>7.08</w:t>
      </w:r>
      <w:r>
        <w:tab/>
      </w:r>
      <w:r w:rsidRPr="0083377E">
        <w:rPr>
          <w:caps/>
        </w:rPr>
        <w:t>Olaparib</w:t>
      </w:r>
      <w:r>
        <w:t>,</w:t>
      </w:r>
      <w:r>
        <w:br/>
        <w:t>Tablet 150 mg,</w:t>
      </w:r>
      <w:r w:rsidR="0008168C">
        <w:t xml:space="preserve"> </w:t>
      </w:r>
      <w:r>
        <w:t>Table</w:t>
      </w:r>
      <w:r w:rsidR="0008168C">
        <w:t>t</w:t>
      </w:r>
      <w:r>
        <w:t xml:space="preserve"> 100 mg,</w:t>
      </w:r>
      <w:r>
        <w:br/>
        <w:t>Lynparza</w:t>
      </w:r>
      <w:r w:rsidRPr="004A6040">
        <w:rPr>
          <w:vertAlign w:val="superscript"/>
        </w:rPr>
        <w:t>®</w:t>
      </w:r>
      <w:r w:rsidRPr="004A6040">
        <w:t>,</w:t>
      </w:r>
      <w:r w:rsidRPr="004A6040">
        <w:br/>
      </w:r>
      <w:r>
        <w:t>AstraZeneca Pty Ltd</w:t>
      </w:r>
      <w:bookmarkEnd w:id="0"/>
      <w:bookmarkEnd w:id="1"/>
    </w:p>
    <w:p w14:paraId="5B139799" w14:textId="77777777" w:rsidR="00A042A9" w:rsidRPr="003A2453" w:rsidRDefault="00A042A9" w:rsidP="00A042A9">
      <w:pPr>
        <w:pStyle w:val="PBACESHeading1"/>
      </w:pPr>
      <w:bookmarkStart w:id="4" w:name="_Toc82376334"/>
      <w:bookmarkStart w:id="5" w:name="_Toc82376347"/>
      <w:bookmarkStart w:id="6" w:name="_Toc82376425"/>
      <w:bookmarkStart w:id="7" w:name="_Toc82376426"/>
      <w:bookmarkStart w:id="8" w:name="_Toc58779747"/>
      <w:bookmarkStart w:id="9" w:name="_Toc82598877"/>
      <w:bookmarkEnd w:id="2"/>
      <w:bookmarkEnd w:id="4"/>
      <w:bookmarkEnd w:id="5"/>
      <w:bookmarkEnd w:id="6"/>
      <w:bookmarkEnd w:id="7"/>
      <w:r w:rsidRPr="003A2453">
        <w:t>Purpose of submission</w:t>
      </w:r>
      <w:bookmarkEnd w:id="8"/>
      <w:bookmarkEnd w:id="9"/>
    </w:p>
    <w:p w14:paraId="19ABC0B2" w14:textId="77777777" w:rsidR="00A042A9" w:rsidRDefault="00A042A9" w:rsidP="00A2713C">
      <w:pPr>
        <w:pStyle w:val="ListParagraph"/>
        <w:ind w:left="709"/>
      </w:pPr>
      <w:r>
        <w:t xml:space="preserve">The streamlined codependent </w:t>
      </w:r>
      <w:r w:rsidR="005078DD">
        <w:t>standard re-entry re</w:t>
      </w:r>
      <w:r>
        <w:t>submission requested a General Schedule Authority Required Telephone</w:t>
      </w:r>
      <w:r w:rsidR="00A1675F">
        <w:t>/online</w:t>
      </w:r>
      <w:r>
        <w:t xml:space="preserve"> (initial</w:t>
      </w:r>
      <w:r w:rsidR="00A1675F">
        <w:t xml:space="preserve"> treatment</w:t>
      </w:r>
      <w:r>
        <w:t>) and Streamlined (continuing</w:t>
      </w:r>
      <w:r w:rsidR="00A1675F">
        <w:t xml:space="preserve"> treatment</w:t>
      </w:r>
      <w:r>
        <w:t>) listing for treatment with olaparib in</w:t>
      </w:r>
      <w:r w:rsidR="00A1675F">
        <w:t xml:space="preserve"> patients with metastatic castration resistant prostate cancer</w:t>
      </w:r>
      <w:r>
        <w:t xml:space="preserve"> </w:t>
      </w:r>
      <w:r w:rsidR="00A1675F">
        <w:t>(</w:t>
      </w:r>
      <w:r>
        <w:t>mCRPC</w:t>
      </w:r>
      <w:r w:rsidR="00A1675F">
        <w:t>)</w:t>
      </w:r>
      <w:r>
        <w:t xml:space="preserve"> </w:t>
      </w:r>
      <w:r w:rsidR="00A1675F">
        <w:t>where there is</w:t>
      </w:r>
      <w:r>
        <w:t xml:space="preserve"> evidence of </w:t>
      </w:r>
      <w:r w:rsidR="00A1675F">
        <w:t xml:space="preserve">a </w:t>
      </w:r>
      <w:r>
        <w:t>BRCA1/2 pathogenic variant.</w:t>
      </w:r>
      <w:r w:rsidRPr="003A2453">
        <w:t xml:space="preserve"> </w:t>
      </w:r>
      <w:r>
        <w:t>The first integrated codependent submission was considered by PBAC and MSAC in March 2021.</w:t>
      </w:r>
    </w:p>
    <w:p w14:paraId="6D0C26A8" w14:textId="77777777" w:rsidR="00A042A9" w:rsidRDefault="00A042A9" w:rsidP="00A2713C">
      <w:pPr>
        <w:pStyle w:val="ListParagraph"/>
        <w:ind w:left="709"/>
      </w:pPr>
      <w:r>
        <w:t xml:space="preserve">A minor resubmission was also submitted to MSAC requesting a Medicare Benefits Schedule (MBS) listing of next generation sequencing (NGS) for the evaluation of BRCA1/2 pathogenic or likely pathogenic gene variants (abbreviated to pathogenic variants from herein) to determine eligibility for treatment with olaparib in patients with metastatic castration resistant prostate cancer (mCRPC). The MSAC previously </w:t>
      </w:r>
      <w:r w:rsidRPr="00AB5ECD">
        <w:rPr>
          <w:szCs w:val="20"/>
        </w:rPr>
        <w:t xml:space="preserve">deferred its decision regarding testing for </w:t>
      </w:r>
      <w:r w:rsidRPr="008A4199">
        <w:rPr>
          <w:iCs/>
          <w:szCs w:val="20"/>
        </w:rPr>
        <w:t>BRCA1/2</w:t>
      </w:r>
      <w:r w:rsidRPr="00AB5ECD">
        <w:rPr>
          <w:szCs w:val="20"/>
        </w:rPr>
        <w:t xml:space="preserve"> pathogenic </w:t>
      </w:r>
      <w:r>
        <w:t xml:space="preserve">gene </w:t>
      </w:r>
      <w:r w:rsidRPr="00AB5ECD">
        <w:rPr>
          <w:szCs w:val="20"/>
        </w:rPr>
        <w:t xml:space="preserve">variants in </w:t>
      </w:r>
      <w:r>
        <w:rPr>
          <w:szCs w:val="20"/>
        </w:rPr>
        <w:t xml:space="preserve">tumour </w:t>
      </w:r>
      <w:r w:rsidRPr="00AB5ECD">
        <w:rPr>
          <w:szCs w:val="20"/>
        </w:rPr>
        <w:t xml:space="preserve">tissue from men with metastatic castration-resistant prostate cancer. MSAC foreshadowed that it would </w:t>
      </w:r>
      <w:r>
        <w:rPr>
          <w:szCs w:val="20"/>
        </w:rPr>
        <w:t>rapidly</w:t>
      </w:r>
      <w:r w:rsidRPr="00AB5ECD">
        <w:rPr>
          <w:szCs w:val="20"/>
        </w:rPr>
        <w:t xml:space="preserve"> reconsider this testing if </w:t>
      </w:r>
      <w:r>
        <w:rPr>
          <w:szCs w:val="20"/>
        </w:rPr>
        <w:t>the Pharmaceutical Benefits Advisory Committee (</w:t>
      </w:r>
      <w:r w:rsidRPr="00AB5ECD">
        <w:rPr>
          <w:szCs w:val="20"/>
        </w:rPr>
        <w:t>PBAC</w:t>
      </w:r>
      <w:r>
        <w:rPr>
          <w:szCs w:val="20"/>
        </w:rPr>
        <w:t>)</w:t>
      </w:r>
      <w:r w:rsidRPr="00AB5ECD">
        <w:rPr>
          <w:szCs w:val="20"/>
        </w:rPr>
        <w:t xml:space="preserve"> recommends olaparib for those patients in this population in whom a </w:t>
      </w:r>
      <w:r w:rsidRPr="008A4199">
        <w:rPr>
          <w:iCs/>
          <w:szCs w:val="20"/>
        </w:rPr>
        <w:t>BRCA1/2</w:t>
      </w:r>
      <w:r w:rsidRPr="00AB5ECD">
        <w:rPr>
          <w:szCs w:val="20"/>
        </w:rPr>
        <w:t xml:space="preserve"> pathogenic</w:t>
      </w:r>
      <w:r w:rsidRPr="00F97785">
        <w:t xml:space="preserve"> </w:t>
      </w:r>
      <w:r>
        <w:t>gene</w:t>
      </w:r>
      <w:r w:rsidRPr="00AB5ECD">
        <w:rPr>
          <w:szCs w:val="20"/>
        </w:rPr>
        <w:t xml:space="preserve"> variant is detected</w:t>
      </w:r>
      <w:r>
        <w:rPr>
          <w:szCs w:val="20"/>
        </w:rPr>
        <w:t xml:space="preserve"> (</w:t>
      </w:r>
      <w:r w:rsidR="001802CD">
        <w:t>Public Summary Document</w:t>
      </w:r>
      <w:r w:rsidR="001802CD">
        <w:rPr>
          <w:szCs w:val="20"/>
        </w:rPr>
        <w:t xml:space="preserve"> (</w:t>
      </w:r>
      <w:r>
        <w:rPr>
          <w:szCs w:val="20"/>
        </w:rPr>
        <w:t>PSD</w:t>
      </w:r>
      <w:r w:rsidR="001802CD">
        <w:rPr>
          <w:szCs w:val="20"/>
        </w:rPr>
        <w:t>)</w:t>
      </w:r>
      <w:r>
        <w:rPr>
          <w:szCs w:val="20"/>
        </w:rPr>
        <w:t xml:space="preserve"> Application 1618, March 2021)</w:t>
      </w:r>
      <w:r w:rsidRPr="00AB5ECD">
        <w:rPr>
          <w:szCs w:val="20"/>
        </w:rPr>
        <w:t>.</w:t>
      </w:r>
    </w:p>
    <w:p w14:paraId="0633EB81" w14:textId="77777777" w:rsidR="00A042A9" w:rsidRPr="00AB515A" w:rsidRDefault="00A042A9" w:rsidP="00A2713C">
      <w:pPr>
        <w:pStyle w:val="ListParagraph"/>
        <w:ind w:left="709"/>
        <w:rPr>
          <w:iCs/>
        </w:rPr>
      </w:pPr>
      <w:r w:rsidRPr="00AB515A">
        <w:rPr>
          <w:iCs/>
        </w:rPr>
        <w:t>Compared to the March 2021 submission, the key change in this resubmission was the nomination</w:t>
      </w:r>
      <w:r w:rsidRPr="00AB515A">
        <w:rPr>
          <w:rFonts w:ascii="Times New Roman" w:eastAsiaTheme="minorHAnsi" w:hAnsi="Times New Roman" w:cstheme="minorBidi"/>
          <w:iCs/>
          <w:szCs w:val="22"/>
          <w:lang w:eastAsia="en-US"/>
        </w:rPr>
        <w:t xml:space="preserve"> </w:t>
      </w:r>
      <w:r w:rsidRPr="00AB515A">
        <w:rPr>
          <w:iCs/>
        </w:rPr>
        <w:t xml:space="preserve">of </w:t>
      </w:r>
      <w:r w:rsidR="0049425A" w:rsidRPr="00AB515A">
        <w:rPr>
          <w:iCs/>
        </w:rPr>
        <w:t xml:space="preserve">standard of care (SOC) comprised of </w:t>
      </w:r>
      <w:r w:rsidRPr="00AB515A">
        <w:rPr>
          <w:iCs/>
        </w:rPr>
        <w:t>best supportive care (BSC) and cabazitaxel (75:25 split) as comparators instead of the physician’s choice of a novel hormonal agent (NHA) nominated in the March 2021 submission.</w:t>
      </w:r>
    </w:p>
    <w:p w14:paraId="10DE59B5" w14:textId="77777777" w:rsidR="00A042A9" w:rsidRPr="00CA4838" w:rsidRDefault="00A042A9" w:rsidP="00A2713C">
      <w:pPr>
        <w:pStyle w:val="ListParagraph"/>
        <w:ind w:left="709"/>
      </w:pPr>
      <w:r w:rsidRPr="00CA4838">
        <w:t xml:space="preserve">Listing was requested on the basis of a cost-utility analysis versus the comparators. The key components of the clinical issue addressed by the submission are presented in Table 1. </w:t>
      </w:r>
    </w:p>
    <w:p w14:paraId="3D241DD1" w14:textId="77777777" w:rsidR="00A042A9" w:rsidRPr="00CA4838" w:rsidRDefault="00A042A9" w:rsidP="001B37A3">
      <w:pPr>
        <w:pStyle w:val="Caption"/>
      </w:pPr>
      <w:r w:rsidRPr="00CA4838">
        <w:t>Table</w:t>
      </w:r>
      <w:r>
        <w:t xml:space="preserve"> </w:t>
      </w:r>
      <w:r w:rsidR="007C5E46">
        <w:rPr>
          <w:noProof/>
        </w:rPr>
        <w:t>1</w:t>
      </w:r>
      <w:r w:rsidR="004A4197">
        <w:rPr>
          <w:noProof/>
        </w:rPr>
        <w:t>:</w:t>
      </w:r>
      <w:r w:rsidR="004A4197">
        <w:t xml:space="preserve"> </w:t>
      </w:r>
      <w:r w:rsidRPr="00CA4838">
        <w:t>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w:tblPr>
      <w:tblGrid>
        <w:gridCol w:w="1129"/>
        <w:gridCol w:w="7887"/>
      </w:tblGrid>
      <w:tr w:rsidR="00A042A9" w:rsidRPr="00CA4838" w14:paraId="69819091" w14:textId="77777777" w:rsidTr="00ED665A">
        <w:trPr>
          <w:cnfStyle w:val="100000000000" w:firstRow="1" w:lastRow="0" w:firstColumn="0" w:lastColumn="0" w:oddVBand="0" w:evenVBand="0" w:oddHBand="0" w:evenHBand="0" w:firstRowFirstColumn="0" w:firstRowLastColumn="0" w:lastRowFirstColumn="0" w:lastRowLastColumn="0"/>
          <w:cantSplit/>
          <w:tblHeader/>
        </w:trPr>
        <w:tc>
          <w:tcPr>
            <w:tcW w:w="1129" w:type="dxa"/>
            <w:shd w:val="clear" w:color="auto" w:fill="auto"/>
          </w:tcPr>
          <w:p w14:paraId="2D98A315" w14:textId="77777777" w:rsidR="00A042A9" w:rsidRPr="00CA4838" w:rsidRDefault="00A042A9" w:rsidP="00AB7459">
            <w:pPr>
              <w:pStyle w:val="TableText"/>
              <w:keepNext/>
              <w:spacing w:before="0" w:after="0" w:line="240" w:lineRule="auto"/>
              <w:rPr>
                <w:lang w:val="en-AU"/>
              </w:rPr>
            </w:pPr>
            <w:r w:rsidRPr="00CA4838">
              <w:rPr>
                <w:lang w:val="en-AU"/>
              </w:rPr>
              <w:t>Component</w:t>
            </w:r>
          </w:p>
        </w:tc>
        <w:tc>
          <w:tcPr>
            <w:tcW w:w="7887" w:type="dxa"/>
            <w:shd w:val="clear" w:color="auto" w:fill="auto"/>
          </w:tcPr>
          <w:p w14:paraId="53B53365" w14:textId="77777777" w:rsidR="00A042A9" w:rsidRPr="00CA4838" w:rsidRDefault="00A042A9" w:rsidP="00AB7459">
            <w:pPr>
              <w:pStyle w:val="TableText"/>
              <w:keepNext/>
              <w:spacing w:before="0" w:after="0" w:line="240" w:lineRule="auto"/>
              <w:rPr>
                <w:lang w:val="en-AU"/>
              </w:rPr>
            </w:pPr>
            <w:r w:rsidRPr="00CA4838">
              <w:rPr>
                <w:lang w:val="en-AU"/>
              </w:rPr>
              <w:t>Description</w:t>
            </w:r>
          </w:p>
        </w:tc>
      </w:tr>
      <w:tr w:rsidR="00A042A9" w:rsidRPr="00CA4838" w14:paraId="554ECAEF" w14:textId="77777777" w:rsidTr="00ED665A">
        <w:trPr>
          <w:cantSplit/>
        </w:trPr>
        <w:tc>
          <w:tcPr>
            <w:tcW w:w="1129" w:type="dxa"/>
            <w:shd w:val="clear" w:color="auto" w:fill="BDD6EE" w:themeFill="accent1" w:themeFillTint="66"/>
            <w:vAlign w:val="center"/>
          </w:tcPr>
          <w:p w14:paraId="2A93F394" w14:textId="77777777" w:rsidR="00A042A9" w:rsidRPr="00CA4838" w:rsidRDefault="00A042A9" w:rsidP="00AB7459">
            <w:pPr>
              <w:pStyle w:val="TableText"/>
              <w:keepNext/>
              <w:spacing w:before="0" w:after="0" w:line="240" w:lineRule="auto"/>
              <w:rPr>
                <w:lang w:val="en-AU"/>
              </w:rPr>
            </w:pPr>
            <w:r w:rsidRPr="00CA4838">
              <w:rPr>
                <w:lang w:val="en-AU"/>
              </w:rPr>
              <w:t>Population</w:t>
            </w:r>
          </w:p>
        </w:tc>
        <w:tc>
          <w:tcPr>
            <w:tcW w:w="7887" w:type="dxa"/>
            <w:shd w:val="clear" w:color="auto" w:fill="BDD6EE" w:themeFill="accent1" w:themeFillTint="66"/>
            <w:vAlign w:val="center"/>
          </w:tcPr>
          <w:p w14:paraId="08F433A2" w14:textId="77777777" w:rsidR="00A042A9" w:rsidRPr="00CA4838" w:rsidRDefault="00A042A9" w:rsidP="00AB7459">
            <w:pPr>
              <w:pStyle w:val="TableText"/>
              <w:keepNext/>
              <w:spacing w:before="0" w:after="0" w:line="240" w:lineRule="auto"/>
              <w:rPr>
                <w:lang w:val="en-AU"/>
              </w:rPr>
            </w:pPr>
            <w:r w:rsidRPr="00CA4838">
              <w:rPr>
                <w:u w:val="single"/>
                <w:lang w:val="en-AU"/>
              </w:rPr>
              <w:t>Test:</w:t>
            </w:r>
            <w:r w:rsidRPr="00CA4838">
              <w:rPr>
                <w:lang w:val="en-AU"/>
              </w:rPr>
              <w:t xml:space="preserve"> Patients diagnosed with metastatic castration-resistant prostate cancer (mCRPC).</w:t>
            </w:r>
          </w:p>
          <w:p w14:paraId="1B6D908A" w14:textId="77777777" w:rsidR="00A042A9" w:rsidRPr="00CA4838" w:rsidRDefault="00A042A9" w:rsidP="00AB7459">
            <w:pPr>
              <w:pStyle w:val="TableText"/>
              <w:keepNext/>
              <w:spacing w:before="0" w:after="0" w:line="240" w:lineRule="auto"/>
              <w:rPr>
                <w:lang w:val="en-AU"/>
              </w:rPr>
            </w:pPr>
            <w:r w:rsidRPr="00CA4838">
              <w:rPr>
                <w:u w:val="single"/>
                <w:lang w:val="en-AU"/>
              </w:rPr>
              <w:t>Treatment:</w:t>
            </w:r>
            <w:r w:rsidRPr="00CA4838">
              <w:rPr>
                <w:lang w:val="en-AU"/>
              </w:rPr>
              <w:t xml:space="preserve"> Patients with mCRPC who have failed first- or second-line physician choice of NHA treatment and have pathogenic or likely pathogenic </w:t>
            </w:r>
            <w:r w:rsidRPr="008A4199">
              <w:t>BRCA1/2</w:t>
            </w:r>
            <w:r w:rsidRPr="00CA4838">
              <w:rPr>
                <w:lang w:val="en-AU"/>
              </w:rPr>
              <w:t xml:space="preserve"> gene variants in tumour tissue.</w:t>
            </w:r>
          </w:p>
        </w:tc>
      </w:tr>
      <w:tr w:rsidR="00A042A9" w:rsidRPr="00CA4838" w14:paraId="50E56DC7" w14:textId="77777777" w:rsidTr="00ED665A">
        <w:trPr>
          <w:cantSplit/>
        </w:trPr>
        <w:tc>
          <w:tcPr>
            <w:tcW w:w="1129" w:type="dxa"/>
            <w:shd w:val="clear" w:color="auto" w:fill="auto"/>
            <w:vAlign w:val="center"/>
          </w:tcPr>
          <w:p w14:paraId="4ACC13A2" w14:textId="77777777" w:rsidR="00A042A9" w:rsidRPr="00CA4838" w:rsidRDefault="00A042A9" w:rsidP="00AB7459">
            <w:pPr>
              <w:pStyle w:val="TableText"/>
              <w:keepNext/>
              <w:spacing w:before="0" w:after="0" w:line="240" w:lineRule="auto"/>
              <w:rPr>
                <w:lang w:val="en-AU"/>
              </w:rPr>
            </w:pPr>
            <w:r w:rsidRPr="00CA4838">
              <w:rPr>
                <w:lang w:val="en-AU"/>
              </w:rPr>
              <w:t>Prior tests</w:t>
            </w:r>
          </w:p>
        </w:tc>
        <w:tc>
          <w:tcPr>
            <w:tcW w:w="7887" w:type="dxa"/>
            <w:shd w:val="clear" w:color="auto" w:fill="auto"/>
            <w:vAlign w:val="center"/>
          </w:tcPr>
          <w:p w14:paraId="1219FB68" w14:textId="77777777" w:rsidR="00A042A9" w:rsidRPr="00CA4838" w:rsidRDefault="00A042A9" w:rsidP="00AB7459">
            <w:pPr>
              <w:pStyle w:val="TableBullet"/>
              <w:keepNext/>
              <w:numPr>
                <w:ilvl w:val="0"/>
                <w:numId w:val="0"/>
              </w:numPr>
              <w:spacing w:before="0" w:after="0" w:line="240" w:lineRule="auto"/>
              <w:rPr>
                <w:lang w:val="en-AU"/>
              </w:rPr>
            </w:pPr>
            <w:r w:rsidRPr="00CA4838">
              <w:rPr>
                <w:lang w:val="en-AU"/>
              </w:rPr>
              <w:t xml:space="preserve">Tests to diagnose prostate cancer (initial examination can include physical examination and medical history, digital rectal examination, blood test to check for prostate-specific antigen, a transrectal ultrasound, magnetic resonance imaging). Tests to diagnose mCRPC could include prostate-specific antigen (PSA), bone and CT scans, PSMA PET scan (privately funded). </w:t>
            </w:r>
          </w:p>
          <w:p w14:paraId="09CE7830" w14:textId="77777777" w:rsidR="00A042A9" w:rsidRPr="00CA4838" w:rsidRDefault="00A042A9" w:rsidP="00AB7459">
            <w:pPr>
              <w:pStyle w:val="TableText"/>
              <w:keepNext/>
              <w:spacing w:before="0" w:after="0" w:line="240" w:lineRule="auto"/>
              <w:rPr>
                <w:szCs w:val="20"/>
                <w:u w:val="single"/>
                <w:lang w:val="en-AU"/>
              </w:rPr>
            </w:pPr>
            <w:r w:rsidRPr="00CA4838">
              <w:rPr>
                <w:lang w:val="en-AU"/>
              </w:rPr>
              <w:t>Biopsy of tumour tissue.</w:t>
            </w:r>
          </w:p>
        </w:tc>
      </w:tr>
      <w:tr w:rsidR="00A042A9" w:rsidRPr="00CA4838" w14:paraId="48477F33" w14:textId="77777777" w:rsidTr="00ED665A">
        <w:trPr>
          <w:cantSplit/>
        </w:trPr>
        <w:tc>
          <w:tcPr>
            <w:tcW w:w="1129" w:type="dxa"/>
            <w:shd w:val="clear" w:color="auto" w:fill="BDD6EE" w:themeFill="accent1" w:themeFillTint="66"/>
            <w:vAlign w:val="center"/>
          </w:tcPr>
          <w:p w14:paraId="0CB148CF" w14:textId="77777777" w:rsidR="00A042A9" w:rsidRPr="00CA4838" w:rsidRDefault="00A042A9" w:rsidP="00AB7459">
            <w:pPr>
              <w:pStyle w:val="TableText"/>
              <w:keepNext/>
              <w:spacing w:before="0" w:after="0" w:line="240" w:lineRule="auto"/>
              <w:rPr>
                <w:lang w:val="en-AU"/>
              </w:rPr>
            </w:pPr>
            <w:r w:rsidRPr="00CA4838">
              <w:rPr>
                <w:lang w:val="en-AU"/>
              </w:rPr>
              <w:t>Intervention</w:t>
            </w:r>
          </w:p>
        </w:tc>
        <w:tc>
          <w:tcPr>
            <w:tcW w:w="7887" w:type="dxa"/>
            <w:shd w:val="clear" w:color="auto" w:fill="BDD6EE" w:themeFill="accent1" w:themeFillTint="66"/>
            <w:vAlign w:val="center"/>
          </w:tcPr>
          <w:p w14:paraId="0842D4B1" w14:textId="77777777" w:rsidR="00A042A9" w:rsidRPr="00CA4838" w:rsidRDefault="00A042A9" w:rsidP="00AB7459">
            <w:pPr>
              <w:pStyle w:val="TableText"/>
              <w:keepNext/>
              <w:spacing w:before="0" w:after="0" w:line="240" w:lineRule="auto"/>
              <w:rPr>
                <w:lang w:val="en-AU"/>
              </w:rPr>
            </w:pPr>
            <w:r w:rsidRPr="00CA4838">
              <w:rPr>
                <w:szCs w:val="20"/>
                <w:u w:val="single"/>
                <w:lang w:val="en-AU"/>
              </w:rPr>
              <w:t>Test</w:t>
            </w:r>
            <w:r w:rsidRPr="00CA4838">
              <w:rPr>
                <w:szCs w:val="20"/>
                <w:lang w:val="en-AU"/>
              </w:rPr>
              <w:t xml:space="preserve">: Testing of tumour tissue to detect pathogenic </w:t>
            </w:r>
            <w:r w:rsidRPr="008A4199">
              <w:rPr>
                <w:szCs w:val="20"/>
              </w:rPr>
              <w:t>BRCA1/2</w:t>
            </w:r>
            <w:r w:rsidRPr="00CA4838">
              <w:rPr>
                <w:szCs w:val="20"/>
                <w:lang w:val="en-AU"/>
              </w:rPr>
              <w:t xml:space="preserve"> (breast cancer gene) gene variants to determine eligibility for OLA; germline </w:t>
            </w:r>
            <w:r w:rsidRPr="008A4199">
              <w:rPr>
                <w:iCs/>
                <w:szCs w:val="20"/>
              </w:rPr>
              <w:t>BRCA1/2</w:t>
            </w:r>
            <w:r w:rsidRPr="00CA4838">
              <w:rPr>
                <w:szCs w:val="20"/>
                <w:lang w:val="en-AU"/>
              </w:rPr>
              <w:t xml:space="preserve"> testing will be offered to patients depending on tumour tissue test outcome. </w:t>
            </w:r>
          </w:p>
          <w:p w14:paraId="06E63337" w14:textId="77777777" w:rsidR="00A042A9" w:rsidRPr="00CA4838" w:rsidRDefault="00A042A9" w:rsidP="00AB7459">
            <w:pPr>
              <w:pStyle w:val="TableText"/>
              <w:keepNext/>
              <w:spacing w:before="0" w:after="0" w:line="240" w:lineRule="auto"/>
              <w:rPr>
                <w:lang w:val="en-AU"/>
              </w:rPr>
            </w:pPr>
            <w:r w:rsidRPr="00CA4838">
              <w:rPr>
                <w:u w:val="single"/>
                <w:lang w:val="en-AU"/>
              </w:rPr>
              <w:t>Treatment</w:t>
            </w:r>
            <w:r w:rsidRPr="00CA4838">
              <w:rPr>
                <w:lang w:val="en-AU"/>
              </w:rPr>
              <w:t xml:space="preserve">: Olaparib 300mg (2×150mg) twice daily (total dose 600mg/day) for patients found to be positive for a selected </w:t>
            </w:r>
            <w:r w:rsidRPr="008A4199">
              <w:t>BRCA1/2</w:t>
            </w:r>
            <w:r w:rsidRPr="00CA4838">
              <w:rPr>
                <w:lang w:val="en-AU"/>
              </w:rPr>
              <w:t xml:space="preserve"> gene variant after failed treatment with physician’s choice of NHA. </w:t>
            </w:r>
          </w:p>
        </w:tc>
      </w:tr>
      <w:tr w:rsidR="00A042A9" w:rsidRPr="00CA4838" w14:paraId="79D3504B" w14:textId="77777777" w:rsidTr="00ED665A">
        <w:trPr>
          <w:cantSplit/>
          <w:trHeight w:val="603"/>
        </w:trPr>
        <w:tc>
          <w:tcPr>
            <w:tcW w:w="0" w:type="dxa"/>
            <w:shd w:val="clear" w:color="auto" w:fill="auto"/>
            <w:vAlign w:val="center"/>
          </w:tcPr>
          <w:p w14:paraId="79E7A689" w14:textId="77777777" w:rsidR="00A042A9" w:rsidRPr="00CA4838" w:rsidRDefault="00A042A9" w:rsidP="00AB7459">
            <w:pPr>
              <w:pStyle w:val="TableText"/>
              <w:keepNext/>
              <w:spacing w:before="0" w:after="0" w:line="240" w:lineRule="auto"/>
              <w:rPr>
                <w:lang w:val="en-AU"/>
              </w:rPr>
            </w:pPr>
            <w:r w:rsidRPr="00CA4838">
              <w:rPr>
                <w:lang w:val="en-AU"/>
              </w:rPr>
              <w:t>Comparator</w:t>
            </w:r>
          </w:p>
        </w:tc>
        <w:tc>
          <w:tcPr>
            <w:tcW w:w="0" w:type="dxa"/>
            <w:shd w:val="clear" w:color="auto" w:fill="auto"/>
            <w:vAlign w:val="center"/>
          </w:tcPr>
          <w:p w14:paraId="46ECBBE6" w14:textId="77777777" w:rsidR="00A042A9" w:rsidRPr="00CA4838" w:rsidRDefault="00A042A9" w:rsidP="00AB7459">
            <w:pPr>
              <w:pStyle w:val="TableText"/>
              <w:keepNext/>
              <w:spacing w:before="0" w:after="0" w:line="240" w:lineRule="auto"/>
              <w:rPr>
                <w:lang w:val="en-AU"/>
              </w:rPr>
            </w:pPr>
            <w:r w:rsidRPr="00CA4838">
              <w:rPr>
                <w:u w:val="single"/>
                <w:lang w:val="en-AU"/>
              </w:rPr>
              <w:t>Test:</w:t>
            </w:r>
            <w:r w:rsidRPr="00CA4838">
              <w:rPr>
                <w:lang w:val="en-AU"/>
              </w:rPr>
              <w:t xml:space="preserve"> No genetic testing.</w:t>
            </w:r>
          </w:p>
          <w:p w14:paraId="02F13037" w14:textId="77777777" w:rsidR="00A042A9" w:rsidRPr="00CA4838" w:rsidRDefault="00A042A9" w:rsidP="00AB7459">
            <w:pPr>
              <w:pStyle w:val="TableText"/>
              <w:keepNext/>
              <w:spacing w:before="0" w:after="0" w:line="240" w:lineRule="auto"/>
              <w:rPr>
                <w:lang w:val="en-AU"/>
              </w:rPr>
            </w:pPr>
            <w:r w:rsidRPr="006D54FE">
              <w:rPr>
                <w:u w:val="single"/>
                <w:lang w:val="en-AU"/>
              </w:rPr>
              <w:t>Treatment</w:t>
            </w:r>
            <w:r w:rsidRPr="00CA4838">
              <w:rPr>
                <w:lang w:val="en-AU"/>
              </w:rPr>
              <w:t xml:space="preserve">: mixed comparator comprised of </w:t>
            </w:r>
            <w:r w:rsidRPr="00CA4838">
              <w:rPr>
                <w:bCs/>
                <w:lang w:val="en-AU"/>
              </w:rPr>
              <w:t>BSC (primary) and cabazitaxel (secondary).</w:t>
            </w:r>
          </w:p>
        </w:tc>
      </w:tr>
      <w:tr w:rsidR="00A042A9" w:rsidRPr="00CA4838" w14:paraId="3B0F44C0" w14:textId="77777777" w:rsidTr="00ED665A">
        <w:trPr>
          <w:cantSplit/>
        </w:trPr>
        <w:tc>
          <w:tcPr>
            <w:tcW w:w="1129" w:type="dxa"/>
            <w:shd w:val="clear" w:color="auto" w:fill="BDD6EE" w:themeFill="accent1" w:themeFillTint="66"/>
            <w:vAlign w:val="center"/>
          </w:tcPr>
          <w:p w14:paraId="3ABC54CB" w14:textId="77777777" w:rsidR="00A042A9" w:rsidRPr="00CA4838" w:rsidRDefault="00A042A9" w:rsidP="00AB7459">
            <w:pPr>
              <w:pStyle w:val="TableText"/>
              <w:keepNext/>
              <w:spacing w:before="0" w:after="0" w:line="240" w:lineRule="auto"/>
              <w:rPr>
                <w:lang w:val="en-AU"/>
              </w:rPr>
            </w:pPr>
            <w:r w:rsidRPr="00CA4838">
              <w:rPr>
                <w:lang w:val="en-AU"/>
              </w:rPr>
              <w:t>Outcomes</w:t>
            </w:r>
          </w:p>
        </w:tc>
        <w:tc>
          <w:tcPr>
            <w:tcW w:w="7887" w:type="dxa"/>
            <w:shd w:val="clear" w:color="auto" w:fill="BDD6EE" w:themeFill="accent1" w:themeFillTint="66"/>
            <w:vAlign w:val="center"/>
          </w:tcPr>
          <w:p w14:paraId="660DD0C7" w14:textId="77777777" w:rsidR="00A042A9" w:rsidRPr="00CA4838" w:rsidRDefault="00A042A9" w:rsidP="00AB7459">
            <w:pPr>
              <w:pStyle w:val="TableText"/>
              <w:keepNext/>
              <w:spacing w:before="0" w:after="0" w:line="240" w:lineRule="auto"/>
              <w:rPr>
                <w:lang w:val="en-AU"/>
              </w:rPr>
            </w:pPr>
            <w:r w:rsidRPr="00CA4838">
              <w:rPr>
                <w:lang w:val="en-AU"/>
              </w:rPr>
              <w:t>OS, PFS, health-related QoL, AEs (drug and test), analytical and clinical validity of test.</w:t>
            </w:r>
          </w:p>
        </w:tc>
      </w:tr>
      <w:tr w:rsidR="00A042A9" w:rsidRPr="00CA4838" w14:paraId="07C1FF96" w14:textId="77777777" w:rsidTr="00ED665A">
        <w:trPr>
          <w:cantSplit/>
        </w:trPr>
        <w:tc>
          <w:tcPr>
            <w:tcW w:w="1129" w:type="dxa"/>
            <w:shd w:val="clear" w:color="auto" w:fill="auto"/>
            <w:vAlign w:val="center"/>
          </w:tcPr>
          <w:p w14:paraId="53CD4726" w14:textId="77777777" w:rsidR="00A042A9" w:rsidRPr="00CA4838" w:rsidRDefault="00A042A9" w:rsidP="00AB7459">
            <w:pPr>
              <w:pStyle w:val="TableText"/>
              <w:keepNext/>
              <w:spacing w:before="0" w:after="0" w:line="240" w:lineRule="auto"/>
              <w:rPr>
                <w:lang w:val="en-AU"/>
              </w:rPr>
            </w:pPr>
            <w:r w:rsidRPr="00CA4838">
              <w:rPr>
                <w:lang w:val="en-AU"/>
              </w:rPr>
              <w:t>Clinical claim</w:t>
            </w:r>
          </w:p>
        </w:tc>
        <w:tc>
          <w:tcPr>
            <w:tcW w:w="7887" w:type="dxa"/>
            <w:shd w:val="clear" w:color="auto" w:fill="auto"/>
            <w:vAlign w:val="center"/>
          </w:tcPr>
          <w:p w14:paraId="052F6F00" w14:textId="77777777" w:rsidR="00A042A9" w:rsidRPr="00CA4838" w:rsidRDefault="00A042A9" w:rsidP="00AB7459">
            <w:pPr>
              <w:pStyle w:val="TableText"/>
              <w:keepNext/>
              <w:spacing w:before="0" w:after="0" w:line="240" w:lineRule="auto"/>
              <w:rPr>
                <w:lang w:val="en-AU"/>
              </w:rPr>
            </w:pPr>
            <w:r w:rsidRPr="00CA4838">
              <w:rPr>
                <w:lang w:val="en-AU"/>
              </w:rPr>
              <w:t xml:space="preserve">For patients diagnosed with mCRPC who have failed first- or second-line NHA treatment and have a pathogenic or likely pathogenic </w:t>
            </w:r>
            <w:r w:rsidRPr="008A4199">
              <w:t>BRCA1/2</w:t>
            </w:r>
            <w:r w:rsidRPr="00CA4838">
              <w:rPr>
                <w:lang w:val="en-AU"/>
              </w:rPr>
              <w:t xml:space="preserve"> gene variant in tumour tissue or the germline, OLA is superior in efficacy to BSC, but inferior in safety. OLA is superior in efficacy to cabazitaxel and non-inferior in safety.</w:t>
            </w:r>
          </w:p>
        </w:tc>
      </w:tr>
    </w:tbl>
    <w:p w14:paraId="3876D3E4" w14:textId="77777777" w:rsidR="00A042A9" w:rsidRPr="00CA4838" w:rsidRDefault="00A042A9" w:rsidP="00A042A9">
      <w:pPr>
        <w:pStyle w:val="TableFooter"/>
      </w:pPr>
      <w:r w:rsidRPr="00CA4838">
        <w:t>Source: Table 1-1, pp39-40 of the resubmission.</w:t>
      </w:r>
    </w:p>
    <w:p w14:paraId="41ABA6B9" w14:textId="77777777" w:rsidR="00A042A9" w:rsidRPr="00CA4838" w:rsidRDefault="00A042A9" w:rsidP="00A042A9">
      <w:pPr>
        <w:pStyle w:val="TableFooter"/>
      </w:pPr>
      <w:r w:rsidRPr="00CA4838">
        <w:t xml:space="preserve">AEs=adverse events; </w:t>
      </w:r>
      <w:r w:rsidRPr="00976265">
        <w:rPr>
          <w:i/>
        </w:rPr>
        <w:t>BRCA1/2</w:t>
      </w:r>
      <w:r w:rsidRPr="00CA4838">
        <w:t>=breast cancer genes 1 and 2; BSC=best supportive care, CT=computed tomography,</w:t>
      </w:r>
      <w:r w:rsidRPr="00CA4838">
        <w:rPr>
          <w:rFonts w:ascii="ArialNarrow" w:hAnsi="ArialNarrow"/>
          <w:szCs w:val="18"/>
        </w:rPr>
        <w:t xml:space="preserve"> </w:t>
      </w:r>
      <w:r w:rsidRPr="00CA4838">
        <w:t xml:space="preserve">mCRPC=metastatic castration-resistant prostate cancer; NHA=novel hormonal agent; OS=overall survival; PFS=progression-free survival; PSMA PET=prostate specific membrane antigen positron emission tomography; QoL=quality of life, </w:t>
      </w:r>
    </w:p>
    <w:p w14:paraId="7127D953" w14:textId="77777777" w:rsidR="00A042A9" w:rsidRPr="00CA4838" w:rsidRDefault="00A042A9" w:rsidP="00A042A9">
      <w:pPr>
        <w:pStyle w:val="TableFooter"/>
        <w:shd w:val="clear" w:color="auto" w:fill="FFFFFF" w:themeFill="background1"/>
      </w:pPr>
      <w:r w:rsidRPr="00CA4838">
        <w:rPr>
          <w:shd w:val="clear" w:color="auto" w:fill="BDD6EE" w:themeFill="accent1" w:themeFillTint="66"/>
        </w:rPr>
        <w:t>Blue shading</w:t>
      </w:r>
      <w:r w:rsidRPr="00CA4838">
        <w:t xml:space="preserve"> represents information previously considered by the PBAC.</w:t>
      </w:r>
    </w:p>
    <w:p w14:paraId="20C9485B" w14:textId="77777777" w:rsidR="00A042A9" w:rsidRPr="00CA4838" w:rsidRDefault="00A042A9" w:rsidP="00A2713C">
      <w:pPr>
        <w:pStyle w:val="ListParagraph"/>
        <w:ind w:left="709"/>
        <w:rPr>
          <w:color w:val="auto"/>
        </w:rPr>
      </w:pPr>
      <w:r w:rsidRPr="00CA4838">
        <w:rPr>
          <w:color w:val="auto"/>
        </w:rPr>
        <w:t xml:space="preserve">The resubmission proposed that NGS tumour testing to identify </w:t>
      </w:r>
      <w:r w:rsidRPr="00AB515A">
        <w:rPr>
          <w:iCs/>
          <w:color w:val="auto"/>
        </w:rPr>
        <w:t>BRCA1/2</w:t>
      </w:r>
      <w:r w:rsidRPr="00137958">
        <w:rPr>
          <w:i/>
          <w:color w:val="auto"/>
        </w:rPr>
        <w:t xml:space="preserve"> </w:t>
      </w:r>
      <w:r w:rsidRPr="00CA4838">
        <w:rPr>
          <w:color w:val="auto"/>
        </w:rPr>
        <w:t xml:space="preserve">pathogenic gene </w:t>
      </w:r>
      <w:r w:rsidRPr="00A2713C">
        <w:t>variants</w:t>
      </w:r>
      <w:r w:rsidRPr="00CA4838">
        <w:rPr>
          <w:color w:val="auto"/>
        </w:rPr>
        <w:t xml:space="preserve"> would occur at diagnosis of mCRPC, with olaparib used as treatment option</w:t>
      </w:r>
      <w:r w:rsidRPr="00CA4838">
        <w:t xml:space="preserve"> for patients who have failed NHA treatment</w:t>
      </w:r>
      <w:r w:rsidRPr="00F52B1D">
        <w:rPr>
          <w:color w:val="auto"/>
        </w:rPr>
        <w:t xml:space="preserve">. </w:t>
      </w:r>
      <w:r w:rsidRPr="00F52B1D">
        <w:rPr>
          <w:iCs/>
          <w:color w:val="auto"/>
        </w:rPr>
        <w:t xml:space="preserve">If listed, olaparib will be the only non-chemotherapy </w:t>
      </w:r>
      <w:r w:rsidR="007F4733">
        <w:rPr>
          <w:iCs/>
          <w:color w:val="auto"/>
        </w:rPr>
        <w:t xml:space="preserve">PBS subsidised </w:t>
      </w:r>
      <w:r w:rsidRPr="00F52B1D">
        <w:rPr>
          <w:iCs/>
          <w:color w:val="auto"/>
        </w:rPr>
        <w:t>treatment available after failing NHA for patients with BRCA1/2 pathogenic variants.</w:t>
      </w:r>
      <w:r>
        <w:rPr>
          <w:i/>
          <w:iCs/>
          <w:color w:val="auto"/>
        </w:rPr>
        <w:t xml:space="preserve"> </w:t>
      </w:r>
    </w:p>
    <w:p w14:paraId="64E980A1" w14:textId="77777777" w:rsidR="00A042A9" w:rsidRPr="00CA4838" w:rsidRDefault="00A042A9" w:rsidP="00A042A9">
      <w:pPr>
        <w:pStyle w:val="PBACESHeading1"/>
      </w:pPr>
      <w:bookmarkStart w:id="10" w:name="_Toc487029150"/>
      <w:bookmarkStart w:id="11" w:name="_Toc58779749"/>
      <w:bookmarkStart w:id="12" w:name="_Toc82598878"/>
      <w:r w:rsidRPr="00CA4838">
        <w:t>Background</w:t>
      </w:r>
      <w:bookmarkEnd w:id="10"/>
      <w:bookmarkEnd w:id="11"/>
      <w:bookmarkEnd w:id="12"/>
    </w:p>
    <w:p w14:paraId="6CF89BD1" w14:textId="77777777" w:rsidR="00A042A9" w:rsidRPr="00330A70" w:rsidRDefault="00A042A9" w:rsidP="00A042A9">
      <w:pPr>
        <w:pStyle w:val="4-SubsectionHeading"/>
        <w:numPr>
          <w:ilvl w:val="2"/>
          <w:numId w:val="1"/>
        </w:numPr>
        <w:ind w:left="0" w:firstLine="0"/>
        <w:rPr>
          <w:rFonts w:asciiTheme="minorHAnsi" w:hAnsiTheme="minorHAnsi"/>
        </w:rPr>
      </w:pPr>
      <w:bookmarkStart w:id="13" w:name="_Toc58779750"/>
      <w:r w:rsidRPr="00330A70">
        <w:rPr>
          <w:rFonts w:asciiTheme="minorHAnsi" w:hAnsiTheme="minorHAnsi"/>
          <w:color w:val="auto"/>
        </w:rPr>
        <w:t>Registration status</w:t>
      </w:r>
      <w:bookmarkEnd w:id="13"/>
    </w:p>
    <w:p w14:paraId="187EA062" w14:textId="77777777" w:rsidR="00A042A9" w:rsidRPr="00CA4838" w:rsidRDefault="00A042A9" w:rsidP="00A2713C">
      <w:pPr>
        <w:pStyle w:val="ListParagraph"/>
        <w:ind w:left="709"/>
      </w:pPr>
      <w:r w:rsidRPr="00CA4838">
        <w:t xml:space="preserve">On 19th March 2021, the TGA approved olaparib for the following indication: “Treatment of adult patients with BRCA-mutated (germline and/or somatic) mCRPC who have progressed following prior therapy that included an NHA. BRCA mutation status should be determined by an experienced laboratory using a validated test method.” </w:t>
      </w:r>
    </w:p>
    <w:p w14:paraId="4CDB8207" w14:textId="77777777" w:rsidR="00A042A9" w:rsidRDefault="00A042A9" w:rsidP="00A2713C">
      <w:pPr>
        <w:pStyle w:val="ListParagraph"/>
        <w:ind w:left="709"/>
      </w:pPr>
      <w:r w:rsidRPr="00CA4838">
        <w:t>Olaparib received approval from the FDA on 19</w:t>
      </w:r>
      <w:r w:rsidRPr="00CA4838">
        <w:rPr>
          <w:vertAlign w:val="superscript"/>
        </w:rPr>
        <w:t>th</w:t>
      </w:r>
      <w:r w:rsidRPr="00CA4838">
        <w:t xml:space="preserve"> May 2020 for treatment of adult patients with germline or somatic </w:t>
      </w:r>
      <w:r w:rsidR="00662C1B">
        <w:t>homologous recombination repair (</w:t>
      </w:r>
      <w:r w:rsidRPr="00CA4838">
        <w:t>HRR</w:t>
      </w:r>
      <w:r w:rsidR="00662C1B">
        <w:t>)</w:t>
      </w:r>
      <w:r w:rsidRPr="00CA4838">
        <w:t xml:space="preserve"> gene-mutated mCRPC who have progressed following prior treatment with enzalutamide or abiraterone. Olaparib was also approved by the EMA on 3</w:t>
      </w:r>
      <w:r w:rsidRPr="00CA4838">
        <w:rPr>
          <w:vertAlign w:val="superscript"/>
        </w:rPr>
        <w:t>rd</w:t>
      </w:r>
      <w:r w:rsidRPr="00CA4838">
        <w:t xml:space="preserve"> November 2020 for the treatment of adult patients with metastatic castration-resistant prostate cancer and </w:t>
      </w:r>
      <w:r w:rsidRPr="00AB515A">
        <w:rPr>
          <w:iCs/>
        </w:rPr>
        <w:t>BRCA1/2</w:t>
      </w:r>
      <w:r w:rsidRPr="00CA4838">
        <w:t xml:space="preserve">-mutations (germline and/or somatic) who have progressed following prior therapy that included a </w:t>
      </w:r>
      <w:r w:rsidR="001579DF" w:rsidRPr="00CA4838">
        <w:t>n</w:t>
      </w:r>
      <w:r w:rsidR="001579DF">
        <w:t>ovel</w:t>
      </w:r>
      <w:r>
        <w:t xml:space="preserve"> </w:t>
      </w:r>
      <w:r w:rsidRPr="00CA4838">
        <w:t>hormonal agent.</w:t>
      </w:r>
    </w:p>
    <w:p w14:paraId="1C1829C0" w14:textId="77777777" w:rsidR="00A042A9" w:rsidRPr="00330A70" w:rsidRDefault="00A042A9" w:rsidP="00A042A9">
      <w:pPr>
        <w:pStyle w:val="4-SubsectionHeading"/>
        <w:numPr>
          <w:ilvl w:val="2"/>
          <w:numId w:val="1"/>
        </w:numPr>
        <w:ind w:left="0" w:firstLine="0"/>
        <w:rPr>
          <w:rFonts w:asciiTheme="minorHAnsi" w:hAnsiTheme="minorHAnsi"/>
        </w:rPr>
      </w:pPr>
      <w:bookmarkStart w:id="14" w:name="_Toc492317094"/>
      <w:bookmarkStart w:id="15" w:name="_Toc58779751"/>
      <w:r w:rsidRPr="00330A70">
        <w:rPr>
          <w:rFonts w:asciiTheme="minorHAnsi" w:hAnsiTheme="minorHAnsi"/>
          <w:color w:val="auto"/>
        </w:rPr>
        <w:t>Previous PBAC consideration</w:t>
      </w:r>
      <w:bookmarkEnd w:id="14"/>
      <w:bookmarkEnd w:id="15"/>
    </w:p>
    <w:p w14:paraId="6606711B" w14:textId="77777777" w:rsidR="00A042A9" w:rsidRPr="00CA4838" w:rsidRDefault="00A042A9" w:rsidP="0030433E">
      <w:pPr>
        <w:pStyle w:val="ListParagraph"/>
        <w:spacing w:after="120"/>
        <w:ind w:left="709"/>
        <w:rPr>
          <w:color w:val="auto"/>
        </w:rPr>
      </w:pPr>
      <w:r w:rsidRPr="00CA4838">
        <w:rPr>
          <w:color w:val="auto"/>
        </w:rPr>
        <w:t xml:space="preserve">Olaparib was </w:t>
      </w:r>
      <w:r w:rsidRPr="00A2713C">
        <w:t>previously</w:t>
      </w:r>
      <w:r w:rsidRPr="00CA4838">
        <w:rPr>
          <w:color w:val="auto"/>
        </w:rPr>
        <w:t xml:space="preserve"> considered by the PBAC for treatment of mCRPC in March 2021. </w:t>
      </w:r>
    </w:p>
    <w:p w14:paraId="202E0828" w14:textId="77777777" w:rsidR="00A042A9" w:rsidRPr="00CA4838" w:rsidRDefault="00A042A9" w:rsidP="001B37A3">
      <w:pPr>
        <w:pStyle w:val="Caption"/>
      </w:pPr>
      <w:r w:rsidRPr="00CA4838">
        <w:t xml:space="preserve">Table </w:t>
      </w:r>
      <w:r w:rsidR="007C5E46">
        <w:rPr>
          <w:noProof/>
        </w:rPr>
        <w:t>2</w:t>
      </w:r>
      <w:r w:rsidR="004A4197">
        <w:rPr>
          <w:noProof/>
        </w:rPr>
        <w:t xml:space="preserve">: </w:t>
      </w:r>
      <w:r w:rsidRPr="00CA4838">
        <w:t>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ummary of outstanding matters of concern"/>
      </w:tblPr>
      <w:tblGrid>
        <w:gridCol w:w="4975"/>
        <w:gridCol w:w="4041"/>
      </w:tblGrid>
      <w:tr w:rsidR="005C7732" w:rsidRPr="00AB7459" w14:paraId="56049309" w14:textId="77777777" w:rsidTr="00AB515A">
        <w:trPr>
          <w:tblHeader/>
        </w:trPr>
        <w:tc>
          <w:tcPr>
            <w:tcW w:w="2759" w:type="pct"/>
            <w:shd w:val="clear" w:color="auto" w:fill="auto"/>
            <w:vAlign w:val="bottom"/>
          </w:tcPr>
          <w:p w14:paraId="20FB96DD" w14:textId="77777777" w:rsidR="005C7732" w:rsidRPr="00AB7459" w:rsidRDefault="005C7732" w:rsidP="00ED665A">
            <w:pPr>
              <w:pStyle w:val="TableFigureHeading"/>
              <w:rPr>
                <w:szCs w:val="20"/>
              </w:rPr>
            </w:pPr>
            <w:r w:rsidRPr="00AB7459">
              <w:rPr>
                <w:szCs w:val="20"/>
              </w:rPr>
              <w:t>Key matters of concern raised at the March 2021 meeting</w:t>
            </w:r>
          </w:p>
        </w:tc>
        <w:tc>
          <w:tcPr>
            <w:tcW w:w="2241" w:type="pct"/>
            <w:shd w:val="clear" w:color="auto" w:fill="auto"/>
            <w:vAlign w:val="bottom"/>
          </w:tcPr>
          <w:p w14:paraId="6ED755D4" w14:textId="77777777" w:rsidR="005C7732" w:rsidRPr="00AB7459" w:rsidRDefault="005C7732" w:rsidP="00ED665A">
            <w:pPr>
              <w:pStyle w:val="TableFigureHeading"/>
              <w:rPr>
                <w:szCs w:val="20"/>
              </w:rPr>
            </w:pPr>
            <w:r w:rsidRPr="00AB7459">
              <w:rPr>
                <w:szCs w:val="20"/>
              </w:rPr>
              <w:t>How the resubmission addressed it</w:t>
            </w:r>
          </w:p>
        </w:tc>
      </w:tr>
      <w:tr w:rsidR="005C7732" w:rsidRPr="00AB7459" w14:paraId="0812DF15" w14:textId="77777777" w:rsidTr="00AB515A">
        <w:tc>
          <w:tcPr>
            <w:tcW w:w="2759" w:type="pct"/>
            <w:shd w:val="clear" w:color="auto" w:fill="auto"/>
          </w:tcPr>
          <w:p w14:paraId="0889A534" w14:textId="77777777" w:rsidR="005C7732" w:rsidRPr="00AB7459" w:rsidRDefault="005C7732" w:rsidP="00ED665A">
            <w:pPr>
              <w:pStyle w:val="TableText"/>
              <w:rPr>
                <w:szCs w:val="20"/>
              </w:rPr>
            </w:pPr>
            <w:r w:rsidRPr="00AB7459">
              <w:rPr>
                <w:szCs w:val="20"/>
              </w:rPr>
              <w:t xml:space="preserve">Sequential NHA was not considered an appropriate comparator. BSC and cabazitaxel (and docetaxel where patients had not previously received docetaxel) should be considered as comparators (paragraph 7.4, olaparib PSD, March 2021) </w:t>
            </w:r>
          </w:p>
          <w:p w14:paraId="239362B5" w14:textId="77777777" w:rsidR="005C7732" w:rsidRPr="00AB7459" w:rsidRDefault="005C7732" w:rsidP="00ED665A">
            <w:pPr>
              <w:pStyle w:val="TableText"/>
              <w:rPr>
                <w:szCs w:val="20"/>
              </w:rPr>
            </w:pPr>
            <w:r w:rsidRPr="00AB7459">
              <w:rPr>
                <w:szCs w:val="20"/>
              </w:rPr>
              <w:t>Due to expected transitivity issues of indirect treatment comparisons from the BRCA+ subgroup of olaparib arm of PROfound to all comers trials with BSC or cabazitaxel, the comparative results of PROfound may represent reasonable estimates over a mixed comparator (paragraphs 5.3,5.4, olaparib PSD, Mar 2021)</w:t>
            </w:r>
          </w:p>
        </w:tc>
        <w:tc>
          <w:tcPr>
            <w:tcW w:w="2241" w:type="pct"/>
            <w:shd w:val="clear" w:color="auto" w:fill="auto"/>
          </w:tcPr>
          <w:p w14:paraId="683E70AD" w14:textId="77777777" w:rsidR="005C7732" w:rsidRPr="00AB7459" w:rsidRDefault="005C7732" w:rsidP="00ED665A">
            <w:pPr>
              <w:pStyle w:val="TableText"/>
              <w:rPr>
                <w:szCs w:val="20"/>
              </w:rPr>
            </w:pPr>
            <w:r w:rsidRPr="00AB7459">
              <w:rPr>
                <w:szCs w:val="20"/>
              </w:rPr>
              <w:t xml:space="preserve">BSC and cabazitaxel nominated as comparators (75:25 split). Data for NHA from the </w:t>
            </w:r>
            <w:r w:rsidRPr="00AB7459">
              <w:rPr>
                <w:i/>
                <w:szCs w:val="20"/>
              </w:rPr>
              <w:t>BRCA1/2</w:t>
            </w:r>
            <w:r w:rsidRPr="00AB7459">
              <w:rPr>
                <w:szCs w:val="20"/>
              </w:rPr>
              <w:t xml:space="preserve"> subgroup of PROfound was used as proxy for BSC.</w:t>
            </w:r>
          </w:p>
          <w:p w14:paraId="3E757C28" w14:textId="77777777" w:rsidR="005C7732" w:rsidRDefault="005C7732" w:rsidP="00ED665A">
            <w:pPr>
              <w:pStyle w:val="TableText"/>
              <w:rPr>
                <w:szCs w:val="20"/>
              </w:rPr>
            </w:pPr>
            <w:r w:rsidRPr="00AB7459">
              <w:rPr>
                <w:szCs w:val="20"/>
              </w:rPr>
              <w:t xml:space="preserve">A supplementary indirect comparison (including a MAIC) of olaparib versus cabazitaxel was also conducted using data from the CARD trial. </w:t>
            </w:r>
            <w:r w:rsidRPr="00F52B1D">
              <w:rPr>
                <w:szCs w:val="20"/>
              </w:rPr>
              <w:t>Despite matching PROfound patients to CARD, given BRCA status was unknown in CARD, matching is unlikely to adjust for unmeasured confounding.</w:t>
            </w:r>
          </w:p>
          <w:p w14:paraId="3C28E62B" w14:textId="77777777" w:rsidR="005C7732" w:rsidRPr="00266EE3" w:rsidRDefault="005C7732" w:rsidP="00ED665A">
            <w:pPr>
              <w:pStyle w:val="TableText"/>
              <w:rPr>
                <w:szCs w:val="20"/>
              </w:rPr>
            </w:pPr>
            <w:r w:rsidRPr="00266EE3">
              <w:rPr>
                <w:bCs/>
              </w:rPr>
              <w:t>The ESC noted that docetaxel is a relevant comparator in an increasing proportion of patients.</w:t>
            </w:r>
          </w:p>
        </w:tc>
      </w:tr>
      <w:tr w:rsidR="005C7732" w:rsidRPr="00AB7459" w14:paraId="740D2A1C" w14:textId="77777777" w:rsidTr="00AB515A">
        <w:tc>
          <w:tcPr>
            <w:tcW w:w="2759" w:type="pct"/>
            <w:shd w:val="clear" w:color="auto" w:fill="auto"/>
          </w:tcPr>
          <w:p w14:paraId="5704EBD7" w14:textId="77777777" w:rsidR="005C7732" w:rsidRPr="00AB7459" w:rsidRDefault="005C7732" w:rsidP="00ED665A">
            <w:pPr>
              <w:pStyle w:val="TableText"/>
              <w:rPr>
                <w:snapToGrid w:val="0"/>
                <w:szCs w:val="20"/>
              </w:rPr>
            </w:pPr>
            <w:r w:rsidRPr="00AB7459">
              <w:rPr>
                <w:snapToGrid w:val="0"/>
                <w:szCs w:val="20"/>
              </w:rPr>
              <w:t>Changing clinical algorithm, removal of prior docetaxel requirement for treatment with NHA. Also, the clinical algorithm did not include the flow on to germline and cascade testing (paragraph 4.3, olaparib PSD, March 2021)</w:t>
            </w:r>
          </w:p>
        </w:tc>
        <w:tc>
          <w:tcPr>
            <w:tcW w:w="2241" w:type="pct"/>
            <w:shd w:val="clear" w:color="auto" w:fill="auto"/>
          </w:tcPr>
          <w:p w14:paraId="72D86E52" w14:textId="77777777" w:rsidR="005C7732" w:rsidRPr="00AB7459" w:rsidRDefault="005C7732" w:rsidP="00ED665A">
            <w:pPr>
              <w:pStyle w:val="TableText"/>
              <w:rPr>
                <w:szCs w:val="20"/>
              </w:rPr>
            </w:pPr>
            <w:r w:rsidRPr="00AB7459">
              <w:rPr>
                <w:szCs w:val="20"/>
              </w:rPr>
              <w:t>Updated the proposed clinical treatment algorithm</w:t>
            </w:r>
            <w:r>
              <w:rPr>
                <w:szCs w:val="20"/>
              </w:rPr>
              <w:t xml:space="preserve"> </w:t>
            </w:r>
            <w:r w:rsidRPr="00266EE3">
              <w:rPr>
                <w:szCs w:val="20"/>
              </w:rPr>
              <w:t>(which the ESC noted supported docetaxel as a comparator). Presented subgroup analyses based on prior taxane use in the BRCA1/2</w:t>
            </w:r>
            <w:r w:rsidRPr="00AB7459">
              <w:rPr>
                <w:i/>
                <w:szCs w:val="20"/>
              </w:rPr>
              <w:t xml:space="preserve"> </w:t>
            </w:r>
            <w:r w:rsidRPr="00AB7459">
              <w:rPr>
                <w:szCs w:val="20"/>
              </w:rPr>
              <w:t>subgroup of PROfound, showing consistent benefit for olaparib.</w:t>
            </w:r>
          </w:p>
        </w:tc>
      </w:tr>
      <w:tr w:rsidR="005C7732" w:rsidRPr="00AB7459" w14:paraId="64C1D169" w14:textId="77777777" w:rsidTr="00AB515A">
        <w:tc>
          <w:tcPr>
            <w:tcW w:w="2759" w:type="pct"/>
            <w:shd w:val="clear" w:color="auto" w:fill="auto"/>
          </w:tcPr>
          <w:p w14:paraId="38156AC9" w14:textId="77777777" w:rsidR="005C7732" w:rsidRPr="00AB7459" w:rsidRDefault="005C7732" w:rsidP="00ED665A">
            <w:pPr>
              <w:pStyle w:val="TableText"/>
              <w:rPr>
                <w:szCs w:val="20"/>
              </w:rPr>
            </w:pPr>
            <w:r w:rsidRPr="00AB7459">
              <w:rPr>
                <w:bCs/>
                <w:snapToGrid w:val="0"/>
                <w:szCs w:val="20"/>
              </w:rPr>
              <w:t xml:space="preserve">The PBAC requested that MSAC advise on the likely prevalence in the Australian population with mCRPC and </w:t>
            </w:r>
            <w:r w:rsidRPr="008A4199">
              <w:rPr>
                <w:iCs/>
                <w:szCs w:val="20"/>
              </w:rPr>
              <w:t>BRCA1/2</w:t>
            </w:r>
            <w:r w:rsidRPr="00AB7459">
              <w:rPr>
                <w:szCs w:val="20"/>
              </w:rPr>
              <w:t xml:space="preserve"> (paragraph 7.12, olaparib PSD, March 2021)</w:t>
            </w:r>
          </w:p>
        </w:tc>
        <w:tc>
          <w:tcPr>
            <w:tcW w:w="2241" w:type="pct"/>
            <w:shd w:val="clear" w:color="auto" w:fill="auto"/>
          </w:tcPr>
          <w:p w14:paraId="28AE692D" w14:textId="77777777" w:rsidR="005C7732" w:rsidRPr="00266EE3" w:rsidRDefault="005C7732" w:rsidP="00ED665A">
            <w:pPr>
              <w:pStyle w:val="TableText"/>
              <w:rPr>
                <w:szCs w:val="20"/>
              </w:rPr>
            </w:pPr>
            <w:r w:rsidRPr="00266EE3">
              <w:rPr>
                <w:szCs w:val="20"/>
              </w:rPr>
              <w:t>Source of BRCA1/2 prevalence of 9.7% is provided in Section 1A.1.2 of the resubmission.</w:t>
            </w:r>
          </w:p>
          <w:p w14:paraId="4605BA1D" w14:textId="77777777" w:rsidR="005C7732" w:rsidRPr="00AB7459" w:rsidRDefault="005C7732" w:rsidP="00ED665A">
            <w:pPr>
              <w:pStyle w:val="TableText"/>
              <w:rPr>
                <w:szCs w:val="20"/>
              </w:rPr>
            </w:pPr>
            <w:r w:rsidRPr="00266EE3">
              <w:rPr>
                <w:szCs w:val="20"/>
              </w:rPr>
              <w:t>MSAC advised</w:t>
            </w:r>
            <w:r w:rsidRPr="00AB7459">
              <w:rPr>
                <w:szCs w:val="20"/>
              </w:rPr>
              <w:t xml:space="preserve"> the range of prevalence estimates should be 7%–10% (p4, MSAC 1618, PSD, March 2021)</w:t>
            </w:r>
            <w:r w:rsidR="00DD5143">
              <w:rPr>
                <w:szCs w:val="20"/>
              </w:rPr>
              <w:t xml:space="preserve">. The PBAC considered that the lower end of this range (7%) should be applied in the economic model and financial estimates as rates of BRCA1/2 prevalence appear lower in practice than reported in the literature, </w:t>
            </w:r>
          </w:p>
        </w:tc>
      </w:tr>
      <w:tr w:rsidR="005C7732" w:rsidRPr="00AB7459" w14:paraId="485F94D5" w14:textId="77777777" w:rsidTr="00AB515A">
        <w:tc>
          <w:tcPr>
            <w:tcW w:w="2759" w:type="pct"/>
            <w:shd w:val="clear" w:color="auto" w:fill="auto"/>
          </w:tcPr>
          <w:p w14:paraId="7A8B920A" w14:textId="77777777" w:rsidR="005C7732" w:rsidRPr="00AB7459" w:rsidRDefault="005C7732" w:rsidP="00ED665A">
            <w:pPr>
              <w:pStyle w:val="TableText"/>
              <w:rPr>
                <w:szCs w:val="20"/>
              </w:rPr>
            </w:pPr>
            <w:r w:rsidRPr="00AB7459">
              <w:rPr>
                <w:snapToGrid w:val="0"/>
                <w:szCs w:val="20"/>
              </w:rPr>
              <w:t xml:space="preserve">In PROfound Cohort A, 67.5% of patients switched from NHA to olaparib following BIRC-assessed rPFS. The PBAC noted that the change in the point estimate was considerable between </w:t>
            </w:r>
            <w:bookmarkStart w:id="16" w:name="_Hlk81559071"/>
            <w:r w:rsidRPr="00AB7459">
              <w:rPr>
                <w:snapToGrid w:val="0"/>
                <w:szCs w:val="20"/>
              </w:rPr>
              <w:t>RPSFTM</w:t>
            </w:r>
            <w:bookmarkEnd w:id="16"/>
            <w:r w:rsidRPr="00AB7459">
              <w:rPr>
                <w:snapToGrid w:val="0"/>
                <w:szCs w:val="20"/>
              </w:rPr>
              <w:t xml:space="preserve"> with recensoring (HR=0.28) compared to the unadjusted value (HR=0.63) and the adjusted value form the RPSFTM without recensoring (HR=0.37) (paragraph 7.11, olaparib PSD, March 2021). The PBAC considered there was insufficient justification of the methodology for treatment switching and consideration of other methods for adjustment for treatment switching for OS were not provided.</w:t>
            </w:r>
            <w:r w:rsidRPr="00AB7459">
              <w:rPr>
                <w:szCs w:val="20"/>
              </w:rPr>
              <w:t xml:space="preserve"> (paragraph 7.11, olaparib PSD, March 2021)</w:t>
            </w:r>
          </w:p>
        </w:tc>
        <w:tc>
          <w:tcPr>
            <w:tcW w:w="2241" w:type="pct"/>
            <w:shd w:val="clear" w:color="auto" w:fill="auto"/>
            <w:vAlign w:val="center"/>
          </w:tcPr>
          <w:p w14:paraId="576E9539" w14:textId="77777777" w:rsidR="005C7732" w:rsidRPr="00AB7459" w:rsidRDefault="005C7732" w:rsidP="00ED665A">
            <w:pPr>
              <w:pStyle w:val="TableText"/>
              <w:rPr>
                <w:szCs w:val="20"/>
              </w:rPr>
            </w:pPr>
            <w:r w:rsidRPr="00AB7459">
              <w:rPr>
                <w:szCs w:val="20"/>
              </w:rPr>
              <w:t xml:space="preserve">Updated OS analysis in including justifications of the adjustment method used and the results from other adjustment methods are also presented. </w:t>
            </w:r>
            <w:r w:rsidRPr="00F52B1D">
              <w:rPr>
                <w:szCs w:val="20"/>
              </w:rPr>
              <w:t>However, issues with adjustment for treatment remain</w:t>
            </w:r>
            <w:r w:rsidRPr="00266EE3">
              <w:rPr>
                <w:szCs w:val="20"/>
              </w:rPr>
              <w:t>ed.</w:t>
            </w:r>
            <w:r w:rsidRPr="00AB7459">
              <w:rPr>
                <w:szCs w:val="20"/>
              </w:rPr>
              <w:t xml:space="preserve"> </w:t>
            </w:r>
          </w:p>
        </w:tc>
      </w:tr>
      <w:tr w:rsidR="005C7732" w:rsidRPr="00AB7459" w14:paraId="61DC8ADC" w14:textId="77777777" w:rsidTr="00AB515A">
        <w:tc>
          <w:tcPr>
            <w:tcW w:w="2759" w:type="pct"/>
            <w:shd w:val="clear" w:color="auto" w:fill="auto"/>
          </w:tcPr>
          <w:p w14:paraId="15DD8327" w14:textId="77777777" w:rsidR="005C7732" w:rsidRPr="00AB7459" w:rsidRDefault="005C7732" w:rsidP="00ED665A">
            <w:pPr>
              <w:pStyle w:val="TableText"/>
              <w:rPr>
                <w:szCs w:val="20"/>
              </w:rPr>
            </w:pPr>
            <w:r w:rsidRPr="00AB7459">
              <w:rPr>
                <w:szCs w:val="20"/>
              </w:rPr>
              <w:t>Uncertainty in the cost-utility analysis (paragraphs 7.11, 7.14, olaparib PSD, March 2021). In particular:</w:t>
            </w:r>
          </w:p>
          <w:p w14:paraId="6DFD257D" w14:textId="77777777" w:rsidR="005C7732" w:rsidRPr="00AB7459" w:rsidRDefault="005C7732" w:rsidP="00ED665A">
            <w:pPr>
              <w:pStyle w:val="TableBullet"/>
            </w:pPr>
            <w:r w:rsidRPr="00AB7459">
              <w:t>The model did not reflect the codependent nature of the submission by providing a test and drug model to assess the consequences of less than perfect test performance.</w:t>
            </w:r>
          </w:p>
          <w:p w14:paraId="239420B3" w14:textId="77777777" w:rsidR="005C7732" w:rsidRPr="00AB7459" w:rsidRDefault="005C7732" w:rsidP="00ED665A">
            <w:pPr>
              <w:pStyle w:val="TableBullet"/>
            </w:pPr>
            <w:r w:rsidRPr="00AB7459">
              <w:t>Inappropriate application of NHA as comparator.</w:t>
            </w:r>
          </w:p>
          <w:p w14:paraId="04B74946" w14:textId="77777777" w:rsidR="005C7732" w:rsidRPr="00AB7459" w:rsidRDefault="005C7732" w:rsidP="00ED665A">
            <w:pPr>
              <w:pStyle w:val="TableBullet"/>
            </w:pPr>
            <w:r w:rsidRPr="00AB7459">
              <w:t>The application of a 10 year time horizon. The PBAC considered a 5 year time horizon would be more appropriate.</w:t>
            </w:r>
          </w:p>
          <w:p w14:paraId="0682B888" w14:textId="77777777" w:rsidR="005C7732" w:rsidRPr="00AB7459" w:rsidRDefault="005C7732" w:rsidP="00ED665A">
            <w:pPr>
              <w:pStyle w:val="TableBullet"/>
            </w:pPr>
            <w:r w:rsidRPr="00AB7459">
              <w:t>The model applied an OS HR adjusted for treatment switching using RPSFTM with recensoring (HR=0.28, 95%CI: 0.10, 0.79) without sufficient justification of method used.</w:t>
            </w:r>
          </w:p>
          <w:p w14:paraId="5FEDF26D" w14:textId="77777777" w:rsidR="005C7732" w:rsidRPr="00AB7459" w:rsidRDefault="005C7732" w:rsidP="00ED665A">
            <w:pPr>
              <w:pStyle w:val="TableBullet"/>
            </w:pPr>
            <w:r w:rsidRPr="00AB7459">
              <w:t xml:space="preserve">Time on treatment extrapolations were based on combined Cohort A and Cohort B populations (that included patients with HRR genes other than </w:t>
            </w:r>
            <w:r w:rsidRPr="00AB7459">
              <w:rPr>
                <w:i/>
              </w:rPr>
              <w:t>BRCA1/2</w:t>
            </w:r>
            <w:r w:rsidRPr="00AB7459">
              <w:t>) so was not representative of the model population and resulted in patients being available for treatment for longer than they were predicted to be alive.</w:t>
            </w:r>
          </w:p>
          <w:p w14:paraId="467A2234" w14:textId="77777777" w:rsidR="005C7732" w:rsidRPr="00AB7459" w:rsidRDefault="005C7732" w:rsidP="00ED665A">
            <w:pPr>
              <w:pStyle w:val="TableBullet"/>
            </w:pPr>
            <w:r w:rsidRPr="00AB7459">
              <w:t>Utility values, though trial based were high compared to other estimates in the literature.</w:t>
            </w:r>
          </w:p>
          <w:p w14:paraId="567F003A" w14:textId="77777777" w:rsidR="005C7732" w:rsidRPr="00CD28A8" w:rsidRDefault="005C7732">
            <w:pPr>
              <w:pStyle w:val="TableText"/>
              <w:rPr>
                <w:szCs w:val="20"/>
                <w:vertAlign w:val="superscript"/>
              </w:rPr>
            </w:pPr>
            <w:r w:rsidRPr="00AB7459">
              <w:rPr>
                <w:szCs w:val="20"/>
              </w:rPr>
              <w:t xml:space="preserve">The PBAC requested the resubmission to address the above issues and present an ICER of less than </w:t>
            </w:r>
            <w:r w:rsidR="00CD28A8">
              <w:rPr>
                <w:noProof/>
                <w:color w:val="000000"/>
                <w:szCs w:val="20"/>
                <w:highlight w:val="black"/>
              </w:rPr>
              <w:t>''''''''''''''''''''</w:t>
            </w:r>
            <w:r w:rsidR="00B55BD3">
              <w:rPr>
                <w:szCs w:val="20"/>
                <w:vertAlign w:val="superscript"/>
              </w:rPr>
              <w:t>1</w:t>
            </w:r>
            <w:r w:rsidRPr="00AB7459">
              <w:rPr>
                <w:szCs w:val="20"/>
              </w:rPr>
              <w:t xml:space="preserve"> per QALY.</w:t>
            </w:r>
          </w:p>
        </w:tc>
        <w:tc>
          <w:tcPr>
            <w:tcW w:w="2241" w:type="pct"/>
            <w:shd w:val="clear" w:color="auto" w:fill="auto"/>
          </w:tcPr>
          <w:p w14:paraId="61389B04" w14:textId="77777777" w:rsidR="005C7732" w:rsidRPr="00AB7459" w:rsidRDefault="005C7732" w:rsidP="00ED665A">
            <w:pPr>
              <w:pStyle w:val="TableText"/>
              <w:rPr>
                <w:szCs w:val="20"/>
              </w:rPr>
            </w:pPr>
            <w:r w:rsidRPr="00AB7459">
              <w:rPr>
                <w:szCs w:val="20"/>
              </w:rPr>
              <w:t xml:space="preserve">Updated economic evaluation </w:t>
            </w:r>
            <w:r w:rsidRPr="00AB515A">
              <w:rPr>
                <w:szCs w:val="20"/>
              </w:rPr>
              <w:t>including:</w:t>
            </w:r>
          </w:p>
          <w:p w14:paraId="539FE283" w14:textId="77777777" w:rsidR="005C7732" w:rsidRPr="00266EE3" w:rsidRDefault="005C7732" w:rsidP="00ED665A">
            <w:pPr>
              <w:pStyle w:val="TableBullet"/>
            </w:pPr>
            <w:r w:rsidRPr="00266EE3">
              <w:t>Incorporation of test/treat model structure comparing the proposed scenario (testing for BRCA1/2 pathogenic variants with eligible patients receive olaparib, other patients receive SOC) and current scenario (no testing, all patients receive SOC)</w:t>
            </w:r>
          </w:p>
          <w:p w14:paraId="37C1914F" w14:textId="77777777" w:rsidR="005C7732" w:rsidRPr="00AB7459" w:rsidRDefault="005C7732" w:rsidP="00ED665A">
            <w:pPr>
              <w:pStyle w:val="TableBullet"/>
            </w:pPr>
            <w:r w:rsidRPr="00AB7459">
              <w:t xml:space="preserve">SOC comprised of 75% BSC and 25% cabazitaxel </w:t>
            </w:r>
          </w:p>
          <w:p w14:paraId="17F055C0" w14:textId="77777777" w:rsidR="005C7732" w:rsidRPr="00AB7459" w:rsidRDefault="005C7732" w:rsidP="00ED665A">
            <w:pPr>
              <w:pStyle w:val="TableBullet"/>
            </w:pPr>
            <w:r w:rsidRPr="00AB7459">
              <w:t>Reduction of time horizon to 7.5 years</w:t>
            </w:r>
          </w:p>
          <w:p w14:paraId="7A165640" w14:textId="77777777" w:rsidR="005C7732" w:rsidRPr="00AB7459" w:rsidRDefault="005C7732" w:rsidP="00ED665A">
            <w:pPr>
              <w:pStyle w:val="TableBullet"/>
            </w:pPr>
            <w:r w:rsidRPr="00AB7459">
              <w:t>Justification for use of treatment switching</w:t>
            </w:r>
          </w:p>
          <w:p w14:paraId="45F7DB99" w14:textId="77777777" w:rsidR="005C7732" w:rsidRPr="00AB7459" w:rsidRDefault="005C7732" w:rsidP="00ED665A">
            <w:pPr>
              <w:pStyle w:val="TableBullet"/>
            </w:pPr>
            <w:r w:rsidRPr="00AB7459">
              <w:t>Removal of testing costs in comparator arm</w:t>
            </w:r>
          </w:p>
          <w:p w14:paraId="50B04A48" w14:textId="77777777" w:rsidR="005C7732" w:rsidRPr="00AB7459" w:rsidRDefault="005C7732" w:rsidP="00ED665A">
            <w:pPr>
              <w:pStyle w:val="TableBullet"/>
            </w:pPr>
            <w:r w:rsidRPr="00266EE3">
              <w:t>Use of BRCA1/2 cohort</w:t>
            </w:r>
            <w:r w:rsidRPr="00AB7459">
              <w:t xml:space="preserve"> to predict time on treatment</w:t>
            </w:r>
          </w:p>
          <w:p w14:paraId="161E93DC" w14:textId="77777777" w:rsidR="005C7732" w:rsidRPr="00AB7459" w:rsidRDefault="005C7732" w:rsidP="00ED665A">
            <w:pPr>
              <w:pStyle w:val="TableBullet"/>
            </w:pPr>
            <w:r w:rsidRPr="00AB7459">
              <w:t xml:space="preserve">Utility values again derived from PROfound trial </w:t>
            </w:r>
          </w:p>
          <w:p w14:paraId="2E1B2162" w14:textId="77777777" w:rsidR="005C7732" w:rsidRPr="00AB7459" w:rsidRDefault="005C7732" w:rsidP="00ED665A">
            <w:pPr>
              <w:pStyle w:val="TableText"/>
              <w:rPr>
                <w:szCs w:val="20"/>
              </w:rPr>
            </w:pPr>
            <w:r w:rsidRPr="00AB7459">
              <w:rPr>
                <w:szCs w:val="20"/>
              </w:rPr>
              <w:t xml:space="preserve">New base case ICER was </w:t>
            </w:r>
            <w:r w:rsidR="00CD28A8">
              <w:rPr>
                <w:noProof/>
                <w:color w:val="000000"/>
                <w:szCs w:val="20"/>
                <w:highlight w:val="black"/>
              </w:rPr>
              <w:t>'''''''''''''''''''''</w:t>
            </w:r>
            <w:r w:rsidR="00B55BD3">
              <w:rPr>
                <w:szCs w:val="20"/>
                <w:vertAlign w:val="superscript"/>
              </w:rPr>
              <w:t>1</w:t>
            </w:r>
            <w:r w:rsidRPr="00AB7459">
              <w:rPr>
                <w:szCs w:val="20"/>
              </w:rPr>
              <w:t>/QALY. Effective DPMQ for olaparib reduced to $</w:t>
            </w:r>
            <w:r w:rsidR="00CD28A8">
              <w:rPr>
                <w:noProof/>
                <w:color w:val="000000"/>
                <w:szCs w:val="20"/>
                <w:highlight w:val="black"/>
              </w:rPr>
              <w:t xml:space="preserve">'''''''''''''''''''''' </w:t>
            </w:r>
            <w:r w:rsidRPr="00AB7459">
              <w:rPr>
                <w:szCs w:val="20"/>
              </w:rPr>
              <w:t>(previously $</w:t>
            </w:r>
            <w:r w:rsidR="00CD28A8">
              <w:rPr>
                <w:noProof/>
                <w:color w:val="000000"/>
                <w:szCs w:val="20"/>
                <w:highlight w:val="black"/>
              </w:rPr>
              <w:t>'''''''''''''''''''''</w:t>
            </w:r>
            <w:r w:rsidRPr="00AB7459">
              <w:rPr>
                <w:szCs w:val="20"/>
              </w:rPr>
              <w:t>)</w:t>
            </w:r>
            <w:r w:rsidR="00DD5143">
              <w:rPr>
                <w:szCs w:val="20"/>
              </w:rPr>
              <w:t xml:space="preserve">. </w:t>
            </w:r>
            <w:r w:rsidR="00F05E99">
              <w:rPr>
                <w:szCs w:val="20"/>
              </w:rPr>
              <w:t>This was f</w:t>
            </w:r>
            <w:r w:rsidR="00DD5143">
              <w:rPr>
                <w:szCs w:val="20"/>
              </w:rPr>
              <w:t xml:space="preserve">urther reduced to </w:t>
            </w:r>
            <w:r w:rsidR="00F05E99">
              <w:rPr>
                <w:szCs w:val="20"/>
              </w:rPr>
              <w:t>$</w:t>
            </w:r>
            <w:r w:rsidR="00CD28A8">
              <w:rPr>
                <w:noProof/>
                <w:color w:val="000000"/>
                <w:szCs w:val="20"/>
                <w:highlight w:val="black"/>
              </w:rPr>
              <w:t>'''''''''''''''''''''''</w:t>
            </w:r>
            <w:r w:rsidR="00F05E99">
              <w:rPr>
                <w:szCs w:val="20"/>
              </w:rPr>
              <w:t xml:space="preserve"> in the pre</w:t>
            </w:r>
            <w:r w:rsidR="00F05E99">
              <w:rPr>
                <w:szCs w:val="20"/>
              </w:rPr>
              <w:noBreakHyphen/>
              <w:t>PBAC response.</w:t>
            </w:r>
          </w:p>
        </w:tc>
      </w:tr>
      <w:tr w:rsidR="005C7732" w:rsidRPr="00AB7459" w14:paraId="6EE231E6" w14:textId="77777777" w:rsidTr="00AB515A">
        <w:tc>
          <w:tcPr>
            <w:tcW w:w="2759" w:type="pct"/>
            <w:shd w:val="clear" w:color="auto" w:fill="auto"/>
          </w:tcPr>
          <w:p w14:paraId="64C80717" w14:textId="77777777" w:rsidR="005C7732" w:rsidRPr="00AB7459" w:rsidRDefault="005C7732" w:rsidP="00ED665A">
            <w:pPr>
              <w:pStyle w:val="TableText"/>
              <w:rPr>
                <w:szCs w:val="20"/>
              </w:rPr>
            </w:pPr>
            <w:r w:rsidRPr="00AB7459">
              <w:rPr>
                <w:szCs w:val="20"/>
              </w:rPr>
              <w:t>Number of patients highly uncertain, based on prevalence of hormone sensitive prostate cancer (HSPC) (para 6.44 olaparib PSD, March 2021)</w:t>
            </w:r>
          </w:p>
          <w:p w14:paraId="68C4F025" w14:textId="77777777" w:rsidR="005C7732" w:rsidRPr="00AB7459" w:rsidRDefault="005C7732" w:rsidP="00ED665A">
            <w:pPr>
              <w:pStyle w:val="TableText"/>
              <w:rPr>
                <w:szCs w:val="20"/>
              </w:rPr>
            </w:pPr>
            <w:r w:rsidRPr="00AB7459">
              <w:rPr>
                <w:szCs w:val="20"/>
              </w:rPr>
              <w:t>Consideration of cascade germline testing (p4, MSAC 1618, PSD, March 2021)</w:t>
            </w:r>
          </w:p>
          <w:p w14:paraId="663D9FC5" w14:textId="77777777" w:rsidR="005C7732" w:rsidRPr="00AB7459" w:rsidRDefault="005C7732" w:rsidP="00ED665A">
            <w:pPr>
              <w:pStyle w:val="TableText"/>
              <w:rPr>
                <w:szCs w:val="20"/>
              </w:rPr>
            </w:pPr>
            <w:r w:rsidRPr="00AB7459">
              <w:rPr>
                <w:szCs w:val="20"/>
              </w:rPr>
              <w:t>Treatment duration uncertain (para 6.44 olaparib PSD, March 2021)</w:t>
            </w:r>
          </w:p>
        </w:tc>
        <w:tc>
          <w:tcPr>
            <w:tcW w:w="2241" w:type="pct"/>
            <w:shd w:val="clear" w:color="auto" w:fill="auto"/>
          </w:tcPr>
          <w:p w14:paraId="65272AB8" w14:textId="77777777" w:rsidR="005C7732" w:rsidRPr="00AB7459" w:rsidRDefault="005C7732" w:rsidP="00ED665A">
            <w:pPr>
              <w:pStyle w:val="TableText"/>
              <w:rPr>
                <w:szCs w:val="20"/>
              </w:rPr>
            </w:pPr>
            <w:r w:rsidRPr="00AB7459">
              <w:rPr>
                <w:szCs w:val="20"/>
              </w:rPr>
              <w:t>A new financial analysis was presented that included:</w:t>
            </w:r>
          </w:p>
          <w:p w14:paraId="2A9ED319" w14:textId="77777777" w:rsidR="005C7732" w:rsidRPr="00AB7459" w:rsidRDefault="005C7732" w:rsidP="00662C1B">
            <w:pPr>
              <w:pStyle w:val="TableBullet"/>
              <w:ind w:left="284" w:hanging="284"/>
            </w:pPr>
            <w:r w:rsidRPr="00AB7459">
              <w:t xml:space="preserve">A new incident approach based on NHA use </w:t>
            </w:r>
          </w:p>
          <w:p w14:paraId="2A154265" w14:textId="77777777" w:rsidR="005C7732" w:rsidRPr="00AB7459" w:rsidRDefault="005C7732" w:rsidP="00662C1B">
            <w:pPr>
              <w:pStyle w:val="TableBullet"/>
              <w:ind w:left="284" w:hanging="284"/>
            </w:pPr>
            <w:r w:rsidRPr="00AB7459">
              <w:t>Inclusion of cascade testing to 3 relatives</w:t>
            </w:r>
          </w:p>
          <w:p w14:paraId="0CA0EE24" w14:textId="77777777" w:rsidR="005C7732" w:rsidRPr="00AB7459" w:rsidRDefault="005C7732" w:rsidP="00662C1B">
            <w:pPr>
              <w:pStyle w:val="TableBullet"/>
              <w:ind w:left="284" w:hanging="284"/>
            </w:pPr>
            <w:r w:rsidRPr="00AB7459">
              <w:t xml:space="preserve">Increased time on olaparib to match </w:t>
            </w:r>
            <w:r>
              <w:t>economic evaluation</w:t>
            </w:r>
            <w:r w:rsidRPr="00AB7459">
              <w:t xml:space="preserve"> for 2L mCRPC patients (plus an additional 100 days for 1L patients) </w:t>
            </w:r>
          </w:p>
          <w:p w14:paraId="14DC9F91" w14:textId="77777777" w:rsidR="005C7732" w:rsidRPr="00F52B1D" w:rsidRDefault="005C7732" w:rsidP="00662C1B">
            <w:pPr>
              <w:pStyle w:val="TableBullet"/>
              <w:ind w:left="284" w:hanging="284"/>
            </w:pPr>
            <w:r>
              <w:t>C</w:t>
            </w:r>
            <w:r w:rsidRPr="00F52B1D">
              <w:t>ost for germline testing due to somatic test failure was removed, resulting in overall reduction in MBS costs.</w:t>
            </w:r>
          </w:p>
        </w:tc>
      </w:tr>
    </w:tbl>
    <w:p w14:paraId="76A1358B" w14:textId="77777777" w:rsidR="00A042A9" w:rsidRPr="00CA4838" w:rsidRDefault="00A042A9" w:rsidP="00A042A9">
      <w:pPr>
        <w:pStyle w:val="TableFooter"/>
      </w:pPr>
      <w:r w:rsidRPr="00CA4838">
        <w:t>Source: Table 1, p27 and Table 35, p130 of the resubmission</w:t>
      </w:r>
    </w:p>
    <w:p w14:paraId="21901267" w14:textId="77777777" w:rsidR="00A042A9" w:rsidRDefault="00A042A9" w:rsidP="00CD28A8">
      <w:pPr>
        <w:pStyle w:val="TableFooter"/>
        <w:spacing w:after="0"/>
      </w:pPr>
      <w:r w:rsidRPr="00CA4838">
        <w:t>BIRC= blinded independent central review, BRCA=breast cancer gene, BRCAwt=BRCA-negative, BSC=best supportive care, HR=hazard ratio, MAIC=matching adjusted indirect comparison, NHA=novel hormonal agent, OS=overall survival, PMCC=Peter MacCallum Cancer Centre, rPFS=radiographic progression-free survival, RPSFTM=rank preserving structure failure time model</w:t>
      </w:r>
    </w:p>
    <w:p w14:paraId="2F1ECB77" w14:textId="77777777" w:rsidR="00B55BD3" w:rsidRDefault="00B55BD3">
      <w:pPr>
        <w:pStyle w:val="TableFigureFooter"/>
        <w:spacing w:after="0"/>
        <w:contextualSpacing w:val="0"/>
        <w:rPr>
          <w:i/>
        </w:rPr>
      </w:pPr>
      <w:r w:rsidRPr="009868C4">
        <w:rPr>
          <w:i/>
        </w:rPr>
        <w:t>The redacted values correspond to the following ranges</w:t>
      </w:r>
      <w:r>
        <w:rPr>
          <w:i/>
        </w:rPr>
        <w:t xml:space="preserve">: </w:t>
      </w:r>
    </w:p>
    <w:p w14:paraId="32A32111" w14:textId="103E7C05" w:rsidR="007904FB" w:rsidRDefault="00B55BD3" w:rsidP="0030433E">
      <w:pPr>
        <w:pStyle w:val="TableFigureFooter"/>
        <w:spacing w:after="0"/>
        <w:contextualSpacing w:val="0"/>
      </w:pPr>
      <w:r>
        <w:rPr>
          <w:i/>
          <w:vertAlign w:val="superscript"/>
        </w:rPr>
        <w:t>1</w:t>
      </w:r>
      <w:r>
        <w:rPr>
          <w:i/>
        </w:rPr>
        <w:t xml:space="preserve"> </w:t>
      </w:r>
      <w:r w:rsidRPr="00B55BD3">
        <w:rPr>
          <w:i/>
        </w:rPr>
        <w:t>$55,000 to &lt; $75,000</w:t>
      </w:r>
    </w:p>
    <w:p w14:paraId="0766D735" w14:textId="482894F2" w:rsidR="007904FB" w:rsidRPr="0030433E" w:rsidRDefault="007904FB" w:rsidP="0030433E">
      <w:pPr>
        <w:ind w:firstLine="720"/>
        <w:rPr>
          <w:i/>
        </w:rPr>
      </w:pPr>
      <w:bookmarkStart w:id="17" w:name="_Hlk76375324"/>
      <w:r w:rsidRPr="00C33D30">
        <w:rPr>
          <w:i/>
        </w:rPr>
        <w:t>For more detail on PBAC’s view, see section 7 PBAC outcome.</w:t>
      </w:r>
      <w:bookmarkEnd w:id="17"/>
    </w:p>
    <w:p w14:paraId="0F5AD2D7" w14:textId="77777777" w:rsidR="00A042A9" w:rsidRDefault="00A042A9" w:rsidP="00A042A9">
      <w:pPr>
        <w:pStyle w:val="PBACESHeading1"/>
      </w:pPr>
      <w:bookmarkStart w:id="18" w:name="_Toc82598879"/>
      <w:bookmarkStart w:id="19" w:name="_Toc476306884"/>
      <w:bookmarkStart w:id="20" w:name="_Toc58779752"/>
      <w:bookmarkStart w:id="21" w:name="_Toc413139275"/>
      <w:r w:rsidRPr="00CA4838">
        <w:t>Requested listing</w:t>
      </w:r>
      <w:bookmarkEnd w:id="18"/>
    </w:p>
    <w:p w14:paraId="2A5739A1" w14:textId="77777777" w:rsidR="00B362DE" w:rsidRPr="00806C44" w:rsidRDefault="00F05E99" w:rsidP="008A4199">
      <w:pPr>
        <w:pStyle w:val="ListParagraph"/>
        <w:ind w:left="709"/>
        <w:rPr>
          <w:lang w:eastAsia="en-US"/>
        </w:rPr>
      </w:pPr>
      <w:r w:rsidRPr="00210084">
        <w:rPr>
          <w:lang w:eastAsia="en-US"/>
        </w:rPr>
        <w:t xml:space="preserve">The requested listing is shown below. </w:t>
      </w:r>
      <w:r w:rsidR="00B362DE" w:rsidRPr="00806C44">
        <w:rPr>
          <w:lang w:eastAsia="en-US"/>
        </w:rPr>
        <w:t xml:space="preserve">The restriction requested was unchanged from the previous submission without applying the Secretariat’s previously suggested amendments (apart from addition of a grandfather listing). </w:t>
      </w:r>
    </w:p>
    <w:p w14:paraId="6F4A9FD1" w14:textId="77777777" w:rsidR="008C7808" w:rsidRPr="00266EE3" w:rsidRDefault="008C7808" w:rsidP="008A4199">
      <w:pPr>
        <w:pStyle w:val="ListParagraph"/>
        <w:numPr>
          <w:ilvl w:val="0"/>
          <w:numId w:val="0"/>
        </w:numPr>
        <w:ind w:left="709"/>
        <w:rPr>
          <w:highlight w:val="yellow"/>
          <w:lang w:eastAsia="en-US"/>
        </w:rPr>
      </w:pPr>
    </w:p>
    <w:p w14:paraId="1CE1F5F6" w14:textId="77777777" w:rsidR="00CD28A8" w:rsidRDefault="00CD28A8">
      <w:r>
        <w:br w:type="page"/>
      </w:r>
    </w:p>
    <w:tbl>
      <w:tblPr>
        <w:tblW w:w="9021" w:type="dxa"/>
        <w:tblLayout w:type="fixed"/>
        <w:tblLook w:val="04A0" w:firstRow="1" w:lastRow="0" w:firstColumn="1" w:lastColumn="0" w:noHBand="0" w:noVBand="1"/>
      </w:tblPr>
      <w:tblGrid>
        <w:gridCol w:w="2127"/>
        <w:gridCol w:w="420"/>
        <w:gridCol w:w="572"/>
        <w:gridCol w:w="992"/>
        <w:gridCol w:w="851"/>
        <w:gridCol w:w="2551"/>
        <w:gridCol w:w="1472"/>
        <w:gridCol w:w="36"/>
      </w:tblGrid>
      <w:tr w:rsidR="00A042A9" w:rsidRPr="00CA4838" w14:paraId="581CD841" w14:textId="77777777" w:rsidTr="00ED665A">
        <w:trPr>
          <w:gridAfter w:val="1"/>
          <w:wAfter w:w="36" w:type="dxa"/>
        </w:trPr>
        <w:tc>
          <w:tcPr>
            <w:tcW w:w="2127" w:type="dxa"/>
            <w:tcBorders>
              <w:bottom w:val="single" w:sz="4" w:space="0" w:color="auto"/>
            </w:tcBorders>
          </w:tcPr>
          <w:p w14:paraId="23A59A89" w14:textId="77777777" w:rsidR="00A042A9" w:rsidRPr="00CA4838" w:rsidRDefault="00A042A9" w:rsidP="00ED665A">
            <w:pPr>
              <w:pStyle w:val="TableText"/>
              <w:spacing w:before="0" w:after="0" w:line="240" w:lineRule="auto"/>
              <w:rPr>
                <w:b/>
                <w:bCs/>
              </w:rPr>
            </w:pPr>
            <w:r w:rsidRPr="00CA4838">
              <w:t>Name, restriction, manner of administration, form</w:t>
            </w:r>
          </w:p>
        </w:tc>
        <w:tc>
          <w:tcPr>
            <w:tcW w:w="992" w:type="dxa"/>
            <w:gridSpan w:val="2"/>
            <w:tcBorders>
              <w:bottom w:val="single" w:sz="4" w:space="0" w:color="auto"/>
            </w:tcBorders>
          </w:tcPr>
          <w:p w14:paraId="23264E24" w14:textId="77777777" w:rsidR="00A042A9" w:rsidRPr="00CA4838" w:rsidRDefault="00A042A9" w:rsidP="00ED665A">
            <w:pPr>
              <w:pStyle w:val="TableText"/>
              <w:spacing w:before="0" w:after="0" w:line="240" w:lineRule="auto"/>
              <w:rPr>
                <w:b/>
                <w:bCs/>
              </w:rPr>
            </w:pPr>
            <w:r w:rsidRPr="00CA4838">
              <w:t>Maximum quantity (packs)</w:t>
            </w:r>
          </w:p>
        </w:tc>
        <w:tc>
          <w:tcPr>
            <w:tcW w:w="992" w:type="dxa"/>
            <w:tcBorders>
              <w:bottom w:val="single" w:sz="4" w:space="0" w:color="auto"/>
            </w:tcBorders>
          </w:tcPr>
          <w:p w14:paraId="0F9082CA" w14:textId="77777777" w:rsidR="00A042A9" w:rsidRPr="00CA4838" w:rsidRDefault="00A042A9" w:rsidP="00ED665A">
            <w:pPr>
              <w:pStyle w:val="TableText"/>
              <w:spacing w:before="0" w:after="0" w:line="240" w:lineRule="auto"/>
              <w:rPr>
                <w:b/>
                <w:bCs/>
              </w:rPr>
            </w:pPr>
            <w:r w:rsidRPr="00CA4838">
              <w:t>Maximum quantity (units)</w:t>
            </w:r>
          </w:p>
        </w:tc>
        <w:tc>
          <w:tcPr>
            <w:tcW w:w="851" w:type="dxa"/>
            <w:tcBorders>
              <w:bottom w:val="single" w:sz="4" w:space="0" w:color="auto"/>
            </w:tcBorders>
          </w:tcPr>
          <w:p w14:paraId="35F62C57" w14:textId="77777777" w:rsidR="00A042A9" w:rsidRPr="00CA4838" w:rsidRDefault="00A042A9" w:rsidP="00ED665A">
            <w:pPr>
              <w:pStyle w:val="TableText"/>
              <w:spacing w:before="0" w:after="0" w:line="240" w:lineRule="auto"/>
              <w:rPr>
                <w:b/>
                <w:bCs/>
              </w:rPr>
            </w:pPr>
            <w:r w:rsidRPr="00CA4838">
              <w:t>No. of repeats</w:t>
            </w:r>
          </w:p>
        </w:tc>
        <w:tc>
          <w:tcPr>
            <w:tcW w:w="2551" w:type="dxa"/>
            <w:tcBorders>
              <w:bottom w:val="single" w:sz="4" w:space="0" w:color="auto"/>
            </w:tcBorders>
          </w:tcPr>
          <w:p w14:paraId="400FDED8" w14:textId="77777777" w:rsidR="00A042A9" w:rsidRPr="00CA4838" w:rsidRDefault="00A042A9" w:rsidP="00ED665A">
            <w:pPr>
              <w:pStyle w:val="TableText"/>
              <w:spacing w:before="0" w:after="0" w:line="240" w:lineRule="auto"/>
              <w:rPr>
                <w:b/>
                <w:bCs/>
              </w:rPr>
            </w:pPr>
            <w:r w:rsidRPr="00CA4838">
              <w:t>Dispensed price for maximum quantity</w:t>
            </w:r>
          </w:p>
        </w:tc>
        <w:tc>
          <w:tcPr>
            <w:tcW w:w="1472" w:type="dxa"/>
            <w:tcBorders>
              <w:bottom w:val="single" w:sz="4" w:space="0" w:color="auto"/>
            </w:tcBorders>
          </w:tcPr>
          <w:p w14:paraId="3BE4EB1F" w14:textId="77777777" w:rsidR="00A042A9" w:rsidRPr="00CA4838" w:rsidRDefault="00A042A9" w:rsidP="00ED665A">
            <w:pPr>
              <w:pStyle w:val="TableText"/>
              <w:spacing w:before="0" w:after="0" w:line="240" w:lineRule="auto"/>
              <w:rPr>
                <w:b/>
                <w:bCs/>
              </w:rPr>
            </w:pPr>
            <w:r w:rsidRPr="00CA4838">
              <w:t>Proprietary name and manufacturer</w:t>
            </w:r>
          </w:p>
        </w:tc>
      </w:tr>
      <w:tr w:rsidR="00A042A9" w:rsidRPr="00CA4838" w14:paraId="6488701A" w14:textId="77777777" w:rsidTr="00ED665A">
        <w:trPr>
          <w:gridAfter w:val="1"/>
          <w:wAfter w:w="36" w:type="dxa"/>
        </w:trPr>
        <w:tc>
          <w:tcPr>
            <w:tcW w:w="2127" w:type="dxa"/>
            <w:tcBorders>
              <w:top w:val="single" w:sz="4" w:space="0" w:color="auto"/>
              <w:bottom w:val="single" w:sz="4" w:space="0" w:color="auto"/>
            </w:tcBorders>
            <w:vAlign w:val="center"/>
          </w:tcPr>
          <w:p w14:paraId="65A12734" w14:textId="77777777" w:rsidR="00A042A9" w:rsidRPr="00CA4838" w:rsidRDefault="00A042A9" w:rsidP="00ED665A">
            <w:pPr>
              <w:keepLines/>
              <w:spacing w:before="0" w:after="0"/>
              <w:jc w:val="left"/>
              <w:rPr>
                <w:rFonts w:ascii="Arial Narrow" w:hAnsi="Arial Narrow"/>
                <w:sz w:val="20"/>
              </w:rPr>
            </w:pPr>
            <w:r w:rsidRPr="00CA4838">
              <w:rPr>
                <w:rFonts w:ascii="Arial Narrow" w:hAnsi="Arial Narrow"/>
                <w:sz w:val="20"/>
              </w:rPr>
              <w:t>OLAPARIB, tablet, 150mg, 100mg, 56</w:t>
            </w:r>
          </w:p>
          <w:p w14:paraId="7269DDD0" w14:textId="77777777" w:rsidR="00A042A9" w:rsidRPr="00CA4838" w:rsidRDefault="00A042A9" w:rsidP="00ED665A">
            <w:pPr>
              <w:pStyle w:val="TableText"/>
              <w:spacing w:before="0" w:after="0" w:line="240" w:lineRule="auto"/>
              <w:rPr>
                <w:bCs/>
              </w:rPr>
            </w:pPr>
            <w:r w:rsidRPr="00CA4838">
              <w:t>Initial treatment</w:t>
            </w:r>
          </w:p>
        </w:tc>
        <w:tc>
          <w:tcPr>
            <w:tcW w:w="992" w:type="dxa"/>
            <w:gridSpan w:val="2"/>
            <w:tcBorders>
              <w:top w:val="single" w:sz="4" w:space="0" w:color="auto"/>
              <w:bottom w:val="single" w:sz="4" w:space="0" w:color="auto"/>
            </w:tcBorders>
            <w:vAlign w:val="center"/>
          </w:tcPr>
          <w:p w14:paraId="626F724A" w14:textId="77777777" w:rsidR="00A042A9" w:rsidRPr="00CA4838" w:rsidRDefault="00A042A9" w:rsidP="00ED665A">
            <w:pPr>
              <w:pStyle w:val="TableText"/>
              <w:spacing w:before="0" w:after="0" w:line="240" w:lineRule="auto"/>
              <w:jc w:val="center"/>
              <w:rPr>
                <w:rFonts w:ascii="Times" w:hAnsi="Times"/>
              </w:rPr>
            </w:pPr>
            <w:r w:rsidRPr="00CA4838">
              <w:t>2</w:t>
            </w:r>
          </w:p>
        </w:tc>
        <w:tc>
          <w:tcPr>
            <w:tcW w:w="992" w:type="dxa"/>
            <w:tcBorders>
              <w:top w:val="single" w:sz="4" w:space="0" w:color="auto"/>
              <w:bottom w:val="single" w:sz="4" w:space="0" w:color="auto"/>
            </w:tcBorders>
            <w:vAlign w:val="center"/>
          </w:tcPr>
          <w:p w14:paraId="6880794A" w14:textId="77777777" w:rsidR="00A042A9" w:rsidRPr="00CA4838" w:rsidRDefault="00A042A9" w:rsidP="00ED665A">
            <w:pPr>
              <w:pStyle w:val="TableText"/>
              <w:spacing w:before="0" w:after="0" w:line="240" w:lineRule="auto"/>
              <w:jc w:val="center"/>
              <w:rPr>
                <w:rFonts w:ascii="Times" w:hAnsi="Times"/>
              </w:rPr>
            </w:pPr>
            <w:r w:rsidRPr="00CA4838">
              <w:t>112</w:t>
            </w:r>
          </w:p>
        </w:tc>
        <w:tc>
          <w:tcPr>
            <w:tcW w:w="851" w:type="dxa"/>
            <w:tcBorders>
              <w:top w:val="single" w:sz="4" w:space="0" w:color="auto"/>
              <w:bottom w:val="single" w:sz="4" w:space="0" w:color="auto"/>
            </w:tcBorders>
            <w:vAlign w:val="center"/>
          </w:tcPr>
          <w:p w14:paraId="23BA081E" w14:textId="77777777" w:rsidR="00A042A9" w:rsidRPr="00CA4838" w:rsidRDefault="00A042A9" w:rsidP="00ED665A">
            <w:pPr>
              <w:pStyle w:val="TableText"/>
              <w:spacing w:before="0" w:after="0" w:line="240" w:lineRule="auto"/>
              <w:jc w:val="center"/>
              <w:rPr>
                <w:rFonts w:ascii="Times" w:hAnsi="Times"/>
              </w:rPr>
            </w:pPr>
            <w:r w:rsidRPr="00CA4838">
              <w:t>2</w:t>
            </w:r>
          </w:p>
        </w:tc>
        <w:tc>
          <w:tcPr>
            <w:tcW w:w="2551" w:type="dxa"/>
            <w:tcBorders>
              <w:top w:val="single" w:sz="4" w:space="0" w:color="auto"/>
              <w:bottom w:val="single" w:sz="4" w:space="0" w:color="auto"/>
            </w:tcBorders>
            <w:vAlign w:val="center"/>
          </w:tcPr>
          <w:p w14:paraId="32D62085" w14:textId="77777777" w:rsidR="00A042A9" w:rsidRPr="00CA4838" w:rsidRDefault="00A042A9" w:rsidP="00ED665A">
            <w:pPr>
              <w:pStyle w:val="TableText"/>
              <w:spacing w:before="0" w:after="0" w:line="240" w:lineRule="auto"/>
            </w:pPr>
            <w:r w:rsidRPr="00CA4838">
              <w:t>$</w:t>
            </w:r>
            <w:r w:rsidR="00CD28A8">
              <w:rPr>
                <w:noProof/>
                <w:color w:val="000000"/>
                <w:highlight w:val="black"/>
              </w:rPr>
              <w:t>'''''''''''''''''''''</w:t>
            </w:r>
            <w:r w:rsidRPr="00CA4838">
              <w:t xml:space="preserve"> (published April 2022^)</w:t>
            </w:r>
          </w:p>
          <w:p w14:paraId="5BAA5BF1" w14:textId="77777777" w:rsidR="00A042A9" w:rsidRPr="00CA4838" w:rsidRDefault="00A042A9" w:rsidP="00ED665A">
            <w:pPr>
              <w:pStyle w:val="TableText"/>
              <w:spacing w:before="0" w:after="0" w:line="240" w:lineRule="auto"/>
              <w:rPr>
                <w:rFonts w:ascii="Times" w:hAnsi="Times"/>
              </w:rPr>
            </w:pPr>
            <w:r w:rsidRPr="00CA4838">
              <w:t>$</w:t>
            </w:r>
            <w:r w:rsidR="00CD28A8">
              <w:rPr>
                <w:noProof/>
                <w:color w:val="000000"/>
                <w:highlight w:val="black"/>
              </w:rPr>
              <w:t>'''''''''''''''''''''</w:t>
            </w:r>
            <w:r w:rsidRPr="00CA4838">
              <w:t xml:space="preserve"> (effective April 2022)</w:t>
            </w:r>
          </w:p>
        </w:tc>
        <w:tc>
          <w:tcPr>
            <w:tcW w:w="1472" w:type="dxa"/>
            <w:tcBorders>
              <w:top w:val="single" w:sz="4" w:space="0" w:color="auto"/>
              <w:bottom w:val="single" w:sz="4" w:space="0" w:color="auto"/>
            </w:tcBorders>
            <w:vAlign w:val="center"/>
          </w:tcPr>
          <w:p w14:paraId="31960D49" w14:textId="77777777" w:rsidR="00A042A9" w:rsidRPr="00CA4838" w:rsidRDefault="00A042A9" w:rsidP="00ED665A">
            <w:pPr>
              <w:pStyle w:val="TableText"/>
              <w:spacing w:before="0" w:after="0" w:line="240" w:lineRule="auto"/>
              <w:rPr>
                <w:rFonts w:ascii="Times" w:hAnsi="Times"/>
              </w:rPr>
            </w:pPr>
            <w:r w:rsidRPr="00CA4838">
              <w:t>LYNPARZA</w:t>
            </w:r>
            <w:r w:rsidRPr="00CA4838">
              <w:rPr>
                <w:vertAlign w:val="superscript"/>
              </w:rPr>
              <w:t>®</w:t>
            </w:r>
            <w:r w:rsidRPr="00CA4838">
              <w:br/>
              <w:t>AstraZeneca Pty Ltd</w:t>
            </w:r>
          </w:p>
        </w:tc>
      </w:tr>
      <w:tr w:rsidR="00A042A9" w:rsidRPr="00CA4838" w14:paraId="7910D26A" w14:textId="77777777" w:rsidTr="00ED665A">
        <w:trPr>
          <w:gridAfter w:val="1"/>
          <w:wAfter w:w="36" w:type="dxa"/>
        </w:trPr>
        <w:tc>
          <w:tcPr>
            <w:tcW w:w="2127" w:type="dxa"/>
            <w:tcBorders>
              <w:top w:val="single" w:sz="4" w:space="0" w:color="auto"/>
              <w:bottom w:val="single" w:sz="4" w:space="0" w:color="auto"/>
            </w:tcBorders>
            <w:vAlign w:val="center"/>
          </w:tcPr>
          <w:p w14:paraId="61417354" w14:textId="77777777" w:rsidR="00A042A9" w:rsidRPr="00CA4838" w:rsidRDefault="00A042A9" w:rsidP="00ED665A">
            <w:pPr>
              <w:keepLines/>
              <w:spacing w:before="0" w:after="0"/>
              <w:jc w:val="left"/>
              <w:rPr>
                <w:rFonts w:ascii="Arial Narrow" w:hAnsi="Arial Narrow"/>
                <w:sz w:val="20"/>
              </w:rPr>
            </w:pPr>
            <w:r w:rsidRPr="00CA4838">
              <w:rPr>
                <w:rFonts w:ascii="Arial Narrow" w:hAnsi="Arial Narrow"/>
                <w:sz w:val="20"/>
              </w:rPr>
              <w:t>OLAPARIB, tablet, 150mg, 100mg, 56</w:t>
            </w:r>
          </w:p>
          <w:p w14:paraId="26F24E36" w14:textId="77777777" w:rsidR="00A042A9" w:rsidRPr="00CA4838" w:rsidRDefault="00A042A9" w:rsidP="00ED665A">
            <w:pPr>
              <w:pStyle w:val="TableText"/>
              <w:spacing w:before="0" w:after="0" w:line="240" w:lineRule="auto"/>
            </w:pPr>
            <w:r w:rsidRPr="00CA4838">
              <w:t>Continuing treatment</w:t>
            </w:r>
          </w:p>
        </w:tc>
        <w:tc>
          <w:tcPr>
            <w:tcW w:w="992" w:type="dxa"/>
            <w:gridSpan w:val="2"/>
            <w:tcBorders>
              <w:top w:val="single" w:sz="4" w:space="0" w:color="auto"/>
              <w:bottom w:val="single" w:sz="4" w:space="0" w:color="auto"/>
            </w:tcBorders>
            <w:vAlign w:val="center"/>
          </w:tcPr>
          <w:p w14:paraId="38AF2849" w14:textId="77777777" w:rsidR="00A042A9" w:rsidRPr="00CA4838" w:rsidRDefault="00A042A9" w:rsidP="00ED665A">
            <w:pPr>
              <w:pStyle w:val="TableText"/>
              <w:spacing w:before="0" w:after="0" w:line="240" w:lineRule="auto"/>
              <w:jc w:val="center"/>
            </w:pPr>
            <w:r w:rsidRPr="00CA4838">
              <w:t>2</w:t>
            </w:r>
          </w:p>
        </w:tc>
        <w:tc>
          <w:tcPr>
            <w:tcW w:w="992" w:type="dxa"/>
            <w:tcBorders>
              <w:top w:val="single" w:sz="4" w:space="0" w:color="auto"/>
              <w:bottom w:val="single" w:sz="4" w:space="0" w:color="auto"/>
            </w:tcBorders>
            <w:vAlign w:val="center"/>
          </w:tcPr>
          <w:p w14:paraId="32A95AFA" w14:textId="77777777" w:rsidR="00A042A9" w:rsidRPr="00CA4838" w:rsidRDefault="00A042A9" w:rsidP="00ED665A">
            <w:pPr>
              <w:pStyle w:val="TableText"/>
              <w:spacing w:before="0" w:after="0" w:line="240" w:lineRule="auto"/>
              <w:jc w:val="center"/>
            </w:pPr>
            <w:r w:rsidRPr="00CA4838">
              <w:t>112</w:t>
            </w:r>
          </w:p>
        </w:tc>
        <w:tc>
          <w:tcPr>
            <w:tcW w:w="851" w:type="dxa"/>
            <w:tcBorders>
              <w:top w:val="single" w:sz="4" w:space="0" w:color="auto"/>
              <w:bottom w:val="single" w:sz="4" w:space="0" w:color="auto"/>
            </w:tcBorders>
            <w:vAlign w:val="center"/>
          </w:tcPr>
          <w:p w14:paraId="2613F639" w14:textId="77777777" w:rsidR="00A042A9" w:rsidRPr="00CA4838" w:rsidRDefault="00A042A9" w:rsidP="00ED665A">
            <w:pPr>
              <w:pStyle w:val="TableText"/>
              <w:spacing w:before="0" w:after="0" w:line="240" w:lineRule="auto"/>
              <w:jc w:val="center"/>
            </w:pPr>
            <w:r w:rsidRPr="00CA4838">
              <w:t>5</w:t>
            </w:r>
          </w:p>
        </w:tc>
        <w:tc>
          <w:tcPr>
            <w:tcW w:w="2551" w:type="dxa"/>
            <w:tcBorders>
              <w:top w:val="single" w:sz="4" w:space="0" w:color="auto"/>
              <w:bottom w:val="single" w:sz="4" w:space="0" w:color="auto"/>
            </w:tcBorders>
            <w:vAlign w:val="center"/>
          </w:tcPr>
          <w:p w14:paraId="66D9B488" w14:textId="77777777" w:rsidR="00A042A9" w:rsidRPr="00CA4838" w:rsidRDefault="00A042A9" w:rsidP="00ED665A">
            <w:pPr>
              <w:pStyle w:val="TableText"/>
              <w:spacing w:before="0" w:after="0" w:line="240" w:lineRule="auto"/>
            </w:pPr>
            <w:r w:rsidRPr="00CA4838">
              <w:t>$</w:t>
            </w:r>
            <w:r w:rsidR="00CD28A8">
              <w:rPr>
                <w:noProof/>
                <w:color w:val="000000"/>
                <w:highlight w:val="black"/>
              </w:rPr>
              <w:t>''''''''''''''''''''''</w:t>
            </w:r>
            <w:r w:rsidRPr="00CA4838">
              <w:t xml:space="preserve"> (published April 2022^)</w:t>
            </w:r>
          </w:p>
          <w:p w14:paraId="48EFBEB7" w14:textId="77777777" w:rsidR="00A042A9" w:rsidRPr="00CA4838" w:rsidRDefault="00A042A9" w:rsidP="00ED665A">
            <w:pPr>
              <w:pStyle w:val="TableText"/>
              <w:spacing w:before="0" w:after="0" w:line="240" w:lineRule="auto"/>
            </w:pPr>
            <w:r w:rsidRPr="00CA4838">
              <w:t>$</w:t>
            </w:r>
            <w:r w:rsidR="00CD28A8">
              <w:rPr>
                <w:noProof/>
                <w:color w:val="000000"/>
                <w:highlight w:val="black"/>
              </w:rPr>
              <w:t>''''''''''''''''''''</w:t>
            </w:r>
            <w:r w:rsidRPr="00CA4838">
              <w:t xml:space="preserve"> (effective April 2022)</w:t>
            </w:r>
          </w:p>
        </w:tc>
        <w:tc>
          <w:tcPr>
            <w:tcW w:w="1472" w:type="dxa"/>
            <w:tcBorders>
              <w:top w:val="single" w:sz="4" w:space="0" w:color="auto"/>
              <w:bottom w:val="single" w:sz="4" w:space="0" w:color="auto"/>
            </w:tcBorders>
            <w:vAlign w:val="center"/>
          </w:tcPr>
          <w:p w14:paraId="30744F3E" w14:textId="77777777" w:rsidR="00A042A9" w:rsidRPr="00CA4838" w:rsidRDefault="00A042A9" w:rsidP="00ED665A">
            <w:pPr>
              <w:pStyle w:val="TableText"/>
              <w:spacing w:before="0" w:after="0" w:line="240" w:lineRule="auto"/>
            </w:pPr>
            <w:r w:rsidRPr="00CA4838">
              <w:t>LYNPARZA</w:t>
            </w:r>
            <w:r w:rsidRPr="00CA4838">
              <w:rPr>
                <w:vertAlign w:val="superscript"/>
              </w:rPr>
              <w:t>®</w:t>
            </w:r>
            <w:r w:rsidRPr="00CA4838">
              <w:br/>
              <w:t>AstraZeneca Pty Ltd</w:t>
            </w:r>
          </w:p>
        </w:tc>
      </w:tr>
      <w:tr w:rsidR="00A042A9" w:rsidRPr="00CA4838" w14:paraId="5FBC6B08"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56524FF"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Category / Program:</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49011C"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GENERAL – General Schedule (Code GE)</w:t>
            </w:r>
          </w:p>
        </w:tc>
      </w:tr>
      <w:tr w:rsidR="00A042A9" w:rsidRPr="00CA4838" w14:paraId="716B1621"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630645"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Prescriber type:</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F46247"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fldChar w:fldCharType="begin">
                <w:ffData>
                  <w:name w:val=""/>
                  <w:enabled/>
                  <w:calcOnExit w:val="0"/>
                  <w:checkBox>
                    <w:sizeAuto/>
                    <w:default w:val="1"/>
                  </w:checkBox>
                </w:ffData>
              </w:fldChar>
            </w:r>
            <w:r w:rsidRPr="00CA4838">
              <w:rPr>
                <w:rFonts w:ascii="Arial Narrow" w:hAnsi="Arial Narrow" w:cs="Arial"/>
                <w:sz w:val="20"/>
                <w:szCs w:val="20"/>
              </w:rPr>
              <w:instrText xml:space="preserve"> FORMCHECKBOX </w:instrText>
            </w:r>
            <w:r w:rsidR="00300B3C">
              <w:rPr>
                <w:rFonts w:ascii="Arial Narrow" w:hAnsi="Arial Narrow" w:cs="Arial"/>
                <w:sz w:val="20"/>
                <w:szCs w:val="20"/>
              </w:rPr>
            </w:r>
            <w:r w:rsidR="00300B3C">
              <w:rPr>
                <w:rFonts w:ascii="Arial Narrow" w:hAnsi="Arial Narrow" w:cs="Arial"/>
                <w:sz w:val="20"/>
                <w:szCs w:val="20"/>
              </w:rPr>
              <w:fldChar w:fldCharType="separate"/>
            </w:r>
            <w:r w:rsidRPr="00CA4838">
              <w:rPr>
                <w:rFonts w:ascii="Arial Narrow" w:hAnsi="Arial Narrow" w:cs="Arial"/>
                <w:sz w:val="20"/>
                <w:szCs w:val="20"/>
              </w:rPr>
              <w:fldChar w:fldCharType="end"/>
            </w:r>
            <w:r w:rsidRPr="00CA4838">
              <w:rPr>
                <w:rFonts w:ascii="Arial Narrow" w:hAnsi="Arial Narrow" w:cs="Arial"/>
                <w:sz w:val="20"/>
                <w:szCs w:val="20"/>
              </w:rPr>
              <w:t xml:space="preserve">Medical Practitioners </w:t>
            </w:r>
          </w:p>
        </w:tc>
      </w:tr>
      <w:tr w:rsidR="00A042A9" w:rsidRPr="00CA4838" w14:paraId="0850BD74"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43CF61C"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Severity:</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1BA6F68"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Metastatic</w:t>
            </w:r>
          </w:p>
        </w:tc>
      </w:tr>
      <w:tr w:rsidR="00A042A9" w:rsidRPr="00CA4838" w14:paraId="1148A2B8"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C80C85C"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Condition:</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933443"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Carcinoma of the prostate</w:t>
            </w:r>
          </w:p>
        </w:tc>
      </w:tr>
      <w:tr w:rsidR="00A042A9" w:rsidRPr="00CA4838" w14:paraId="3DDA6F1E"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971F0C"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PBS Indication:</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28EDDAA"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Castration resistant metastatic carcinoma of the prostate</w:t>
            </w:r>
          </w:p>
        </w:tc>
      </w:tr>
      <w:tr w:rsidR="00A042A9" w:rsidRPr="00CA4838" w14:paraId="45651FE2"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FE599C1"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Treatment phase:</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487960"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 xml:space="preserve">Initial </w:t>
            </w:r>
          </w:p>
        </w:tc>
      </w:tr>
      <w:tr w:rsidR="00A042A9" w:rsidRPr="00CA4838" w14:paraId="3CE09BEB"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84E9EE"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Restriction Level / Method:</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D0F3E95"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fldChar w:fldCharType="begin">
                <w:ffData>
                  <w:name w:val="Check3"/>
                  <w:enabled/>
                  <w:calcOnExit w:val="0"/>
                  <w:checkBox>
                    <w:sizeAuto/>
                    <w:default w:val="1"/>
                  </w:checkBox>
                </w:ffData>
              </w:fldChar>
            </w:r>
            <w:r w:rsidRPr="00CA4838">
              <w:rPr>
                <w:rFonts w:ascii="Arial Narrow" w:hAnsi="Arial Narrow" w:cs="Arial"/>
                <w:sz w:val="20"/>
                <w:szCs w:val="20"/>
              </w:rPr>
              <w:instrText xml:space="preserve"> FORMCHECKBOX </w:instrText>
            </w:r>
            <w:r w:rsidR="00300B3C">
              <w:rPr>
                <w:rFonts w:ascii="Arial Narrow" w:hAnsi="Arial Narrow" w:cs="Arial"/>
                <w:sz w:val="20"/>
                <w:szCs w:val="20"/>
              </w:rPr>
            </w:r>
            <w:r w:rsidR="00300B3C">
              <w:rPr>
                <w:rFonts w:ascii="Arial Narrow" w:hAnsi="Arial Narrow" w:cs="Arial"/>
                <w:sz w:val="20"/>
                <w:szCs w:val="20"/>
              </w:rPr>
              <w:fldChar w:fldCharType="separate"/>
            </w:r>
            <w:r w:rsidRPr="00CA4838">
              <w:rPr>
                <w:rFonts w:ascii="Arial Narrow" w:hAnsi="Arial Narrow" w:cs="Arial"/>
                <w:sz w:val="20"/>
                <w:szCs w:val="20"/>
              </w:rPr>
              <w:fldChar w:fldCharType="end"/>
            </w:r>
            <w:r w:rsidRPr="00CA4838">
              <w:rPr>
                <w:rFonts w:ascii="Arial Narrow" w:hAnsi="Arial Narrow" w:cs="Arial"/>
                <w:sz w:val="20"/>
                <w:szCs w:val="20"/>
              </w:rPr>
              <w:t>Authority Required – Telephone/Electronic/Emergency</w:t>
            </w:r>
          </w:p>
        </w:tc>
      </w:tr>
      <w:tr w:rsidR="00A042A9" w:rsidRPr="00CA4838" w14:paraId="157A23E5"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FCA4C48"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Clinical criteria:</w:t>
            </w:r>
          </w:p>
          <w:p w14:paraId="5EDD2BB0" w14:textId="77777777" w:rsidR="00A042A9" w:rsidRPr="00CA4838" w:rsidRDefault="00A042A9" w:rsidP="00ED665A">
            <w:pPr>
              <w:spacing w:before="0" w:after="0"/>
              <w:rPr>
                <w:rFonts w:ascii="Arial Narrow" w:hAnsi="Arial Narrow" w:cs="Arial"/>
                <w:b/>
                <w:sz w:val="20"/>
                <w:szCs w:val="20"/>
              </w:rPr>
            </w:pP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5E1EE5B" w14:textId="77777777" w:rsidR="00A042A9" w:rsidRPr="00CA4838" w:rsidRDefault="00A042A9" w:rsidP="00ED665A">
            <w:pPr>
              <w:pStyle w:val="Default"/>
              <w:jc w:val="both"/>
              <w:rPr>
                <w:rFonts w:ascii="Arial Narrow" w:hAnsi="Arial Narrow"/>
                <w:i/>
                <w:color w:val="auto"/>
                <w:sz w:val="20"/>
                <w:szCs w:val="20"/>
              </w:rPr>
            </w:pPr>
            <w:r w:rsidRPr="00CA4838">
              <w:rPr>
                <w:rFonts w:ascii="Arial Narrow" w:hAnsi="Arial Narrow"/>
                <w:iCs/>
                <w:color w:val="auto"/>
                <w:sz w:val="20"/>
                <w:szCs w:val="20"/>
              </w:rPr>
              <w:t xml:space="preserve">Patient must have homologous recombination repair gene variants (germline and/or somatic) </w:t>
            </w:r>
            <w:r w:rsidRPr="00CA4838">
              <w:rPr>
                <w:rFonts w:ascii="Arial Narrow" w:hAnsi="Arial Narrow"/>
                <w:i/>
                <w:color w:val="auto"/>
                <w:sz w:val="20"/>
                <w:szCs w:val="20"/>
              </w:rPr>
              <w:t>BRCA1</w:t>
            </w:r>
            <w:r w:rsidRPr="00CA4838">
              <w:rPr>
                <w:rFonts w:ascii="Arial Narrow" w:hAnsi="Arial Narrow"/>
                <w:iCs/>
                <w:color w:val="auto"/>
                <w:sz w:val="20"/>
                <w:szCs w:val="20"/>
              </w:rPr>
              <w:t xml:space="preserve"> or </w:t>
            </w:r>
            <w:r w:rsidRPr="00CA4838">
              <w:rPr>
                <w:rFonts w:ascii="Arial Narrow" w:hAnsi="Arial Narrow"/>
                <w:i/>
                <w:color w:val="auto"/>
                <w:sz w:val="20"/>
                <w:szCs w:val="20"/>
              </w:rPr>
              <w:t>BRCA2</w:t>
            </w:r>
          </w:p>
          <w:p w14:paraId="2781F6B9" w14:textId="77777777" w:rsidR="00A042A9" w:rsidRPr="00CA4838" w:rsidRDefault="00A042A9" w:rsidP="00ED665A">
            <w:pPr>
              <w:pStyle w:val="Default"/>
              <w:jc w:val="both"/>
              <w:rPr>
                <w:rFonts w:ascii="Arial Narrow" w:hAnsi="Arial Narrow"/>
                <w:color w:val="auto"/>
                <w:sz w:val="20"/>
                <w:szCs w:val="20"/>
              </w:rPr>
            </w:pPr>
            <w:r w:rsidRPr="00CA4838">
              <w:rPr>
                <w:rFonts w:ascii="Arial Narrow" w:hAnsi="Arial Narrow"/>
                <w:color w:val="auto"/>
                <w:sz w:val="20"/>
                <w:szCs w:val="20"/>
              </w:rPr>
              <w:t>AND</w:t>
            </w:r>
          </w:p>
          <w:p w14:paraId="3FE2CCA2" w14:textId="77777777" w:rsidR="00A042A9" w:rsidRPr="00CA4838" w:rsidRDefault="00A042A9" w:rsidP="00ED665A">
            <w:pPr>
              <w:pStyle w:val="Default"/>
              <w:jc w:val="both"/>
              <w:rPr>
                <w:rFonts w:ascii="Arial Narrow" w:hAnsi="Arial Narrow"/>
                <w:color w:val="auto"/>
                <w:sz w:val="20"/>
                <w:szCs w:val="20"/>
              </w:rPr>
            </w:pPr>
            <w:r w:rsidRPr="00CA4838">
              <w:rPr>
                <w:rFonts w:ascii="Arial Narrow" w:hAnsi="Arial Narrow"/>
                <w:color w:val="auto"/>
                <w:sz w:val="20"/>
                <w:szCs w:val="20"/>
              </w:rPr>
              <w:t>The treatment must not be used in combination with chemotherapy or novel hormonal agents</w:t>
            </w:r>
          </w:p>
          <w:p w14:paraId="7AD129E1" w14:textId="77777777" w:rsidR="00A042A9" w:rsidRPr="00CA4838" w:rsidRDefault="00A042A9" w:rsidP="00ED665A">
            <w:pPr>
              <w:pStyle w:val="Default"/>
              <w:jc w:val="both"/>
              <w:rPr>
                <w:rFonts w:ascii="Arial Narrow" w:hAnsi="Arial Narrow"/>
                <w:color w:val="auto"/>
                <w:sz w:val="20"/>
                <w:szCs w:val="20"/>
              </w:rPr>
            </w:pPr>
            <w:r w:rsidRPr="00CA4838">
              <w:rPr>
                <w:rFonts w:ascii="Arial Narrow" w:hAnsi="Arial Narrow"/>
                <w:color w:val="auto"/>
                <w:sz w:val="20"/>
                <w:szCs w:val="20"/>
              </w:rPr>
              <w:t xml:space="preserve">AND </w:t>
            </w:r>
          </w:p>
          <w:p w14:paraId="4540A46F" w14:textId="77777777" w:rsidR="00A042A9" w:rsidRPr="00CA4838" w:rsidRDefault="00A042A9" w:rsidP="00ED665A">
            <w:pPr>
              <w:pStyle w:val="Default"/>
              <w:jc w:val="both"/>
              <w:rPr>
                <w:rFonts w:ascii="Arial Narrow" w:hAnsi="Arial Narrow"/>
                <w:color w:val="auto"/>
                <w:sz w:val="20"/>
                <w:szCs w:val="20"/>
              </w:rPr>
            </w:pPr>
            <w:r w:rsidRPr="00CA4838">
              <w:rPr>
                <w:rFonts w:ascii="Arial Narrow" w:hAnsi="Arial Narrow"/>
                <w:color w:val="auto"/>
                <w:sz w:val="20"/>
                <w:szCs w:val="20"/>
              </w:rPr>
              <w:t xml:space="preserve">Patient must not receive PBS-subsidised treatment with this drug if progressive disease develops while on this drug </w:t>
            </w:r>
          </w:p>
          <w:p w14:paraId="5BF10E5D" w14:textId="77777777" w:rsidR="00A042A9" w:rsidRPr="00CA4838" w:rsidRDefault="00A042A9" w:rsidP="00ED665A">
            <w:pPr>
              <w:pStyle w:val="Default"/>
              <w:jc w:val="both"/>
              <w:rPr>
                <w:rFonts w:ascii="Arial Narrow" w:hAnsi="Arial Narrow"/>
                <w:color w:val="auto"/>
                <w:sz w:val="20"/>
                <w:szCs w:val="20"/>
              </w:rPr>
            </w:pPr>
            <w:r w:rsidRPr="00CA4838">
              <w:rPr>
                <w:rFonts w:ascii="Arial Narrow" w:hAnsi="Arial Narrow"/>
                <w:color w:val="auto"/>
                <w:sz w:val="20"/>
                <w:szCs w:val="20"/>
              </w:rPr>
              <w:t xml:space="preserve">AND </w:t>
            </w:r>
          </w:p>
          <w:p w14:paraId="49C0F008" w14:textId="77777777" w:rsidR="00A042A9" w:rsidRPr="00CA4838" w:rsidRDefault="00A042A9" w:rsidP="00ED665A">
            <w:pPr>
              <w:pStyle w:val="Default"/>
              <w:jc w:val="both"/>
              <w:rPr>
                <w:rFonts w:ascii="Arial Narrow" w:hAnsi="Arial Narrow"/>
                <w:color w:val="auto"/>
                <w:sz w:val="20"/>
                <w:szCs w:val="20"/>
              </w:rPr>
            </w:pPr>
            <w:r w:rsidRPr="00CA4838">
              <w:rPr>
                <w:rFonts w:ascii="Arial Narrow" w:hAnsi="Arial Narrow"/>
                <w:color w:val="auto"/>
                <w:sz w:val="20"/>
                <w:szCs w:val="20"/>
              </w:rPr>
              <w:t>Patient must have progressed or failed treatment following a prior novel hormonal agent treatment</w:t>
            </w:r>
          </w:p>
          <w:p w14:paraId="09C5527A"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 xml:space="preserve">OR </w:t>
            </w:r>
          </w:p>
          <w:p w14:paraId="71F9D78D"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Patient must be unsuitable for novel hormonal agent treatment on the basis of predicted intolerance</w:t>
            </w:r>
          </w:p>
          <w:p w14:paraId="18CF3622"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AND</w:t>
            </w:r>
          </w:p>
          <w:p w14:paraId="605C7E35"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Patient must have a WHO performance status of 2 or less</w:t>
            </w:r>
          </w:p>
          <w:p w14:paraId="57629882"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AND</w:t>
            </w:r>
          </w:p>
          <w:p w14:paraId="7C81AA95"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t xml:space="preserve">Patient must not have received prior treatment with olaparib </w:t>
            </w:r>
          </w:p>
        </w:tc>
      </w:tr>
      <w:tr w:rsidR="00A042A9" w:rsidRPr="00CA4838" w14:paraId="5C05C7F6"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9BFD525"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Treatment phase:</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F60B4D3" w14:textId="77777777" w:rsidR="00A042A9" w:rsidRPr="00CA4838" w:rsidRDefault="00A042A9" w:rsidP="00ED665A">
            <w:pPr>
              <w:pStyle w:val="Default"/>
              <w:jc w:val="both"/>
              <w:rPr>
                <w:rFonts w:ascii="Arial Narrow" w:hAnsi="Arial Narrow"/>
                <w:iCs/>
                <w:color w:val="auto"/>
                <w:sz w:val="20"/>
                <w:szCs w:val="20"/>
              </w:rPr>
            </w:pPr>
            <w:r w:rsidRPr="00CA4838">
              <w:rPr>
                <w:rFonts w:ascii="Arial Narrow" w:hAnsi="Arial Narrow"/>
                <w:iCs/>
                <w:color w:val="auto"/>
                <w:sz w:val="20"/>
                <w:szCs w:val="20"/>
              </w:rPr>
              <w:t>Continuing</w:t>
            </w:r>
          </w:p>
        </w:tc>
      </w:tr>
      <w:tr w:rsidR="00A042A9" w:rsidRPr="00CA4838" w14:paraId="236D8076"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D502E1"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Restriction Level / Method:</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DC5BC3" w14:textId="77777777" w:rsidR="00A042A9" w:rsidRPr="00CA4838" w:rsidRDefault="00A042A9" w:rsidP="00ED665A">
            <w:pPr>
              <w:spacing w:before="0" w:after="0"/>
              <w:rPr>
                <w:rFonts w:ascii="Arial Narrow" w:hAnsi="Arial Narrow" w:cs="Arial"/>
                <w:sz w:val="20"/>
                <w:szCs w:val="20"/>
              </w:rPr>
            </w:pPr>
            <w:r w:rsidRPr="00CA4838">
              <w:rPr>
                <w:rFonts w:ascii="Arial Narrow" w:hAnsi="Arial Narrow" w:cs="Arial"/>
                <w:sz w:val="20"/>
                <w:szCs w:val="20"/>
              </w:rPr>
              <w:fldChar w:fldCharType="begin">
                <w:ffData>
                  <w:name w:val="Check3"/>
                  <w:enabled/>
                  <w:calcOnExit w:val="0"/>
                  <w:checkBox>
                    <w:sizeAuto/>
                    <w:default w:val="1"/>
                  </w:checkBox>
                </w:ffData>
              </w:fldChar>
            </w:r>
            <w:r w:rsidRPr="00CA4838">
              <w:rPr>
                <w:rFonts w:ascii="Arial Narrow" w:hAnsi="Arial Narrow" w:cs="Arial"/>
                <w:sz w:val="20"/>
                <w:szCs w:val="20"/>
              </w:rPr>
              <w:instrText xml:space="preserve"> FORMCHECKBOX </w:instrText>
            </w:r>
            <w:r w:rsidR="00300B3C">
              <w:rPr>
                <w:rFonts w:ascii="Arial Narrow" w:hAnsi="Arial Narrow" w:cs="Arial"/>
                <w:sz w:val="20"/>
                <w:szCs w:val="20"/>
              </w:rPr>
            </w:r>
            <w:r w:rsidR="00300B3C">
              <w:rPr>
                <w:rFonts w:ascii="Arial Narrow" w:hAnsi="Arial Narrow" w:cs="Arial"/>
                <w:sz w:val="20"/>
                <w:szCs w:val="20"/>
              </w:rPr>
              <w:fldChar w:fldCharType="separate"/>
            </w:r>
            <w:r w:rsidRPr="00CA4838">
              <w:rPr>
                <w:rFonts w:ascii="Arial Narrow" w:hAnsi="Arial Narrow" w:cs="Arial"/>
                <w:sz w:val="20"/>
                <w:szCs w:val="20"/>
              </w:rPr>
              <w:fldChar w:fldCharType="end"/>
            </w:r>
            <w:r w:rsidRPr="00CA4838">
              <w:rPr>
                <w:rFonts w:ascii="Arial Narrow" w:hAnsi="Arial Narrow" w:cs="Arial"/>
                <w:sz w:val="20"/>
                <w:szCs w:val="20"/>
              </w:rPr>
              <w:t>Authority Required – Telephone/Electronic/Emergency</w:t>
            </w:r>
          </w:p>
          <w:p w14:paraId="52B92281" w14:textId="77777777" w:rsidR="00A042A9" w:rsidRPr="00CA4838" w:rsidRDefault="00A042A9" w:rsidP="00ED665A">
            <w:pPr>
              <w:pStyle w:val="Default"/>
              <w:jc w:val="both"/>
              <w:rPr>
                <w:rFonts w:ascii="Arial Narrow" w:hAnsi="Arial Narrow"/>
                <w:iCs/>
                <w:color w:val="auto"/>
                <w:sz w:val="20"/>
                <w:szCs w:val="20"/>
              </w:rPr>
            </w:pPr>
            <w:r w:rsidRPr="00CA4838">
              <w:rPr>
                <w:rFonts w:ascii="Arial Narrow" w:hAnsi="Arial Narrow"/>
                <w:sz w:val="20"/>
                <w:szCs w:val="20"/>
              </w:rPr>
              <w:fldChar w:fldCharType="begin">
                <w:ffData>
                  <w:name w:val="Check3"/>
                  <w:enabled/>
                  <w:calcOnExit w:val="0"/>
                  <w:checkBox>
                    <w:sizeAuto/>
                    <w:default w:val="1"/>
                  </w:checkBox>
                </w:ffData>
              </w:fldChar>
            </w:r>
            <w:r w:rsidRPr="00CA4838">
              <w:rPr>
                <w:rFonts w:ascii="Arial Narrow" w:hAnsi="Arial Narrow"/>
                <w:sz w:val="20"/>
                <w:szCs w:val="20"/>
              </w:rPr>
              <w:instrText xml:space="preserve"> FORMCHECKBOX </w:instrText>
            </w:r>
            <w:r w:rsidR="00300B3C">
              <w:rPr>
                <w:rFonts w:ascii="Arial Narrow" w:hAnsi="Arial Narrow"/>
                <w:sz w:val="20"/>
                <w:szCs w:val="20"/>
              </w:rPr>
            </w:r>
            <w:r w:rsidR="00300B3C">
              <w:rPr>
                <w:rFonts w:ascii="Arial Narrow" w:hAnsi="Arial Narrow"/>
                <w:sz w:val="20"/>
                <w:szCs w:val="20"/>
              </w:rPr>
              <w:fldChar w:fldCharType="separate"/>
            </w:r>
            <w:r w:rsidRPr="00CA4838">
              <w:rPr>
                <w:rFonts w:ascii="Arial Narrow" w:hAnsi="Arial Narrow"/>
                <w:sz w:val="20"/>
                <w:szCs w:val="20"/>
              </w:rPr>
              <w:fldChar w:fldCharType="end"/>
            </w:r>
            <w:r w:rsidRPr="00CA4838">
              <w:rPr>
                <w:rFonts w:ascii="Arial Narrow" w:hAnsi="Arial Narrow"/>
                <w:sz w:val="20"/>
                <w:szCs w:val="20"/>
              </w:rPr>
              <w:t>Streamlined</w:t>
            </w:r>
          </w:p>
        </w:tc>
      </w:tr>
      <w:tr w:rsidR="00A042A9" w:rsidRPr="00CA4838" w14:paraId="1C8EF3F0"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E6014A"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Clinical criteria:</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4CC463B" w14:textId="77777777" w:rsidR="00A042A9" w:rsidRPr="00CA4838" w:rsidRDefault="00A042A9" w:rsidP="00ED665A">
            <w:pPr>
              <w:pStyle w:val="Default"/>
              <w:jc w:val="both"/>
              <w:rPr>
                <w:rFonts w:ascii="Arial Narrow" w:hAnsi="Arial Narrow"/>
                <w:iCs/>
                <w:color w:val="auto"/>
                <w:sz w:val="20"/>
                <w:szCs w:val="20"/>
              </w:rPr>
            </w:pPr>
            <w:r w:rsidRPr="00CA4838">
              <w:rPr>
                <w:rFonts w:ascii="Arial Narrow" w:hAnsi="Arial Narrow"/>
                <w:iCs/>
                <w:color w:val="auto"/>
                <w:sz w:val="20"/>
                <w:szCs w:val="20"/>
              </w:rPr>
              <w:t>Patient must have previously received PBS-subsidised treatment with this drug for this condition</w:t>
            </w:r>
          </w:p>
          <w:p w14:paraId="4BAF10D0" w14:textId="77777777" w:rsidR="00A042A9" w:rsidRPr="00CA4838" w:rsidRDefault="00A042A9" w:rsidP="00ED665A">
            <w:pPr>
              <w:pStyle w:val="Default"/>
              <w:jc w:val="both"/>
              <w:rPr>
                <w:rFonts w:ascii="Arial Narrow" w:hAnsi="Arial Narrow"/>
                <w:iCs/>
                <w:color w:val="auto"/>
                <w:sz w:val="20"/>
                <w:szCs w:val="20"/>
              </w:rPr>
            </w:pPr>
            <w:r w:rsidRPr="00CA4838">
              <w:rPr>
                <w:rFonts w:ascii="Arial Narrow" w:hAnsi="Arial Narrow"/>
                <w:iCs/>
                <w:color w:val="auto"/>
                <w:sz w:val="20"/>
                <w:szCs w:val="20"/>
              </w:rPr>
              <w:t>AND</w:t>
            </w:r>
          </w:p>
          <w:p w14:paraId="1624CB10" w14:textId="77777777" w:rsidR="00A042A9" w:rsidRPr="00CA4838" w:rsidRDefault="00A042A9" w:rsidP="00ED665A">
            <w:pPr>
              <w:pStyle w:val="Default"/>
              <w:jc w:val="both"/>
              <w:rPr>
                <w:rFonts w:ascii="Arial Narrow" w:hAnsi="Arial Narrow"/>
                <w:iCs/>
                <w:color w:val="auto"/>
                <w:sz w:val="20"/>
                <w:szCs w:val="20"/>
              </w:rPr>
            </w:pPr>
            <w:r w:rsidRPr="00CA4838">
              <w:rPr>
                <w:rFonts w:ascii="Arial Narrow" w:hAnsi="Arial Narrow"/>
                <w:iCs/>
                <w:color w:val="auto"/>
                <w:sz w:val="20"/>
                <w:szCs w:val="20"/>
              </w:rPr>
              <w:t>Patient must not receive PBS-subsidised treatment with this drug if progressive disease develops while on this drug</w:t>
            </w:r>
          </w:p>
        </w:tc>
      </w:tr>
      <w:tr w:rsidR="00A042A9" w:rsidRPr="00CA4838" w14:paraId="7BEEDFDD" w14:textId="77777777" w:rsidTr="00ED665A">
        <w:tblPrEx>
          <w:tblLook w:val="0000" w:firstRow="0" w:lastRow="0" w:firstColumn="0" w:lastColumn="0" w:noHBand="0" w:noVBand="0"/>
        </w:tblPrEx>
        <w:trPr>
          <w:cantSplit/>
        </w:trPr>
        <w:tc>
          <w:tcPr>
            <w:tcW w:w="25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33110D6" w14:textId="77777777" w:rsidR="00A042A9" w:rsidRPr="00CA4838" w:rsidRDefault="00A042A9" w:rsidP="00ED665A">
            <w:pPr>
              <w:spacing w:before="0" w:after="0"/>
              <w:rPr>
                <w:rFonts w:ascii="Arial Narrow" w:hAnsi="Arial Narrow" w:cs="Arial"/>
                <w:b/>
                <w:sz w:val="20"/>
                <w:szCs w:val="20"/>
              </w:rPr>
            </w:pPr>
            <w:r w:rsidRPr="00CA4838">
              <w:rPr>
                <w:rFonts w:ascii="Arial Narrow" w:hAnsi="Arial Narrow" w:cs="Arial"/>
                <w:b/>
                <w:sz w:val="20"/>
                <w:szCs w:val="20"/>
              </w:rPr>
              <w:t>Administrative Advice:</w:t>
            </w:r>
          </w:p>
        </w:tc>
        <w:tc>
          <w:tcPr>
            <w:tcW w:w="6474"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C5FA2A0" w14:textId="77777777" w:rsidR="00A042A9" w:rsidRPr="00CA4838" w:rsidRDefault="00A042A9" w:rsidP="00ED665A">
            <w:pPr>
              <w:pStyle w:val="Default"/>
              <w:jc w:val="both"/>
              <w:rPr>
                <w:rFonts w:ascii="Arial Narrow" w:hAnsi="Arial Narrow"/>
                <w:iCs/>
                <w:color w:val="auto"/>
                <w:sz w:val="20"/>
                <w:szCs w:val="20"/>
              </w:rPr>
            </w:pPr>
            <w:r w:rsidRPr="00CA4838">
              <w:rPr>
                <w:rFonts w:ascii="Arial Narrow" w:hAnsi="Arial Narrow"/>
                <w:iCs/>
                <w:color w:val="auto"/>
                <w:sz w:val="20"/>
                <w:szCs w:val="20"/>
              </w:rPr>
              <w:t>Special Pricing Arrangements apply</w:t>
            </w:r>
          </w:p>
        </w:tc>
      </w:tr>
    </w:tbl>
    <w:p w14:paraId="160F1859" w14:textId="77777777" w:rsidR="00A042A9" w:rsidRPr="00CA4838" w:rsidRDefault="00A042A9" w:rsidP="00A042A9">
      <w:pPr>
        <w:pStyle w:val="TableFigureFooter"/>
        <w:rPr>
          <w:snapToGrid/>
        </w:rPr>
      </w:pPr>
      <w:r w:rsidRPr="00CA4838">
        <w:rPr>
          <w:snapToGrid/>
        </w:rPr>
        <w:t>Source:  Table 9-10, p54-55, Table 1-11, pp74-75 of the resubmission.</w:t>
      </w:r>
    </w:p>
    <w:p w14:paraId="5C25D9EF" w14:textId="77777777" w:rsidR="00A042A9" w:rsidRPr="00CA4838" w:rsidRDefault="00A042A9" w:rsidP="00A042A9">
      <w:pPr>
        <w:pStyle w:val="TableFigureFooter"/>
        <w:rPr>
          <w:snapToGrid/>
        </w:rPr>
      </w:pPr>
      <w:r w:rsidRPr="00CA4838">
        <w:rPr>
          <w:snapToGrid/>
        </w:rPr>
        <w:t>^ pricing as of April 2022 after the 5-year 5% statutory anniversary price reduction, current published DPMQ is $6,971.22.</w:t>
      </w:r>
    </w:p>
    <w:p w14:paraId="33268A3B" w14:textId="77777777" w:rsidR="00A042A9" w:rsidRPr="00CA4838" w:rsidRDefault="00A042A9" w:rsidP="00A042A9">
      <w:pPr>
        <w:pStyle w:val="TableFigureFooter"/>
        <w:rPr>
          <w:rFonts w:asciiTheme="majorHAnsi" w:eastAsiaTheme="majorEastAsia" w:hAnsiTheme="majorHAnsi" w:cstheme="majorBidi"/>
          <w:b/>
          <w:i/>
          <w:sz w:val="28"/>
          <w:szCs w:val="28"/>
        </w:rPr>
      </w:pPr>
      <w:r w:rsidRPr="00CA4838">
        <w:rPr>
          <w:snapToGrid/>
          <w:shd w:val="clear" w:color="auto" w:fill="BDD6EE" w:themeFill="accent1" w:themeFillTint="66"/>
        </w:rPr>
        <w:t>Blue shading</w:t>
      </w:r>
      <w:r w:rsidRPr="00CA4838">
        <w:rPr>
          <w:snapToGrid/>
        </w:rPr>
        <w:t xml:space="preserve"> represents information previously considered by the PBAC</w:t>
      </w:r>
    </w:p>
    <w:p w14:paraId="6891BC31" w14:textId="39FB686B" w:rsidR="00185EC6" w:rsidRPr="00CA4838" w:rsidRDefault="007C1432" w:rsidP="007C1432">
      <w:pPr>
        <w:pStyle w:val="ListParagraph"/>
        <w:ind w:left="709"/>
        <w:rPr>
          <w:color w:val="auto"/>
        </w:rPr>
      </w:pPr>
      <w:r w:rsidRPr="00CA4838">
        <w:t>The resubmission proposed an effective DPMQ of $</w:t>
      </w:r>
      <w:r w:rsidR="00CD28A8">
        <w:rPr>
          <w:noProof/>
          <w:color w:val="000000"/>
          <w:highlight w:val="black"/>
        </w:rPr>
        <w:t>''''''''''''''''''</w:t>
      </w:r>
      <w:r w:rsidRPr="00CA4838">
        <w:t xml:space="preserve"> for olaparib. This </w:t>
      </w:r>
      <w:r w:rsidR="008D25F0">
        <w:t>was</w:t>
      </w:r>
      <w:r w:rsidRPr="00CA4838">
        <w:t xml:space="preserve"> </w:t>
      </w:r>
      <w:r w:rsidR="0014398D">
        <w:rPr>
          <w:noProof/>
          <w:color w:val="000000"/>
          <w:highlight w:val="black"/>
        </w:rPr>
        <w:t>'''''</w:t>
      </w:r>
      <w:r w:rsidR="0014398D" w:rsidRPr="00CA4838">
        <w:t xml:space="preserve">% </w:t>
      </w:r>
      <w:r w:rsidR="0014398D">
        <w:t xml:space="preserve">lower </w:t>
      </w:r>
      <w:r w:rsidR="008D25F0">
        <w:t>than</w:t>
      </w:r>
      <w:r w:rsidRPr="00CA4838">
        <w:t xml:space="preserve"> the requested effective AEMP in March 2021 (which was set at the effective price for olaparib in ovarian cancer) plus the 5% anniversary statutory price </w:t>
      </w:r>
      <w:r>
        <w:t>reduction</w:t>
      </w:r>
      <w:r w:rsidRPr="00CA4838">
        <w:t xml:space="preserve"> expected for olaparib in April 2022 (given olaparib will not be listed until after April 2022 if the PBAC recommend listing at the November 2021 meeting).</w:t>
      </w:r>
      <w:r>
        <w:t xml:space="preserve"> The pre-PBAC response </w:t>
      </w:r>
      <w:r w:rsidR="00C9095D">
        <w:t>included</w:t>
      </w:r>
      <w:r>
        <w:t xml:space="preserve"> a further reduction in the price to $</w:t>
      </w:r>
      <w:r w:rsidR="00CD28A8">
        <w:rPr>
          <w:noProof/>
          <w:color w:val="000000"/>
          <w:highlight w:val="black"/>
        </w:rPr>
        <w:t>'''''''''''''''''</w:t>
      </w:r>
      <w:r>
        <w:t xml:space="preserve"> AEMP (</w:t>
      </w:r>
      <w:r>
        <w:rPr>
          <w:szCs w:val="20"/>
        </w:rPr>
        <w:t>$</w:t>
      </w:r>
      <w:r w:rsidR="00CD28A8">
        <w:rPr>
          <w:noProof/>
          <w:color w:val="000000"/>
          <w:szCs w:val="20"/>
          <w:highlight w:val="black"/>
        </w:rPr>
        <w:t xml:space="preserve">''''''''''''''' </w:t>
      </w:r>
      <w:r>
        <w:rPr>
          <w:szCs w:val="20"/>
        </w:rPr>
        <w:t>DPMQ), including the 5% statutory price reduction.</w:t>
      </w:r>
    </w:p>
    <w:p w14:paraId="39ED9DEF" w14:textId="77777777" w:rsidR="00185EC6" w:rsidRPr="00185EC6" w:rsidRDefault="00185EC6">
      <w:pPr>
        <w:pStyle w:val="ListParagraph"/>
        <w:ind w:left="709"/>
      </w:pPr>
      <w:r w:rsidRPr="00CA4838">
        <w:t>The recommended dose is 300mg (2</w:t>
      </w:r>
      <w:r w:rsidRPr="00185EC6">
        <w:rPr>
          <w:rFonts w:ascii="Calibri" w:hAnsi="Calibri" w:cs="Calibri"/>
        </w:rPr>
        <w:t>×</w:t>
      </w:r>
      <w:r w:rsidRPr="00CA4838">
        <w:t>150</w:t>
      </w:r>
      <w:r>
        <w:t xml:space="preserve"> </w:t>
      </w:r>
      <w:r w:rsidRPr="00CA4838">
        <w:t>mg tablets) twice daily, for a total of 600</w:t>
      </w:r>
      <w:r>
        <w:t xml:space="preserve"> </w:t>
      </w:r>
      <w:r w:rsidRPr="00CA4838">
        <w:t>mg/day, until progression.</w:t>
      </w:r>
      <w:r>
        <w:t xml:space="preserve"> The proposed number of repeats would allow for 3 months of treatment under the initial listing and 6 months under the continuing listing.</w:t>
      </w:r>
    </w:p>
    <w:p w14:paraId="6BD0B682" w14:textId="77777777" w:rsidR="007C1432" w:rsidRPr="008A4199" w:rsidRDefault="00A042A9" w:rsidP="00A2713C">
      <w:pPr>
        <w:pStyle w:val="ListParagraph"/>
        <w:ind w:left="709"/>
        <w:rPr>
          <w:color w:val="auto"/>
        </w:rPr>
      </w:pPr>
      <w:r w:rsidRPr="00CA4838">
        <w:t xml:space="preserve">Olaparib is proposed to be used as monotherapy following progression with NHA treatment. It may be used as either first line, </w:t>
      </w:r>
      <w:r w:rsidR="001579DF" w:rsidRPr="00CA4838">
        <w:t>second line</w:t>
      </w:r>
      <w:r w:rsidRPr="00CA4838">
        <w:t xml:space="preserve"> or third line therapy in mCRPC. </w:t>
      </w:r>
      <w:r w:rsidR="007C1432">
        <w:t>This is broadly consistent with the TGA indication (</w:t>
      </w:r>
      <w:r w:rsidR="007C1432" w:rsidRPr="00CA4838">
        <w:t>“</w:t>
      </w:r>
      <w:r w:rsidR="007C1432">
        <w:t>t</w:t>
      </w:r>
      <w:r w:rsidR="007C1432" w:rsidRPr="00CA4838">
        <w:t>reatment of adult patients with BRCA-mutated (germline and/or somatic) mCRPC who have progressed following prior therapy that included an NHA</w:t>
      </w:r>
      <w:r w:rsidR="007C1432">
        <w:t>)</w:t>
      </w:r>
      <w:r w:rsidR="007C1432" w:rsidRPr="00CA4838">
        <w:t>.</w:t>
      </w:r>
      <w:r w:rsidR="007C1432">
        <w:t xml:space="preserve"> </w:t>
      </w:r>
      <w:r w:rsidR="00185EC6">
        <w:t xml:space="preserve">The proposed restriction also included a criterion to allow use in patients considered unsuitable for NHA treatment on the </w:t>
      </w:r>
      <w:r w:rsidR="00185EC6" w:rsidRPr="008A4199">
        <w:rPr>
          <w:color w:val="auto"/>
        </w:rPr>
        <w:t xml:space="preserve">basis of predicted intolerance. </w:t>
      </w:r>
      <w:r w:rsidR="00C9095D">
        <w:rPr>
          <w:color w:val="auto"/>
        </w:rPr>
        <w:t>The PBAC considered this criteri</w:t>
      </w:r>
      <w:r w:rsidR="00806C44">
        <w:rPr>
          <w:color w:val="auto"/>
        </w:rPr>
        <w:t>on</w:t>
      </w:r>
      <w:r w:rsidR="00C9095D">
        <w:rPr>
          <w:color w:val="auto"/>
        </w:rPr>
        <w:t xml:space="preserve"> was not </w:t>
      </w:r>
      <w:r w:rsidR="00A1675F">
        <w:rPr>
          <w:color w:val="auto"/>
        </w:rPr>
        <w:t xml:space="preserve">necessary </w:t>
      </w:r>
      <w:r w:rsidR="00C9095D">
        <w:rPr>
          <w:color w:val="auto"/>
        </w:rPr>
        <w:t>and should not be included in the listing.</w:t>
      </w:r>
    </w:p>
    <w:p w14:paraId="40F68D84" w14:textId="77777777" w:rsidR="00185EC6" w:rsidRPr="008A4199" w:rsidRDefault="00185EC6" w:rsidP="008A4199">
      <w:pPr>
        <w:pStyle w:val="ListParagraph"/>
        <w:ind w:left="709"/>
        <w:rPr>
          <w:color w:val="auto"/>
        </w:rPr>
      </w:pPr>
      <w:r w:rsidRPr="008A4199">
        <w:rPr>
          <w:color w:val="auto"/>
        </w:rPr>
        <w:t xml:space="preserve">The Secretariat proposed clarifying the term ‘novel hormonal agents’ by providing a list of the specific drugs </w:t>
      </w:r>
      <w:r w:rsidR="00C9095D" w:rsidRPr="008A4199">
        <w:rPr>
          <w:color w:val="auto"/>
        </w:rPr>
        <w:t>included in this category</w:t>
      </w:r>
      <w:r w:rsidRPr="008A4199">
        <w:rPr>
          <w:color w:val="auto"/>
        </w:rPr>
        <w:t xml:space="preserve">. In </w:t>
      </w:r>
      <w:r w:rsidR="00A1675F">
        <w:rPr>
          <w:color w:val="auto"/>
        </w:rPr>
        <w:t>November</w:t>
      </w:r>
      <w:r w:rsidR="00A1675F" w:rsidRPr="008A4199">
        <w:rPr>
          <w:color w:val="auto"/>
        </w:rPr>
        <w:t xml:space="preserve"> </w:t>
      </w:r>
      <w:r w:rsidRPr="008A4199">
        <w:rPr>
          <w:color w:val="auto"/>
        </w:rPr>
        <w:t xml:space="preserve">2021, darolutamide </w:t>
      </w:r>
      <w:r w:rsidR="00A1675F">
        <w:rPr>
          <w:color w:val="auto"/>
        </w:rPr>
        <w:t xml:space="preserve">was PBS listed </w:t>
      </w:r>
      <w:r w:rsidRPr="008A4199">
        <w:rPr>
          <w:color w:val="auto"/>
        </w:rPr>
        <w:t xml:space="preserve">for non-metastatic CRPC (m0CRPC). The PBAC also considered apalutamide for both m0CRPC and metastatic hormone sensitive prostate cancer (mHSPC) at the November 2021 meeting. </w:t>
      </w:r>
      <w:r w:rsidR="003775B5">
        <w:rPr>
          <w:color w:val="auto"/>
        </w:rPr>
        <w:t>T</w:t>
      </w:r>
      <w:r w:rsidR="00D51799">
        <w:rPr>
          <w:color w:val="auto"/>
        </w:rPr>
        <w:t>he list of novel hormonal drugs</w:t>
      </w:r>
      <w:r w:rsidRPr="008A4199">
        <w:rPr>
          <w:color w:val="auto"/>
        </w:rPr>
        <w:t xml:space="preserve"> </w:t>
      </w:r>
      <w:r w:rsidR="00D51799">
        <w:rPr>
          <w:color w:val="auto"/>
        </w:rPr>
        <w:t>may require updating</w:t>
      </w:r>
      <w:r w:rsidRPr="008A4199">
        <w:rPr>
          <w:color w:val="auto"/>
        </w:rPr>
        <w:t>, should additional relevant agents be listed on the PBS for mCRPC</w:t>
      </w:r>
      <w:r w:rsidR="0021221E">
        <w:rPr>
          <w:color w:val="auto"/>
        </w:rPr>
        <w:t xml:space="preserve"> or m0CRPC</w:t>
      </w:r>
      <w:r w:rsidRPr="008A4199">
        <w:rPr>
          <w:color w:val="auto"/>
        </w:rPr>
        <w:t xml:space="preserve">. </w:t>
      </w:r>
    </w:p>
    <w:p w14:paraId="4D9FD732" w14:textId="77777777" w:rsidR="00024103" w:rsidRPr="00933EAD" w:rsidRDefault="00024103" w:rsidP="008A4199">
      <w:pPr>
        <w:pStyle w:val="ListParagraph"/>
        <w:ind w:left="709"/>
      </w:pPr>
      <w:r w:rsidRPr="008A4199">
        <w:rPr>
          <w:color w:val="auto"/>
        </w:rPr>
        <w:t>The submission proposed an Authority Required (</w:t>
      </w:r>
      <w:r w:rsidR="00D51799">
        <w:rPr>
          <w:color w:val="auto"/>
        </w:rPr>
        <w:t>t</w:t>
      </w:r>
      <w:r w:rsidRPr="008A4199">
        <w:rPr>
          <w:color w:val="auto"/>
        </w:rPr>
        <w:t xml:space="preserve">elephone/online) restriction for initial </w:t>
      </w:r>
      <w:r w:rsidR="00D51799">
        <w:rPr>
          <w:color w:val="auto"/>
        </w:rPr>
        <w:t>treatment</w:t>
      </w:r>
      <w:r w:rsidR="00D51799" w:rsidRPr="008A4199">
        <w:rPr>
          <w:color w:val="auto"/>
        </w:rPr>
        <w:t xml:space="preserve"> </w:t>
      </w:r>
      <w:r w:rsidRPr="008A4199">
        <w:rPr>
          <w:color w:val="auto"/>
        </w:rPr>
        <w:t xml:space="preserve">and an Authority Required (STREAMLINED) restriction level for continuing </w:t>
      </w:r>
      <w:r w:rsidR="00D51799">
        <w:rPr>
          <w:color w:val="auto"/>
        </w:rPr>
        <w:t>treatment</w:t>
      </w:r>
      <w:r w:rsidR="00D51799" w:rsidRPr="008A4199">
        <w:rPr>
          <w:color w:val="auto"/>
        </w:rPr>
        <w:t xml:space="preserve"> </w:t>
      </w:r>
      <w:r w:rsidRPr="008A4199">
        <w:rPr>
          <w:color w:val="auto"/>
        </w:rPr>
        <w:t xml:space="preserve">(although </w:t>
      </w:r>
      <w:r w:rsidR="00D51799">
        <w:rPr>
          <w:color w:val="auto"/>
        </w:rPr>
        <w:t>t</w:t>
      </w:r>
      <w:r w:rsidRPr="008A4199">
        <w:rPr>
          <w:color w:val="auto"/>
        </w:rPr>
        <w:t>elephone/online was also checked in the submission’s proposed continuing listing). The PBAC consider</w:t>
      </w:r>
      <w:r>
        <w:rPr>
          <w:color w:val="auto"/>
        </w:rPr>
        <w:t xml:space="preserve">ed that an </w:t>
      </w:r>
      <w:r w:rsidRPr="006A189E">
        <w:rPr>
          <w:color w:val="auto"/>
        </w:rPr>
        <w:t>Authority Required (</w:t>
      </w:r>
      <w:r w:rsidR="00D51799">
        <w:rPr>
          <w:color w:val="auto"/>
        </w:rPr>
        <w:t>t</w:t>
      </w:r>
      <w:r w:rsidRPr="006A189E">
        <w:rPr>
          <w:color w:val="auto"/>
        </w:rPr>
        <w:t>elephone/online) restriction level</w:t>
      </w:r>
      <w:r>
        <w:rPr>
          <w:color w:val="auto"/>
        </w:rPr>
        <w:t xml:space="preserve"> </w:t>
      </w:r>
      <w:r w:rsidR="0021221E">
        <w:rPr>
          <w:color w:val="auto"/>
        </w:rPr>
        <w:t>should apply</w:t>
      </w:r>
      <w:r>
        <w:rPr>
          <w:color w:val="auto"/>
        </w:rPr>
        <w:t xml:space="preserve"> for </w:t>
      </w:r>
      <w:r w:rsidRPr="008A4199">
        <w:rPr>
          <w:color w:val="auto"/>
        </w:rPr>
        <w:t xml:space="preserve">the </w:t>
      </w:r>
      <w:r w:rsidR="0021221E">
        <w:rPr>
          <w:color w:val="auto"/>
        </w:rPr>
        <w:t xml:space="preserve">both the initial and </w:t>
      </w:r>
      <w:r w:rsidRPr="008A4199">
        <w:rPr>
          <w:color w:val="auto"/>
        </w:rPr>
        <w:t>continuing listing</w:t>
      </w:r>
      <w:r w:rsidR="0021221E">
        <w:rPr>
          <w:color w:val="auto"/>
        </w:rPr>
        <w:t>s</w:t>
      </w:r>
      <w:r w:rsidR="00C71FDA">
        <w:rPr>
          <w:color w:val="auto"/>
        </w:rPr>
        <w:t xml:space="preserve"> consistent with the 1L listings for olaparib in ovarian cancer</w:t>
      </w:r>
      <w:r w:rsidRPr="008A4199">
        <w:rPr>
          <w:color w:val="auto"/>
        </w:rPr>
        <w:t>.</w:t>
      </w:r>
    </w:p>
    <w:p w14:paraId="080F75A1" w14:textId="77777777" w:rsidR="00185EC6" w:rsidRPr="008A4199" w:rsidRDefault="00C9095D">
      <w:pPr>
        <w:pStyle w:val="ListParagraph"/>
        <w:ind w:left="709"/>
        <w:rPr>
          <w:color w:val="auto"/>
        </w:rPr>
      </w:pPr>
      <w:r w:rsidRPr="008A4199">
        <w:rPr>
          <w:color w:val="auto"/>
        </w:rPr>
        <w:t xml:space="preserve">The resubmission requested transitioning arrangements (i.e. ‘grandfather’ arrangements) for an early access, non-PBS subsidised program. The resubmission stated an early access program was initiated in May 2021 and it is estimated that </w:t>
      </w:r>
      <w:r w:rsidR="00CA7036">
        <w:rPr>
          <w:color w:val="auto"/>
        </w:rPr>
        <w:t>&lt; 500</w:t>
      </w:r>
      <w:r w:rsidR="00CA7036" w:rsidRPr="008A4199">
        <w:rPr>
          <w:color w:val="auto"/>
        </w:rPr>
        <w:t xml:space="preserve"> </w:t>
      </w:r>
      <w:r w:rsidRPr="008A4199">
        <w:rPr>
          <w:color w:val="auto"/>
        </w:rPr>
        <w:t>patients will be initiated (</w:t>
      </w:r>
      <w:r w:rsidR="00CA7036">
        <w:rPr>
          <w:color w:val="auto"/>
        </w:rPr>
        <w:t>&lt; 500</w:t>
      </w:r>
      <w:r w:rsidR="00CA7036" w:rsidRPr="008A4199">
        <w:rPr>
          <w:color w:val="auto"/>
        </w:rPr>
        <w:t xml:space="preserve"> </w:t>
      </w:r>
      <w:r w:rsidRPr="008A4199">
        <w:rPr>
          <w:color w:val="auto"/>
        </w:rPr>
        <w:t xml:space="preserve">patients will initiate treatment in 2021 and the remainder in 2022). The submission noted eligibility criteria for the access program </w:t>
      </w:r>
      <w:r w:rsidR="0021221E">
        <w:rPr>
          <w:color w:val="auto"/>
        </w:rPr>
        <w:t xml:space="preserve">is </w:t>
      </w:r>
      <w:r w:rsidRPr="008A4199">
        <w:rPr>
          <w:color w:val="auto"/>
        </w:rPr>
        <w:t>align</w:t>
      </w:r>
      <w:r w:rsidR="0021221E">
        <w:rPr>
          <w:color w:val="auto"/>
        </w:rPr>
        <w:t>ed</w:t>
      </w:r>
      <w:r w:rsidRPr="008A4199">
        <w:rPr>
          <w:color w:val="auto"/>
        </w:rPr>
        <w:t xml:space="preserve"> with the eligibility criteria for PROfound. </w:t>
      </w:r>
      <w:r w:rsidR="0021221E">
        <w:rPr>
          <w:color w:val="auto"/>
        </w:rPr>
        <w:t xml:space="preserve">A grandfather listing </w:t>
      </w:r>
      <w:r w:rsidR="00D51799">
        <w:rPr>
          <w:color w:val="auto"/>
        </w:rPr>
        <w:t>was proposed</w:t>
      </w:r>
      <w:r w:rsidR="0021221E">
        <w:rPr>
          <w:color w:val="auto"/>
        </w:rPr>
        <w:t xml:space="preserve"> because f</w:t>
      </w:r>
      <w:r w:rsidRPr="008A4199">
        <w:rPr>
          <w:color w:val="auto"/>
        </w:rPr>
        <w:t xml:space="preserve">ollowing initiation of treatment these patients may not meet the WHO performance status criterion in the initial treatment listing and therefore would not qualify for treatment under the proposed restrictions. </w:t>
      </w:r>
    </w:p>
    <w:p w14:paraId="54205A82" w14:textId="77777777" w:rsidR="007904FB" w:rsidRPr="00C33D30" w:rsidRDefault="007904FB" w:rsidP="007904FB">
      <w:pPr>
        <w:ind w:firstLine="720"/>
        <w:rPr>
          <w:i/>
        </w:rPr>
      </w:pPr>
      <w:r w:rsidRPr="00C33D30">
        <w:rPr>
          <w:i/>
        </w:rPr>
        <w:t>For more detail on PBAC’s view, see section 7 PBAC outcome.</w:t>
      </w:r>
    </w:p>
    <w:p w14:paraId="783D0FD4" w14:textId="77777777" w:rsidR="00A042A9" w:rsidRPr="00CA4838" w:rsidRDefault="00A042A9" w:rsidP="00A042A9">
      <w:pPr>
        <w:pStyle w:val="PBACESHeading1"/>
      </w:pPr>
      <w:bookmarkStart w:id="22" w:name="_Toc82598880"/>
      <w:r w:rsidRPr="00CA4838">
        <w:t>Population and disease</w:t>
      </w:r>
      <w:bookmarkEnd w:id="19"/>
      <w:bookmarkEnd w:id="20"/>
      <w:bookmarkEnd w:id="22"/>
    </w:p>
    <w:p w14:paraId="599539B7" w14:textId="77777777" w:rsidR="00A042A9" w:rsidRDefault="00A042A9" w:rsidP="00A2713C">
      <w:pPr>
        <w:pStyle w:val="ListParagraph"/>
        <w:ind w:left="709"/>
        <w:rPr>
          <w:snapToGrid w:val="0"/>
        </w:rPr>
      </w:pPr>
      <w:bookmarkStart w:id="23" w:name="_Toc58779753"/>
      <w:r w:rsidRPr="00CA4838">
        <w:rPr>
          <w:snapToGrid w:val="0"/>
        </w:rPr>
        <w:t xml:space="preserve">The March 2021 submission described the testing population (as patients with mCRPC) </w:t>
      </w:r>
      <w:r w:rsidRPr="00A2713C">
        <w:t>and</w:t>
      </w:r>
      <w:r w:rsidRPr="00CA4838">
        <w:rPr>
          <w:snapToGrid w:val="0"/>
        </w:rPr>
        <w:t xml:space="preserve"> the drug population (as patients with mCRPC and a </w:t>
      </w:r>
      <w:r w:rsidRPr="008A4199">
        <w:rPr>
          <w:iCs/>
          <w:snapToGrid w:val="0"/>
        </w:rPr>
        <w:t>BRCA1/2</w:t>
      </w:r>
      <w:r w:rsidRPr="00CA4838">
        <w:rPr>
          <w:snapToGrid w:val="0"/>
        </w:rPr>
        <w:t xml:space="preserve"> gene variant).</w:t>
      </w:r>
      <w:r>
        <w:rPr>
          <w:snapToGrid w:val="0"/>
        </w:rPr>
        <w:t xml:space="preserve"> This was unchanged in the resubmission.</w:t>
      </w:r>
    </w:p>
    <w:p w14:paraId="4CD40B81" w14:textId="77777777" w:rsidR="00374E7D" w:rsidRPr="00CA4838" w:rsidRDefault="00374E7D" w:rsidP="00A2713C">
      <w:pPr>
        <w:pStyle w:val="ListParagraph"/>
        <w:ind w:left="709"/>
        <w:rPr>
          <w:snapToGrid w:val="0"/>
        </w:rPr>
      </w:pPr>
      <w:r w:rsidRPr="00CA4838">
        <w:t>The resubmission provided an amended current clinical management algorithm, which depicted three lines of treatment in mCRPC; with NHA (either enzalutamide or abiraterone) or docetaxel as first-line; BSC, NHA, cabazitaxel or docetaxel in second-line; followed by BSC or cabazitaxel in third line. In the proposed algorithm, in addition to current options, olaparib can be used as an alternative first, second or third line treatment.</w:t>
      </w:r>
      <w:r w:rsidR="00210084">
        <w:t xml:space="preserve"> </w:t>
      </w:r>
    </w:p>
    <w:p w14:paraId="7DCA2E86" w14:textId="77777777" w:rsidR="00CF0191" w:rsidRPr="00CA4838" w:rsidRDefault="00CF0191" w:rsidP="00CF0191">
      <w:pPr>
        <w:pStyle w:val="ListParagraph"/>
        <w:ind w:left="709"/>
        <w:rPr>
          <w:color w:val="auto"/>
        </w:rPr>
      </w:pPr>
      <w:r w:rsidRPr="00CA4838">
        <w:t xml:space="preserve">Olaparib is a poly(adenosine diphosphate)-ribose polymerase (PARP) inhibitor. PARP enzymes are involved in DNA transcription, cell cycle regulation and DNA repair, and the anti-tumour effect of PARP inhibitors is dependent on an underlying defect in a cancer cell’s DNA damage response mechanisms. Patients with homologous recombination repair (HRR) gene pathogenic variants, such as </w:t>
      </w:r>
      <w:r w:rsidRPr="006A189E">
        <w:rPr>
          <w:iCs/>
        </w:rPr>
        <w:t>BRCA1/2</w:t>
      </w:r>
      <w:r w:rsidRPr="00CA4838">
        <w:rPr>
          <w:i/>
        </w:rPr>
        <w:t>,</w:t>
      </w:r>
      <w:r w:rsidRPr="00CA4838">
        <w:t xml:space="preserve"> cannot accurately repair the DNA damage and may experience more aggressive disease than those without these pathogenic variants.</w:t>
      </w:r>
    </w:p>
    <w:p w14:paraId="5067C2A4" w14:textId="77777777" w:rsidR="0021221E" w:rsidRDefault="00CF0191" w:rsidP="008A4199">
      <w:pPr>
        <w:pStyle w:val="ListParagraph"/>
        <w:ind w:left="709"/>
      </w:pPr>
      <w:bookmarkStart w:id="24" w:name="_Ref87877229"/>
      <w:bookmarkStart w:id="25" w:name="_Ref87440602"/>
      <w:r w:rsidRPr="008A4199">
        <w:t>In the submission t</w:t>
      </w:r>
      <w:r w:rsidR="00A042A9" w:rsidRPr="008A4199">
        <w:t xml:space="preserve">he </w:t>
      </w:r>
      <w:r w:rsidR="00A042A9" w:rsidRPr="00A2713C">
        <w:t>proportion</w:t>
      </w:r>
      <w:r w:rsidR="00A042A9" w:rsidRPr="008A4199">
        <w:t xml:space="preserve"> of mCRPC patients who are expected to have a BRCA1/2 gene variant and hence likely to be treated with olaparib was based on the PROfound trial (9.7%). MSAC </w:t>
      </w:r>
      <w:r w:rsidRPr="008A4199">
        <w:t xml:space="preserve">previously </w:t>
      </w:r>
      <w:r w:rsidR="00A042A9" w:rsidRPr="008A4199">
        <w:t>advised that between 7%–10% of the mCRPC population would be BRCA1/2 positive (p4, MSAC 1618, PSD, March 2021).</w:t>
      </w:r>
      <w:r w:rsidRPr="008A4199">
        <w:t xml:space="preserve"> </w:t>
      </w:r>
      <w:bookmarkStart w:id="26" w:name="_Hlk87367793"/>
      <w:r w:rsidRPr="008A4199">
        <w:t xml:space="preserve">The </w:t>
      </w:r>
      <w:r w:rsidR="007C1432" w:rsidRPr="008A4199">
        <w:t xml:space="preserve">PBAC considered that clinical experience suggested that the prevalence of BRCA1/2 pathogenic variants </w:t>
      </w:r>
      <w:r w:rsidR="00B63006" w:rsidRPr="008A4199">
        <w:t xml:space="preserve">in Australia </w:t>
      </w:r>
      <w:r w:rsidR="007C1432" w:rsidRPr="008A4199">
        <w:t xml:space="preserve">may be lower than reported in the literature and noted this was </w:t>
      </w:r>
      <w:r w:rsidR="00806C44" w:rsidRPr="008A4199">
        <w:t xml:space="preserve">also </w:t>
      </w:r>
      <w:r w:rsidR="007C1432" w:rsidRPr="008A4199">
        <w:t>supported by the views presented in the sponsor hearing</w:t>
      </w:r>
      <w:bookmarkEnd w:id="26"/>
      <w:r w:rsidR="007C1432" w:rsidRPr="008A4199">
        <w:t xml:space="preserve">. </w:t>
      </w:r>
      <w:r w:rsidR="0021221E">
        <w:t>The PBAC noted that of the 4,425 patients</w:t>
      </w:r>
      <w:r w:rsidR="0021221E" w:rsidRPr="00FC1C3C">
        <w:t xml:space="preserve"> </w:t>
      </w:r>
      <w:r w:rsidR="0021221E">
        <w:t>screened for inclusion in the PROfound trial, 2,792 had tissue successfully sequenced. Of those successfully tested, 269 had a BRCA1/2 gene variant only and 38 had BRCA1/2 gene variant together with another HRR gene alteration. Therefore in total, 11% (307/2792) of those successfully tested were confirmed BRCA1/2 positive, however only 6.9% (307/4425) of those screened were BRCA1/2 positive (160 of the 307 BRCA1/2 positive patients were enrolled in the PR</w:t>
      </w:r>
      <w:r w:rsidR="00C80442">
        <w:t>O</w:t>
      </w:r>
      <w:r w:rsidR="0021221E">
        <w:t xml:space="preserve">found trial). </w:t>
      </w:r>
      <w:r w:rsidR="0021221E" w:rsidRPr="008A4199">
        <w:t>The PBAC considered that to some extent, the lower prevalence seen in clinical practice may reflect test failure associated with prostate cancer tumour testing. The PBAC considered that the lower end of the range suggested as reasonable by MSAC (7%) should be applied in the economic evaluation and financial estimates.</w:t>
      </w:r>
      <w:bookmarkEnd w:id="24"/>
    </w:p>
    <w:bookmarkEnd w:id="25"/>
    <w:p w14:paraId="37A2E013" w14:textId="77777777" w:rsidR="007904FB" w:rsidRPr="00C33D30" w:rsidRDefault="007904FB" w:rsidP="007904FB">
      <w:pPr>
        <w:ind w:firstLine="720"/>
        <w:rPr>
          <w:i/>
        </w:rPr>
      </w:pPr>
      <w:r w:rsidRPr="00C33D30">
        <w:rPr>
          <w:i/>
        </w:rPr>
        <w:t>For more detail on PBAC’s view, see section 7 PBAC outcome.</w:t>
      </w:r>
    </w:p>
    <w:p w14:paraId="7E7B1237" w14:textId="77777777" w:rsidR="00A042A9" w:rsidRPr="00CA4838" w:rsidRDefault="00A042A9" w:rsidP="00A042A9">
      <w:pPr>
        <w:pStyle w:val="PBACESHeading1"/>
      </w:pPr>
      <w:bookmarkStart w:id="27" w:name="_Toc82598881"/>
      <w:r w:rsidRPr="00CA4838">
        <w:t>Comparator</w:t>
      </w:r>
      <w:bookmarkEnd w:id="21"/>
      <w:bookmarkEnd w:id="23"/>
      <w:bookmarkEnd w:id="27"/>
    </w:p>
    <w:p w14:paraId="5276B59A" w14:textId="77777777" w:rsidR="00A042A9" w:rsidRPr="00CA4838" w:rsidRDefault="00A042A9" w:rsidP="00A2713C">
      <w:pPr>
        <w:pStyle w:val="ListParagraph"/>
        <w:ind w:left="709"/>
        <w:rPr>
          <w:color w:val="auto"/>
        </w:rPr>
      </w:pPr>
      <w:r w:rsidRPr="00CA4838">
        <w:t>The resubmission nominated a mixed comparator</w:t>
      </w:r>
      <w:r w:rsidR="0049425A">
        <w:t xml:space="preserve"> to represent SOC</w:t>
      </w:r>
      <w:r w:rsidRPr="00CA4838">
        <w:t xml:space="preserve">, comprised of BSC and cabazitaxel assuming a 75:25 split in the modelled economic evaluation. </w:t>
      </w:r>
      <w:r w:rsidRPr="00F52B1D">
        <w:t>The comparator w</w:t>
      </w:r>
      <w:r w:rsidR="00CC3142">
        <w:t>as</w:t>
      </w:r>
      <w:r w:rsidRPr="00F52B1D">
        <w:t xml:space="preserve"> changed from the physician’s choice of alternate NHA in the March 2021 submission following the PBAC’s advice, which considered the nominated comparator did not reflect current Australian clinical practice (paragraph 7.1, olaparib PSD, March 2021).</w:t>
      </w:r>
    </w:p>
    <w:p w14:paraId="2F21A4E5" w14:textId="77777777" w:rsidR="00A042A9" w:rsidRPr="00F52B1D" w:rsidRDefault="005C26F9" w:rsidP="00A2713C">
      <w:pPr>
        <w:pStyle w:val="ListParagraph"/>
        <w:ind w:left="709"/>
        <w:rPr>
          <w:color w:val="auto"/>
        </w:rPr>
      </w:pPr>
      <w:r>
        <w:rPr>
          <w:color w:val="auto"/>
        </w:rPr>
        <w:t>In March 2021 the</w:t>
      </w:r>
      <w:r w:rsidR="00A042A9" w:rsidRPr="00F52B1D">
        <w:rPr>
          <w:color w:val="auto"/>
        </w:rPr>
        <w:t xml:space="preserve"> PBAC </w:t>
      </w:r>
      <w:r w:rsidR="00FC1C3C">
        <w:rPr>
          <w:color w:val="auto"/>
        </w:rPr>
        <w:t xml:space="preserve">considered </w:t>
      </w:r>
      <w:r w:rsidR="008F645A">
        <w:rPr>
          <w:color w:val="auto"/>
        </w:rPr>
        <w:t xml:space="preserve">an alternate NHA was not an appropriate comparator given </w:t>
      </w:r>
      <w:r w:rsidR="00A042A9" w:rsidRPr="00F52B1D">
        <w:rPr>
          <w:color w:val="auto"/>
        </w:rPr>
        <w:t xml:space="preserve">that the PBS </w:t>
      </w:r>
      <w:r w:rsidR="00A042A9" w:rsidRPr="00F52B1D">
        <w:t>listing</w:t>
      </w:r>
      <w:r w:rsidR="00A042A9" w:rsidRPr="00F52B1D">
        <w:rPr>
          <w:color w:val="auto"/>
        </w:rPr>
        <w:t xml:space="preserve"> criteria explicitly prevent sequential use</w:t>
      </w:r>
      <w:r w:rsidR="008F645A">
        <w:rPr>
          <w:color w:val="auto"/>
        </w:rPr>
        <w:t xml:space="preserve"> of NHAs </w:t>
      </w:r>
      <w:r w:rsidR="008F645A" w:rsidRPr="00F52B1D">
        <w:rPr>
          <w:color w:val="auto"/>
        </w:rPr>
        <w:t xml:space="preserve">due to </w:t>
      </w:r>
      <w:r w:rsidR="008F645A">
        <w:rPr>
          <w:color w:val="auto"/>
        </w:rPr>
        <w:t xml:space="preserve">the development of </w:t>
      </w:r>
      <w:r w:rsidR="008F645A" w:rsidRPr="00F52B1D">
        <w:rPr>
          <w:color w:val="auto"/>
        </w:rPr>
        <w:t>cross-resistance</w:t>
      </w:r>
      <w:r w:rsidR="00A042A9" w:rsidRPr="00F52B1D">
        <w:rPr>
          <w:color w:val="auto"/>
        </w:rPr>
        <w:t xml:space="preserve">. </w:t>
      </w:r>
      <w:r w:rsidR="008F645A">
        <w:rPr>
          <w:color w:val="auto"/>
        </w:rPr>
        <w:t>Rather t</w:t>
      </w:r>
      <w:r w:rsidR="00A042A9" w:rsidRPr="00F52B1D">
        <w:rPr>
          <w:color w:val="auto"/>
        </w:rPr>
        <w:t xml:space="preserve">he PBAC considered that cabazitaxel, which is currently PBS listed for use following docetaxel, and BSC would be the appropriate comparators (paragraph 7.4, olaparib PSD, March 2021). </w:t>
      </w:r>
    </w:p>
    <w:p w14:paraId="38BFB7C3" w14:textId="77777777" w:rsidR="00A042A9" w:rsidRPr="00F52B1D" w:rsidRDefault="00806C44" w:rsidP="00A2713C">
      <w:pPr>
        <w:pStyle w:val="ListParagraph"/>
        <w:ind w:left="709"/>
        <w:rPr>
          <w:color w:val="auto"/>
        </w:rPr>
      </w:pPr>
      <w:r>
        <w:rPr>
          <w:color w:val="auto"/>
        </w:rPr>
        <w:t>In March 2021 t</w:t>
      </w:r>
      <w:r w:rsidR="00A042A9" w:rsidRPr="00F52B1D">
        <w:rPr>
          <w:color w:val="auto"/>
        </w:rPr>
        <w:t xml:space="preserve">he PBAC considered that the comparator in the PROfound trial (i.e. an NHA) was a reasonable proxy for BSC, given that the majority of patients in Cohort A of the PROfound </w:t>
      </w:r>
      <w:r w:rsidR="00A042A9" w:rsidRPr="00F52B1D">
        <w:t>trial</w:t>
      </w:r>
      <w:r w:rsidR="00A042A9" w:rsidRPr="00F52B1D">
        <w:rPr>
          <w:color w:val="auto"/>
        </w:rPr>
        <w:t xml:space="preserve"> had progressed following a</w:t>
      </w:r>
      <w:r w:rsidR="00374E7D">
        <w:rPr>
          <w:color w:val="auto"/>
        </w:rPr>
        <w:t xml:space="preserve"> previous</w:t>
      </w:r>
      <w:r w:rsidR="00A042A9" w:rsidRPr="00F52B1D">
        <w:rPr>
          <w:color w:val="auto"/>
        </w:rPr>
        <w:t xml:space="preserve"> NHA and the lack of evidence supporting the efficacy of sequential NHA use (paragraph 7.9, olaparib PSD, March 2021). </w:t>
      </w:r>
    </w:p>
    <w:p w14:paraId="2DF99420" w14:textId="77777777" w:rsidR="00A042A9" w:rsidRPr="00F52B1D" w:rsidRDefault="00A042A9" w:rsidP="00A2713C">
      <w:pPr>
        <w:pStyle w:val="ListParagraph"/>
        <w:ind w:left="709"/>
        <w:rPr>
          <w:color w:val="auto"/>
        </w:rPr>
      </w:pPr>
      <w:r w:rsidRPr="00F52B1D">
        <w:t xml:space="preserve">The PBAC also </w:t>
      </w:r>
      <w:r w:rsidR="00806C44">
        <w:t xml:space="preserve">previously </w:t>
      </w:r>
      <w:r w:rsidRPr="00F52B1D">
        <w:t xml:space="preserve">considered that docetaxel would be an appropriate comparator where patients had not previously received docetaxel (paragraph 7.4, olaparib PSD, March 2021). DUSC data indicated that following </w:t>
      </w:r>
      <w:r w:rsidR="008F645A">
        <w:t xml:space="preserve">a </w:t>
      </w:r>
      <w:r w:rsidRPr="00F52B1D">
        <w:t xml:space="preserve">NHA, patients received either no further treatment (70.8%), docetaxel (13.6%) or cabazitaxel (9.8%). </w:t>
      </w:r>
      <w:bookmarkStart w:id="28" w:name="_Hlk81779902"/>
      <w:r w:rsidRPr="00F52B1D">
        <w:t xml:space="preserve">In the DUSC data, 53.8% of patients had not been treated with docetaxel prior to initiating NHA </w:t>
      </w:r>
      <w:bookmarkEnd w:id="28"/>
      <w:r w:rsidRPr="00F52B1D">
        <w:t>(Table 2, olaparib PSD, March 2021</w:t>
      </w:r>
      <w:r w:rsidRPr="00266EE3">
        <w:t xml:space="preserve">). </w:t>
      </w:r>
      <w:r w:rsidR="009C7371" w:rsidRPr="00266EE3">
        <w:t xml:space="preserve">The </w:t>
      </w:r>
      <w:r w:rsidR="001802CD">
        <w:t>Pre-Sub-Committee Response</w:t>
      </w:r>
      <w:r w:rsidR="001802CD" w:rsidRPr="00266EE3">
        <w:t xml:space="preserve"> </w:t>
      </w:r>
      <w:r w:rsidR="001802CD">
        <w:t>(</w:t>
      </w:r>
      <w:r w:rsidR="009C7371" w:rsidRPr="00266EE3">
        <w:t>PSCR</w:t>
      </w:r>
      <w:r w:rsidR="001802CD">
        <w:t>)</w:t>
      </w:r>
      <w:r w:rsidR="009C7371" w:rsidRPr="00266EE3">
        <w:t xml:space="preserve"> argued that there is unlikely to be a significant change to treatment patterns as a result of restriction changes for NHAs as </w:t>
      </w:r>
      <w:r w:rsidR="00374E7D">
        <w:t xml:space="preserve">the </w:t>
      </w:r>
      <w:r w:rsidR="009C7371" w:rsidRPr="00266EE3">
        <w:t>changes reflect</w:t>
      </w:r>
      <w:r w:rsidR="00374E7D">
        <w:t>ed</w:t>
      </w:r>
      <w:r w:rsidR="009C7371" w:rsidRPr="00266EE3">
        <w:t xml:space="preserve"> current practice and clinician preferences. </w:t>
      </w:r>
      <w:r w:rsidR="005C26F9" w:rsidRPr="00266EE3">
        <w:t xml:space="preserve">The ESC agreed with the commentary that </w:t>
      </w:r>
      <w:r w:rsidR="005C26F9">
        <w:t>g</w:t>
      </w:r>
      <w:r w:rsidRPr="00F52B1D">
        <w:t>iven recent PBAC recommendations and emerging pattens of use, the proportion of NHA-experienced but docetaxel-naïve patients is likely to be higher in the future.</w:t>
      </w:r>
      <w:r w:rsidR="005C26F9">
        <w:t xml:space="preserve"> </w:t>
      </w:r>
      <w:r w:rsidR="00240AE0" w:rsidRPr="00266EE3">
        <w:t>The ESC also noted that the amended clinical management algorithm supported inclusion of docetaxel as a comparator for olaparib.</w:t>
      </w:r>
    </w:p>
    <w:p w14:paraId="52D7D316" w14:textId="34F67F12" w:rsidR="00A042A9" w:rsidRPr="0030433E" w:rsidRDefault="00A042A9" w:rsidP="0030433E">
      <w:pPr>
        <w:pStyle w:val="ListParagraph"/>
        <w:ind w:left="709"/>
        <w:rPr>
          <w:color w:val="auto"/>
        </w:rPr>
      </w:pPr>
      <w:r w:rsidRPr="00CA4838">
        <w:t xml:space="preserve">The resubmission stated that no evidence was identified that directly or indirectly compared the efficacy and safety of olaparib with docetaxel given the considerable changes to the treatment paradigm since the pivotal trial data and, as such, docetaxel was not considered a comparator in the resubmission. The resubmission added that by comparing to BSC and cabazitaxel, the sponsor aimed to provide a balanced overall comparator that served as a proxy for all treatment options. </w:t>
      </w:r>
      <w:r w:rsidR="009C7371" w:rsidRPr="00266EE3">
        <w:t xml:space="preserve">The ESC also noted that outcomes for patients treated with docetaxel would be expected to differ </w:t>
      </w:r>
      <w:r w:rsidR="00902924" w:rsidRPr="00266EE3">
        <w:t xml:space="preserve">somewhat </w:t>
      </w:r>
      <w:r w:rsidR="009C7371" w:rsidRPr="00266EE3">
        <w:t>from cabazitaxel as patients treated with docetaxel would not have received a prior taxane. However</w:t>
      </w:r>
      <w:r w:rsidR="00902924" w:rsidRPr="00266EE3">
        <w:t>,</w:t>
      </w:r>
      <w:r w:rsidR="009C7371" w:rsidRPr="00266EE3">
        <w:t xml:space="preserve"> the ESC acknowledged that </w:t>
      </w:r>
      <w:r w:rsidR="00902924" w:rsidRPr="00266EE3">
        <w:t>inclusion of docetaxel as the comparator in 15% of patients appeared to have minimal impact on the ICER.</w:t>
      </w:r>
    </w:p>
    <w:p w14:paraId="3CC9E170" w14:textId="77777777" w:rsidR="007904FB" w:rsidRPr="007904FB" w:rsidRDefault="007904FB" w:rsidP="007904FB">
      <w:pPr>
        <w:ind w:firstLine="720"/>
        <w:rPr>
          <w:i/>
        </w:rPr>
      </w:pPr>
      <w:r w:rsidRPr="00C33D30">
        <w:rPr>
          <w:i/>
        </w:rPr>
        <w:t>For more detail on PBAC’s view, see section 7 PBAC outcome.</w:t>
      </w:r>
    </w:p>
    <w:p w14:paraId="27DA557D" w14:textId="77777777" w:rsidR="00A042A9" w:rsidRDefault="00A042A9" w:rsidP="00A042A9">
      <w:pPr>
        <w:pStyle w:val="PBACESHeading1"/>
      </w:pPr>
      <w:bookmarkStart w:id="29" w:name="_Toc413139276"/>
      <w:bookmarkStart w:id="30" w:name="_Ref496885030"/>
      <w:bookmarkStart w:id="31" w:name="_Toc58779754"/>
      <w:bookmarkStart w:id="32" w:name="_Toc82598882"/>
      <w:r w:rsidRPr="00CA4838">
        <w:t>Consideration of the evidence</w:t>
      </w:r>
      <w:bookmarkEnd w:id="29"/>
      <w:bookmarkEnd w:id="30"/>
      <w:bookmarkEnd w:id="31"/>
      <w:bookmarkEnd w:id="32"/>
    </w:p>
    <w:p w14:paraId="7E0E610A" w14:textId="77777777" w:rsidR="007904FB" w:rsidRPr="007904FB" w:rsidRDefault="007904FB" w:rsidP="007904FB">
      <w:pPr>
        <w:pStyle w:val="4-SubsectionHeading"/>
        <w:rPr>
          <w:rFonts w:asciiTheme="minorHAnsi" w:hAnsiTheme="minorHAnsi"/>
          <w:color w:val="auto"/>
        </w:rPr>
      </w:pPr>
      <w:bookmarkStart w:id="33" w:name="_Hlk76375935"/>
      <w:r w:rsidRPr="007904FB">
        <w:rPr>
          <w:rFonts w:asciiTheme="minorHAnsi" w:hAnsiTheme="minorHAnsi"/>
          <w:color w:val="auto"/>
        </w:rPr>
        <w:t>Sponsor hearing</w:t>
      </w:r>
    </w:p>
    <w:p w14:paraId="08ADCB86" w14:textId="77777777" w:rsidR="007904FB" w:rsidRPr="007904FB" w:rsidRDefault="005664A7" w:rsidP="007904FB">
      <w:pPr>
        <w:pStyle w:val="ListParagraph"/>
        <w:ind w:left="709"/>
      </w:pPr>
      <w:bookmarkStart w:id="34" w:name="_Hlk76382586"/>
      <w:r w:rsidRPr="007904FB">
        <w:t xml:space="preserve">The sponsor requested a hearing for this item.  The clinician </w:t>
      </w:r>
      <w:r>
        <w:t>commented that there are currently n</w:t>
      </w:r>
      <w:r w:rsidR="008B0595">
        <w:t xml:space="preserve">o other biomarker directed therapies in </w:t>
      </w:r>
      <w:r>
        <w:t>prostate cancer and noted the clinical need for treatments for BRCA1/2 patients.  The clinician noted that the</w:t>
      </w:r>
      <w:r w:rsidR="008B0595">
        <w:t xml:space="preserve"> BRCA </w:t>
      </w:r>
      <w:r>
        <w:t xml:space="preserve">positive </w:t>
      </w:r>
      <w:r w:rsidR="008B0595">
        <w:t>pop</w:t>
      </w:r>
      <w:r>
        <w:t>ulation</w:t>
      </w:r>
      <w:r w:rsidR="008B0595">
        <w:t xml:space="preserve"> is small (&lt;10% of </w:t>
      </w:r>
      <w:r>
        <w:t xml:space="preserve">the </w:t>
      </w:r>
      <w:r w:rsidR="008B0595">
        <w:t>CRPC population</w:t>
      </w:r>
      <w:r>
        <w:t>)</w:t>
      </w:r>
      <w:r w:rsidR="008B0595">
        <w:t xml:space="preserve"> </w:t>
      </w:r>
      <w:r>
        <w:t xml:space="preserve">and noted that experience with screening for clinical trials suggested that the presence of BRCA1/2 pathogenic variants may be </w:t>
      </w:r>
      <w:r w:rsidR="008B0595">
        <w:t>5%</w:t>
      </w:r>
      <w:r>
        <w:t xml:space="preserve"> </w:t>
      </w:r>
      <w:r w:rsidR="00664C6C">
        <w:t xml:space="preserve">or less </w:t>
      </w:r>
      <w:r>
        <w:t xml:space="preserve">of patients in the </w:t>
      </w:r>
      <w:r w:rsidR="00664C6C">
        <w:t>m</w:t>
      </w:r>
      <w:r>
        <w:t>CRPC population</w:t>
      </w:r>
      <w:r w:rsidR="008B0595">
        <w:t xml:space="preserve">. </w:t>
      </w:r>
      <w:r>
        <w:t>The clinician stated that some p</w:t>
      </w:r>
      <w:r w:rsidR="008B0595">
        <w:t xml:space="preserve">atients on PARP </w:t>
      </w:r>
      <w:r>
        <w:t>inhibitors experience</w:t>
      </w:r>
      <w:r w:rsidR="008B0595">
        <w:t xml:space="preserve"> </w:t>
      </w:r>
      <w:r>
        <w:t>a clear</w:t>
      </w:r>
      <w:r w:rsidR="008B0595">
        <w:t>, long lasting response</w:t>
      </w:r>
      <w:r>
        <w:t xml:space="preserve"> to treatment</w:t>
      </w:r>
      <w:r w:rsidR="008B0595">
        <w:t xml:space="preserve"> that </w:t>
      </w:r>
      <w:r>
        <w:t>is</w:t>
      </w:r>
      <w:r w:rsidR="008B0595">
        <w:t xml:space="preserve"> clinically meaningful. </w:t>
      </w:r>
      <w:r>
        <w:t>The clinician also noted that t</w:t>
      </w:r>
      <w:r w:rsidR="008B0595">
        <w:t xml:space="preserve">oxicity </w:t>
      </w:r>
      <w:r>
        <w:t xml:space="preserve">is </w:t>
      </w:r>
      <w:r w:rsidR="008B0595">
        <w:t>manageable with dose modifications</w:t>
      </w:r>
      <w:r>
        <w:t>. With regard to the PROfound study the clinician stated that use of subsequent NHA</w:t>
      </w:r>
      <w:r w:rsidR="00F76A47">
        <w:t>s</w:t>
      </w:r>
      <w:r>
        <w:t xml:space="preserve"> in the c</w:t>
      </w:r>
      <w:r w:rsidR="008B0595">
        <w:t>ontrol arm</w:t>
      </w:r>
      <w:r>
        <w:t xml:space="preserve"> was a likely to represent placebo</w:t>
      </w:r>
      <w:r w:rsidR="00F76A47">
        <w:t xml:space="preserve"> as many patients would not be suitable for treatment with chemotherapy. The clinician also noted equity issues for self-funding of </w:t>
      </w:r>
      <w:r w:rsidR="008B0595">
        <w:t>BRCA testing</w:t>
      </w:r>
      <w:r w:rsidR="00F76A47">
        <w:t xml:space="preserve"> which is not </w:t>
      </w:r>
      <w:r w:rsidR="00664C6C">
        <w:t xml:space="preserve">currently </w:t>
      </w:r>
      <w:r w:rsidR="00F76A47">
        <w:t>included in the MBS for patients with prostate cancer.</w:t>
      </w:r>
    </w:p>
    <w:bookmarkEnd w:id="34"/>
    <w:p w14:paraId="0E659625" w14:textId="77777777" w:rsidR="007904FB" w:rsidRPr="007904FB" w:rsidRDefault="007904FB" w:rsidP="007904FB">
      <w:pPr>
        <w:pStyle w:val="4-SubsectionHeading"/>
        <w:rPr>
          <w:rFonts w:asciiTheme="minorHAnsi" w:hAnsiTheme="minorHAnsi"/>
          <w:color w:val="auto"/>
        </w:rPr>
      </w:pPr>
      <w:r w:rsidRPr="007904FB">
        <w:rPr>
          <w:rFonts w:asciiTheme="minorHAnsi" w:hAnsiTheme="minorHAnsi"/>
          <w:color w:val="auto"/>
        </w:rPr>
        <w:t>Consumer comments</w:t>
      </w:r>
    </w:p>
    <w:p w14:paraId="6A3DC156" w14:textId="77777777" w:rsidR="007904FB" w:rsidRPr="007904FB" w:rsidRDefault="007904FB" w:rsidP="007904FB">
      <w:pPr>
        <w:pStyle w:val="ListParagraph"/>
        <w:ind w:left="709"/>
      </w:pPr>
      <w:bookmarkStart w:id="35" w:name="_Hlk76382618"/>
      <w:r w:rsidRPr="007904FB">
        <w:t>The PBAC noted and welcomed the input from individuals (</w:t>
      </w:r>
      <w:r w:rsidR="009B29F2">
        <w:t>21</w:t>
      </w:r>
      <w:r w:rsidRPr="007904FB">
        <w:t>), and organisations (</w:t>
      </w:r>
      <w:r w:rsidR="009B29F2">
        <w:t>6</w:t>
      </w:r>
      <w:r w:rsidRPr="007904FB">
        <w:t>) via the Consumer Comments facility on the PBS website</w:t>
      </w:r>
      <w:r w:rsidR="00A734B5">
        <w:t xml:space="preserve"> in support of listing </w:t>
      </w:r>
      <w:r w:rsidR="00202521">
        <w:t>o</w:t>
      </w:r>
      <w:r w:rsidR="00A734B5">
        <w:t>laparib on the PBS for patients with prostate cancer</w:t>
      </w:r>
      <w:r w:rsidRPr="007904FB">
        <w:t xml:space="preserve">. </w:t>
      </w:r>
      <w:r w:rsidR="00A734B5">
        <w:t xml:space="preserve">The comments from individuals described the impact of prostate cancer on patients and noted that treatment may benefit some patients with prostate cancer. Individuals also highlighted the high cost of funding the treatment outside of the PBS. </w:t>
      </w:r>
    </w:p>
    <w:p w14:paraId="5E2EED69" w14:textId="77777777" w:rsidR="007904FB" w:rsidRPr="007904FB" w:rsidRDefault="007904FB" w:rsidP="007904FB">
      <w:pPr>
        <w:pStyle w:val="ListParagraph"/>
        <w:ind w:left="709"/>
      </w:pPr>
      <w:r w:rsidRPr="007904FB">
        <w:t>The PBAC noted the advice received from</w:t>
      </w:r>
      <w:r w:rsidR="00A734B5">
        <w:t xml:space="preserve"> a number of patient support groups (Ocean Reef (WA) Prostate cancer Support Group, </w:t>
      </w:r>
      <w:r w:rsidR="0010496D">
        <w:t>South Eastern Prostate Cancer Sup</w:t>
      </w:r>
      <w:r w:rsidR="00C80442">
        <w:t>p</w:t>
      </w:r>
      <w:r w:rsidR="0010496D">
        <w:t>ort Group, Prostate Heidelberg Cancer Sup</w:t>
      </w:r>
      <w:r w:rsidR="00C80442">
        <w:t>p</w:t>
      </w:r>
      <w:r w:rsidR="0010496D">
        <w:t>ort Group</w:t>
      </w:r>
      <w:r w:rsidR="00202521">
        <w:t>, Nepean/Blue Mountains Prostate Cancer Support Group) and the Prostate Cancer Foundation of Australia in support of the olaparib listing. Th</w:t>
      </w:r>
      <w:r w:rsidR="0010496D">
        <w:t xml:space="preserve">ese patient groups </w:t>
      </w:r>
      <w:r w:rsidR="00202521">
        <w:t>noted that olaparib may benefit patients with BRCA positive prostate cancer in terms of delayed disease progression, increased survival time and improved outlook, experience and quality of life.</w:t>
      </w:r>
    </w:p>
    <w:bookmarkEnd w:id="33"/>
    <w:bookmarkEnd w:id="35"/>
    <w:p w14:paraId="4956C7EF" w14:textId="77777777" w:rsidR="007904FB" w:rsidRPr="009B29F2" w:rsidRDefault="007904FB" w:rsidP="009B29F2">
      <w:pPr>
        <w:pStyle w:val="ListParagraph"/>
        <w:ind w:left="709"/>
      </w:pPr>
      <w:r w:rsidRPr="009B29F2">
        <w:t xml:space="preserve">The Medical Oncology Group of Australia (MOGA) also expressed its support for the </w:t>
      </w:r>
      <w:r w:rsidR="009B29F2">
        <w:t>olaparib</w:t>
      </w:r>
      <w:r w:rsidRPr="009B29F2">
        <w:t xml:space="preserve"> submission. The PBAC noted that the MOGA presented a European Society for Medical Oncology Magnitude of Clinical Benefit Scale (ESMO-MCBS) for </w:t>
      </w:r>
      <w:r w:rsidR="009B29F2">
        <w:t>olaparib</w:t>
      </w:r>
      <w:r w:rsidRPr="009B29F2">
        <w:t xml:space="preserve">, which was limited to </w:t>
      </w:r>
      <w:r w:rsidR="009B29F2">
        <w:t>3</w:t>
      </w:r>
      <w:r w:rsidRPr="009B29F2">
        <w:t xml:space="preserve"> (out of a maximum of 5, where 5 and 4 represent the grades with substantial improvement)</w:t>
      </w:r>
      <w:r w:rsidR="009B29F2">
        <w:rPr>
          <w:rStyle w:val="FootnoteReference"/>
        </w:rPr>
        <w:footnoteReference w:id="1"/>
      </w:r>
      <w:r w:rsidR="009B29F2">
        <w:t>, noting also that the clinical value may be overestimated due to the questionable control arm in the PROfound trial.</w:t>
      </w:r>
    </w:p>
    <w:p w14:paraId="21410028" w14:textId="77777777" w:rsidR="00A042A9" w:rsidRPr="00463185" w:rsidRDefault="00A042A9" w:rsidP="00A042A9">
      <w:pPr>
        <w:pStyle w:val="4-SubsectionHeading"/>
      </w:pPr>
      <w:r w:rsidRPr="003336D9">
        <w:rPr>
          <w:rFonts w:asciiTheme="minorHAnsi" w:hAnsiTheme="minorHAnsi"/>
          <w:color w:val="auto"/>
        </w:rPr>
        <w:t>Clinical trials</w:t>
      </w:r>
    </w:p>
    <w:p w14:paraId="55AFBA53" w14:textId="77777777" w:rsidR="00A042A9" w:rsidRPr="00CA4838" w:rsidRDefault="00A042A9" w:rsidP="00A2713C">
      <w:pPr>
        <w:pStyle w:val="ListParagraph"/>
        <w:ind w:left="709"/>
        <w:rPr>
          <w:iCs/>
          <w:color w:val="auto"/>
        </w:rPr>
      </w:pPr>
      <w:r w:rsidRPr="00CA4838">
        <w:rPr>
          <w:iCs/>
          <w:color w:val="auto"/>
        </w:rPr>
        <w:t>The resubmission was based on:</w:t>
      </w:r>
    </w:p>
    <w:p w14:paraId="518BDA0B" w14:textId="77777777" w:rsidR="00A042A9" w:rsidRPr="00CA4838" w:rsidRDefault="00A042A9" w:rsidP="00AB7459">
      <w:pPr>
        <w:pStyle w:val="PBACESParagraphBulletPoint"/>
        <w:ind w:left="1077"/>
      </w:pPr>
      <w:r w:rsidRPr="00CA4838">
        <w:t>a single head-to-head randomised trial (PROfound), comparing olaparib to abiraterone or enzalutamide (</w:t>
      </w:r>
      <w:r w:rsidR="001579DF" w:rsidRPr="00CA4838">
        <w:t>i.e.</w:t>
      </w:r>
      <w:r w:rsidRPr="00CA4838">
        <w:t xml:space="preserve"> NHA) in patients with mCRPC and </w:t>
      </w:r>
      <w:r w:rsidRPr="00266EE3">
        <w:rPr>
          <w:iCs/>
        </w:rPr>
        <w:t>BRCA1/2</w:t>
      </w:r>
      <w:r w:rsidRPr="00CA4838">
        <w:t xml:space="preserve"> gene variants who have already failed prior NHA</w:t>
      </w:r>
      <w:r w:rsidR="00B47BCA">
        <w:t xml:space="preserve"> (unchanged from the March 2021 submissio</w:t>
      </w:r>
      <w:r w:rsidR="0017104B">
        <w:t>n</w:t>
      </w:r>
      <w:r w:rsidR="00B47BCA">
        <w:t>)</w:t>
      </w:r>
      <w:r w:rsidR="0017104B">
        <w:t xml:space="preserve"> </w:t>
      </w:r>
      <w:r w:rsidRPr="00CA4838">
        <w:t xml:space="preserve">Given the lack of </w:t>
      </w:r>
      <w:r>
        <w:t xml:space="preserve">direct or </w:t>
      </w:r>
      <w:r w:rsidRPr="00CA4838">
        <w:t xml:space="preserve">indirect evidence </w:t>
      </w:r>
      <w:r>
        <w:t xml:space="preserve">for olaparib </w:t>
      </w:r>
      <w:r w:rsidRPr="00CA4838">
        <w:t xml:space="preserve">against BSC, the data </w:t>
      </w:r>
      <w:r>
        <w:t>from</w:t>
      </w:r>
      <w:r w:rsidRPr="00CA4838">
        <w:t xml:space="preserve"> </w:t>
      </w:r>
      <w:r>
        <w:t xml:space="preserve">the </w:t>
      </w:r>
      <w:r w:rsidRPr="00CA4838">
        <w:t xml:space="preserve">NHA arm of PROfound was used as proxy for BSC. </w:t>
      </w:r>
    </w:p>
    <w:p w14:paraId="7D38B44E" w14:textId="6F75B033" w:rsidR="00A042A9" w:rsidRPr="00CA4838" w:rsidRDefault="00736BF3" w:rsidP="00AB7459">
      <w:pPr>
        <w:pStyle w:val="PBACESParagraphBulletPoint"/>
        <w:ind w:left="1077"/>
      </w:pPr>
      <w:r>
        <w:t>a</w:t>
      </w:r>
      <w:r w:rsidR="00210084">
        <w:t>n i</w:t>
      </w:r>
      <w:r w:rsidR="00A042A9" w:rsidRPr="00CA4838">
        <w:t>ndirect</w:t>
      </w:r>
      <w:r>
        <w:t xml:space="preserve"> treatment </w:t>
      </w:r>
      <w:r w:rsidR="00210084">
        <w:t>comparison</w:t>
      </w:r>
      <w:r>
        <w:t xml:space="preserve"> (ITC) </w:t>
      </w:r>
      <w:r w:rsidR="00A042A9">
        <w:t>,</w:t>
      </w:r>
      <w:r w:rsidR="00A042A9" w:rsidRPr="00CA4838">
        <w:t xml:space="preserve"> comparing olaparib and cabazitaxel via NHA as common reference</w:t>
      </w:r>
      <w:r w:rsidR="00210084">
        <w:t xml:space="preserve"> using data from PROfound and CARD</w:t>
      </w:r>
      <w:r w:rsidR="00A042A9" w:rsidRPr="00CA4838">
        <w:t xml:space="preserve">. </w:t>
      </w:r>
      <w:r w:rsidR="00210084">
        <w:t>CARD was a</w:t>
      </w:r>
      <w:r>
        <w:t>n open label</w:t>
      </w:r>
      <w:r w:rsidR="00210084">
        <w:t xml:space="preserve"> randomised </w:t>
      </w:r>
      <w:r>
        <w:t xml:space="preserve">trial comparing cabazitaxel and NHAs in patients with mCRPC who had received prior treatment with docetaxel and an NHA. </w:t>
      </w:r>
      <w:r w:rsidR="00A042A9" w:rsidRPr="00CA4838">
        <w:t xml:space="preserve">Given that CARD did not select patients according to </w:t>
      </w:r>
      <w:r w:rsidR="00A042A9" w:rsidRPr="00266EE3">
        <w:rPr>
          <w:iCs/>
        </w:rPr>
        <w:t>BRCA1/2</w:t>
      </w:r>
      <w:r w:rsidR="00A042A9" w:rsidRPr="00CA4838">
        <w:t xml:space="preserve"> status, there were important transitivity issues </w:t>
      </w:r>
      <w:r w:rsidR="00A01B74">
        <w:t>with</w:t>
      </w:r>
      <w:r w:rsidR="00A042A9" w:rsidRPr="00CA4838">
        <w:t xml:space="preserve"> this comparison.</w:t>
      </w:r>
    </w:p>
    <w:p w14:paraId="036A0C26" w14:textId="77777777" w:rsidR="00A042A9" w:rsidRPr="00F52B1D" w:rsidRDefault="0081330E" w:rsidP="00A2713C">
      <w:pPr>
        <w:pStyle w:val="ListParagraph"/>
        <w:ind w:left="709"/>
      </w:pPr>
      <w:r>
        <w:t>T</w:t>
      </w:r>
      <w:r w:rsidR="00A042A9" w:rsidRPr="00F52B1D">
        <w:t xml:space="preserve">he PBAC and MSAC ESCs had previously considered that due to expected transitivity issues of ITCs of the BRCA1/2 subgroup in the olaparib arm of PROfound to all comers’ trials of BSC or cabazitaxel, the comparative results of PROfound may represent reasonable estimates over a mixed comparator (paragraphs 5.3, 5.4, olaparib PSD, March 2021). Therefore, it might have been more appropriate for the resubmission to use </w:t>
      </w:r>
      <w:bookmarkStart w:id="36" w:name="_Hlk81562878"/>
      <w:r w:rsidR="00A042A9" w:rsidRPr="00F52B1D">
        <w:t xml:space="preserve">results from the olaparib vs. NHA comparison in </w:t>
      </w:r>
      <w:bookmarkEnd w:id="36"/>
      <w:r w:rsidR="00A042A9" w:rsidRPr="00F52B1D">
        <w:t>PROfound as a proxy to the effectiveness of olaparib over the nominated mixed comparator (75% BSC and 25% cabazitaxel) as per PBAC’s advice.</w:t>
      </w:r>
      <w:r w:rsidR="00962D67">
        <w:t xml:space="preserve"> </w:t>
      </w:r>
      <w:r w:rsidR="00962D67" w:rsidRPr="00266EE3">
        <w:t>The ESC noted the results of a sensitivity analysis using this approach in the economic model were presented in the PSCR and the change had minimal impact on the ICER.</w:t>
      </w:r>
    </w:p>
    <w:p w14:paraId="1660D25E" w14:textId="77777777" w:rsidR="00FF5FCF" w:rsidRPr="00F52B1D" w:rsidRDefault="00A042A9" w:rsidP="00E74C8A">
      <w:pPr>
        <w:pStyle w:val="ListParagraph"/>
        <w:ind w:left="680" w:hanging="680"/>
      </w:pPr>
      <w:r w:rsidRPr="00F52B1D">
        <w:t xml:space="preserve">The resubmission </w:t>
      </w:r>
      <w:r w:rsidR="00F5108A" w:rsidRPr="00F52B1D">
        <w:t xml:space="preserve">also provided updated information on the proposed </w:t>
      </w:r>
      <w:r w:rsidR="0081330E">
        <w:t xml:space="preserve">BRCA </w:t>
      </w:r>
      <w:r w:rsidR="00F5108A" w:rsidRPr="00F52B1D">
        <w:t>testing</w:t>
      </w:r>
      <w:r w:rsidRPr="00F52B1D">
        <w:t>, including new systematic reviews of prognostic and accuracy studies. Results from four additional prognostic studies, including a subgroup analysis from PROfound, were presented, as well as a new concordance study comparing the proposed NGS BRCA1/2 test (QIAseq targeted DNA panel) with the NGS test used in the PROfound trial (F1CDx).</w:t>
      </w:r>
      <w:r w:rsidR="007D0D28" w:rsidRPr="00266EE3">
        <w:t xml:space="preserve"> </w:t>
      </w:r>
      <w:r w:rsidR="00B47BCA" w:rsidRPr="00266EE3">
        <w:t xml:space="preserve">The ESC noted that this data was </w:t>
      </w:r>
      <w:r w:rsidR="009101CA" w:rsidRPr="00266EE3">
        <w:t>of relevance for</w:t>
      </w:r>
      <w:r w:rsidR="00B47BCA" w:rsidRPr="00266EE3">
        <w:t xml:space="preserve"> MSAC</w:t>
      </w:r>
      <w:r w:rsidR="00B47BCA" w:rsidRPr="00AB515A">
        <w:rPr>
          <w:i/>
          <w:iCs/>
        </w:rPr>
        <w:t>.</w:t>
      </w:r>
      <w:r w:rsidR="007D0D28" w:rsidRPr="00F52B1D">
        <w:t xml:space="preserve"> </w:t>
      </w:r>
    </w:p>
    <w:p w14:paraId="1B731B58" w14:textId="77777777" w:rsidR="00A042A9" w:rsidRPr="00CA4838" w:rsidRDefault="007D0D28" w:rsidP="00AB515A">
      <w:pPr>
        <w:pStyle w:val="ListParagraph"/>
        <w:ind w:left="680" w:hanging="680"/>
      </w:pPr>
      <w:r w:rsidRPr="00F52B1D">
        <w:t>While MSAC had previously accepted the clinical utility of BRCA1/2 testing</w:t>
      </w:r>
      <w:r w:rsidR="00167DB9" w:rsidRPr="00F52B1D">
        <w:t>, u</w:t>
      </w:r>
      <w:r w:rsidRPr="00F52B1D">
        <w:t xml:space="preserve">ncertainties </w:t>
      </w:r>
      <w:r w:rsidR="00E74C8A" w:rsidRPr="00F52B1D">
        <w:t>were raised with respect to prognostic effect and diagnostic performance</w:t>
      </w:r>
      <w:r w:rsidR="00A72D82" w:rsidRPr="00F52B1D">
        <w:t xml:space="preserve"> (</w:t>
      </w:r>
      <w:r w:rsidR="0066058E" w:rsidRPr="00F52B1D">
        <w:t xml:space="preserve">partially </w:t>
      </w:r>
      <w:r w:rsidR="00A72D82" w:rsidRPr="00F52B1D">
        <w:t>addressed in this resubmission)</w:t>
      </w:r>
      <w:r w:rsidR="00E74C8A" w:rsidRPr="00F52B1D">
        <w:t xml:space="preserve">. MSAC also requested </w:t>
      </w:r>
      <w:r w:rsidR="00962D67">
        <w:t>that</w:t>
      </w:r>
      <w:r w:rsidR="00962D67" w:rsidRPr="00F52B1D">
        <w:t xml:space="preserve"> </w:t>
      </w:r>
      <w:r w:rsidR="00FF4CE1" w:rsidRPr="00F52B1D">
        <w:t xml:space="preserve">the </w:t>
      </w:r>
      <w:r w:rsidR="00E74C8A" w:rsidRPr="00F52B1D">
        <w:t xml:space="preserve">modelled economic evaluation and financial estimates </w:t>
      </w:r>
      <w:r w:rsidR="00FF4CE1" w:rsidRPr="00F52B1D">
        <w:t xml:space="preserve">fully consider the cost </w:t>
      </w:r>
      <w:r w:rsidR="00E74C8A" w:rsidRPr="00F52B1D">
        <w:t xml:space="preserve">consequences of testing, </w:t>
      </w:r>
      <w:r w:rsidR="00FF4CE1" w:rsidRPr="00F52B1D">
        <w:t xml:space="preserve">including </w:t>
      </w:r>
      <w:r w:rsidR="00E74C8A" w:rsidRPr="00F52B1D">
        <w:t>cascade testing in patients and their relatives</w:t>
      </w:r>
      <w:r w:rsidR="00FF5FCF" w:rsidRPr="00F52B1D">
        <w:t xml:space="preserve"> (not fully addressed in this resubmission)</w:t>
      </w:r>
      <w:r w:rsidR="00E74C8A" w:rsidRPr="00F52B1D">
        <w:t>.</w:t>
      </w:r>
      <w:r w:rsidR="00A72D82" w:rsidRPr="00F52B1D">
        <w:t xml:space="preserve"> MSAC </w:t>
      </w:r>
      <w:r w:rsidR="006B5BE4" w:rsidRPr="00F52B1D">
        <w:t xml:space="preserve">stated that it </w:t>
      </w:r>
      <w:r w:rsidR="00A72D82" w:rsidRPr="00F52B1D">
        <w:t>would quickly reconsider this application if the PBAC recommends funding olaparib on the PBS for this patient population</w:t>
      </w:r>
      <w:r w:rsidR="006B5BE4" w:rsidRPr="00F52B1D">
        <w:t xml:space="preserve"> (p2, MSAC 1618, March 2021).</w:t>
      </w:r>
    </w:p>
    <w:p w14:paraId="29ECC57A" w14:textId="77777777" w:rsidR="00A042A9" w:rsidRPr="00CA4838" w:rsidRDefault="00A042A9" w:rsidP="00A2713C">
      <w:pPr>
        <w:pStyle w:val="ListParagraph"/>
        <w:ind w:left="709"/>
      </w:pPr>
      <w:r w:rsidRPr="00CA4838">
        <w:t>The resubmission also provided additional analyses to adjust for the significant treatment switching in PROfound.</w:t>
      </w:r>
    </w:p>
    <w:p w14:paraId="7B60B03C" w14:textId="77777777" w:rsidR="00A042A9" w:rsidRPr="00CA4838" w:rsidRDefault="00A042A9" w:rsidP="00A2713C">
      <w:pPr>
        <w:pStyle w:val="ListParagraph"/>
        <w:ind w:left="709"/>
      </w:pPr>
      <w:r w:rsidRPr="00CA4838">
        <w:t xml:space="preserve">Details of the trials presented in the submission are provided in the tables below. </w:t>
      </w:r>
    </w:p>
    <w:p w14:paraId="4755E29C" w14:textId="77777777" w:rsidR="00A042A9" w:rsidRPr="00CA4838" w:rsidRDefault="00A042A9" w:rsidP="001B37A3">
      <w:pPr>
        <w:pStyle w:val="Caption"/>
      </w:pPr>
      <w:r>
        <w:t xml:space="preserve">Table </w:t>
      </w:r>
      <w:r w:rsidR="007C5E46">
        <w:rPr>
          <w:noProof/>
        </w:rPr>
        <w:t>3</w:t>
      </w:r>
      <w:r w:rsidR="004A4197">
        <w:rPr>
          <w:noProof/>
        </w:rPr>
        <w:t xml:space="preserve">: </w:t>
      </w:r>
      <w:r w:rsidRPr="00CA4838">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570"/>
        <w:gridCol w:w="5217"/>
        <w:gridCol w:w="2229"/>
      </w:tblGrid>
      <w:tr w:rsidR="00A042A9" w:rsidRPr="00CA4838" w14:paraId="440A0CD0" w14:textId="77777777" w:rsidTr="00ED665A">
        <w:trPr>
          <w:tblHeader/>
        </w:trPr>
        <w:tc>
          <w:tcPr>
            <w:tcW w:w="871" w:type="pct"/>
            <w:vAlign w:val="bottom"/>
          </w:tcPr>
          <w:p w14:paraId="44E35B68" w14:textId="77777777" w:rsidR="00A042A9" w:rsidRPr="00CA4838" w:rsidRDefault="00A042A9" w:rsidP="00AB7459">
            <w:pPr>
              <w:pStyle w:val="TableText"/>
              <w:keepNext/>
              <w:rPr>
                <w:b/>
              </w:rPr>
            </w:pPr>
            <w:r w:rsidRPr="00CA4838">
              <w:rPr>
                <w:b/>
              </w:rPr>
              <w:t>Trial ID</w:t>
            </w:r>
          </w:p>
        </w:tc>
        <w:tc>
          <w:tcPr>
            <w:tcW w:w="2893" w:type="pct"/>
            <w:vAlign w:val="bottom"/>
          </w:tcPr>
          <w:p w14:paraId="61366B5D" w14:textId="77777777" w:rsidR="00A042A9" w:rsidRPr="00CA4838" w:rsidRDefault="00A042A9" w:rsidP="00AB7459">
            <w:pPr>
              <w:pStyle w:val="TableText"/>
              <w:keepNext/>
              <w:jc w:val="center"/>
              <w:rPr>
                <w:b/>
              </w:rPr>
            </w:pPr>
            <w:r w:rsidRPr="00CA4838">
              <w:rPr>
                <w:b/>
              </w:rPr>
              <w:t>Protocol title/ Publication title</w:t>
            </w:r>
          </w:p>
        </w:tc>
        <w:tc>
          <w:tcPr>
            <w:tcW w:w="1236" w:type="pct"/>
            <w:vAlign w:val="bottom"/>
          </w:tcPr>
          <w:p w14:paraId="7FC1ACAB" w14:textId="77777777" w:rsidR="00A042A9" w:rsidRPr="00CA4838" w:rsidRDefault="00A042A9" w:rsidP="00AB7459">
            <w:pPr>
              <w:pStyle w:val="TableText"/>
              <w:keepNext/>
              <w:jc w:val="center"/>
              <w:rPr>
                <w:b/>
              </w:rPr>
            </w:pPr>
            <w:r w:rsidRPr="00CA4838">
              <w:rPr>
                <w:b/>
              </w:rPr>
              <w:t>Publication citation</w:t>
            </w:r>
          </w:p>
        </w:tc>
      </w:tr>
      <w:tr w:rsidR="00A042A9" w:rsidRPr="00F429EF" w14:paraId="4EAB71AD" w14:textId="77777777" w:rsidTr="00ED665A">
        <w:tc>
          <w:tcPr>
            <w:tcW w:w="5000" w:type="pct"/>
            <w:gridSpan w:val="3"/>
            <w:tcBorders>
              <w:bottom w:val="single" w:sz="4" w:space="0" w:color="auto"/>
            </w:tcBorders>
            <w:shd w:val="clear" w:color="auto" w:fill="BDD6EE" w:themeFill="accent1" w:themeFillTint="66"/>
          </w:tcPr>
          <w:p w14:paraId="509A6898" w14:textId="77777777" w:rsidR="00A042A9" w:rsidRPr="00F429EF" w:rsidRDefault="00A042A9" w:rsidP="00AB7459">
            <w:pPr>
              <w:pStyle w:val="TableText"/>
              <w:keepNext/>
              <w:rPr>
                <w:b/>
              </w:rPr>
            </w:pPr>
            <w:r w:rsidRPr="00F429EF">
              <w:rPr>
                <w:b/>
              </w:rPr>
              <w:t>Direct randomised trial</w:t>
            </w:r>
          </w:p>
        </w:tc>
      </w:tr>
      <w:tr w:rsidR="00A042A9" w:rsidRPr="00CA4838" w14:paraId="7309CC78" w14:textId="77777777" w:rsidTr="00ED665A">
        <w:tc>
          <w:tcPr>
            <w:tcW w:w="871" w:type="pct"/>
            <w:tcBorders>
              <w:bottom w:val="nil"/>
            </w:tcBorders>
            <w:shd w:val="clear" w:color="auto" w:fill="BDD6EE" w:themeFill="accent1" w:themeFillTint="66"/>
          </w:tcPr>
          <w:p w14:paraId="2234C740" w14:textId="77777777" w:rsidR="00A042A9" w:rsidRPr="00CA4838" w:rsidRDefault="00A042A9" w:rsidP="00AB7459">
            <w:pPr>
              <w:pStyle w:val="TableText"/>
              <w:keepNext/>
            </w:pPr>
          </w:p>
        </w:tc>
        <w:tc>
          <w:tcPr>
            <w:tcW w:w="2893" w:type="pct"/>
            <w:tcBorders>
              <w:bottom w:val="nil"/>
            </w:tcBorders>
            <w:shd w:val="clear" w:color="auto" w:fill="BDD6EE" w:themeFill="accent1" w:themeFillTint="66"/>
          </w:tcPr>
          <w:p w14:paraId="5DCCAE13" w14:textId="77777777" w:rsidR="00A042A9" w:rsidRPr="00CA4838" w:rsidRDefault="00A042A9" w:rsidP="00AB7459">
            <w:pPr>
              <w:pStyle w:val="TableText"/>
              <w:keepNext/>
              <w:spacing w:line="240" w:lineRule="auto"/>
            </w:pPr>
            <w:r w:rsidRPr="00CA4838">
              <w:rPr>
                <w:rFonts w:eastAsia="TimesNewRoman,Bold"/>
                <w:szCs w:val="20"/>
              </w:rPr>
              <w:t>A Phase III, Open Label, Randomized Study to Assess the Efficacy and Safety of Olaparib (Lynparza</w:t>
            </w:r>
            <w:r w:rsidRPr="00CA4838">
              <w:rPr>
                <w:rFonts w:eastAsia="TimesNewRoman,Bold"/>
                <w:szCs w:val="20"/>
                <w:vertAlign w:val="superscript"/>
              </w:rPr>
              <w:t>TM</w:t>
            </w:r>
            <w:r w:rsidRPr="00CA4838">
              <w:rPr>
                <w:rFonts w:eastAsia="TimesNewRoman,Bold"/>
                <w:szCs w:val="20"/>
              </w:rPr>
              <w:t>) Versus Enzalutamide or Abiraterone Acetate in Men with Metastatic Castration-Resistant Prostate Cancer Who Have Failed Prior Treatment with a New Hormonal Agent and Have Homologous Recombination Repair Gene Mutations (PROfound).</w:t>
            </w:r>
            <w:r w:rsidRPr="00CA4838">
              <w:t xml:space="preserve"> </w:t>
            </w:r>
          </w:p>
        </w:tc>
        <w:tc>
          <w:tcPr>
            <w:tcW w:w="1236" w:type="pct"/>
            <w:tcBorders>
              <w:bottom w:val="nil"/>
            </w:tcBorders>
            <w:shd w:val="clear" w:color="auto" w:fill="BDD6EE" w:themeFill="accent1" w:themeFillTint="66"/>
          </w:tcPr>
          <w:p w14:paraId="103F0837" w14:textId="77777777" w:rsidR="00A042A9" w:rsidRPr="00CA4838" w:rsidRDefault="00A042A9" w:rsidP="00AB7459">
            <w:pPr>
              <w:pStyle w:val="TableText"/>
              <w:keepNext/>
            </w:pPr>
            <w:r w:rsidRPr="00CA4838">
              <w:t>October 2019</w:t>
            </w:r>
          </w:p>
          <w:p w14:paraId="5D2ADC61" w14:textId="77777777" w:rsidR="00A042A9" w:rsidRPr="00CA4838" w:rsidRDefault="00A042A9" w:rsidP="00AB7459">
            <w:pPr>
              <w:pStyle w:val="TableText"/>
              <w:keepNext/>
            </w:pPr>
          </w:p>
          <w:p w14:paraId="50554A22" w14:textId="77777777" w:rsidR="00A042A9" w:rsidRPr="00CA4838" w:rsidRDefault="00A042A9" w:rsidP="00AB7459">
            <w:pPr>
              <w:pStyle w:val="TableText"/>
              <w:keepNext/>
            </w:pPr>
          </w:p>
        </w:tc>
      </w:tr>
      <w:tr w:rsidR="00A042A9" w:rsidRPr="00CA4838" w14:paraId="79EA0495" w14:textId="77777777" w:rsidTr="00ED665A">
        <w:tc>
          <w:tcPr>
            <w:tcW w:w="871" w:type="pct"/>
            <w:tcBorders>
              <w:top w:val="nil"/>
              <w:bottom w:val="nil"/>
            </w:tcBorders>
            <w:shd w:val="clear" w:color="auto" w:fill="BDD6EE" w:themeFill="accent1" w:themeFillTint="66"/>
          </w:tcPr>
          <w:p w14:paraId="59F61ACB" w14:textId="77777777" w:rsidR="00A042A9" w:rsidRPr="00CA4838" w:rsidRDefault="00A042A9" w:rsidP="00AB7459">
            <w:pPr>
              <w:pStyle w:val="TableText"/>
              <w:keepNext/>
            </w:pPr>
            <w:r w:rsidRPr="00CA4838">
              <w:t>PROfound</w:t>
            </w:r>
          </w:p>
        </w:tc>
        <w:tc>
          <w:tcPr>
            <w:tcW w:w="2893" w:type="pct"/>
            <w:tcBorders>
              <w:top w:val="nil"/>
              <w:bottom w:val="nil"/>
            </w:tcBorders>
            <w:shd w:val="clear" w:color="auto" w:fill="BDD6EE" w:themeFill="accent1" w:themeFillTint="66"/>
          </w:tcPr>
          <w:p w14:paraId="516EB9AF" w14:textId="77777777" w:rsidR="00A042A9" w:rsidRPr="00CA4838" w:rsidRDefault="00A042A9" w:rsidP="00AB7459">
            <w:pPr>
              <w:keepNext/>
              <w:spacing w:before="40" w:after="40"/>
              <w:jc w:val="left"/>
              <w:rPr>
                <w:rFonts w:ascii="Arial Narrow" w:eastAsia="TimesNewRoman,Bold" w:hAnsi="Arial Narrow" w:cs="TimesNewRoman,Bold"/>
                <w:sz w:val="20"/>
                <w:szCs w:val="20"/>
              </w:rPr>
            </w:pPr>
            <w:r w:rsidRPr="00CA4838">
              <w:rPr>
                <w:rFonts w:ascii="Arial Narrow" w:hAnsi="Arial Narrow"/>
                <w:sz w:val="20"/>
                <w:szCs w:val="20"/>
              </w:rPr>
              <w:t xml:space="preserve">de Bono J, Mateo J, Fizazi K et al.  Olaparib for metastatic castration-resistant prostate cancer. </w:t>
            </w:r>
          </w:p>
        </w:tc>
        <w:tc>
          <w:tcPr>
            <w:tcW w:w="1236" w:type="pct"/>
            <w:tcBorders>
              <w:top w:val="nil"/>
              <w:bottom w:val="nil"/>
            </w:tcBorders>
            <w:shd w:val="clear" w:color="auto" w:fill="BDD6EE" w:themeFill="accent1" w:themeFillTint="66"/>
          </w:tcPr>
          <w:p w14:paraId="1FD6438C" w14:textId="77777777" w:rsidR="00A042A9" w:rsidRPr="00CA4838" w:rsidRDefault="00A042A9" w:rsidP="00AB7459">
            <w:pPr>
              <w:pStyle w:val="TableText"/>
              <w:keepNext/>
            </w:pPr>
            <w:r w:rsidRPr="00CA4838">
              <w:rPr>
                <w:i/>
                <w:iCs/>
                <w:szCs w:val="20"/>
              </w:rPr>
              <w:t>NEJM</w:t>
            </w:r>
            <w:r w:rsidRPr="00CA4838">
              <w:rPr>
                <w:szCs w:val="20"/>
              </w:rPr>
              <w:t xml:space="preserve"> 2020; 382(22): 2091-2102</w:t>
            </w:r>
          </w:p>
        </w:tc>
      </w:tr>
      <w:tr w:rsidR="00A042A9" w:rsidRPr="00CA4838" w14:paraId="36E1EC1A" w14:textId="77777777" w:rsidTr="00ED665A">
        <w:tc>
          <w:tcPr>
            <w:tcW w:w="871" w:type="pct"/>
            <w:tcBorders>
              <w:bottom w:val="nil"/>
            </w:tcBorders>
            <w:shd w:val="clear" w:color="auto" w:fill="BDD6EE" w:themeFill="accent1" w:themeFillTint="66"/>
            <w:vAlign w:val="bottom"/>
          </w:tcPr>
          <w:p w14:paraId="21BEC736" w14:textId="77777777" w:rsidR="00A042A9" w:rsidRPr="00CA4838" w:rsidRDefault="00A042A9" w:rsidP="00ED665A">
            <w:pPr>
              <w:pStyle w:val="TableText"/>
              <w:spacing w:line="240" w:lineRule="auto"/>
            </w:pPr>
            <w:r w:rsidRPr="00CA4838">
              <w:t xml:space="preserve">PROfound </w:t>
            </w:r>
          </w:p>
          <w:p w14:paraId="2EED187E" w14:textId="77777777" w:rsidR="00A042A9" w:rsidRPr="00CA4838" w:rsidRDefault="00A042A9" w:rsidP="00ED665A">
            <w:pPr>
              <w:pStyle w:val="TableText"/>
              <w:spacing w:line="240" w:lineRule="auto"/>
            </w:pPr>
            <w:r w:rsidRPr="00CA4838">
              <w:t>final analysis</w:t>
            </w:r>
          </w:p>
        </w:tc>
        <w:tc>
          <w:tcPr>
            <w:tcW w:w="2893" w:type="pct"/>
            <w:tcBorders>
              <w:bottom w:val="nil"/>
            </w:tcBorders>
            <w:shd w:val="clear" w:color="auto" w:fill="BDD6EE" w:themeFill="accent1" w:themeFillTint="66"/>
          </w:tcPr>
          <w:p w14:paraId="58D16440" w14:textId="77777777" w:rsidR="00A042A9" w:rsidRPr="00CA4838" w:rsidRDefault="00A042A9" w:rsidP="00ED665A">
            <w:pPr>
              <w:spacing w:before="40" w:after="0"/>
              <w:rPr>
                <w:rFonts w:ascii="Arial Narrow" w:eastAsia="TimesNewRoman,Bold" w:hAnsi="Arial Narrow" w:cs="TimesNewRoman,Bold"/>
                <w:sz w:val="20"/>
                <w:szCs w:val="20"/>
              </w:rPr>
            </w:pPr>
            <w:r w:rsidRPr="00CA4838">
              <w:rPr>
                <w:rFonts w:ascii="Arial Narrow" w:eastAsia="TimesNewRoman,Bold" w:hAnsi="Arial Narrow" w:cs="TimesNewRoman,Bold"/>
                <w:sz w:val="20"/>
                <w:szCs w:val="20"/>
              </w:rPr>
              <w:t>A Phase III, Open Label, Randomized Study to Assess the Efficacy and Safety of Olaparib (LynparzaTM) Versus Enzalutamide or Abiraterone Acetate in Men with Metastatic Castration-Resistant Prostate Cancer Who Have Failed Prior Treatment with a New Hormonal Agent and Have Homologous Recombination Repair Gene Mutations (PROfound)</w:t>
            </w:r>
          </w:p>
          <w:p w14:paraId="73FFDA37" w14:textId="77777777" w:rsidR="00A042A9" w:rsidRPr="00CA4838" w:rsidRDefault="00A042A9" w:rsidP="00ED665A">
            <w:pPr>
              <w:spacing w:before="0" w:after="40"/>
              <w:rPr>
                <w:rFonts w:ascii="Arial Narrow" w:eastAsia="TimesNewRoman,Bold" w:hAnsi="Arial Narrow" w:cs="TimesNewRoman,Bold"/>
                <w:sz w:val="20"/>
                <w:szCs w:val="20"/>
              </w:rPr>
            </w:pPr>
            <w:r w:rsidRPr="00CA4838">
              <w:rPr>
                <w:rFonts w:ascii="Arial Narrow" w:eastAsia="TimesNewRoman,Bold" w:hAnsi="Arial Narrow" w:cs="TimesNewRoman,Bold"/>
                <w:sz w:val="20"/>
                <w:szCs w:val="20"/>
              </w:rPr>
              <w:t>Final Analysis of Overall Survival and Safety Update</w:t>
            </w:r>
            <w:r w:rsidRPr="00CA4838">
              <w:t xml:space="preserve"> </w:t>
            </w:r>
          </w:p>
        </w:tc>
        <w:tc>
          <w:tcPr>
            <w:tcW w:w="1236" w:type="pct"/>
            <w:tcBorders>
              <w:bottom w:val="nil"/>
            </w:tcBorders>
            <w:shd w:val="clear" w:color="auto" w:fill="BDD6EE" w:themeFill="accent1" w:themeFillTint="66"/>
          </w:tcPr>
          <w:p w14:paraId="3963708F" w14:textId="77777777" w:rsidR="00A042A9" w:rsidRPr="00CA4838" w:rsidRDefault="00A042A9" w:rsidP="00ED665A">
            <w:pPr>
              <w:pStyle w:val="TableText"/>
              <w:spacing w:line="240" w:lineRule="auto"/>
            </w:pPr>
            <w:r w:rsidRPr="00CA4838">
              <w:t>July 2020</w:t>
            </w:r>
          </w:p>
        </w:tc>
      </w:tr>
      <w:tr w:rsidR="00A042A9" w:rsidRPr="00CA4838" w14:paraId="1DBEA30D" w14:textId="77777777" w:rsidTr="00ED665A">
        <w:tc>
          <w:tcPr>
            <w:tcW w:w="871" w:type="pct"/>
            <w:tcBorders>
              <w:top w:val="nil"/>
            </w:tcBorders>
            <w:shd w:val="clear" w:color="auto" w:fill="BDD6EE" w:themeFill="accent1" w:themeFillTint="66"/>
          </w:tcPr>
          <w:p w14:paraId="142B663C" w14:textId="77777777" w:rsidR="00A042A9" w:rsidRPr="00CA4838" w:rsidRDefault="00A042A9" w:rsidP="00ED665A">
            <w:pPr>
              <w:pStyle w:val="TableText"/>
              <w:spacing w:line="240" w:lineRule="auto"/>
            </w:pPr>
          </w:p>
        </w:tc>
        <w:tc>
          <w:tcPr>
            <w:tcW w:w="2893" w:type="pct"/>
            <w:tcBorders>
              <w:top w:val="nil"/>
            </w:tcBorders>
            <w:shd w:val="clear" w:color="auto" w:fill="BDD6EE" w:themeFill="accent1" w:themeFillTint="66"/>
          </w:tcPr>
          <w:p w14:paraId="5FFDB588" w14:textId="77777777" w:rsidR="00A042A9" w:rsidRPr="00CA4838" w:rsidRDefault="00A042A9" w:rsidP="00ED665A">
            <w:pPr>
              <w:pStyle w:val="TableText"/>
              <w:spacing w:line="240" w:lineRule="auto"/>
            </w:pPr>
            <w:r w:rsidRPr="00CA4838">
              <w:rPr>
                <w:szCs w:val="20"/>
              </w:rPr>
              <w:t xml:space="preserve">Hussain M, Mateo J, Fizazi K et al.  Survival with olaparib in metastatic castration-resistant prostate cancer. </w:t>
            </w:r>
          </w:p>
        </w:tc>
        <w:tc>
          <w:tcPr>
            <w:tcW w:w="1236" w:type="pct"/>
            <w:tcBorders>
              <w:top w:val="nil"/>
            </w:tcBorders>
            <w:shd w:val="clear" w:color="auto" w:fill="BDD6EE" w:themeFill="accent1" w:themeFillTint="66"/>
          </w:tcPr>
          <w:p w14:paraId="232A02EA" w14:textId="77777777" w:rsidR="00A042A9" w:rsidRPr="00CA4838" w:rsidRDefault="00A042A9" w:rsidP="00ED665A">
            <w:pPr>
              <w:spacing w:before="40" w:after="0"/>
              <w:jc w:val="left"/>
              <w:rPr>
                <w:rFonts w:ascii="Arial Narrow" w:hAnsi="Arial Narrow"/>
                <w:sz w:val="20"/>
                <w:szCs w:val="20"/>
              </w:rPr>
            </w:pPr>
            <w:r w:rsidRPr="00CA4838">
              <w:rPr>
                <w:rFonts w:ascii="Arial Narrow" w:eastAsia="TimesNewRoman,Bold" w:hAnsi="Arial Narrow" w:cs="TimesNewRoman,Bold"/>
                <w:sz w:val="20"/>
                <w:szCs w:val="20"/>
              </w:rPr>
              <w:t>NEJM 2020; 383(24):2345-57.</w:t>
            </w:r>
            <w:r w:rsidRPr="00CA4838">
              <w:rPr>
                <w:rFonts w:ascii="Arial Narrow" w:hAnsi="Arial Narrow"/>
                <w:sz w:val="20"/>
                <w:szCs w:val="20"/>
              </w:rPr>
              <w:t xml:space="preserve"> </w:t>
            </w:r>
          </w:p>
        </w:tc>
      </w:tr>
      <w:tr w:rsidR="00A042A9" w:rsidRPr="00F429EF" w14:paraId="548542E0" w14:textId="77777777" w:rsidTr="00ED665A">
        <w:tc>
          <w:tcPr>
            <w:tcW w:w="5000" w:type="pct"/>
            <w:gridSpan w:val="3"/>
            <w:tcBorders>
              <w:bottom w:val="single" w:sz="4" w:space="0" w:color="auto"/>
            </w:tcBorders>
            <w:shd w:val="clear" w:color="auto" w:fill="BDD6EE" w:themeFill="accent1" w:themeFillTint="66"/>
          </w:tcPr>
          <w:p w14:paraId="3581ED9C" w14:textId="77777777" w:rsidR="00A042A9" w:rsidRPr="00F429EF" w:rsidRDefault="00A042A9" w:rsidP="00ED665A">
            <w:pPr>
              <w:pStyle w:val="TableText"/>
              <w:rPr>
                <w:b/>
              </w:rPr>
            </w:pPr>
            <w:r w:rsidRPr="00F429EF">
              <w:rPr>
                <w:b/>
              </w:rPr>
              <w:t>Supplementary randomised trial</w:t>
            </w:r>
          </w:p>
        </w:tc>
      </w:tr>
      <w:tr w:rsidR="00A042A9" w:rsidRPr="00CA4838" w14:paraId="002C6DBC" w14:textId="77777777" w:rsidTr="00ED665A">
        <w:tc>
          <w:tcPr>
            <w:tcW w:w="871" w:type="pct"/>
            <w:tcBorders>
              <w:bottom w:val="nil"/>
            </w:tcBorders>
            <w:shd w:val="clear" w:color="auto" w:fill="BDD6EE" w:themeFill="accent1" w:themeFillTint="66"/>
            <w:vAlign w:val="bottom"/>
          </w:tcPr>
          <w:p w14:paraId="176376FA" w14:textId="77777777" w:rsidR="00A042A9" w:rsidRPr="00CA4838" w:rsidRDefault="00A042A9" w:rsidP="00ED665A">
            <w:pPr>
              <w:pStyle w:val="TableText"/>
            </w:pPr>
          </w:p>
        </w:tc>
        <w:tc>
          <w:tcPr>
            <w:tcW w:w="2893" w:type="pct"/>
            <w:tcBorders>
              <w:bottom w:val="nil"/>
            </w:tcBorders>
            <w:shd w:val="clear" w:color="auto" w:fill="BDD6EE" w:themeFill="accent1" w:themeFillTint="66"/>
          </w:tcPr>
          <w:p w14:paraId="5DD80200" w14:textId="77777777" w:rsidR="00A042A9" w:rsidRPr="00CA4838" w:rsidRDefault="00A042A9" w:rsidP="00ED665A">
            <w:pPr>
              <w:pStyle w:val="TableText"/>
              <w:spacing w:line="257" w:lineRule="auto"/>
            </w:pPr>
            <w:r w:rsidRPr="00CA4838">
              <w:rPr>
                <w:szCs w:val="20"/>
              </w:rPr>
              <w:t>Mateo J, Porta N, Bianchini D et al. Olaparib in patients with metastatic castration-resistant prostate cancer with DNA repair gene aberrations (TOPARP-B): a multicentre, open-label, randomised, phase 2 trial.</w:t>
            </w:r>
            <w:r w:rsidRPr="00CA4838">
              <w:t xml:space="preserve"> </w:t>
            </w:r>
            <w:r w:rsidRPr="00CA4838">
              <w:rPr>
                <w:szCs w:val="20"/>
              </w:rPr>
              <w:t xml:space="preserve"> </w:t>
            </w:r>
          </w:p>
        </w:tc>
        <w:tc>
          <w:tcPr>
            <w:tcW w:w="1236" w:type="pct"/>
            <w:tcBorders>
              <w:bottom w:val="nil"/>
            </w:tcBorders>
            <w:shd w:val="clear" w:color="auto" w:fill="BDD6EE" w:themeFill="accent1" w:themeFillTint="66"/>
          </w:tcPr>
          <w:p w14:paraId="42D1A825" w14:textId="77777777" w:rsidR="00A042A9" w:rsidRPr="00CA4838" w:rsidRDefault="00A042A9" w:rsidP="00ED665A">
            <w:pPr>
              <w:pStyle w:val="TableText"/>
              <w:spacing w:line="257" w:lineRule="auto"/>
            </w:pPr>
            <w:r w:rsidRPr="00CA4838">
              <w:rPr>
                <w:i/>
                <w:iCs/>
                <w:szCs w:val="20"/>
              </w:rPr>
              <w:t>Lancet Oncol</w:t>
            </w:r>
            <w:r w:rsidRPr="00CA4838">
              <w:rPr>
                <w:szCs w:val="20"/>
              </w:rPr>
              <w:t xml:space="preserve"> 2020; 21(1): 162-174.</w:t>
            </w:r>
          </w:p>
        </w:tc>
      </w:tr>
      <w:tr w:rsidR="00A042A9" w:rsidRPr="00CA4838" w14:paraId="5B7E71DC" w14:textId="77777777" w:rsidTr="00ED665A">
        <w:tc>
          <w:tcPr>
            <w:tcW w:w="871" w:type="pct"/>
            <w:tcBorders>
              <w:top w:val="nil"/>
              <w:bottom w:val="single" w:sz="4" w:space="0" w:color="auto"/>
            </w:tcBorders>
            <w:shd w:val="clear" w:color="auto" w:fill="BDD6EE" w:themeFill="accent1" w:themeFillTint="66"/>
          </w:tcPr>
          <w:p w14:paraId="437A740D" w14:textId="77777777" w:rsidR="00A042A9" w:rsidRPr="00CA4838" w:rsidRDefault="00A042A9" w:rsidP="00ED665A">
            <w:pPr>
              <w:pStyle w:val="TableText"/>
            </w:pPr>
            <w:r w:rsidRPr="00CA4838">
              <w:t>TOPARP-B</w:t>
            </w:r>
          </w:p>
        </w:tc>
        <w:tc>
          <w:tcPr>
            <w:tcW w:w="2893" w:type="pct"/>
            <w:tcBorders>
              <w:top w:val="nil"/>
              <w:bottom w:val="single" w:sz="4" w:space="0" w:color="auto"/>
            </w:tcBorders>
            <w:shd w:val="clear" w:color="auto" w:fill="BDD6EE" w:themeFill="accent1" w:themeFillTint="66"/>
          </w:tcPr>
          <w:p w14:paraId="4BC2FDC0" w14:textId="77777777" w:rsidR="00A042A9" w:rsidRPr="00CA4838" w:rsidRDefault="00A042A9" w:rsidP="00ED665A">
            <w:pPr>
              <w:pStyle w:val="TableText"/>
              <w:spacing w:line="257" w:lineRule="auto"/>
            </w:pPr>
            <w:r w:rsidRPr="00CA4838">
              <w:rPr>
                <w:szCs w:val="20"/>
              </w:rPr>
              <w:t xml:space="preserve">Mateo J, Porta N, MeGovern UB et al.  TOPARP-B: A phase II randomized trial of the poly(ADP)-ribose polymerase (PARP) inhibitor olaparib for metastatic castration resistant prostate cancers (mCRPC) with DNA damage repair (DDR) alterations.  </w:t>
            </w:r>
          </w:p>
        </w:tc>
        <w:tc>
          <w:tcPr>
            <w:tcW w:w="1236" w:type="pct"/>
            <w:tcBorders>
              <w:top w:val="nil"/>
              <w:bottom w:val="single" w:sz="4" w:space="0" w:color="auto"/>
            </w:tcBorders>
            <w:shd w:val="clear" w:color="auto" w:fill="BDD6EE" w:themeFill="accent1" w:themeFillTint="66"/>
          </w:tcPr>
          <w:p w14:paraId="128D8D9D" w14:textId="77777777" w:rsidR="00A042A9" w:rsidRPr="00CA4838" w:rsidRDefault="00A042A9" w:rsidP="00ED665A">
            <w:pPr>
              <w:pStyle w:val="TableText"/>
              <w:spacing w:line="257" w:lineRule="auto"/>
            </w:pPr>
            <w:r w:rsidRPr="00CA4838">
              <w:rPr>
                <w:i/>
                <w:iCs/>
                <w:szCs w:val="20"/>
              </w:rPr>
              <w:t xml:space="preserve">J Clin Oncol </w:t>
            </w:r>
            <w:r w:rsidRPr="00CA4838">
              <w:rPr>
                <w:szCs w:val="20"/>
              </w:rPr>
              <w:t>2019; 37: 5005-5005.</w:t>
            </w:r>
          </w:p>
        </w:tc>
      </w:tr>
      <w:tr w:rsidR="00A042A9" w:rsidRPr="00F429EF" w14:paraId="4B14DC22" w14:textId="77777777" w:rsidTr="00ED665A">
        <w:tc>
          <w:tcPr>
            <w:tcW w:w="5000" w:type="pct"/>
            <w:gridSpan w:val="3"/>
            <w:tcBorders>
              <w:top w:val="single" w:sz="4" w:space="0" w:color="auto"/>
              <w:bottom w:val="single" w:sz="4" w:space="0" w:color="auto"/>
            </w:tcBorders>
          </w:tcPr>
          <w:p w14:paraId="1CE2FD1C" w14:textId="77777777" w:rsidR="00A042A9" w:rsidRPr="00F429EF" w:rsidRDefault="00A042A9" w:rsidP="00ED665A">
            <w:pPr>
              <w:pStyle w:val="TableText"/>
              <w:spacing w:line="257" w:lineRule="auto"/>
              <w:rPr>
                <w:b/>
                <w:iCs/>
                <w:szCs w:val="20"/>
              </w:rPr>
            </w:pPr>
            <w:r w:rsidRPr="00F429EF">
              <w:rPr>
                <w:b/>
                <w:iCs/>
                <w:szCs w:val="20"/>
              </w:rPr>
              <w:t>Cabazitaxel trial informing the ITC</w:t>
            </w:r>
          </w:p>
        </w:tc>
      </w:tr>
      <w:tr w:rsidR="00A042A9" w:rsidRPr="00CA4838" w14:paraId="2C501C83" w14:textId="77777777" w:rsidTr="00ED665A">
        <w:tc>
          <w:tcPr>
            <w:tcW w:w="871" w:type="pct"/>
            <w:vMerge w:val="restart"/>
            <w:tcBorders>
              <w:top w:val="single" w:sz="4" w:space="0" w:color="auto"/>
              <w:left w:val="single" w:sz="4" w:space="0" w:color="auto"/>
              <w:right w:val="single" w:sz="4" w:space="0" w:color="auto"/>
            </w:tcBorders>
            <w:vAlign w:val="center"/>
          </w:tcPr>
          <w:p w14:paraId="7A4DF0B2" w14:textId="77777777" w:rsidR="00A042A9" w:rsidRPr="00CA4838" w:rsidRDefault="00A042A9" w:rsidP="00ED665A">
            <w:pPr>
              <w:pStyle w:val="TableText"/>
              <w:rPr>
                <w:lang w:eastAsia="zh-CN"/>
              </w:rPr>
            </w:pPr>
            <w:r w:rsidRPr="00CA4838">
              <w:rPr>
                <w:lang w:eastAsia="zh-CN"/>
              </w:rPr>
              <w:t>CARD (NCT02485691)</w:t>
            </w:r>
          </w:p>
        </w:tc>
        <w:tc>
          <w:tcPr>
            <w:tcW w:w="2893" w:type="pct"/>
            <w:tcBorders>
              <w:top w:val="single" w:sz="4" w:space="0" w:color="auto"/>
              <w:left w:val="single" w:sz="4" w:space="0" w:color="auto"/>
              <w:bottom w:val="nil"/>
              <w:right w:val="single" w:sz="4" w:space="0" w:color="auto"/>
            </w:tcBorders>
          </w:tcPr>
          <w:p w14:paraId="1B17CF88" w14:textId="77777777" w:rsidR="00A042A9" w:rsidRPr="00CA4838" w:rsidRDefault="00A042A9" w:rsidP="00ED665A">
            <w:pPr>
              <w:pStyle w:val="TableText"/>
            </w:pPr>
            <w:r w:rsidRPr="00CA4838">
              <w:t>de Wit R, de Bono J, Sternberg CN, Fizazi K, Tombal B, Wülfing C, et al. Cabazitaxel versus Abiraterone or Enzalutamide in Metastatic Prostate Cancer</w:t>
            </w:r>
          </w:p>
        </w:tc>
        <w:tc>
          <w:tcPr>
            <w:tcW w:w="1236" w:type="pct"/>
            <w:tcBorders>
              <w:top w:val="single" w:sz="4" w:space="0" w:color="auto"/>
              <w:left w:val="single" w:sz="4" w:space="0" w:color="auto"/>
              <w:bottom w:val="nil"/>
              <w:right w:val="single" w:sz="4" w:space="0" w:color="auto"/>
            </w:tcBorders>
          </w:tcPr>
          <w:p w14:paraId="7B815969" w14:textId="77777777" w:rsidR="00A042A9" w:rsidRPr="00CA4838" w:rsidRDefault="00A042A9" w:rsidP="00ED665A">
            <w:pPr>
              <w:pStyle w:val="Tabletext1"/>
              <w:spacing w:after="120"/>
            </w:pPr>
            <w:r w:rsidRPr="00CA4838">
              <w:t>N Engl J Med. 2019;381(26):2506-18.</w:t>
            </w:r>
          </w:p>
        </w:tc>
      </w:tr>
      <w:tr w:rsidR="00A042A9" w:rsidRPr="00CA4838" w14:paraId="373C5176" w14:textId="77777777" w:rsidTr="00ED665A">
        <w:tc>
          <w:tcPr>
            <w:tcW w:w="871" w:type="pct"/>
            <w:vMerge/>
            <w:tcBorders>
              <w:left w:val="single" w:sz="4" w:space="0" w:color="auto"/>
              <w:right w:val="single" w:sz="4" w:space="0" w:color="auto"/>
            </w:tcBorders>
          </w:tcPr>
          <w:p w14:paraId="1862A1BD" w14:textId="77777777" w:rsidR="00A042A9" w:rsidRPr="00CA4838" w:rsidRDefault="00A042A9" w:rsidP="00ED665A">
            <w:pPr>
              <w:pStyle w:val="TableText"/>
              <w:rPr>
                <w:lang w:eastAsia="zh-CN"/>
              </w:rPr>
            </w:pPr>
          </w:p>
        </w:tc>
        <w:tc>
          <w:tcPr>
            <w:tcW w:w="2893" w:type="pct"/>
            <w:tcBorders>
              <w:top w:val="nil"/>
              <w:left w:val="single" w:sz="4" w:space="0" w:color="auto"/>
              <w:bottom w:val="nil"/>
              <w:right w:val="single" w:sz="4" w:space="0" w:color="auto"/>
            </w:tcBorders>
          </w:tcPr>
          <w:p w14:paraId="1AE38277" w14:textId="77777777" w:rsidR="00A042A9" w:rsidRPr="00CA4838" w:rsidRDefault="00A042A9" w:rsidP="00ED665A">
            <w:pPr>
              <w:pStyle w:val="TableText"/>
            </w:pPr>
            <w:r w:rsidRPr="00CA4838">
              <w:t>Fizazi K, Kramer G, Eymard JC, Sternberg CN, de Bono J, Castellano D, et al. Quality of life in patients with metastatic prostate cancer following treatment with cabazitaxel versus abiraterone or enzalutamide (CARD): an analysis of a randomised, multicentre, open-label, phase 4 study.</w:t>
            </w:r>
          </w:p>
        </w:tc>
        <w:tc>
          <w:tcPr>
            <w:tcW w:w="1236" w:type="pct"/>
            <w:tcBorders>
              <w:top w:val="nil"/>
              <w:left w:val="single" w:sz="4" w:space="0" w:color="auto"/>
              <w:bottom w:val="nil"/>
              <w:right w:val="single" w:sz="4" w:space="0" w:color="auto"/>
            </w:tcBorders>
          </w:tcPr>
          <w:p w14:paraId="2510C88D" w14:textId="77777777" w:rsidR="00A042A9" w:rsidRPr="00CA4838" w:rsidRDefault="00A042A9" w:rsidP="00ED665A">
            <w:pPr>
              <w:pStyle w:val="Tabletext1"/>
              <w:spacing w:after="120"/>
            </w:pPr>
            <w:r w:rsidRPr="00CA4838">
              <w:t>Lancet Oncol. 2020;21(11):1513-25.</w:t>
            </w:r>
          </w:p>
          <w:p w14:paraId="0FEAA157" w14:textId="77777777" w:rsidR="00A042A9" w:rsidRPr="00CA4838" w:rsidRDefault="00A042A9" w:rsidP="00ED665A">
            <w:pPr>
              <w:pStyle w:val="Tabletext1"/>
              <w:spacing w:after="120"/>
            </w:pPr>
          </w:p>
        </w:tc>
      </w:tr>
      <w:tr w:rsidR="00A042A9" w:rsidRPr="00CA4838" w14:paraId="4D04A7F8" w14:textId="77777777" w:rsidTr="00ED665A">
        <w:tc>
          <w:tcPr>
            <w:tcW w:w="871" w:type="pct"/>
            <w:vMerge/>
            <w:tcBorders>
              <w:left w:val="single" w:sz="4" w:space="0" w:color="auto"/>
              <w:bottom w:val="single" w:sz="4" w:space="0" w:color="auto"/>
              <w:right w:val="single" w:sz="4" w:space="0" w:color="auto"/>
            </w:tcBorders>
          </w:tcPr>
          <w:p w14:paraId="200DE0F4" w14:textId="77777777" w:rsidR="00A042A9" w:rsidRPr="00CA4838" w:rsidRDefault="00A042A9" w:rsidP="00ED665A">
            <w:pPr>
              <w:pStyle w:val="TableText"/>
              <w:rPr>
                <w:lang w:eastAsia="zh-CN"/>
              </w:rPr>
            </w:pPr>
          </w:p>
        </w:tc>
        <w:tc>
          <w:tcPr>
            <w:tcW w:w="2893" w:type="pct"/>
            <w:tcBorders>
              <w:top w:val="nil"/>
              <w:left w:val="single" w:sz="4" w:space="0" w:color="auto"/>
              <w:bottom w:val="single" w:sz="4" w:space="0" w:color="auto"/>
              <w:right w:val="single" w:sz="4" w:space="0" w:color="auto"/>
            </w:tcBorders>
          </w:tcPr>
          <w:p w14:paraId="4F7BB640" w14:textId="77777777" w:rsidR="00A042A9" w:rsidRPr="00CA4838" w:rsidRDefault="00A042A9" w:rsidP="00ED665A">
            <w:pPr>
              <w:pStyle w:val="TableText"/>
            </w:pPr>
            <w:r w:rsidRPr="00CA4838">
              <w:t>Suzuki H, Castellano D, de Bono J, Sternberg CN, Fizazi K, Tombal B, et al. Cabazitaxel versus abiraterone or enzalutamide in metastatic castration-resistant prostate cancer: post-hoc analysis of the CARD study excluding chemohormonal therapy for castration-naïve disease.</w:t>
            </w:r>
          </w:p>
        </w:tc>
        <w:tc>
          <w:tcPr>
            <w:tcW w:w="1236" w:type="pct"/>
            <w:tcBorders>
              <w:top w:val="nil"/>
              <w:left w:val="single" w:sz="4" w:space="0" w:color="auto"/>
              <w:bottom w:val="single" w:sz="4" w:space="0" w:color="auto"/>
              <w:right w:val="single" w:sz="4" w:space="0" w:color="auto"/>
            </w:tcBorders>
          </w:tcPr>
          <w:p w14:paraId="580B8546" w14:textId="77777777" w:rsidR="00A042A9" w:rsidRPr="00CA4838" w:rsidRDefault="00A042A9" w:rsidP="00ED665A">
            <w:pPr>
              <w:pStyle w:val="Tabletext1"/>
              <w:spacing w:after="120"/>
            </w:pPr>
            <w:r w:rsidRPr="00CA4838">
              <w:t>Japanese journal of Clinical Oncology. 2021;19.</w:t>
            </w:r>
          </w:p>
        </w:tc>
      </w:tr>
    </w:tbl>
    <w:p w14:paraId="46ACB141" w14:textId="77777777" w:rsidR="00A042A9" w:rsidRPr="00CA4838" w:rsidRDefault="00A042A9" w:rsidP="00A042A9">
      <w:pPr>
        <w:pStyle w:val="TableFigureFooter"/>
      </w:pPr>
      <w:r w:rsidRPr="00CA4838">
        <w:t>Source: Table 39, pp140-141 of the resubmission.</w:t>
      </w:r>
    </w:p>
    <w:p w14:paraId="6A18F47C" w14:textId="77777777" w:rsidR="00A042A9" w:rsidRPr="008A4199" w:rsidRDefault="00A042A9" w:rsidP="00A042A9">
      <w:pPr>
        <w:pStyle w:val="TableFigureFooter"/>
        <w:rPr>
          <w:iCs/>
        </w:rPr>
      </w:pPr>
      <w:r w:rsidRPr="008A4199">
        <w:rPr>
          <w:iCs/>
          <w:shd w:val="clear" w:color="auto" w:fill="BDD6EE" w:themeFill="accent1" w:themeFillTint="66"/>
        </w:rPr>
        <w:t>Blue</w:t>
      </w:r>
      <w:r w:rsidRPr="008A4199">
        <w:rPr>
          <w:iCs/>
        </w:rPr>
        <w:t xml:space="preserve"> shading represents information previously considered by the PBAC</w:t>
      </w:r>
    </w:p>
    <w:p w14:paraId="5A682C23" w14:textId="77777777" w:rsidR="00A042A9" w:rsidRPr="00CA4838" w:rsidRDefault="00A042A9" w:rsidP="001B37A3">
      <w:pPr>
        <w:pStyle w:val="Caption"/>
      </w:pPr>
      <w:r>
        <w:t xml:space="preserve">Table </w:t>
      </w:r>
      <w:r w:rsidR="007C5E46">
        <w:rPr>
          <w:noProof/>
        </w:rPr>
        <w:t>4</w:t>
      </w:r>
      <w:r w:rsidR="004A4197">
        <w:rPr>
          <w:noProof/>
        </w:rPr>
        <w:t xml:space="preserve">: </w:t>
      </w:r>
      <w:r w:rsidRPr="00CA4838">
        <w:t xml:space="preserve"> Key features of the included evidence </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28" w:type="dxa"/>
          <w:right w:w="28" w:type="dxa"/>
        </w:tblCellMar>
        <w:tblLook w:val="04A0" w:firstRow="1" w:lastRow="0" w:firstColumn="1" w:lastColumn="0" w:noHBand="0" w:noVBand="1"/>
        <w:tblCaption w:val="Table 4:  Key features of the included evidence "/>
      </w:tblPr>
      <w:tblGrid>
        <w:gridCol w:w="1200"/>
        <w:gridCol w:w="742"/>
        <w:gridCol w:w="965"/>
        <w:gridCol w:w="2753"/>
        <w:gridCol w:w="1845"/>
        <w:gridCol w:w="1432"/>
      </w:tblGrid>
      <w:tr w:rsidR="00A042A9" w:rsidRPr="00CA4838" w14:paraId="7E706A1C" w14:textId="77777777" w:rsidTr="00ED665A">
        <w:trPr>
          <w:tblHeader/>
        </w:trPr>
        <w:tc>
          <w:tcPr>
            <w:tcW w:w="67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972148D" w14:textId="77777777" w:rsidR="00A042A9" w:rsidRPr="00CA4838" w:rsidRDefault="00A042A9" w:rsidP="00AB7459">
            <w:pPr>
              <w:pStyle w:val="TableText"/>
              <w:keepNext/>
              <w:rPr>
                <w:b/>
              </w:rPr>
            </w:pPr>
            <w:r w:rsidRPr="00CA4838">
              <w:rPr>
                <w:b/>
              </w:rPr>
              <w:t>Trial</w:t>
            </w:r>
          </w:p>
        </w:tc>
        <w:tc>
          <w:tcPr>
            <w:tcW w:w="41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588B5D42" w14:textId="77777777" w:rsidR="00A042A9" w:rsidRPr="00CA4838" w:rsidRDefault="00A042A9" w:rsidP="00AB7459">
            <w:pPr>
              <w:pStyle w:val="TableText"/>
              <w:keepNext/>
              <w:jc w:val="center"/>
              <w:rPr>
                <w:b/>
              </w:rPr>
            </w:pPr>
            <w:r w:rsidRPr="00CA4838">
              <w:rPr>
                <w:b/>
              </w:rPr>
              <w:t>N</w:t>
            </w:r>
          </w:p>
        </w:tc>
        <w:tc>
          <w:tcPr>
            <w:tcW w:w="5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585865D" w14:textId="77777777" w:rsidR="00A042A9" w:rsidRPr="00CA4838" w:rsidRDefault="00A042A9" w:rsidP="00AB7459">
            <w:pPr>
              <w:pStyle w:val="TableText"/>
              <w:keepNext/>
              <w:jc w:val="center"/>
              <w:rPr>
                <w:b/>
              </w:rPr>
            </w:pPr>
            <w:r w:rsidRPr="00CA4838">
              <w:rPr>
                <w:b/>
              </w:rPr>
              <w:t>Design</w:t>
            </w:r>
          </w:p>
        </w:tc>
        <w:tc>
          <w:tcPr>
            <w:tcW w:w="15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1E809260" w14:textId="77777777" w:rsidR="00A042A9" w:rsidRPr="00CA4838" w:rsidRDefault="00A042A9" w:rsidP="00AB7459">
            <w:pPr>
              <w:pStyle w:val="TableText"/>
              <w:keepNext/>
              <w:jc w:val="center"/>
              <w:rPr>
                <w:b/>
              </w:rPr>
            </w:pPr>
            <w:r w:rsidRPr="00CA4838">
              <w:rPr>
                <w:b/>
              </w:rPr>
              <w:t>Patient population</w:t>
            </w:r>
          </w:p>
        </w:tc>
        <w:tc>
          <w:tcPr>
            <w:tcW w:w="103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57C38A1" w14:textId="77777777" w:rsidR="00A042A9" w:rsidRPr="00CA4838" w:rsidRDefault="00A042A9" w:rsidP="00AB7459">
            <w:pPr>
              <w:pStyle w:val="TableText"/>
              <w:keepNext/>
              <w:jc w:val="center"/>
              <w:rPr>
                <w:b/>
              </w:rPr>
            </w:pPr>
            <w:r w:rsidRPr="00CA4838">
              <w:rPr>
                <w:b/>
              </w:rPr>
              <w:t>Key outcomes</w:t>
            </w:r>
          </w:p>
        </w:tc>
        <w:tc>
          <w:tcPr>
            <w:tcW w:w="8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9954477" w14:textId="77777777" w:rsidR="00A042A9" w:rsidRPr="00CA4838" w:rsidRDefault="00A042A9" w:rsidP="00AB7459">
            <w:pPr>
              <w:pStyle w:val="TableText"/>
              <w:keepNext/>
              <w:jc w:val="center"/>
              <w:rPr>
                <w:b/>
              </w:rPr>
            </w:pPr>
            <w:r w:rsidRPr="00CA4838">
              <w:rPr>
                <w:b/>
              </w:rPr>
              <w:t>Use in modelled evaluation</w:t>
            </w:r>
          </w:p>
        </w:tc>
      </w:tr>
      <w:tr w:rsidR="00A042A9" w:rsidRPr="00E86256" w14:paraId="577F81BA" w14:textId="77777777" w:rsidTr="00ED665A">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A3AF0E" w14:textId="77777777" w:rsidR="00A042A9" w:rsidRPr="00E86256" w:rsidRDefault="00A042A9" w:rsidP="00AB7459">
            <w:pPr>
              <w:pStyle w:val="TableText"/>
              <w:keepNext/>
              <w:rPr>
                <w:b/>
              </w:rPr>
            </w:pPr>
            <w:r w:rsidRPr="00E86256">
              <w:rPr>
                <w:b/>
              </w:rPr>
              <w:t>Olaparib vs. NHA</w:t>
            </w:r>
          </w:p>
        </w:tc>
      </w:tr>
      <w:tr w:rsidR="00A042A9" w:rsidRPr="00266EE3" w14:paraId="5012E30B" w14:textId="77777777" w:rsidTr="00ED665A">
        <w:tc>
          <w:tcPr>
            <w:tcW w:w="67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A0AE03" w14:textId="77777777" w:rsidR="00A042A9" w:rsidRPr="00266EE3" w:rsidRDefault="00A042A9" w:rsidP="00AB7459">
            <w:pPr>
              <w:pStyle w:val="TableText"/>
              <w:keepNext/>
            </w:pPr>
            <w:r w:rsidRPr="00266EE3">
              <w:t>PROfound Cohort A+B</w:t>
            </w:r>
          </w:p>
        </w:tc>
        <w:tc>
          <w:tcPr>
            <w:tcW w:w="41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408315" w14:textId="77777777" w:rsidR="00A042A9" w:rsidRPr="00266EE3" w:rsidRDefault="00A042A9" w:rsidP="00AB7459">
            <w:pPr>
              <w:pStyle w:val="TableText"/>
              <w:keepNext/>
              <w:jc w:val="center"/>
            </w:pPr>
            <w:r w:rsidRPr="00266EE3">
              <w:t>386</w:t>
            </w:r>
          </w:p>
        </w:tc>
        <w:tc>
          <w:tcPr>
            <w:tcW w:w="5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F175DF" w14:textId="77777777" w:rsidR="00A042A9" w:rsidRPr="00266EE3" w:rsidRDefault="00A042A9" w:rsidP="00AB7459">
            <w:pPr>
              <w:pStyle w:val="TableText"/>
              <w:keepNext/>
            </w:pPr>
            <w:r w:rsidRPr="00266EE3">
              <w:t>R, OL, MC</w:t>
            </w:r>
          </w:p>
        </w:tc>
        <w:tc>
          <w:tcPr>
            <w:tcW w:w="15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43E385" w14:textId="77777777" w:rsidR="00A042A9" w:rsidRPr="00266EE3" w:rsidRDefault="00A042A9" w:rsidP="00AB7459">
            <w:pPr>
              <w:pStyle w:val="TableText"/>
              <w:keepNext/>
            </w:pPr>
            <w:r w:rsidRPr="00266EE3">
              <w:t xml:space="preserve">BRCA1/2, ATM, </w:t>
            </w:r>
            <w:r w:rsidRPr="00266EE3">
              <w:rPr>
                <w:rFonts w:cs="Calibri"/>
              </w:rPr>
              <w:t>BARD1, BRIP1, CDK12, CHEK1, CHEK2, FANCL, PALB2, PPP2R2A, RAD51B, RAD51C, RAD51D, RAD54L</w:t>
            </w:r>
            <w:r w:rsidRPr="00266EE3">
              <w:rPr>
                <w:rFonts w:ascii="Calibri" w:hAnsi="Calibri" w:cs="Calibri"/>
              </w:rPr>
              <w:t xml:space="preserve"> </w:t>
            </w:r>
            <w:r w:rsidRPr="00266EE3">
              <w:t>pathogenic gene variants</w:t>
            </w:r>
          </w:p>
        </w:tc>
        <w:tc>
          <w:tcPr>
            <w:tcW w:w="103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7C5ABA" w14:textId="77777777" w:rsidR="00A042A9" w:rsidRPr="00266EE3" w:rsidRDefault="00A042A9" w:rsidP="00AB7459">
            <w:pPr>
              <w:pStyle w:val="TableText"/>
              <w:keepNext/>
            </w:pPr>
            <w:r w:rsidRPr="00266EE3">
              <w:t>Safety</w:t>
            </w:r>
          </w:p>
        </w:tc>
        <w:tc>
          <w:tcPr>
            <w:tcW w:w="8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B1839C" w14:textId="77777777" w:rsidR="00A042A9" w:rsidRPr="00266EE3" w:rsidRDefault="00A042A9" w:rsidP="00AB7459">
            <w:pPr>
              <w:pStyle w:val="TableText"/>
              <w:keepNext/>
            </w:pPr>
            <w:r w:rsidRPr="00266EE3">
              <w:t>Selected safety outcomes</w:t>
            </w:r>
          </w:p>
        </w:tc>
      </w:tr>
      <w:tr w:rsidR="00A042A9" w:rsidRPr="00266EE3" w14:paraId="7624854E" w14:textId="77777777" w:rsidTr="00ED665A">
        <w:tc>
          <w:tcPr>
            <w:tcW w:w="67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9D01FF" w14:textId="77777777" w:rsidR="00A042A9" w:rsidRPr="00266EE3" w:rsidRDefault="00A042A9" w:rsidP="00AB7459">
            <w:pPr>
              <w:pStyle w:val="TableText"/>
              <w:keepNext/>
            </w:pPr>
            <w:r w:rsidRPr="00266EE3">
              <w:t>PROfound Cohort A</w:t>
            </w:r>
          </w:p>
        </w:tc>
        <w:tc>
          <w:tcPr>
            <w:tcW w:w="41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628E25" w14:textId="77777777" w:rsidR="00A042A9" w:rsidRPr="00266EE3" w:rsidRDefault="00A042A9" w:rsidP="00AB7459">
            <w:pPr>
              <w:pStyle w:val="TableText"/>
              <w:keepNext/>
              <w:jc w:val="center"/>
            </w:pPr>
            <w:r w:rsidRPr="00266EE3">
              <w:t>245</w:t>
            </w:r>
          </w:p>
        </w:tc>
        <w:tc>
          <w:tcPr>
            <w:tcW w:w="5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F3FAAE" w14:textId="77777777" w:rsidR="00A042A9" w:rsidRPr="00266EE3" w:rsidRDefault="00A042A9" w:rsidP="00AB7459">
            <w:pPr>
              <w:pStyle w:val="TableText"/>
              <w:keepNext/>
            </w:pPr>
            <w:r w:rsidRPr="00266EE3">
              <w:t>R, OL, MC</w:t>
            </w:r>
          </w:p>
        </w:tc>
        <w:tc>
          <w:tcPr>
            <w:tcW w:w="15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E4CBDD" w14:textId="77777777" w:rsidR="00A042A9" w:rsidRPr="00266EE3" w:rsidRDefault="00A042A9" w:rsidP="00AB7459">
            <w:pPr>
              <w:pStyle w:val="TableText"/>
              <w:keepNext/>
            </w:pPr>
            <w:r w:rsidRPr="00266EE3">
              <w:t>BRCA1/2, ATM pathogenic gene variants</w:t>
            </w:r>
          </w:p>
        </w:tc>
        <w:tc>
          <w:tcPr>
            <w:tcW w:w="103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6DB16F" w14:textId="77777777" w:rsidR="00A042A9" w:rsidRPr="00266EE3" w:rsidRDefault="00A042A9" w:rsidP="00AB7459">
            <w:pPr>
              <w:pStyle w:val="TableText"/>
              <w:keepNext/>
            </w:pPr>
            <w:r w:rsidRPr="00266EE3">
              <w:t>rPFS, OS, safety</w:t>
            </w:r>
          </w:p>
        </w:tc>
        <w:tc>
          <w:tcPr>
            <w:tcW w:w="8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93CA221" w14:textId="77777777" w:rsidR="00A042A9" w:rsidRPr="00266EE3" w:rsidRDefault="00A042A9" w:rsidP="00AB7459">
            <w:pPr>
              <w:pStyle w:val="TableText"/>
              <w:keepNext/>
            </w:pPr>
            <w:r w:rsidRPr="00266EE3">
              <w:t>EQ-5D-5L outcomes</w:t>
            </w:r>
          </w:p>
        </w:tc>
      </w:tr>
      <w:tr w:rsidR="00A042A9" w:rsidRPr="00266EE3" w14:paraId="7E2BE289" w14:textId="77777777" w:rsidTr="00ED665A">
        <w:tc>
          <w:tcPr>
            <w:tcW w:w="67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1AFFD0" w14:textId="77777777" w:rsidR="00A042A9" w:rsidRPr="00266EE3" w:rsidRDefault="00A042A9" w:rsidP="00AB7459">
            <w:pPr>
              <w:pStyle w:val="TableText"/>
              <w:keepNext/>
            </w:pPr>
            <w:r w:rsidRPr="00266EE3">
              <w:t>PROfound BRCA1/2</w:t>
            </w:r>
          </w:p>
        </w:tc>
        <w:tc>
          <w:tcPr>
            <w:tcW w:w="41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D4BFC8" w14:textId="77777777" w:rsidR="00A042A9" w:rsidRPr="00266EE3" w:rsidRDefault="00A042A9" w:rsidP="00AB7459">
            <w:pPr>
              <w:pStyle w:val="TableText"/>
              <w:keepNext/>
              <w:jc w:val="center"/>
            </w:pPr>
            <w:r w:rsidRPr="00266EE3">
              <w:t>160</w:t>
            </w:r>
          </w:p>
        </w:tc>
        <w:tc>
          <w:tcPr>
            <w:tcW w:w="5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CCE20D1" w14:textId="77777777" w:rsidR="00A042A9" w:rsidRPr="00266EE3" w:rsidRDefault="00A042A9" w:rsidP="00AB7459">
            <w:pPr>
              <w:pStyle w:val="TableText"/>
              <w:keepNext/>
            </w:pPr>
            <w:r w:rsidRPr="00266EE3">
              <w:t>R, OL, MC</w:t>
            </w:r>
          </w:p>
        </w:tc>
        <w:tc>
          <w:tcPr>
            <w:tcW w:w="15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CDBE81" w14:textId="77777777" w:rsidR="00A042A9" w:rsidRPr="00266EE3" w:rsidRDefault="00A042A9" w:rsidP="00AB7459">
            <w:pPr>
              <w:pStyle w:val="TableText"/>
              <w:keepNext/>
            </w:pPr>
            <w:r w:rsidRPr="00266EE3">
              <w:t>BRCA1/2 pathogenic gene variants</w:t>
            </w:r>
          </w:p>
        </w:tc>
        <w:tc>
          <w:tcPr>
            <w:tcW w:w="103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1226C4" w14:textId="77777777" w:rsidR="00A042A9" w:rsidRPr="00266EE3" w:rsidRDefault="00A042A9" w:rsidP="00AB7459">
            <w:pPr>
              <w:pStyle w:val="TableText"/>
              <w:keepNext/>
            </w:pPr>
            <w:r w:rsidRPr="00266EE3">
              <w:t>rPFS, OS</w:t>
            </w:r>
          </w:p>
        </w:tc>
        <w:tc>
          <w:tcPr>
            <w:tcW w:w="8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66071D" w14:textId="77777777" w:rsidR="00A042A9" w:rsidRPr="00266EE3" w:rsidRDefault="00A042A9" w:rsidP="00AB7459">
            <w:pPr>
              <w:pStyle w:val="TableText"/>
              <w:keepNext/>
            </w:pPr>
            <w:r w:rsidRPr="00266EE3">
              <w:t>rPFS, OS (extrapolated)</w:t>
            </w:r>
          </w:p>
        </w:tc>
      </w:tr>
      <w:tr w:rsidR="00A042A9" w:rsidRPr="00E86256" w14:paraId="040C26F8" w14:textId="77777777" w:rsidTr="00ED665A">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9E9D79" w14:textId="77777777" w:rsidR="00A042A9" w:rsidRPr="00E86256" w:rsidRDefault="00A042A9" w:rsidP="00AB7459">
            <w:pPr>
              <w:pStyle w:val="TableText"/>
              <w:keepNext/>
              <w:rPr>
                <w:b/>
              </w:rPr>
            </w:pPr>
            <w:r w:rsidRPr="00E86256">
              <w:rPr>
                <w:b/>
              </w:rPr>
              <w:t>Olaparib vs cabazitaxel (indirect using data from CARD for cabazitaxel)</w:t>
            </w:r>
          </w:p>
        </w:tc>
      </w:tr>
      <w:tr w:rsidR="00A042A9" w:rsidRPr="00266EE3" w14:paraId="2D20A932" w14:textId="77777777" w:rsidTr="00ED665A">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13F9CE2" w14:textId="77777777" w:rsidR="00A042A9" w:rsidRPr="00266EE3" w:rsidRDefault="00A042A9" w:rsidP="00AB7459">
            <w:pPr>
              <w:pStyle w:val="TableText"/>
              <w:keepNext/>
            </w:pPr>
            <w:r w:rsidRPr="00266EE3">
              <w:t>CARD</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0726B0F" w14:textId="77777777" w:rsidR="00A042A9" w:rsidRPr="00266EE3" w:rsidRDefault="00A042A9" w:rsidP="00AB7459">
            <w:pPr>
              <w:pStyle w:val="TableText"/>
              <w:keepNext/>
              <w:jc w:val="center"/>
            </w:pPr>
            <w:r w:rsidRPr="00266EE3">
              <w:t>255</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2081F9F0" w14:textId="77777777" w:rsidR="00A042A9" w:rsidRPr="00266EE3" w:rsidRDefault="00A042A9" w:rsidP="00AB7459">
            <w:pPr>
              <w:pStyle w:val="TableText"/>
              <w:keepNext/>
            </w:pPr>
            <w:r w:rsidRPr="00266EE3">
              <w:t>R, OL, MC.</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14:paraId="355E3DB6" w14:textId="77777777" w:rsidR="00A042A9" w:rsidRPr="00266EE3" w:rsidRDefault="00A042A9" w:rsidP="00AB7459">
            <w:pPr>
              <w:pStyle w:val="TableText"/>
              <w:keepNext/>
            </w:pPr>
            <w:r w:rsidRPr="00266EE3">
              <w:t>mCRPC, failed prior docetaxel</w:t>
            </w:r>
            <w:r w:rsidR="002238FB" w:rsidRPr="00266EE3">
              <w:t xml:space="preserve"> and NHAs</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14:paraId="7B723A91" w14:textId="77777777" w:rsidR="00A042A9" w:rsidRPr="00266EE3" w:rsidRDefault="00A042A9" w:rsidP="00AB7459">
            <w:pPr>
              <w:pStyle w:val="TableText"/>
              <w:keepNext/>
            </w:pPr>
            <w:r w:rsidRPr="00266EE3">
              <w:t>rPFS, OS, safety</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683DC981" w14:textId="77777777" w:rsidR="00A042A9" w:rsidRPr="00266EE3" w:rsidRDefault="00A042A9" w:rsidP="00AB7459">
            <w:pPr>
              <w:pStyle w:val="TableText"/>
              <w:keepNext/>
            </w:pPr>
            <w:r w:rsidRPr="00266EE3">
              <w:t>rPRS, OS</w:t>
            </w:r>
          </w:p>
          <w:p w14:paraId="25684B62" w14:textId="77777777" w:rsidR="00A042A9" w:rsidRPr="00266EE3" w:rsidRDefault="00A042A9" w:rsidP="00AB7459">
            <w:pPr>
              <w:pStyle w:val="TableText"/>
              <w:keepNext/>
            </w:pPr>
            <w:r w:rsidRPr="00266EE3">
              <w:t>(extrapolated)</w:t>
            </w:r>
          </w:p>
        </w:tc>
      </w:tr>
    </w:tbl>
    <w:p w14:paraId="5907BEA6" w14:textId="77777777" w:rsidR="00A042A9" w:rsidRPr="00CA4838" w:rsidRDefault="00A042A9" w:rsidP="00A042A9">
      <w:pPr>
        <w:pStyle w:val="TableFooter"/>
      </w:pPr>
      <w:r w:rsidRPr="00CA4838">
        <w:t>Source: Table 2.4, p66 of the submission</w:t>
      </w:r>
    </w:p>
    <w:p w14:paraId="1929DE31" w14:textId="77777777" w:rsidR="00A042A9" w:rsidRPr="00CA4838" w:rsidRDefault="00A042A9" w:rsidP="00A042A9">
      <w:pPr>
        <w:pStyle w:val="TableFooter"/>
      </w:pPr>
      <w:r w:rsidRPr="00CA4838">
        <w:t>MC=multicentre; OL=open label; OS=overall survival; R=randomised; rPFS=radiological progression-free survival.</w:t>
      </w:r>
    </w:p>
    <w:p w14:paraId="763DC940" w14:textId="77777777" w:rsidR="00A042A9" w:rsidRPr="00266EE3" w:rsidRDefault="00A042A9" w:rsidP="00A042A9">
      <w:pPr>
        <w:pStyle w:val="TableFooter"/>
      </w:pPr>
      <w:r w:rsidRPr="00266EE3">
        <w:rPr>
          <w:shd w:val="clear" w:color="auto" w:fill="BDD6EE" w:themeFill="accent1" w:themeFillTint="66"/>
        </w:rPr>
        <w:t>Blue</w:t>
      </w:r>
      <w:r w:rsidRPr="00266EE3">
        <w:t xml:space="preserve"> shading represents information previously considered by the PBAC</w:t>
      </w:r>
    </w:p>
    <w:p w14:paraId="3B5E9915" w14:textId="77777777" w:rsidR="00A042A9" w:rsidRPr="00CA4838" w:rsidRDefault="00A042A9" w:rsidP="00A2713C">
      <w:pPr>
        <w:pStyle w:val="ListParagraph"/>
        <w:ind w:left="709"/>
        <w:rPr>
          <w:color w:val="auto"/>
        </w:rPr>
      </w:pPr>
      <w:r w:rsidRPr="00CA4838">
        <w:t xml:space="preserve">The PROfound trial was split into two cohorts, Cohort A, including patients with </w:t>
      </w:r>
      <w:r w:rsidRPr="008A4199">
        <w:t>BRCA1/2</w:t>
      </w:r>
      <w:r w:rsidRPr="00CA4838">
        <w:t xml:space="preserve"> or ATM gene variants, and Cohort B, including patients with one or more of the 12 other gene variants (</w:t>
      </w:r>
      <w:r w:rsidRPr="00AB515A">
        <w:rPr>
          <w:rFonts w:ascii="Calibri" w:hAnsi="Calibri" w:cs="Calibri"/>
        </w:rPr>
        <w:t>BARD1, BRIP1, CDK12, CHEK1, CHEK2, FANCL, PALB2, PPP2R2A, RAD51B, RAD51C, RAD51D and RAD54L</w:t>
      </w:r>
      <w:r w:rsidRPr="00CA4838">
        <w:rPr>
          <w:rFonts w:ascii="Calibri" w:hAnsi="Calibri" w:cs="Calibri"/>
        </w:rPr>
        <w:t>)</w:t>
      </w:r>
      <w:r w:rsidRPr="00CA4838">
        <w:t xml:space="preserve">. The effectiveness results presented in the resubmission were based largely on Cohort A, with radiological progression-free survival (rPFS) and overall survival (OS) results also provided for a subgroup of patients with </w:t>
      </w:r>
      <w:r w:rsidRPr="00AB515A">
        <w:rPr>
          <w:iCs/>
        </w:rPr>
        <w:t>BRCA1/2</w:t>
      </w:r>
      <w:r w:rsidRPr="00CA4838">
        <w:t xml:space="preserve"> pathogenic variants. Safety outcomes were based on the combined Cohort A and Cohort B. </w:t>
      </w:r>
    </w:p>
    <w:p w14:paraId="372385C8" w14:textId="77777777" w:rsidR="00A042A9" w:rsidRPr="00CA4838" w:rsidRDefault="00A042A9" w:rsidP="00A2713C">
      <w:pPr>
        <w:pStyle w:val="ListParagraph"/>
        <w:ind w:left="709"/>
      </w:pPr>
      <w:r w:rsidRPr="00CA4838">
        <w:t xml:space="preserve">The resubmission provided additional baseline characteristics and efficacy data on the </w:t>
      </w:r>
      <w:r w:rsidRPr="00AB515A">
        <w:rPr>
          <w:iCs/>
        </w:rPr>
        <w:t>BRCA1/2</w:t>
      </w:r>
      <w:r w:rsidRPr="00CA4838">
        <w:t xml:space="preserve"> and </w:t>
      </w:r>
      <w:r w:rsidRPr="00266EE3">
        <w:rPr>
          <w:iCs/>
        </w:rPr>
        <w:t>BRCAwt</w:t>
      </w:r>
      <w:r w:rsidRPr="00CA4838">
        <w:rPr>
          <w:i/>
        </w:rPr>
        <w:t xml:space="preserve"> </w:t>
      </w:r>
      <w:r w:rsidRPr="00CA4838">
        <w:t xml:space="preserve">subgroups. The resubmission used two separate datasets for the </w:t>
      </w:r>
      <w:r w:rsidRPr="00A2713C">
        <w:t>BRCAwt</w:t>
      </w:r>
      <w:r w:rsidRPr="00CA4838">
        <w:t xml:space="preserve"> subgroup: all patients in Cohort B (including two patients with </w:t>
      </w:r>
      <w:r w:rsidRPr="008A4199">
        <w:rPr>
          <w:iCs/>
        </w:rPr>
        <w:t>BRCA2</w:t>
      </w:r>
      <w:r w:rsidRPr="00CA4838">
        <w:t xml:space="preserve">) and BRCA-negative patients in Cohort A+B. </w:t>
      </w:r>
    </w:p>
    <w:p w14:paraId="68D02A9C" w14:textId="77777777" w:rsidR="00A042A9" w:rsidRDefault="00A042A9" w:rsidP="00A2713C">
      <w:pPr>
        <w:pStyle w:val="ListParagraph"/>
        <w:ind w:left="709"/>
      </w:pPr>
      <w:bookmarkStart w:id="37" w:name="_Ref85405010"/>
      <w:r w:rsidRPr="00CA4838">
        <w:t xml:space="preserve">As </w:t>
      </w:r>
      <w:r w:rsidRPr="00AB515A">
        <w:rPr>
          <w:iCs/>
        </w:rPr>
        <w:t>BRCA1/2</w:t>
      </w:r>
      <w:r w:rsidRPr="00CA4838">
        <w:t xml:space="preserve"> status was not a stratification factor in PROfound, differences in baseline patient characteristics in the </w:t>
      </w:r>
      <w:r w:rsidRPr="00AB515A">
        <w:rPr>
          <w:iCs/>
        </w:rPr>
        <w:t>BRCA1/2</w:t>
      </w:r>
      <w:r w:rsidRPr="00CA4838">
        <w:t xml:space="preserve"> subgroup were evident across the NHA and olaparib treatment arms. Compared to the olaparib arm, NHA treated patients had poorer ECOG status (ECOG=0, 37% v 50%), higher median PSA (104.0 v 57.5) and a higher proportion </w:t>
      </w:r>
      <w:r>
        <w:t>had</w:t>
      </w:r>
      <w:r w:rsidRPr="00CA4838">
        <w:t xml:space="preserve"> failed both docetaxel and cabazitaxel in the mCRPC setting (50.0% v 17.6%), all indicating that on average patients in the NHA arm of the </w:t>
      </w:r>
      <w:r w:rsidRPr="00AB515A">
        <w:rPr>
          <w:iCs/>
        </w:rPr>
        <w:t>BRCA1/2</w:t>
      </w:r>
      <w:r w:rsidRPr="00CA4838">
        <w:t xml:space="preserve"> subgroup may have more treatment resistant/advanced disease. Many of these factors were considered to be effect modifiers in the resubmission’s indirect treatment comparison versus cabazitaxel</w:t>
      </w:r>
      <w:r w:rsidR="00B47BCA">
        <w:t xml:space="preserve">. </w:t>
      </w:r>
      <w:r w:rsidR="00B47BCA" w:rsidRPr="00266EE3">
        <w:t xml:space="preserve">The PSCR argued that baseline characteristics were well balanced and the subgroup has been used as the basis for regulatory approvals across many jurisdictions. </w:t>
      </w:r>
      <w:bookmarkEnd w:id="37"/>
      <w:r w:rsidR="002C5858" w:rsidRPr="00266EE3">
        <w:t xml:space="preserve">The ESC noted that </w:t>
      </w:r>
      <w:r w:rsidR="00694C3B" w:rsidRPr="00266EE3">
        <w:t>baseline characteristics were well balanced across treatment arms for the Cohort A population, suggesting that randomisation was adequate, but that some differences were evident in the BRCA1/2 subgroup.</w:t>
      </w:r>
    </w:p>
    <w:p w14:paraId="2E577A34" w14:textId="758910A9" w:rsidR="00210084" w:rsidRPr="0030433E" w:rsidRDefault="00210084" w:rsidP="0030433E">
      <w:pPr>
        <w:pStyle w:val="ListParagraph"/>
        <w:ind w:left="709"/>
        <w:rPr>
          <w:color w:val="auto"/>
        </w:rPr>
      </w:pPr>
      <w:r w:rsidRPr="00F52B1D">
        <w:t>NHAs will be used even earlier in the disease pathway</w:t>
      </w:r>
      <w:r>
        <w:t xml:space="preserve"> </w:t>
      </w:r>
      <w:r w:rsidRPr="00F52B1D">
        <w:t>given the PBAC recently recommended darolutamide for non-metastatic CRPC (m0CRPC). The PBAC also consider</w:t>
      </w:r>
      <w:r>
        <w:t>ed</w:t>
      </w:r>
      <w:r w:rsidRPr="00F52B1D">
        <w:t xml:space="preserve"> apalutamide for both m0CRPC and metastatic hormone sensitive prostate cancer (mHSPC) at the November 2021 PBAC meeting. Since NHA use on the PBS for prostate cancer is limited to one NHA once in a lifetime, patients will likely be treated with olaparib earlier than in PROfound (i.e., at diagnosis of metastatic disease rather than after failing one line of therapy in mCRPC).</w:t>
      </w:r>
    </w:p>
    <w:p w14:paraId="6CF7E857" w14:textId="77777777" w:rsidR="00B47BCA" w:rsidRPr="00AB515A" w:rsidRDefault="00B47BCA" w:rsidP="00AB515A">
      <w:pPr>
        <w:pStyle w:val="4-SubsectionHeading"/>
      </w:pPr>
      <w:r w:rsidRPr="00AB515A">
        <w:rPr>
          <w:rFonts w:asciiTheme="minorHAnsi" w:hAnsiTheme="minorHAnsi"/>
          <w:color w:val="auto"/>
        </w:rPr>
        <w:t xml:space="preserve">Comparative effectiveness </w:t>
      </w:r>
    </w:p>
    <w:p w14:paraId="7D994E6F" w14:textId="77777777" w:rsidR="00A042A9" w:rsidRPr="00CA4838" w:rsidRDefault="00A042A9" w:rsidP="00A2713C">
      <w:pPr>
        <w:pStyle w:val="ListParagraph"/>
        <w:ind w:left="709"/>
      </w:pPr>
      <w:r w:rsidRPr="00CA4838">
        <w:t xml:space="preserve">A summary of key time-to-event outcomes is provided in the table below. The resubmission maintained its preferred method to adjust for treatment switching from NHA to olaparib in PROfound; i.e., rank preserving structural failure time model (RPSFTM) </w:t>
      </w:r>
      <w:r>
        <w:t xml:space="preserve">using </w:t>
      </w:r>
      <w:r w:rsidRPr="00CA4838">
        <w:t xml:space="preserve">Cox proportional hazards with recensoring. Further discussion on methodology and results using other approaches to adjust for treatment switching are presented </w:t>
      </w:r>
      <w:r>
        <w:t>below</w:t>
      </w:r>
      <w:r w:rsidRPr="00CA4838">
        <w:t xml:space="preserve">. </w:t>
      </w:r>
    </w:p>
    <w:p w14:paraId="7D62E9D6" w14:textId="77777777" w:rsidR="00A042A9" w:rsidRPr="00CA4838" w:rsidRDefault="00A042A9" w:rsidP="007C5E46">
      <w:pPr>
        <w:pStyle w:val="TableFigureHeading"/>
        <w:keepLines/>
      </w:pPr>
      <w:bookmarkStart w:id="38" w:name="_Toc487029168"/>
      <w:bookmarkStart w:id="39" w:name="_Toc433202796"/>
      <w:r>
        <w:t xml:space="preserve">Table </w:t>
      </w:r>
      <w:r w:rsidR="007C5E46">
        <w:rPr>
          <w:noProof/>
        </w:rPr>
        <w:t>5</w:t>
      </w:r>
      <w:r w:rsidR="004A4197">
        <w:rPr>
          <w:noProof/>
        </w:rPr>
        <w:t>:</w:t>
      </w:r>
      <w:r w:rsidRPr="00CA4838">
        <w:t xml:space="preserve"> Summary of rPFS and OS reported in PROfound</w:t>
      </w:r>
    </w:p>
    <w:tbl>
      <w:tblPr>
        <w:tblStyle w:val="TableGrid"/>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Summary of rPFS and OS reported in PROfound"/>
      </w:tblPr>
      <w:tblGrid>
        <w:gridCol w:w="2404"/>
        <w:gridCol w:w="1128"/>
        <w:gridCol w:w="999"/>
        <w:gridCol w:w="1476"/>
        <w:gridCol w:w="1597"/>
        <w:gridCol w:w="1498"/>
        <w:gridCol w:w="11"/>
      </w:tblGrid>
      <w:tr w:rsidR="006A64E7" w:rsidRPr="00CA4838" w14:paraId="6EE8DBA2" w14:textId="77777777" w:rsidTr="00F82068">
        <w:trPr>
          <w:gridAfter w:val="1"/>
          <w:cnfStyle w:val="100000000000" w:firstRow="1" w:lastRow="0" w:firstColumn="0" w:lastColumn="0" w:oddVBand="0" w:evenVBand="0" w:oddHBand="0" w:evenHBand="0" w:firstRowFirstColumn="0" w:firstRowLastColumn="0" w:lastRowFirstColumn="0" w:lastRowLastColumn="0"/>
          <w:wAfter w:w="6" w:type="pct"/>
          <w:tblHeader/>
        </w:trPr>
        <w:tc>
          <w:tcPr>
            <w:tcW w:w="1319" w:type="pct"/>
            <w:vMerge w:val="restart"/>
            <w:shd w:val="clear" w:color="auto" w:fill="BDD6EE" w:themeFill="accent1" w:themeFillTint="66"/>
          </w:tcPr>
          <w:p w14:paraId="56B1BE23" w14:textId="77777777" w:rsidR="00A042A9" w:rsidRPr="00CA4838" w:rsidRDefault="00A042A9" w:rsidP="008A4199">
            <w:pPr>
              <w:keepNext/>
              <w:keepLines/>
              <w:spacing w:before="10" w:after="10"/>
              <w:rPr>
                <w:rFonts w:ascii="Arial Narrow" w:hAnsi="Arial Narrow"/>
                <w:sz w:val="19"/>
                <w:szCs w:val="19"/>
                <w:lang w:val="en-AU" w:eastAsia="en-US"/>
              </w:rPr>
            </w:pPr>
          </w:p>
        </w:tc>
        <w:tc>
          <w:tcPr>
            <w:tcW w:w="1167" w:type="pct"/>
            <w:gridSpan w:val="2"/>
            <w:shd w:val="clear" w:color="auto" w:fill="BDD6EE" w:themeFill="accent1" w:themeFillTint="66"/>
            <w:vAlign w:val="center"/>
          </w:tcPr>
          <w:p w14:paraId="7BD8273E"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Number of events/total number of patients (%)</w:t>
            </w:r>
          </w:p>
        </w:tc>
        <w:tc>
          <w:tcPr>
            <w:tcW w:w="810" w:type="pct"/>
            <w:shd w:val="clear" w:color="auto" w:fill="BDD6EE" w:themeFill="accent1" w:themeFillTint="66"/>
            <w:vAlign w:val="center"/>
          </w:tcPr>
          <w:p w14:paraId="2E667042"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HR (95% CI)</w:t>
            </w:r>
            <w:r w:rsidR="00EA4398">
              <w:rPr>
                <w:rFonts w:ascii="Arial Narrow" w:hAnsi="Arial Narrow"/>
                <w:sz w:val="19"/>
                <w:szCs w:val="19"/>
                <w:vertAlign w:val="superscript"/>
                <w:lang w:eastAsia="en-US"/>
              </w:rPr>
              <w:t>a</w:t>
            </w:r>
          </w:p>
        </w:tc>
        <w:tc>
          <w:tcPr>
            <w:tcW w:w="1698" w:type="pct"/>
            <w:gridSpan w:val="2"/>
            <w:shd w:val="clear" w:color="auto" w:fill="BDD6EE" w:themeFill="accent1" w:themeFillTint="66"/>
            <w:vAlign w:val="center"/>
          </w:tcPr>
          <w:p w14:paraId="2AED5BD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Median duration (95% CI), months</w:t>
            </w:r>
          </w:p>
        </w:tc>
      </w:tr>
      <w:tr w:rsidR="006A64E7" w:rsidRPr="00CA4838" w14:paraId="369DD7D0" w14:textId="77777777" w:rsidTr="00F82068">
        <w:trPr>
          <w:gridAfter w:val="1"/>
          <w:cnfStyle w:val="100000000000" w:firstRow="1" w:lastRow="0" w:firstColumn="0" w:lastColumn="0" w:oddVBand="0" w:evenVBand="0" w:oddHBand="0" w:evenHBand="0" w:firstRowFirstColumn="0" w:firstRowLastColumn="0" w:lastRowFirstColumn="0" w:lastRowLastColumn="0"/>
          <w:wAfter w:w="10" w:type="pct"/>
          <w:tblHeader/>
        </w:trPr>
        <w:tc>
          <w:tcPr>
            <w:tcW w:w="1319" w:type="pct"/>
            <w:vMerge/>
            <w:shd w:val="clear" w:color="auto" w:fill="BDD6EE" w:themeFill="accent1" w:themeFillTint="66"/>
          </w:tcPr>
          <w:p w14:paraId="763ECD36" w14:textId="77777777" w:rsidR="00A042A9" w:rsidRPr="00CA4838" w:rsidRDefault="00A042A9" w:rsidP="008A4199">
            <w:pPr>
              <w:keepNext/>
              <w:keepLines/>
              <w:spacing w:before="10" w:after="10"/>
              <w:rPr>
                <w:rFonts w:ascii="Arial Narrow" w:hAnsi="Arial Narrow"/>
                <w:sz w:val="19"/>
                <w:szCs w:val="19"/>
                <w:lang w:val="en-AU" w:eastAsia="en-US"/>
              </w:rPr>
            </w:pPr>
          </w:p>
        </w:tc>
        <w:tc>
          <w:tcPr>
            <w:tcW w:w="619" w:type="pct"/>
            <w:shd w:val="clear" w:color="auto" w:fill="BDD6EE" w:themeFill="accent1" w:themeFillTint="66"/>
            <w:vAlign w:val="center"/>
          </w:tcPr>
          <w:p w14:paraId="62537817" w14:textId="77777777" w:rsidR="00A042A9" w:rsidRPr="00CA4838" w:rsidRDefault="00A042A9" w:rsidP="008A4199">
            <w:pPr>
              <w:keepNext/>
              <w:keepLines/>
              <w:spacing w:before="10" w:after="10"/>
              <w:jc w:val="center"/>
              <w:rPr>
                <w:rFonts w:ascii="Arial Narrow" w:hAnsi="Arial Narrow"/>
                <w:b w:val="0"/>
                <w:sz w:val="19"/>
                <w:szCs w:val="19"/>
                <w:lang w:val="en-AU" w:eastAsia="en-US"/>
              </w:rPr>
            </w:pPr>
            <w:r w:rsidRPr="00CA4838">
              <w:rPr>
                <w:rFonts w:ascii="Arial Narrow" w:hAnsi="Arial Narrow"/>
                <w:b w:val="0"/>
                <w:sz w:val="19"/>
                <w:szCs w:val="19"/>
                <w:lang w:val="en-AU" w:eastAsia="en-US"/>
              </w:rPr>
              <w:t>Olaparib</w:t>
            </w:r>
          </w:p>
        </w:tc>
        <w:tc>
          <w:tcPr>
            <w:tcW w:w="548" w:type="pct"/>
            <w:shd w:val="clear" w:color="auto" w:fill="BDD6EE" w:themeFill="accent1" w:themeFillTint="66"/>
            <w:vAlign w:val="center"/>
          </w:tcPr>
          <w:p w14:paraId="373304B7" w14:textId="77777777" w:rsidR="00A042A9" w:rsidRPr="00CA4838" w:rsidRDefault="00A042A9" w:rsidP="008A4199">
            <w:pPr>
              <w:keepNext/>
              <w:keepLines/>
              <w:spacing w:before="10" w:after="10"/>
              <w:jc w:val="center"/>
              <w:rPr>
                <w:rFonts w:ascii="Arial Narrow" w:hAnsi="Arial Narrow"/>
                <w:b w:val="0"/>
                <w:sz w:val="19"/>
                <w:szCs w:val="19"/>
                <w:lang w:val="en-AU" w:eastAsia="en-US"/>
              </w:rPr>
            </w:pPr>
            <w:r w:rsidRPr="00CA4838">
              <w:rPr>
                <w:rFonts w:ascii="Arial Narrow" w:hAnsi="Arial Narrow"/>
                <w:b w:val="0"/>
                <w:sz w:val="19"/>
                <w:szCs w:val="19"/>
                <w:lang w:val="en-AU" w:eastAsia="en-US"/>
              </w:rPr>
              <w:t>NHA</w:t>
            </w:r>
          </w:p>
        </w:tc>
        <w:tc>
          <w:tcPr>
            <w:tcW w:w="810" w:type="pct"/>
            <w:shd w:val="clear" w:color="auto" w:fill="BDD6EE" w:themeFill="accent1" w:themeFillTint="66"/>
            <w:vAlign w:val="center"/>
          </w:tcPr>
          <w:p w14:paraId="3B48ABB6" w14:textId="77777777" w:rsidR="00A042A9" w:rsidRPr="00CA4838" w:rsidRDefault="00A042A9" w:rsidP="008A4199">
            <w:pPr>
              <w:keepNext/>
              <w:keepLines/>
              <w:spacing w:before="10" w:after="10"/>
              <w:jc w:val="center"/>
              <w:rPr>
                <w:rFonts w:ascii="Arial Narrow" w:hAnsi="Arial Narrow"/>
                <w:b w:val="0"/>
                <w:sz w:val="19"/>
                <w:szCs w:val="19"/>
                <w:lang w:val="en-AU" w:eastAsia="en-US"/>
              </w:rPr>
            </w:pPr>
            <w:r w:rsidRPr="00CA4838">
              <w:rPr>
                <w:rFonts w:ascii="Arial Narrow" w:hAnsi="Arial Narrow"/>
                <w:b w:val="0"/>
                <w:sz w:val="19"/>
                <w:szCs w:val="19"/>
                <w:lang w:val="en-AU" w:eastAsia="en-US"/>
              </w:rPr>
              <w:t>HR</w:t>
            </w:r>
          </w:p>
        </w:tc>
        <w:tc>
          <w:tcPr>
            <w:tcW w:w="876" w:type="pct"/>
            <w:shd w:val="clear" w:color="auto" w:fill="BDD6EE" w:themeFill="accent1" w:themeFillTint="66"/>
            <w:vAlign w:val="center"/>
          </w:tcPr>
          <w:p w14:paraId="6DF026AD" w14:textId="77777777" w:rsidR="00A042A9" w:rsidRPr="00CA4838" w:rsidRDefault="00A042A9" w:rsidP="008A4199">
            <w:pPr>
              <w:keepNext/>
              <w:keepLines/>
              <w:spacing w:before="10" w:after="10"/>
              <w:jc w:val="center"/>
              <w:rPr>
                <w:rFonts w:ascii="Arial Narrow" w:hAnsi="Arial Narrow"/>
                <w:b w:val="0"/>
                <w:sz w:val="19"/>
                <w:szCs w:val="19"/>
                <w:lang w:val="en-AU" w:eastAsia="en-US"/>
              </w:rPr>
            </w:pPr>
            <w:r w:rsidRPr="00CA4838">
              <w:rPr>
                <w:rFonts w:ascii="Arial Narrow" w:hAnsi="Arial Narrow"/>
                <w:b w:val="0"/>
                <w:sz w:val="19"/>
                <w:szCs w:val="19"/>
                <w:lang w:val="en-AU" w:eastAsia="en-US"/>
              </w:rPr>
              <w:t>Olaparib</w:t>
            </w:r>
          </w:p>
        </w:tc>
        <w:tc>
          <w:tcPr>
            <w:tcW w:w="819" w:type="pct"/>
            <w:shd w:val="clear" w:color="auto" w:fill="BDD6EE" w:themeFill="accent1" w:themeFillTint="66"/>
            <w:vAlign w:val="center"/>
          </w:tcPr>
          <w:p w14:paraId="3108B894" w14:textId="77777777" w:rsidR="00A042A9" w:rsidRPr="00CA4838" w:rsidRDefault="00A042A9" w:rsidP="008A4199">
            <w:pPr>
              <w:keepNext/>
              <w:keepLines/>
              <w:spacing w:before="10" w:after="10"/>
              <w:jc w:val="center"/>
              <w:rPr>
                <w:rFonts w:ascii="Arial Narrow" w:hAnsi="Arial Narrow"/>
                <w:b w:val="0"/>
                <w:sz w:val="19"/>
                <w:szCs w:val="19"/>
                <w:lang w:val="en-AU" w:eastAsia="en-US"/>
              </w:rPr>
            </w:pPr>
            <w:r w:rsidRPr="00CA4838">
              <w:rPr>
                <w:rFonts w:ascii="Arial Narrow" w:hAnsi="Arial Narrow"/>
                <w:b w:val="0"/>
                <w:sz w:val="19"/>
                <w:szCs w:val="19"/>
                <w:lang w:val="en-AU" w:eastAsia="en-US"/>
              </w:rPr>
              <w:t>NHA</w:t>
            </w:r>
          </w:p>
        </w:tc>
      </w:tr>
      <w:tr w:rsidR="00A042A9" w:rsidRPr="00CA4838" w14:paraId="54E887F1" w14:textId="77777777" w:rsidTr="005F2AD4">
        <w:tc>
          <w:tcPr>
            <w:tcW w:w="0" w:type="pct"/>
            <w:gridSpan w:val="7"/>
            <w:shd w:val="clear" w:color="auto" w:fill="BDD6EE" w:themeFill="accent1" w:themeFillTint="66"/>
            <w:vAlign w:val="center"/>
          </w:tcPr>
          <w:p w14:paraId="606D1C6E" w14:textId="77777777" w:rsidR="00A042A9" w:rsidRPr="00CA4838" w:rsidRDefault="00A042A9" w:rsidP="008A4199">
            <w:pPr>
              <w:keepNext/>
              <w:keepLines/>
              <w:spacing w:before="10" w:after="10"/>
              <w:rPr>
                <w:rFonts w:ascii="Arial Narrow" w:hAnsi="Arial Narrow"/>
                <w:sz w:val="19"/>
                <w:szCs w:val="19"/>
                <w:lang w:val="en-AU" w:eastAsia="en-US"/>
              </w:rPr>
            </w:pPr>
            <w:r w:rsidRPr="00CA4838">
              <w:rPr>
                <w:rFonts w:ascii="Arial Narrow" w:hAnsi="Arial Narrow"/>
                <w:b/>
                <w:sz w:val="19"/>
                <w:szCs w:val="19"/>
                <w:lang w:val="en-AU"/>
              </w:rPr>
              <w:t>Radiological progression-free survival (rPFS) – BICR assessed (data cut off: 4 June 2019)</w:t>
            </w:r>
          </w:p>
        </w:tc>
      </w:tr>
      <w:tr w:rsidR="006A64E7" w:rsidRPr="00CA4838" w14:paraId="5E3A3128" w14:textId="77777777" w:rsidTr="005F2AD4">
        <w:trPr>
          <w:gridAfter w:val="1"/>
          <w:wAfter w:w="10" w:type="pct"/>
        </w:trPr>
        <w:tc>
          <w:tcPr>
            <w:tcW w:w="1319" w:type="pct"/>
            <w:shd w:val="clear" w:color="auto" w:fill="BDD6EE" w:themeFill="accent1" w:themeFillTint="66"/>
          </w:tcPr>
          <w:p w14:paraId="77B41C89" w14:textId="77777777" w:rsidR="00A042A9" w:rsidRPr="00CA4838" w:rsidRDefault="00A042A9" w:rsidP="008A4199">
            <w:pPr>
              <w:keepNext/>
              <w:keepLines/>
              <w:spacing w:before="10" w:after="10"/>
              <w:rPr>
                <w:rFonts w:ascii="Arial Narrow" w:hAnsi="Arial Narrow"/>
                <w:sz w:val="19"/>
                <w:szCs w:val="19"/>
                <w:lang w:val="en-AU" w:eastAsia="en-US"/>
              </w:rPr>
            </w:pPr>
            <w:r w:rsidRPr="00CA4838">
              <w:rPr>
                <w:rFonts w:ascii="Arial Narrow" w:hAnsi="Arial Narrow"/>
                <w:sz w:val="19"/>
                <w:szCs w:val="19"/>
                <w:lang w:val="en-AU" w:eastAsia="en-US"/>
              </w:rPr>
              <w:t>Cohort A (ITT</w:t>
            </w:r>
            <w:r w:rsidR="00EA4398" w:rsidRPr="00CA4838">
              <w:rPr>
                <w:rFonts w:ascii="Arial Narrow" w:hAnsi="Arial Narrow"/>
                <w:sz w:val="19"/>
                <w:szCs w:val="19"/>
                <w:lang w:val="en-AU" w:eastAsia="en-US"/>
              </w:rPr>
              <w:t>)</w:t>
            </w:r>
            <w:r w:rsidR="00EA4398" w:rsidRPr="008A4199">
              <w:rPr>
                <w:rFonts w:ascii="Arial Narrow" w:hAnsi="Arial Narrow"/>
                <w:sz w:val="19"/>
                <w:szCs w:val="19"/>
                <w:vertAlign w:val="superscript"/>
                <w:lang w:eastAsia="en-US"/>
              </w:rPr>
              <w:t>b</w:t>
            </w:r>
            <w:r w:rsidR="00EA4398" w:rsidRPr="00CA4838">
              <w:rPr>
                <w:rFonts w:ascii="Arial Narrow" w:hAnsi="Arial Narrow"/>
                <w:sz w:val="19"/>
                <w:szCs w:val="19"/>
                <w:lang w:val="en-AU" w:eastAsia="en-US"/>
              </w:rPr>
              <w:t xml:space="preserve"> </w:t>
            </w:r>
            <w:r w:rsidRPr="00CA4838">
              <w:rPr>
                <w:rFonts w:ascii="Arial Narrow" w:hAnsi="Arial Narrow"/>
                <w:sz w:val="19"/>
                <w:szCs w:val="19"/>
                <w:lang w:val="en-AU" w:eastAsia="en-US"/>
              </w:rPr>
              <w:t>(</w:t>
            </w:r>
            <w:r w:rsidRPr="008A4199">
              <w:rPr>
                <w:rFonts w:ascii="Arial Narrow" w:hAnsi="Arial Narrow"/>
                <w:iCs/>
                <w:sz w:val="19"/>
                <w:szCs w:val="19"/>
                <w:lang w:eastAsia="en-US"/>
              </w:rPr>
              <w:t>BRCA1/2, ATM</w:t>
            </w:r>
            <w:r w:rsidRPr="00CA4838">
              <w:rPr>
                <w:rFonts w:ascii="Arial Narrow" w:hAnsi="Arial Narrow"/>
                <w:sz w:val="19"/>
                <w:szCs w:val="19"/>
                <w:lang w:val="en-AU" w:eastAsia="en-US"/>
              </w:rPr>
              <w:t>)</w:t>
            </w:r>
          </w:p>
        </w:tc>
        <w:tc>
          <w:tcPr>
            <w:tcW w:w="619" w:type="pct"/>
            <w:shd w:val="clear" w:color="auto" w:fill="BDD6EE" w:themeFill="accent1" w:themeFillTint="66"/>
            <w:vAlign w:val="center"/>
          </w:tcPr>
          <w:p w14:paraId="53B7BADD"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106/162 (65.4)</w:t>
            </w:r>
          </w:p>
        </w:tc>
        <w:tc>
          <w:tcPr>
            <w:tcW w:w="548" w:type="pct"/>
            <w:shd w:val="clear" w:color="auto" w:fill="BDD6EE" w:themeFill="accent1" w:themeFillTint="66"/>
            <w:vAlign w:val="center"/>
          </w:tcPr>
          <w:p w14:paraId="4A889D4E"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68/83 (81.9)</w:t>
            </w:r>
          </w:p>
        </w:tc>
        <w:tc>
          <w:tcPr>
            <w:tcW w:w="810" w:type="pct"/>
            <w:shd w:val="clear" w:color="auto" w:fill="BDD6EE" w:themeFill="accent1" w:themeFillTint="66"/>
            <w:vAlign w:val="center"/>
          </w:tcPr>
          <w:p w14:paraId="76079E30"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b/>
                <w:bCs/>
                <w:sz w:val="19"/>
                <w:szCs w:val="19"/>
                <w:lang w:val="en-AU"/>
              </w:rPr>
              <w:t>0.34 (0.25, 0.47)</w:t>
            </w:r>
          </w:p>
        </w:tc>
        <w:tc>
          <w:tcPr>
            <w:tcW w:w="876" w:type="pct"/>
            <w:shd w:val="clear" w:color="auto" w:fill="BDD6EE" w:themeFill="accent1" w:themeFillTint="66"/>
            <w:vAlign w:val="center"/>
          </w:tcPr>
          <w:p w14:paraId="1D4C8403" w14:textId="77777777" w:rsidR="00A042A9" w:rsidRPr="00CA4838" w:rsidRDefault="00A042A9" w:rsidP="008A4199">
            <w:pPr>
              <w:keepNext/>
              <w:keepLines/>
              <w:spacing w:before="10" w:after="10"/>
              <w:jc w:val="center"/>
              <w:rPr>
                <w:rFonts w:ascii="Arial Narrow" w:hAnsi="Arial Narrow"/>
                <w:sz w:val="19"/>
                <w:szCs w:val="19"/>
                <w:lang w:val="en-AU"/>
              </w:rPr>
            </w:pPr>
            <w:r w:rsidRPr="00CA4838">
              <w:rPr>
                <w:rFonts w:ascii="Arial Narrow" w:hAnsi="Arial Narrow"/>
                <w:sz w:val="19"/>
                <w:szCs w:val="19"/>
                <w:lang w:val="en-AU"/>
              </w:rPr>
              <w:t>7.39 (6.24, 9.33)</w:t>
            </w:r>
          </w:p>
        </w:tc>
        <w:tc>
          <w:tcPr>
            <w:tcW w:w="819" w:type="pct"/>
            <w:shd w:val="clear" w:color="auto" w:fill="BDD6EE" w:themeFill="accent1" w:themeFillTint="66"/>
            <w:vAlign w:val="center"/>
          </w:tcPr>
          <w:p w14:paraId="1B71223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rPr>
              <w:t>3.55 (1.91, 3.71)</w:t>
            </w:r>
          </w:p>
        </w:tc>
      </w:tr>
      <w:tr w:rsidR="006A64E7" w:rsidRPr="00CA4838" w14:paraId="2C450FBC" w14:textId="77777777" w:rsidTr="005F2AD4">
        <w:trPr>
          <w:gridAfter w:val="1"/>
          <w:wAfter w:w="10" w:type="pct"/>
        </w:trPr>
        <w:tc>
          <w:tcPr>
            <w:tcW w:w="1319" w:type="pct"/>
            <w:shd w:val="clear" w:color="auto" w:fill="BDD6EE" w:themeFill="accent1" w:themeFillTint="66"/>
          </w:tcPr>
          <w:p w14:paraId="797CA691" w14:textId="77777777" w:rsidR="00A042A9" w:rsidRPr="00CA4838" w:rsidRDefault="00A042A9" w:rsidP="008A4199">
            <w:pPr>
              <w:keepNext/>
              <w:keepLines/>
              <w:spacing w:before="10" w:after="10"/>
              <w:ind w:left="104"/>
              <w:rPr>
                <w:rFonts w:ascii="Arial Narrow" w:hAnsi="Arial Narrow"/>
                <w:sz w:val="19"/>
                <w:szCs w:val="19"/>
                <w:lang w:val="en-AU" w:eastAsia="en-US"/>
              </w:rPr>
            </w:pPr>
            <w:r w:rsidRPr="00CA4838">
              <w:rPr>
                <w:rFonts w:ascii="Arial Narrow" w:hAnsi="Arial Narrow"/>
                <w:sz w:val="19"/>
                <w:szCs w:val="19"/>
                <w:lang w:val="en-AU" w:eastAsia="en-US"/>
              </w:rPr>
              <w:t>Prior taxane (Cohort A)</w:t>
            </w:r>
          </w:p>
        </w:tc>
        <w:tc>
          <w:tcPr>
            <w:tcW w:w="619" w:type="pct"/>
            <w:shd w:val="clear" w:color="auto" w:fill="BDD6EE" w:themeFill="accent1" w:themeFillTint="66"/>
            <w:vAlign w:val="center"/>
          </w:tcPr>
          <w:p w14:paraId="3E0EFD1D"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72/106 (67.9)</w:t>
            </w:r>
          </w:p>
        </w:tc>
        <w:tc>
          <w:tcPr>
            <w:tcW w:w="548" w:type="pct"/>
            <w:shd w:val="clear" w:color="auto" w:fill="BDD6EE" w:themeFill="accent1" w:themeFillTint="66"/>
            <w:vAlign w:val="center"/>
          </w:tcPr>
          <w:p w14:paraId="601125DD"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47/52 (90.4)</w:t>
            </w:r>
          </w:p>
        </w:tc>
        <w:tc>
          <w:tcPr>
            <w:tcW w:w="810" w:type="pct"/>
            <w:shd w:val="clear" w:color="auto" w:fill="BDD6EE" w:themeFill="accent1" w:themeFillTint="66"/>
            <w:vAlign w:val="center"/>
          </w:tcPr>
          <w:p w14:paraId="0CE67172" w14:textId="77777777" w:rsidR="00A042A9" w:rsidRPr="00CA4838" w:rsidRDefault="00A042A9" w:rsidP="008A4199">
            <w:pPr>
              <w:keepNext/>
              <w:keepLines/>
              <w:spacing w:before="10" w:after="10"/>
              <w:jc w:val="center"/>
              <w:rPr>
                <w:rFonts w:ascii="Arial Narrow" w:hAnsi="Arial Narrow"/>
                <w:b/>
                <w:sz w:val="19"/>
                <w:szCs w:val="19"/>
                <w:lang w:val="en-AU" w:eastAsia="en-US"/>
              </w:rPr>
            </w:pPr>
            <w:r w:rsidRPr="00CA4838">
              <w:rPr>
                <w:rFonts w:ascii="Arial Narrow" w:hAnsi="Arial Narrow"/>
                <w:b/>
                <w:sz w:val="19"/>
                <w:szCs w:val="19"/>
                <w:lang w:val="en-AU" w:eastAsia="en-US"/>
              </w:rPr>
              <w:t>0.28 (0.19, 0.41)</w:t>
            </w:r>
          </w:p>
        </w:tc>
        <w:tc>
          <w:tcPr>
            <w:tcW w:w="876" w:type="pct"/>
            <w:shd w:val="clear" w:color="auto" w:fill="BDD6EE" w:themeFill="accent1" w:themeFillTint="66"/>
            <w:vAlign w:val="center"/>
          </w:tcPr>
          <w:p w14:paraId="7F9AD3F0"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7.39 (5.82, 9.43)</w:t>
            </w:r>
          </w:p>
        </w:tc>
        <w:tc>
          <w:tcPr>
            <w:tcW w:w="819" w:type="pct"/>
            <w:shd w:val="clear" w:color="auto" w:fill="BDD6EE" w:themeFill="accent1" w:themeFillTint="66"/>
            <w:vAlign w:val="center"/>
          </w:tcPr>
          <w:p w14:paraId="71C1A0DC"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1.94 (1.71, 3.52)</w:t>
            </w:r>
          </w:p>
        </w:tc>
      </w:tr>
      <w:tr w:rsidR="006A64E7" w:rsidRPr="00CA4838" w14:paraId="32D41FBD" w14:textId="77777777" w:rsidTr="005F2AD4">
        <w:trPr>
          <w:gridAfter w:val="1"/>
          <w:wAfter w:w="10" w:type="pct"/>
        </w:trPr>
        <w:tc>
          <w:tcPr>
            <w:tcW w:w="1319" w:type="pct"/>
            <w:shd w:val="clear" w:color="auto" w:fill="BDD6EE" w:themeFill="accent1" w:themeFillTint="66"/>
          </w:tcPr>
          <w:p w14:paraId="707963DB" w14:textId="77777777" w:rsidR="00A042A9" w:rsidRPr="00CA4838" w:rsidRDefault="00A042A9" w:rsidP="008A4199">
            <w:pPr>
              <w:keepNext/>
              <w:keepLines/>
              <w:spacing w:before="10" w:after="10"/>
              <w:ind w:left="104"/>
              <w:rPr>
                <w:rFonts w:ascii="Arial Narrow" w:hAnsi="Arial Narrow"/>
                <w:sz w:val="19"/>
                <w:szCs w:val="19"/>
                <w:lang w:val="en-AU" w:eastAsia="en-US"/>
              </w:rPr>
            </w:pPr>
            <w:r w:rsidRPr="00CA4838">
              <w:rPr>
                <w:rFonts w:ascii="Arial Narrow" w:hAnsi="Arial Narrow"/>
                <w:sz w:val="19"/>
                <w:szCs w:val="19"/>
                <w:lang w:val="en-AU" w:eastAsia="en-US"/>
              </w:rPr>
              <w:t>No Prior taxane (Cohort A)</w:t>
            </w:r>
          </w:p>
        </w:tc>
        <w:tc>
          <w:tcPr>
            <w:tcW w:w="619" w:type="pct"/>
            <w:shd w:val="clear" w:color="auto" w:fill="BDD6EE" w:themeFill="accent1" w:themeFillTint="66"/>
            <w:vAlign w:val="center"/>
          </w:tcPr>
          <w:p w14:paraId="7BF8AA1D"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34/56 (60.7)</w:t>
            </w:r>
          </w:p>
        </w:tc>
        <w:tc>
          <w:tcPr>
            <w:tcW w:w="548" w:type="pct"/>
            <w:shd w:val="clear" w:color="auto" w:fill="BDD6EE" w:themeFill="accent1" w:themeFillTint="66"/>
            <w:vAlign w:val="center"/>
          </w:tcPr>
          <w:p w14:paraId="0DA3078F"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21/31 (67.7)</w:t>
            </w:r>
          </w:p>
        </w:tc>
        <w:tc>
          <w:tcPr>
            <w:tcW w:w="810" w:type="pct"/>
            <w:shd w:val="clear" w:color="auto" w:fill="BDD6EE" w:themeFill="accent1" w:themeFillTint="66"/>
            <w:vAlign w:val="center"/>
          </w:tcPr>
          <w:p w14:paraId="4265B784" w14:textId="77777777" w:rsidR="00A042A9" w:rsidRPr="00CA4838" w:rsidRDefault="00A042A9" w:rsidP="008A4199">
            <w:pPr>
              <w:keepNext/>
              <w:keepLines/>
              <w:spacing w:before="10" w:after="10"/>
              <w:jc w:val="center"/>
              <w:rPr>
                <w:rFonts w:ascii="Arial Narrow" w:hAnsi="Arial Narrow"/>
                <w:b/>
                <w:sz w:val="19"/>
                <w:szCs w:val="19"/>
                <w:lang w:val="en-AU" w:eastAsia="en-US"/>
              </w:rPr>
            </w:pPr>
            <w:r w:rsidRPr="00CA4838">
              <w:rPr>
                <w:rFonts w:ascii="Arial Narrow" w:hAnsi="Arial Narrow"/>
                <w:b/>
                <w:sz w:val="19"/>
                <w:szCs w:val="19"/>
                <w:lang w:val="en-AU" w:eastAsia="en-US"/>
              </w:rPr>
              <w:t>0.55 (0.32, 0.97)</w:t>
            </w:r>
          </w:p>
        </w:tc>
        <w:tc>
          <w:tcPr>
            <w:tcW w:w="876" w:type="pct"/>
            <w:shd w:val="clear" w:color="auto" w:fill="BDD6EE" w:themeFill="accent1" w:themeFillTint="66"/>
            <w:vAlign w:val="center"/>
          </w:tcPr>
          <w:p w14:paraId="533E1021"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7.39 (5.52, 11.07)</w:t>
            </w:r>
          </w:p>
        </w:tc>
        <w:tc>
          <w:tcPr>
            <w:tcW w:w="819" w:type="pct"/>
            <w:shd w:val="clear" w:color="auto" w:fill="BDD6EE" w:themeFill="accent1" w:themeFillTint="66"/>
            <w:vAlign w:val="center"/>
          </w:tcPr>
          <w:p w14:paraId="0EFD9F47"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4.07 (3.61, 6.57)</w:t>
            </w:r>
          </w:p>
        </w:tc>
      </w:tr>
      <w:tr w:rsidR="006A64E7" w:rsidRPr="00CA4838" w14:paraId="1069EF75" w14:textId="77777777" w:rsidTr="005F2AD4">
        <w:trPr>
          <w:gridAfter w:val="1"/>
          <w:wAfter w:w="10" w:type="pct"/>
        </w:trPr>
        <w:tc>
          <w:tcPr>
            <w:tcW w:w="1319" w:type="pct"/>
            <w:shd w:val="clear" w:color="auto" w:fill="BDD6EE" w:themeFill="accent1" w:themeFillTint="66"/>
          </w:tcPr>
          <w:p w14:paraId="0ED2714D" w14:textId="77777777" w:rsidR="00A042A9" w:rsidRPr="00CA4838" w:rsidRDefault="00A042A9" w:rsidP="008A4199">
            <w:pPr>
              <w:keepNext/>
              <w:keepLines/>
              <w:spacing w:before="10" w:after="10"/>
              <w:rPr>
                <w:rFonts w:ascii="Arial Narrow" w:hAnsi="Arial Narrow"/>
                <w:sz w:val="19"/>
                <w:szCs w:val="19"/>
                <w:lang w:val="en-AU" w:eastAsia="en-US"/>
              </w:rPr>
            </w:pPr>
            <w:r w:rsidRPr="00CA4838">
              <w:rPr>
                <w:rFonts w:ascii="Arial Narrow" w:hAnsi="Arial Narrow"/>
                <w:sz w:val="19"/>
                <w:szCs w:val="19"/>
                <w:lang w:val="en-AU" w:eastAsia="en-US"/>
              </w:rPr>
              <w:t>Cohort A+B</w:t>
            </w:r>
          </w:p>
        </w:tc>
        <w:tc>
          <w:tcPr>
            <w:tcW w:w="619" w:type="pct"/>
            <w:shd w:val="clear" w:color="auto" w:fill="BDD6EE" w:themeFill="accent1" w:themeFillTint="66"/>
            <w:vAlign w:val="center"/>
          </w:tcPr>
          <w:p w14:paraId="3A515012"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180/256 (70.3)</w:t>
            </w:r>
          </w:p>
        </w:tc>
        <w:tc>
          <w:tcPr>
            <w:tcW w:w="548" w:type="pct"/>
            <w:shd w:val="clear" w:color="auto" w:fill="BDD6EE" w:themeFill="accent1" w:themeFillTint="66"/>
            <w:vAlign w:val="center"/>
          </w:tcPr>
          <w:p w14:paraId="5C7985C0"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99/131 (75.6)</w:t>
            </w:r>
          </w:p>
        </w:tc>
        <w:tc>
          <w:tcPr>
            <w:tcW w:w="810" w:type="pct"/>
            <w:shd w:val="clear" w:color="auto" w:fill="BDD6EE" w:themeFill="accent1" w:themeFillTint="66"/>
            <w:vAlign w:val="center"/>
          </w:tcPr>
          <w:p w14:paraId="3D0CEDF8" w14:textId="77777777" w:rsidR="00A042A9" w:rsidRPr="00CA4838" w:rsidRDefault="00A042A9" w:rsidP="008A4199">
            <w:pPr>
              <w:keepNext/>
              <w:keepLines/>
              <w:spacing w:before="10" w:after="10"/>
              <w:jc w:val="center"/>
              <w:rPr>
                <w:rFonts w:ascii="Arial Narrow" w:hAnsi="Arial Narrow"/>
                <w:b/>
                <w:sz w:val="19"/>
                <w:szCs w:val="19"/>
                <w:lang w:val="en-AU" w:eastAsia="en-US"/>
              </w:rPr>
            </w:pPr>
            <w:r w:rsidRPr="00CA4838">
              <w:rPr>
                <w:rFonts w:ascii="Arial Narrow" w:hAnsi="Arial Narrow"/>
                <w:b/>
                <w:sz w:val="19"/>
                <w:szCs w:val="19"/>
                <w:lang w:val="en-AU" w:eastAsia="en-US"/>
              </w:rPr>
              <w:t>0.49 (0.38, 0.63)</w:t>
            </w:r>
          </w:p>
        </w:tc>
        <w:tc>
          <w:tcPr>
            <w:tcW w:w="876" w:type="pct"/>
            <w:shd w:val="clear" w:color="auto" w:fill="BDD6EE" w:themeFill="accent1" w:themeFillTint="66"/>
            <w:vAlign w:val="center"/>
          </w:tcPr>
          <w:p w14:paraId="3412070E"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5.82 (5.52, 7.36)</w:t>
            </w:r>
          </w:p>
        </w:tc>
        <w:tc>
          <w:tcPr>
            <w:tcW w:w="819" w:type="pct"/>
            <w:shd w:val="clear" w:color="auto" w:fill="BDD6EE" w:themeFill="accent1" w:themeFillTint="66"/>
            <w:vAlign w:val="center"/>
          </w:tcPr>
          <w:p w14:paraId="32A57443"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3.52 (2.20, 3.65)</w:t>
            </w:r>
          </w:p>
        </w:tc>
      </w:tr>
      <w:tr w:rsidR="00D147D5" w:rsidRPr="00CA4838" w14:paraId="1DF4228F" w14:textId="77777777" w:rsidTr="006A64E7">
        <w:trPr>
          <w:gridAfter w:val="1"/>
          <w:wAfter w:w="10" w:type="pct"/>
        </w:trPr>
        <w:tc>
          <w:tcPr>
            <w:tcW w:w="1319" w:type="pct"/>
            <w:tcBorders>
              <w:bottom w:val="nil"/>
            </w:tcBorders>
            <w:shd w:val="clear" w:color="auto" w:fill="BDD6EE" w:themeFill="accent1" w:themeFillTint="66"/>
          </w:tcPr>
          <w:p w14:paraId="4B14090F" w14:textId="77777777" w:rsidR="00A042A9" w:rsidRPr="00CA4838" w:rsidRDefault="00A042A9" w:rsidP="008A4199">
            <w:pPr>
              <w:keepNext/>
              <w:keepLines/>
              <w:spacing w:before="10" w:after="10"/>
              <w:ind w:left="107"/>
              <w:rPr>
                <w:rFonts w:ascii="Arial Narrow" w:hAnsi="Arial Narrow"/>
                <w:sz w:val="19"/>
                <w:szCs w:val="19"/>
                <w:lang w:val="en-AU" w:eastAsia="en-US"/>
              </w:rPr>
            </w:pPr>
            <w:r w:rsidRPr="008A4199">
              <w:rPr>
                <w:rFonts w:ascii="Arial Narrow" w:hAnsi="Arial Narrow"/>
                <w:iCs/>
                <w:sz w:val="19"/>
                <w:szCs w:val="19"/>
                <w:lang w:eastAsia="en-US"/>
              </w:rPr>
              <w:t>BRCA1/2</w:t>
            </w:r>
            <w:r w:rsidRPr="00CA4838">
              <w:rPr>
                <w:rFonts w:ascii="Arial Narrow" w:hAnsi="Arial Narrow"/>
                <w:sz w:val="19"/>
                <w:szCs w:val="19"/>
                <w:lang w:val="en-AU" w:eastAsia="en-US"/>
              </w:rPr>
              <w:t xml:space="preserve"> (Cohort A + B)</w:t>
            </w:r>
          </w:p>
        </w:tc>
        <w:tc>
          <w:tcPr>
            <w:tcW w:w="619" w:type="pct"/>
            <w:tcBorders>
              <w:bottom w:val="nil"/>
            </w:tcBorders>
            <w:shd w:val="clear" w:color="auto" w:fill="BDD6EE" w:themeFill="accent1" w:themeFillTint="66"/>
            <w:vAlign w:val="center"/>
          </w:tcPr>
          <w:p w14:paraId="5AAC6F12"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62/102 (60.8)</w:t>
            </w:r>
          </w:p>
        </w:tc>
        <w:tc>
          <w:tcPr>
            <w:tcW w:w="548" w:type="pct"/>
            <w:tcBorders>
              <w:bottom w:val="nil"/>
            </w:tcBorders>
            <w:shd w:val="clear" w:color="auto" w:fill="BDD6EE" w:themeFill="accent1" w:themeFillTint="66"/>
            <w:vAlign w:val="center"/>
          </w:tcPr>
          <w:p w14:paraId="242DF19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51/58 (87.9)</w:t>
            </w:r>
          </w:p>
        </w:tc>
        <w:tc>
          <w:tcPr>
            <w:tcW w:w="810" w:type="pct"/>
            <w:tcBorders>
              <w:bottom w:val="nil"/>
            </w:tcBorders>
            <w:shd w:val="clear" w:color="auto" w:fill="BDD6EE" w:themeFill="accent1" w:themeFillTint="66"/>
            <w:vAlign w:val="center"/>
          </w:tcPr>
          <w:p w14:paraId="1199DE7D" w14:textId="77777777" w:rsidR="00A042A9" w:rsidRPr="00CA4838" w:rsidRDefault="00A042A9" w:rsidP="008A4199">
            <w:pPr>
              <w:keepNext/>
              <w:keepLines/>
              <w:spacing w:before="10" w:after="10"/>
              <w:jc w:val="center"/>
              <w:rPr>
                <w:rFonts w:ascii="Arial Narrow" w:hAnsi="Arial Narrow"/>
                <w:b/>
                <w:sz w:val="19"/>
                <w:szCs w:val="19"/>
                <w:lang w:val="en-AU" w:eastAsia="en-US"/>
              </w:rPr>
            </w:pPr>
            <w:r w:rsidRPr="00CA4838">
              <w:rPr>
                <w:rFonts w:ascii="Arial Narrow" w:hAnsi="Arial Narrow"/>
                <w:b/>
                <w:sz w:val="19"/>
                <w:szCs w:val="19"/>
                <w:lang w:val="en-AU" w:eastAsia="en-US"/>
              </w:rPr>
              <w:t>0.22 (0.15, 0.32)</w:t>
            </w:r>
          </w:p>
        </w:tc>
        <w:tc>
          <w:tcPr>
            <w:tcW w:w="876" w:type="pct"/>
            <w:tcBorders>
              <w:bottom w:val="nil"/>
            </w:tcBorders>
            <w:shd w:val="clear" w:color="auto" w:fill="BDD6EE" w:themeFill="accent1" w:themeFillTint="66"/>
            <w:vAlign w:val="center"/>
          </w:tcPr>
          <w:p w14:paraId="56F91077"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9.79 (7.62, 11.</w:t>
            </w:r>
            <w:r w:rsidR="00EA4398" w:rsidRPr="00CA4838">
              <w:rPr>
                <w:rFonts w:ascii="Arial Narrow" w:hAnsi="Arial Narrow"/>
                <w:sz w:val="19"/>
                <w:szCs w:val="19"/>
                <w:lang w:val="en-AU" w:eastAsia="en-US"/>
              </w:rPr>
              <w:t>30</w:t>
            </w:r>
            <w:r w:rsidR="00EA4398" w:rsidRPr="008A4199">
              <w:rPr>
                <w:rFonts w:ascii="Arial Narrow" w:hAnsi="Arial Narrow"/>
                <w:sz w:val="19"/>
                <w:szCs w:val="19"/>
                <w:vertAlign w:val="superscript"/>
                <w:lang w:eastAsia="en-US"/>
              </w:rPr>
              <w:t>d</w:t>
            </w:r>
            <w:r w:rsidRPr="00CA4838">
              <w:rPr>
                <w:rFonts w:ascii="Arial Narrow" w:hAnsi="Arial Narrow"/>
                <w:sz w:val="19"/>
                <w:szCs w:val="19"/>
                <w:lang w:val="en-AU" w:eastAsia="en-US"/>
              </w:rPr>
              <w:t>)</w:t>
            </w:r>
          </w:p>
        </w:tc>
        <w:tc>
          <w:tcPr>
            <w:tcW w:w="819" w:type="pct"/>
            <w:tcBorders>
              <w:bottom w:val="nil"/>
            </w:tcBorders>
            <w:shd w:val="clear" w:color="auto" w:fill="BDD6EE" w:themeFill="accent1" w:themeFillTint="66"/>
            <w:vAlign w:val="center"/>
          </w:tcPr>
          <w:p w14:paraId="2BF981C5"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2.96 (1.81, 3.55)</w:t>
            </w:r>
          </w:p>
        </w:tc>
      </w:tr>
      <w:tr w:rsidR="006A64E7" w:rsidRPr="00CA4838" w14:paraId="3E0CE31E" w14:textId="77777777" w:rsidTr="005F2AD4">
        <w:trPr>
          <w:gridAfter w:val="1"/>
          <w:wAfter w:w="10" w:type="pct"/>
        </w:trPr>
        <w:tc>
          <w:tcPr>
            <w:tcW w:w="1319" w:type="pct"/>
            <w:shd w:val="clear" w:color="auto" w:fill="auto"/>
          </w:tcPr>
          <w:p w14:paraId="39DE8012" w14:textId="77777777" w:rsidR="00A042A9" w:rsidRPr="00CA4838" w:rsidRDefault="00A042A9" w:rsidP="008A4199">
            <w:pPr>
              <w:keepNext/>
              <w:keepLines/>
              <w:spacing w:before="10" w:after="10"/>
              <w:ind w:left="254"/>
              <w:rPr>
                <w:rFonts w:ascii="Arial Narrow" w:hAnsi="Arial Narrow"/>
                <w:sz w:val="19"/>
                <w:szCs w:val="19"/>
                <w:lang w:val="en-AU" w:eastAsia="en-US"/>
              </w:rPr>
            </w:pPr>
            <w:r w:rsidRPr="00CA4838">
              <w:rPr>
                <w:rFonts w:ascii="Arial Narrow" w:hAnsi="Arial Narrow"/>
                <w:sz w:val="19"/>
                <w:szCs w:val="19"/>
                <w:lang w:val="en-AU" w:eastAsia="en-US"/>
              </w:rPr>
              <w:t>Prior taxane</w:t>
            </w:r>
          </w:p>
        </w:tc>
        <w:tc>
          <w:tcPr>
            <w:tcW w:w="619" w:type="pct"/>
            <w:shd w:val="clear" w:color="auto" w:fill="auto"/>
            <w:vAlign w:val="center"/>
          </w:tcPr>
          <w:p w14:paraId="27E40E41"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48/72 (66.7)</w:t>
            </w:r>
          </w:p>
        </w:tc>
        <w:tc>
          <w:tcPr>
            <w:tcW w:w="548" w:type="pct"/>
            <w:shd w:val="clear" w:color="auto" w:fill="auto"/>
            <w:vAlign w:val="center"/>
          </w:tcPr>
          <w:p w14:paraId="730393AD"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34/35 (97.1)</w:t>
            </w:r>
          </w:p>
        </w:tc>
        <w:tc>
          <w:tcPr>
            <w:tcW w:w="810" w:type="pct"/>
            <w:shd w:val="clear" w:color="auto" w:fill="auto"/>
            <w:vAlign w:val="center"/>
          </w:tcPr>
          <w:p w14:paraId="6B45394C" w14:textId="77777777" w:rsidR="00A042A9" w:rsidRPr="00CA4838" w:rsidRDefault="00A042A9" w:rsidP="008A4199">
            <w:pPr>
              <w:keepNext/>
              <w:keepLines/>
              <w:spacing w:before="10" w:after="10"/>
              <w:jc w:val="center"/>
              <w:rPr>
                <w:rFonts w:ascii="Arial Narrow" w:hAnsi="Arial Narrow"/>
                <w:b/>
                <w:sz w:val="19"/>
                <w:szCs w:val="19"/>
                <w:lang w:val="en-AU" w:eastAsia="en-US"/>
              </w:rPr>
            </w:pPr>
            <w:r w:rsidRPr="00CA4838">
              <w:rPr>
                <w:rFonts w:ascii="Arial Narrow" w:hAnsi="Arial Narrow"/>
                <w:b/>
                <w:sz w:val="19"/>
                <w:szCs w:val="19"/>
                <w:lang w:val="en-AU" w:eastAsia="en-US"/>
              </w:rPr>
              <w:t>0.19 (0.12, 0.32)</w:t>
            </w:r>
          </w:p>
        </w:tc>
        <w:tc>
          <w:tcPr>
            <w:tcW w:w="876" w:type="pct"/>
            <w:shd w:val="clear" w:color="auto" w:fill="auto"/>
            <w:vAlign w:val="center"/>
          </w:tcPr>
          <w:p w14:paraId="59B416B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8.97 (7.36, 10.84)</w:t>
            </w:r>
          </w:p>
        </w:tc>
        <w:tc>
          <w:tcPr>
            <w:tcW w:w="819" w:type="pct"/>
            <w:shd w:val="clear" w:color="auto" w:fill="auto"/>
            <w:vAlign w:val="center"/>
          </w:tcPr>
          <w:p w14:paraId="6CD838EE"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1.91 (1.71, 3.52)</w:t>
            </w:r>
          </w:p>
        </w:tc>
      </w:tr>
      <w:tr w:rsidR="006A64E7" w:rsidRPr="00CA4838" w14:paraId="0935FB0A" w14:textId="77777777" w:rsidTr="005F2AD4">
        <w:trPr>
          <w:gridAfter w:val="1"/>
          <w:wAfter w:w="10" w:type="pct"/>
        </w:trPr>
        <w:tc>
          <w:tcPr>
            <w:tcW w:w="1319" w:type="pct"/>
            <w:shd w:val="clear" w:color="auto" w:fill="auto"/>
          </w:tcPr>
          <w:p w14:paraId="0F71DC07" w14:textId="77777777" w:rsidR="00A042A9" w:rsidRPr="00CA4838" w:rsidRDefault="00A042A9" w:rsidP="008A4199">
            <w:pPr>
              <w:keepNext/>
              <w:keepLines/>
              <w:spacing w:before="10" w:after="10"/>
              <w:ind w:left="254"/>
              <w:rPr>
                <w:rFonts w:ascii="Arial Narrow" w:hAnsi="Arial Narrow"/>
                <w:sz w:val="19"/>
                <w:szCs w:val="19"/>
                <w:lang w:val="en-AU" w:eastAsia="en-US"/>
              </w:rPr>
            </w:pPr>
            <w:r w:rsidRPr="00CA4838">
              <w:rPr>
                <w:rFonts w:ascii="Arial Narrow" w:hAnsi="Arial Narrow"/>
                <w:sz w:val="19"/>
                <w:szCs w:val="19"/>
                <w:lang w:val="en-AU" w:eastAsia="en-US"/>
              </w:rPr>
              <w:t>No prior taxane</w:t>
            </w:r>
          </w:p>
        </w:tc>
        <w:tc>
          <w:tcPr>
            <w:tcW w:w="619" w:type="pct"/>
            <w:shd w:val="clear" w:color="auto" w:fill="auto"/>
            <w:vAlign w:val="center"/>
          </w:tcPr>
          <w:p w14:paraId="1E12C220"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14/30 (46.7)</w:t>
            </w:r>
          </w:p>
        </w:tc>
        <w:tc>
          <w:tcPr>
            <w:tcW w:w="548" w:type="pct"/>
            <w:shd w:val="clear" w:color="auto" w:fill="auto"/>
            <w:vAlign w:val="center"/>
          </w:tcPr>
          <w:p w14:paraId="50AE075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17/23 (73.9)</w:t>
            </w:r>
          </w:p>
        </w:tc>
        <w:tc>
          <w:tcPr>
            <w:tcW w:w="810" w:type="pct"/>
            <w:shd w:val="clear" w:color="auto" w:fill="auto"/>
            <w:vAlign w:val="center"/>
          </w:tcPr>
          <w:p w14:paraId="3F5C538C" w14:textId="77777777" w:rsidR="00A042A9" w:rsidRPr="00CA4838" w:rsidRDefault="00A042A9" w:rsidP="008A4199">
            <w:pPr>
              <w:keepNext/>
              <w:keepLines/>
              <w:spacing w:before="10" w:after="10"/>
              <w:jc w:val="center"/>
              <w:rPr>
                <w:rFonts w:ascii="Arial Narrow" w:hAnsi="Arial Narrow"/>
                <w:b/>
                <w:sz w:val="19"/>
                <w:szCs w:val="19"/>
                <w:lang w:val="en-AU" w:eastAsia="en-US"/>
              </w:rPr>
            </w:pPr>
            <w:r w:rsidRPr="00CA4838">
              <w:rPr>
                <w:rFonts w:ascii="Arial Narrow" w:hAnsi="Arial Narrow"/>
                <w:b/>
                <w:sz w:val="19"/>
                <w:szCs w:val="19"/>
                <w:lang w:val="en-AU" w:eastAsia="en-US"/>
              </w:rPr>
              <w:t>0.17 (0.08, 0.36)</w:t>
            </w:r>
          </w:p>
        </w:tc>
        <w:tc>
          <w:tcPr>
            <w:tcW w:w="876" w:type="pct"/>
            <w:shd w:val="clear" w:color="auto" w:fill="auto"/>
            <w:vAlign w:val="center"/>
          </w:tcPr>
          <w:p w14:paraId="53FDEB83"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13.6 (7.39, NC)</w:t>
            </w:r>
          </w:p>
        </w:tc>
        <w:tc>
          <w:tcPr>
            <w:tcW w:w="819" w:type="pct"/>
            <w:shd w:val="clear" w:color="auto" w:fill="auto"/>
            <w:vAlign w:val="center"/>
          </w:tcPr>
          <w:p w14:paraId="4F40EFA2"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3.71 (1.84, 6.57)</w:t>
            </w:r>
          </w:p>
        </w:tc>
      </w:tr>
      <w:tr w:rsidR="006A64E7" w:rsidRPr="00CA4838" w14:paraId="35B1D3C2" w14:textId="77777777" w:rsidTr="005F2AD4">
        <w:trPr>
          <w:gridAfter w:val="1"/>
          <w:wAfter w:w="10" w:type="pct"/>
        </w:trPr>
        <w:tc>
          <w:tcPr>
            <w:tcW w:w="1319" w:type="pct"/>
            <w:shd w:val="clear" w:color="auto" w:fill="auto"/>
          </w:tcPr>
          <w:p w14:paraId="76EC524C" w14:textId="77777777" w:rsidR="00A042A9" w:rsidRPr="00CA4838" w:rsidRDefault="00A042A9" w:rsidP="008A4199">
            <w:pPr>
              <w:keepNext/>
              <w:keepLines/>
              <w:spacing w:before="10" w:after="10"/>
              <w:ind w:left="107"/>
              <w:rPr>
                <w:rFonts w:ascii="Arial Narrow" w:hAnsi="Arial Narrow"/>
                <w:sz w:val="19"/>
                <w:szCs w:val="19"/>
                <w:vertAlign w:val="superscript"/>
                <w:lang w:val="en-AU" w:eastAsia="en-US"/>
              </w:rPr>
            </w:pPr>
            <w:r w:rsidRPr="00CA4838">
              <w:rPr>
                <w:rFonts w:ascii="Arial Narrow" w:hAnsi="Arial Narrow"/>
                <w:sz w:val="19"/>
                <w:szCs w:val="19"/>
                <w:lang w:val="en-AU" w:eastAsia="en-US"/>
              </w:rPr>
              <w:t>BRCAwt (Cohort B</w:t>
            </w:r>
            <w:r w:rsidR="00B06518" w:rsidRPr="00CA4838">
              <w:rPr>
                <w:rFonts w:ascii="Arial Narrow" w:hAnsi="Arial Narrow"/>
                <w:sz w:val="19"/>
                <w:szCs w:val="19"/>
                <w:lang w:val="en-AU" w:eastAsia="en-US"/>
              </w:rPr>
              <w:t>)</w:t>
            </w:r>
            <w:r w:rsidR="00B06518" w:rsidRPr="008A4199">
              <w:rPr>
                <w:rFonts w:ascii="Arial Narrow" w:hAnsi="Arial Narrow"/>
                <w:sz w:val="19"/>
                <w:szCs w:val="19"/>
                <w:vertAlign w:val="superscript"/>
                <w:lang w:eastAsia="en-US"/>
              </w:rPr>
              <w:t>c</w:t>
            </w:r>
          </w:p>
        </w:tc>
        <w:tc>
          <w:tcPr>
            <w:tcW w:w="619" w:type="pct"/>
            <w:shd w:val="clear" w:color="auto" w:fill="auto"/>
            <w:vAlign w:val="center"/>
          </w:tcPr>
          <w:p w14:paraId="631E1921"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74/94 (78.7)</w:t>
            </w:r>
          </w:p>
        </w:tc>
        <w:tc>
          <w:tcPr>
            <w:tcW w:w="548" w:type="pct"/>
            <w:shd w:val="clear" w:color="auto" w:fill="auto"/>
            <w:vAlign w:val="center"/>
          </w:tcPr>
          <w:p w14:paraId="14B6FA02"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31/48 (64.6)</w:t>
            </w:r>
          </w:p>
        </w:tc>
        <w:tc>
          <w:tcPr>
            <w:tcW w:w="810" w:type="pct"/>
            <w:shd w:val="clear" w:color="auto" w:fill="auto"/>
            <w:vAlign w:val="center"/>
          </w:tcPr>
          <w:p w14:paraId="4AA1CB3C"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0.88 (0.58, 1.36)</w:t>
            </w:r>
          </w:p>
        </w:tc>
        <w:tc>
          <w:tcPr>
            <w:tcW w:w="876" w:type="pct"/>
            <w:shd w:val="clear" w:color="auto" w:fill="auto"/>
            <w:vAlign w:val="center"/>
          </w:tcPr>
          <w:p w14:paraId="3BFE9297"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4.83 (3.68, 5.52)</w:t>
            </w:r>
          </w:p>
        </w:tc>
        <w:tc>
          <w:tcPr>
            <w:tcW w:w="819" w:type="pct"/>
            <w:shd w:val="clear" w:color="auto" w:fill="auto"/>
            <w:vAlign w:val="center"/>
          </w:tcPr>
          <w:p w14:paraId="304A83DF"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3.32 (1.87, 5.39)</w:t>
            </w:r>
          </w:p>
        </w:tc>
      </w:tr>
      <w:tr w:rsidR="006A64E7" w:rsidRPr="00CA4838" w14:paraId="4546B6D8" w14:textId="77777777" w:rsidTr="005F2AD4">
        <w:trPr>
          <w:gridAfter w:val="1"/>
          <w:wAfter w:w="10" w:type="pct"/>
        </w:trPr>
        <w:tc>
          <w:tcPr>
            <w:tcW w:w="1319" w:type="pct"/>
            <w:shd w:val="clear" w:color="auto" w:fill="auto"/>
          </w:tcPr>
          <w:p w14:paraId="021599D7" w14:textId="77777777" w:rsidR="00A042A9" w:rsidRPr="00CA4838" w:rsidRDefault="00A042A9" w:rsidP="008A4199">
            <w:pPr>
              <w:keepNext/>
              <w:keepLines/>
              <w:spacing w:before="10" w:after="10"/>
              <w:ind w:left="107"/>
              <w:rPr>
                <w:rFonts w:ascii="Arial Narrow" w:hAnsi="Arial Narrow"/>
                <w:sz w:val="19"/>
                <w:szCs w:val="19"/>
                <w:lang w:val="en-AU" w:eastAsia="en-US"/>
              </w:rPr>
            </w:pPr>
            <w:r w:rsidRPr="00CA4838">
              <w:rPr>
                <w:rFonts w:ascii="Arial Narrow" w:hAnsi="Arial Narrow"/>
                <w:sz w:val="19"/>
                <w:szCs w:val="19"/>
                <w:lang w:val="en-AU" w:eastAsia="en-US"/>
              </w:rPr>
              <w:t>BRCAwt (Cohort A+B</w:t>
            </w:r>
            <w:r w:rsidR="00B06518" w:rsidRPr="00CA4838">
              <w:rPr>
                <w:rFonts w:ascii="Arial Narrow" w:hAnsi="Arial Narrow"/>
                <w:sz w:val="19"/>
                <w:szCs w:val="19"/>
                <w:lang w:val="en-AU" w:eastAsia="en-US"/>
              </w:rPr>
              <w:t>)</w:t>
            </w:r>
            <w:r w:rsidR="00B06518" w:rsidRPr="008A4199">
              <w:rPr>
                <w:rFonts w:ascii="Arial Narrow" w:hAnsi="Arial Narrow"/>
                <w:sz w:val="19"/>
                <w:szCs w:val="19"/>
                <w:vertAlign w:val="superscript"/>
                <w:lang w:eastAsia="en-US"/>
              </w:rPr>
              <w:t>c</w:t>
            </w:r>
          </w:p>
        </w:tc>
        <w:tc>
          <w:tcPr>
            <w:tcW w:w="619" w:type="pct"/>
            <w:shd w:val="clear" w:color="auto" w:fill="auto"/>
            <w:vAlign w:val="center"/>
          </w:tcPr>
          <w:p w14:paraId="11BB70D9"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NR</w:t>
            </w:r>
          </w:p>
        </w:tc>
        <w:tc>
          <w:tcPr>
            <w:tcW w:w="548" w:type="pct"/>
            <w:shd w:val="clear" w:color="auto" w:fill="auto"/>
          </w:tcPr>
          <w:p w14:paraId="5EE500F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NR</w:t>
            </w:r>
          </w:p>
        </w:tc>
        <w:tc>
          <w:tcPr>
            <w:tcW w:w="810" w:type="pct"/>
            <w:shd w:val="clear" w:color="auto" w:fill="auto"/>
          </w:tcPr>
          <w:p w14:paraId="1262BCD4"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NR</w:t>
            </w:r>
          </w:p>
        </w:tc>
        <w:tc>
          <w:tcPr>
            <w:tcW w:w="876" w:type="pct"/>
            <w:shd w:val="clear" w:color="auto" w:fill="auto"/>
          </w:tcPr>
          <w:p w14:paraId="70F2D439"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NR</w:t>
            </w:r>
          </w:p>
        </w:tc>
        <w:tc>
          <w:tcPr>
            <w:tcW w:w="819" w:type="pct"/>
            <w:shd w:val="clear" w:color="auto" w:fill="auto"/>
          </w:tcPr>
          <w:p w14:paraId="2EC48C4A"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NR</w:t>
            </w:r>
          </w:p>
        </w:tc>
      </w:tr>
      <w:tr w:rsidR="00A042A9" w:rsidRPr="00CA4838" w14:paraId="1246170F" w14:textId="77777777" w:rsidTr="005F2AD4">
        <w:tc>
          <w:tcPr>
            <w:tcW w:w="0" w:type="pct"/>
            <w:gridSpan w:val="7"/>
            <w:shd w:val="clear" w:color="auto" w:fill="BDD6EE" w:themeFill="accent1" w:themeFillTint="66"/>
            <w:vAlign w:val="center"/>
          </w:tcPr>
          <w:p w14:paraId="44E14CA4" w14:textId="77777777" w:rsidR="00A042A9" w:rsidRPr="00CA4838" w:rsidRDefault="00A042A9" w:rsidP="008A4199">
            <w:pPr>
              <w:keepNext/>
              <w:keepLines/>
              <w:spacing w:before="10" w:after="10"/>
              <w:rPr>
                <w:rFonts w:ascii="Arial Narrow" w:hAnsi="Arial Narrow"/>
                <w:b/>
                <w:sz w:val="19"/>
                <w:szCs w:val="19"/>
                <w:lang w:val="en-AU" w:eastAsia="en-US"/>
              </w:rPr>
            </w:pPr>
            <w:r w:rsidRPr="00CA4838">
              <w:rPr>
                <w:rFonts w:ascii="Arial Narrow" w:hAnsi="Arial Narrow"/>
                <w:b/>
                <w:sz w:val="19"/>
                <w:szCs w:val="19"/>
                <w:lang w:val="en-AU" w:eastAsia="en-US"/>
              </w:rPr>
              <w:t>Overall survival (OS) (final analysis, data cut off 20 March 2020)</w:t>
            </w:r>
          </w:p>
        </w:tc>
      </w:tr>
      <w:tr w:rsidR="00D147D5" w:rsidRPr="00CA4838" w14:paraId="2C3BE831" w14:textId="77777777" w:rsidTr="006A64E7">
        <w:trPr>
          <w:gridAfter w:val="1"/>
          <w:wAfter w:w="10" w:type="pct"/>
        </w:trPr>
        <w:tc>
          <w:tcPr>
            <w:tcW w:w="1319" w:type="pct"/>
            <w:tcBorders>
              <w:bottom w:val="nil"/>
            </w:tcBorders>
            <w:shd w:val="clear" w:color="auto" w:fill="BDD6EE" w:themeFill="accent1" w:themeFillTint="66"/>
          </w:tcPr>
          <w:p w14:paraId="25EF4802" w14:textId="77777777" w:rsidR="00A042A9" w:rsidRPr="00CA4838" w:rsidRDefault="00A042A9" w:rsidP="008A4199">
            <w:pPr>
              <w:keepNext/>
              <w:keepLines/>
              <w:spacing w:before="10" w:after="10"/>
              <w:rPr>
                <w:rFonts w:ascii="Arial Narrow" w:hAnsi="Arial Narrow"/>
                <w:sz w:val="19"/>
                <w:szCs w:val="19"/>
                <w:lang w:val="en-AU" w:eastAsia="en-US"/>
              </w:rPr>
            </w:pPr>
            <w:r w:rsidRPr="00CA4838">
              <w:rPr>
                <w:rFonts w:ascii="Arial Narrow" w:hAnsi="Arial Narrow"/>
                <w:sz w:val="19"/>
                <w:szCs w:val="19"/>
                <w:lang w:val="en-AU" w:eastAsia="en-US"/>
              </w:rPr>
              <w:t>Cohort A (ITT) (</w:t>
            </w:r>
            <w:r w:rsidRPr="008A4199">
              <w:rPr>
                <w:rFonts w:ascii="Arial Narrow" w:hAnsi="Arial Narrow"/>
                <w:iCs/>
                <w:sz w:val="19"/>
                <w:szCs w:val="19"/>
                <w:lang w:eastAsia="en-US"/>
              </w:rPr>
              <w:t>BRCA1/2, ATM</w:t>
            </w:r>
            <w:r w:rsidRPr="00CA4838">
              <w:rPr>
                <w:rFonts w:ascii="Arial Narrow" w:hAnsi="Arial Narrow"/>
                <w:sz w:val="19"/>
                <w:szCs w:val="19"/>
                <w:lang w:val="en-AU" w:eastAsia="en-US"/>
              </w:rPr>
              <w:t>)</w:t>
            </w:r>
          </w:p>
        </w:tc>
        <w:tc>
          <w:tcPr>
            <w:tcW w:w="619" w:type="pct"/>
            <w:tcBorders>
              <w:bottom w:val="nil"/>
            </w:tcBorders>
            <w:shd w:val="clear" w:color="auto" w:fill="BDD6EE" w:themeFill="accent1" w:themeFillTint="66"/>
            <w:vAlign w:val="center"/>
          </w:tcPr>
          <w:p w14:paraId="67AA38FC"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91/162 (56.2)</w:t>
            </w:r>
          </w:p>
        </w:tc>
        <w:tc>
          <w:tcPr>
            <w:tcW w:w="548" w:type="pct"/>
            <w:tcBorders>
              <w:bottom w:val="nil"/>
            </w:tcBorders>
            <w:shd w:val="clear" w:color="auto" w:fill="BDD6EE" w:themeFill="accent1" w:themeFillTint="66"/>
            <w:vAlign w:val="center"/>
          </w:tcPr>
          <w:p w14:paraId="08590799"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57/83 (68.7)</w:t>
            </w:r>
          </w:p>
        </w:tc>
        <w:tc>
          <w:tcPr>
            <w:tcW w:w="810" w:type="pct"/>
            <w:tcBorders>
              <w:bottom w:val="nil"/>
            </w:tcBorders>
            <w:shd w:val="clear" w:color="auto" w:fill="BDD6EE" w:themeFill="accent1" w:themeFillTint="66"/>
            <w:vAlign w:val="center"/>
          </w:tcPr>
          <w:p w14:paraId="5A85293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b/>
                <w:bCs/>
                <w:sz w:val="19"/>
                <w:szCs w:val="19"/>
                <w:lang w:val="en-AU"/>
              </w:rPr>
              <w:t>0.69 (0.50, 0.97)</w:t>
            </w:r>
          </w:p>
        </w:tc>
        <w:tc>
          <w:tcPr>
            <w:tcW w:w="876" w:type="pct"/>
            <w:tcBorders>
              <w:bottom w:val="nil"/>
            </w:tcBorders>
            <w:shd w:val="clear" w:color="auto" w:fill="BDD6EE" w:themeFill="accent1" w:themeFillTint="66"/>
            <w:vAlign w:val="center"/>
          </w:tcPr>
          <w:p w14:paraId="418AD209"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rPr>
              <w:t>19.09 (17.35, 23.43)</w:t>
            </w:r>
          </w:p>
        </w:tc>
        <w:tc>
          <w:tcPr>
            <w:tcW w:w="819" w:type="pct"/>
            <w:tcBorders>
              <w:bottom w:val="nil"/>
            </w:tcBorders>
            <w:shd w:val="clear" w:color="auto" w:fill="BDD6EE" w:themeFill="accent1" w:themeFillTint="66"/>
            <w:vAlign w:val="center"/>
          </w:tcPr>
          <w:p w14:paraId="05A87FCF"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rPr>
              <w:t>14.69 (11.93, 18.79)</w:t>
            </w:r>
          </w:p>
        </w:tc>
      </w:tr>
      <w:tr w:rsidR="00D147D5" w:rsidRPr="00CA4838" w14:paraId="79A9B3F4" w14:textId="77777777" w:rsidTr="006A64E7">
        <w:trPr>
          <w:gridAfter w:val="1"/>
          <w:wAfter w:w="10" w:type="pct"/>
        </w:trPr>
        <w:tc>
          <w:tcPr>
            <w:tcW w:w="1319" w:type="pct"/>
            <w:tcBorders>
              <w:top w:val="nil"/>
            </w:tcBorders>
            <w:shd w:val="clear" w:color="auto" w:fill="BDD6EE" w:themeFill="accent1" w:themeFillTint="66"/>
            <w:vAlign w:val="center"/>
          </w:tcPr>
          <w:p w14:paraId="114757ED" w14:textId="77777777" w:rsidR="00A042A9" w:rsidRPr="00CA4838" w:rsidRDefault="00A042A9" w:rsidP="008A4199">
            <w:pPr>
              <w:keepNext/>
              <w:keepLines/>
              <w:spacing w:before="10" w:after="10"/>
              <w:jc w:val="right"/>
              <w:rPr>
                <w:rFonts w:ascii="Arial Narrow" w:hAnsi="Arial Narrow"/>
                <w:sz w:val="19"/>
                <w:szCs w:val="19"/>
                <w:lang w:val="en-AU" w:eastAsia="en-US"/>
              </w:rPr>
            </w:pPr>
            <w:r w:rsidRPr="00CA4838">
              <w:rPr>
                <w:rFonts w:ascii="Arial Narrow" w:hAnsi="Arial Narrow"/>
                <w:sz w:val="19"/>
                <w:szCs w:val="19"/>
                <w:lang w:val="en-AU" w:eastAsia="en-US"/>
              </w:rPr>
              <w:t>-</w:t>
            </w:r>
            <w:r w:rsidR="00EA4398" w:rsidRPr="00CA4838">
              <w:rPr>
                <w:rFonts w:ascii="Arial Narrow" w:hAnsi="Arial Narrow"/>
                <w:sz w:val="19"/>
                <w:szCs w:val="19"/>
                <w:lang w:val="en-AU" w:eastAsia="en-US"/>
              </w:rPr>
              <w:t>Adjusted</w:t>
            </w:r>
            <w:r w:rsidR="00EA4398">
              <w:rPr>
                <w:rFonts w:ascii="Arial Narrow" w:hAnsi="Arial Narrow"/>
                <w:sz w:val="19"/>
                <w:szCs w:val="19"/>
                <w:vertAlign w:val="superscript"/>
                <w:lang w:val="en-AU" w:eastAsia="en-US"/>
              </w:rPr>
              <w:t>f</w:t>
            </w:r>
            <w:r w:rsidR="00EA4398" w:rsidRPr="00CA4838">
              <w:rPr>
                <w:rFonts w:ascii="Arial Narrow" w:hAnsi="Arial Narrow"/>
                <w:sz w:val="19"/>
                <w:szCs w:val="19"/>
                <w:lang w:val="en-AU" w:eastAsia="en-US"/>
              </w:rPr>
              <w:t xml:space="preserve"> </w:t>
            </w:r>
            <w:r w:rsidRPr="00CA4838">
              <w:rPr>
                <w:rFonts w:ascii="Arial Narrow" w:hAnsi="Arial Narrow"/>
                <w:sz w:val="19"/>
                <w:szCs w:val="19"/>
                <w:lang w:val="en-AU" w:eastAsia="en-US"/>
              </w:rPr>
              <w:t>for 67% switching</w:t>
            </w:r>
          </w:p>
        </w:tc>
        <w:tc>
          <w:tcPr>
            <w:tcW w:w="619" w:type="pct"/>
            <w:tcBorders>
              <w:top w:val="nil"/>
            </w:tcBorders>
            <w:shd w:val="clear" w:color="auto" w:fill="BDD6EE" w:themeFill="accent1" w:themeFillTint="66"/>
            <w:vAlign w:val="center"/>
          </w:tcPr>
          <w:p w14:paraId="7904D472"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548" w:type="pct"/>
            <w:tcBorders>
              <w:top w:val="nil"/>
            </w:tcBorders>
            <w:shd w:val="clear" w:color="auto" w:fill="BDD6EE" w:themeFill="accent1" w:themeFillTint="66"/>
            <w:vAlign w:val="center"/>
          </w:tcPr>
          <w:p w14:paraId="4956FFD7"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810" w:type="pct"/>
            <w:tcBorders>
              <w:top w:val="nil"/>
            </w:tcBorders>
            <w:shd w:val="clear" w:color="auto" w:fill="BDD6EE" w:themeFill="accent1" w:themeFillTint="66"/>
            <w:vAlign w:val="center"/>
          </w:tcPr>
          <w:p w14:paraId="29A1C0A3" w14:textId="77777777" w:rsidR="00A042A9" w:rsidRPr="00CA4838" w:rsidRDefault="00A042A9" w:rsidP="008A4199">
            <w:pPr>
              <w:keepNext/>
              <w:keepLines/>
              <w:spacing w:before="10" w:after="10"/>
              <w:jc w:val="center"/>
              <w:rPr>
                <w:rFonts w:ascii="Arial Narrow" w:hAnsi="Arial Narrow"/>
                <w:b/>
                <w:bCs/>
                <w:sz w:val="19"/>
                <w:szCs w:val="19"/>
                <w:lang w:val="en-AU"/>
              </w:rPr>
            </w:pPr>
            <w:r w:rsidRPr="00CA4838">
              <w:rPr>
                <w:rFonts w:ascii="Arial Narrow" w:hAnsi="Arial Narrow"/>
                <w:b/>
                <w:bCs/>
                <w:sz w:val="19"/>
                <w:szCs w:val="19"/>
                <w:lang w:val="en-AU"/>
              </w:rPr>
              <w:t>0.42 (0.19, 0.91)</w:t>
            </w:r>
          </w:p>
        </w:tc>
        <w:tc>
          <w:tcPr>
            <w:tcW w:w="876" w:type="pct"/>
            <w:tcBorders>
              <w:top w:val="nil"/>
            </w:tcBorders>
            <w:shd w:val="clear" w:color="auto" w:fill="BDD6EE" w:themeFill="accent1" w:themeFillTint="66"/>
            <w:vAlign w:val="center"/>
          </w:tcPr>
          <w:p w14:paraId="3D67E569" w14:textId="77777777" w:rsidR="00A042A9" w:rsidRPr="00CA4838" w:rsidRDefault="00A042A9" w:rsidP="008A4199">
            <w:pPr>
              <w:keepNext/>
              <w:keepLines/>
              <w:spacing w:before="10" w:after="10"/>
              <w:jc w:val="center"/>
              <w:rPr>
                <w:rFonts w:ascii="Arial Narrow" w:hAnsi="Arial Narrow"/>
                <w:sz w:val="19"/>
                <w:szCs w:val="19"/>
                <w:lang w:val="en-AU"/>
              </w:rPr>
            </w:pPr>
            <w:r w:rsidRPr="00CA4838">
              <w:rPr>
                <w:rFonts w:ascii="Arial Narrow" w:hAnsi="Arial Narrow"/>
                <w:sz w:val="19"/>
                <w:szCs w:val="19"/>
                <w:lang w:val="en-AU"/>
              </w:rPr>
              <w:t>-</w:t>
            </w:r>
          </w:p>
        </w:tc>
        <w:tc>
          <w:tcPr>
            <w:tcW w:w="819" w:type="pct"/>
            <w:tcBorders>
              <w:top w:val="nil"/>
            </w:tcBorders>
            <w:shd w:val="clear" w:color="auto" w:fill="BDD6EE" w:themeFill="accent1" w:themeFillTint="66"/>
            <w:vAlign w:val="center"/>
          </w:tcPr>
          <w:p w14:paraId="55D8CFD3" w14:textId="77777777" w:rsidR="00A042A9" w:rsidRPr="00CA4838" w:rsidRDefault="00A042A9" w:rsidP="008A4199">
            <w:pPr>
              <w:keepNext/>
              <w:keepLines/>
              <w:spacing w:before="10" w:after="10"/>
              <w:jc w:val="center"/>
              <w:rPr>
                <w:rFonts w:ascii="Arial Narrow" w:hAnsi="Arial Narrow"/>
                <w:sz w:val="19"/>
                <w:szCs w:val="19"/>
                <w:vertAlign w:val="superscript"/>
                <w:lang w:val="en-AU"/>
              </w:rPr>
            </w:pPr>
            <w:r w:rsidRPr="00CA4838">
              <w:rPr>
                <w:rFonts w:ascii="Arial Narrow" w:hAnsi="Arial Narrow"/>
                <w:sz w:val="19"/>
                <w:szCs w:val="19"/>
                <w:lang w:val="en-AU"/>
              </w:rPr>
              <w:t>11.73 (NR, NR)</w:t>
            </w:r>
          </w:p>
        </w:tc>
      </w:tr>
      <w:tr w:rsidR="00D147D5" w:rsidRPr="00CA4838" w14:paraId="6B46631B" w14:textId="77777777" w:rsidTr="006A64E7">
        <w:trPr>
          <w:gridAfter w:val="1"/>
          <w:wAfter w:w="10" w:type="pct"/>
        </w:trPr>
        <w:tc>
          <w:tcPr>
            <w:tcW w:w="1319" w:type="pct"/>
            <w:tcBorders>
              <w:top w:val="nil"/>
            </w:tcBorders>
            <w:shd w:val="clear" w:color="auto" w:fill="BDD6EE" w:themeFill="accent1" w:themeFillTint="66"/>
          </w:tcPr>
          <w:p w14:paraId="7E69A3D4" w14:textId="77777777" w:rsidR="00A042A9" w:rsidRPr="00CA4838" w:rsidRDefault="00A042A9" w:rsidP="008A4199">
            <w:pPr>
              <w:keepNext/>
              <w:keepLines/>
              <w:spacing w:before="10" w:after="10"/>
              <w:ind w:left="104"/>
              <w:jc w:val="left"/>
              <w:rPr>
                <w:rFonts w:ascii="Arial Narrow" w:hAnsi="Arial Narrow"/>
                <w:sz w:val="19"/>
                <w:szCs w:val="19"/>
                <w:lang w:val="en-AU" w:eastAsia="en-US"/>
              </w:rPr>
            </w:pPr>
            <w:r w:rsidRPr="00CA4838">
              <w:rPr>
                <w:rFonts w:ascii="Arial Narrow" w:hAnsi="Arial Narrow"/>
                <w:sz w:val="19"/>
                <w:szCs w:val="19"/>
                <w:lang w:val="en-AU" w:eastAsia="en-US"/>
              </w:rPr>
              <w:t>Prior taxane (Cohort A)</w:t>
            </w:r>
          </w:p>
        </w:tc>
        <w:tc>
          <w:tcPr>
            <w:tcW w:w="619" w:type="pct"/>
            <w:tcBorders>
              <w:top w:val="nil"/>
            </w:tcBorders>
            <w:shd w:val="clear" w:color="auto" w:fill="BDD6EE" w:themeFill="accent1" w:themeFillTint="66"/>
            <w:vAlign w:val="center"/>
          </w:tcPr>
          <w:p w14:paraId="35BEF68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60/106 (56.6)</w:t>
            </w:r>
          </w:p>
        </w:tc>
        <w:tc>
          <w:tcPr>
            <w:tcW w:w="548" w:type="pct"/>
            <w:tcBorders>
              <w:top w:val="nil"/>
            </w:tcBorders>
            <w:shd w:val="clear" w:color="auto" w:fill="BDD6EE" w:themeFill="accent1" w:themeFillTint="66"/>
            <w:vAlign w:val="center"/>
          </w:tcPr>
          <w:p w14:paraId="7A044BEB"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41/52 (78.8)</w:t>
            </w:r>
          </w:p>
        </w:tc>
        <w:tc>
          <w:tcPr>
            <w:tcW w:w="810" w:type="pct"/>
            <w:tcBorders>
              <w:top w:val="nil"/>
            </w:tcBorders>
            <w:shd w:val="clear" w:color="auto" w:fill="BDD6EE" w:themeFill="accent1" w:themeFillTint="66"/>
            <w:vAlign w:val="center"/>
          </w:tcPr>
          <w:p w14:paraId="11E15D07" w14:textId="77777777" w:rsidR="00A042A9" w:rsidRPr="00CA4838" w:rsidRDefault="00A042A9" w:rsidP="008A4199">
            <w:pPr>
              <w:keepNext/>
              <w:keepLines/>
              <w:spacing w:before="10" w:after="10"/>
              <w:jc w:val="center"/>
              <w:rPr>
                <w:rFonts w:ascii="Arial Narrow" w:hAnsi="Arial Narrow"/>
                <w:b/>
                <w:bCs/>
                <w:sz w:val="19"/>
                <w:szCs w:val="19"/>
                <w:lang w:val="en-AU"/>
              </w:rPr>
            </w:pPr>
            <w:r w:rsidRPr="00CA4838">
              <w:rPr>
                <w:rFonts w:ascii="Arial Narrow" w:hAnsi="Arial Narrow"/>
                <w:b/>
                <w:bCs/>
                <w:sz w:val="19"/>
                <w:szCs w:val="19"/>
                <w:lang w:val="en-AU"/>
              </w:rPr>
              <w:t>0.56 (0.38, 0.84)</w:t>
            </w:r>
          </w:p>
        </w:tc>
        <w:tc>
          <w:tcPr>
            <w:tcW w:w="876" w:type="pct"/>
            <w:tcBorders>
              <w:top w:val="nil"/>
            </w:tcBorders>
            <w:shd w:val="clear" w:color="auto" w:fill="BDD6EE" w:themeFill="accent1" w:themeFillTint="66"/>
            <w:vAlign w:val="center"/>
          </w:tcPr>
          <w:p w14:paraId="0DBA8354" w14:textId="77777777" w:rsidR="00A042A9" w:rsidRPr="00CA4838" w:rsidRDefault="00A042A9" w:rsidP="008A4199">
            <w:pPr>
              <w:keepNext/>
              <w:keepLines/>
              <w:spacing w:before="10" w:after="10"/>
              <w:jc w:val="center"/>
              <w:rPr>
                <w:rFonts w:ascii="Arial Narrow" w:hAnsi="Arial Narrow"/>
                <w:sz w:val="19"/>
                <w:szCs w:val="19"/>
                <w:lang w:val="en-AU"/>
              </w:rPr>
            </w:pPr>
            <w:r w:rsidRPr="00CA4838">
              <w:rPr>
                <w:rFonts w:ascii="Arial Narrow" w:hAnsi="Arial Narrow"/>
                <w:sz w:val="19"/>
                <w:szCs w:val="19"/>
                <w:lang w:val="en-AU"/>
              </w:rPr>
              <w:t>17.61 (15.47, 20.70)</w:t>
            </w:r>
          </w:p>
        </w:tc>
        <w:tc>
          <w:tcPr>
            <w:tcW w:w="819" w:type="pct"/>
            <w:tcBorders>
              <w:top w:val="nil"/>
            </w:tcBorders>
            <w:shd w:val="clear" w:color="auto" w:fill="BDD6EE" w:themeFill="accent1" w:themeFillTint="66"/>
            <w:vAlign w:val="center"/>
          </w:tcPr>
          <w:p w14:paraId="474CE051" w14:textId="77777777" w:rsidR="00A042A9" w:rsidRPr="00CA4838" w:rsidRDefault="00A042A9" w:rsidP="008A4199">
            <w:pPr>
              <w:keepNext/>
              <w:keepLines/>
              <w:spacing w:before="10" w:after="10"/>
              <w:jc w:val="center"/>
              <w:rPr>
                <w:rFonts w:ascii="Arial Narrow" w:hAnsi="Arial Narrow"/>
                <w:sz w:val="19"/>
                <w:szCs w:val="19"/>
                <w:lang w:val="en-AU"/>
              </w:rPr>
            </w:pPr>
            <w:r w:rsidRPr="00CA4838">
              <w:rPr>
                <w:rFonts w:ascii="Arial Narrow" w:hAnsi="Arial Narrow"/>
                <w:sz w:val="19"/>
                <w:szCs w:val="19"/>
                <w:lang w:val="en-AU"/>
              </w:rPr>
              <w:t>12.12 (9.79, 14.75)</w:t>
            </w:r>
          </w:p>
        </w:tc>
      </w:tr>
      <w:tr w:rsidR="00D147D5" w:rsidRPr="00CA4838" w14:paraId="308AE9E1" w14:textId="77777777" w:rsidTr="006A64E7">
        <w:trPr>
          <w:gridAfter w:val="1"/>
          <w:wAfter w:w="10" w:type="pct"/>
        </w:trPr>
        <w:tc>
          <w:tcPr>
            <w:tcW w:w="1319" w:type="pct"/>
            <w:tcBorders>
              <w:top w:val="nil"/>
            </w:tcBorders>
            <w:shd w:val="clear" w:color="auto" w:fill="BDD6EE" w:themeFill="accent1" w:themeFillTint="66"/>
          </w:tcPr>
          <w:p w14:paraId="0655014B" w14:textId="77777777" w:rsidR="00A042A9" w:rsidRPr="00CA4838" w:rsidRDefault="00A042A9" w:rsidP="008A4199">
            <w:pPr>
              <w:keepNext/>
              <w:keepLines/>
              <w:spacing w:before="10" w:after="10"/>
              <w:ind w:left="104"/>
              <w:jc w:val="left"/>
              <w:rPr>
                <w:rFonts w:ascii="Arial Narrow" w:hAnsi="Arial Narrow"/>
                <w:sz w:val="19"/>
                <w:szCs w:val="19"/>
                <w:lang w:val="en-AU" w:eastAsia="en-US"/>
              </w:rPr>
            </w:pPr>
            <w:r w:rsidRPr="00CA4838">
              <w:rPr>
                <w:rFonts w:ascii="Arial Narrow" w:hAnsi="Arial Narrow"/>
                <w:sz w:val="19"/>
                <w:szCs w:val="19"/>
                <w:lang w:val="en-AU" w:eastAsia="en-US"/>
              </w:rPr>
              <w:t>No Prior taxane (Cohort A)</w:t>
            </w:r>
          </w:p>
        </w:tc>
        <w:tc>
          <w:tcPr>
            <w:tcW w:w="619" w:type="pct"/>
            <w:tcBorders>
              <w:top w:val="nil"/>
            </w:tcBorders>
            <w:shd w:val="clear" w:color="auto" w:fill="BDD6EE" w:themeFill="accent1" w:themeFillTint="66"/>
            <w:vAlign w:val="center"/>
          </w:tcPr>
          <w:p w14:paraId="061F3EBD"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31/56 (55.4)</w:t>
            </w:r>
          </w:p>
        </w:tc>
        <w:tc>
          <w:tcPr>
            <w:tcW w:w="548" w:type="pct"/>
            <w:tcBorders>
              <w:top w:val="nil"/>
            </w:tcBorders>
            <w:shd w:val="clear" w:color="auto" w:fill="BDD6EE" w:themeFill="accent1" w:themeFillTint="66"/>
            <w:vAlign w:val="center"/>
          </w:tcPr>
          <w:p w14:paraId="77B69DBE"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16/31 (51.6)</w:t>
            </w:r>
          </w:p>
        </w:tc>
        <w:tc>
          <w:tcPr>
            <w:tcW w:w="810" w:type="pct"/>
            <w:tcBorders>
              <w:top w:val="nil"/>
            </w:tcBorders>
            <w:shd w:val="clear" w:color="auto" w:fill="BDD6EE" w:themeFill="accent1" w:themeFillTint="66"/>
            <w:vAlign w:val="center"/>
          </w:tcPr>
          <w:p w14:paraId="33CE6DFF" w14:textId="77777777" w:rsidR="00A042A9" w:rsidRPr="00CA4838" w:rsidRDefault="00A042A9" w:rsidP="008A4199">
            <w:pPr>
              <w:keepNext/>
              <w:keepLines/>
              <w:spacing w:before="10" w:after="10"/>
              <w:jc w:val="center"/>
              <w:rPr>
                <w:rFonts w:ascii="Arial Narrow" w:hAnsi="Arial Narrow"/>
                <w:bCs/>
                <w:sz w:val="19"/>
                <w:szCs w:val="19"/>
                <w:lang w:val="en-AU"/>
              </w:rPr>
            </w:pPr>
            <w:r w:rsidRPr="00CA4838">
              <w:rPr>
                <w:rFonts w:ascii="Arial Narrow" w:hAnsi="Arial Narrow"/>
                <w:bCs/>
                <w:sz w:val="19"/>
                <w:szCs w:val="19"/>
                <w:lang w:val="en-AU"/>
              </w:rPr>
              <w:t>1.03 (0.57, 1.92)</w:t>
            </w:r>
          </w:p>
        </w:tc>
        <w:tc>
          <w:tcPr>
            <w:tcW w:w="876" w:type="pct"/>
            <w:tcBorders>
              <w:top w:val="nil"/>
            </w:tcBorders>
            <w:shd w:val="clear" w:color="auto" w:fill="BDD6EE" w:themeFill="accent1" w:themeFillTint="66"/>
            <w:vAlign w:val="center"/>
          </w:tcPr>
          <w:p w14:paraId="115E9FBD" w14:textId="77777777" w:rsidR="00A042A9" w:rsidRPr="00CA4838" w:rsidRDefault="00A042A9" w:rsidP="008A4199">
            <w:pPr>
              <w:keepNext/>
              <w:keepLines/>
              <w:spacing w:before="10" w:after="10"/>
              <w:jc w:val="center"/>
              <w:rPr>
                <w:rFonts w:ascii="Arial Narrow" w:hAnsi="Arial Narrow"/>
                <w:sz w:val="19"/>
                <w:szCs w:val="19"/>
                <w:lang w:val="en-AU"/>
              </w:rPr>
            </w:pPr>
            <w:r w:rsidRPr="00CA4838">
              <w:rPr>
                <w:rFonts w:ascii="Arial Narrow" w:hAnsi="Arial Narrow"/>
                <w:sz w:val="19"/>
                <w:szCs w:val="19"/>
                <w:lang w:val="en-AU"/>
              </w:rPr>
              <w:t>22.64 (17.58, 25.56)</w:t>
            </w:r>
          </w:p>
        </w:tc>
        <w:tc>
          <w:tcPr>
            <w:tcW w:w="819" w:type="pct"/>
            <w:tcBorders>
              <w:top w:val="nil"/>
            </w:tcBorders>
            <w:shd w:val="clear" w:color="auto" w:fill="BDD6EE" w:themeFill="accent1" w:themeFillTint="66"/>
            <w:vAlign w:val="center"/>
          </w:tcPr>
          <w:p w14:paraId="7622CFCD" w14:textId="77777777" w:rsidR="00A042A9" w:rsidRPr="00CA4838" w:rsidRDefault="00A042A9" w:rsidP="008A4199">
            <w:pPr>
              <w:keepNext/>
              <w:keepLines/>
              <w:spacing w:before="10" w:after="10"/>
              <w:jc w:val="center"/>
              <w:rPr>
                <w:rFonts w:ascii="Arial Narrow" w:hAnsi="Arial Narrow"/>
                <w:sz w:val="19"/>
                <w:szCs w:val="19"/>
                <w:lang w:val="en-AU"/>
              </w:rPr>
            </w:pPr>
            <w:r w:rsidRPr="00CA4838">
              <w:rPr>
                <w:rFonts w:ascii="Arial Narrow" w:hAnsi="Arial Narrow"/>
                <w:sz w:val="19"/>
                <w:szCs w:val="19"/>
                <w:lang w:val="en-AU"/>
              </w:rPr>
              <w:t>19.88 (15.57, NE)</w:t>
            </w:r>
          </w:p>
        </w:tc>
      </w:tr>
      <w:tr w:rsidR="006A64E7" w:rsidRPr="00CA4838" w14:paraId="312C6F99" w14:textId="77777777" w:rsidTr="00D147D5">
        <w:trPr>
          <w:gridAfter w:val="1"/>
          <w:wAfter w:w="10" w:type="pct"/>
        </w:trPr>
        <w:tc>
          <w:tcPr>
            <w:tcW w:w="1319" w:type="pct"/>
            <w:shd w:val="clear" w:color="auto" w:fill="BDD6EE" w:themeFill="accent1" w:themeFillTint="66"/>
          </w:tcPr>
          <w:p w14:paraId="5C3B20B2" w14:textId="77777777" w:rsidR="00A042A9" w:rsidRPr="00CA4838" w:rsidRDefault="00A042A9" w:rsidP="008A4199">
            <w:pPr>
              <w:keepNext/>
              <w:keepLines/>
              <w:spacing w:before="10" w:after="10"/>
              <w:rPr>
                <w:rFonts w:ascii="Arial Narrow" w:hAnsi="Arial Narrow"/>
                <w:sz w:val="19"/>
                <w:szCs w:val="19"/>
                <w:lang w:val="en-AU" w:eastAsia="en-US"/>
              </w:rPr>
            </w:pPr>
            <w:r w:rsidRPr="00CA4838">
              <w:rPr>
                <w:rFonts w:ascii="Arial Narrow" w:hAnsi="Arial Narrow"/>
                <w:sz w:val="19"/>
                <w:szCs w:val="19"/>
                <w:lang w:val="en-AU" w:eastAsia="en-US"/>
              </w:rPr>
              <w:t>Cohort A+B</w:t>
            </w:r>
          </w:p>
        </w:tc>
        <w:tc>
          <w:tcPr>
            <w:tcW w:w="619" w:type="pct"/>
            <w:shd w:val="clear" w:color="auto" w:fill="BDD6EE" w:themeFill="accent1" w:themeFillTint="66"/>
            <w:vAlign w:val="center"/>
          </w:tcPr>
          <w:p w14:paraId="63624333"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160/256 (62.5)</w:t>
            </w:r>
          </w:p>
        </w:tc>
        <w:tc>
          <w:tcPr>
            <w:tcW w:w="548" w:type="pct"/>
            <w:shd w:val="clear" w:color="auto" w:fill="BDD6EE" w:themeFill="accent1" w:themeFillTint="66"/>
            <w:vAlign w:val="center"/>
          </w:tcPr>
          <w:p w14:paraId="4BB8E301"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88/131 (67.2)</w:t>
            </w:r>
          </w:p>
        </w:tc>
        <w:tc>
          <w:tcPr>
            <w:tcW w:w="810" w:type="pct"/>
            <w:shd w:val="clear" w:color="auto" w:fill="BDD6EE" w:themeFill="accent1" w:themeFillTint="66"/>
            <w:vAlign w:val="center"/>
          </w:tcPr>
          <w:p w14:paraId="0EE97149"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0.79 (0.61, 1.03)</w:t>
            </w:r>
          </w:p>
        </w:tc>
        <w:tc>
          <w:tcPr>
            <w:tcW w:w="876" w:type="pct"/>
            <w:shd w:val="clear" w:color="auto" w:fill="BDD6EE" w:themeFill="accent1" w:themeFillTint="66"/>
            <w:vAlign w:val="center"/>
          </w:tcPr>
          <w:p w14:paraId="2CABC1C8"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17.31 (15.47, 18.63)</w:t>
            </w:r>
          </w:p>
        </w:tc>
        <w:tc>
          <w:tcPr>
            <w:tcW w:w="819" w:type="pct"/>
            <w:shd w:val="clear" w:color="auto" w:fill="BDD6EE" w:themeFill="accent1" w:themeFillTint="66"/>
            <w:vAlign w:val="center"/>
          </w:tcPr>
          <w:p w14:paraId="5435DB57"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14.00 (11.47, 17.08)</w:t>
            </w:r>
          </w:p>
        </w:tc>
      </w:tr>
      <w:tr w:rsidR="00D147D5" w:rsidRPr="00CA4838" w14:paraId="0FCA21F7" w14:textId="77777777" w:rsidTr="006A64E7">
        <w:trPr>
          <w:gridAfter w:val="1"/>
          <w:wAfter w:w="10" w:type="pct"/>
        </w:trPr>
        <w:tc>
          <w:tcPr>
            <w:tcW w:w="1319" w:type="pct"/>
            <w:tcBorders>
              <w:bottom w:val="nil"/>
            </w:tcBorders>
            <w:shd w:val="clear" w:color="auto" w:fill="BDD6EE" w:themeFill="accent1" w:themeFillTint="66"/>
          </w:tcPr>
          <w:p w14:paraId="10C21601" w14:textId="77777777" w:rsidR="00A042A9" w:rsidRPr="00CA4838" w:rsidRDefault="00A042A9" w:rsidP="008A4199">
            <w:pPr>
              <w:keepNext/>
              <w:keepLines/>
              <w:spacing w:before="10" w:after="10"/>
              <w:ind w:left="107"/>
              <w:rPr>
                <w:rFonts w:ascii="Arial Narrow" w:hAnsi="Arial Narrow"/>
                <w:sz w:val="19"/>
                <w:szCs w:val="19"/>
                <w:lang w:val="en-AU" w:eastAsia="en-US"/>
              </w:rPr>
            </w:pPr>
            <w:r w:rsidRPr="008A4199">
              <w:rPr>
                <w:rFonts w:ascii="Arial Narrow" w:hAnsi="Arial Narrow"/>
                <w:iCs/>
                <w:sz w:val="19"/>
                <w:szCs w:val="19"/>
                <w:lang w:eastAsia="en-US"/>
              </w:rPr>
              <w:t>BRCA1/2</w:t>
            </w:r>
            <w:r w:rsidRPr="00CA4838">
              <w:rPr>
                <w:rFonts w:ascii="Arial Narrow" w:hAnsi="Arial Narrow"/>
                <w:sz w:val="19"/>
                <w:szCs w:val="19"/>
                <w:lang w:val="en-AU" w:eastAsia="en-US"/>
              </w:rPr>
              <w:t xml:space="preserve"> (Cohort A+B)</w:t>
            </w:r>
          </w:p>
        </w:tc>
        <w:tc>
          <w:tcPr>
            <w:tcW w:w="619" w:type="pct"/>
            <w:tcBorders>
              <w:bottom w:val="nil"/>
            </w:tcBorders>
            <w:shd w:val="clear" w:color="auto" w:fill="BDD6EE" w:themeFill="accent1" w:themeFillTint="66"/>
            <w:vAlign w:val="center"/>
          </w:tcPr>
          <w:p w14:paraId="00D2DA8A" w14:textId="77777777" w:rsidR="00A042A9" w:rsidRPr="00CA4838" w:rsidRDefault="00A042A9" w:rsidP="008A4199">
            <w:pPr>
              <w:keepNext/>
              <w:keepLines/>
              <w:spacing w:before="10" w:after="10"/>
              <w:jc w:val="center"/>
              <w:rPr>
                <w:rFonts w:ascii="Arial Narrow" w:hAnsi="Arial Narrow"/>
                <w:sz w:val="19"/>
                <w:szCs w:val="19"/>
                <w:vertAlign w:val="superscript"/>
                <w:lang w:val="en-AU" w:eastAsia="en-US"/>
              </w:rPr>
            </w:pPr>
            <w:r w:rsidRPr="00CA4838">
              <w:rPr>
                <w:rFonts w:ascii="Arial Narrow" w:hAnsi="Arial Narrow"/>
                <w:sz w:val="19"/>
                <w:szCs w:val="19"/>
                <w:lang w:val="en-AU" w:eastAsia="en-US"/>
              </w:rPr>
              <w:t>53/102 (52.0)</w:t>
            </w:r>
            <w:r w:rsidR="00EA4398">
              <w:rPr>
                <w:rFonts w:ascii="Arial Narrow" w:hAnsi="Arial Narrow"/>
                <w:sz w:val="19"/>
                <w:szCs w:val="19"/>
                <w:vertAlign w:val="superscript"/>
                <w:lang w:val="en-AU" w:eastAsia="en-US"/>
              </w:rPr>
              <w:t>e</w:t>
            </w:r>
          </w:p>
        </w:tc>
        <w:tc>
          <w:tcPr>
            <w:tcW w:w="548" w:type="pct"/>
            <w:tcBorders>
              <w:bottom w:val="nil"/>
            </w:tcBorders>
            <w:shd w:val="clear" w:color="auto" w:fill="BDD6EE" w:themeFill="accent1" w:themeFillTint="66"/>
            <w:vAlign w:val="center"/>
          </w:tcPr>
          <w:p w14:paraId="3416A01F" w14:textId="77777777" w:rsidR="00A042A9" w:rsidRPr="00CA4838" w:rsidRDefault="00A042A9" w:rsidP="008A4199">
            <w:pPr>
              <w:keepNext/>
              <w:keepLines/>
              <w:spacing w:before="10" w:after="10"/>
              <w:jc w:val="center"/>
              <w:rPr>
                <w:rFonts w:ascii="Arial Narrow" w:hAnsi="Arial Narrow"/>
                <w:sz w:val="19"/>
                <w:szCs w:val="19"/>
                <w:vertAlign w:val="superscript"/>
                <w:lang w:val="en-AU" w:eastAsia="en-US"/>
              </w:rPr>
            </w:pPr>
            <w:r w:rsidRPr="00CA4838">
              <w:rPr>
                <w:rFonts w:ascii="Arial Narrow" w:hAnsi="Arial Narrow"/>
                <w:sz w:val="19"/>
                <w:szCs w:val="19"/>
                <w:lang w:val="en-AU" w:eastAsia="en-US"/>
              </w:rPr>
              <w:t>41/58 (70.7)</w:t>
            </w:r>
            <w:r w:rsidR="00EA4398">
              <w:rPr>
                <w:rFonts w:ascii="Arial Narrow" w:hAnsi="Arial Narrow"/>
                <w:sz w:val="19"/>
                <w:szCs w:val="19"/>
                <w:vertAlign w:val="superscript"/>
                <w:lang w:val="en-AU" w:eastAsia="en-US"/>
              </w:rPr>
              <w:t>e</w:t>
            </w:r>
          </w:p>
        </w:tc>
        <w:tc>
          <w:tcPr>
            <w:tcW w:w="810" w:type="pct"/>
            <w:tcBorders>
              <w:bottom w:val="nil"/>
            </w:tcBorders>
            <w:shd w:val="clear" w:color="auto" w:fill="BDD6EE" w:themeFill="accent1" w:themeFillTint="66"/>
            <w:vAlign w:val="center"/>
          </w:tcPr>
          <w:p w14:paraId="6309A3BF"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eastAsia="TimesNewRoman" w:hAnsi="Arial Narrow" w:cs="Arial"/>
                <w:b/>
                <w:sz w:val="19"/>
                <w:szCs w:val="19"/>
                <w:lang w:val="en-AU"/>
              </w:rPr>
              <w:t>0.63 (0.42, 0.95)</w:t>
            </w:r>
          </w:p>
        </w:tc>
        <w:tc>
          <w:tcPr>
            <w:tcW w:w="876" w:type="pct"/>
            <w:tcBorders>
              <w:bottom w:val="nil"/>
            </w:tcBorders>
            <w:shd w:val="clear" w:color="auto" w:fill="BDD6EE" w:themeFill="accent1" w:themeFillTint="66"/>
            <w:vAlign w:val="center"/>
          </w:tcPr>
          <w:p w14:paraId="03DBBD9B"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20.11 (17.35, 26.81)</w:t>
            </w:r>
          </w:p>
        </w:tc>
        <w:tc>
          <w:tcPr>
            <w:tcW w:w="819" w:type="pct"/>
            <w:tcBorders>
              <w:bottom w:val="nil"/>
            </w:tcBorders>
            <w:shd w:val="clear" w:color="auto" w:fill="BDD6EE" w:themeFill="accent1" w:themeFillTint="66"/>
            <w:vAlign w:val="center"/>
          </w:tcPr>
          <w:p w14:paraId="20058B9F"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14.44 (10.71, 18.89)</w:t>
            </w:r>
          </w:p>
        </w:tc>
      </w:tr>
      <w:tr w:rsidR="00D147D5" w:rsidRPr="00CA4838" w14:paraId="5D9770F5" w14:textId="77777777" w:rsidTr="006A64E7">
        <w:trPr>
          <w:gridAfter w:val="1"/>
          <w:wAfter w:w="10" w:type="pct"/>
        </w:trPr>
        <w:tc>
          <w:tcPr>
            <w:tcW w:w="1319" w:type="pct"/>
            <w:tcBorders>
              <w:top w:val="nil"/>
              <w:bottom w:val="nil"/>
            </w:tcBorders>
            <w:shd w:val="clear" w:color="auto" w:fill="BDD6EE" w:themeFill="accent1" w:themeFillTint="66"/>
          </w:tcPr>
          <w:p w14:paraId="5885B3FB" w14:textId="77777777" w:rsidR="00A042A9" w:rsidRPr="00CA4838" w:rsidRDefault="00A042A9" w:rsidP="008A4199">
            <w:pPr>
              <w:keepNext/>
              <w:keepLines/>
              <w:spacing w:before="10" w:after="10"/>
              <w:jc w:val="right"/>
              <w:rPr>
                <w:rFonts w:ascii="Arial Narrow" w:hAnsi="Arial Narrow"/>
                <w:sz w:val="19"/>
                <w:szCs w:val="19"/>
                <w:lang w:val="en-AU" w:eastAsia="en-US"/>
              </w:rPr>
            </w:pPr>
            <w:r w:rsidRPr="00CA4838">
              <w:rPr>
                <w:rFonts w:ascii="Arial Narrow" w:hAnsi="Arial Narrow"/>
                <w:sz w:val="19"/>
                <w:szCs w:val="19"/>
                <w:lang w:val="en-AU" w:eastAsia="en-US"/>
              </w:rPr>
              <w:t>-</w:t>
            </w:r>
            <w:r w:rsidR="00EA4398" w:rsidRPr="00CA4838">
              <w:rPr>
                <w:rFonts w:ascii="Arial Narrow" w:hAnsi="Arial Narrow"/>
                <w:sz w:val="19"/>
                <w:szCs w:val="19"/>
                <w:lang w:val="en-AU" w:eastAsia="en-US"/>
              </w:rPr>
              <w:t>Adjusted</w:t>
            </w:r>
            <w:r w:rsidR="00EA4398">
              <w:rPr>
                <w:rFonts w:ascii="Arial Narrow" w:hAnsi="Arial Narrow"/>
                <w:sz w:val="19"/>
                <w:szCs w:val="19"/>
                <w:vertAlign w:val="superscript"/>
                <w:lang w:val="en-AU" w:eastAsia="en-US"/>
              </w:rPr>
              <w:t>f</w:t>
            </w:r>
            <w:r w:rsidR="00EA4398" w:rsidRPr="00CA4838">
              <w:rPr>
                <w:rFonts w:ascii="Arial Narrow" w:hAnsi="Arial Narrow"/>
                <w:sz w:val="19"/>
                <w:szCs w:val="19"/>
                <w:lang w:val="en-AU" w:eastAsia="en-US"/>
              </w:rPr>
              <w:t xml:space="preserve"> </w:t>
            </w:r>
            <w:r w:rsidRPr="00CA4838">
              <w:rPr>
                <w:rFonts w:ascii="Arial Narrow" w:hAnsi="Arial Narrow"/>
                <w:sz w:val="19"/>
                <w:szCs w:val="19"/>
                <w:lang w:val="en-AU" w:eastAsia="en-US"/>
              </w:rPr>
              <w:t>for 69% switching</w:t>
            </w:r>
          </w:p>
        </w:tc>
        <w:tc>
          <w:tcPr>
            <w:tcW w:w="619" w:type="pct"/>
            <w:tcBorders>
              <w:top w:val="nil"/>
              <w:bottom w:val="nil"/>
            </w:tcBorders>
            <w:shd w:val="clear" w:color="auto" w:fill="BDD6EE" w:themeFill="accent1" w:themeFillTint="66"/>
            <w:vAlign w:val="center"/>
          </w:tcPr>
          <w:p w14:paraId="1C568751"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548" w:type="pct"/>
            <w:tcBorders>
              <w:top w:val="nil"/>
              <w:bottom w:val="nil"/>
            </w:tcBorders>
            <w:shd w:val="clear" w:color="auto" w:fill="BDD6EE" w:themeFill="accent1" w:themeFillTint="66"/>
            <w:vAlign w:val="center"/>
          </w:tcPr>
          <w:p w14:paraId="3E91EDD1"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810" w:type="pct"/>
            <w:tcBorders>
              <w:top w:val="nil"/>
              <w:bottom w:val="nil"/>
            </w:tcBorders>
            <w:shd w:val="clear" w:color="auto" w:fill="BDD6EE" w:themeFill="accent1" w:themeFillTint="66"/>
            <w:vAlign w:val="center"/>
          </w:tcPr>
          <w:p w14:paraId="7F5D3806" w14:textId="77777777" w:rsidR="00A042A9" w:rsidRPr="00CA4838" w:rsidRDefault="00A042A9" w:rsidP="008A4199">
            <w:pPr>
              <w:keepNext/>
              <w:keepLines/>
              <w:spacing w:before="10" w:after="10"/>
              <w:jc w:val="center"/>
              <w:rPr>
                <w:rFonts w:ascii="Arial Narrow" w:eastAsia="TimesNewRoman" w:hAnsi="Arial Narrow" w:cs="Arial"/>
                <w:b/>
                <w:sz w:val="19"/>
                <w:szCs w:val="19"/>
                <w:lang w:val="en-AU"/>
              </w:rPr>
            </w:pPr>
            <w:r w:rsidRPr="00CA4838">
              <w:rPr>
                <w:rFonts w:ascii="Arial Narrow" w:eastAsia="TimesNewRoman" w:hAnsi="Arial Narrow" w:cs="Arial"/>
                <w:b/>
                <w:sz w:val="19"/>
                <w:szCs w:val="19"/>
                <w:lang w:val="en-AU"/>
              </w:rPr>
              <w:t>0.28 (0.10, 0.79)</w:t>
            </w:r>
          </w:p>
        </w:tc>
        <w:tc>
          <w:tcPr>
            <w:tcW w:w="876" w:type="pct"/>
            <w:tcBorders>
              <w:top w:val="nil"/>
              <w:bottom w:val="nil"/>
            </w:tcBorders>
            <w:shd w:val="clear" w:color="auto" w:fill="BDD6EE" w:themeFill="accent1" w:themeFillTint="66"/>
            <w:vAlign w:val="center"/>
          </w:tcPr>
          <w:p w14:paraId="363B3ADC"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819" w:type="pct"/>
            <w:tcBorders>
              <w:top w:val="nil"/>
              <w:bottom w:val="nil"/>
            </w:tcBorders>
            <w:shd w:val="clear" w:color="auto" w:fill="BDD6EE" w:themeFill="accent1" w:themeFillTint="66"/>
            <w:vAlign w:val="center"/>
          </w:tcPr>
          <w:p w14:paraId="194DED5B"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r>
      <w:tr w:rsidR="006A64E7" w:rsidRPr="00CA4838" w14:paraId="0A718731" w14:textId="77777777" w:rsidTr="00D147D5">
        <w:trPr>
          <w:gridAfter w:val="1"/>
          <w:wAfter w:w="10" w:type="pct"/>
        </w:trPr>
        <w:tc>
          <w:tcPr>
            <w:tcW w:w="1319" w:type="pct"/>
            <w:tcBorders>
              <w:bottom w:val="nil"/>
            </w:tcBorders>
            <w:shd w:val="clear" w:color="auto" w:fill="auto"/>
          </w:tcPr>
          <w:p w14:paraId="15D549FD" w14:textId="77777777" w:rsidR="00A042A9" w:rsidRPr="00CA4838" w:rsidRDefault="00A042A9" w:rsidP="008A4199">
            <w:pPr>
              <w:keepNext/>
              <w:keepLines/>
              <w:spacing w:before="10" w:after="10"/>
              <w:ind w:left="254"/>
              <w:rPr>
                <w:rFonts w:ascii="Arial Narrow" w:hAnsi="Arial Narrow"/>
                <w:sz w:val="19"/>
                <w:szCs w:val="19"/>
                <w:lang w:val="en-AU" w:eastAsia="en-US"/>
              </w:rPr>
            </w:pPr>
            <w:r w:rsidRPr="00CA4838">
              <w:rPr>
                <w:rFonts w:ascii="Arial Narrow" w:hAnsi="Arial Narrow"/>
                <w:sz w:val="19"/>
                <w:szCs w:val="19"/>
                <w:lang w:val="en-AU" w:eastAsia="en-US"/>
              </w:rPr>
              <w:t>Prior taxane</w:t>
            </w:r>
          </w:p>
        </w:tc>
        <w:tc>
          <w:tcPr>
            <w:tcW w:w="619" w:type="pct"/>
            <w:tcBorders>
              <w:bottom w:val="nil"/>
            </w:tcBorders>
            <w:shd w:val="clear" w:color="auto" w:fill="auto"/>
            <w:vAlign w:val="center"/>
          </w:tcPr>
          <w:p w14:paraId="3284205D"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41/72 (56.9)</w:t>
            </w:r>
          </w:p>
        </w:tc>
        <w:tc>
          <w:tcPr>
            <w:tcW w:w="548" w:type="pct"/>
            <w:tcBorders>
              <w:bottom w:val="nil"/>
            </w:tcBorders>
            <w:shd w:val="clear" w:color="auto" w:fill="auto"/>
            <w:vAlign w:val="center"/>
          </w:tcPr>
          <w:p w14:paraId="11DA6522"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27/35 (77.1)</w:t>
            </w:r>
          </w:p>
        </w:tc>
        <w:tc>
          <w:tcPr>
            <w:tcW w:w="810" w:type="pct"/>
            <w:tcBorders>
              <w:bottom w:val="nil"/>
            </w:tcBorders>
            <w:shd w:val="clear" w:color="auto" w:fill="auto"/>
            <w:vAlign w:val="center"/>
          </w:tcPr>
          <w:p w14:paraId="0266788F" w14:textId="77777777" w:rsidR="00A042A9" w:rsidRPr="00CA4838" w:rsidRDefault="00A042A9" w:rsidP="008A4199">
            <w:pPr>
              <w:keepNext/>
              <w:keepLines/>
              <w:spacing w:before="10" w:after="10"/>
              <w:jc w:val="center"/>
              <w:rPr>
                <w:rFonts w:ascii="Arial Narrow" w:eastAsia="TimesNewRoman" w:hAnsi="Arial Narrow" w:cs="Arial"/>
                <w:sz w:val="19"/>
                <w:szCs w:val="19"/>
                <w:lang w:val="en-AU"/>
              </w:rPr>
            </w:pPr>
            <w:r w:rsidRPr="00CA4838">
              <w:rPr>
                <w:rFonts w:ascii="Arial Narrow" w:eastAsia="TimesNewRoman" w:hAnsi="Arial Narrow" w:cs="Arial"/>
                <w:sz w:val="19"/>
                <w:szCs w:val="19"/>
                <w:lang w:val="en-AU"/>
              </w:rPr>
              <w:t>0.63 (0.39, 1.04)</w:t>
            </w:r>
          </w:p>
        </w:tc>
        <w:tc>
          <w:tcPr>
            <w:tcW w:w="876" w:type="pct"/>
            <w:tcBorders>
              <w:bottom w:val="nil"/>
            </w:tcBorders>
            <w:shd w:val="clear" w:color="auto" w:fill="auto"/>
            <w:vAlign w:val="center"/>
          </w:tcPr>
          <w:p w14:paraId="302BCA0F"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17.45 (13.01, 25.30)</w:t>
            </w:r>
          </w:p>
        </w:tc>
        <w:tc>
          <w:tcPr>
            <w:tcW w:w="819" w:type="pct"/>
            <w:tcBorders>
              <w:bottom w:val="nil"/>
            </w:tcBorders>
            <w:shd w:val="clear" w:color="auto" w:fill="auto"/>
            <w:vAlign w:val="center"/>
          </w:tcPr>
          <w:p w14:paraId="1AF37F90"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eastAsia="TimesNewRoman" w:hAnsi="Arial Narrow" w:cs="Arial"/>
                <w:sz w:val="19"/>
                <w:szCs w:val="19"/>
                <w:lang w:val="en-AU"/>
              </w:rPr>
              <w:t>11.93 (8.21, 15.15)</w:t>
            </w:r>
          </w:p>
        </w:tc>
      </w:tr>
      <w:tr w:rsidR="006A64E7" w:rsidRPr="00CA4838" w14:paraId="146747D6" w14:textId="77777777" w:rsidTr="00D147D5">
        <w:trPr>
          <w:gridAfter w:val="1"/>
          <w:wAfter w:w="10" w:type="pct"/>
        </w:trPr>
        <w:tc>
          <w:tcPr>
            <w:tcW w:w="1319" w:type="pct"/>
            <w:tcBorders>
              <w:top w:val="nil"/>
              <w:bottom w:val="nil"/>
            </w:tcBorders>
            <w:shd w:val="clear" w:color="auto" w:fill="auto"/>
          </w:tcPr>
          <w:p w14:paraId="405C080A" w14:textId="77777777" w:rsidR="00A042A9" w:rsidRPr="00CA4838" w:rsidRDefault="00A042A9" w:rsidP="008A4199">
            <w:pPr>
              <w:keepNext/>
              <w:keepLines/>
              <w:spacing w:before="10" w:after="10"/>
              <w:ind w:left="396"/>
              <w:rPr>
                <w:rFonts w:ascii="Arial Narrow" w:hAnsi="Arial Narrow"/>
                <w:sz w:val="19"/>
                <w:szCs w:val="19"/>
                <w:lang w:val="en-AU" w:eastAsia="en-US"/>
              </w:rPr>
            </w:pPr>
            <w:r w:rsidRPr="00CA4838">
              <w:rPr>
                <w:rFonts w:ascii="Arial Narrow" w:hAnsi="Arial Narrow"/>
                <w:sz w:val="19"/>
                <w:szCs w:val="19"/>
                <w:lang w:val="en-AU" w:eastAsia="en-US"/>
              </w:rPr>
              <w:t>-</w:t>
            </w:r>
            <w:r w:rsidR="00EA4398" w:rsidRPr="00CA4838">
              <w:rPr>
                <w:rFonts w:ascii="Arial Narrow" w:hAnsi="Arial Narrow"/>
                <w:sz w:val="19"/>
                <w:szCs w:val="19"/>
                <w:lang w:val="en-AU" w:eastAsia="en-US"/>
              </w:rPr>
              <w:t>Adjusted</w:t>
            </w:r>
            <w:r w:rsidR="00EA4398">
              <w:rPr>
                <w:rFonts w:ascii="Arial Narrow" w:hAnsi="Arial Narrow"/>
                <w:sz w:val="19"/>
                <w:szCs w:val="19"/>
                <w:vertAlign w:val="superscript"/>
                <w:lang w:val="en-AU" w:eastAsia="en-US"/>
              </w:rPr>
              <w:t>f</w:t>
            </w:r>
            <w:r w:rsidR="00EA4398" w:rsidRPr="00CA4838">
              <w:rPr>
                <w:rFonts w:ascii="Arial Narrow" w:hAnsi="Arial Narrow"/>
                <w:sz w:val="19"/>
                <w:szCs w:val="19"/>
                <w:vertAlign w:val="superscript"/>
                <w:lang w:val="en-AU" w:eastAsia="en-US"/>
              </w:rPr>
              <w:t xml:space="preserve"> </w:t>
            </w:r>
            <w:r w:rsidRPr="00CA4838">
              <w:rPr>
                <w:rFonts w:ascii="Arial Narrow" w:hAnsi="Arial Narrow"/>
                <w:sz w:val="19"/>
                <w:szCs w:val="19"/>
                <w:lang w:val="en-AU" w:eastAsia="en-US"/>
              </w:rPr>
              <w:t>for switching</w:t>
            </w:r>
          </w:p>
        </w:tc>
        <w:tc>
          <w:tcPr>
            <w:tcW w:w="619" w:type="pct"/>
            <w:tcBorders>
              <w:top w:val="nil"/>
              <w:bottom w:val="nil"/>
            </w:tcBorders>
            <w:shd w:val="clear" w:color="auto" w:fill="auto"/>
            <w:vAlign w:val="center"/>
          </w:tcPr>
          <w:p w14:paraId="25AD4C0A"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548" w:type="pct"/>
            <w:tcBorders>
              <w:top w:val="nil"/>
              <w:bottom w:val="nil"/>
            </w:tcBorders>
            <w:shd w:val="clear" w:color="auto" w:fill="auto"/>
            <w:vAlign w:val="center"/>
          </w:tcPr>
          <w:p w14:paraId="044ADE6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810" w:type="pct"/>
            <w:tcBorders>
              <w:top w:val="nil"/>
              <w:bottom w:val="nil"/>
            </w:tcBorders>
            <w:shd w:val="clear" w:color="auto" w:fill="auto"/>
            <w:vAlign w:val="center"/>
          </w:tcPr>
          <w:p w14:paraId="47429C76" w14:textId="77777777" w:rsidR="00A042A9" w:rsidRPr="00CA4838" w:rsidRDefault="00A042A9" w:rsidP="008A4199">
            <w:pPr>
              <w:keepNext/>
              <w:keepLines/>
              <w:spacing w:before="10" w:after="10"/>
              <w:jc w:val="center"/>
              <w:rPr>
                <w:rFonts w:ascii="Arial Narrow" w:eastAsia="TimesNewRoman" w:hAnsi="Arial Narrow" w:cs="Arial"/>
                <w:sz w:val="19"/>
                <w:szCs w:val="19"/>
                <w:vertAlign w:val="superscript"/>
                <w:lang w:val="en-AU"/>
              </w:rPr>
            </w:pPr>
            <w:r w:rsidRPr="00CA4838">
              <w:rPr>
                <w:rFonts w:ascii="Arial Narrow" w:eastAsia="TimesNewRoman" w:hAnsi="Arial Narrow" w:cs="Arial"/>
                <w:sz w:val="19"/>
                <w:szCs w:val="19"/>
                <w:lang w:val="en-AU"/>
              </w:rPr>
              <w:t>0.30 (0.08, 1.08)</w:t>
            </w:r>
            <w:r w:rsidRPr="00CA4838">
              <w:rPr>
                <w:rFonts w:ascii="Arial Narrow" w:eastAsia="TimesNewRoman" w:hAnsi="Arial Narrow" w:cs="Arial"/>
                <w:sz w:val="19"/>
                <w:szCs w:val="19"/>
                <w:vertAlign w:val="superscript"/>
                <w:lang w:val="en-AU"/>
              </w:rPr>
              <w:t>e</w:t>
            </w:r>
          </w:p>
        </w:tc>
        <w:tc>
          <w:tcPr>
            <w:tcW w:w="876" w:type="pct"/>
            <w:tcBorders>
              <w:top w:val="nil"/>
              <w:bottom w:val="nil"/>
            </w:tcBorders>
            <w:shd w:val="clear" w:color="auto" w:fill="auto"/>
            <w:vAlign w:val="center"/>
          </w:tcPr>
          <w:p w14:paraId="6179378D"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819" w:type="pct"/>
            <w:tcBorders>
              <w:top w:val="nil"/>
              <w:bottom w:val="nil"/>
            </w:tcBorders>
            <w:shd w:val="clear" w:color="auto" w:fill="auto"/>
            <w:vAlign w:val="center"/>
          </w:tcPr>
          <w:p w14:paraId="02551084" w14:textId="77777777" w:rsidR="00A042A9" w:rsidRPr="00CA4838" w:rsidRDefault="00A042A9" w:rsidP="008A4199">
            <w:pPr>
              <w:keepNext/>
              <w:keepLines/>
              <w:spacing w:before="10" w:after="10"/>
              <w:jc w:val="center"/>
              <w:rPr>
                <w:rFonts w:ascii="Arial Narrow" w:eastAsia="TimesNewRoman" w:hAnsi="Arial Narrow" w:cs="Arial"/>
                <w:sz w:val="19"/>
                <w:szCs w:val="19"/>
                <w:lang w:val="en-AU"/>
              </w:rPr>
            </w:pPr>
            <w:r w:rsidRPr="00CA4838">
              <w:rPr>
                <w:rFonts w:ascii="Arial Narrow" w:eastAsia="TimesNewRoman" w:hAnsi="Arial Narrow" w:cs="Arial"/>
                <w:sz w:val="19"/>
                <w:szCs w:val="19"/>
                <w:lang w:val="en-AU"/>
              </w:rPr>
              <w:t>8-9</w:t>
            </w:r>
          </w:p>
        </w:tc>
      </w:tr>
      <w:tr w:rsidR="006A64E7" w:rsidRPr="00CA4838" w14:paraId="7B621F65" w14:textId="77777777" w:rsidTr="00D147D5">
        <w:trPr>
          <w:gridAfter w:val="1"/>
          <w:wAfter w:w="10" w:type="pct"/>
        </w:trPr>
        <w:tc>
          <w:tcPr>
            <w:tcW w:w="1319" w:type="pct"/>
            <w:tcBorders>
              <w:bottom w:val="nil"/>
            </w:tcBorders>
            <w:shd w:val="clear" w:color="auto" w:fill="auto"/>
          </w:tcPr>
          <w:p w14:paraId="593B92D7" w14:textId="77777777" w:rsidR="00A042A9" w:rsidRPr="00CA4838" w:rsidRDefault="00A042A9" w:rsidP="008A4199">
            <w:pPr>
              <w:keepNext/>
              <w:keepLines/>
              <w:spacing w:before="10" w:after="10"/>
              <w:ind w:left="254"/>
              <w:rPr>
                <w:rFonts w:ascii="Arial Narrow" w:hAnsi="Arial Narrow"/>
                <w:sz w:val="19"/>
                <w:szCs w:val="19"/>
                <w:lang w:val="en-AU" w:eastAsia="en-US"/>
              </w:rPr>
            </w:pPr>
            <w:r w:rsidRPr="00CA4838">
              <w:rPr>
                <w:rFonts w:ascii="Arial Narrow" w:hAnsi="Arial Narrow"/>
                <w:sz w:val="19"/>
                <w:szCs w:val="19"/>
                <w:lang w:val="en-AU" w:eastAsia="en-US"/>
              </w:rPr>
              <w:t>No prior taxane</w:t>
            </w:r>
          </w:p>
        </w:tc>
        <w:tc>
          <w:tcPr>
            <w:tcW w:w="619" w:type="pct"/>
            <w:tcBorders>
              <w:bottom w:val="nil"/>
            </w:tcBorders>
            <w:shd w:val="clear" w:color="auto" w:fill="auto"/>
            <w:vAlign w:val="center"/>
          </w:tcPr>
          <w:p w14:paraId="5D7D387E"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12/30 (40.0)</w:t>
            </w:r>
          </w:p>
        </w:tc>
        <w:tc>
          <w:tcPr>
            <w:tcW w:w="548" w:type="pct"/>
            <w:tcBorders>
              <w:bottom w:val="nil"/>
            </w:tcBorders>
            <w:shd w:val="clear" w:color="auto" w:fill="auto"/>
            <w:vAlign w:val="center"/>
          </w:tcPr>
          <w:p w14:paraId="27ED1351"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14/23 (60.9)</w:t>
            </w:r>
          </w:p>
        </w:tc>
        <w:tc>
          <w:tcPr>
            <w:tcW w:w="810" w:type="pct"/>
            <w:tcBorders>
              <w:bottom w:val="nil"/>
            </w:tcBorders>
            <w:shd w:val="clear" w:color="auto" w:fill="auto"/>
            <w:vAlign w:val="center"/>
          </w:tcPr>
          <w:p w14:paraId="4D0AC039" w14:textId="77777777" w:rsidR="00A042A9" w:rsidRPr="00CA4838" w:rsidRDefault="00A042A9" w:rsidP="008A4199">
            <w:pPr>
              <w:keepNext/>
              <w:keepLines/>
              <w:spacing w:before="10" w:after="10"/>
              <w:jc w:val="center"/>
              <w:rPr>
                <w:rFonts w:ascii="Arial Narrow" w:eastAsia="TimesNewRoman" w:hAnsi="Arial Narrow" w:cs="Arial"/>
                <w:sz w:val="19"/>
                <w:szCs w:val="19"/>
                <w:lang w:val="en-AU"/>
              </w:rPr>
            </w:pPr>
            <w:r w:rsidRPr="00CA4838">
              <w:rPr>
                <w:rFonts w:ascii="Arial Narrow" w:eastAsia="TimesNewRoman" w:hAnsi="Arial Narrow" w:cs="Arial"/>
                <w:sz w:val="19"/>
                <w:szCs w:val="19"/>
                <w:lang w:val="en-AU"/>
              </w:rPr>
              <w:t>0.51 (0.23, NR</w:t>
            </w:r>
            <w:r w:rsidRPr="00CA4838">
              <w:rPr>
                <w:rFonts w:ascii="Arial Narrow" w:eastAsia="TimesNewRoman" w:hAnsi="Arial Narrow" w:cs="Arial"/>
                <w:sz w:val="19"/>
                <w:szCs w:val="19"/>
                <w:vertAlign w:val="superscript"/>
                <w:lang w:val="en-AU"/>
              </w:rPr>
              <w:t>d</w:t>
            </w:r>
            <w:r w:rsidRPr="00CA4838">
              <w:rPr>
                <w:rFonts w:ascii="Arial Narrow" w:eastAsia="TimesNewRoman" w:hAnsi="Arial Narrow" w:cs="Arial"/>
                <w:sz w:val="19"/>
                <w:szCs w:val="19"/>
                <w:lang w:val="en-AU"/>
              </w:rPr>
              <w:t>)</w:t>
            </w:r>
          </w:p>
        </w:tc>
        <w:tc>
          <w:tcPr>
            <w:tcW w:w="876" w:type="pct"/>
            <w:tcBorders>
              <w:bottom w:val="nil"/>
            </w:tcBorders>
            <w:shd w:val="clear" w:color="auto" w:fill="auto"/>
            <w:vAlign w:val="center"/>
          </w:tcPr>
          <w:p w14:paraId="307D3495"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NE (NE, NE)</w:t>
            </w:r>
          </w:p>
        </w:tc>
        <w:tc>
          <w:tcPr>
            <w:tcW w:w="819" w:type="pct"/>
            <w:tcBorders>
              <w:bottom w:val="nil"/>
            </w:tcBorders>
            <w:shd w:val="clear" w:color="auto" w:fill="auto"/>
            <w:vAlign w:val="center"/>
          </w:tcPr>
          <w:p w14:paraId="4E5704DB"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18.79 (11.33, NE)</w:t>
            </w:r>
          </w:p>
        </w:tc>
      </w:tr>
      <w:tr w:rsidR="006A64E7" w:rsidRPr="00CA4838" w14:paraId="611A97F4" w14:textId="77777777" w:rsidTr="00D147D5">
        <w:trPr>
          <w:gridAfter w:val="1"/>
          <w:wAfter w:w="10" w:type="pct"/>
        </w:trPr>
        <w:tc>
          <w:tcPr>
            <w:tcW w:w="1319" w:type="pct"/>
            <w:tcBorders>
              <w:top w:val="nil"/>
              <w:bottom w:val="nil"/>
            </w:tcBorders>
            <w:shd w:val="clear" w:color="auto" w:fill="auto"/>
          </w:tcPr>
          <w:p w14:paraId="7E5B5DB9" w14:textId="77777777" w:rsidR="00A042A9" w:rsidRPr="00CA4838" w:rsidRDefault="00A042A9" w:rsidP="008A4199">
            <w:pPr>
              <w:keepNext/>
              <w:keepLines/>
              <w:spacing w:before="10" w:after="10"/>
              <w:ind w:left="396"/>
              <w:rPr>
                <w:rFonts w:ascii="Arial Narrow" w:hAnsi="Arial Narrow"/>
                <w:sz w:val="19"/>
                <w:szCs w:val="19"/>
                <w:lang w:val="en-AU" w:eastAsia="en-US"/>
              </w:rPr>
            </w:pPr>
            <w:r w:rsidRPr="00CA4838">
              <w:rPr>
                <w:rFonts w:ascii="Arial Narrow" w:hAnsi="Arial Narrow"/>
                <w:sz w:val="19"/>
                <w:szCs w:val="19"/>
                <w:lang w:val="en-AU" w:eastAsia="en-US"/>
              </w:rPr>
              <w:t>-</w:t>
            </w:r>
            <w:r w:rsidR="00EA4398" w:rsidRPr="00CA4838">
              <w:rPr>
                <w:rFonts w:ascii="Arial Narrow" w:hAnsi="Arial Narrow"/>
                <w:sz w:val="19"/>
                <w:szCs w:val="19"/>
                <w:lang w:val="en-AU" w:eastAsia="en-US"/>
              </w:rPr>
              <w:t>Adjusted</w:t>
            </w:r>
            <w:r w:rsidR="00EA4398">
              <w:rPr>
                <w:rFonts w:ascii="Arial Narrow" w:hAnsi="Arial Narrow"/>
                <w:sz w:val="19"/>
                <w:szCs w:val="19"/>
                <w:vertAlign w:val="superscript"/>
                <w:lang w:val="en-AU" w:eastAsia="en-US"/>
              </w:rPr>
              <w:t>f</w:t>
            </w:r>
            <w:r w:rsidR="00EA4398" w:rsidRPr="00CA4838">
              <w:rPr>
                <w:rFonts w:ascii="Arial Narrow" w:hAnsi="Arial Narrow"/>
                <w:sz w:val="19"/>
                <w:szCs w:val="19"/>
                <w:lang w:val="en-AU" w:eastAsia="en-US"/>
              </w:rPr>
              <w:t xml:space="preserve"> </w:t>
            </w:r>
            <w:r w:rsidRPr="00CA4838">
              <w:rPr>
                <w:rFonts w:ascii="Arial Narrow" w:hAnsi="Arial Narrow"/>
                <w:sz w:val="19"/>
                <w:szCs w:val="19"/>
                <w:lang w:val="en-AU" w:eastAsia="en-US"/>
              </w:rPr>
              <w:t>for switching</w:t>
            </w:r>
          </w:p>
        </w:tc>
        <w:tc>
          <w:tcPr>
            <w:tcW w:w="619" w:type="pct"/>
            <w:tcBorders>
              <w:top w:val="nil"/>
              <w:bottom w:val="nil"/>
            </w:tcBorders>
            <w:shd w:val="clear" w:color="auto" w:fill="auto"/>
            <w:vAlign w:val="center"/>
          </w:tcPr>
          <w:p w14:paraId="1227821D"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548" w:type="pct"/>
            <w:tcBorders>
              <w:top w:val="nil"/>
              <w:bottom w:val="nil"/>
            </w:tcBorders>
            <w:shd w:val="clear" w:color="auto" w:fill="auto"/>
            <w:vAlign w:val="center"/>
          </w:tcPr>
          <w:p w14:paraId="10B74869"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810" w:type="pct"/>
            <w:tcBorders>
              <w:top w:val="nil"/>
              <w:bottom w:val="nil"/>
            </w:tcBorders>
            <w:shd w:val="clear" w:color="auto" w:fill="auto"/>
            <w:vAlign w:val="center"/>
          </w:tcPr>
          <w:p w14:paraId="6261AE9F" w14:textId="77777777" w:rsidR="00A042A9" w:rsidRPr="00CA4838" w:rsidRDefault="00A042A9" w:rsidP="008A4199">
            <w:pPr>
              <w:keepNext/>
              <w:keepLines/>
              <w:spacing w:before="10" w:after="10"/>
              <w:jc w:val="center"/>
              <w:rPr>
                <w:rFonts w:ascii="Arial Narrow" w:eastAsia="TimesNewRoman" w:hAnsi="Arial Narrow" w:cs="Arial"/>
                <w:sz w:val="19"/>
                <w:szCs w:val="19"/>
                <w:vertAlign w:val="superscript"/>
                <w:lang w:val="en-AU"/>
              </w:rPr>
            </w:pPr>
            <w:r w:rsidRPr="00CA4838">
              <w:rPr>
                <w:rFonts w:ascii="Arial Narrow" w:eastAsia="TimesNewRoman" w:hAnsi="Arial Narrow" w:cs="Arial"/>
                <w:sz w:val="19"/>
                <w:szCs w:val="19"/>
                <w:lang w:val="en-AU"/>
              </w:rPr>
              <w:t>0.13 (0.01, 1.18)</w:t>
            </w:r>
            <w:r w:rsidRPr="00CA4838">
              <w:rPr>
                <w:rFonts w:ascii="Arial Narrow" w:eastAsia="TimesNewRoman" w:hAnsi="Arial Narrow" w:cs="Arial"/>
                <w:sz w:val="19"/>
                <w:szCs w:val="19"/>
                <w:vertAlign w:val="superscript"/>
                <w:lang w:val="en-AU"/>
              </w:rPr>
              <w:t>e</w:t>
            </w:r>
          </w:p>
        </w:tc>
        <w:tc>
          <w:tcPr>
            <w:tcW w:w="876" w:type="pct"/>
            <w:tcBorders>
              <w:top w:val="nil"/>
              <w:bottom w:val="nil"/>
            </w:tcBorders>
            <w:shd w:val="clear" w:color="auto" w:fill="auto"/>
            <w:vAlign w:val="center"/>
          </w:tcPr>
          <w:p w14:paraId="5874F8BB"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819" w:type="pct"/>
            <w:tcBorders>
              <w:top w:val="nil"/>
              <w:bottom w:val="nil"/>
            </w:tcBorders>
            <w:shd w:val="clear" w:color="auto" w:fill="auto"/>
            <w:vAlign w:val="center"/>
          </w:tcPr>
          <w:p w14:paraId="1A76F82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8-9</w:t>
            </w:r>
          </w:p>
        </w:tc>
      </w:tr>
      <w:tr w:rsidR="006A64E7" w:rsidRPr="00CA4838" w14:paraId="0B9224F1" w14:textId="77777777" w:rsidTr="00D147D5">
        <w:trPr>
          <w:gridAfter w:val="1"/>
          <w:wAfter w:w="10" w:type="pct"/>
        </w:trPr>
        <w:tc>
          <w:tcPr>
            <w:tcW w:w="1319" w:type="pct"/>
            <w:shd w:val="clear" w:color="auto" w:fill="auto"/>
          </w:tcPr>
          <w:p w14:paraId="544456CA" w14:textId="77777777" w:rsidR="00A042A9" w:rsidRPr="00CA4838" w:rsidRDefault="00A042A9" w:rsidP="008A4199">
            <w:pPr>
              <w:keepNext/>
              <w:keepLines/>
              <w:spacing w:before="10" w:after="10"/>
              <w:ind w:left="107"/>
              <w:rPr>
                <w:rFonts w:ascii="Arial Narrow" w:hAnsi="Arial Narrow"/>
                <w:sz w:val="19"/>
                <w:szCs w:val="19"/>
                <w:vertAlign w:val="superscript"/>
                <w:lang w:val="en-AU" w:eastAsia="en-US"/>
              </w:rPr>
            </w:pPr>
            <w:r w:rsidRPr="00CA4838">
              <w:rPr>
                <w:rFonts w:ascii="Arial Narrow" w:hAnsi="Arial Narrow"/>
                <w:sz w:val="19"/>
                <w:szCs w:val="19"/>
                <w:lang w:val="en-AU" w:eastAsia="en-US"/>
              </w:rPr>
              <w:t>BRCAwt (Cohort A+B</w:t>
            </w:r>
            <w:r w:rsidR="00EA4398" w:rsidRPr="00CA4838">
              <w:rPr>
                <w:rFonts w:ascii="Arial Narrow" w:hAnsi="Arial Narrow"/>
                <w:sz w:val="19"/>
                <w:szCs w:val="19"/>
                <w:lang w:val="en-AU" w:eastAsia="en-US"/>
              </w:rPr>
              <w:t>)</w:t>
            </w:r>
            <w:r w:rsidR="00EA4398" w:rsidRPr="008A4199">
              <w:rPr>
                <w:rFonts w:ascii="Arial Narrow" w:hAnsi="Arial Narrow"/>
                <w:sz w:val="19"/>
                <w:szCs w:val="19"/>
                <w:vertAlign w:val="superscript"/>
                <w:lang w:eastAsia="en-US"/>
              </w:rPr>
              <w:t>c</w:t>
            </w:r>
          </w:p>
        </w:tc>
        <w:tc>
          <w:tcPr>
            <w:tcW w:w="619" w:type="pct"/>
            <w:shd w:val="clear" w:color="auto" w:fill="auto"/>
            <w:vAlign w:val="center"/>
          </w:tcPr>
          <w:p w14:paraId="5CC2537B"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107/154 (69.5)</w:t>
            </w:r>
          </w:p>
        </w:tc>
        <w:tc>
          <w:tcPr>
            <w:tcW w:w="548" w:type="pct"/>
            <w:shd w:val="clear" w:color="auto" w:fill="auto"/>
            <w:vAlign w:val="center"/>
          </w:tcPr>
          <w:p w14:paraId="26097631"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47/73 (64.4)</w:t>
            </w:r>
          </w:p>
        </w:tc>
        <w:tc>
          <w:tcPr>
            <w:tcW w:w="810" w:type="pct"/>
            <w:shd w:val="clear" w:color="auto" w:fill="auto"/>
            <w:vAlign w:val="center"/>
          </w:tcPr>
          <w:p w14:paraId="54080DD7"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0.95 (0.68, 1.34)</w:t>
            </w:r>
          </w:p>
        </w:tc>
        <w:tc>
          <w:tcPr>
            <w:tcW w:w="876" w:type="pct"/>
            <w:shd w:val="clear" w:color="auto" w:fill="auto"/>
            <w:vAlign w:val="center"/>
          </w:tcPr>
          <w:p w14:paraId="5407DB5A"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15.80 (13.86, 17.31)</w:t>
            </w:r>
          </w:p>
        </w:tc>
        <w:tc>
          <w:tcPr>
            <w:tcW w:w="819" w:type="pct"/>
            <w:shd w:val="clear" w:color="auto" w:fill="auto"/>
            <w:vAlign w:val="center"/>
          </w:tcPr>
          <w:p w14:paraId="4C76FB43"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13.34 (11.17, 17.74)</w:t>
            </w:r>
          </w:p>
        </w:tc>
      </w:tr>
      <w:tr w:rsidR="00D147D5" w:rsidRPr="00CA4838" w14:paraId="0D9D9005" w14:textId="77777777" w:rsidTr="006A64E7">
        <w:trPr>
          <w:gridAfter w:val="1"/>
          <w:wAfter w:w="10" w:type="pct"/>
        </w:trPr>
        <w:tc>
          <w:tcPr>
            <w:tcW w:w="1319" w:type="pct"/>
            <w:tcBorders>
              <w:bottom w:val="nil"/>
            </w:tcBorders>
            <w:shd w:val="clear" w:color="auto" w:fill="BDD6EE" w:themeFill="accent1" w:themeFillTint="66"/>
          </w:tcPr>
          <w:p w14:paraId="009FDEBD" w14:textId="77777777" w:rsidR="00A042A9" w:rsidRPr="00CA4838" w:rsidRDefault="00A042A9" w:rsidP="008A4199">
            <w:pPr>
              <w:keepNext/>
              <w:keepLines/>
              <w:spacing w:before="10" w:after="10"/>
              <w:ind w:left="107"/>
              <w:rPr>
                <w:rFonts w:ascii="Arial Narrow" w:hAnsi="Arial Narrow"/>
                <w:sz w:val="19"/>
                <w:szCs w:val="19"/>
                <w:vertAlign w:val="superscript"/>
                <w:lang w:val="en-AU" w:eastAsia="en-US"/>
              </w:rPr>
            </w:pPr>
            <w:r w:rsidRPr="00CA4838">
              <w:rPr>
                <w:rFonts w:ascii="Arial Narrow" w:hAnsi="Arial Narrow"/>
                <w:sz w:val="19"/>
                <w:szCs w:val="19"/>
                <w:lang w:val="en-AU" w:eastAsia="en-US"/>
              </w:rPr>
              <w:t>BRCAwt (Cohort B</w:t>
            </w:r>
            <w:r w:rsidR="00EA4398" w:rsidRPr="00CA4838">
              <w:rPr>
                <w:rFonts w:ascii="Arial Narrow" w:hAnsi="Arial Narrow"/>
                <w:sz w:val="19"/>
                <w:szCs w:val="19"/>
                <w:lang w:val="en-AU" w:eastAsia="en-US"/>
              </w:rPr>
              <w:t>)</w:t>
            </w:r>
            <w:r w:rsidR="00EA4398" w:rsidRPr="008A4199">
              <w:rPr>
                <w:rFonts w:ascii="Arial Narrow" w:hAnsi="Arial Narrow"/>
                <w:sz w:val="19"/>
                <w:szCs w:val="19"/>
                <w:vertAlign w:val="superscript"/>
                <w:lang w:eastAsia="en-US"/>
              </w:rPr>
              <w:t>c</w:t>
            </w:r>
          </w:p>
        </w:tc>
        <w:tc>
          <w:tcPr>
            <w:tcW w:w="619" w:type="pct"/>
            <w:tcBorders>
              <w:bottom w:val="nil"/>
            </w:tcBorders>
            <w:shd w:val="clear" w:color="auto" w:fill="BDD6EE" w:themeFill="accent1" w:themeFillTint="66"/>
            <w:vAlign w:val="center"/>
          </w:tcPr>
          <w:p w14:paraId="10309A15"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69/94 (73.4)</w:t>
            </w:r>
          </w:p>
        </w:tc>
        <w:tc>
          <w:tcPr>
            <w:tcW w:w="548" w:type="pct"/>
            <w:tcBorders>
              <w:bottom w:val="nil"/>
            </w:tcBorders>
            <w:shd w:val="clear" w:color="auto" w:fill="BDD6EE" w:themeFill="accent1" w:themeFillTint="66"/>
            <w:vAlign w:val="center"/>
          </w:tcPr>
          <w:p w14:paraId="3393CB8E"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31/48 (64.6)</w:t>
            </w:r>
          </w:p>
        </w:tc>
        <w:tc>
          <w:tcPr>
            <w:tcW w:w="810" w:type="pct"/>
            <w:tcBorders>
              <w:bottom w:val="nil"/>
            </w:tcBorders>
            <w:shd w:val="clear" w:color="auto" w:fill="BDD6EE" w:themeFill="accent1" w:themeFillTint="66"/>
            <w:vAlign w:val="center"/>
          </w:tcPr>
          <w:p w14:paraId="47F4E735"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0.96 (0.63, 1.49)</w:t>
            </w:r>
          </w:p>
        </w:tc>
        <w:tc>
          <w:tcPr>
            <w:tcW w:w="876" w:type="pct"/>
            <w:tcBorders>
              <w:bottom w:val="nil"/>
            </w:tcBorders>
            <w:shd w:val="clear" w:color="auto" w:fill="BDD6EE" w:themeFill="accent1" w:themeFillTint="66"/>
            <w:vAlign w:val="center"/>
          </w:tcPr>
          <w:p w14:paraId="1956AB91"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14.06 (11.14, 15.87)</w:t>
            </w:r>
          </w:p>
        </w:tc>
        <w:tc>
          <w:tcPr>
            <w:tcW w:w="819" w:type="pct"/>
            <w:tcBorders>
              <w:bottom w:val="nil"/>
            </w:tcBorders>
            <w:shd w:val="clear" w:color="auto" w:fill="BDD6EE" w:themeFill="accent1" w:themeFillTint="66"/>
            <w:vAlign w:val="center"/>
          </w:tcPr>
          <w:p w14:paraId="2D00AA9A"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11.47 (8.11, 17.02)</w:t>
            </w:r>
          </w:p>
        </w:tc>
      </w:tr>
      <w:tr w:rsidR="00D147D5" w:rsidRPr="00CA4838" w14:paraId="6B4BEFBC" w14:textId="77777777" w:rsidTr="006A64E7">
        <w:trPr>
          <w:gridAfter w:val="1"/>
          <w:wAfter w:w="10" w:type="pct"/>
        </w:trPr>
        <w:tc>
          <w:tcPr>
            <w:tcW w:w="1319" w:type="pct"/>
            <w:tcBorders>
              <w:top w:val="nil"/>
            </w:tcBorders>
            <w:shd w:val="clear" w:color="auto" w:fill="BDD6EE" w:themeFill="accent1" w:themeFillTint="66"/>
          </w:tcPr>
          <w:p w14:paraId="70AABA86" w14:textId="77777777" w:rsidR="00A042A9" w:rsidRPr="00CA4838" w:rsidRDefault="00A042A9" w:rsidP="008A4199">
            <w:pPr>
              <w:keepNext/>
              <w:keepLines/>
              <w:spacing w:before="10" w:after="10"/>
              <w:jc w:val="right"/>
              <w:rPr>
                <w:rFonts w:ascii="Arial Narrow" w:hAnsi="Arial Narrow"/>
                <w:sz w:val="19"/>
                <w:szCs w:val="19"/>
                <w:lang w:val="en-AU" w:eastAsia="en-US"/>
              </w:rPr>
            </w:pPr>
            <w:r w:rsidRPr="00CA4838">
              <w:rPr>
                <w:rFonts w:ascii="Arial Narrow" w:hAnsi="Arial Narrow"/>
                <w:sz w:val="19"/>
                <w:szCs w:val="19"/>
                <w:lang w:val="en-AU" w:eastAsia="en-US"/>
              </w:rPr>
              <w:t>-Adjusted</w:t>
            </w:r>
            <w:r w:rsidRPr="00CA4838">
              <w:rPr>
                <w:rFonts w:ascii="Arial Narrow" w:hAnsi="Arial Narrow"/>
                <w:sz w:val="19"/>
                <w:szCs w:val="19"/>
                <w:vertAlign w:val="superscript"/>
                <w:lang w:val="en-AU" w:eastAsia="en-US"/>
              </w:rPr>
              <w:t>c</w:t>
            </w:r>
            <w:r w:rsidRPr="00CA4838">
              <w:rPr>
                <w:rFonts w:ascii="Arial Narrow" w:hAnsi="Arial Narrow"/>
                <w:sz w:val="19"/>
                <w:szCs w:val="19"/>
                <w:lang w:val="en-AU" w:eastAsia="en-US"/>
              </w:rPr>
              <w:t xml:space="preserve"> for 63% switching</w:t>
            </w:r>
          </w:p>
        </w:tc>
        <w:tc>
          <w:tcPr>
            <w:tcW w:w="619" w:type="pct"/>
            <w:tcBorders>
              <w:top w:val="nil"/>
            </w:tcBorders>
            <w:shd w:val="clear" w:color="auto" w:fill="BDD6EE" w:themeFill="accent1" w:themeFillTint="66"/>
            <w:vAlign w:val="center"/>
          </w:tcPr>
          <w:p w14:paraId="60C2950C"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548" w:type="pct"/>
            <w:tcBorders>
              <w:top w:val="nil"/>
            </w:tcBorders>
            <w:shd w:val="clear" w:color="auto" w:fill="BDD6EE" w:themeFill="accent1" w:themeFillTint="66"/>
            <w:vAlign w:val="center"/>
          </w:tcPr>
          <w:p w14:paraId="23DCDCA1"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810" w:type="pct"/>
            <w:tcBorders>
              <w:top w:val="nil"/>
            </w:tcBorders>
            <w:shd w:val="clear" w:color="auto" w:fill="BDD6EE" w:themeFill="accent1" w:themeFillTint="66"/>
            <w:vAlign w:val="center"/>
          </w:tcPr>
          <w:p w14:paraId="6B08DC36"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0.83 (0.11, 5.98)</w:t>
            </w:r>
          </w:p>
        </w:tc>
        <w:tc>
          <w:tcPr>
            <w:tcW w:w="876" w:type="pct"/>
            <w:tcBorders>
              <w:top w:val="nil"/>
            </w:tcBorders>
            <w:shd w:val="clear" w:color="auto" w:fill="BDD6EE" w:themeFill="accent1" w:themeFillTint="66"/>
            <w:vAlign w:val="center"/>
          </w:tcPr>
          <w:p w14:paraId="4DF4E7A5"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c>
          <w:tcPr>
            <w:tcW w:w="819" w:type="pct"/>
            <w:tcBorders>
              <w:top w:val="nil"/>
            </w:tcBorders>
            <w:shd w:val="clear" w:color="auto" w:fill="BDD6EE" w:themeFill="accent1" w:themeFillTint="66"/>
            <w:vAlign w:val="center"/>
          </w:tcPr>
          <w:p w14:paraId="476791AA" w14:textId="77777777" w:rsidR="00A042A9" w:rsidRPr="00CA4838" w:rsidRDefault="00A042A9" w:rsidP="008A4199">
            <w:pPr>
              <w:keepNext/>
              <w:keepLines/>
              <w:spacing w:before="10" w:after="10"/>
              <w:jc w:val="center"/>
              <w:rPr>
                <w:rFonts w:ascii="Arial Narrow" w:hAnsi="Arial Narrow"/>
                <w:sz w:val="19"/>
                <w:szCs w:val="19"/>
                <w:lang w:val="en-AU" w:eastAsia="en-US"/>
              </w:rPr>
            </w:pPr>
            <w:r w:rsidRPr="00CA4838">
              <w:rPr>
                <w:rFonts w:ascii="Arial Narrow" w:hAnsi="Arial Narrow"/>
                <w:sz w:val="19"/>
                <w:szCs w:val="19"/>
                <w:lang w:val="en-AU" w:eastAsia="en-US"/>
              </w:rPr>
              <w:t>-</w:t>
            </w:r>
          </w:p>
        </w:tc>
      </w:tr>
    </w:tbl>
    <w:p w14:paraId="5B38FC5A" w14:textId="77777777" w:rsidR="00A042A9" w:rsidRPr="00CA4838" w:rsidRDefault="00A042A9" w:rsidP="008A4199">
      <w:pPr>
        <w:pStyle w:val="TableFigureFooter"/>
        <w:keepNext/>
        <w:keepLines/>
      </w:pPr>
      <w:r w:rsidRPr="00CA4838">
        <w:rPr>
          <w:b/>
        </w:rPr>
        <w:t>Bold</w:t>
      </w:r>
      <w:r w:rsidRPr="00CA4838">
        <w:t xml:space="preserve">=statistically significant, </w:t>
      </w:r>
      <w:r w:rsidRPr="00CA4838">
        <w:rPr>
          <w:shd w:val="clear" w:color="auto" w:fill="BDD6EE" w:themeFill="accent1" w:themeFillTint="66"/>
        </w:rPr>
        <w:t>Blue shading</w:t>
      </w:r>
      <w:r w:rsidRPr="00CA4838">
        <w:t xml:space="preserve">=data previously seen by the PBAC </w:t>
      </w:r>
    </w:p>
    <w:p w14:paraId="3435E8AE" w14:textId="77777777" w:rsidR="00A042A9" w:rsidRPr="00CA4838" w:rsidRDefault="00A042A9" w:rsidP="008A4199">
      <w:pPr>
        <w:pStyle w:val="TableFigureFooter"/>
        <w:keepNext/>
        <w:keepLines/>
      </w:pPr>
      <w:r w:rsidRPr="00CA4838">
        <w:rPr>
          <w:szCs w:val="18"/>
        </w:rPr>
        <w:t xml:space="preserve">Source: compiled during the evaluation using data from Table 7, olaparib PBAC </w:t>
      </w:r>
      <w:r w:rsidR="001802CD">
        <w:rPr>
          <w:szCs w:val="18"/>
        </w:rPr>
        <w:t>PSD</w:t>
      </w:r>
      <w:r w:rsidRPr="00CA4838">
        <w:rPr>
          <w:szCs w:val="18"/>
        </w:rPr>
        <w:t xml:space="preserve">, March 2021. </w:t>
      </w:r>
      <w:r w:rsidRPr="00CA4838">
        <w:t>Table 66, p208 of the resubmission Table 14.2.4.5, p59 and Table 14.2.5, p61 of PROfound CSR DCO2 Tables&amp;Figures; Table 14.2.1.2.1, p761 and Table 14.2.1.4.1, p793 of PROfound CSR DCO1 Tables&amp;Figures, Table 87, 262 of the resubmission, pp59 and 62 Attachment 2.5 of the resubmission, Table 49, p89 of Attachment 2.25 of the resubmission.</w:t>
      </w:r>
    </w:p>
    <w:p w14:paraId="132C28D7" w14:textId="77777777" w:rsidR="00A042A9" w:rsidRPr="00CA4838" w:rsidRDefault="00A042A9" w:rsidP="008A4199">
      <w:pPr>
        <w:pStyle w:val="TableFigureFooter"/>
        <w:keepNext/>
        <w:keepLines/>
      </w:pPr>
      <w:r w:rsidRPr="00CA4838">
        <w:t xml:space="preserve">BICR=blinded independent central review; </w:t>
      </w:r>
      <w:r w:rsidRPr="00CA4838">
        <w:rPr>
          <w:i/>
        </w:rPr>
        <w:t>BRCA</w:t>
      </w:r>
      <w:r w:rsidRPr="00CA4838">
        <w:t>=breast cancer gene; CI=confidence interval; HR=hazard ratio; HRR=homologous recombination repair; ITT=intention to treat; NE=not estimable; NHA = novel hormonal agent (abiraterone, enzalutamide); NR = not reported; OS = overall survival; rPFS = radiological progression-free survival.</w:t>
      </w:r>
    </w:p>
    <w:p w14:paraId="20277A7A" w14:textId="77777777" w:rsidR="00A1242D" w:rsidRPr="00266EE3" w:rsidRDefault="00EA4398" w:rsidP="008A4199">
      <w:pPr>
        <w:pStyle w:val="TableFigureFooter"/>
        <w:keepNext/>
        <w:keepLines/>
      </w:pPr>
      <w:r>
        <w:rPr>
          <w:sz w:val="19"/>
          <w:szCs w:val="19"/>
          <w:vertAlign w:val="superscript"/>
          <w:lang w:eastAsia="en-US"/>
        </w:rPr>
        <w:t>a</w:t>
      </w:r>
      <w:r w:rsidR="00A1242D" w:rsidRPr="00266EE3">
        <w:rPr>
          <w:sz w:val="19"/>
          <w:szCs w:val="19"/>
          <w:vertAlign w:val="superscript"/>
          <w:lang w:eastAsia="en-US"/>
        </w:rPr>
        <w:tab/>
        <w:t xml:space="preserve"> </w:t>
      </w:r>
      <w:r w:rsidR="00A1242D" w:rsidRPr="00266EE3">
        <w:t>PROfound was not alpha corrected to assess efficacy within individual subgroups these results should be interpreted with caution.</w:t>
      </w:r>
    </w:p>
    <w:p w14:paraId="259260E8" w14:textId="77777777" w:rsidR="00A042A9" w:rsidRPr="00CA4838" w:rsidRDefault="00EA4398" w:rsidP="008A4199">
      <w:pPr>
        <w:pStyle w:val="TableFigureFooter"/>
        <w:keepNext/>
        <w:keepLines/>
      </w:pPr>
      <w:r w:rsidRPr="008A4199">
        <w:rPr>
          <w:vertAlign w:val="superscript"/>
        </w:rPr>
        <w:t>b</w:t>
      </w:r>
      <w:r w:rsidR="00A042A9" w:rsidRPr="00CA4838">
        <w:tab/>
        <w:t>primary end point</w:t>
      </w:r>
    </w:p>
    <w:p w14:paraId="7B9C5BCD" w14:textId="77777777" w:rsidR="00A042A9" w:rsidRPr="00CA4838" w:rsidRDefault="00EA4398" w:rsidP="008A4199">
      <w:pPr>
        <w:pStyle w:val="TableFigureFooter"/>
        <w:keepNext/>
        <w:keepLines/>
        <w:ind w:left="165" w:hanging="165"/>
      </w:pPr>
      <w:r w:rsidRPr="008A4199">
        <w:rPr>
          <w:vertAlign w:val="superscript"/>
        </w:rPr>
        <w:t>c</w:t>
      </w:r>
      <w:r w:rsidR="00A042A9" w:rsidRPr="00CA4838">
        <w:tab/>
        <w:t xml:space="preserve">two separate datasets were used for the </w:t>
      </w:r>
      <w:r w:rsidR="00A042A9" w:rsidRPr="008A4199">
        <w:rPr>
          <w:iCs/>
        </w:rPr>
        <w:t>BRCAw</w:t>
      </w:r>
      <w:r w:rsidR="00A042A9" w:rsidRPr="00CA4838">
        <w:rPr>
          <w:i/>
        </w:rPr>
        <w:t>t</w:t>
      </w:r>
      <w:r w:rsidR="00A042A9" w:rsidRPr="00CA4838">
        <w:t xml:space="preserve"> subgroup: all patients in Cohort B (including two patients with BRCA2) and BRCA-negative patients in Cohort A+B.</w:t>
      </w:r>
    </w:p>
    <w:p w14:paraId="387AB82A" w14:textId="77777777" w:rsidR="00A042A9" w:rsidRPr="00CA4838" w:rsidRDefault="00EA4398" w:rsidP="008A4199">
      <w:pPr>
        <w:pStyle w:val="TableFigureFooter"/>
        <w:keepNext/>
        <w:keepLines/>
      </w:pPr>
      <w:r>
        <w:rPr>
          <w:vertAlign w:val="superscript"/>
        </w:rPr>
        <w:t>d</w:t>
      </w:r>
      <w:r w:rsidR="00A042A9" w:rsidRPr="00CA4838">
        <w:tab/>
        <w:t>patients with single and co-mutations</w:t>
      </w:r>
    </w:p>
    <w:p w14:paraId="56F8044A" w14:textId="77777777" w:rsidR="00A042A9" w:rsidRPr="00CA4838" w:rsidRDefault="00EA4398" w:rsidP="008A4199">
      <w:pPr>
        <w:pStyle w:val="TableFigureFooter"/>
        <w:keepNext/>
        <w:keepLines/>
        <w:ind w:left="165" w:hanging="165"/>
      </w:pPr>
      <w:r>
        <w:rPr>
          <w:vertAlign w:val="superscript"/>
        </w:rPr>
        <w:t>e</w:t>
      </w:r>
      <w:r w:rsidR="00A042A9" w:rsidRPr="00CA4838">
        <w:tab/>
        <w:t xml:space="preserve">the number and proportion of deaths in the </w:t>
      </w:r>
      <w:r w:rsidR="00A042A9" w:rsidRPr="008A4199">
        <w:rPr>
          <w:iCs/>
        </w:rPr>
        <w:t>BRCA1/2</w:t>
      </w:r>
      <w:r w:rsidR="00A042A9" w:rsidRPr="00CA4838">
        <w:t xml:space="preserve"> subgroup was not provided by the submission, but was available in Table 14.2.4.5 of the CSR addendum supplementary tables provided with the submission</w:t>
      </w:r>
    </w:p>
    <w:p w14:paraId="03C96D58" w14:textId="77777777" w:rsidR="00A042A9" w:rsidRPr="00CA4838" w:rsidRDefault="00EA4398" w:rsidP="008A4199">
      <w:pPr>
        <w:pStyle w:val="TableFigureFooter"/>
        <w:keepNext/>
        <w:keepLines/>
        <w:ind w:left="165" w:hanging="165"/>
      </w:pPr>
      <w:r>
        <w:rPr>
          <w:vertAlign w:val="superscript"/>
        </w:rPr>
        <w:t>f</w:t>
      </w:r>
      <w:r w:rsidR="00A042A9" w:rsidRPr="00CA4838">
        <w:rPr>
          <w:vertAlign w:val="superscript"/>
        </w:rPr>
        <w:tab/>
      </w:r>
      <w:r w:rsidR="00A042A9" w:rsidRPr="00CA4838">
        <w:t>rank preserving structural failure time model</w:t>
      </w:r>
      <w:r w:rsidR="00A042A9" w:rsidRPr="00CA4838">
        <w:rPr>
          <w:vertAlign w:val="superscript"/>
        </w:rPr>
        <w:t xml:space="preserve"> </w:t>
      </w:r>
      <w:r w:rsidR="00A042A9" w:rsidRPr="00CA4838">
        <w:t>(RPSFTM) cox proportional hazards model, with recensoring used to adjust for patient</w:t>
      </w:r>
      <w:r>
        <w:t>s</w:t>
      </w:r>
      <w:r w:rsidR="00A042A9" w:rsidRPr="00CA4838">
        <w:t xml:space="preserve"> who crossed over from NHA to olaparib treatment.</w:t>
      </w:r>
    </w:p>
    <w:p w14:paraId="61747001" w14:textId="77777777" w:rsidR="00A042A9" w:rsidRPr="00CA4838" w:rsidRDefault="00A042A9" w:rsidP="008A4199">
      <w:pPr>
        <w:pStyle w:val="TableFigureFooter"/>
        <w:keepNext/>
        <w:keepLines/>
      </w:pPr>
      <w:r w:rsidRPr="00CA4838">
        <w:rPr>
          <w:vertAlign w:val="superscript"/>
        </w:rPr>
        <w:t>d</w:t>
      </w:r>
      <w:r w:rsidRPr="00CA4838">
        <w:rPr>
          <w:vertAlign w:val="superscript"/>
        </w:rPr>
        <w:tab/>
      </w:r>
      <w:r w:rsidRPr="00CA4838">
        <w:t>the resubmission reported the upper CI of 0.11 which appeared to be a transcription error, no alternate source for this value was provided.</w:t>
      </w:r>
    </w:p>
    <w:p w14:paraId="4AF9C88E" w14:textId="77777777" w:rsidR="00A042A9" w:rsidRPr="00CA4838" w:rsidRDefault="00A042A9" w:rsidP="00A2713C">
      <w:pPr>
        <w:pStyle w:val="ListParagraph"/>
        <w:ind w:left="709"/>
        <w:rPr>
          <w:color w:val="auto"/>
        </w:rPr>
      </w:pPr>
      <w:r w:rsidRPr="00CA4838">
        <w:t xml:space="preserve">For the primary outcome of rPFS assessed by </w:t>
      </w:r>
      <w:r w:rsidR="00736BF3">
        <w:t>blinded independent central review (</w:t>
      </w:r>
      <w:r w:rsidRPr="00CA4838">
        <w:t>BICR</w:t>
      </w:r>
      <w:r w:rsidR="00736BF3">
        <w:t>)</w:t>
      </w:r>
      <w:r>
        <w:t xml:space="preserve"> in </w:t>
      </w:r>
      <w:r w:rsidR="006A64E7">
        <w:t>C</w:t>
      </w:r>
      <w:r>
        <w:t>ohort A</w:t>
      </w:r>
      <w:r w:rsidRPr="00CA4838">
        <w:t xml:space="preserve">, there was a statistically significant advantage for olaparib compared to NHA (HR=0.34; 95% CI: 0.25, 0.47). The advantage observed for the </w:t>
      </w:r>
      <w:r w:rsidRPr="00AB515A">
        <w:rPr>
          <w:iCs/>
        </w:rPr>
        <w:t>BRCA1/2</w:t>
      </w:r>
      <w:r w:rsidRPr="00CA4838">
        <w:t xml:space="preserve"> subgroup was greater (HR=0.22; 95% CI: 0.15, 0.32), indicating a 78% reduction in the risk of radiological disease progression or death in those patients. This survival benefit was not statistically significant in the BRCAwt subgroup (HR=0.88; 95% CI: 0.58, 1.36). </w:t>
      </w:r>
    </w:p>
    <w:p w14:paraId="6B8FC287" w14:textId="77777777" w:rsidR="00A042A9" w:rsidRPr="00CA4838" w:rsidRDefault="00A042A9" w:rsidP="00A2713C">
      <w:pPr>
        <w:pStyle w:val="ListParagraph"/>
        <w:ind w:left="709"/>
        <w:rPr>
          <w:color w:val="auto"/>
        </w:rPr>
      </w:pPr>
      <w:r w:rsidRPr="00CA4838">
        <w:rPr>
          <w:color w:val="auto"/>
        </w:rPr>
        <w:t xml:space="preserve">Subgroup analyses according to prior taxane treatment in Cohort </w:t>
      </w:r>
      <w:r w:rsidR="00902924">
        <w:rPr>
          <w:color w:val="auto"/>
        </w:rPr>
        <w:t>A</w:t>
      </w:r>
      <w:r w:rsidR="007317D8">
        <w:rPr>
          <w:color w:val="auto"/>
        </w:rPr>
        <w:t xml:space="preserve"> </w:t>
      </w:r>
      <w:r w:rsidRPr="00CA4838">
        <w:rPr>
          <w:color w:val="auto"/>
        </w:rPr>
        <w:t xml:space="preserve">also indicated a benefit </w:t>
      </w:r>
      <w:r w:rsidR="00B06518">
        <w:rPr>
          <w:color w:val="auto"/>
        </w:rPr>
        <w:t>for</w:t>
      </w:r>
      <w:r w:rsidR="00B06518" w:rsidRPr="00CA4838">
        <w:rPr>
          <w:color w:val="auto"/>
        </w:rPr>
        <w:t xml:space="preserve"> </w:t>
      </w:r>
      <w:r w:rsidRPr="00CA4838">
        <w:rPr>
          <w:color w:val="auto"/>
        </w:rPr>
        <w:t xml:space="preserve">olaparib versus NHA irrespective of prior taxane </w:t>
      </w:r>
      <w:r w:rsidRPr="00A2713C">
        <w:t>treatment</w:t>
      </w:r>
      <w:r w:rsidRPr="00CA4838">
        <w:rPr>
          <w:color w:val="auto"/>
        </w:rPr>
        <w:t xml:space="preserve">, but the magnitude was greater in patients who had prior taxane (HR=0.28; 95%CI: 0.19, 0.41) compared to those without prior taxane treatment (HR=0.55, 95%CI: 0.32, 0.97). This potential difference in benefit for olaparib versus NHA by prior taxane use however was not observed in the </w:t>
      </w:r>
      <w:r w:rsidRPr="008A4199">
        <w:rPr>
          <w:iCs/>
          <w:color w:val="auto"/>
        </w:rPr>
        <w:t>BRCA1/2</w:t>
      </w:r>
      <w:r w:rsidRPr="00CA4838">
        <w:rPr>
          <w:color w:val="auto"/>
        </w:rPr>
        <w:t xml:space="preserve"> subgroup, where similar HRs were observed (HR=0.19, 95%CI: 0.12, 0.32 and HR=0.17, 95%CI: 0.08, 0.36) in patients with and without prior taxane treatment, respectively. </w:t>
      </w:r>
    </w:p>
    <w:p w14:paraId="0526B82C" w14:textId="77777777" w:rsidR="00A042A9" w:rsidRPr="00CA4838" w:rsidRDefault="00A042A9" w:rsidP="00A2713C">
      <w:pPr>
        <w:pStyle w:val="ListParagraph"/>
        <w:ind w:left="709"/>
        <w:rPr>
          <w:color w:val="auto"/>
        </w:rPr>
      </w:pPr>
      <w:r w:rsidRPr="00CA4838">
        <w:t>The final analysis of OS showed a statistically significant advantage for olaparib, with the analysis at the March 2020 data cut indicating a 4.4 month gain in survival for olaparib-treated patients (HR=0.69; 95% CI: 0.50, 0.97)</w:t>
      </w:r>
      <w:r>
        <w:t xml:space="preserve"> in cohort A</w:t>
      </w:r>
      <w:r w:rsidRPr="00CA4838">
        <w:t xml:space="preserve">. The analysis in the </w:t>
      </w:r>
      <w:r w:rsidRPr="00AB515A">
        <w:t>BRCA1/2</w:t>
      </w:r>
      <w:r w:rsidRPr="00CA4838">
        <w:rPr>
          <w:i/>
          <w:iCs/>
        </w:rPr>
        <w:t xml:space="preserve"> </w:t>
      </w:r>
      <w:r w:rsidRPr="00CA4838">
        <w:t xml:space="preserve">subgroup showed an incremental gain in survival of 5.7 months (HR=0.63; 95% CI: 0.42, 0.95). Similar to the rPFS results, OS in the BRCAwt subgroup was not significantly different between olaparib and NHA patients (HR=0.96, 95% CI: 0.63, 1.49). </w:t>
      </w:r>
    </w:p>
    <w:p w14:paraId="39741EAA" w14:textId="77777777" w:rsidR="00A042A9" w:rsidRPr="00CA4838" w:rsidRDefault="00A042A9" w:rsidP="00A2713C">
      <w:pPr>
        <w:pStyle w:val="ListParagraph"/>
        <w:ind w:left="709"/>
        <w:rPr>
          <w:color w:val="auto"/>
        </w:rPr>
      </w:pPr>
      <w:r w:rsidRPr="00CA4838">
        <w:t xml:space="preserve">The Kaplan Meier plots for OS for Cohort A and for the subgroups according to </w:t>
      </w:r>
      <w:r w:rsidRPr="00AB515A">
        <w:rPr>
          <w:iCs/>
        </w:rPr>
        <w:t>BRCA1/2</w:t>
      </w:r>
      <w:r w:rsidRPr="00CA4838">
        <w:t xml:space="preserve"> status are provided below.</w:t>
      </w:r>
    </w:p>
    <w:p w14:paraId="36C93FD1" w14:textId="77777777" w:rsidR="00A042A9" w:rsidRPr="00CA4838" w:rsidRDefault="00A042A9" w:rsidP="00A042A9">
      <w:pPr>
        <w:keepNext/>
        <w:shd w:val="clear" w:color="auto" w:fill="BDD6EE" w:themeFill="accent1" w:themeFillTint="66"/>
        <w:spacing w:before="0" w:after="0"/>
        <w:rPr>
          <w:rFonts w:ascii="Arial Narrow" w:hAnsi="Arial Narrow"/>
          <w:b/>
          <w:bCs/>
          <w:sz w:val="20"/>
          <w:szCs w:val="20"/>
        </w:rPr>
      </w:pPr>
      <w:r w:rsidRPr="00CA4838">
        <w:rPr>
          <w:rFonts w:ascii="Arial Narrow" w:hAnsi="Arial Narrow"/>
          <w:b/>
          <w:bCs/>
          <w:sz w:val="20"/>
          <w:szCs w:val="20"/>
        </w:rPr>
        <w:t xml:space="preserve">Figure </w:t>
      </w:r>
      <w:r w:rsidR="007C5E46">
        <w:rPr>
          <w:rFonts w:ascii="Arial Narrow" w:hAnsi="Arial Narrow"/>
          <w:b/>
          <w:bCs/>
          <w:noProof/>
          <w:sz w:val="20"/>
          <w:szCs w:val="20"/>
        </w:rPr>
        <w:t>1</w:t>
      </w:r>
      <w:r w:rsidR="00D86DB5">
        <w:rPr>
          <w:rFonts w:ascii="Arial Narrow" w:hAnsi="Arial Narrow"/>
          <w:b/>
          <w:bCs/>
          <w:noProof/>
          <w:sz w:val="20"/>
          <w:szCs w:val="20"/>
        </w:rPr>
        <w:t xml:space="preserve">: </w:t>
      </w:r>
      <w:r w:rsidRPr="00CA4838">
        <w:rPr>
          <w:rFonts w:ascii="Arial Narrow" w:hAnsi="Arial Narrow"/>
          <w:b/>
          <w:bCs/>
          <w:sz w:val="20"/>
          <w:szCs w:val="20"/>
        </w:rPr>
        <w:t>Kaplan Meier plot of OS for the PROfound trial – final analysis (March 2020 data cut)</w:t>
      </w:r>
    </w:p>
    <w:tbl>
      <w:tblPr>
        <w:tblStyle w:val="TableGrid"/>
        <w:tblW w:w="0" w:type="auto"/>
        <w:tblCellMar>
          <w:left w:w="28" w:type="dxa"/>
          <w:right w:w="28" w:type="dxa"/>
        </w:tblCellMar>
        <w:tblLook w:val="04A0" w:firstRow="1" w:lastRow="0" w:firstColumn="1" w:lastColumn="0" w:noHBand="0" w:noVBand="1"/>
        <w:tblCaption w:val="Figure 1: Kaplan Meier plot of OS for the PROfound trial – final analysis (March 2020 data cut)"/>
      </w:tblPr>
      <w:tblGrid>
        <w:gridCol w:w="4256"/>
        <w:gridCol w:w="4760"/>
      </w:tblGrid>
      <w:tr w:rsidR="00A042A9" w:rsidRPr="00CA4838" w14:paraId="53F3E46B" w14:textId="77777777" w:rsidTr="00F82068">
        <w:trPr>
          <w:cnfStyle w:val="100000000000" w:firstRow="1" w:lastRow="0" w:firstColumn="0" w:lastColumn="0" w:oddVBand="0" w:evenVBand="0" w:oddHBand="0" w:evenHBand="0" w:firstRowFirstColumn="0" w:firstRowLastColumn="0" w:lastRowFirstColumn="0" w:lastRowLastColumn="0"/>
          <w:tblHeader/>
        </w:trPr>
        <w:tc>
          <w:tcPr>
            <w:tcW w:w="4256" w:type="dxa"/>
            <w:shd w:val="clear" w:color="auto" w:fill="BDD6EE" w:themeFill="accent1" w:themeFillTint="66"/>
          </w:tcPr>
          <w:p w14:paraId="61A20985" w14:textId="77777777" w:rsidR="00A042A9" w:rsidRPr="00CA4838" w:rsidRDefault="00A042A9" w:rsidP="00ED665A">
            <w:pPr>
              <w:keepNext/>
              <w:spacing w:before="0"/>
              <w:rPr>
                <w:rFonts w:ascii="Arial Narrow" w:hAnsi="Arial Narrow"/>
                <w:sz w:val="20"/>
                <w:szCs w:val="20"/>
                <w:lang w:val="en-AU"/>
              </w:rPr>
            </w:pPr>
            <w:r w:rsidRPr="00CA4838">
              <w:rPr>
                <w:rFonts w:ascii="Arial Narrow" w:hAnsi="Arial Narrow"/>
                <w:bCs/>
                <w:sz w:val="20"/>
                <w:szCs w:val="20"/>
                <w:lang w:val="en-AU"/>
              </w:rPr>
              <w:t>A: Cohort A (ITT)</w:t>
            </w:r>
          </w:p>
        </w:tc>
        <w:tc>
          <w:tcPr>
            <w:tcW w:w="4760" w:type="dxa"/>
            <w:shd w:val="clear" w:color="auto" w:fill="BDD6EE" w:themeFill="accent1" w:themeFillTint="66"/>
          </w:tcPr>
          <w:p w14:paraId="20540FEE" w14:textId="77777777" w:rsidR="00A042A9" w:rsidRPr="00AB515A" w:rsidRDefault="00A042A9" w:rsidP="00ED665A">
            <w:pPr>
              <w:keepNext/>
              <w:spacing w:before="0"/>
              <w:rPr>
                <w:rFonts w:ascii="Arial Narrow" w:hAnsi="Arial Narrow"/>
                <w:bCs/>
                <w:iCs/>
                <w:sz w:val="20"/>
                <w:szCs w:val="20"/>
                <w:lang w:val="en-AU"/>
              </w:rPr>
            </w:pPr>
            <w:r w:rsidRPr="00AB515A">
              <w:rPr>
                <w:rFonts w:ascii="Arial Narrow" w:hAnsi="Arial Narrow"/>
                <w:bCs/>
                <w:iCs/>
                <w:sz w:val="20"/>
                <w:szCs w:val="20"/>
              </w:rPr>
              <w:t>B: BRCA1/2 subgroup</w:t>
            </w:r>
          </w:p>
        </w:tc>
      </w:tr>
      <w:tr w:rsidR="00A042A9" w:rsidRPr="00CA4838" w14:paraId="447D4502" w14:textId="77777777" w:rsidTr="00ED665A">
        <w:tc>
          <w:tcPr>
            <w:tcW w:w="4256" w:type="dxa"/>
            <w:shd w:val="clear" w:color="auto" w:fill="BDD6EE" w:themeFill="accent1" w:themeFillTint="66"/>
          </w:tcPr>
          <w:p w14:paraId="4E8EB73C" w14:textId="77777777" w:rsidR="00A042A9" w:rsidRPr="00CA4838" w:rsidRDefault="00A042A9" w:rsidP="00ED665A">
            <w:pPr>
              <w:keepNext/>
              <w:spacing w:before="0"/>
              <w:rPr>
                <w:rFonts w:ascii="Arial Narrow" w:hAnsi="Arial Narrow"/>
                <w:sz w:val="20"/>
                <w:szCs w:val="20"/>
                <w:lang w:val="en-AU"/>
              </w:rPr>
            </w:pPr>
            <w:r w:rsidRPr="00CA4838">
              <w:rPr>
                <w:rFonts w:ascii="Arial Narrow" w:hAnsi="Arial Narrow"/>
                <w:noProof/>
                <w:sz w:val="20"/>
                <w:szCs w:val="20"/>
                <w:lang w:eastAsia="en-AU"/>
              </w:rPr>
              <w:drawing>
                <wp:inline distT="0" distB="0" distL="0" distR="0" wp14:anchorId="4474A32A" wp14:editId="1F47E1D9">
                  <wp:extent cx="2682910" cy="1822095"/>
                  <wp:effectExtent l="0" t="0" r="3175" b="6985"/>
                  <wp:docPr id="13" name="Picture 13" descr="Figure 1: Kaplan Meier plot of OS for the PROfound trial – final analysis (March 2020 data cut)&#10;A: Cohort A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Kaplan Meier plot of OS for the PROfound trial – final analysis (March 2020 data cut)&#10;A: Cohort A (ITT)"/>
                          <pic:cNvPicPr/>
                        </pic:nvPicPr>
                        <pic:blipFill>
                          <a:blip r:embed="rId8"/>
                          <a:stretch>
                            <a:fillRect/>
                          </a:stretch>
                        </pic:blipFill>
                        <pic:spPr>
                          <a:xfrm>
                            <a:off x="0" y="0"/>
                            <a:ext cx="2682910" cy="1822095"/>
                          </a:xfrm>
                          <a:prstGeom prst="rect">
                            <a:avLst/>
                          </a:prstGeom>
                        </pic:spPr>
                      </pic:pic>
                    </a:graphicData>
                  </a:graphic>
                </wp:inline>
              </w:drawing>
            </w:r>
          </w:p>
        </w:tc>
        <w:tc>
          <w:tcPr>
            <w:tcW w:w="4760" w:type="dxa"/>
            <w:shd w:val="clear" w:color="auto" w:fill="BDD6EE" w:themeFill="accent1" w:themeFillTint="66"/>
          </w:tcPr>
          <w:p w14:paraId="541854E2" w14:textId="77777777" w:rsidR="00A042A9" w:rsidRPr="00CA4838" w:rsidRDefault="00A042A9" w:rsidP="00ED665A">
            <w:pPr>
              <w:keepNext/>
              <w:spacing w:before="0"/>
              <w:rPr>
                <w:rFonts w:ascii="Arial Narrow" w:hAnsi="Arial Narrow"/>
                <w:noProof/>
                <w:sz w:val="20"/>
                <w:szCs w:val="20"/>
                <w:lang w:val="en-AU"/>
              </w:rPr>
            </w:pPr>
            <w:r w:rsidRPr="00CA4838">
              <w:rPr>
                <w:rFonts w:ascii="Arial Narrow" w:hAnsi="Arial Narrow"/>
                <w:noProof/>
                <w:sz w:val="20"/>
                <w:szCs w:val="20"/>
                <w:lang w:eastAsia="en-AU"/>
              </w:rPr>
              <w:drawing>
                <wp:inline distT="0" distB="0" distL="0" distR="0" wp14:anchorId="3EADBC70" wp14:editId="4D434E73">
                  <wp:extent cx="2848610" cy="1735931"/>
                  <wp:effectExtent l="0" t="0" r="0" b="0"/>
                  <wp:docPr id="14" name="Picture 14" descr="Figure 1: Kaplan Meier plot of OS for the PROfound trial – final analysis (March 2020 data cut)&#10;B: BRCA1/2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1: Kaplan Meier plot of OS for the PROfound trial – final analysis (March 2020 data cut)&#10;B: BRCA1/2 subgrou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8610" cy="1735931"/>
                          </a:xfrm>
                          <a:prstGeom prst="rect">
                            <a:avLst/>
                          </a:prstGeom>
                        </pic:spPr>
                      </pic:pic>
                    </a:graphicData>
                  </a:graphic>
                </wp:inline>
              </w:drawing>
            </w:r>
          </w:p>
        </w:tc>
      </w:tr>
      <w:tr w:rsidR="00A042A9" w:rsidRPr="00CA4838" w14:paraId="462897D8" w14:textId="77777777" w:rsidTr="00ED665A">
        <w:tc>
          <w:tcPr>
            <w:tcW w:w="4256" w:type="dxa"/>
            <w:shd w:val="clear" w:color="auto" w:fill="BDD6EE" w:themeFill="accent1" w:themeFillTint="66"/>
          </w:tcPr>
          <w:p w14:paraId="14CD2E94" w14:textId="77777777" w:rsidR="00A042A9" w:rsidRPr="00AB515A" w:rsidRDefault="00A042A9" w:rsidP="00ED665A">
            <w:pPr>
              <w:keepNext/>
              <w:spacing w:before="0"/>
              <w:rPr>
                <w:rFonts w:ascii="Arial Narrow" w:hAnsi="Arial Narrow"/>
                <w:b/>
                <w:iCs/>
                <w:sz w:val="20"/>
                <w:szCs w:val="20"/>
                <w:lang w:val="en-AU"/>
              </w:rPr>
            </w:pPr>
            <w:r w:rsidRPr="00AB515A">
              <w:rPr>
                <w:rFonts w:ascii="Arial Narrow" w:hAnsi="Arial Narrow"/>
                <w:b/>
                <w:bCs/>
                <w:iCs/>
                <w:sz w:val="20"/>
                <w:szCs w:val="20"/>
                <w:shd w:val="clear" w:color="auto" w:fill="BDD6EE" w:themeFill="accent1" w:themeFillTint="66"/>
              </w:rPr>
              <w:t>C: BRCAwt (Cohort B)</w:t>
            </w:r>
            <w:r w:rsidRPr="00AB515A">
              <w:rPr>
                <w:rFonts w:ascii="Arial Narrow" w:hAnsi="Arial Narrow"/>
                <w:iCs/>
                <w:noProof/>
                <w:sz w:val="20"/>
                <w:szCs w:val="20"/>
                <w:shd w:val="clear" w:color="auto" w:fill="BDD6EE" w:themeFill="accent1" w:themeFillTint="66"/>
              </w:rPr>
              <w:t>*</w:t>
            </w:r>
            <w:r w:rsidRPr="00AB515A">
              <w:rPr>
                <w:rFonts w:ascii="Arial Narrow" w:hAnsi="Arial Narrow"/>
                <w:iCs/>
                <w:noProof/>
                <w:sz w:val="20"/>
                <w:szCs w:val="20"/>
                <w:shd w:val="clear" w:color="auto" w:fill="BDD6EE" w:themeFill="accent1" w:themeFillTint="66"/>
              </w:rPr>
              <w:tab/>
            </w:r>
          </w:p>
        </w:tc>
        <w:tc>
          <w:tcPr>
            <w:tcW w:w="4760" w:type="dxa"/>
          </w:tcPr>
          <w:p w14:paraId="1E8096DE" w14:textId="77777777" w:rsidR="00A042A9" w:rsidRPr="00FF4741" w:rsidRDefault="00A042A9" w:rsidP="00ED665A">
            <w:pPr>
              <w:keepNext/>
              <w:spacing w:before="0"/>
              <w:rPr>
                <w:rFonts w:ascii="Arial Narrow" w:hAnsi="Arial Narrow"/>
                <w:b/>
                <w:sz w:val="20"/>
                <w:szCs w:val="20"/>
                <w:lang w:val="en-AU"/>
              </w:rPr>
            </w:pPr>
            <w:r w:rsidRPr="00FF4741">
              <w:rPr>
                <w:rFonts w:ascii="Arial Narrow" w:hAnsi="Arial Narrow"/>
                <w:b/>
                <w:bCs/>
                <w:sz w:val="20"/>
                <w:szCs w:val="20"/>
                <w:lang w:val="en-AU"/>
              </w:rPr>
              <w:t xml:space="preserve">D: </w:t>
            </w:r>
            <w:r w:rsidRPr="00AB515A">
              <w:rPr>
                <w:rFonts w:ascii="Arial Narrow" w:hAnsi="Arial Narrow"/>
                <w:b/>
                <w:bCs/>
                <w:sz w:val="20"/>
                <w:szCs w:val="20"/>
              </w:rPr>
              <w:t>BRCAwt (Cohort A+B)</w:t>
            </w:r>
          </w:p>
        </w:tc>
      </w:tr>
      <w:tr w:rsidR="00A042A9" w:rsidRPr="00CA4838" w14:paraId="79C58578" w14:textId="77777777" w:rsidTr="00ED665A">
        <w:tc>
          <w:tcPr>
            <w:tcW w:w="4256" w:type="dxa"/>
            <w:shd w:val="clear" w:color="auto" w:fill="BDD6EE" w:themeFill="accent1" w:themeFillTint="66"/>
          </w:tcPr>
          <w:p w14:paraId="1E56011A" w14:textId="77777777" w:rsidR="00A042A9" w:rsidRPr="00CA4838" w:rsidRDefault="00A042A9" w:rsidP="00ED665A">
            <w:pPr>
              <w:keepNext/>
              <w:spacing w:before="0"/>
              <w:rPr>
                <w:rFonts w:ascii="Arial Narrow" w:hAnsi="Arial Narrow"/>
                <w:sz w:val="20"/>
                <w:szCs w:val="20"/>
                <w:lang w:val="en-AU"/>
              </w:rPr>
            </w:pPr>
            <w:r w:rsidRPr="00CA4838">
              <w:rPr>
                <w:noProof/>
                <w:shd w:val="clear" w:color="auto" w:fill="BDD6EE" w:themeFill="accent1" w:themeFillTint="66"/>
                <w:lang w:eastAsia="en-AU"/>
              </w:rPr>
              <w:drawing>
                <wp:inline distT="0" distB="0" distL="0" distR="0" wp14:anchorId="1AE8CE6A" wp14:editId="31EB4D03">
                  <wp:extent cx="2692015" cy="1762963"/>
                  <wp:effectExtent l="0" t="0" r="0" b="8890"/>
                  <wp:docPr id="15" name="Picture 15" descr="Figure 1: Kaplan Meier plot of OS for the PROfound trial – final analysis (March 2020 data cut)&#10;C: BRCAwt (Coho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1: Kaplan Meier plot of OS for the PROfound trial – final analysis (March 2020 data cut)&#10;C: BRCAwt (Cohort B)*"/>
                          <pic:cNvPicPr/>
                        </pic:nvPicPr>
                        <pic:blipFill>
                          <a:blip r:embed="rId10" cstate="screen">
                            <a:extLst>
                              <a:ext uri="{BEBA8EAE-BF5A-486C-A8C5-ECC9F3942E4B}">
                                <a14:imgProps xmlns:a14="http://schemas.microsoft.com/office/drawing/2010/main">
                                  <a14:imgLayer r:embed="rId11">
                                    <a14:imgEffect>
                                      <a14:sharpenSoften amount="31000"/>
                                    </a14:imgEffect>
                                    <a14:imgEffect>
                                      <a14:saturation sat="271000"/>
                                    </a14:imgEffect>
                                    <a14:imgEffect>
                                      <a14:brightnessContrast contrast="30000"/>
                                    </a14:imgEffect>
                                  </a14:imgLayer>
                                </a14:imgProps>
                              </a:ext>
                              <a:ext uri="{28A0092B-C50C-407E-A947-70E740481C1C}">
                                <a14:useLocalDpi xmlns:a14="http://schemas.microsoft.com/office/drawing/2010/main"/>
                              </a:ext>
                            </a:extLst>
                          </a:blip>
                          <a:stretch>
                            <a:fillRect/>
                          </a:stretch>
                        </pic:blipFill>
                        <pic:spPr>
                          <a:xfrm>
                            <a:off x="0" y="0"/>
                            <a:ext cx="2707526" cy="1773121"/>
                          </a:xfrm>
                          <a:prstGeom prst="rect">
                            <a:avLst/>
                          </a:prstGeom>
                        </pic:spPr>
                      </pic:pic>
                    </a:graphicData>
                  </a:graphic>
                </wp:inline>
              </w:drawing>
            </w:r>
          </w:p>
        </w:tc>
        <w:tc>
          <w:tcPr>
            <w:tcW w:w="4760" w:type="dxa"/>
          </w:tcPr>
          <w:p w14:paraId="64750ECC" w14:textId="77777777" w:rsidR="00A042A9" w:rsidRPr="00CA4838" w:rsidRDefault="00A042A9" w:rsidP="00ED665A">
            <w:pPr>
              <w:keepNext/>
              <w:spacing w:before="0"/>
              <w:rPr>
                <w:noProof/>
                <w:lang w:val="en-AU"/>
              </w:rPr>
            </w:pPr>
            <w:r w:rsidRPr="00CA4838">
              <w:rPr>
                <w:noProof/>
                <w:lang w:eastAsia="en-AU"/>
              </w:rPr>
              <w:drawing>
                <wp:inline distT="0" distB="0" distL="0" distR="0" wp14:anchorId="66478C12" wp14:editId="5628CBF0">
                  <wp:extent cx="3015384" cy="1837426"/>
                  <wp:effectExtent l="0" t="0" r="0" b="0"/>
                  <wp:docPr id="16" name="Picture 16" descr="Figure 1: Kaplan Meier plot of OS for the PROfound trial – final analysis (March 2020 data cut)&#10;D: BRCAwt (Cohort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1: Kaplan Meier plot of OS for the PROfound trial – final analysis (March 2020 data cut)&#10;D: BRCAwt (Cohort A+B)"/>
                          <pic:cNvPicPr/>
                        </pic:nvPicPr>
                        <pic:blipFill rotWithShape="1">
                          <a:blip r:embed="rId12">
                            <a:extLst>
                              <a:ext uri="{BEBA8EAE-BF5A-486C-A8C5-ECC9F3942E4B}">
                                <a14:imgProps xmlns:a14="http://schemas.microsoft.com/office/drawing/2010/main">
                                  <a14:imgLayer r:embed="rId13">
                                    <a14:imgEffect>
                                      <a14:sharpenSoften amount="66000"/>
                                    </a14:imgEffect>
                                  </a14:imgLayer>
                                </a14:imgProps>
                              </a:ext>
                            </a:extLst>
                          </a:blip>
                          <a:srcRect l="956" t="7795" r="956"/>
                          <a:stretch/>
                        </pic:blipFill>
                        <pic:spPr bwMode="auto">
                          <a:xfrm>
                            <a:off x="0" y="0"/>
                            <a:ext cx="3021741" cy="18413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99E32DF" w14:textId="77777777" w:rsidR="00A042A9" w:rsidRPr="00CA4838" w:rsidRDefault="00A042A9" w:rsidP="00A042A9">
      <w:pPr>
        <w:spacing w:before="0" w:after="0"/>
        <w:rPr>
          <w:szCs w:val="18"/>
        </w:rPr>
      </w:pPr>
      <w:r w:rsidRPr="00CA4838">
        <w:rPr>
          <w:rFonts w:ascii="Arial Narrow" w:hAnsi="Arial Narrow"/>
          <w:sz w:val="18"/>
          <w:szCs w:val="18"/>
          <w:shd w:val="clear" w:color="auto" w:fill="BDD6EE" w:themeFill="accent1" w:themeFillTint="66"/>
        </w:rPr>
        <w:t>Blue shading</w:t>
      </w:r>
      <w:r w:rsidRPr="00CA4838">
        <w:rPr>
          <w:rFonts w:ascii="Arial Narrow" w:hAnsi="Arial Narrow"/>
          <w:sz w:val="18"/>
          <w:szCs w:val="18"/>
        </w:rPr>
        <w:t>=data previously seen by the PBAC</w:t>
      </w:r>
    </w:p>
    <w:p w14:paraId="35126C9B" w14:textId="77777777" w:rsidR="00A042A9" w:rsidRPr="00CA4838" w:rsidRDefault="00A042A9" w:rsidP="00A042A9">
      <w:pPr>
        <w:pStyle w:val="TableFigureFooter"/>
      </w:pPr>
      <w:r w:rsidRPr="00CA4838">
        <w:t>Source: Figure 1, olaparib PSD, March 2021, Figures 22, 23 and 24, pp209-210 of the resubmission. Figure 1A of Hussain et al 2020* (used instead of Figure 20 in the resubmission due to better image clarity).</w:t>
      </w:r>
    </w:p>
    <w:p w14:paraId="1EDD36C0" w14:textId="77777777" w:rsidR="00A042A9" w:rsidRPr="00CA4838" w:rsidRDefault="00A042A9" w:rsidP="00A042A9">
      <w:pPr>
        <w:pStyle w:val="TableFigureFooter"/>
      </w:pPr>
      <w:r w:rsidRPr="00AB515A">
        <w:rPr>
          <w:iCs/>
        </w:rPr>
        <w:t>BRCAwt</w:t>
      </w:r>
      <w:r w:rsidRPr="00FF4741">
        <w:rPr>
          <w:iCs/>
        </w:rPr>
        <w:t>=</w:t>
      </w:r>
      <w:r w:rsidRPr="00AB515A">
        <w:rPr>
          <w:iCs/>
        </w:rPr>
        <w:t>BRCA1/2</w:t>
      </w:r>
      <w:r w:rsidRPr="00CA4838">
        <w:rPr>
          <w:i/>
        </w:rPr>
        <w:t>-</w:t>
      </w:r>
      <w:r w:rsidRPr="00CA4838">
        <w:t>negative, BIRC= blinded independent central review, rPFS=radiographic progression-free survival</w:t>
      </w:r>
    </w:p>
    <w:p w14:paraId="278A1F52" w14:textId="77777777" w:rsidR="00A042A9" w:rsidRPr="00AB515A" w:rsidRDefault="00A042A9" w:rsidP="00A042A9">
      <w:pPr>
        <w:pStyle w:val="TableFigureFooter"/>
        <w:rPr>
          <w:shd w:val="clear" w:color="auto" w:fill="FFFFFF" w:themeFill="background1"/>
        </w:rPr>
      </w:pPr>
      <w:r w:rsidRPr="00FF4741">
        <w:t xml:space="preserve">* </w:t>
      </w:r>
      <w:r w:rsidRPr="00AB515A">
        <w:rPr>
          <w:shd w:val="clear" w:color="auto" w:fill="FFFFFF" w:themeFill="background1"/>
        </w:rPr>
        <w:t>The resubmission inconsistently used data from two different populations for the BRCAwt subgroup; rPFS results were from Cohort B and OS results were from BRCA-negative patients in both Cohort A and B. OS results for Cohort B were sourced during the evaluation.</w:t>
      </w:r>
    </w:p>
    <w:p w14:paraId="78E04FC6" w14:textId="77777777" w:rsidR="00A042A9" w:rsidRPr="00CA4838" w:rsidRDefault="00A042A9" w:rsidP="00A2713C">
      <w:pPr>
        <w:pStyle w:val="ListParagraph"/>
        <w:ind w:left="709"/>
        <w:rPr>
          <w:color w:val="auto"/>
        </w:rPr>
      </w:pPr>
      <w:r w:rsidRPr="00CA4838">
        <w:rPr>
          <w:color w:val="auto"/>
        </w:rPr>
        <w:t xml:space="preserve">The HRs for rPFS and OS comparing olaparib vs. NHS in the </w:t>
      </w:r>
      <w:r w:rsidRPr="008A4199">
        <w:rPr>
          <w:iCs/>
          <w:color w:val="auto"/>
        </w:rPr>
        <w:t>BRCAwt</w:t>
      </w:r>
      <w:r w:rsidRPr="00CA4838">
        <w:rPr>
          <w:color w:val="auto"/>
        </w:rPr>
        <w:t xml:space="preserve"> population were not statistically significant. </w:t>
      </w:r>
      <w:r w:rsidRPr="00F52B1D">
        <w:rPr>
          <w:color w:val="auto"/>
        </w:rPr>
        <w:t xml:space="preserve">The resubmission inconsistently used data from two different </w:t>
      </w:r>
      <w:r w:rsidRPr="00F52B1D">
        <w:t>populations</w:t>
      </w:r>
      <w:r w:rsidRPr="00F52B1D">
        <w:rPr>
          <w:color w:val="auto"/>
        </w:rPr>
        <w:t xml:space="preserve"> for the BRCAwt subgroup; rPFS results were from Cohort B and OS results were from BRCA-negative patients in both Cohort A and B. However, OS results for Cohort B added during the evaluation were similar to those from the BRCA</w:t>
      </w:r>
      <w:r w:rsidR="009101CA">
        <w:rPr>
          <w:color w:val="auto"/>
        </w:rPr>
        <w:noBreakHyphen/>
      </w:r>
      <w:r w:rsidRPr="00F52B1D">
        <w:rPr>
          <w:color w:val="auto"/>
        </w:rPr>
        <w:t>negative subgroup in Cohort A+B (HR=0.96 and 0.95, respectively).</w:t>
      </w:r>
      <w:r w:rsidRPr="00CA4838">
        <w:rPr>
          <w:color w:val="auto"/>
        </w:rPr>
        <w:t xml:space="preserve"> </w:t>
      </w:r>
    </w:p>
    <w:p w14:paraId="5061479B" w14:textId="77777777" w:rsidR="00A042A9" w:rsidRPr="00CA4838" w:rsidRDefault="00A042A9" w:rsidP="00A2713C">
      <w:pPr>
        <w:pStyle w:val="ListParagraph"/>
        <w:ind w:left="709"/>
        <w:rPr>
          <w:color w:val="auto"/>
        </w:rPr>
      </w:pPr>
      <w:r w:rsidRPr="00CA4838">
        <w:rPr>
          <w:color w:val="auto"/>
        </w:rPr>
        <w:t xml:space="preserve">Overall, the resubmission claimed the unadjusted results demonstrate that </w:t>
      </w:r>
      <w:r w:rsidRPr="00AB515A">
        <w:rPr>
          <w:iCs/>
          <w:color w:val="auto"/>
        </w:rPr>
        <w:t>BRCA1/2</w:t>
      </w:r>
      <w:r w:rsidRPr="00CA4838">
        <w:rPr>
          <w:color w:val="auto"/>
        </w:rPr>
        <w:t xml:space="preserve"> status is predictive of olaparib response in mCRPC. The resubmission noted the PBAC </w:t>
      </w:r>
      <w:r w:rsidR="00A1242D">
        <w:rPr>
          <w:color w:val="auto"/>
        </w:rPr>
        <w:t xml:space="preserve">previously </w:t>
      </w:r>
      <w:r w:rsidRPr="00CA4838">
        <w:rPr>
          <w:color w:val="auto"/>
        </w:rPr>
        <w:t xml:space="preserve">considered that olaparib demonstrated clinical efficacy in the </w:t>
      </w:r>
      <w:r w:rsidRPr="00AB515A">
        <w:rPr>
          <w:iCs/>
          <w:color w:val="auto"/>
        </w:rPr>
        <w:t>BRCA1/2</w:t>
      </w:r>
      <w:r w:rsidRPr="00CA4838">
        <w:rPr>
          <w:i/>
          <w:color w:val="auto"/>
        </w:rPr>
        <w:t xml:space="preserve"> </w:t>
      </w:r>
      <w:r w:rsidRPr="00CA4838">
        <w:rPr>
          <w:color w:val="auto"/>
        </w:rPr>
        <w:t xml:space="preserve">subgroup and a claim of </w:t>
      </w:r>
      <w:r w:rsidRPr="00A2713C">
        <w:t>superior</w:t>
      </w:r>
      <w:r w:rsidRPr="00CA4838">
        <w:rPr>
          <w:color w:val="auto"/>
        </w:rPr>
        <w:t xml:space="preserve"> comparative effectiveness over BSC was reasonable (paragraph 6.32, olaparib PSD, March 2021).</w:t>
      </w:r>
    </w:p>
    <w:p w14:paraId="3F04D5B5" w14:textId="77777777" w:rsidR="00A042A9" w:rsidRPr="000A2078" w:rsidRDefault="00A042A9" w:rsidP="00A042A9">
      <w:pPr>
        <w:pStyle w:val="Heading3"/>
        <w:numPr>
          <w:ilvl w:val="0"/>
          <w:numId w:val="0"/>
        </w:numPr>
        <w:rPr>
          <w:rStyle w:val="Emphasis"/>
          <w:i w:val="0"/>
          <w:iCs w:val="0"/>
        </w:rPr>
      </w:pPr>
      <w:r w:rsidRPr="000A2078">
        <w:rPr>
          <w:rStyle w:val="Emphasis"/>
          <w:i w:val="0"/>
          <w:iCs w:val="0"/>
        </w:rPr>
        <w:t>Adjustment for treatment switching</w:t>
      </w:r>
    </w:p>
    <w:p w14:paraId="378756C6" w14:textId="77777777" w:rsidR="00A042A9" w:rsidRPr="00CA4838" w:rsidRDefault="00A042A9" w:rsidP="00A2713C">
      <w:pPr>
        <w:pStyle w:val="ListParagraph"/>
        <w:ind w:left="709"/>
        <w:rPr>
          <w:color w:val="auto"/>
        </w:rPr>
      </w:pPr>
      <w:r w:rsidRPr="00CA4838">
        <w:t xml:space="preserve">The March 2021 submission adjusted OS data for treatment switching </w:t>
      </w:r>
      <w:r w:rsidRPr="00CA4838">
        <w:rPr>
          <w:color w:val="auto"/>
        </w:rPr>
        <w:t>using RPSFTM with recensoring</w:t>
      </w:r>
      <w:r w:rsidRPr="00CA4838">
        <w:t xml:space="preserve">, and the adjusted HR in the </w:t>
      </w:r>
      <w:r w:rsidRPr="00AB515A">
        <w:rPr>
          <w:iCs/>
        </w:rPr>
        <w:t>BRCA1/2</w:t>
      </w:r>
      <w:r w:rsidRPr="00CA4838">
        <w:t xml:space="preserve"> subgroup (HR=0.28) was applied to the economic model. </w:t>
      </w:r>
      <w:r w:rsidRPr="00CA4838">
        <w:rPr>
          <w:color w:val="auto"/>
        </w:rPr>
        <w:t xml:space="preserve">The PBAC noted there was insufficient justification of the method selected. The PBAC also noted that the change in the point estimate was considerable when compared to the unadjusted value (HR=0.63) and the adjusted </w:t>
      </w:r>
      <w:r w:rsidRPr="00A2713C">
        <w:t>value</w:t>
      </w:r>
      <w:r w:rsidRPr="00CA4838">
        <w:rPr>
          <w:color w:val="auto"/>
        </w:rPr>
        <w:t xml:space="preserve"> f</w:t>
      </w:r>
      <w:r w:rsidR="00B06518">
        <w:rPr>
          <w:color w:val="auto"/>
        </w:rPr>
        <w:t>ro</w:t>
      </w:r>
      <w:r w:rsidRPr="00CA4838">
        <w:rPr>
          <w:color w:val="auto"/>
        </w:rPr>
        <w:t xml:space="preserve">m the RPSFTM without recensoring (HR=0.37); the model was highly sensitive to this adjustment (paragraph 7.11, olaparib PSD, March 2021). </w:t>
      </w:r>
      <w:r w:rsidR="002C5858" w:rsidRPr="00266EE3">
        <w:rPr>
          <w:color w:val="auto"/>
        </w:rPr>
        <w:t>While the results for Cohort A also varied depending on the adjustment method used, there were smaller differences among the various HRs</w:t>
      </w:r>
      <w:r w:rsidR="004E586C" w:rsidRPr="00266EE3">
        <w:rPr>
          <w:color w:val="auto"/>
        </w:rPr>
        <w:t xml:space="preserve"> than in the BRCA1/2 population</w:t>
      </w:r>
      <w:r w:rsidR="002C5858" w:rsidRPr="00266EE3">
        <w:rPr>
          <w:color w:val="auto"/>
        </w:rPr>
        <w:t>.</w:t>
      </w:r>
    </w:p>
    <w:p w14:paraId="5E18B17C" w14:textId="77777777" w:rsidR="008B5EB7" w:rsidRPr="00CD28A8" w:rsidRDefault="00A042A9" w:rsidP="00CD28A8">
      <w:pPr>
        <w:pStyle w:val="ListParagraph"/>
        <w:ind w:left="709"/>
        <w:rPr>
          <w:color w:val="auto"/>
        </w:rPr>
      </w:pPr>
      <w:r w:rsidRPr="00CA4838">
        <w:rPr>
          <w:color w:val="auto"/>
        </w:rPr>
        <w:t xml:space="preserve">The resubmission </w:t>
      </w:r>
      <w:r w:rsidRPr="00CA4838">
        <w:t>provided a technical report that compared</w:t>
      </w:r>
      <w:r w:rsidRPr="00CA4838">
        <w:rPr>
          <w:color w:val="auto"/>
        </w:rPr>
        <w:t xml:space="preserve"> methods</w:t>
      </w:r>
      <w:r w:rsidR="00B06518">
        <w:rPr>
          <w:color w:val="auto"/>
        </w:rPr>
        <w:t xml:space="preserve"> for adjustment</w:t>
      </w:r>
      <w:r w:rsidRPr="00CA4838">
        <w:rPr>
          <w:color w:val="auto"/>
        </w:rPr>
        <w:t xml:space="preserve">, particularly RPSFTM, Inverse Probability of Censoring Weighting (IPCW), and the Two-Stage Estimation (TSE). </w:t>
      </w:r>
      <w:bookmarkStart w:id="40" w:name="_Hlk81828950"/>
      <w:r w:rsidRPr="00CA4838">
        <w:rPr>
          <w:color w:val="auto"/>
        </w:rPr>
        <w:t xml:space="preserve">Results for Cohort A (including a third of patients with the ATM gene) are also illustrated given all validation studies presented in the resubmission and its technical report on treatment switching focused </w:t>
      </w:r>
      <w:r w:rsidRPr="00A2713C">
        <w:t>only</w:t>
      </w:r>
      <w:r w:rsidRPr="00CA4838">
        <w:rPr>
          <w:color w:val="auto"/>
        </w:rPr>
        <w:t xml:space="preserve"> on Cohort A.</w:t>
      </w:r>
      <w:bookmarkEnd w:id="40"/>
    </w:p>
    <w:p w14:paraId="745DCDCA" w14:textId="77777777" w:rsidR="00A042A9" w:rsidRPr="00CA4838" w:rsidRDefault="00A042A9" w:rsidP="00A042A9">
      <w:pPr>
        <w:pStyle w:val="TableFigureHeading"/>
      </w:pPr>
      <w:r>
        <w:t xml:space="preserve">Table </w:t>
      </w:r>
      <w:r w:rsidR="007C5E46">
        <w:rPr>
          <w:noProof/>
        </w:rPr>
        <w:t>6</w:t>
      </w:r>
      <w:r w:rsidR="004A4197">
        <w:rPr>
          <w:noProof/>
        </w:rPr>
        <w:t>:</w:t>
      </w:r>
      <w:r w:rsidRPr="00CA4838">
        <w:tab/>
        <w:t>Median OS and HR adjusted for switching using various methods in the resubmission</w:t>
      </w:r>
    </w:p>
    <w:tbl>
      <w:tblPr>
        <w:tblStyle w:val="PBACTableStyle"/>
        <w:tblW w:w="5000" w:type="pct"/>
        <w:tblLook w:val="04A0" w:firstRow="1" w:lastRow="0" w:firstColumn="1" w:lastColumn="0" w:noHBand="0" w:noVBand="1"/>
        <w:tblCaption w:val="Table 6: Median OS and HR adjusted for switching using various methods in the resubmission"/>
        <w:tblDescription w:val="Median OS and HR adjusted for switching using various methods in BRCAm patients"/>
      </w:tblPr>
      <w:tblGrid>
        <w:gridCol w:w="4674"/>
        <w:gridCol w:w="1845"/>
        <w:gridCol w:w="2497"/>
      </w:tblGrid>
      <w:tr w:rsidR="00A042A9" w:rsidRPr="00F52B1D" w14:paraId="602C6113" w14:textId="77777777" w:rsidTr="00862CD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592" w:type="pct"/>
          </w:tcPr>
          <w:p w14:paraId="4DACC63A" w14:textId="77777777" w:rsidR="00A042A9" w:rsidRPr="00862CDC" w:rsidRDefault="00A042A9" w:rsidP="00ED665A">
            <w:pPr>
              <w:pStyle w:val="TableText"/>
              <w:spacing w:before="0" w:after="0" w:line="257" w:lineRule="auto"/>
              <w:rPr>
                <w:bCs/>
              </w:rPr>
            </w:pPr>
            <w:bookmarkStart w:id="41" w:name="_Hlk81828974"/>
            <w:r w:rsidRPr="00862CDC">
              <w:rPr>
                <w:bCs/>
              </w:rPr>
              <w:t>Adjustment method</w:t>
            </w:r>
          </w:p>
        </w:tc>
        <w:tc>
          <w:tcPr>
            <w:tcW w:w="1023" w:type="pct"/>
          </w:tcPr>
          <w:p w14:paraId="783D850B" w14:textId="77777777" w:rsidR="00A042A9" w:rsidRPr="00862CDC" w:rsidRDefault="00A042A9" w:rsidP="00ED665A">
            <w:pPr>
              <w:pStyle w:val="TableText"/>
              <w:spacing w:before="0" w:after="0" w:line="257" w:lineRule="auto"/>
              <w:jc w:val="center"/>
              <w:cnfStyle w:val="100000000000" w:firstRow="1" w:lastRow="0" w:firstColumn="0" w:lastColumn="0" w:oddVBand="0" w:evenVBand="0" w:oddHBand="0" w:evenHBand="0" w:firstRowFirstColumn="0" w:firstRowLastColumn="0" w:lastRowFirstColumn="0" w:lastRowLastColumn="0"/>
              <w:rPr>
                <w:bCs/>
              </w:rPr>
            </w:pPr>
            <w:r w:rsidRPr="00862CDC">
              <w:rPr>
                <w:bCs/>
                <w:kern w:val="24"/>
              </w:rPr>
              <w:t>Median OS (months), NHA</w:t>
            </w:r>
          </w:p>
        </w:tc>
        <w:tc>
          <w:tcPr>
            <w:tcW w:w="1385" w:type="pct"/>
          </w:tcPr>
          <w:p w14:paraId="6B25FF5D" w14:textId="77777777" w:rsidR="00A042A9" w:rsidRPr="00862CDC" w:rsidRDefault="00A042A9" w:rsidP="00ED665A">
            <w:pPr>
              <w:pStyle w:val="TableText"/>
              <w:spacing w:before="0" w:after="0" w:line="257" w:lineRule="auto"/>
              <w:jc w:val="center"/>
              <w:cnfStyle w:val="100000000000" w:firstRow="1" w:lastRow="0" w:firstColumn="0" w:lastColumn="0" w:oddVBand="0" w:evenVBand="0" w:oddHBand="0" w:evenHBand="0" w:firstRowFirstColumn="0" w:firstRowLastColumn="0" w:lastRowFirstColumn="0" w:lastRowLastColumn="0"/>
              <w:rPr>
                <w:bCs/>
                <w:kern w:val="24"/>
              </w:rPr>
            </w:pPr>
            <w:r w:rsidRPr="00862CDC">
              <w:rPr>
                <w:bCs/>
                <w:kern w:val="24"/>
              </w:rPr>
              <w:t>HR (95% CI)</w:t>
            </w:r>
          </w:p>
          <w:p w14:paraId="2BC2831B" w14:textId="77777777" w:rsidR="00A042A9" w:rsidRPr="00862CDC" w:rsidRDefault="00A042A9" w:rsidP="00ED665A">
            <w:pPr>
              <w:pStyle w:val="TableText"/>
              <w:spacing w:before="0" w:after="0" w:line="257" w:lineRule="auto"/>
              <w:jc w:val="center"/>
              <w:cnfStyle w:val="100000000000" w:firstRow="1" w:lastRow="0" w:firstColumn="0" w:lastColumn="0" w:oddVBand="0" w:evenVBand="0" w:oddHBand="0" w:evenHBand="0" w:firstRowFirstColumn="0" w:firstRowLastColumn="0" w:lastRowFirstColumn="0" w:lastRowLastColumn="0"/>
              <w:rPr>
                <w:bCs/>
                <w:kern w:val="24"/>
              </w:rPr>
            </w:pPr>
            <w:r w:rsidRPr="00862CDC">
              <w:rPr>
                <w:bCs/>
                <w:kern w:val="24"/>
              </w:rPr>
              <w:t>Olaparib vs NHA</w:t>
            </w:r>
          </w:p>
        </w:tc>
      </w:tr>
      <w:tr w:rsidR="00A042A9" w:rsidRPr="00F52B1D" w14:paraId="696AC172"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0" w:type="pct"/>
            <w:gridSpan w:val="3"/>
          </w:tcPr>
          <w:p w14:paraId="2194ED92" w14:textId="77777777" w:rsidR="00A042A9" w:rsidRPr="00F52B1D" w:rsidRDefault="00A042A9" w:rsidP="00ED665A">
            <w:pPr>
              <w:pStyle w:val="TableText"/>
              <w:spacing w:before="0" w:after="0" w:line="257" w:lineRule="auto"/>
              <w:rPr>
                <w:b/>
              </w:rPr>
            </w:pPr>
            <w:r w:rsidRPr="00F52B1D">
              <w:rPr>
                <w:b/>
              </w:rPr>
              <w:t>Cohort A</w:t>
            </w:r>
          </w:p>
        </w:tc>
      </w:tr>
      <w:tr w:rsidR="00A042A9" w:rsidRPr="00F52B1D" w14:paraId="51DBDBC4"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3F8C103A" w14:textId="77777777" w:rsidR="00A042A9" w:rsidRPr="00F52B1D" w:rsidRDefault="00A042A9" w:rsidP="00ED665A">
            <w:pPr>
              <w:pStyle w:val="TableText"/>
              <w:spacing w:before="0" w:after="0" w:line="257" w:lineRule="auto"/>
            </w:pPr>
            <w:r w:rsidRPr="00F52B1D">
              <w:t>ITT (Cohort A)</w:t>
            </w:r>
          </w:p>
        </w:tc>
        <w:tc>
          <w:tcPr>
            <w:tcW w:w="1023" w:type="pct"/>
          </w:tcPr>
          <w:p w14:paraId="7B57446D"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14.70</w:t>
            </w:r>
          </w:p>
        </w:tc>
        <w:tc>
          <w:tcPr>
            <w:tcW w:w="1385" w:type="pct"/>
          </w:tcPr>
          <w:p w14:paraId="5DE9151D"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0.69 (0.50, 0.96)</w:t>
            </w:r>
          </w:p>
        </w:tc>
      </w:tr>
      <w:tr w:rsidR="00A042A9" w:rsidRPr="00F52B1D" w14:paraId="69389945"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7A8ACD0F" w14:textId="77777777" w:rsidR="00A042A9" w:rsidRPr="00F52B1D" w:rsidRDefault="00A042A9" w:rsidP="00ED665A">
            <w:pPr>
              <w:pStyle w:val="TableText"/>
              <w:spacing w:before="0" w:after="0" w:line="257" w:lineRule="auto"/>
            </w:pPr>
            <w:r w:rsidRPr="00F52B1D">
              <w:t>Excluding NHA patients who switched^</w:t>
            </w:r>
          </w:p>
        </w:tc>
        <w:tc>
          <w:tcPr>
            <w:tcW w:w="1023" w:type="pct"/>
          </w:tcPr>
          <w:p w14:paraId="39E9B701"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10.88</w:t>
            </w:r>
          </w:p>
        </w:tc>
        <w:tc>
          <w:tcPr>
            <w:tcW w:w="1385" w:type="pct"/>
          </w:tcPr>
          <w:p w14:paraId="561E7342"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0.39 (0.24, 0.65)</w:t>
            </w:r>
          </w:p>
        </w:tc>
      </w:tr>
      <w:tr w:rsidR="00A042A9" w:rsidRPr="00F52B1D" w14:paraId="710E8023"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3B5CD44B" w14:textId="77777777" w:rsidR="00A042A9" w:rsidRPr="00F52B1D" w:rsidRDefault="00A042A9" w:rsidP="00ED665A">
            <w:pPr>
              <w:pStyle w:val="TableText"/>
              <w:spacing w:before="0" w:after="0" w:line="257" w:lineRule="auto"/>
            </w:pPr>
            <w:r w:rsidRPr="00F52B1D">
              <w:t>RPSFTM (cox proportional hazards, no recensoring)</w:t>
            </w:r>
          </w:p>
        </w:tc>
        <w:tc>
          <w:tcPr>
            <w:tcW w:w="0" w:type="pct"/>
          </w:tcPr>
          <w:p w14:paraId="73490E1F"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11.99</w:t>
            </w:r>
          </w:p>
        </w:tc>
        <w:tc>
          <w:tcPr>
            <w:tcW w:w="1385" w:type="pct"/>
          </w:tcPr>
          <w:p w14:paraId="54AFA309"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0.50 (0.27, 0.93)</w:t>
            </w:r>
          </w:p>
        </w:tc>
      </w:tr>
      <w:tr w:rsidR="00A042A9" w:rsidRPr="00F52B1D" w14:paraId="48018A0B"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54569FD2" w14:textId="77777777" w:rsidR="00A042A9" w:rsidRPr="00F52B1D" w:rsidRDefault="00A042A9" w:rsidP="00ED665A">
            <w:pPr>
              <w:pStyle w:val="TableText"/>
              <w:spacing w:before="0" w:after="0" w:line="257" w:lineRule="auto"/>
            </w:pPr>
            <w:r w:rsidRPr="00F52B1D">
              <w:t>RPSFTM (cox proportional hazards, with recensoring)</w:t>
            </w:r>
          </w:p>
        </w:tc>
        <w:tc>
          <w:tcPr>
            <w:tcW w:w="0" w:type="pct"/>
          </w:tcPr>
          <w:p w14:paraId="1A3E24B7"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11.73</w:t>
            </w:r>
          </w:p>
        </w:tc>
        <w:tc>
          <w:tcPr>
            <w:tcW w:w="1385" w:type="pct"/>
          </w:tcPr>
          <w:p w14:paraId="5D1349C2"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0.42 (0.19, 0.91)</w:t>
            </w:r>
          </w:p>
        </w:tc>
      </w:tr>
      <w:tr w:rsidR="00A042A9" w:rsidRPr="00F52B1D" w14:paraId="7411E877"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7E19976B" w14:textId="77777777" w:rsidR="00A042A9" w:rsidRPr="00F52B1D" w:rsidRDefault="00A042A9" w:rsidP="00ED665A">
            <w:pPr>
              <w:pStyle w:val="TableText"/>
              <w:spacing w:before="0" w:after="0" w:line="257" w:lineRule="auto"/>
            </w:pPr>
            <w:r w:rsidRPr="00F52B1D">
              <w:t>IPCW</w:t>
            </w:r>
          </w:p>
        </w:tc>
        <w:tc>
          <w:tcPr>
            <w:tcW w:w="1023" w:type="pct"/>
          </w:tcPr>
          <w:p w14:paraId="36D2D264"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14.01</w:t>
            </w:r>
          </w:p>
        </w:tc>
        <w:tc>
          <w:tcPr>
            <w:tcW w:w="1385" w:type="pct"/>
          </w:tcPr>
          <w:p w14:paraId="50DE1D2B"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0.57 (0.33, 0.97)</w:t>
            </w:r>
          </w:p>
        </w:tc>
      </w:tr>
      <w:tr w:rsidR="00A042A9" w:rsidRPr="00F52B1D" w14:paraId="41282664"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6E100202" w14:textId="77777777" w:rsidR="00A042A9" w:rsidRPr="00F52B1D" w:rsidRDefault="00A042A9" w:rsidP="00ED665A">
            <w:pPr>
              <w:pStyle w:val="TableText"/>
              <w:spacing w:before="0" w:after="0" w:line="257" w:lineRule="auto"/>
            </w:pPr>
            <w:r w:rsidRPr="00F52B1D">
              <w:t>TSE (without recensoring)</w:t>
            </w:r>
          </w:p>
        </w:tc>
        <w:tc>
          <w:tcPr>
            <w:tcW w:w="1023" w:type="pct"/>
          </w:tcPr>
          <w:p w14:paraId="7729EC67"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14.33</w:t>
            </w:r>
          </w:p>
        </w:tc>
        <w:tc>
          <w:tcPr>
            <w:tcW w:w="1385" w:type="pct"/>
          </w:tcPr>
          <w:p w14:paraId="1E5F17FE"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0.66 (0.47, 0.92)</w:t>
            </w:r>
          </w:p>
        </w:tc>
      </w:tr>
      <w:tr w:rsidR="00A042A9" w:rsidRPr="00F52B1D" w14:paraId="528A7916"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3C55B03B" w14:textId="77777777" w:rsidR="00A042A9" w:rsidRPr="00F52B1D" w:rsidRDefault="00A042A9" w:rsidP="00ED665A">
            <w:pPr>
              <w:pStyle w:val="TableText"/>
              <w:spacing w:before="0" w:after="0" w:line="257" w:lineRule="auto"/>
            </w:pPr>
            <w:r w:rsidRPr="00F52B1D">
              <w:t>TSE (with recensoring)</w:t>
            </w:r>
          </w:p>
        </w:tc>
        <w:tc>
          <w:tcPr>
            <w:tcW w:w="1023" w:type="pct"/>
          </w:tcPr>
          <w:p w14:paraId="3E56A279"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15.00</w:t>
            </w:r>
          </w:p>
        </w:tc>
        <w:tc>
          <w:tcPr>
            <w:tcW w:w="1385" w:type="pct"/>
          </w:tcPr>
          <w:p w14:paraId="1CA3CA09"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0.72 (0.52, 1.01)</w:t>
            </w:r>
          </w:p>
        </w:tc>
      </w:tr>
      <w:tr w:rsidR="00A042A9" w:rsidRPr="00F52B1D" w14:paraId="25BE98C1"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0" w:type="pct"/>
            <w:gridSpan w:val="3"/>
          </w:tcPr>
          <w:p w14:paraId="25541537" w14:textId="77777777" w:rsidR="00A042A9" w:rsidRPr="00F52B1D" w:rsidRDefault="00A042A9" w:rsidP="00ED665A">
            <w:pPr>
              <w:pStyle w:val="TableText"/>
              <w:spacing w:before="0" w:after="0" w:line="257" w:lineRule="auto"/>
              <w:rPr>
                <w:b/>
              </w:rPr>
            </w:pPr>
            <w:r w:rsidRPr="00F52B1D">
              <w:rPr>
                <w:b/>
              </w:rPr>
              <w:t>BRCA1/2 subgroup</w:t>
            </w:r>
          </w:p>
        </w:tc>
      </w:tr>
      <w:tr w:rsidR="00A042A9" w:rsidRPr="00F52B1D" w14:paraId="4BBD9E36"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1BF6D951" w14:textId="77777777" w:rsidR="00A042A9" w:rsidRPr="00F52B1D" w:rsidRDefault="00A042A9" w:rsidP="00ED665A">
            <w:pPr>
              <w:pStyle w:val="TableText"/>
              <w:spacing w:before="0" w:after="0" w:line="257" w:lineRule="auto"/>
            </w:pPr>
            <w:r w:rsidRPr="00F52B1D">
              <w:t>ITT (BRCA1/2)</w:t>
            </w:r>
          </w:p>
        </w:tc>
        <w:tc>
          <w:tcPr>
            <w:tcW w:w="1023" w:type="pct"/>
          </w:tcPr>
          <w:p w14:paraId="67FBAA8D"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14.44</w:t>
            </w:r>
          </w:p>
        </w:tc>
        <w:tc>
          <w:tcPr>
            <w:tcW w:w="1385" w:type="pct"/>
          </w:tcPr>
          <w:p w14:paraId="3CCAD0EB"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eastAsia="TimesNewRoman" w:cs="Arial"/>
                <w:sz w:val="19"/>
                <w:szCs w:val="19"/>
              </w:rPr>
              <w:t>0.63 (0.42, 0.95)</w:t>
            </w:r>
          </w:p>
        </w:tc>
      </w:tr>
      <w:tr w:rsidR="00A042A9" w:rsidRPr="00F52B1D" w14:paraId="0A9FFF07"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446B6B76" w14:textId="77777777" w:rsidR="00A042A9" w:rsidRPr="00F52B1D" w:rsidRDefault="00A042A9" w:rsidP="00ED665A">
            <w:pPr>
              <w:pStyle w:val="TableText"/>
              <w:spacing w:before="0" w:after="0" w:line="257" w:lineRule="auto"/>
            </w:pPr>
            <w:r w:rsidRPr="00F52B1D">
              <w:t xml:space="preserve">Excluding NHA patients who switched^ </w:t>
            </w:r>
          </w:p>
        </w:tc>
        <w:tc>
          <w:tcPr>
            <w:tcW w:w="1023" w:type="pct"/>
          </w:tcPr>
          <w:p w14:paraId="680672A5"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6.35</w:t>
            </w:r>
          </w:p>
        </w:tc>
        <w:tc>
          <w:tcPr>
            <w:tcW w:w="1385" w:type="pct"/>
          </w:tcPr>
          <w:p w14:paraId="5A69098B"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rPr>
                <w:rFonts w:eastAsia="TimesNewRoman" w:cs="Arial"/>
                <w:sz w:val="19"/>
                <w:szCs w:val="19"/>
              </w:rPr>
            </w:pPr>
            <w:r w:rsidRPr="00F52B1D">
              <w:rPr>
                <w:rFonts w:eastAsia="TimesNewRoman" w:cs="Arial"/>
                <w:sz w:val="19"/>
                <w:szCs w:val="19"/>
              </w:rPr>
              <w:t>0.22 (0.11, 0.41)</w:t>
            </w:r>
          </w:p>
        </w:tc>
      </w:tr>
      <w:tr w:rsidR="00A042A9" w:rsidRPr="00F52B1D" w14:paraId="5794CF79"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370767BD" w14:textId="77777777" w:rsidR="00A042A9" w:rsidRPr="00F52B1D" w:rsidRDefault="00A042A9" w:rsidP="00ED665A">
            <w:pPr>
              <w:pStyle w:val="TableText"/>
              <w:spacing w:before="0" w:after="0" w:line="257" w:lineRule="auto"/>
            </w:pPr>
            <w:r w:rsidRPr="00F52B1D">
              <w:t>RPSFTM (Cox proportional hazards, no recensoring)</w:t>
            </w:r>
          </w:p>
        </w:tc>
        <w:tc>
          <w:tcPr>
            <w:tcW w:w="1023" w:type="pct"/>
          </w:tcPr>
          <w:p w14:paraId="3223A058"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9.57</w:t>
            </w:r>
          </w:p>
        </w:tc>
        <w:tc>
          <w:tcPr>
            <w:tcW w:w="1385" w:type="pct"/>
          </w:tcPr>
          <w:p w14:paraId="1BCB0BEA"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0.37 (0.16, 0.83)</w:t>
            </w:r>
          </w:p>
        </w:tc>
      </w:tr>
      <w:tr w:rsidR="00A042A9" w:rsidRPr="00F52B1D" w14:paraId="6D757CF9"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02E82908" w14:textId="77777777" w:rsidR="00A042A9" w:rsidRPr="00F52B1D" w:rsidRDefault="00A042A9" w:rsidP="00ED665A">
            <w:pPr>
              <w:pStyle w:val="TableText"/>
              <w:spacing w:before="0" w:after="0" w:line="257" w:lineRule="auto"/>
              <w:rPr>
                <w:color w:val="auto"/>
              </w:rPr>
            </w:pPr>
            <w:r w:rsidRPr="00F52B1D">
              <w:rPr>
                <w:color w:val="auto"/>
              </w:rPr>
              <w:t>RPSFTM (Cox proportional hazards, with recensoring)*</w:t>
            </w:r>
          </w:p>
        </w:tc>
        <w:tc>
          <w:tcPr>
            <w:tcW w:w="1023" w:type="pct"/>
          </w:tcPr>
          <w:p w14:paraId="1F7AC3BE"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rPr>
                <w:color w:val="auto"/>
              </w:rPr>
            </w:pPr>
            <w:r w:rsidRPr="00F52B1D">
              <w:rPr>
                <w:color w:val="auto"/>
              </w:rPr>
              <w:t>9.15</w:t>
            </w:r>
          </w:p>
        </w:tc>
        <w:tc>
          <w:tcPr>
            <w:tcW w:w="1385" w:type="pct"/>
          </w:tcPr>
          <w:p w14:paraId="43B40D78"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rPr>
                <w:color w:val="auto"/>
              </w:rPr>
            </w:pPr>
            <w:r w:rsidRPr="00F52B1D">
              <w:rPr>
                <w:color w:val="auto"/>
              </w:rPr>
              <w:t>0.28 (0.10, 0.79)</w:t>
            </w:r>
          </w:p>
        </w:tc>
      </w:tr>
      <w:tr w:rsidR="00A042A9" w:rsidRPr="00F52B1D" w14:paraId="1CDEA53C"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4F484821" w14:textId="77777777" w:rsidR="00A042A9" w:rsidRPr="00F52B1D" w:rsidRDefault="00A042A9" w:rsidP="00ED665A">
            <w:pPr>
              <w:pStyle w:val="TableText"/>
              <w:spacing w:before="0" w:after="0" w:line="257" w:lineRule="auto"/>
            </w:pPr>
            <w:r w:rsidRPr="00F52B1D">
              <w:t>IPCW</w:t>
            </w:r>
          </w:p>
        </w:tc>
        <w:tc>
          <w:tcPr>
            <w:tcW w:w="1023" w:type="pct"/>
          </w:tcPr>
          <w:p w14:paraId="2303F494"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13.18</w:t>
            </w:r>
          </w:p>
        </w:tc>
        <w:tc>
          <w:tcPr>
            <w:tcW w:w="1385" w:type="pct"/>
          </w:tcPr>
          <w:p w14:paraId="69CA9C64"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0.40 (0.21, 0.77)</w:t>
            </w:r>
          </w:p>
        </w:tc>
      </w:tr>
      <w:tr w:rsidR="00A042A9" w:rsidRPr="00F52B1D" w14:paraId="3945997E" w14:textId="77777777" w:rsidTr="00862CDC">
        <w:trPr>
          <w:trHeight w:val="20"/>
        </w:trPr>
        <w:tc>
          <w:tcPr>
            <w:cnfStyle w:val="001000000000" w:firstRow="0" w:lastRow="0" w:firstColumn="1" w:lastColumn="0" w:oddVBand="0" w:evenVBand="0" w:oddHBand="0" w:evenHBand="0" w:firstRowFirstColumn="0" w:firstRowLastColumn="0" w:lastRowFirstColumn="0" w:lastRowLastColumn="0"/>
            <w:tcW w:w="2592" w:type="pct"/>
          </w:tcPr>
          <w:p w14:paraId="2475C0C5" w14:textId="77777777" w:rsidR="00A042A9" w:rsidRPr="00F52B1D" w:rsidRDefault="00A042A9" w:rsidP="00ED665A">
            <w:pPr>
              <w:pStyle w:val="TableText"/>
              <w:spacing w:before="0" w:after="0" w:line="257" w:lineRule="auto"/>
            </w:pPr>
            <w:r w:rsidRPr="00F52B1D">
              <w:t>TSE (without recensoring)</w:t>
            </w:r>
          </w:p>
        </w:tc>
        <w:tc>
          <w:tcPr>
            <w:tcW w:w="1023" w:type="pct"/>
          </w:tcPr>
          <w:p w14:paraId="54711477"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12.43</w:t>
            </w:r>
          </w:p>
        </w:tc>
        <w:tc>
          <w:tcPr>
            <w:tcW w:w="1385" w:type="pct"/>
          </w:tcPr>
          <w:p w14:paraId="112AFD56"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0.47 (0.26, 0.98)</w:t>
            </w:r>
          </w:p>
        </w:tc>
      </w:tr>
      <w:tr w:rsidR="00A042A9" w:rsidRPr="00F52B1D" w14:paraId="539602DA" w14:textId="77777777" w:rsidTr="00862CDC">
        <w:trPr>
          <w:trHeight w:val="52"/>
        </w:trPr>
        <w:tc>
          <w:tcPr>
            <w:cnfStyle w:val="001000000000" w:firstRow="0" w:lastRow="0" w:firstColumn="1" w:lastColumn="0" w:oddVBand="0" w:evenVBand="0" w:oddHBand="0" w:evenHBand="0" w:firstRowFirstColumn="0" w:firstRowLastColumn="0" w:lastRowFirstColumn="0" w:lastRowLastColumn="0"/>
            <w:tcW w:w="2592" w:type="pct"/>
          </w:tcPr>
          <w:p w14:paraId="3E1E5B07" w14:textId="77777777" w:rsidR="00A042A9" w:rsidRPr="00F52B1D" w:rsidRDefault="00A042A9" w:rsidP="00ED665A">
            <w:pPr>
              <w:pStyle w:val="TableText"/>
              <w:spacing w:before="0" w:after="0" w:line="257" w:lineRule="auto"/>
            </w:pPr>
            <w:r w:rsidRPr="00F52B1D">
              <w:t>TSE (with recensoring)</w:t>
            </w:r>
          </w:p>
        </w:tc>
        <w:tc>
          <w:tcPr>
            <w:tcW w:w="1023" w:type="pct"/>
          </w:tcPr>
          <w:p w14:paraId="2D96F6BB"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12.27</w:t>
            </w:r>
          </w:p>
        </w:tc>
        <w:tc>
          <w:tcPr>
            <w:tcW w:w="1385" w:type="pct"/>
          </w:tcPr>
          <w:p w14:paraId="13843FF3" w14:textId="77777777" w:rsidR="00A042A9" w:rsidRPr="00F52B1D" w:rsidRDefault="00A042A9" w:rsidP="00ED665A">
            <w:pPr>
              <w:pStyle w:val="TableT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t>0.57 (0.21, 1.05)</w:t>
            </w:r>
          </w:p>
        </w:tc>
      </w:tr>
    </w:tbl>
    <w:bookmarkEnd w:id="41"/>
    <w:p w14:paraId="3CF83A2A" w14:textId="77777777" w:rsidR="00A042A9" w:rsidRPr="00CA4838" w:rsidRDefault="00A042A9" w:rsidP="00A042A9">
      <w:pPr>
        <w:pStyle w:val="TableFigureFooter"/>
      </w:pPr>
      <w:r w:rsidRPr="00CA4838">
        <w:t>Source: Table 70, p215 of the resubmission</w:t>
      </w:r>
      <w:bookmarkStart w:id="42" w:name="_Hlk81829042"/>
      <w:r w:rsidRPr="00CA4838">
        <w:t xml:space="preserve">; Attachment 2.25 of the resubmission </w:t>
      </w:r>
      <w:bookmarkEnd w:id="42"/>
      <w:r w:rsidRPr="00CA4838">
        <w:t>and Table 14.2.4.5, CSR DCO2 Tables and Figures.</w:t>
      </w:r>
    </w:p>
    <w:p w14:paraId="19DC365A" w14:textId="77777777" w:rsidR="00A042A9" w:rsidRPr="00CA4838" w:rsidRDefault="00A042A9" w:rsidP="00A042A9">
      <w:pPr>
        <w:pStyle w:val="TableFigureFooter"/>
      </w:pPr>
      <w:r w:rsidRPr="00CA4838">
        <w:t>IPCW=Inverse Probability of Censoring Weighting, HR=hazard ratio, ITT=intention to treat, NHA=novel hormonal agent, OS=overall survival, RPSFTM=Rank Preserving Structural Failure Time Model, TSE=Two-Stage Estimation.</w:t>
      </w:r>
    </w:p>
    <w:p w14:paraId="301DCD0C" w14:textId="77777777" w:rsidR="00A042A9" w:rsidRPr="00CA4838" w:rsidRDefault="00A042A9" w:rsidP="00A042A9">
      <w:pPr>
        <w:pStyle w:val="TableFigureFooter"/>
      </w:pPr>
      <w:r w:rsidRPr="00CA4838">
        <w:t xml:space="preserve">* </w:t>
      </w:r>
      <w:r w:rsidRPr="00CA4838">
        <w:tab/>
        <w:t>Used in the base case economic model</w:t>
      </w:r>
    </w:p>
    <w:p w14:paraId="0250219A" w14:textId="77777777" w:rsidR="00A042A9" w:rsidRPr="00F52B1D" w:rsidRDefault="00A042A9" w:rsidP="00AB515A">
      <w:pPr>
        <w:pStyle w:val="TableFigureFooter"/>
      </w:pPr>
      <w:bookmarkStart w:id="43" w:name="_Hlk81829032"/>
      <w:r w:rsidRPr="00CA4838">
        <w:t>^</w:t>
      </w:r>
      <w:r w:rsidRPr="00CA4838">
        <w:tab/>
        <w:t xml:space="preserve">naïve method for adjustment which is likely to be biased as it removes individuals who have switched from the analysis. </w:t>
      </w:r>
      <w:bookmarkEnd w:id="43"/>
    </w:p>
    <w:p w14:paraId="5725B50F" w14:textId="77777777" w:rsidR="00A042A9" w:rsidRPr="00F52B1D" w:rsidRDefault="00A042A9" w:rsidP="00A2713C">
      <w:pPr>
        <w:pStyle w:val="ListParagraph"/>
        <w:ind w:left="709"/>
      </w:pPr>
      <w:r w:rsidRPr="00F52B1D">
        <w:t>Th</w:t>
      </w:r>
      <w:r w:rsidR="002C5858">
        <w:t xml:space="preserve">e variability in HRs for the different methods of </w:t>
      </w:r>
      <w:r w:rsidR="007317D8">
        <w:t>adjustment</w:t>
      </w:r>
      <w:r w:rsidRPr="00F52B1D">
        <w:t xml:space="preserve"> is likely due to the considerably smaller sample size of the BRCA1/2 subgroup (n=58 in the NHA arm), including 40/58 (69%) who switched and leaving only 18 patients (31%) who did not switch. There is a high risk of bias associated with all adjustment methods when the sample size is small. If the majority of patients switch and the sample size is very small, such methods are unlikely to produce reliable results. </w:t>
      </w:r>
    </w:p>
    <w:p w14:paraId="5C9FEF6B" w14:textId="77777777" w:rsidR="00A042A9" w:rsidRPr="00F52B1D" w:rsidRDefault="00A042A9" w:rsidP="00A2713C">
      <w:pPr>
        <w:pStyle w:val="ListParagraph"/>
        <w:ind w:left="709"/>
      </w:pPr>
      <w:r w:rsidRPr="00F52B1D">
        <w:t>The small sample size is particularly challenging for methods such as IPCW, which bases its adjustments on the survival experience of control patients who do not switch treatments. The resubmission also explained that the TSE may not be appropriate due to time varying treatment, given some patients had a considerable lag between BICR-confirmed progression and switch day.</w:t>
      </w:r>
    </w:p>
    <w:p w14:paraId="7EB0CD16" w14:textId="3C9CC678" w:rsidR="00A042A9" w:rsidRPr="00F52B1D" w:rsidRDefault="002C5858" w:rsidP="00A2713C">
      <w:pPr>
        <w:pStyle w:val="ListParagraph"/>
        <w:ind w:left="709"/>
        <w:rPr>
          <w:iCs/>
        </w:rPr>
      </w:pPr>
      <w:r w:rsidRPr="00266EE3">
        <w:t>Overall</w:t>
      </w:r>
      <w:r w:rsidR="0030433E">
        <w:t xml:space="preserve"> </w:t>
      </w:r>
      <w:r w:rsidRPr="00266EE3">
        <w:t xml:space="preserve">the ESC considered that </w:t>
      </w:r>
      <w:r w:rsidR="00A042A9" w:rsidRPr="00266EE3">
        <w:t xml:space="preserve">RPSFTM </w:t>
      </w:r>
      <w:r w:rsidRPr="00266EE3">
        <w:t>appeared to be the most appropriate method, given these issues for IPCW and TSE</w:t>
      </w:r>
      <w:r w:rsidR="00902924" w:rsidRPr="00266EE3">
        <w:t xml:space="preserve"> methods</w:t>
      </w:r>
      <w:r w:rsidR="00A042A9" w:rsidRPr="00266EE3">
        <w:t>. However, there were concerns regarding</w:t>
      </w:r>
      <w:r w:rsidR="00A042A9" w:rsidRPr="00F52B1D">
        <w:rPr>
          <w:iCs/>
        </w:rPr>
        <w:t xml:space="preserve"> whether the underlying assumptions for </w:t>
      </w:r>
      <w:r w:rsidR="00A042A9" w:rsidRPr="00F52B1D">
        <w:t>RPSFTM</w:t>
      </w:r>
      <w:r w:rsidR="00A042A9" w:rsidRPr="00F52B1D">
        <w:rPr>
          <w:iCs/>
        </w:rPr>
        <w:t xml:space="preserve"> were met: i) randomisation and ii) </w:t>
      </w:r>
      <w:r w:rsidR="00A042A9" w:rsidRPr="00F52B1D">
        <w:t>common</w:t>
      </w:r>
      <w:r w:rsidR="00A042A9" w:rsidRPr="00F52B1D">
        <w:rPr>
          <w:iCs/>
        </w:rPr>
        <w:t xml:space="preserve"> treatment effect. The resubmission presented analyses to demonstrate the plausibility of these assumptions for Cohort A, but none were conducted for the BRCA1/2 subgroup. Differences in baseline patient characteristics were noted across the treatment arms for the BRCA1/2 subgroup, suggesting the randomisation assumption was not met</w:t>
      </w:r>
      <w:r>
        <w:rPr>
          <w:iCs/>
        </w:rPr>
        <w:t xml:space="preserve"> (see paragraph </w:t>
      </w:r>
      <w:r w:rsidR="007C5E46">
        <w:rPr>
          <w:iCs/>
        </w:rPr>
        <w:t>6.13</w:t>
      </w:r>
      <w:r>
        <w:rPr>
          <w:iCs/>
        </w:rPr>
        <w:t>)</w:t>
      </w:r>
      <w:r w:rsidR="00A042A9" w:rsidRPr="00F52B1D">
        <w:rPr>
          <w:iCs/>
        </w:rPr>
        <w:t xml:space="preserve">. Furthermore, given the short time period before switching and the fact that patients switched after disease </w:t>
      </w:r>
      <w:r w:rsidR="00A042A9" w:rsidRPr="00266EE3">
        <w:rPr>
          <w:iCs/>
        </w:rPr>
        <w:t xml:space="preserve">progression, </w:t>
      </w:r>
      <w:r w:rsidR="009101CA" w:rsidRPr="00266EE3">
        <w:rPr>
          <w:iCs/>
        </w:rPr>
        <w:t xml:space="preserve">the commentary considered </w:t>
      </w:r>
      <w:r w:rsidR="00A042A9" w:rsidRPr="00266EE3">
        <w:rPr>
          <w:iCs/>
        </w:rPr>
        <w:t>it is not possible to confirm the plausibility</w:t>
      </w:r>
      <w:r w:rsidR="00A042A9" w:rsidRPr="00F52B1D">
        <w:rPr>
          <w:iCs/>
        </w:rPr>
        <w:t xml:space="preserve"> of the common treatment effect assumption.</w:t>
      </w:r>
      <w:r w:rsidR="00A806CA">
        <w:rPr>
          <w:iCs/>
        </w:rPr>
        <w:t xml:space="preserve"> </w:t>
      </w:r>
    </w:p>
    <w:p w14:paraId="5FB8B070" w14:textId="77777777" w:rsidR="00952FF2" w:rsidRPr="00F52B1D" w:rsidRDefault="00595AB5" w:rsidP="00A2713C">
      <w:pPr>
        <w:pStyle w:val="ListParagraph"/>
        <w:ind w:left="709"/>
      </w:pPr>
      <w:r>
        <w:rPr>
          <w:iCs/>
        </w:rPr>
        <w:t>The commentary stated that f</w:t>
      </w:r>
      <w:r w:rsidR="00A042A9" w:rsidRPr="00F52B1D">
        <w:rPr>
          <w:iCs/>
        </w:rPr>
        <w:t>urther assessment of the plausibility of the common treatment effect assumption in the BRCA1/2 subgroup is needed, including: i) sensitivity analysis varying the assumed treatment effect in switchers (as was conducted for Cohort A), ii) a comparison of PFS for patients randomised to olaparib versus the secondary PFS for patients who had switched to olaparib, and iii) a regression analysis on the survival times after disease progression, comparing NHA patients who switched to olaparib with the NHA patients who did not switch, to obtain an estimate of the effect of olaparib treatment specific to switching patients.</w:t>
      </w:r>
      <w:r>
        <w:rPr>
          <w:iCs/>
        </w:rPr>
        <w:t xml:space="preserve"> </w:t>
      </w:r>
      <w:r w:rsidRPr="00266EE3">
        <w:rPr>
          <w:iCs/>
        </w:rPr>
        <w:t>The ESC noted that this was not provided with the PSCR but the PSCR argued that the common treatment effect was demonstrated for the Cohort A population and judged likely to hold for the BRCA population (64% of cohort A). The ESC considered that the statistical analysis report provided with the resubmission was comprehensive and transparent in its investigation of the common treatment effect, but was limited in that it did not directly address the BRCA1/2 subgroup.</w:t>
      </w:r>
    </w:p>
    <w:p w14:paraId="4B55A4CF" w14:textId="77777777" w:rsidR="00694C3B" w:rsidRPr="00266EE3" w:rsidRDefault="00A042A9" w:rsidP="00952FF2">
      <w:pPr>
        <w:pStyle w:val="ListParagraph"/>
        <w:ind w:left="709"/>
        <w:rPr>
          <w:iCs/>
        </w:rPr>
      </w:pPr>
      <w:bookmarkStart w:id="44" w:name="_Hlk85622470"/>
      <w:r w:rsidRPr="00952FF2">
        <w:rPr>
          <w:iCs/>
        </w:rPr>
        <w:t>In considering the RPSFTM method, in particular, recensoring is associated with a negative</w:t>
      </w:r>
      <w:r w:rsidRPr="00952FF2">
        <w:t xml:space="preserve"> bias (i.e., underestimating the control group restricted mean survival and therefore over-estimating olaparib’s treatment effect) and may not be appropriate for the BRCA1/2 data in PROfound. The technical report accompanying the resubmission also acknowledged this (p42) and recommended that results without recensoring should be used to inform the model base case as recensoring disregards important information about the treatment effect in the long term. </w:t>
      </w:r>
      <w:bookmarkEnd w:id="44"/>
      <w:r w:rsidRPr="00952FF2">
        <w:t>The adjusted HR using RPSFTM with recensoring (HR=0.28) was similar to the naïve analysis excluding treatment switchers (HR=0.22). In the latter, OS in the NHA arm was based solely on the 18/58 patients who did not switch. Given the similarity in the results, it is likely the analysis using RPSFTM with recensoring also relied on the same 18 patients. The OS HR for olaparib vs. NHA using RPS</w:t>
      </w:r>
      <w:r w:rsidR="00C80442">
        <w:t>F</w:t>
      </w:r>
      <w:r w:rsidRPr="00952FF2">
        <w:t xml:space="preserve">TM without recensoring was considerably higher (HR=0.37, 0.16, 0.83). </w:t>
      </w:r>
      <w:bookmarkStart w:id="45" w:name="_Hlk85622641"/>
      <w:r w:rsidR="00952FF2" w:rsidRPr="00266EE3">
        <w:rPr>
          <w:iCs/>
        </w:rPr>
        <w:t>The PSCR argued RPSFTM with recensoring has been accepted by NICE in their ongoing assessments of olaparib in mCRPC. The ESC noted that the NICE Committee papers on the olaparib assessment (March 2021) included both RPSFTM analyses with and without recensoring</w:t>
      </w:r>
      <w:r w:rsidR="00C71F6B" w:rsidRPr="00266EE3">
        <w:rPr>
          <w:iCs/>
        </w:rPr>
        <w:t xml:space="preserve"> and noted that the sponsor’s own technical report recommended that results without recensoring should be used to inform the model base case</w:t>
      </w:r>
      <w:r w:rsidR="00952FF2" w:rsidRPr="00266EE3">
        <w:rPr>
          <w:iCs/>
        </w:rPr>
        <w:t>.</w:t>
      </w:r>
    </w:p>
    <w:bookmarkEnd w:id="45"/>
    <w:p w14:paraId="2FA07729" w14:textId="77777777" w:rsidR="00A042A9" w:rsidRPr="00266EE3" w:rsidRDefault="00595AB5" w:rsidP="00FF4741">
      <w:pPr>
        <w:pStyle w:val="ListParagraph"/>
        <w:ind w:left="709"/>
        <w:rPr>
          <w:iCs/>
        </w:rPr>
      </w:pPr>
      <w:r w:rsidRPr="00266EE3">
        <w:rPr>
          <w:iCs/>
        </w:rPr>
        <w:t xml:space="preserve">Overall, the ESC considered that the selection of RPSFTM was appropriate and </w:t>
      </w:r>
      <w:r w:rsidR="007B241E" w:rsidRPr="00266EE3">
        <w:rPr>
          <w:iCs/>
        </w:rPr>
        <w:t>was adequately justified in the resubmission</w:t>
      </w:r>
      <w:r w:rsidR="0058384A">
        <w:rPr>
          <w:iCs/>
        </w:rPr>
        <w:t xml:space="preserve">. </w:t>
      </w:r>
      <w:r w:rsidR="00694C3B" w:rsidRPr="00266EE3">
        <w:rPr>
          <w:iCs/>
        </w:rPr>
        <w:t xml:space="preserve">The ESC noted that the confidence intervals were wide for the </w:t>
      </w:r>
      <w:r w:rsidR="007B241E" w:rsidRPr="00266EE3">
        <w:rPr>
          <w:iCs/>
        </w:rPr>
        <w:t xml:space="preserve">unadjusted </w:t>
      </w:r>
      <w:r w:rsidR="00694C3B" w:rsidRPr="00266EE3">
        <w:rPr>
          <w:iCs/>
        </w:rPr>
        <w:t xml:space="preserve">HR estimates </w:t>
      </w:r>
      <w:r w:rsidR="007B241E" w:rsidRPr="00266EE3">
        <w:rPr>
          <w:iCs/>
        </w:rPr>
        <w:t xml:space="preserve">and for </w:t>
      </w:r>
      <w:r w:rsidR="00902924" w:rsidRPr="00266EE3">
        <w:rPr>
          <w:iCs/>
        </w:rPr>
        <w:t>HR estimates</w:t>
      </w:r>
      <w:r w:rsidR="007B241E" w:rsidRPr="00266EE3">
        <w:rPr>
          <w:iCs/>
        </w:rPr>
        <w:t xml:space="preserve"> </w:t>
      </w:r>
      <w:r w:rsidR="00694C3B" w:rsidRPr="00266EE3">
        <w:rPr>
          <w:iCs/>
        </w:rPr>
        <w:t>adjusted for switching with or without recensoring</w:t>
      </w:r>
      <w:r w:rsidR="007B241E" w:rsidRPr="00266EE3">
        <w:rPr>
          <w:iCs/>
        </w:rPr>
        <w:t>, with a considerable overlap in the confidence intervals</w:t>
      </w:r>
      <w:r w:rsidR="00694C3B" w:rsidRPr="00266EE3">
        <w:rPr>
          <w:iCs/>
        </w:rPr>
        <w:t xml:space="preserve">. </w:t>
      </w:r>
      <w:r w:rsidR="007B241E" w:rsidRPr="00266EE3">
        <w:rPr>
          <w:iCs/>
        </w:rPr>
        <w:t>The ESC also noted that the most favourable adjusted OS HR (with recensoring</w:t>
      </w:r>
      <w:r w:rsidR="006E4C6F" w:rsidRPr="00266EE3">
        <w:rPr>
          <w:iCs/>
        </w:rPr>
        <w:t>, HR=0.28</w:t>
      </w:r>
      <w:r w:rsidR="007B241E" w:rsidRPr="00266EE3">
        <w:rPr>
          <w:iCs/>
        </w:rPr>
        <w:t>) was only slightly higher than the PFS HR (0.22</w:t>
      </w:r>
      <w:r w:rsidR="006E4C6F" w:rsidRPr="00266EE3">
        <w:rPr>
          <w:iCs/>
        </w:rPr>
        <w:t>,</w:t>
      </w:r>
      <w:r w:rsidR="007B241E" w:rsidRPr="00266EE3">
        <w:rPr>
          <w:iCs/>
        </w:rPr>
        <w:t xml:space="preserve"> 95%CI</w:t>
      </w:r>
      <w:r w:rsidR="006E4C6F" w:rsidRPr="00266EE3">
        <w:rPr>
          <w:iCs/>
        </w:rPr>
        <w:t xml:space="preserve"> </w:t>
      </w:r>
      <w:r w:rsidR="007B241E" w:rsidRPr="00266EE3">
        <w:rPr>
          <w:iCs/>
        </w:rPr>
        <w:t>0.15, 0.32)</w:t>
      </w:r>
      <w:r w:rsidR="006E4C6F" w:rsidRPr="00266EE3">
        <w:rPr>
          <w:iCs/>
        </w:rPr>
        <w:t xml:space="preserve">, which would appear optimistic. </w:t>
      </w:r>
    </w:p>
    <w:p w14:paraId="3A083131" w14:textId="77777777" w:rsidR="00A042A9" w:rsidRPr="000A2078" w:rsidRDefault="00A042A9" w:rsidP="00A042A9">
      <w:pPr>
        <w:pStyle w:val="Heading3"/>
        <w:numPr>
          <w:ilvl w:val="0"/>
          <w:numId w:val="0"/>
        </w:numPr>
        <w:rPr>
          <w:lang w:eastAsia="en-US"/>
        </w:rPr>
      </w:pPr>
      <w:r w:rsidRPr="000A2078">
        <w:rPr>
          <w:lang w:eastAsia="en-US"/>
        </w:rPr>
        <w:t>Indirect treatment comparison: olaparib vs. cabazitaxel</w:t>
      </w:r>
    </w:p>
    <w:p w14:paraId="675401B6" w14:textId="77777777" w:rsidR="00A042A9" w:rsidRPr="00CA4838" w:rsidRDefault="00A042A9" w:rsidP="00A2713C">
      <w:pPr>
        <w:pStyle w:val="ListParagraph"/>
        <w:ind w:left="709"/>
        <w:rPr>
          <w:i/>
        </w:rPr>
      </w:pPr>
      <w:r w:rsidRPr="00CA4838">
        <w:rPr>
          <w:rFonts w:ascii="Calibri" w:hAnsi="Calibri" w:cs="Calibri"/>
        </w:rPr>
        <w:t xml:space="preserve">Given the </w:t>
      </w:r>
      <w:r w:rsidRPr="00A2713C">
        <w:t>absence</w:t>
      </w:r>
      <w:r w:rsidRPr="00CA4838">
        <w:rPr>
          <w:rFonts w:ascii="Calibri" w:hAnsi="Calibri" w:cs="Calibri"/>
        </w:rPr>
        <w:t xml:space="preserve"> of head-to-head trials comparing olaparib </w:t>
      </w:r>
      <w:r>
        <w:rPr>
          <w:rFonts w:ascii="Calibri" w:hAnsi="Calibri" w:cs="Calibri"/>
        </w:rPr>
        <w:t>to</w:t>
      </w:r>
      <w:r w:rsidRPr="00CA4838">
        <w:rPr>
          <w:rFonts w:ascii="Calibri" w:hAnsi="Calibri" w:cs="Calibri"/>
        </w:rPr>
        <w:t xml:space="preserve"> cabazitaxel, the resubmission conducted anchored and unanchored ITCs </w:t>
      </w:r>
      <w:r w:rsidRPr="00CA4838">
        <w:t>compar</w:t>
      </w:r>
      <w:r w:rsidRPr="00CA4838">
        <w:rPr>
          <w:rFonts w:ascii="Calibri" w:hAnsi="Calibri" w:cs="Calibri"/>
        </w:rPr>
        <w:t>ing olaparib (data from PROfound) with cabazitaxel (data from CARD) through the common treatment arm of NHA</w:t>
      </w:r>
      <w:r w:rsidRPr="00CA4838">
        <w:t>.</w:t>
      </w:r>
    </w:p>
    <w:p w14:paraId="1CD285F3" w14:textId="77777777" w:rsidR="00A042A9" w:rsidRPr="00AB515A" w:rsidRDefault="00A042A9" w:rsidP="00FF4741">
      <w:pPr>
        <w:pStyle w:val="ListParagraph"/>
        <w:ind w:left="709"/>
        <w:rPr>
          <w:color w:val="auto"/>
        </w:rPr>
      </w:pPr>
      <w:r w:rsidRPr="00CA4838">
        <w:t xml:space="preserve">The resubmission compared the subgroup of patients with </w:t>
      </w:r>
      <w:r w:rsidRPr="00AB515A">
        <w:rPr>
          <w:iCs/>
        </w:rPr>
        <w:t>BRCA1/2</w:t>
      </w:r>
      <w:r w:rsidRPr="00CA4838">
        <w:t xml:space="preserve"> and prior taxane in PROfound to the ITT population in CARD, who were required to have received prior treatment with taxanes. </w:t>
      </w:r>
    </w:p>
    <w:p w14:paraId="53698528" w14:textId="77777777" w:rsidR="00A042A9" w:rsidRPr="00F52B1D" w:rsidRDefault="00A042A9" w:rsidP="00AB7459">
      <w:pPr>
        <w:pStyle w:val="TableFigureHeading"/>
      </w:pPr>
      <w:r w:rsidRPr="00F52B1D">
        <w:t xml:space="preserve">Table </w:t>
      </w:r>
      <w:r w:rsidR="007C5E46">
        <w:rPr>
          <w:noProof/>
        </w:rPr>
        <w:t>7</w:t>
      </w:r>
      <w:r w:rsidR="004A4197" w:rsidRPr="00F52B1D">
        <w:rPr>
          <w:noProof/>
        </w:rPr>
        <w:t>:</w:t>
      </w:r>
      <w:r w:rsidRPr="00F52B1D">
        <w:tab/>
        <w:t>ITC anchored analysis - adjusted and unadjusted HRs for olaparib vs. cabazitaxel</w:t>
      </w:r>
    </w:p>
    <w:tbl>
      <w:tblPr>
        <w:tblStyle w:val="PBACTableStyle"/>
        <w:tblW w:w="9016" w:type="dxa"/>
        <w:tblLook w:val="04A0" w:firstRow="1" w:lastRow="0" w:firstColumn="1" w:lastColumn="0" w:noHBand="0" w:noVBand="1"/>
        <w:tblCaption w:val="Table 7: ITC anchored analysis - adjusted and unadjusted HRs for olaparib vs. cabazitaxel"/>
      </w:tblPr>
      <w:tblGrid>
        <w:gridCol w:w="2547"/>
        <w:gridCol w:w="2268"/>
        <w:gridCol w:w="1984"/>
        <w:gridCol w:w="2217"/>
      </w:tblGrid>
      <w:tr w:rsidR="00A042A9" w:rsidRPr="00F52B1D" w14:paraId="2D65A95B" w14:textId="77777777" w:rsidTr="00ED665A">
        <w:trPr>
          <w:cnfStyle w:val="100000000000" w:firstRow="1" w:lastRow="0" w:firstColumn="0" w:lastColumn="0" w:oddVBand="0" w:evenVBand="0" w:oddHBand="0" w:evenHBand="0" w:firstRowFirstColumn="0" w:firstRowLastColumn="0" w:lastRowFirstColumn="0" w:lastRowLastColumn="0"/>
          <w:trHeight w:val="298"/>
          <w:tblHeader/>
        </w:trPr>
        <w:tc>
          <w:tcPr>
            <w:cnfStyle w:val="001000000000" w:firstRow="0" w:lastRow="0" w:firstColumn="1" w:lastColumn="0" w:oddVBand="0" w:evenVBand="0" w:oddHBand="0" w:evenHBand="0" w:firstRowFirstColumn="0" w:firstRowLastColumn="0" w:lastRowFirstColumn="0" w:lastRowLastColumn="0"/>
            <w:tcW w:w="2547" w:type="dxa"/>
          </w:tcPr>
          <w:p w14:paraId="12262D1F" w14:textId="77777777" w:rsidR="00A042A9" w:rsidRPr="00F52B1D" w:rsidRDefault="00A042A9" w:rsidP="00AB7459">
            <w:pPr>
              <w:pStyle w:val="TableText"/>
              <w:keepNext/>
              <w:spacing w:before="0" w:after="0" w:line="257" w:lineRule="auto"/>
              <w:contextualSpacing w:val="0"/>
            </w:pPr>
            <w:r w:rsidRPr="00F52B1D">
              <w:t>Analysis</w:t>
            </w:r>
          </w:p>
        </w:tc>
        <w:tc>
          <w:tcPr>
            <w:tcW w:w="2268" w:type="dxa"/>
          </w:tcPr>
          <w:p w14:paraId="5D9DACB7" w14:textId="77777777" w:rsidR="00A042A9" w:rsidRPr="00F52B1D" w:rsidRDefault="00A042A9" w:rsidP="00AB7459">
            <w:pPr>
              <w:pStyle w:val="TableText"/>
              <w:keepNext/>
              <w:spacing w:before="0" w:after="0" w:line="257" w:lineRule="auto"/>
              <w:contextualSpacing w:val="0"/>
              <w:jc w:val="center"/>
              <w:cnfStyle w:val="100000000000" w:firstRow="1" w:lastRow="0" w:firstColumn="0" w:lastColumn="0" w:oddVBand="0" w:evenVBand="0" w:oddHBand="0" w:evenHBand="0" w:firstRowFirstColumn="0" w:firstRowLastColumn="0" w:lastRowFirstColumn="0" w:lastRowLastColumn="0"/>
            </w:pPr>
            <w:r w:rsidRPr="00F52B1D">
              <w:t>Olaparib vs. NHA</w:t>
            </w:r>
          </w:p>
          <w:p w14:paraId="04F7DA00" w14:textId="77777777" w:rsidR="00A042A9" w:rsidRPr="00F52B1D" w:rsidRDefault="00A042A9" w:rsidP="00AB7459">
            <w:pPr>
              <w:pStyle w:val="TableText"/>
              <w:keepNext/>
              <w:spacing w:before="0" w:after="0" w:line="257" w:lineRule="auto"/>
              <w:contextualSpacing w:val="0"/>
              <w:jc w:val="center"/>
              <w:cnfStyle w:val="100000000000" w:firstRow="1" w:lastRow="0" w:firstColumn="0" w:lastColumn="0" w:oddVBand="0" w:evenVBand="0" w:oddHBand="0" w:evenHBand="0" w:firstRowFirstColumn="0" w:firstRowLastColumn="0" w:lastRowFirstColumn="0" w:lastRowLastColumn="0"/>
            </w:pPr>
            <w:r w:rsidRPr="00F52B1D">
              <w:t>HR (95% CI) - PROfound</w:t>
            </w:r>
          </w:p>
        </w:tc>
        <w:tc>
          <w:tcPr>
            <w:tcW w:w="1984" w:type="dxa"/>
          </w:tcPr>
          <w:p w14:paraId="3372EC98" w14:textId="77777777" w:rsidR="00A042A9" w:rsidRPr="00F52B1D" w:rsidRDefault="00A042A9" w:rsidP="00AB7459">
            <w:pPr>
              <w:pStyle w:val="TableText"/>
              <w:keepNext/>
              <w:spacing w:before="0" w:after="0" w:line="257" w:lineRule="auto"/>
              <w:contextualSpacing w:val="0"/>
              <w:jc w:val="center"/>
              <w:cnfStyle w:val="100000000000" w:firstRow="1" w:lastRow="0" w:firstColumn="0" w:lastColumn="0" w:oddVBand="0" w:evenVBand="0" w:oddHBand="0" w:evenHBand="0" w:firstRowFirstColumn="0" w:firstRowLastColumn="0" w:lastRowFirstColumn="0" w:lastRowLastColumn="0"/>
            </w:pPr>
            <w:r w:rsidRPr="00F52B1D">
              <w:t>Cabazitaxel vs. NHA</w:t>
            </w:r>
          </w:p>
          <w:p w14:paraId="5AEB5EB4" w14:textId="77777777" w:rsidR="00A042A9" w:rsidRPr="00F52B1D" w:rsidRDefault="00A042A9" w:rsidP="00AB7459">
            <w:pPr>
              <w:pStyle w:val="TableText"/>
              <w:keepNext/>
              <w:spacing w:before="0" w:after="0" w:line="257" w:lineRule="auto"/>
              <w:contextualSpacing w:val="0"/>
              <w:jc w:val="center"/>
              <w:cnfStyle w:val="100000000000" w:firstRow="1" w:lastRow="0" w:firstColumn="0" w:lastColumn="0" w:oddVBand="0" w:evenVBand="0" w:oddHBand="0" w:evenHBand="0" w:firstRowFirstColumn="0" w:firstRowLastColumn="0" w:lastRowFirstColumn="0" w:lastRowLastColumn="0"/>
            </w:pPr>
            <w:r w:rsidRPr="00F52B1D">
              <w:t>HR (95% CI) - CARD</w:t>
            </w:r>
          </w:p>
        </w:tc>
        <w:tc>
          <w:tcPr>
            <w:tcW w:w="2217" w:type="dxa"/>
          </w:tcPr>
          <w:p w14:paraId="129D1747" w14:textId="77777777" w:rsidR="00A042A9" w:rsidRPr="00F52B1D" w:rsidRDefault="00A042A9" w:rsidP="00AB7459">
            <w:pPr>
              <w:pStyle w:val="TableText"/>
              <w:keepNext/>
              <w:spacing w:before="0" w:after="0" w:line="257" w:lineRule="auto"/>
              <w:contextualSpacing w:val="0"/>
              <w:jc w:val="center"/>
              <w:cnfStyle w:val="100000000000" w:firstRow="1" w:lastRow="0" w:firstColumn="0" w:lastColumn="0" w:oddVBand="0" w:evenVBand="0" w:oddHBand="0" w:evenHBand="0" w:firstRowFirstColumn="0" w:firstRowLastColumn="0" w:lastRowFirstColumn="0" w:lastRowLastColumn="0"/>
            </w:pPr>
            <w:r w:rsidRPr="00F52B1D">
              <w:t>Olaparib vs. cabazitaxel</w:t>
            </w:r>
          </w:p>
          <w:p w14:paraId="2F92CA3F" w14:textId="77777777" w:rsidR="00A042A9" w:rsidRPr="00F52B1D" w:rsidRDefault="00A042A9" w:rsidP="00AB7459">
            <w:pPr>
              <w:pStyle w:val="TableText"/>
              <w:keepNext/>
              <w:spacing w:before="0" w:after="0" w:line="257" w:lineRule="auto"/>
              <w:contextualSpacing w:val="0"/>
              <w:jc w:val="center"/>
              <w:cnfStyle w:val="100000000000" w:firstRow="1" w:lastRow="0" w:firstColumn="0" w:lastColumn="0" w:oddVBand="0" w:evenVBand="0" w:oddHBand="0" w:evenHBand="0" w:firstRowFirstColumn="0" w:firstRowLastColumn="0" w:lastRowFirstColumn="0" w:lastRowLastColumn="0"/>
            </w:pPr>
            <w:r w:rsidRPr="00F52B1D">
              <w:t>HR (95% CI)</w:t>
            </w:r>
          </w:p>
        </w:tc>
      </w:tr>
      <w:tr w:rsidR="00A042A9" w:rsidRPr="00F52B1D" w14:paraId="2993DFD6" w14:textId="77777777" w:rsidTr="00ED665A">
        <w:trPr>
          <w:trHeight w:val="78"/>
        </w:trPr>
        <w:tc>
          <w:tcPr>
            <w:cnfStyle w:val="001000000000" w:firstRow="0" w:lastRow="0" w:firstColumn="1" w:lastColumn="0" w:oddVBand="0" w:evenVBand="0" w:oddHBand="0" w:evenHBand="0" w:firstRowFirstColumn="0" w:firstRowLastColumn="0" w:lastRowFirstColumn="0" w:lastRowLastColumn="0"/>
            <w:tcW w:w="9016" w:type="dxa"/>
            <w:gridSpan w:val="4"/>
          </w:tcPr>
          <w:p w14:paraId="301ED310" w14:textId="77777777" w:rsidR="00A042A9" w:rsidRPr="00F52B1D" w:rsidRDefault="00A042A9" w:rsidP="00AB7459">
            <w:pPr>
              <w:pStyle w:val="TableText"/>
              <w:keepNext/>
              <w:spacing w:before="0" w:after="0" w:line="257" w:lineRule="auto"/>
              <w:contextualSpacing w:val="0"/>
              <w:rPr>
                <w:b/>
              </w:rPr>
            </w:pPr>
            <w:r w:rsidRPr="00F52B1D">
              <w:rPr>
                <w:b/>
              </w:rPr>
              <w:t>rPFS</w:t>
            </w:r>
          </w:p>
        </w:tc>
      </w:tr>
      <w:tr w:rsidR="00A042A9" w:rsidRPr="00F52B1D" w14:paraId="68D3591F" w14:textId="77777777" w:rsidTr="00ED665A">
        <w:trPr>
          <w:trHeight w:val="47"/>
        </w:trPr>
        <w:tc>
          <w:tcPr>
            <w:cnfStyle w:val="001000000000" w:firstRow="0" w:lastRow="0" w:firstColumn="1" w:lastColumn="0" w:oddVBand="0" w:evenVBand="0" w:oddHBand="0" w:evenHBand="0" w:firstRowFirstColumn="0" w:firstRowLastColumn="0" w:lastRowFirstColumn="0" w:lastRowLastColumn="0"/>
            <w:tcW w:w="2547" w:type="dxa"/>
          </w:tcPr>
          <w:p w14:paraId="28FED21C" w14:textId="77777777" w:rsidR="00A042A9" w:rsidRPr="00F52B1D" w:rsidRDefault="00A042A9" w:rsidP="00AB7459">
            <w:pPr>
              <w:pStyle w:val="TableText"/>
              <w:keepNext/>
              <w:spacing w:before="0" w:after="0" w:line="257" w:lineRule="auto"/>
              <w:contextualSpacing w:val="0"/>
            </w:pPr>
            <w:r w:rsidRPr="00F52B1D">
              <w:t>MAIC (n*=56)</w:t>
            </w:r>
          </w:p>
        </w:tc>
        <w:tc>
          <w:tcPr>
            <w:tcW w:w="2268" w:type="dxa"/>
          </w:tcPr>
          <w:p w14:paraId="52CF4CF2" w14:textId="77777777" w:rsidR="00A042A9" w:rsidRPr="00F52B1D" w:rsidRDefault="00A042A9" w:rsidP="00AB7459">
            <w:pPr>
              <w:pStyle w:val="TableText"/>
              <w:keepNext/>
              <w:spacing w:before="0" w:after="0" w:line="257" w:lineRule="auto"/>
              <w:contextualSpacing w:val="0"/>
              <w:jc w:val="center"/>
              <w:cnfStyle w:val="000000000000" w:firstRow="0" w:lastRow="0" w:firstColumn="0" w:lastColumn="0" w:oddVBand="0" w:evenVBand="0" w:oddHBand="0" w:evenHBand="0" w:firstRowFirstColumn="0" w:firstRowLastColumn="0" w:lastRowFirstColumn="0" w:lastRowLastColumn="0"/>
            </w:pPr>
            <w:r w:rsidRPr="00F52B1D">
              <w:t>0.18 (0.04, 0.75)</w:t>
            </w:r>
          </w:p>
        </w:tc>
        <w:tc>
          <w:tcPr>
            <w:tcW w:w="1984" w:type="dxa"/>
            <w:vMerge w:val="restart"/>
          </w:tcPr>
          <w:p w14:paraId="75C7B268" w14:textId="77777777" w:rsidR="00A042A9" w:rsidRPr="00F52B1D" w:rsidRDefault="00A042A9" w:rsidP="00AB7459">
            <w:pPr>
              <w:pStyle w:val="TableText"/>
              <w:keepNext/>
              <w:spacing w:before="0" w:after="0" w:line="257" w:lineRule="auto"/>
              <w:contextualSpacing w:val="0"/>
              <w:jc w:val="center"/>
              <w:cnfStyle w:val="000000000000" w:firstRow="0" w:lastRow="0" w:firstColumn="0" w:lastColumn="0" w:oddVBand="0" w:evenVBand="0" w:oddHBand="0" w:evenHBand="0" w:firstRowFirstColumn="0" w:firstRowLastColumn="0" w:lastRowFirstColumn="0" w:lastRowLastColumn="0"/>
            </w:pPr>
            <w:r w:rsidRPr="00F52B1D">
              <w:rPr>
                <w:iCs/>
              </w:rPr>
              <w:t>0.54 (0.40 to 0.73)</w:t>
            </w:r>
          </w:p>
        </w:tc>
        <w:tc>
          <w:tcPr>
            <w:tcW w:w="2217" w:type="dxa"/>
          </w:tcPr>
          <w:p w14:paraId="09143F76" w14:textId="77777777" w:rsidR="00A042A9" w:rsidRPr="00F52B1D" w:rsidRDefault="00A042A9" w:rsidP="00AB7459">
            <w:pPr>
              <w:pStyle w:val="TableText"/>
              <w:keepNext/>
              <w:spacing w:before="0" w:after="0" w:line="257" w:lineRule="auto"/>
              <w:contextualSpacing w:val="0"/>
              <w:jc w:val="center"/>
              <w:cnfStyle w:val="000000000000" w:firstRow="0" w:lastRow="0" w:firstColumn="0" w:lastColumn="0" w:oddVBand="0" w:evenVBand="0" w:oddHBand="0" w:evenHBand="0" w:firstRowFirstColumn="0" w:firstRowLastColumn="0" w:lastRowFirstColumn="0" w:lastRowLastColumn="0"/>
            </w:pPr>
            <w:r w:rsidRPr="00F52B1D">
              <w:t>0.33 (0.07, 1.43)^</w:t>
            </w:r>
          </w:p>
        </w:tc>
      </w:tr>
      <w:tr w:rsidR="00A042A9" w:rsidRPr="00F52B1D" w14:paraId="3324C6C6" w14:textId="77777777" w:rsidTr="00ED665A">
        <w:trPr>
          <w:trHeight w:val="47"/>
        </w:trPr>
        <w:tc>
          <w:tcPr>
            <w:cnfStyle w:val="001000000000" w:firstRow="0" w:lastRow="0" w:firstColumn="1" w:lastColumn="0" w:oddVBand="0" w:evenVBand="0" w:oddHBand="0" w:evenHBand="0" w:firstRowFirstColumn="0" w:firstRowLastColumn="0" w:lastRowFirstColumn="0" w:lastRowLastColumn="0"/>
            <w:tcW w:w="2547" w:type="dxa"/>
          </w:tcPr>
          <w:p w14:paraId="0F0EF080" w14:textId="77777777" w:rsidR="00A042A9" w:rsidRPr="00F52B1D" w:rsidRDefault="00A042A9" w:rsidP="00AB7459">
            <w:pPr>
              <w:pStyle w:val="TableText"/>
              <w:keepNext/>
              <w:spacing w:before="0" w:after="0" w:line="257" w:lineRule="auto"/>
              <w:contextualSpacing w:val="0"/>
            </w:pPr>
            <w:r w:rsidRPr="00F52B1D">
              <w:t>Unadjusted Bucher ITC (n=107)</w:t>
            </w:r>
          </w:p>
        </w:tc>
        <w:tc>
          <w:tcPr>
            <w:tcW w:w="2268" w:type="dxa"/>
          </w:tcPr>
          <w:p w14:paraId="4B2D2A1A" w14:textId="77777777" w:rsidR="00A042A9" w:rsidRPr="00F52B1D" w:rsidRDefault="00A042A9" w:rsidP="00AB7459">
            <w:pPr>
              <w:pStyle w:val="TableText"/>
              <w:keepNext/>
              <w:spacing w:before="0" w:after="0" w:line="257" w:lineRule="auto"/>
              <w:contextualSpacing w:val="0"/>
              <w:jc w:val="center"/>
              <w:cnfStyle w:val="000000000000" w:firstRow="0" w:lastRow="0" w:firstColumn="0" w:lastColumn="0" w:oddVBand="0" w:evenVBand="0" w:oddHBand="0" w:evenHBand="0" w:firstRowFirstColumn="0" w:firstRowLastColumn="0" w:lastRowFirstColumn="0" w:lastRowLastColumn="0"/>
            </w:pPr>
            <w:r w:rsidRPr="00F52B1D">
              <w:t>0.19 (0.12, 0.32)</w:t>
            </w:r>
          </w:p>
        </w:tc>
        <w:tc>
          <w:tcPr>
            <w:tcW w:w="1984" w:type="dxa"/>
            <w:vMerge/>
          </w:tcPr>
          <w:p w14:paraId="1EB50BDA" w14:textId="77777777" w:rsidR="00A042A9" w:rsidRPr="00F52B1D" w:rsidRDefault="00A042A9" w:rsidP="00AB7459">
            <w:pPr>
              <w:pStyle w:val="TableText"/>
              <w:keepNext/>
              <w:spacing w:before="0" w:after="0" w:line="257"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2217" w:type="dxa"/>
          </w:tcPr>
          <w:p w14:paraId="22946CF5" w14:textId="77777777" w:rsidR="00A042A9" w:rsidRPr="00F52B1D" w:rsidRDefault="00A042A9" w:rsidP="00AB7459">
            <w:pPr>
              <w:pStyle w:val="TableText"/>
              <w:keepNext/>
              <w:spacing w:before="0" w:after="0" w:line="257" w:lineRule="auto"/>
              <w:contextualSpacing w:val="0"/>
              <w:jc w:val="center"/>
              <w:cnfStyle w:val="000000000000" w:firstRow="0" w:lastRow="0" w:firstColumn="0" w:lastColumn="0" w:oddVBand="0" w:evenVBand="0" w:oddHBand="0" w:evenHBand="0" w:firstRowFirstColumn="0" w:firstRowLastColumn="0" w:lastRowFirstColumn="0" w:lastRowLastColumn="0"/>
            </w:pPr>
            <w:r w:rsidRPr="00F52B1D">
              <w:t>0.36 (0.20, 0.64)</w:t>
            </w:r>
          </w:p>
        </w:tc>
      </w:tr>
      <w:tr w:rsidR="00A042A9" w:rsidRPr="00F52B1D" w14:paraId="51D55953" w14:textId="77777777" w:rsidTr="00ED665A">
        <w:trPr>
          <w:trHeight w:val="47"/>
        </w:trPr>
        <w:tc>
          <w:tcPr>
            <w:cnfStyle w:val="001000000000" w:firstRow="0" w:lastRow="0" w:firstColumn="1" w:lastColumn="0" w:oddVBand="0" w:evenVBand="0" w:oddHBand="0" w:evenHBand="0" w:firstRowFirstColumn="0" w:firstRowLastColumn="0" w:lastRowFirstColumn="0" w:lastRowLastColumn="0"/>
            <w:tcW w:w="9016" w:type="dxa"/>
            <w:gridSpan w:val="4"/>
          </w:tcPr>
          <w:p w14:paraId="24EA769E" w14:textId="77777777" w:rsidR="00A042A9" w:rsidRPr="00F52B1D" w:rsidRDefault="00A042A9" w:rsidP="00AB7459">
            <w:pPr>
              <w:pStyle w:val="TableText"/>
              <w:keepNext/>
              <w:spacing w:before="0" w:after="0" w:line="257" w:lineRule="auto"/>
              <w:contextualSpacing w:val="0"/>
              <w:rPr>
                <w:b/>
              </w:rPr>
            </w:pPr>
            <w:r w:rsidRPr="00F52B1D">
              <w:rPr>
                <w:b/>
              </w:rPr>
              <w:t>OS unadjusted for treatment switching</w:t>
            </w:r>
          </w:p>
        </w:tc>
      </w:tr>
      <w:tr w:rsidR="00A042A9" w:rsidRPr="00F52B1D" w14:paraId="2CEDB891" w14:textId="77777777" w:rsidTr="00ED665A">
        <w:trPr>
          <w:trHeight w:val="47"/>
        </w:trPr>
        <w:tc>
          <w:tcPr>
            <w:cnfStyle w:val="001000000000" w:firstRow="0" w:lastRow="0" w:firstColumn="1" w:lastColumn="0" w:oddVBand="0" w:evenVBand="0" w:oddHBand="0" w:evenHBand="0" w:firstRowFirstColumn="0" w:firstRowLastColumn="0" w:lastRowFirstColumn="0" w:lastRowLastColumn="0"/>
            <w:tcW w:w="2547" w:type="dxa"/>
          </w:tcPr>
          <w:p w14:paraId="00D09B66" w14:textId="77777777" w:rsidR="00A042A9" w:rsidRPr="00F52B1D" w:rsidRDefault="00A042A9" w:rsidP="00AB7459">
            <w:pPr>
              <w:pStyle w:val="TableText"/>
              <w:keepNext/>
              <w:spacing w:before="0" w:after="0" w:line="257" w:lineRule="auto"/>
              <w:contextualSpacing w:val="0"/>
            </w:pPr>
            <w:r w:rsidRPr="00F52B1D">
              <w:t>MAIC (n*=56)</w:t>
            </w:r>
          </w:p>
        </w:tc>
        <w:tc>
          <w:tcPr>
            <w:tcW w:w="2268" w:type="dxa"/>
          </w:tcPr>
          <w:p w14:paraId="5DE64E27" w14:textId="77777777" w:rsidR="00A042A9" w:rsidRPr="00F52B1D" w:rsidRDefault="00A042A9" w:rsidP="00AB7459">
            <w:pPr>
              <w:pStyle w:val="TableText"/>
              <w:keepNext/>
              <w:spacing w:before="0" w:after="0" w:line="257" w:lineRule="auto"/>
              <w:contextualSpacing w:val="0"/>
              <w:jc w:val="center"/>
              <w:cnfStyle w:val="000000000000" w:firstRow="0" w:lastRow="0" w:firstColumn="0" w:lastColumn="0" w:oddVBand="0" w:evenVBand="0" w:oddHBand="0" w:evenHBand="0" w:firstRowFirstColumn="0" w:firstRowLastColumn="0" w:lastRowFirstColumn="0" w:lastRowLastColumn="0"/>
            </w:pPr>
            <w:r w:rsidRPr="00F52B1D">
              <w:rPr>
                <w:rFonts w:cs="Calibri"/>
                <w:szCs w:val="20"/>
              </w:rPr>
              <w:t>0.49 (0.27, 0.89)</w:t>
            </w:r>
          </w:p>
        </w:tc>
        <w:tc>
          <w:tcPr>
            <w:tcW w:w="1984" w:type="dxa"/>
            <w:vMerge w:val="restart"/>
          </w:tcPr>
          <w:p w14:paraId="67510D8D" w14:textId="77777777" w:rsidR="00A042A9" w:rsidRPr="00F52B1D" w:rsidRDefault="00A042A9" w:rsidP="00AB7459">
            <w:pPr>
              <w:pStyle w:val="TableText"/>
              <w:keepNext/>
              <w:spacing w:before="0" w:after="0" w:line="257" w:lineRule="auto"/>
              <w:contextualSpacing w:val="0"/>
              <w:jc w:val="center"/>
              <w:cnfStyle w:val="000000000000" w:firstRow="0" w:lastRow="0" w:firstColumn="0" w:lastColumn="0" w:oddVBand="0" w:evenVBand="0" w:oddHBand="0" w:evenHBand="0" w:firstRowFirstColumn="0" w:firstRowLastColumn="0" w:lastRowFirstColumn="0" w:lastRowLastColumn="0"/>
              <w:rPr>
                <w:iCs/>
              </w:rPr>
            </w:pPr>
            <w:r w:rsidRPr="00F52B1D">
              <w:rPr>
                <w:rFonts w:cs="Calibri"/>
                <w:szCs w:val="20"/>
              </w:rPr>
              <w:t>0.64 (0.46 to 0.89)</w:t>
            </w:r>
          </w:p>
        </w:tc>
        <w:tc>
          <w:tcPr>
            <w:tcW w:w="2217" w:type="dxa"/>
          </w:tcPr>
          <w:p w14:paraId="2B81C84B" w14:textId="77777777" w:rsidR="00A042A9" w:rsidRPr="00F52B1D" w:rsidRDefault="00A042A9" w:rsidP="00AB7459">
            <w:pPr>
              <w:pStyle w:val="TableText"/>
              <w:keepNext/>
              <w:spacing w:before="0" w:after="0" w:line="257" w:lineRule="auto"/>
              <w:contextualSpacing w:val="0"/>
              <w:jc w:val="center"/>
              <w:cnfStyle w:val="000000000000" w:firstRow="0" w:lastRow="0" w:firstColumn="0" w:lastColumn="0" w:oddVBand="0" w:evenVBand="0" w:oddHBand="0" w:evenHBand="0" w:firstRowFirstColumn="0" w:firstRowLastColumn="0" w:lastRowFirstColumn="0" w:lastRowLastColumn="0"/>
            </w:pPr>
            <w:r w:rsidRPr="00F52B1D">
              <w:rPr>
                <w:rFonts w:cs="Calibri"/>
                <w:szCs w:val="20"/>
              </w:rPr>
              <w:t>0.77 (0.39, 1.51)</w:t>
            </w:r>
          </w:p>
        </w:tc>
      </w:tr>
      <w:tr w:rsidR="00A042A9" w:rsidRPr="00F52B1D" w14:paraId="69FD4782" w14:textId="77777777" w:rsidTr="00ED665A">
        <w:trPr>
          <w:trHeight w:val="47"/>
        </w:trPr>
        <w:tc>
          <w:tcPr>
            <w:cnfStyle w:val="001000000000" w:firstRow="0" w:lastRow="0" w:firstColumn="1" w:lastColumn="0" w:oddVBand="0" w:evenVBand="0" w:oddHBand="0" w:evenHBand="0" w:firstRowFirstColumn="0" w:firstRowLastColumn="0" w:lastRowFirstColumn="0" w:lastRowLastColumn="0"/>
            <w:tcW w:w="2547" w:type="dxa"/>
          </w:tcPr>
          <w:p w14:paraId="36CE6BEB" w14:textId="77777777" w:rsidR="00A042A9" w:rsidRPr="00F52B1D" w:rsidRDefault="00A042A9" w:rsidP="00AB7459">
            <w:pPr>
              <w:pStyle w:val="TableText"/>
              <w:keepNext/>
              <w:spacing w:before="0" w:after="0" w:line="257" w:lineRule="auto"/>
            </w:pPr>
            <w:r w:rsidRPr="00F52B1D">
              <w:t>Unadjusted Bucher ITC (n=107)</w:t>
            </w:r>
          </w:p>
        </w:tc>
        <w:tc>
          <w:tcPr>
            <w:tcW w:w="2268" w:type="dxa"/>
          </w:tcPr>
          <w:p w14:paraId="280ED6A9"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cs="Calibri"/>
                <w:szCs w:val="20"/>
              </w:rPr>
              <w:t>0.63 (0.39, 1.04)</w:t>
            </w:r>
          </w:p>
        </w:tc>
        <w:tc>
          <w:tcPr>
            <w:tcW w:w="1984" w:type="dxa"/>
            <w:vMerge/>
          </w:tcPr>
          <w:p w14:paraId="5C4DE563"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rPr>
                <w:iCs/>
              </w:rPr>
            </w:pPr>
          </w:p>
        </w:tc>
        <w:tc>
          <w:tcPr>
            <w:tcW w:w="2217" w:type="dxa"/>
          </w:tcPr>
          <w:p w14:paraId="3365F88F"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cs="Calibri"/>
                <w:szCs w:val="20"/>
              </w:rPr>
              <w:t>0.99 (0.55, 1.78)</w:t>
            </w:r>
          </w:p>
        </w:tc>
      </w:tr>
      <w:tr w:rsidR="00A042A9" w:rsidRPr="00F52B1D" w14:paraId="7614DFE6" w14:textId="77777777" w:rsidTr="00ED665A">
        <w:trPr>
          <w:trHeight w:val="47"/>
        </w:trPr>
        <w:tc>
          <w:tcPr>
            <w:cnfStyle w:val="001000000000" w:firstRow="0" w:lastRow="0" w:firstColumn="1" w:lastColumn="0" w:oddVBand="0" w:evenVBand="0" w:oddHBand="0" w:evenHBand="0" w:firstRowFirstColumn="0" w:firstRowLastColumn="0" w:lastRowFirstColumn="0" w:lastRowLastColumn="0"/>
            <w:tcW w:w="9016" w:type="dxa"/>
            <w:gridSpan w:val="4"/>
          </w:tcPr>
          <w:p w14:paraId="34AD43F5" w14:textId="77777777" w:rsidR="00A042A9" w:rsidRPr="00F52B1D" w:rsidRDefault="00A042A9" w:rsidP="00AB7459">
            <w:pPr>
              <w:pStyle w:val="TableText"/>
              <w:keepNext/>
              <w:spacing w:before="0" w:after="0" w:line="257" w:lineRule="auto"/>
              <w:rPr>
                <w:b/>
              </w:rPr>
            </w:pPr>
            <w:r w:rsidRPr="00F52B1D">
              <w:rPr>
                <w:b/>
              </w:rPr>
              <w:t>RPSFTM OS with re-censoring</w:t>
            </w:r>
          </w:p>
        </w:tc>
      </w:tr>
      <w:tr w:rsidR="00A042A9" w:rsidRPr="00F52B1D" w14:paraId="7B7183E3" w14:textId="77777777" w:rsidTr="00ED665A">
        <w:trPr>
          <w:trHeight w:val="47"/>
        </w:trPr>
        <w:tc>
          <w:tcPr>
            <w:cnfStyle w:val="001000000000" w:firstRow="0" w:lastRow="0" w:firstColumn="1" w:lastColumn="0" w:oddVBand="0" w:evenVBand="0" w:oddHBand="0" w:evenHBand="0" w:firstRowFirstColumn="0" w:firstRowLastColumn="0" w:lastRowFirstColumn="0" w:lastRowLastColumn="0"/>
            <w:tcW w:w="2547" w:type="dxa"/>
          </w:tcPr>
          <w:p w14:paraId="19DE68DA" w14:textId="77777777" w:rsidR="00A042A9" w:rsidRPr="00F52B1D" w:rsidRDefault="00A042A9" w:rsidP="00AB7459">
            <w:pPr>
              <w:pStyle w:val="TableText"/>
              <w:keepNext/>
              <w:spacing w:before="0" w:after="0" w:line="257" w:lineRule="auto"/>
            </w:pPr>
            <w:r w:rsidRPr="00F52B1D">
              <w:t>MAIC (n*=56)</w:t>
            </w:r>
          </w:p>
        </w:tc>
        <w:tc>
          <w:tcPr>
            <w:tcW w:w="2268" w:type="dxa"/>
          </w:tcPr>
          <w:p w14:paraId="04693510"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eastAsiaTheme="minorEastAsia" w:cs="Calibri"/>
                <w:bCs/>
                <w:szCs w:val="20"/>
                <w:lang w:eastAsia="zh-CN"/>
              </w:rPr>
              <w:t>0.216 (0.108, 0.433)</w:t>
            </w:r>
          </w:p>
        </w:tc>
        <w:tc>
          <w:tcPr>
            <w:tcW w:w="1984" w:type="dxa"/>
            <w:vMerge w:val="restart"/>
          </w:tcPr>
          <w:p w14:paraId="53254D53"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rPr>
                <w:iCs/>
              </w:rPr>
            </w:pPr>
            <w:r w:rsidRPr="00F52B1D">
              <w:rPr>
                <w:rFonts w:cs="Calibri"/>
                <w:bCs/>
                <w:szCs w:val="20"/>
              </w:rPr>
              <w:t>0.64 (0.46 to 0.89)</w:t>
            </w:r>
          </w:p>
        </w:tc>
        <w:tc>
          <w:tcPr>
            <w:tcW w:w="2217" w:type="dxa"/>
          </w:tcPr>
          <w:p w14:paraId="591450ED"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eastAsiaTheme="minorEastAsia" w:cs="Calibri"/>
                <w:bCs/>
                <w:szCs w:val="20"/>
                <w:lang w:eastAsia="zh-CN"/>
              </w:rPr>
              <w:t>0.338 (0.156, 0.729)^</w:t>
            </w:r>
          </w:p>
        </w:tc>
      </w:tr>
      <w:tr w:rsidR="00A042A9" w:rsidRPr="00F52B1D" w14:paraId="7B979FB9" w14:textId="77777777" w:rsidTr="00ED665A">
        <w:trPr>
          <w:trHeight w:val="47"/>
        </w:trPr>
        <w:tc>
          <w:tcPr>
            <w:cnfStyle w:val="001000000000" w:firstRow="0" w:lastRow="0" w:firstColumn="1" w:lastColumn="0" w:oddVBand="0" w:evenVBand="0" w:oddHBand="0" w:evenHBand="0" w:firstRowFirstColumn="0" w:firstRowLastColumn="0" w:lastRowFirstColumn="0" w:lastRowLastColumn="0"/>
            <w:tcW w:w="2547" w:type="dxa"/>
          </w:tcPr>
          <w:p w14:paraId="4CDD9BF7" w14:textId="77777777" w:rsidR="00A042A9" w:rsidRPr="00F52B1D" w:rsidRDefault="00A042A9" w:rsidP="00AB7459">
            <w:pPr>
              <w:pStyle w:val="TableText"/>
              <w:keepNext/>
              <w:spacing w:before="0" w:after="0" w:line="257" w:lineRule="auto"/>
            </w:pPr>
            <w:r w:rsidRPr="00F52B1D">
              <w:t>Unadjusted Bucher ITC (n=107)</w:t>
            </w:r>
          </w:p>
        </w:tc>
        <w:tc>
          <w:tcPr>
            <w:tcW w:w="2268" w:type="dxa"/>
          </w:tcPr>
          <w:p w14:paraId="6CB54059"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eastAsiaTheme="minorEastAsia" w:cs="Calibri"/>
                <w:bCs/>
                <w:szCs w:val="20"/>
                <w:lang w:eastAsia="zh-CN"/>
              </w:rPr>
              <w:t>0.301 (0.168, 0.539)</w:t>
            </w:r>
          </w:p>
        </w:tc>
        <w:tc>
          <w:tcPr>
            <w:tcW w:w="1984" w:type="dxa"/>
            <w:vMerge/>
          </w:tcPr>
          <w:p w14:paraId="00728C93"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rPr>
                <w:iCs/>
              </w:rPr>
            </w:pPr>
          </w:p>
        </w:tc>
        <w:tc>
          <w:tcPr>
            <w:tcW w:w="2217" w:type="dxa"/>
          </w:tcPr>
          <w:p w14:paraId="458788CB"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eastAsiaTheme="minorEastAsia" w:cs="Calibri"/>
                <w:bCs/>
                <w:szCs w:val="20"/>
                <w:lang w:eastAsia="zh-CN"/>
              </w:rPr>
              <w:t>0.470 (0.241, 0.919)</w:t>
            </w:r>
          </w:p>
        </w:tc>
      </w:tr>
      <w:tr w:rsidR="00A042A9" w:rsidRPr="00F52B1D" w14:paraId="1CD2DC3D" w14:textId="77777777" w:rsidTr="00ED665A">
        <w:trPr>
          <w:trHeight w:val="47"/>
        </w:trPr>
        <w:tc>
          <w:tcPr>
            <w:cnfStyle w:val="001000000000" w:firstRow="0" w:lastRow="0" w:firstColumn="1" w:lastColumn="0" w:oddVBand="0" w:evenVBand="0" w:oddHBand="0" w:evenHBand="0" w:firstRowFirstColumn="0" w:firstRowLastColumn="0" w:lastRowFirstColumn="0" w:lastRowLastColumn="0"/>
            <w:tcW w:w="9016" w:type="dxa"/>
            <w:gridSpan w:val="4"/>
          </w:tcPr>
          <w:p w14:paraId="02D7688F" w14:textId="77777777" w:rsidR="00A042A9" w:rsidRPr="00F52B1D" w:rsidRDefault="00A042A9" w:rsidP="00AB7459">
            <w:pPr>
              <w:pStyle w:val="TableText"/>
              <w:keepNext/>
              <w:spacing w:before="0" w:after="0" w:line="257" w:lineRule="auto"/>
            </w:pPr>
            <w:r w:rsidRPr="00F52B1D">
              <w:rPr>
                <w:b/>
              </w:rPr>
              <w:t>RPSFTM OS without re-censoring</w:t>
            </w:r>
          </w:p>
        </w:tc>
      </w:tr>
      <w:tr w:rsidR="00A042A9" w:rsidRPr="00F52B1D" w14:paraId="735649C7" w14:textId="77777777" w:rsidTr="00266EE3">
        <w:trPr>
          <w:trHeight w:val="47"/>
        </w:trPr>
        <w:tc>
          <w:tcPr>
            <w:cnfStyle w:val="001000000000" w:firstRow="0" w:lastRow="0" w:firstColumn="1" w:lastColumn="0" w:oddVBand="0" w:evenVBand="0" w:oddHBand="0" w:evenHBand="0" w:firstRowFirstColumn="0" w:firstRowLastColumn="0" w:lastRowFirstColumn="0" w:lastRowLastColumn="0"/>
            <w:tcW w:w="2547" w:type="dxa"/>
          </w:tcPr>
          <w:p w14:paraId="6057E308" w14:textId="77777777" w:rsidR="00A042A9" w:rsidRPr="00F52B1D" w:rsidRDefault="00A042A9" w:rsidP="00AB7459">
            <w:pPr>
              <w:pStyle w:val="TableText"/>
              <w:keepNext/>
              <w:spacing w:before="0" w:after="0" w:line="257" w:lineRule="auto"/>
            </w:pPr>
            <w:r w:rsidRPr="00F52B1D">
              <w:t>MAIC (n*=56)</w:t>
            </w:r>
          </w:p>
        </w:tc>
        <w:tc>
          <w:tcPr>
            <w:tcW w:w="2268" w:type="dxa"/>
            <w:tcBorders>
              <w:right w:val="single" w:sz="4" w:space="0" w:color="auto"/>
            </w:tcBorders>
          </w:tcPr>
          <w:p w14:paraId="26AD96B4"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eastAsiaTheme="minorEastAsia" w:cs="Calibri"/>
                <w:szCs w:val="20"/>
                <w:lang w:eastAsia="zh-CN"/>
              </w:rPr>
              <w:t>0.281 (0.146, 0.542)</w:t>
            </w:r>
          </w:p>
        </w:tc>
        <w:tc>
          <w:tcPr>
            <w:tcW w:w="1984" w:type="dxa"/>
            <w:vMerge w:val="restart"/>
            <w:tcBorders>
              <w:top w:val="single" w:sz="4" w:space="0" w:color="auto"/>
              <w:left w:val="single" w:sz="4" w:space="0" w:color="auto"/>
              <w:bottom w:val="single" w:sz="4" w:space="0" w:color="auto"/>
              <w:right w:val="single" w:sz="4" w:space="0" w:color="auto"/>
            </w:tcBorders>
          </w:tcPr>
          <w:p w14:paraId="6C7B4756"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rPr>
                <w:iCs/>
              </w:rPr>
            </w:pPr>
            <w:r w:rsidRPr="00F52B1D">
              <w:rPr>
                <w:rFonts w:cs="Calibri"/>
                <w:szCs w:val="20"/>
              </w:rPr>
              <w:t>0.64 (0.46 to 0.89)</w:t>
            </w:r>
          </w:p>
        </w:tc>
        <w:tc>
          <w:tcPr>
            <w:tcW w:w="2217" w:type="dxa"/>
            <w:tcBorders>
              <w:left w:val="single" w:sz="4" w:space="0" w:color="auto"/>
            </w:tcBorders>
          </w:tcPr>
          <w:p w14:paraId="506CA72D"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eastAsiaTheme="minorEastAsia" w:cs="Calibri"/>
                <w:szCs w:val="20"/>
                <w:lang w:eastAsia="zh-CN"/>
              </w:rPr>
              <w:t>0.439 (0.210, 0.916)</w:t>
            </w:r>
          </w:p>
        </w:tc>
      </w:tr>
      <w:tr w:rsidR="00A042A9" w:rsidRPr="00F52B1D" w14:paraId="41EF089D" w14:textId="77777777" w:rsidTr="00266EE3">
        <w:trPr>
          <w:trHeight w:val="47"/>
        </w:trPr>
        <w:tc>
          <w:tcPr>
            <w:cnfStyle w:val="001000000000" w:firstRow="0" w:lastRow="0" w:firstColumn="1" w:lastColumn="0" w:oddVBand="0" w:evenVBand="0" w:oddHBand="0" w:evenHBand="0" w:firstRowFirstColumn="0" w:firstRowLastColumn="0" w:lastRowFirstColumn="0" w:lastRowLastColumn="0"/>
            <w:tcW w:w="2547" w:type="dxa"/>
          </w:tcPr>
          <w:p w14:paraId="50594EBA" w14:textId="77777777" w:rsidR="00A042A9" w:rsidRPr="00F52B1D" w:rsidRDefault="00A042A9" w:rsidP="00AB7459">
            <w:pPr>
              <w:pStyle w:val="TableText"/>
              <w:keepNext/>
              <w:spacing w:before="0" w:after="0" w:line="257" w:lineRule="auto"/>
            </w:pPr>
            <w:r w:rsidRPr="00F52B1D">
              <w:t>Unadjusted Bucher ITC (n=107)</w:t>
            </w:r>
          </w:p>
        </w:tc>
        <w:tc>
          <w:tcPr>
            <w:tcW w:w="2268" w:type="dxa"/>
            <w:tcBorders>
              <w:right w:val="single" w:sz="4" w:space="0" w:color="auto"/>
            </w:tcBorders>
          </w:tcPr>
          <w:p w14:paraId="0D2E2418"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eastAsiaTheme="minorEastAsia" w:cs="Calibri"/>
                <w:szCs w:val="20"/>
                <w:lang w:eastAsia="zh-CN"/>
              </w:rPr>
              <w:t>0.381 (0.229, 0.634)</w:t>
            </w:r>
          </w:p>
        </w:tc>
        <w:tc>
          <w:tcPr>
            <w:tcW w:w="1984" w:type="dxa"/>
            <w:vMerge/>
            <w:tcBorders>
              <w:top w:val="single" w:sz="4" w:space="0" w:color="auto"/>
              <w:left w:val="single" w:sz="4" w:space="0" w:color="auto"/>
              <w:bottom w:val="single" w:sz="4" w:space="0" w:color="auto"/>
              <w:right w:val="single" w:sz="4" w:space="0" w:color="auto"/>
            </w:tcBorders>
            <w:vAlign w:val="top"/>
          </w:tcPr>
          <w:p w14:paraId="3E2B5D1F" w14:textId="77777777" w:rsidR="00A042A9" w:rsidRPr="00F52B1D" w:rsidRDefault="00A042A9" w:rsidP="00AB7459">
            <w:pPr>
              <w:pStyle w:val="TableText"/>
              <w:keepNext/>
              <w:spacing w:before="0" w:after="0" w:line="257" w:lineRule="auto"/>
              <w:cnfStyle w:val="000000000000" w:firstRow="0" w:lastRow="0" w:firstColumn="0" w:lastColumn="0" w:oddVBand="0" w:evenVBand="0" w:oddHBand="0" w:evenHBand="0" w:firstRowFirstColumn="0" w:firstRowLastColumn="0" w:lastRowFirstColumn="0" w:lastRowLastColumn="0"/>
              <w:rPr>
                <w:iCs/>
              </w:rPr>
            </w:pPr>
          </w:p>
        </w:tc>
        <w:tc>
          <w:tcPr>
            <w:tcW w:w="2217" w:type="dxa"/>
            <w:tcBorders>
              <w:left w:val="single" w:sz="4" w:space="0" w:color="auto"/>
            </w:tcBorders>
          </w:tcPr>
          <w:p w14:paraId="20A05524" w14:textId="77777777" w:rsidR="00A042A9" w:rsidRPr="00F52B1D" w:rsidRDefault="00A042A9" w:rsidP="00AB7459">
            <w:pPr>
              <w:pStyle w:val="TableText"/>
              <w:keepNext/>
              <w:spacing w:before="0" w:after="0" w:line="257" w:lineRule="auto"/>
              <w:jc w:val="center"/>
              <w:cnfStyle w:val="000000000000" w:firstRow="0" w:lastRow="0" w:firstColumn="0" w:lastColumn="0" w:oddVBand="0" w:evenVBand="0" w:oddHBand="0" w:evenHBand="0" w:firstRowFirstColumn="0" w:firstRowLastColumn="0" w:lastRowFirstColumn="0" w:lastRowLastColumn="0"/>
            </w:pPr>
            <w:r w:rsidRPr="00F52B1D">
              <w:rPr>
                <w:rFonts w:eastAsiaTheme="minorEastAsia" w:cs="Calibri"/>
                <w:szCs w:val="20"/>
                <w:lang w:eastAsia="zh-CN"/>
              </w:rPr>
              <w:t>0.596 (0.325, 1.092)</w:t>
            </w:r>
          </w:p>
        </w:tc>
      </w:tr>
    </w:tbl>
    <w:p w14:paraId="0A2A5444" w14:textId="77777777" w:rsidR="00A042A9" w:rsidRPr="00CA4838" w:rsidRDefault="00A042A9" w:rsidP="00A042A9">
      <w:pPr>
        <w:pStyle w:val="TableFigureFooter"/>
        <w:rPr>
          <w:rFonts w:eastAsiaTheme="minorHAnsi"/>
        </w:rPr>
      </w:pPr>
      <w:r w:rsidRPr="00CA4838">
        <w:rPr>
          <w:rFonts w:eastAsiaTheme="minorHAnsi"/>
        </w:rPr>
        <w:t xml:space="preserve">Source: Tables 18-21, </w:t>
      </w:r>
      <w:r w:rsidR="00753B7C">
        <w:rPr>
          <w:rFonts w:eastAsiaTheme="minorHAnsi"/>
        </w:rPr>
        <w:t>A</w:t>
      </w:r>
      <w:r w:rsidRPr="00CA4838">
        <w:rPr>
          <w:rFonts w:eastAsiaTheme="minorHAnsi"/>
        </w:rPr>
        <w:t>ttachment 2.24 of the resubmission.</w:t>
      </w:r>
    </w:p>
    <w:p w14:paraId="14EF7764" w14:textId="77777777" w:rsidR="00A042A9" w:rsidRPr="00CA4838" w:rsidRDefault="00A042A9" w:rsidP="00A042A9">
      <w:pPr>
        <w:pStyle w:val="TableFigureFooter"/>
        <w:rPr>
          <w:rFonts w:eastAsiaTheme="minorHAnsi"/>
        </w:rPr>
      </w:pPr>
      <w:r w:rsidRPr="00CA4838">
        <w:rPr>
          <w:rFonts w:eastAsiaTheme="minorHAnsi"/>
        </w:rPr>
        <w:t>* Effective sample size</w:t>
      </w:r>
    </w:p>
    <w:p w14:paraId="41C40421" w14:textId="77777777" w:rsidR="00A042A9" w:rsidRPr="00CA4838" w:rsidRDefault="00A042A9" w:rsidP="00A042A9">
      <w:pPr>
        <w:pStyle w:val="TableFigureFooter"/>
        <w:rPr>
          <w:rFonts w:eastAsiaTheme="minorHAnsi"/>
          <w:noProof/>
        </w:rPr>
      </w:pPr>
      <w:r w:rsidRPr="00CA4838">
        <w:rPr>
          <w:rFonts w:eastAsiaTheme="minorHAnsi"/>
          <w:noProof/>
        </w:rPr>
        <w:t>^ used in the economic model</w:t>
      </w:r>
    </w:p>
    <w:p w14:paraId="17DF46CC" w14:textId="77777777" w:rsidR="00A042A9" w:rsidRPr="00FF4741" w:rsidRDefault="00A042A9" w:rsidP="00AB7459">
      <w:pPr>
        <w:pStyle w:val="TableFigureFooter"/>
      </w:pPr>
      <w:r w:rsidRPr="00CA4838">
        <w:t xml:space="preserve">CI=confidence </w:t>
      </w:r>
      <w:r w:rsidRPr="00FF4741">
        <w:t>interval, HR=hazard ratio, ITC=indirect treatment comparison, MAIC=matching-adjusted indirect comparison, NHA=</w:t>
      </w:r>
      <w:r w:rsidRPr="00FF4741">
        <w:rPr>
          <w:rFonts w:eastAsiaTheme="minorHAnsi"/>
          <w:noProof/>
        </w:rPr>
        <w:t>novel hormonal agent</w:t>
      </w:r>
      <w:r w:rsidRPr="00FF4741">
        <w:t>, OS=overall survival, rPFS= radiographic progression-free survival, RPSFTM=rank preserving structural failure time model</w:t>
      </w:r>
    </w:p>
    <w:p w14:paraId="6BABCDA8" w14:textId="77777777" w:rsidR="00A042A9" w:rsidRPr="00FF4741" w:rsidRDefault="00A042A9" w:rsidP="00A2713C">
      <w:pPr>
        <w:pStyle w:val="ListParagraph"/>
        <w:ind w:left="709"/>
      </w:pPr>
      <w:bookmarkStart w:id="46" w:name="_Ref85443434"/>
      <w:r w:rsidRPr="00FF4741">
        <w:t xml:space="preserve">Based on the ITCs comparing olaparib (data from PROfound) with cabazitaxel (data from CARD) through the common treatment arm of NHA, the HRs are likely to be unreliable </w:t>
      </w:r>
      <w:r w:rsidRPr="00881C2E">
        <w:t>b</w:t>
      </w:r>
      <w:r w:rsidRPr="00FF4741">
        <w:t>ecause:</w:t>
      </w:r>
      <w:bookmarkEnd w:id="46"/>
    </w:p>
    <w:p w14:paraId="38FDA629" w14:textId="77777777" w:rsidR="00A042A9" w:rsidRPr="00F52B1D" w:rsidRDefault="00A042A9" w:rsidP="00A042A9">
      <w:pPr>
        <w:pStyle w:val="PBACESParagraphBulletPoint"/>
        <w:ind w:left="1134"/>
      </w:pPr>
      <w:r w:rsidRPr="00F52B1D">
        <w:t xml:space="preserve">There were a number of important differences in baseline disease characteristics between </w:t>
      </w:r>
      <w:r w:rsidR="00EC677D">
        <w:t xml:space="preserve">patients in </w:t>
      </w:r>
      <w:r w:rsidRPr="00F52B1D">
        <w:t>CARD and PROfound that were not adjusted for in the MAIC, in particular the BRCA1/2 status in CARD was unknown. This is likely to be a key unmeasured confounder.</w:t>
      </w:r>
      <w:r w:rsidR="009101CA">
        <w:t xml:space="preserve"> </w:t>
      </w:r>
      <w:r w:rsidR="004137A6" w:rsidRPr="00266EE3">
        <w:t>The ESC noted that taxane benefit is likely to be lower in the BRCA1/2 subgroup and this difference may bias against olaparib.</w:t>
      </w:r>
    </w:p>
    <w:p w14:paraId="75DC3DBF" w14:textId="77777777" w:rsidR="00A042A9" w:rsidRPr="00F52B1D" w:rsidRDefault="00A042A9" w:rsidP="00A042A9">
      <w:pPr>
        <w:pStyle w:val="PBACESParagraphBulletPoint"/>
        <w:ind w:left="1134"/>
      </w:pPr>
      <w:r w:rsidRPr="00F52B1D">
        <w:t>The MAIC was based on the BRCA1/2 subgroup with prior taxane treatment in PROfound, given all patients in CARD were required to have failed prior docetaxel. Due to this approach, the effective sample size for the BRCA1/2 with prior taxane subgroup of PROfound was reduced to N=56 for the anchored analysis and N=35 for the unanchored analysis. As previously mentioned, survival results in the post-hoc subgroup analysis of BRCA1/2 according to prior taxane treatment in PROfound were unreliable due to small patient population and lack of adjustment for baseline characteristics, which were unbalanced across treatment groups.</w:t>
      </w:r>
      <w:r w:rsidR="009101CA">
        <w:t xml:space="preserve"> </w:t>
      </w:r>
    </w:p>
    <w:p w14:paraId="1D39B3D6" w14:textId="77777777" w:rsidR="00A042A9" w:rsidRPr="00CA4838" w:rsidRDefault="00A042A9" w:rsidP="00A042A9">
      <w:pPr>
        <w:pStyle w:val="PBACESParagraphBulletPoint"/>
        <w:ind w:left="1134"/>
      </w:pPr>
      <w:r w:rsidRPr="00F52B1D">
        <w:t xml:space="preserve">Furthermore, none of the analyses to select matching variables in the MAIC were based on data from the BRCA1/2 subpopulation, and were instead based on Cohort A of PROfound. As a result, some prognostic factors (e.g. LDH) highlighted by the resubmission were not included. </w:t>
      </w:r>
      <w:r w:rsidRPr="00F52B1D">
        <w:rPr>
          <w:lang w:eastAsia="en-US"/>
        </w:rPr>
        <w:t>No reasons for these omissions were provided in the resubmission</w:t>
      </w:r>
      <w:r w:rsidRPr="00CA4838">
        <w:rPr>
          <w:i/>
          <w:lang w:eastAsia="en-US"/>
        </w:rPr>
        <w:t xml:space="preserve">. </w:t>
      </w:r>
    </w:p>
    <w:p w14:paraId="49B4DE80" w14:textId="77777777" w:rsidR="00A042A9" w:rsidRPr="000744B1" w:rsidRDefault="00A042A9" w:rsidP="00A042A9">
      <w:pPr>
        <w:pStyle w:val="4-SubsectionHeading"/>
        <w:rPr>
          <w:rFonts w:asciiTheme="minorHAnsi" w:hAnsiTheme="minorHAnsi"/>
        </w:rPr>
      </w:pPr>
      <w:bookmarkStart w:id="47" w:name="_Toc58779757"/>
      <w:bookmarkEnd w:id="38"/>
      <w:bookmarkEnd w:id="39"/>
      <w:r w:rsidRPr="000744B1">
        <w:rPr>
          <w:rFonts w:asciiTheme="minorHAnsi" w:hAnsiTheme="minorHAnsi"/>
          <w:color w:val="auto"/>
        </w:rPr>
        <w:t>Comparative harms</w:t>
      </w:r>
      <w:bookmarkEnd w:id="47"/>
    </w:p>
    <w:p w14:paraId="3AC8B276" w14:textId="77777777" w:rsidR="00A042A9" w:rsidRPr="00CA4838" w:rsidRDefault="00A042A9" w:rsidP="00A2713C">
      <w:pPr>
        <w:pStyle w:val="ListParagraph"/>
        <w:ind w:left="709"/>
        <w:rPr>
          <w:color w:val="auto"/>
        </w:rPr>
      </w:pPr>
      <w:r w:rsidRPr="00CA4838">
        <w:t xml:space="preserve">The </w:t>
      </w:r>
      <w:r w:rsidRPr="00F52B1D">
        <w:t>safety</w:t>
      </w:r>
      <w:r w:rsidRPr="00CA4838">
        <w:t xml:space="preserve"> data </w:t>
      </w:r>
      <w:r w:rsidR="00EC677D">
        <w:t>presented from</w:t>
      </w:r>
      <w:r w:rsidRPr="00CA4838">
        <w:t xml:space="preserve"> the PROfound trial was based on both Cohort A and Cohort B. </w:t>
      </w:r>
      <w:r w:rsidRPr="00F52B1D">
        <w:rPr>
          <w:iCs/>
        </w:rPr>
        <w:t>Thus, along with the 245 patients in Cohort A, an additional 141 patients in Cohort B (those with 12 other gene variants) were included. Safety results for the proposed PBS population, patients with BRCA1/2 pathogenic gene variants, were not available.</w:t>
      </w:r>
      <w:r w:rsidRPr="00CA4838">
        <w:t xml:space="preserve"> </w:t>
      </w:r>
      <w:r w:rsidR="004E586C" w:rsidRPr="00266EE3">
        <w:t>However the ESC considered that BRCA1/2 status would not be expected to impact on safety outcomes.</w:t>
      </w:r>
      <w:r w:rsidRPr="00CA4838">
        <w:t xml:space="preserve"> </w:t>
      </w:r>
    </w:p>
    <w:p w14:paraId="40732A2A" w14:textId="77777777" w:rsidR="00A042A9" w:rsidRPr="00CA4838" w:rsidRDefault="00A042A9" w:rsidP="00A2713C">
      <w:pPr>
        <w:pStyle w:val="ListParagraph"/>
        <w:ind w:left="709"/>
        <w:rPr>
          <w:color w:val="auto"/>
        </w:rPr>
      </w:pPr>
      <w:r w:rsidRPr="00CA4838">
        <w:t xml:space="preserve">The </w:t>
      </w:r>
      <w:r w:rsidRPr="005F2AD4">
        <w:t>following</w:t>
      </w:r>
      <w:r w:rsidRPr="00CA4838">
        <w:t xml:space="preserve"> table provides a summary of treatment-related AEs in the combined Cohorts A and B of PROfound. The resubmission did not provide any statistical comparisons of the occurrence of AEs in the olaparib and NHA groups.</w:t>
      </w:r>
      <w:r>
        <w:t xml:space="preserve"> These results were unchanged from the previous submission.</w:t>
      </w:r>
    </w:p>
    <w:p w14:paraId="1D256A2C" w14:textId="77777777" w:rsidR="00A042A9" w:rsidRPr="00CA4838" w:rsidRDefault="00A042A9" w:rsidP="00A042A9">
      <w:pPr>
        <w:spacing w:before="0" w:after="0"/>
        <w:rPr>
          <w:rStyle w:val="CommentReference"/>
          <w:color w:val="000000" w:themeColor="text1"/>
        </w:rPr>
      </w:pPr>
      <w:r>
        <w:rPr>
          <w:rStyle w:val="CommentReference"/>
        </w:rPr>
        <w:t xml:space="preserve">Table </w:t>
      </w:r>
      <w:r w:rsidR="007C5E46">
        <w:rPr>
          <w:rStyle w:val="CommentReference"/>
          <w:noProof/>
        </w:rPr>
        <w:t>8</w:t>
      </w:r>
      <w:r w:rsidR="004A4197">
        <w:rPr>
          <w:rStyle w:val="CommentReference"/>
        </w:rPr>
        <w:t>:</w:t>
      </w:r>
      <w:r w:rsidRPr="00CA4838">
        <w:rPr>
          <w:rStyle w:val="CommentReference"/>
        </w:rPr>
        <w:tab/>
        <w:t>Summary of key adverse events Cohort A and Cohort B of PROfound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Summary of key adverse events Cohort A and Cohort B of PROfound"/>
      </w:tblPr>
      <w:tblGrid>
        <w:gridCol w:w="4651"/>
        <w:gridCol w:w="2241"/>
        <w:gridCol w:w="2124"/>
      </w:tblGrid>
      <w:tr w:rsidR="00A042A9" w:rsidRPr="00CA4838" w14:paraId="1A8E3006" w14:textId="77777777" w:rsidTr="00ED665A">
        <w:tc>
          <w:tcPr>
            <w:tcW w:w="2579" w:type="pct"/>
            <w:vAlign w:val="bottom"/>
          </w:tcPr>
          <w:p w14:paraId="3F66D674" w14:textId="77777777" w:rsidR="00A042A9" w:rsidRPr="00CA4838" w:rsidRDefault="00A042A9" w:rsidP="00ED665A">
            <w:pPr>
              <w:pStyle w:val="TableText"/>
              <w:shd w:val="clear" w:color="auto" w:fill="BDD6EE" w:themeFill="accent1" w:themeFillTint="66"/>
              <w:spacing w:before="0" w:after="0" w:line="257" w:lineRule="auto"/>
              <w:rPr>
                <w:b/>
              </w:rPr>
            </w:pPr>
            <w:r w:rsidRPr="00CA4838">
              <w:rPr>
                <w:b/>
              </w:rPr>
              <w:t>AEs causally related to trial treatment</w:t>
            </w:r>
          </w:p>
        </w:tc>
        <w:tc>
          <w:tcPr>
            <w:tcW w:w="1243" w:type="pct"/>
            <w:vAlign w:val="bottom"/>
          </w:tcPr>
          <w:p w14:paraId="673DEA05" w14:textId="77777777" w:rsidR="00A042A9" w:rsidRPr="00CA4838" w:rsidRDefault="00A042A9" w:rsidP="00ED665A">
            <w:pPr>
              <w:pStyle w:val="TableText"/>
              <w:shd w:val="clear" w:color="auto" w:fill="BDD6EE" w:themeFill="accent1" w:themeFillTint="66"/>
              <w:spacing w:before="0" w:after="0" w:line="257" w:lineRule="auto"/>
              <w:jc w:val="center"/>
              <w:rPr>
                <w:b/>
              </w:rPr>
            </w:pPr>
            <w:r w:rsidRPr="00CA4838">
              <w:rPr>
                <w:b/>
              </w:rPr>
              <w:t>Olaparib (N=256)</w:t>
            </w:r>
          </w:p>
          <w:p w14:paraId="4D479F67" w14:textId="77777777" w:rsidR="00A042A9" w:rsidRPr="00CA4838" w:rsidRDefault="00A042A9" w:rsidP="00ED665A">
            <w:pPr>
              <w:pStyle w:val="TableText"/>
              <w:shd w:val="clear" w:color="auto" w:fill="BDD6EE" w:themeFill="accent1" w:themeFillTint="66"/>
              <w:spacing w:before="0" w:after="0" w:line="257" w:lineRule="auto"/>
              <w:jc w:val="center"/>
              <w:rPr>
                <w:b/>
              </w:rPr>
            </w:pPr>
            <w:r w:rsidRPr="00CA4838">
              <w:rPr>
                <w:b/>
              </w:rPr>
              <w:t>n (%)</w:t>
            </w:r>
          </w:p>
        </w:tc>
        <w:tc>
          <w:tcPr>
            <w:tcW w:w="1178" w:type="pct"/>
            <w:vAlign w:val="bottom"/>
          </w:tcPr>
          <w:p w14:paraId="4FBB073C" w14:textId="77777777" w:rsidR="00A042A9" w:rsidRPr="00CA4838" w:rsidRDefault="00A042A9" w:rsidP="00ED665A">
            <w:pPr>
              <w:pStyle w:val="TableText"/>
              <w:shd w:val="clear" w:color="auto" w:fill="BDD6EE" w:themeFill="accent1" w:themeFillTint="66"/>
              <w:spacing w:before="0" w:after="0" w:line="257" w:lineRule="auto"/>
              <w:jc w:val="center"/>
              <w:rPr>
                <w:b/>
              </w:rPr>
            </w:pPr>
            <w:r w:rsidRPr="00CA4838">
              <w:rPr>
                <w:b/>
              </w:rPr>
              <w:t>NHA (N=130)</w:t>
            </w:r>
          </w:p>
          <w:p w14:paraId="55117A50" w14:textId="77777777" w:rsidR="00A042A9" w:rsidRPr="00CA4838" w:rsidRDefault="00A042A9" w:rsidP="00ED665A">
            <w:pPr>
              <w:pStyle w:val="TableText"/>
              <w:shd w:val="clear" w:color="auto" w:fill="BDD6EE" w:themeFill="accent1" w:themeFillTint="66"/>
              <w:spacing w:before="0" w:after="0" w:line="257" w:lineRule="auto"/>
              <w:jc w:val="center"/>
              <w:rPr>
                <w:b/>
              </w:rPr>
            </w:pPr>
            <w:r w:rsidRPr="00CA4838">
              <w:rPr>
                <w:b/>
              </w:rPr>
              <w:t>n (%)</w:t>
            </w:r>
          </w:p>
        </w:tc>
      </w:tr>
      <w:tr w:rsidR="00A042A9" w:rsidRPr="00CA4838" w14:paraId="2EE89058" w14:textId="77777777" w:rsidTr="00ED665A">
        <w:tc>
          <w:tcPr>
            <w:tcW w:w="2579" w:type="pct"/>
            <w:vAlign w:val="center"/>
          </w:tcPr>
          <w:p w14:paraId="5BD50B4D" w14:textId="77777777" w:rsidR="00A042A9" w:rsidRPr="00CA4838" w:rsidRDefault="00A042A9" w:rsidP="00ED665A">
            <w:pPr>
              <w:pStyle w:val="TableText"/>
              <w:shd w:val="clear" w:color="auto" w:fill="BDD6EE" w:themeFill="accent1" w:themeFillTint="66"/>
              <w:spacing w:before="0" w:after="0" w:line="257" w:lineRule="auto"/>
            </w:pPr>
            <w:r w:rsidRPr="00CA4838">
              <w:t xml:space="preserve">Any AE </w:t>
            </w:r>
          </w:p>
        </w:tc>
        <w:tc>
          <w:tcPr>
            <w:tcW w:w="1243" w:type="pct"/>
            <w:vAlign w:val="center"/>
          </w:tcPr>
          <w:p w14:paraId="171F80DC"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210 (82.0%)</w:t>
            </w:r>
          </w:p>
        </w:tc>
        <w:tc>
          <w:tcPr>
            <w:tcW w:w="1178" w:type="pct"/>
            <w:vAlign w:val="center"/>
          </w:tcPr>
          <w:p w14:paraId="2E9F4360"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63 (48.5%)</w:t>
            </w:r>
          </w:p>
        </w:tc>
      </w:tr>
      <w:tr w:rsidR="00A042A9" w:rsidRPr="00CA4838" w14:paraId="4FBDAC7F" w14:textId="77777777" w:rsidTr="00ED665A">
        <w:tc>
          <w:tcPr>
            <w:tcW w:w="2579" w:type="pct"/>
            <w:vAlign w:val="center"/>
          </w:tcPr>
          <w:p w14:paraId="2AF64AF9" w14:textId="77777777" w:rsidR="00A042A9" w:rsidRPr="00CA4838" w:rsidRDefault="00A042A9" w:rsidP="00ED665A">
            <w:pPr>
              <w:pStyle w:val="TableText"/>
              <w:shd w:val="clear" w:color="auto" w:fill="BDD6EE" w:themeFill="accent1" w:themeFillTint="66"/>
              <w:spacing w:before="0" w:after="0" w:line="257" w:lineRule="auto"/>
              <w:rPr>
                <w:rFonts w:ascii="Times" w:hAnsi="Times"/>
              </w:rPr>
            </w:pPr>
            <w:r w:rsidRPr="00CA4838">
              <w:t xml:space="preserve">AE ≥ Grade 3 </w:t>
            </w:r>
          </w:p>
        </w:tc>
        <w:tc>
          <w:tcPr>
            <w:tcW w:w="1243" w:type="pct"/>
            <w:vAlign w:val="center"/>
          </w:tcPr>
          <w:p w14:paraId="45A7057A"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83 (32.4%)</w:t>
            </w:r>
          </w:p>
        </w:tc>
        <w:tc>
          <w:tcPr>
            <w:tcW w:w="1178" w:type="pct"/>
            <w:vAlign w:val="center"/>
          </w:tcPr>
          <w:p w14:paraId="3389FD0D"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12 (9.2%)</w:t>
            </w:r>
          </w:p>
        </w:tc>
      </w:tr>
      <w:tr w:rsidR="00A042A9" w:rsidRPr="00CA4838" w14:paraId="663CAD9C" w14:textId="77777777" w:rsidTr="00ED665A">
        <w:tc>
          <w:tcPr>
            <w:tcW w:w="2579" w:type="pct"/>
            <w:vAlign w:val="center"/>
          </w:tcPr>
          <w:p w14:paraId="3A8F56A2" w14:textId="77777777" w:rsidR="00A042A9" w:rsidRPr="00CA4838" w:rsidRDefault="00A042A9" w:rsidP="00ED665A">
            <w:pPr>
              <w:pStyle w:val="TableText"/>
              <w:shd w:val="clear" w:color="auto" w:fill="BDD6EE" w:themeFill="accent1" w:themeFillTint="66"/>
              <w:spacing w:before="0" w:after="0" w:line="257" w:lineRule="auto"/>
            </w:pPr>
            <w:r w:rsidRPr="00CA4838">
              <w:t>AE with outcome=death</w:t>
            </w:r>
          </w:p>
        </w:tc>
        <w:tc>
          <w:tcPr>
            <w:tcW w:w="1243" w:type="pct"/>
            <w:vAlign w:val="center"/>
          </w:tcPr>
          <w:p w14:paraId="27FB5E2B"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1 (0.4%)</w:t>
            </w:r>
          </w:p>
        </w:tc>
        <w:tc>
          <w:tcPr>
            <w:tcW w:w="1178" w:type="pct"/>
            <w:vAlign w:val="center"/>
          </w:tcPr>
          <w:p w14:paraId="71585EE0"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1 (0.8%)</w:t>
            </w:r>
          </w:p>
        </w:tc>
      </w:tr>
      <w:tr w:rsidR="00A042A9" w:rsidRPr="00CA4838" w14:paraId="374B76EE" w14:textId="77777777" w:rsidTr="00ED665A">
        <w:tc>
          <w:tcPr>
            <w:tcW w:w="2579" w:type="pct"/>
            <w:vAlign w:val="center"/>
          </w:tcPr>
          <w:p w14:paraId="40DD2BCA" w14:textId="77777777" w:rsidR="00A042A9" w:rsidRPr="00CA4838" w:rsidRDefault="00A042A9" w:rsidP="00ED665A">
            <w:pPr>
              <w:pStyle w:val="TableText"/>
              <w:shd w:val="clear" w:color="auto" w:fill="BDD6EE" w:themeFill="accent1" w:themeFillTint="66"/>
              <w:spacing w:before="0" w:after="0" w:line="257" w:lineRule="auto"/>
            </w:pPr>
            <w:r w:rsidRPr="00CA4838">
              <w:t>SAE (including events with outcome=death)</w:t>
            </w:r>
          </w:p>
        </w:tc>
        <w:tc>
          <w:tcPr>
            <w:tcW w:w="1243" w:type="pct"/>
            <w:vAlign w:val="center"/>
          </w:tcPr>
          <w:p w14:paraId="7FE5B05B"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36 (14.1%)</w:t>
            </w:r>
          </w:p>
        </w:tc>
        <w:tc>
          <w:tcPr>
            <w:tcW w:w="1178" w:type="pct"/>
            <w:vAlign w:val="center"/>
          </w:tcPr>
          <w:p w14:paraId="29AB9A4E"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6 (4.6%)</w:t>
            </w:r>
          </w:p>
        </w:tc>
      </w:tr>
      <w:tr w:rsidR="00A042A9" w:rsidRPr="00CA4838" w14:paraId="280FE69C" w14:textId="77777777" w:rsidTr="00ED665A">
        <w:tc>
          <w:tcPr>
            <w:tcW w:w="2579" w:type="pct"/>
            <w:vAlign w:val="center"/>
          </w:tcPr>
          <w:p w14:paraId="651E6512" w14:textId="77777777" w:rsidR="00A042A9" w:rsidRPr="00CA4838" w:rsidRDefault="00A042A9" w:rsidP="00ED665A">
            <w:pPr>
              <w:pStyle w:val="TableText"/>
              <w:shd w:val="clear" w:color="auto" w:fill="BDD6EE" w:themeFill="accent1" w:themeFillTint="66"/>
              <w:spacing w:before="0" w:after="0" w:line="257" w:lineRule="auto"/>
            </w:pPr>
            <w:r w:rsidRPr="00CA4838">
              <w:t>AE leading to discontinuation</w:t>
            </w:r>
          </w:p>
        </w:tc>
        <w:tc>
          <w:tcPr>
            <w:tcW w:w="1243" w:type="pct"/>
            <w:vAlign w:val="center"/>
          </w:tcPr>
          <w:p w14:paraId="5A1850DC"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35 (13.7%)</w:t>
            </w:r>
          </w:p>
        </w:tc>
        <w:tc>
          <w:tcPr>
            <w:tcW w:w="1178" w:type="pct"/>
            <w:vAlign w:val="center"/>
          </w:tcPr>
          <w:p w14:paraId="71E2E248"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6 (4.6%)</w:t>
            </w:r>
          </w:p>
        </w:tc>
      </w:tr>
      <w:tr w:rsidR="00A042A9" w:rsidRPr="00CA4838" w14:paraId="5DD44F14" w14:textId="77777777" w:rsidTr="00ED665A">
        <w:tc>
          <w:tcPr>
            <w:tcW w:w="2579" w:type="pct"/>
            <w:vAlign w:val="center"/>
          </w:tcPr>
          <w:p w14:paraId="050EAB4B" w14:textId="77777777" w:rsidR="00A042A9" w:rsidRPr="00CA4838" w:rsidRDefault="00A042A9" w:rsidP="00ED665A">
            <w:pPr>
              <w:pStyle w:val="TableText"/>
              <w:shd w:val="clear" w:color="auto" w:fill="BDD6EE" w:themeFill="accent1" w:themeFillTint="66"/>
              <w:spacing w:before="0" w:after="0" w:line="257" w:lineRule="auto"/>
            </w:pPr>
            <w:r w:rsidRPr="00CA4838">
              <w:t>AE leading to dose reduction</w:t>
            </w:r>
          </w:p>
        </w:tc>
        <w:tc>
          <w:tcPr>
            <w:tcW w:w="1243" w:type="pct"/>
            <w:vAlign w:val="center"/>
          </w:tcPr>
          <w:p w14:paraId="1ECE0DB3"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52 (20.3%)</w:t>
            </w:r>
          </w:p>
        </w:tc>
        <w:tc>
          <w:tcPr>
            <w:tcW w:w="1178" w:type="pct"/>
            <w:vAlign w:val="center"/>
          </w:tcPr>
          <w:p w14:paraId="61F0615E"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6 (4.6%)</w:t>
            </w:r>
          </w:p>
        </w:tc>
      </w:tr>
      <w:tr w:rsidR="00A042A9" w:rsidRPr="00CA4838" w14:paraId="36A59D24" w14:textId="77777777" w:rsidTr="00ED665A">
        <w:tc>
          <w:tcPr>
            <w:tcW w:w="2579" w:type="pct"/>
            <w:vAlign w:val="center"/>
          </w:tcPr>
          <w:p w14:paraId="34EA9CBD" w14:textId="77777777" w:rsidR="00A042A9" w:rsidRPr="00CA4838" w:rsidRDefault="00A042A9" w:rsidP="00ED665A">
            <w:pPr>
              <w:pStyle w:val="TableText"/>
              <w:shd w:val="clear" w:color="auto" w:fill="BDD6EE" w:themeFill="accent1" w:themeFillTint="66"/>
              <w:spacing w:before="0" w:after="0" w:line="257" w:lineRule="auto"/>
            </w:pPr>
            <w:r w:rsidRPr="00CA4838">
              <w:t>AE leading to dose interruption</w:t>
            </w:r>
          </w:p>
        </w:tc>
        <w:tc>
          <w:tcPr>
            <w:tcW w:w="1243" w:type="pct"/>
            <w:vAlign w:val="center"/>
          </w:tcPr>
          <w:p w14:paraId="278BDCC6"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90 (35.2%)</w:t>
            </w:r>
          </w:p>
        </w:tc>
        <w:tc>
          <w:tcPr>
            <w:tcW w:w="1178" w:type="pct"/>
            <w:vAlign w:val="center"/>
          </w:tcPr>
          <w:p w14:paraId="3BA150CD" w14:textId="77777777" w:rsidR="00A042A9" w:rsidRPr="00CA4838" w:rsidRDefault="00A042A9" w:rsidP="00ED665A">
            <w:pPr>
              <w:pStyle w:val="TableText"/>
              <w:shd w:val="clear" w:color="auto" w:fill="BDD6EE" w:themeFill="accent1" w:themeFillTint="66"/>
              <w:spacing w:before="0" w:after="0" w:line="257" w:lineRule="auto"/>
              <w:jc w:val="center"/>
            </w:pPr>
            <w:r w:rsidRPr="00CA4838">
              <w:rPr>
                <w:szCs w:val="20"/>
              </w:rPr>
              <w:t>11 (8.5%)</w:t>
            </w:r>
          </w:p>
        </w:tc>
      </w:tr>
    </w:tbl>
    <w:p w14:paraId="0A8A51A9" w14:textId="77777777" w:rsidR="00A042A9" w:rsidRPr="00CA4838" w:rsidRDefault="00A042A9" w:rsidP="00A042A9">
      <w:pPr>
        <w:pStyle w:val="TableFooter"/>
      </w:pPr>
      <w:r w:rsidRPr="00CA4838">
        <w:t xml:space="preserve">Source: Table 2-32, p100 of the March 2021 submission. </w:t>
      </w:r>
      <w:r w:rsidRPr="00CA4838">
        <w:rPr>
          <w:shd w:val="clear" w:color="auto" w:fill="BDD6EE" w:themeFill="accent1" w:themeFillTint="66"/>
        </w:rPr>
        <w:t>Blue shading</w:t>
      </w:r>
      <w:r w:rsidRPr="00CA4838">
        <w:t>=data previously seen by the PBAC</w:t>
      </w:r>
    </w:p>
    <w:p w14:paraId="776B833A" w14:textId="77777777" w:rsidR="00A042A9" w:rsidRPr="00CA4838" w:rsidRDefault="00A042A9" w:rsidP="00A042A9">
      <w:pPr>
        <w:pStyle w:val="TableFooter"/>
        <w:tabs>
          <w:tab w:val="left" w:pos="142"/>
        </w:tabs>
        <w:ind w:left="142" w:hanging="142"/>
        <w:rPr>
          <w:i/>
          <w:iCs/>
        </w:rPr>
      </w:pPr>
      <w:r w:rsidRPr="00CA4838">
        <w:t>AE=adverse event; NHA=novel hormonal agent; SAE=serious adverse event</w:t>
      </w:r>
    </w:p>
    <w:p w14:paraId="7296492B" w14:textId="77777777" w:rsidR="00A042A9" w:rsidRPr="00CA4838" w:rsidRDefault="00A042A9" w:rsidP="00A2713C">
      <w:pPr>
        <w:pStyle w:val="ListParagraph"/>
        <w:ind w:left="709"/>
        <w:rPr>
          <w:color w:val="auto"/>
        </w:rPr>
      </w:pPr>
      <w:r w:rsidRPr="00CA4838">
        <w:rPr>
          <w:color w:val="auto"/>
        </w:rPr>
        <w:t>Significantly greater proportions of patients treated with olaparib experienced any AE, AE ≥ Grade 3, serious AE, AE leading to discontinuation, AE leading to dose reduction and AE leading to dose interruption in Cohort A + B. However, there was no difference in AEs that resulted in death between the two treatment arms.</w:t>
      </w:r>
    </w:p>
    <w:p w14:paraId="0A81F5A1" w14:textId="77777777" w:rsidR="00A042A9" w:rsidRPr="00CA4838" w:rsidRDefault="00A042A9" w:rsidP="00A2713C">
      <w:pPr>
        <w:pStyle w:val="ListParagraph"/>
        <w:ind w:left="709"/>
        <w:rPr>
          <w:color w:val="auto"/>
        </w:rPr>
      </w:pPr>
      <w:r w:rsidRPr="00CA4838">
        <w:rPr>
          <w:color w:val="auto"/>
        </w:rPr>
        <w:t xml:space="preserve">The resubmission maintained that the safety and tolerability profile of olaparib in PROfound was consistent with the known safety and tolerability profile of olaparib and considered to be mostly manageable and acceptable in this population. The PBAC (paragraph 6.25, olaparib PSD, March 2021) </w:t>
      </w:r>
      <w:r w:rsidR="004E586C">
        <w:rPr>
          <w:color w:val="auto"/>
        </w:rPr>
        <w:t>previously</w:t>
      </w:r>
      <w:r w:rsidR="004E586C" w:rsidRPr="00CA4838">
        <w:rPr>
          <w:color w:val="auto"/>
        </w:rPr>
        <w:t xml:space="preserve"> </w:t>
      </w:r>
      <w:r w:rsidRPr="00CA4838">
        <w:rPr>
          <w:color w:val="auto"/>
        </w:rPr>
        <w:t xml:space="preserve">considered this to be </w:t>
      </w:r>
      <w:r w:rsidRPr="00AB515A">
        <w:rPr>
          <w:iCs/>
        </w:rPr>
        <w:t>reasonable</w:t>
      </w:r>
      <w:r w:rsidRPr="00CA4838">
        <w:rPr>
          <w:color w:val="auto"/>
        </w:rPr>
        <w:t xml:space="preserve"> for some AEs, such as the occurrence of anaemia associated with olaparib, which had been cited as a relevant AE in the November 2019 consideration of olaparib for ovarian cancer (paragraph 7.15, November 2019 PSD).</w:t>
      </w:r>
    </w:p>
    <w:p w14:paraId="36B8D078" w14:textId="77777777" w:rsidR="00A042A9" w:rsidRPr="00F52B1D" w:rsidRDefault="00A042A9" w:rsidP="00A2713C">
      <w:pPr>
        <w:pStyle w:val="ListParagraph"/>
        <w:ind w:left="709"/>
        <w:rPr>
          <w:color w:val="auto"/>
        </w:rPr>
      </w:pPr>
      <w:r w:rsidRPr="00F52B1D">
        <w:rPr>
          <w:color w:val="auto"/>
        </w:rPr>
        <w:t xml:space="preserve">The </w:t>
      </w:r>
      <w:r w:rsidRPr="00F52B1D">
        <w:t>PBAC</w:t>
      </w:r>
      <w:r w:rsidRPr="00F52B1D">
        <w:rPr>
          <w:color w:val="auto"/>
        </w:rPr>
        <w:t xml:space="preserve"> </w:t>
      </w:r>
      <w:r w:rsidR="004E586C">
        <w:rPr>
          <w:color w:val="auto"/>
        </w:rPr>
        <w:t xml:space="preserve">previously </w:t>
      </w:r>
      <w:r w:rsidRPr="00F52B1D">
        <w:rPr>
          <w:color w:val="auto"/>
        </w:rPr>
        <w:t xml:space="preserve">noted (paragraph 6.26, olaparib PSD, March 2021) that the EMA had considered there were uncertainties associated with the potential risks of myelodysplastic syndrome (MDS) and acute myeloid leukaemia (AML), new primary malignancies and pneumonitis for olaparib, which require monitoring in the post-marketing setting. </w:t>
      </w:r>
    </w:p>
    <w:p w14:paraId="6B226129" w14:textId="77777777" w:rsidR="00A042A9" w:rsidRPr="00F52B1D" w:rsidRDefault="00A042A9" w:rsidP="00A2713C">
      <w:pPr>
        <w:pStyle w:val="ListParagraph"/>
        <w:ind w:left="709"/>
        <w:rPr>
          <w:color w:val="auto"/>
        </w:rPr>
      </w:pPr>
      <w:r w:rsidRPr="00F52B1D">
        <w:rPr>
          <w:color w:val="auto"/>
        </w:rPr>
        <w:t xml:space="preserve">The PSCR to the March 2021 submission stated that while the events of MDS/AML and </w:t>
      </w:r>
      <w:r w:rsidRPr="00F52B1D">
        <w:t>pneumonitis</w:t>
      </w:r>
      <w:r w:rsidRPr="00F52B1D">
        <w:rPr>
          <w:color w:val="auto"/>
        </w:rPr>
        <w:t xml:space="preserve"> are being monitored, no MDS/AML cases were noted in the PROfound trial and that a low occurrence of pneumonitis was observed in both the olaparib (2.0%) and NHA (1.5%) arms of the trial. The resubmission also added (p202) that AML and MDS are known serious but rare side effects of treatment with PARP inhibitors (reported in &lt;1.5% of patients), these AEs were of special interest in the PROfound trial, but no cases were reported in either treatment arm during the trial or the 30-day safety follow-up period (PROfound CSR, page 26).</w:t>
      </w:r>
    </w:p>
    <w:p w14:paraId="20F64C5F" w14:textId="77777777" w:rsidR="00A042A9" w:rsidRPr="00CA4838" w:rsidRDefault="00A042A9" w:rsidP="00A2713C">
      <w:pPr>
        <w:pStyle w:val="ListParagraph"/>
        <w:ind w:left="709"/>
        <w:rPr>
          <w:i/>
          <w:color w:val="auto"/>
        </w:rPr>
      </w:pPr>
      <w:r w:rsidRPr="00CA4838">
        <w:rPr>
          <w:iCs/>
          <w:lang w:eastAsia="en-US"/>
        </w:rPr>
        <w:t xml:space="preserve">The resubmission stated that in Cohort A, skeletal related events (SREs) occurred in 15.4% of patients in the olaparib arm and 22.9% of patients in the NHA arm. A </w:t>
      </w:r>
      <w:r w:rsidRPr="00AB515A">
        <w:rPr>
          <w:iCs/>
        </w:rPr>
        <w:t>stratified</w:t>
      </w:r>
      <w:r w:rsidRPr="00CA4838">
        <w:rPr>
          <w:iCs/>
          <w:lang w:eastAsia="en-US"/>
        </w:rPr>
        <w:t xml:space="preserve"> log-rank test of time to first symptomatic SRE for olaparib vs NHA showed olaparib significantly </w:t>
      </w:r>
      <w:r w:rsidR="00EC677D">
        <w:rPr>
          <w:iCs/>
          <w:lang w:eastAsia="en-US"/>
        </w:rPr>
        <w:t>delayed</w:t>
      </w:r>
      <w:r w:rsidR="00EC677D" w:rsidRPr="00CA4838">
        <w:rPr>
          <w:iCs/>
          <w:lang w:eastAsia="en-US"/>
        </w:rPr>
        <w:t xml:space="preserve"> </w:t>
      </w:r>
      <w:r w:rsidRPr="00CA4838">
        <w:rPr>
          <w:iCs/>
          <w:lang w:eastAsia="en-US"/>
        </w:rPr>
        <w:t xml:space="preserve">the time to first SRE (HR=0.37; 95% CI 0.20 to 0.70). As the frequency of SREs in the </w:t>
      </w:r>
      <w:r w:rsidRPr="00AB515A">
        <w:rPr>
          <w:lang w:eastAsia="en-US"/>
        </w:rPr>
        <w:t>BRCA1/2</w:t>
      </w:r>
      <w:r w:rsidRPr="00CA4838">
        <w:rPr>
          <w:iCs/>
          <w:lang w:eastAsia="en-US"/>
        </w:rPr>
        <w:t xml:space="preserve"> population of PROfound was not available, data for Cohort A was used as a proxy for the economic evaluation.</w:t>
      </w:r>
    </w:p>
    <w:p w14:paraId="23DC9056" w14:textId="77777777" w:rsidR="00881C2E" w:rsidRPr="008A4199" w:rsidRDefault="00A042A9" w:rsidP="008A4199">
      <w:pPr>
        <w:pStyle w:val="ListParagraph"/>
        <w:ind w:left="709"/>
        <w:rPr>
          <w:iCs/>
          <w:lang w:eastAsia="en-US"/>
        </w:rPr>
      </w:pPr>
      <w:r w:rsidRPr="00F52B1D">
        <w:rPr>
          <w:iCs/>
          <w:lang w:eastAsia="en-US"/>
        </w:rPr>
        <w:t xml:space="preserve">The </w:t>
      </w:r>
      <w:r w:rsidR="002542D1">
        <w:rPr>
          <w:iCs/>
          <w:lang w:eastAsia="en-US"/>
        </w:rPr>
        <w:t>resubmission’s</w:t>
      </w:r>
      <w:r w:rsidRPr="00F52B1D">
        <w:rPr>
          <w:iCs/>
          <w:lang w:eastAsia="en-US"/>
        </w:rPr>
        <w:t xml:space="preserve"> economic model included AEs such as anaemia, neutropenia, pulmonary embolism and vomiting, along with </w:t>
      </w:r>
      <w:r w:rsidR="00EC677D">
        <w:rPr>
          <w:iCs/>
          <w:lang w:eastAsia="en-US"/>
        </w:rPr>
        <w:t>SREs</w:t>
      </w:r>
      <w:r w:rsidRPr="00F52B1D">
        <w:rPr>
          <w:iCs/>
          <w:lang w:eastAsia="en-US"/>
        </w:rPr>
        <w:t>.  Overall, the identified risks for olaparib were consistent with its safety profile in ovarian cancer.</w:t>
      </w:r>
    </w:p>
    <w:p w14:paraId="300F3D2E" w14:textId="37491F86" w:rsidR="00881C2E" w:rsidRPr="009A7061" w:rsidRDefault="00881C2E" w:rsidP="0030433E">
      <w:pPr>
        <w:pStyle w:val="ListParagraph"/>
        <w:ind w:left="709"/>
      </w:pPr>
      <w:r w:rsidRPr="009A7061">
        <w:t xml:space="preserve">The resubmission also presented a comparison of safety outcomes for ‘any grade’ and ‘grade 3-4’ AEs comparing olaparib (data from PROfound) with cabazitaxel (data from CARD) through the common treatment arm of NHA, using the Bucher method. </w:t>
      </w:r>
      <w:r w:rsidRPr="00266EE3">
        <w:t xml:space="preserve">The HRs are likely to be unreliable for the same reasons as </w:t>
      </w:r>
      <w:r w:rsidR="00EC677D">
        <w:t xml:space="preserve">identified for </w:t>
      </w:r>
      <w:r w:rsidR="00A15895" w:rsidRPr="00266EE3">
        <w:t>the OS and PFS HRs</w:t>
      </w:r>
      <w:r w:rsidR="00EC677D">
        <w:t xml:space="preserve"> (</w:t>
      </w:r>
      <w:r w:rsidRPr="00266EE3">
        <w:t xml:space="preserve">paragraph </w:t>
      </w:r>
      <w:r w:rsidR="007C5E46">
        <w:t>6.33</w:t>
      </w:r>
      <w:r w:rsidR="00EC677D">
        <w:t>)</w:t>
      </w:r>
      <w:r w:rsidRPr="00266EE3">
        <w:t xml:space="preserve">. </w:t>
      </w:r>
      <w:r w:rsidR="009E0320" w:rsidRPr="000744B1">
        <w:t xml:space="preserve">The conclusion of superior safety versus cabazitaxel was based on an unadjusted ITC using the ITT populations of the two trials, and as such may not be reliable. The </w:t>
      </w:r>
      <w:r w:rsidR="009E0320">
        <w:t xml:space="preserve">PBAC considered the </w:t>
      </w:r>
      <w:r w:rsidR="009E0320" w:rsidRPr="00F52B1D">
        <w:t>conclusion</w:t>
      </w:r>
      <w:r w:rsidR="009E0320" w:rsidRPr="000744B1">
        <w:t xml:space="preserve"> of non-inferior safety </w:t>
      </w:r>
      <w:r w:rsidR="009E0320">
        <w:t>was</w:t>
      </w:r>
      <w:r w:rsidR="009E0320" w:rsidRPr="000744B1">
        <w:t xml:space="preserve"> more appropriate, noting that </w:t>
      </w:r>
      <w:r w:rsidR="009E0320">
        <w:t>the safety profiles of olaparib and cabazitaxel are different</w:t>
      </w:r>
      <w:r w:rsidR="009E0320" w:rsidRPr="000744B1">
        <w:t>.</w:t>
      </w:r>
    </w:p>
    <w:p w14:paraId="53AACB4D" w14:textId="77777777" w:rsidR="00A042A9" w:rsidRPr="00B53360" w:rsidRDefault="00A042A9" w:rsidP="00A042A9">
      <w:pPr>
        <w:pStyle w:val="4-SubsectionHeading"/>
        <w:rPr>
          <w:rFonts w:asciiTheme="minorHAnsi" w:hAnsiTheme="minorHAnsi"/>
        </w:rPr>
      </w:pPr>
      <w:bookmarkStart w:id="48" w:name="_Toc58779758"/>
      <w:bookmarkStart w:id="49" w:name="_Toc413139281"/>
      <w:r w:rsidRPr="00B53360">
        <w:rPr>
          <w:rFonts w:asciiTheme="minorHAnsi" w:hAnsiTheme="minorHAnsi"/>
          <w:color w:val="auto"/>
        </w:rPr>
        <w:t>Benefits and harms</w:t>
      </w:r>
      <w:bookmarkEnd w:id="48"/>
    </w:p>
    <w:p w14:paraId="5A462EA6" w14:textId="77777777" w:rsidR="00A042A9" w:rsidRPr="00CA4838" w:rsidRDefault="00A042A9" w:rsidP="00A2713C">
      <w:pPr>
        <w:pStyle w:val="ListParagraph"/>
        <w:ind w:left="709"/>
      </w:pPr>
      <w:r w:rsidRPr="00CA4838">
        <w:rPr>
          <w:color w:val="auto"/>
        </w:rPr>
        <w:t xml:space="preserve">A summary of the comparative benefits and harms for olaparib versus NHA (proxy for BSC) is </w:t>
      </w:r>
      <w:r w:rsidRPr="000230CC">
        <w:t>presented</w:t>
      </w:r>
      <w:r w:rsidRPr="00CA4838">
        <w:rPr>
          <w:color w:val="auto"/>
        </w:rPr>
        <w:t xml:space="preserve"> in the table below.</w:t>
      </w:r>
      <w:r w:rsidRPr="00CA4838">
        <w:t xml:space="preserve"> </w:t>
      </w:r>
      <w:r w:rsidRPr="00F52B1D">
        <w:t xml:space="preserve">Due to the uncertain results and conclusion for the ITC of olaparib versus cabazitaxel, a benefits and harms summary was not constructed </w:t>
      </w:r>
      <w:r w:rsidR="004E586C">
        <w:t>versus</w:t>
      </w:r>
      <w:r w:rsidR="004E586C" w:rsidRPr="00F52B1D">
        <w:t xml:space="preserve"> </w:t>
      </w:r>
      <w:r w:rsidRPr="00F52B1D">
        <w:t>cabazitaxel.</w:t>
      </w:r>
    </w:p>
    <w:p w14:paraId="517882CD" w14:textId="77777777" w:rsidR="00A042A9" w:rsidRPr="00CA4838" w:rsidRDefault="00A042A9" w:rsidP="001B37A3">
      <w:pPr>
        <w:pStyle w:val="Caption"/>
      </w:pPr>
      <w:bookmarkStart w:id="50" w:name="_Toc413139282"/>
      <w:bookmarkEnd w:id="49"/>
      <w:r>
        <w:t xml:space="preserve">Table </w:t>
      </w:r>
      <w:r w:rsidR="007C5E46">
        <w:rPr>
          <w:noProof/>
        </w:rPr>
        <w:t>9</w:t>
      </w:r>
      <w:r w:rsidR="00BD647A">
        <w:t xml:space="preserve">: </w:t>
      </w:r>
      <w:r w:rsidRPr="00CA4838">
        <w:t xml:space="preserve">Summary of comparative benefits and harms for olaparib and NHA </w:t>
      </w:r>
    </w:p>
    <w:tbl>
      <w:tblPr>
        <w:tblStyle w:val="TableGrid"/>
        <w:tblW w:w="5013"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Layout w:type="fixed"/>
        <w:tblCellMar>
          <w:left w:w="28" w:type="dxa"/>
          <w:right w:w="28" w:type="dxa"/>
        </w:tblCellMar>
        <w:tblLook w:val="04A0" w:firstRow="1" w:lastRow="0" w:firstColumn="1" w:lastColumn="0" w:noHBand="0" w:noVBand="1"/>
        <w:tblCaption w:val="Table 9: Summary of comparative benefits and harms for olaparib and NHA "/>
      </w:tblPr>
      <w:tblGrid>
        <w:gridCol w:w="1104"/>
        <w:gridCol w:w="992"/>
        <w:gridCol w:w="895"/>
        <w:gridCol w:w="1551"/>
        <w:gridCol w:w="132"/>
        <w:gridCol w:w="1437"/>
        <w:gridCol w:w="983"/>
        <w:gridCol w:w="683"/>
        <w:gridCol w:w="1262"/>
      </w:tblGrid>
      <w:tr w:rsidR="00A042A9" w:rsidRPr="00F52B1D" w14:paraId="5F47E9B3" w14:textId="77777777" w:rsidTr="00F82068">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9"/>
            <w:shd w:val="clear" w:color="auto" w:fill="BDD6EE" w:themeFill="accent1" w:themeFillTint="66"/>
            <w:vAlign w:val="center"/>
          </w:tcPr>
          <w:p w14:paraId="173ECCEA" w14:textId="77777777" w:rsidR="00A042A9" w:rsidRPr="00F52B1D" w:rsidRDefault="00A042A9" w:rsidP="00ED665A">
            <w:pPr>
              <w:pStyle w:val="TableText"/>
              <w:keepNext/>
              <w:keepLines/>
              <w:spacing w:before="0" w:after="0"/>
              <w:rPr>
                <w:b w:val="0"/>
                <w:u w:val="single"/>
                <w:lang w:val="en-AU"/>
              </w:rPr>
            </w:pPr>
            <w:r w:rsidRPr="00F52B1D">
              <w:rPr>
                <w:u w:val="single"/>
                <w:lang w:val="en-AU"/>
              </w:rPr>
              <w:t xml:space="preserve">Benefits - </w:t>
            </w:r>
            <w:r w:rsidRPr="00F52B1D">
              <w:rPr>
                <w:bCs/>
                <w:u w:val="single"/>
                <w:lang w:val="en-AU"/>
              </w:rPr>
              <w:t>PROfound</w:t>
            </w:r>
          </w:p>
        </w:tc>
      </w:tr>
      <w:tr w:rsidR="00A042A9" w:rsidRPr="00F52B1D" w14:paraId="31AC656F" w14:textId="77777777" w:rsidTr="006C2ED8">
        <w:tc>
          <w:tcPr>
            <w:tcW w:w="1653" w:type="pct"/>
            <w:gridSpan w:val="3"/>
            <w:shd w:val="clear" w:color="auto" w:fill="BDD6EE" w:themeFill="accent1" w:themeFillTint="66"/>
            <w:vAlign w:val="center"/>
          </w:tcPr>
          <w:p w14:paraId="64DD56CF" w14:textId="77777777" w:rsidR="00A042A9" w:rsidRPr="00F52B1D" w:rsidRDefault="00A042A9" w:rsidP="00ED665A">
            <w:pPr>
              <w:pStyle w:val="TableText"/>
              <w:keepNext/>
              <w:keepLines/>
              <w:spacing w:before="0" w:after="0"/>
              <w:rPr>
                <w:b/>
                <w:lang w:val="en-AU"/>
              </w:rPr>
            </w:pPr>
            <w:r w:rsidRPr="00F52B1D">
              <w:rPr>
                <w:b/>
                <w:lang w:val="en-AU"/>
              </w:rPr>
              <w:t xml:space="preserve">rPFS – </w:t>
            </w:r>
            <w:r w:rsidRPr="00F52B1D">
              <w:rPr>
                <w:b/>
                <w:iCs/>
                <w:lang w:val="en-AU"/>
              </w:rPr>
              <w:t>BRCA1/2</w:t>
            </w:r>
            <w:r w:rsidRPr="00F52B1D">
              <w:rPr>
                <w:b/>
                <w:lang w:val="en-AU"/>
              </w:rPr>
              <w:t xml:space="preserve"> subgroup</w:t>
            </w:r>
          </w:p>
        </w:tc>
        <w:tc>
          <w:tcPr>
            <w:tcW w:w="858" w:type="pct"/>
            <w:shd w:val="clear" w:color="auto" w:fill="BDD6EE" w:themeFill="accent1" w:themeFillTint="66"/>
            <w:vAlign w:val="center"/>
          </w:tcPr>
          <w:p w14:paraId="1A583ACA" w14:textId="77777777" w:rsidR="00A042A9" w:rsidRPr="00F52B1D" w:rsidRDefault="00A042A9" w:rsidP="00ED665A">
            <w:pPr>
              <w:pStyle w:val="TableText"/>
              <w:keepNext/>
              <w:keepLines/>
              <w:spacing w:before="0" w:after="0"/>
              <w:jc w:val="center"/>
              <w:rPr>
                <w:b/>
                <w:lang w:val="en-AU"/>
              </w:rPr>
            </w:pPr>
            <w:r w:rsidRPr="00F52B1D">
              <w:rPr>
                <w:b/>
                <w:lang w:val="en-AU"/>
              </w:rPr>
              <w:t>Olaparib</w:t>
            </w:r>
          </w:p>
          <w:p w14:paraId="45D406F6" w14:textId="77777777" w:rsidR="00A042A9" w:rsidRPr="00F52B1D" w:rsidRDefault="00A042A9" w:rsidP="00ED665A">
            <w:pPr>
              <w:pStyle w:val="TableText"/>
              <w:keepNext/>
              <w:keepLines/>
              <w:spacing w:before="0" w:after="0"/>
              <w:jc w:val="center"/>
              <w:rPr>
                <w:b/>
                <w:lang w:val="en-AU"/>
              </w:rPr>
            </w:pPr>
            <w:r w:rsidRPr="00F52B1D">
              <w:rPr>
                <w:b/>
                <w:lang w:val="en-AU"/>
              </w:rPr>
              <w:t>N=102</w:t>
            </w:r>
          </w:p>
        </w:tc>
        <w:tc>
          <w:tcPr>
            <w:tcW w:w="868" w:type="pct"/>
            <w:gridSpan w:val="2"/>
            <w:shd w:val="clear" w:color="auto" w:fill="BDD6EE" w:themeFill="accent1" w:themeFillTint="66"/>
            <w:vAlign w:val="center"/>
          </w:tcPr>
          <w:p w14:paraId="721BF251" w14:textId="77777777" w:rsidR="00A042A9" w:rsidRPr="00F52B1D" w:rsidRDefault="00A042A9" w:rsidP="00ED665A">
            <w:pPr>
              <w:pStyle w:val="TableText"/>
              <w:keepNext/>
              <w:keepLines/>
              <w:spacing w:before="0" w:after="0"/>
              <w:jc w:val="center"/>
              <w:rPr>
                <w:b/>
                <w:lang w:val="en-AU"/>
              </w:rPr>
            </w:pPr>
            <w:r w:rsidRPr="00F52B1D">
              <w:rPr>
                <w:b/>
                <w:lang w:val="en-AU"/>
              </w:rPr>
              <w:t>NHA (proxy BSC)</w:t>
            </w:r>
          </w:p>
          <w:p w14:paraId="352BFD4B" w14:textId="77777777" w:rsidR="00A042A9" w:rsidRPr="00F52B1D" w:rsidRDefault="00A042A9" w:rsidP="00ED665A">
            <w:pPr>
              <w:pStyle w:val="TableText"/>
              <w:keepNext/>
              <w:keepLines/>
              <w:spacing w:before="0" w:after="0"/>
              <w:jc w:val="center"/>
              <w:rPr>
                <w:b/>
                <w:lang w:val="en-AU"/>
              </w:rPr>
            </w:pPr>
            <w:r w:rsidRPr="00F52B1D">
              <w:rPr>
                <w:b/>
                <w:lang w:val="en-AU"/>
              </w:rPr>
              <w:t>N=58</w:t>
            </w:r>
          </w:p>
        </w:tc>
        <w:tc>
          <w:tcPr>
            <w:tcW w:w="922" w:type="pct"/>
            <w:gridSpan w:val="2"/>
            <w:shd w:val="clear" w:color="auto" w:fill="BDD6EE" w:themeFill="accent1" w:themeFillTint="66"/>
            <w:vAlign w:val="center"/>
          </w:tcPr>
          <w:p w14:paraId="73A1076D" w14:textId="77777777" w:rsidR="00A042A9" w:rsidRPr="00F52B1D" w:rsidRDefault="00A042A9" w:rsidP="00ED665A">
            <w:pPr>
              <w:pStyle w:val="TableText"/>
              <w:keepNext/>
              <w:keepLines/>
              <w:spacing w:before="0" w:after="0"/>
              <w:jc w:val="center"/>
              <w:rPr>
                <w:b/>
                <w:lang w:val="en-AU"/>
              </w:rPr>
            </w:pPr>
            <w:r w:rsidRPr="00F52B1D">
              <w:rPr>
                <w:b/>
                <w:lang w:val="en-AU"/>
              </w:rPr>
              <w:t>Absolute difference</w:t>
            </w:r>
          </w:p>
        </w:tc>
        <w:tc>
          <w:tcPr>
            <w:tcW w:w="699" w:type="pct"/>
            <w:shd w:val="clear" w:color="auto" w:fill="BDD6EE" w:themeFill="accent1" w:themeFillTint="66"/>
            <w:vAlign w:val="center"/>
          </w:tcPr>
          <w:p w14:paraId="03A6D0FE" w14:textId="77777777" w:rsidR="00A042A9" w:rsidRPr="00F52B1D" w:rsidRDefault="00A042A9" w:rsidP="00ED665A">
            <w:pPr>
              <w:pStyle w:val="TableText"/>
              <w:keepNext/>
              <w:keepLines/>
              <w:spacing w:before="0" w:after="0"/>
              <w:jc w:val="center"/>
              <w:rPr>
                <w:b/>
                <w:lang w:val="en-AU"/>
              </w:rPr>
            </w:pPr>
            <w:r w:rsidRPr="00F52B1D">
              <w:rPr>
                <w:b/>
                <w:lang w:val="en-AU"/>
              </w:rPr>
              <w:t>HR (95% CI)</w:t>
            </w:r>
          </w:p>
        </w:tc>
      </w:tr>
      <w:tr w:rsidR="00A042A9" w:rsidRPr="00F52B1D" w14:paraId="6F196217" w14:textId="77777777" w:rsidTr="006C2ED8">
        <w:tc>
          <w:tcPr>
            <w:tcW w:w="1653" w:type="pct"/>
            <w:gridSpan w:val="3"/>
            <w:shd w:val="clear" w:color="auto" w:fill="BDD6EE" w:themeFill="accent1" w:themeFillTint="66"/>
            <w:vAlign w:val="center"/>
          </w:tcPr>
          <w:p w14:paraId="3DBC1FE7" w14:textId="77777777" w:rsidR="00A042A9" w:rsidRPr="00F52B1D" w:rsidRDefault="00A042A9" w:rsidP="00ED665A">
            <w:pPr>
              <w:pStyle w:val="TableText"/>
              <w:keepNext/>
              <w:keepLines/>
              <w:spacing w:before="0" w:after="0"/>
              <w:rPr>
                <w:lang w:val="en-AU"/>
              </w:rPr>
            </w:pPr>
            <w:r w:rsidRPr="00F52B1D">
              <w:rPr>
                <w:szCs w:val="20"/>
                <w:lang w:val="en-AU"/>
              </w:rPr>
              <w:t>Event n/N (%)</w:t>
            </w:r>
          </w:p>
        </w:tc>
        <w:tc>
          <w:tcPr>
            <w:tcW w:w="858" w:type="pct"/>
            <w:shd w:val="clear" w:color="auto" w:fill="BDD6EE" w:themeFill="accent1" w:themeFillTint="66"/>
            <w:vAlign w:val="center"/>
          </w:tcPr>
          <w:p w14:paraId="7520ACD1" w14:textId="77777777" w:rsidR="00A042A9" w:rsidRPr="00F52B1D" w:rsidRDefault="00A042A9" w:rsidP="00ED665A">
            <w:pPr>
              <w:pStyle w:val="TableText"/>
              <w:keepNext/>
              <w:keepLines/>
              <w:spacing w:before="0" w:after="0"/>
              <w:jc w:val="center"/>
              <w:rPr>
                <w:b/>
                <w:lang w:val="en-AU"/>
              </w:rPr>
            </w:pPr>
            <w:r w:rsidRPr="00F52B1D">
              <w:rPr>
                <w:sz w:val="19"/>
                <w:szCs w:val="19"/>
                <w:lang w:val="en-AU" w:eastAsia="en-US"/>
              </w:rPr>
              <w:t>62/102 (60.8)</w:t>
            </w:r>
          </w:p>
        </w:tc>
        <w:tc>
          <w:tcPr>
            <w:tcW w:w="868" w:type="pct"/>
            <w:gridSpan w:val="2"/>
            <w:shd w:val="clear" w:color="auto" w:fill="BDD6EE" w:themeFill="accent1" w:themeFillTint="66"/>
            <w:vAlign w:val="center"/>
          </w:tcPr>
          <w:p w14:paraId="0192CE35" w14:textId="77777777" w:rsidR="00A042A9" w:rsidRPr="00F52B1D" w:rsidRDefault="00A042A9" w:rsidP="00ED665A">
            <w:pPr>
              <w:pStyle w:val="TableText"/>
              <w:keepNext/>
              <w:keepLines/>
              <w:spacing w:before="0" w:after="0"/>
              <w:jc w:val="center"/>
              <w:rPr>
                <w:b/>
                <w:lang w:val="en-AU"/>
              </w:rPr>
            </w:pPr>
            <w:r w:rsidRPr="00F52B1D">
              <w:rPr>
                <w:sz w:val="19"/>
                <w:szCs w:val="19"/>
                <w:lang w:val="en-AU" w:eastAsia="en-US"/>
              </w:rPr>
              <w:t>51/58 (87.9)</w:t>
            </w:r>
          </w:p>
        </w:tc>
        <w:tc>
          <w:tcPr>
            <w:tcW w:w="922" w:type="pct"/>
            <w:gridSpan w:val="2"/>
            <w:shd w:val="clear" w:color="auto" w:fill="BDD6EE" w:themeFill="accent1" w:themeFillTint="66"/>
            <w:vAlign w:val="center"/>
          </w:tcPr>
          <w:p w14:paraId="77FD7987" w14:textId="77777777" w:rsidR="00A042A9" w:rsidRPr="00F52B1D" w:rsidRDefault="00A042A9" w:rsidP="00ED665A">
            <w:pPr>
              <w:pStyle w:val="TableText"/>
              <w:keepNext/>
              <w:keepLines/>
              <w:spacing w:before="0" w:after="0"/>
              <w:jc w:val="center"/>
              <w:rPr>
                <w:bCs/>
                <w:lang w:val="en-AU"/>
              </w:rPr>
            </w:pPr>
            <w:r w:rsidRPr="00F52B1D">
              <w:rPr>
                <w:bCs/>
                <w:lang w:val="en-AU"/>
              </w:rPr>
              <w:t>-</w:t>
            </w:r>
          </w:p>
        </w:tc>
        <w:tc>
          <w:tcPr>
            <w:tcW w:w="699" w:type="pct"/>
            <w:vMerge w:val="restart"/>
            <w:shd w:val="clear" w:color="auto" w:fill="BDD6EE" w:themeFill="accent1" w:themeFillTint="66"/>
            <w:vAlign w:val="center"/>
          </w:tcPr>
          <w:p w14:paraId="522C2BAD" w14:textId="77777777" w:rsidR="00A042A9" w:rsidRPr="00F52B1D" w:rsidRDefault="00A042A9" w:rsidP="00ED665A">
            <w:pPr>
              <w:pStyle w:val="TableText"/>
              <w:keepNext/>
              <w:keepLines/>
              <w:spacing w:before="0" w:after="0"/>
              <w:jc w:val="center"/>
              <w:rPr>
                <w:b/>
                <w:szCs w:val="20"/>
                <w:lang w:val="en-AU"/>
              </w:rPr>
            </w:pPr>
            <w:r w:rsidRPr="00F52B1D">
              <w:rPr>
                <w:b/>
                <w:szCs w:val="20"/>
                <w:lang w:val="en-AU"/>
              </w:rPr>
              <w:t>0.22</w:t>
            </w:r>
          </w:p>
          <w:p w14:paraId="039465FE" w14:textId="77777777" w:rsidR="00A042A9" w:rsidRPr="00F52B1D" w:rsidRDefault="00A042A9" w:rsidP="00ED665A">
            <w:pPr>
              <w:pStyle w:val="TableText"/>
              <w:keepNext/>
              <w:keepLines/>
              <w:spacing w:before="0" w:after="0"/>
              <w:jc w:val="center"/>
              <w:rPr>
                <w:b/>
                <w:lang w:val="en-AU"/>
              </w:rPr>
            </w:pPr>
            <w:r w:rsidRPr="00F52B1D">
              <w:rPr>
                <w:b/>
                <w:szCs w:val="20"/>
                <w:lang w:val="en-AU"/>
              </w:rPr>
              <w:t>(0.15, 0.32)</w:t>
            </w:r>
          </w:p>
        </w:tc>
      </w:tr>
      <w:tr w:rsidR="00A042A9" w:rsidRPr="00F52B1D" w14:paraId="2B5D5FE8" w14:textId="77777777" w:rsidTr="006C2ED8">
        <w:tc>
          <w:tcPr>
            <w:tcW w:w="1653" w:type="pct"/>
            <w:gridSpan w:val="3"/>
            <w:shd w:val="clear" w:color="auto" w:fill="BDD6EE" w:themeFill="accent1" w:themeFillTint="66"/>
            <w:vAlign w:val="center"/>
          </w:tcPr>
          <w:p w14:paraId="3BD4FBA0" w14:textId="77777777" w:rsidR="00A042A9" w:rsidRPr="00F52B1D" w:rsidRDefault="00A042A9" w:rsidP="00ED665A">
            <w:pPr>
              <w:pStyle w:val="TableText"/>
              <w:keepNext/>
              <w:keepLines/>
              <w:spacing w:before="0" w:after="0"/>
              <w:rPr>
                <w:szCs w:val="20"/>
                <w:lang w:val="en-AU"/>
              </w:rPr>
            </w:pPr>
            <w:r w:rsidRPr="00F52B1D">
              <w:rPr>
                <w:lang w:val="en-AU"/>
              </w:rPr>
              <w:t xml:space="preserve">% progression-free </w:t>
            </w:r>
            <w:r w:rsidRPr="00F52B1D">
              <w:rPr>
                <w:szCs w:val="20"/>
                <w:lang w:val="en-AU"/>
              </w:rPr>
              <w:t>(95% CI)</w:t>
            </w:r>
          </w:p>
        </w:tc>
        <w:tc>
          <w:tcPr>
            <w:tcW w:w="858" w:type="pct"/>
            <w:shd w:val="clear" w:color="auto" w:fill="BDD6EE" w:themeFill="accent1" w:themeFillTint="66"/>
            <w:vAlign w:val="center"/>
          </w:tcPr>
          <w:p w14:paraId="74C5F8EC"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NR</w:t>
            </w:r>
          </w:p>
        </w:tc>
        <w:tc>
          <w:tcPr>
            <w:tcW w:w="868" w:type="pct"/>
            <w:gridSpan w:val="2"/>
            <w:shd w:val="clear" w:color="auto" w:fill="BDD6EE" w:themeFill="accent1" w:themeFillTint="66"/>
            <w:vAlign w:val="center"/>
          </w:tcPr>
          <w:p w14:paraId="69EB60BB"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NR</w:t>
            </w:r>
          </w:p>
        </w:tc>
        <w:tc>
          <w:tcPr>
            <w:tcW w:w="922" w:type="pct"/>
            <w:gridSpan w:val="2"/>
            <w:shd w:val="clear" w:color="auto" w:fill="BDD6EE" w:themeFill="accent1" w:themeFillTint="66"/>
            <w:vAlign w:val="center"/>
          </w:tcPr>
          <w:p w14:paraId="05EACE76" w14:textId="77777777" w:rsidR="00A042A9" w:rsidRPr="00F52B1D" w:rsidRDefault="00A042A9" w:rsidP="00ED665A">
            <w:pPr>
              <w:pStyle w:val="TableText"/>
              <w:keepNext/>
              <w:keepLines/>
              <w:spacing w:before="0" w:after="0"/>
              <w:jc w:val="center"/>
              <w:rPr>
                <w:iCs/>
                <w:lang w:val="en-AU"/>
              </w:rPr>
            </w:pPr>
            <w:r w:rsidRPr="00F52B1D">
              <w:rPr>
                <w:iCs/>
                <w:lang w:val="en-AU"/>
              </w:rPr>
              <w:t>-</w:t>
            </w:r>
          </w:p>
        </w:tc>
        <w:tc>
          <w:tcPr>
            <w:tcW w:w="699" w:type="pct"/>
            <w:vMerge/>
            <w:shd w:val="clear" w:color="auto" w:fill="BDD6EE" w:themeFill="accent1" w:themeFillTint="66"/>
            <w:vAlign w:val="center"/>
          </w:tcPr>
          <w:p w14:paraId="1BFF4742" w14:textId="77777777" w:rsidR="00A042A9" w:rsidRPr="00F52B1D" w:rsidRDefault="00A042A9" w:rsidP="00ED665A">
            <w:pPr>
              <w:pStyle w:val="TableText"/>
              <w:keepNext/>
              <w:keepLines/>
              <w:spacing w:before="0" w:after="0"/>
              <w:jc w:val="center"/>
              <w:rPr>
                <w:b/>
                <w:lang w:val="en-AU"/>
              </w:rPr>
            </w:pPr>
          </w:p>
        </w:tc>
      </w:tr>
      <w:tr w:rsidR="00A042A9" w:rsidRPr="00F52B1D" w14:paraId="05726053" w14:textId="77777777" w:rsidTr="006C2ED8">
        <w:tc>
          <w:tcPr>
            <w:tcW w:w="1653" w:type="pct"/>
            <w:gridSpan w:val="3"/>
            <w:shd w:val="clear" w:color="auto" w:fill="BDD6EE" w:themeFill="accent1" w:themeFillTint="66"/>
            <w:vAlign w:val="center"/>
          </w:tcPr>
          <w:p w14:paraId="38351236" w14:textId="77777777" w:rsidR="00A042A9" w:rsidRPr="00F52B1D" w:rsidDel="003450F0" w:rsidRDefault="00A042A9" w:rsidP="00ED665A">
            <w:pPr>
              <w:pStyle w:val="TableText"/>
              <w:keepNext/>
              <w:keepLines/>
              <w:spacing w:before="0" w:after="0"/>
              <w:rPr>
                <w:lang w:val="en-AU"/>
              </w:rPr>
            </w:pPr>
            <w:r w:rsidRPr="00F52B1D">
              <w:rPr>
                <w:szCs w:val="20"/>
                <w:lang w:val="en-AU"/>
              </w:rPr>
              <w:t xml:space="preserve">Median months to rPFS (95% CI) </w:t>
            </w:r>
          </w:p>
        </w:tc>
        <w:tc>
          <w:tcPr>
            <w:tcW w:w="858" w:type="pct"/>
            <w:shd w:val="clear" w:color="auto" w:fill="BDD6EE" w:themeFill="accent1" w:themeFillTint="66"/>
            <w:vAlign w:val="center"/>
          </w:tcPr>
          <w:p w14:paraId="67086DAB" w14:textId="77777777" w:rsidR="00A042A9" w:rsidRPr="00F52B1D" w:rsidDel="003450F0" w:rsidRDefault="00A042A9" w:rsidP="00ED665A">
            <w:pPr>
              <w:pStyle w:val="TableText"/>
              <w:keepNext/>
              <w:keepLines/>
              <w:spacing w:before="0" w:after="0"/>
              <w:jc w:val="center"/>
              <w:rPr>
                <w:szCs w:val="20"/>
                <w:lang w:val="en-AU"/>
              </w:rPr>
            </w:pPr>
            <w:r w:rsidRPr="00F52B1D">
              <w:rPr>
                <w:szCs w:val="20"/>
                <w:lang w:val="en-AU"/>
              </w:rPr>
              <w:t>9.79 (7.62, 11.20)</w:t>
            </w:r>
          </w:p>
        </w:tc>
        <w:tc>
          <w:tcPr>
            <w:tcW w:w="868" w:type="pct"/>
            <w:gridSpan w:val="2"/>
            <w:shd w:val="clear" w:color="auto" w:fill="BDD6EE" w:themeFill="accent1" w:themeFillTint="66"/>
            <w:vAlign w:val="center"/>
          </w:tcPr>
          <w:p w14:paraId="496420F9" w14:textId="77777777" w:rsidR="00A042A9" w:rsidRPr="00F52B1D" w:rsidDel="003450F0" w:rsidRDefault="00A042A9" w:rsidP="00ED665A">
            <w:pPr>
              <w:pStyle w:val="TableText"/>
              <w:keepNext/>
              <w:keepLines/>
              <w:spacing w:before="0" w:after="0"/>
              <w:jc w:val="center"/>
              <w:rPr>
                <w:szCs w:val="20"/>
                <w:lang w:val="en-AU"/>
              </w:rPr>
            </w:pPr>
            <w:r w:rsidRPr="00F52B1D">
              <w:rPr>
                <w:szCs w:val="20"/>
                <w:lang w:val="en-AU"/>
              </w:rPr>
              <w:t>2.96 (1.81, 3.55)</w:t>
            </w:r>
          </w:p>
        </w:tc>
        <w:tc>
          <w:tcPr>
            <w:tcW w:w="922" w:type="pct"/>
            <w:gridSpan w:val="2"/>
            <w:shd w:val="clear" w:color="auto" w:fill="BDD6EE" w:themeFill="accent1" w:themeFillTint="66"/>
            <w:vAlign w:val="center"/>
          </w:tcPr>
          <w:p w14:paraId="2151C0DB" w14:textId="77777777" w:rsidR="00A042A9" w:rsidRPr="00F52B1D" w:rsidDel="003450F0" w:rsidRDefault="00A042A9" w:rsidP="00ED665A">
            <w:pPr>
              <w:pStyle w:val="TableText"/>
              <w:keepNext/>
              <w:keepLines/>
              <w:spacing w:before="0" w:after="0"/>
              <w:jc w:val="center"/>
              <w:rPr>
                <w:iCs/>
                <w:lang w:val="en-AU"/>
              </w:rPr>
            </w:pPr>
            <w:r w:rsidRPr="00F52B1D">
              <w:rPr>
                <w:iCs/>
                <w:lang w:val="en-AU"/>
              </w:rPr>
              <w:t>6.83</w:t>
            </w:r>
          </w:p>
        </w:tc>
        <w:tc>
          <w:tcPr>
            <w:tcW w:w="699" w:type="pct"/>
            <w:vMerge/>
            <w:shd w:val="clear" w:color="auto" w:fill="BDD6EE" w:themeFill="accent1" w:themeFillTint="66"/>
            <w:vAlign w:val="center"/>
          </w:tcPr>
          <w:p w14:paraId="58606793" w14:textId="77777777" w:rsidR="00A042A9" w:rsidRPr="00F52B1D" w:rsidRDefault="00A042A9" w:rsidP="00ED665A">
            <w:pPr>
              <w:pStyle w:val="TableText"/>
              <w:keepNext/>
              <w:keepLines/>
              <w:spacing w:before="0" w:after="0"/>
              <w:jc w:val="center"/>
              <w:rPr>
                <w:b/>
                <w:lang w:val="en-AU"/>
              </w:rPr>
            </w:pPr>
          </w:p>
        </w:tc>
      </w:tr>
      <w:tr w:rsidR="00A042A9" w:rsidRPr="00F52B1D" w14:paraId="6FE0E3A3" w14:textId="77777777" w:rsidTr="006C2ED8">
        <w:tc>
          <w:tcPr>
            <w:tcW w:w="1653" w:type="pct"/>
            <w:gridSpan w:val="3"/>
            <w:shd w:val="clear" w:color="auto" w:fill="BDD6EE" w:themeFill="accent1" w:themeFillTint="66"/>
            <w:vAlign w:val="center"/>
          </w:tcPr>
          <w:p w14:paraId="0FE6158A" w14:textId="77777777" w:rsidR="00A042A9" w:rsidRPr="00F52B1D" w:rsidRDefault="00A042A9" w:rsidP="00ED665A">
            <w:pPr>
              <w:pStyle w:val="TableText"/>
              <w:keepNext/>
              <w:keepLines/>
              <w:spacing w:before="0" w:after="0"/>
              <w:rPr>
                <w:lang w:val="en-AU"/>
              </w:rPr>
            </w:pPr>
            <w:r w:rsidRPr="00F52B1D">
              <w:rPr>
                <w:lang w:val="en-AU"/>
              </w:rPr>
              <w:t xml:space="preserve">% progression-free at 6 mths </w:t>
            </w:r>
            <w:r w:rsidRPr="00F52B1D">
              <w:rPr>
                <w:szCs w:val="20"/>
                <w:lang w:val="en-AU"/>
              </w:rPr>
              <w:t>(95% CI)</w:t>
            </w:r>
          </w:p>
        </w:tc>
        <w:tc>
          <w:tcPr>
            <w:tcW w:w="858" w:type="pct"/>
            <w:shd w:val="clear" w:color="auto" w:fill="BDD6EE" w:themeFill="accent1" w:themeFillTint="66"/>
            <w:vAlign w:val="center"/>
          </w:tcPr>
          <w:p w14:paraId="08D50A41"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NR</w:t>
            </w:r>
          </w:p>
        </w:tc>
        <w:tc>
          <w:tcPr>
            <w:tcW w:w="868" w:type="pct"/>
            <w:gridSpan w:val="2"/>
            <w:shd w:val="clear" w:color="auto" w:fill="BDD6EE" w:themeFill="accent1" w:themeFillTint="66"/>
            <w:vAlign w:val="center"/>
          </w:tcPr>
          <w:p w14:paraId="6FF71F26"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NR</w:t>
            </w:r>
          </w:p>
        </w:tc>
        <w:tc>
          <w:tcPr>
            <w:tcW w:w="922" w:type="pct"/>
            <w:gridSpan w:val="2"/>
            <w:shd w:val="clear" w:color="auto" w:fill="BDD6EE" w:themeFill="accent1" w:themeFillTint="66"/>
            <w:vAlign w:val="center"/>
          </w:tcPr>
          <w:p w14:paraId="7672F634" w14:textId="77777777" w:rsidR="00A042A9" w:rsidRPr="00F52B1D" w:rsidRDefault="00A042A9" w:rsidP="00ED665A">
            <w:pPr>
              <w:pStyle w:val="TableText"/>
              <w:keepNext/>
              <w:keepLines/>
              <w:spacing w:before="0" w:after="0"/>
              <w:jc w:val="center"/>
              <w:rPr>
                <w:iCs/>
                <w:lang w:val="en-AU"/>
              </w:rPr>
            </w:pPr>
            <w:r w:rsidRPr="00F52B1D">
              <w:rPr>
                <w:iCs/>
                <w:lang w:val="en-AU"/>
              </w:rPr>
              <w:t>-</w:t>
            </w:r>
          </w:p>
        </w:tc>
        <w:tc>
          <w:tcPr>
            <w:tcW w:w="699" w:type="pct"/>
            <w:vMerge/>
            <w:shd w:val="clear" w:color="auto" w:fill="BDD6EE" w:themeFill="accent1" w:themeFillTint="66"/>
            <w:vAlign w:val="center"/>
          </w:tcPr>
          <w:p w14:paraId="335C1D68" w14:textId="77777777" w:rsidR="00A042A9" w:rsidRPr="00F52B1D" w:rsidRDefault="00A042A9" w:rsidP="00ED665A">
            <w:pPr>
              <w:pStyle w:val="TableText"/>
              <w:keepNext/>
              <w:keepLines/>
              <w:spacing w:before="0" w:after="0"/>
              <w:jc w:val="center"/>
              <w:rPr>
                <w:b/>
                <w:lang w:val="en-AU"/>
              </w:rPr>
            </w:pPr>
          </w:p>
        </w:tc>
      </w:tr>
      <w:tr w:rsidR="00A042A9" w:rsidRPr="00F52B1D" w14:paraId="2FF70344" w14:textId="77777777" w:rsidTr="006C2ED8">
        <w:tc>
          <w:tcPr>
            <w:tcW w:w="1653" w:type="pct"/>
            <w:gridSpan w:val="3"/>
            <w:shd w:val="clear" w:color="auto" w:fill="BDD6EE" w:themeFill="accent1" w:themeFillTint="66"/>
            <w:vAlign w:val="center"/>
          </w:tcPr>
          <w:p w14:paraId="2189E1A6" w14:textId="77777777" w:rsidR="00A042A9" w:rsidRPr="00F52B1D" w:rsidRDefault="00A042A9" w:rsidP="00ED665A">
            <w:pPr>
              <w:pStyle w:val="TableText"/>
              <w:keepNext/>
              <w:keepLines/>
              <w:spacing w:before="0" w:after="0"/>
              <w:rPr>
                <w:lang w:val="en-AU"/>
              </w:rPr>
            </w:pPr>
            <w:r w:rsidRPr="00F52B1D">
              <w:rPr>
                <w:lang w:val="en-AU"/>
              </w:rPr>
              <w:t xml:space="preserve">% progression-free at 12 mths </w:t>
            </w:r>
            <w:r w:rsidRPr="00F52B1D">
              <w:rPr>
                <w:szCs w:val="20"/>
                <w:lang w:val="en-AU"/>
              </w:rPr>
              <w:t>(95%CI)</w:t>
            </w:r>
          </w:p>
        </w:tc>
        <w:tc>
          <w:tcPr>
            <w:tcW w:w="858" w:type="pct"/>
            <w:shd w:val="clear" w:color="auto" w:fill="BDD6EE" w:themeFill="accent1" w:themeFillTint="66"/>
            <w:vAlign w:val="center"/>
          </w:tcPr>
          <w:p w14:paraId="41A2537A"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NR</w:t>
            </w:r>
          </w:p>
        </w:tc>
        <w:tc>
          <w:tcPr>
            <w:tcW w:w="868" w:type="pct"/>
            <w:gridSpan w:val="2"/>
            <w:shd w:val="clear" w:color="auto" w:fill="BDD6EE" w:themeFill="accent1" w:themeFillTint="66"/>
            <w:vAlign w:val="center"/>
          </w:tcPr>
          <w:p w14:paraId="0B6955AD"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NR</w:t>
            </w:r>
          </w:p>
        </w:tc>
        <w:tc>
          <w:tcPr>
            <w:tcW w:w="922" w:type="pct"/>
            <w:gridSpan w:val="2"/>
            <w:shd w:val="clear" w:color="auto" w:fill="BDD6EE" w:themeFill="accent1" w:themeFillTint="66"/>
            <w:vAlign w:val="center"/>
          </w:tcPr>
          <w:p w14:paraId="630885F8" w14:textId="77777777" w:rsidR="00A042A9" w:rsidRPr="00F52B1D" w:rsidRDefault="00A042A9" w:rsidP="00ED665A">
            <w:pPr>
              <w:pStyle w:val="TableText"/>
              <w:keepNext/>
              <w:keepLines/>
              <w:spacing w:before="0" w:after="0"/>
              <w:jc w:val="center"/>
              <w:rPr>
                <w:iCs/>
                <w:lang w:val="en-AU"/>
              </w:rPr>
            </w:pPr>
            <w:r w:rsidRPr="00F52B1D">
              <w:rPr>
                <w:iCs/>
                <w:lang w:val="en-AU"/>
              </w:rPr>
              <w:t>-</w:t>
            </w:r>
          </w:p>
        </w:tc>
        <w:tc>
          <w:tcPr>
            <w:tcW w:w="699" w:type="pct"/>
            <w:vMerge/>
            <w:shd w:val="clear" w:color="auto" w:fill="BDD6EE" w:themeFill="accent1" w:themeFillTint="66"/>
            <w:vAlign w:val="center"/>
          </w:tcPr>
          <w:p w14:paraId="590856CE" w14:textId="77777777" w:rsidR="00A042A9" w:rsidRPr="00F52B1D" w:rsidRDefault="00A042A9" w:rsidP="00ED665A">
            <w:pPr>
              <w:pStyle w:val="TableText"/>
              <w:keepNext/>
              <w:keepLines/>
              <w:spacing w:before="0" w:after="0"/>
              <w:jc w:val="center"/>
              <w:rPr>
                <w:b/>
                <w:lang w:val="en-AU"/>
              </w:rPr>
            </w:pPr>
          </w:p>
        </w:tc>
      </w:tr>
      <w:tr w:rsidR="00A042A9" w:rsidRPr="00F52B1D" w14:paraId="1D227157" w14:textId="77777777" w:rsidTr="00ED665A">
        <w:tc>
          <w:tcPr>
            <w:tcW w:w="5000" w:type="pct"/>
            <w:gridSpan w:val="9"/>
            <w:shd w:val="clear" w:color="auto" w:fill="BDD6EE" w:themeFill="accent1" w:themeFillTint="66"/>
            <w:vAlign w:val="center"/>
          </w:tcPr>
          <w:p w14:paraId="324506CB" w14:textId="77777777" w:rsidR="00A042A9" w:rsidRPr="00F52B1D" w:rsidRDefault="00A042A9" w:rsidP="00ED665A">
            <w:pPr>
              <w:pStyle w:val="TableText"/>
              <w:keepNext/>
              <w:keepLines/>
              <w:spacing w:before="0" w:after="0"/>
              <w:rPr>
                <w:b/>
                <w:lang w:val="en-AU"/>
              </w:rPr>
            </w:pPr>
            <w:r w:rsidRPr="00F52B1D">
              <w:rPr>
                <w:b/>
                <w:lang w:val="en-AU"/>
              </w:rPr>
              <w:t xml:space="preserve">Overall survival – </w:t>
            </w:r>
            <w:r w:rsidRPr="00F52B1D">
              <w:rPr>
                <w:b/>
                <w:iCs/>
                <w:lang w:val="en-AU"/>
              </w:rPr>
              <w:t>BRCA1/2</w:t>
            </w:r>
            <w:r w:rsidRPr="00F52B1D">
              <w:rPr>
                <w:b/>
                <w:lang w:val="en-AU"/>
              </w:rPr>
              <w:t xml:space="preserve"> subgroup</w:t>
            </w:r>
          </w:p>
        </w:tc>
      </w:tr>
      <w:tr w:rsidR="00A042A9" w:rsidRPr="00F52B1D" w14:paraId="6498AF04" w14:textId="77777777" w:rsidTr="006C2ED8">
        <w:tc>
          <w:tcPr>
            <w:tcW w:w="1653" w:type="pct"/>
            <w:gridSpan w:val="3"/>
            <w:shd w:val="clear" w:color="auto" w:fill="BDD6EE" w:themeFill="accent1" w:themeFillTint="66"/>
            <w:vAlign w:val="center"/>
          </w:tcPr>
          <w:p w14:paraId="4D62D70B" w14:textId="77777777" w:rsidR="00A042A9" w:rsidRPr="00F52B1D" w:rsidRDefault="00A042A9" w:rsidP="00ED665A">
            <w:pPr>
              <w:pStyle w:val="TableText"/>
              <w:keepNext/>
              <w:keepLines/>
              <w:spacing w:before="0" w:after="0"/>
              <w:rPr>
                <w:lang w:val="en-AU"/>
              </w:rPr>
            </w:pPr>
            <w:r w:rsidRPr="00F52B1D">
              <w:rPr>
                <w:szCs w:val="20"/>
                <w:lang w:val="en-AU"/>
              </w:rPr>
              <w:t>Died n (%)</w:t>
            </w:r>
          </w:p>
        </w:tc>
        <w:tc>
          <w:tcPr>
            <w:tcW w:w="858" w:type="pct"/>
            <w:shd w:val="clear" w:color="auto" w:fill="BDD6EE" w:themeFill="accent1" w:themeFillTint="66"/>
            <w:vAlign w:val="center"/>
          </w:tcPr>
          <w:p w14:paraId="63E0A2ED" w14:textId="77777777" w:rsidR="00A042A9" w:rsidRPr="00F52B1D" w:rsidRDefault="00A042A9" w:rsidP="00ED665A">
            <w:pPr>
              <w:pStyle w:val="TableText"/>
              <w:keepNext/>
              <w:keepLines/>
              <w:spacing w:before="0" w:after="0"/>
              <w:jc w:val="center"/>
              <w:rPr>
                <w:lang w:val="en-AU"/>
              </w:rPr>
            </w:pPr>
            <w:r w:rsidRPr="00F52B1D">
              <w:rPr>
                <w:szCs w:val="20"/>
                <w:lang w:val="en-AU"/>
              </w:rPr>
              <w:t>53 (52.0%)</w:t>
            </w:r>
          </w:p>
        </w:tc>
        <w:tc>
          <w:tcPr>
            <w:tcW w:w="868" w:type="pct"/>
            <w:gridSpan w:val="2"/>
            <w:shd w:val="clear" w:color="auto" w:fill="BDD6EE" w:themeFill="accent1" w:themeFillTint="66"/>
            <w:vAlign w:val="center"/>
          </w:tcPr>
          <w:p w14:paraId="3BD74773" w14:textId="77777777" w:rsidR="00A042A9" w:rsidRPr="00F52B1D" w:rsidRDefault="00A042A9" w:rsidP="00ED665A">
            <w:pPr>
              <w:pStyle w:val="TableText"/>
              <w:keepNext/>
              <w:keepLines/>
              <w:spacing w:before="0" w:after="0"/>
              <w:jc w:val="center"/>
              <w:rPr>
                <w:lang w:val="en-AU"/>
              </w:rPr>
            </w:pPr>
            <w:r w:rsidRPr="00F52B1D">
              <w:rPr>
                <w:szCs w:val="20"/>
                <w:lang w:val="en-AU"/>
              </w:rPr>
              <w:t>41 (70.7%)</w:t>
            </w:r>
          </w:p>
        </w:tc>
        <w:tc>
          <w:tcPr>
            <w:tcW w:w="922" w:type="pct"/>
            <w:gridSpan w:val="2"/>
            <w:shd w:val="clear" w:color="auto" w:fill="BDD6EE" w:themeFill="accent1" w:themeFillTint="66"/>
            <w:vAlign w:val="center"/>
          </w:tcPr>
          <w:p w14:paraId="4CDCC917" w14:textId="77777777" w:rsidR="00A042A9" w:rsidRPr="00F52B1D" w:rsidRDefault="00A042A9" w:rsidP="00ED665A">
            <w:pPr>
              <w:pStyle w:val="TableText"/>
              <w:keepNext/>
              <w:keepLines/>
              <w:spacing w:before="0" w:after="0"/>
              <w:jc w:val="center"/>
              <w:rPr>
                <w:lang w:val="en-AU"/>
              </w:rPr>
            </w:pPr>
            <w:r w:rsidRPr="00F52B1D">
              <w:rPr>
                <w:lang w:val="en-AU"/>
              </w:rPr>
              <w:t>-</w:t>
            </w:r>
          </w:p>
        </w:tc>
        <w:tc>
          <w:tcPr>
            <w:tcW w:w="699" w:type="pct"/>
            <w:vMerge w:val="restart"/>
            <w:shd w:val="clear" w:color="auto" w:fill="BDD6EE" w:themeFill="accent1" w:themeFillTint="66"/>
            <w:vAlign w:val="center"/>
          </w:tcPr>
          <w:p w14:paraId="4D1B47AE" w14:textId="77777777" w:rsidR="00A042A9" w:rsidRPr="00F52B1D" w:rsidRDefault="00A042A9" w:rsidP="00ED665A">
            <w:pPr>
              <w:pStyle w:val="TableText"/>
              <w:keepNext/>
              <w:keepLines/>
              <w:spacing w:before="0" w:after="0"/>
              <w:jc w:val="center"/>
              <w:rPr>
                <w:b/>
                <w:szCs w:val="20"/>
                <w:lang w:val="en-AU"/>
              </w:rPr>
            </w:pPr>
            <w:r w:rsidRPr="00F52B1D">
              <w:rPr>
                <w:b/>
                <w:szCs w:val="20"/>
                <w:lang w:val="en-AU"/>
              </w:rPr>
              <w:t>0.63</w:t>
            </w:r>
          </w:p>
          <w:p w14:paraId="2A99AD43" w14:textId="77777777" w:rsidR="00A042A9" w:rsidRPr="00F52B1D" w:rsidRDefault="00A042A9" w:rsidP="00ED665A">
            <w:pPr>
              <w:pStyle w:val="TableText"/>
              <w:keepNext/>
              <w:keepLines/>
              <w:spacing w:before="0" w:after="0"/>
              <w:jc w:val="center"/>
              <w:rPr>
                <w:lang w:val="en-AU"/>
              </w:rPr>
            </w:pPr>
            <w:r w:rsidRPr="00F52B1D">
              <w:rPr>
                <w:b/>
                <w:szCs w:val="20"/>
                <w:lang w:val="en-AU"/>
              </w:rPr>
              <w:t>(0.42, 0.95)</w:t>
            </w:r>
          </w:p>
        </w:tc>
      </w:tr>
      <w:tr w:rsidR="00A042A9" w:rsidRPr="00F52B1D" w14:paraId="2B07048C" w14:textId="77777777" w:rsidTr="006C2ED8">
        <w:tc>
          <w:tcPr>
            <w:tcW w:w="1653" w:type="pct"/>
            <w:gridSpan w:val="3"/>
            <w:shd w:val="clear" w:color="auto" w:fill="BDD6EE" w:themeFill="accent1" w:themeFillTint="66"/>
            <w:vAlign w:val="center"/>
          </w:tcPr>
          <w:p w14:paraId="507F17D3" w14:textId="77777777" w:rsidR="00A042A9" w:rsidRPr="00F52B1D" w:rsidRDefault="00A042A9" w:rsidP="00ED665A">
            <w:pPr>
              <w:pStyle w:val="TableText"/>
              <w:keepNext/>
              <w:keepLines/>
              <w:spacing w:before="0" w:after="0"/>
              <w:rPr>
                <w:szCs w:val="20"/>
                <w:lang w:val="en-AU"/>
              </w:rPr>
            </w:pPr>
            <w:r w:rsidRPr="00F52B1D">
              <w:rPr>
                <w:lang w:val="en-AU"/>
              </w:rPr>
              <w:t xml:space="preserve">% alive </w:t>
            </w:r>
            <w:r w:rsidRPr="00F52B1D">
              <w:rPr>
                <w:szCs w:val="20"/>
                <w:lang w:val="en-AU"/>
              </w:rPr>
              <w:t>(95% CI)</w:t>
            </w:r>
          </w:p>
        </w:tc>
        <w:tc>
          <w:tcPr>
            <w:tcW w:w="858" w:type="pct"/>
            <w:shd w:val="clear" w:color="auto" w:fill="BDD6EE" w:themeFill="accent1" w:themeFillTint="66"/>
            <w:vAlign w:val="center"/>
          </w:tcPr>
          <w:p w14:paraId="36C1DEA8"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48.0% (NR)</w:t>
            </w:r>
          </w:p>
        </w:tc>
        <w:tc>
          <w:tcPr>
            <w:tcW w:w="868" w:type="pct"/>
            <w:gridSpan w:val="2"/>
            <w:shd w:val="clear" w:color="auto" w:fill="BDD6EE" w:themeFill="accent1" w:themeFillTint="66"/>
            <w:vAlign w:val="center"/>
          </w:tcPr>
          <w:p w14:paraId="4687A72D"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29.3% (NR)</w:t>
            </w:r>
          </w:p>
        </w:tc>
        <w:tc>
          <w:tcPr>
            <w:tcW w:w="922" w:type="pct"/>
            <w:gridSpan w:val="2"/>
            <w:shd w:val="clear" w:color="auto" w:fill="BDD6EE" w:themeFill="accent1" w:themeFillTint="66"/>
            <w:vAlign w:val="center"/>
          </w:tcPr>
          <w:p w14:paraId="5D254283" w14:textId="77777777" w:rsidR="00A042A9" w:rsidRPr="00F52B1D" w:rsidRDefault="00EC677D" w:rsidP="00ED665A">
            <w:pPr>
              <w:pStyle w:val="TableText"/>
              <w:keepNext/>
              <w:keepLines/>
              <w:spacing w:before="0" w:after="0"/>
              <w:jc w:val="center"/>
              <w:rPr>
                <w:lang w:val="en-AU"/>
              </w:rPr>
            </w:pPr>
            <w:r>
              <w:rPr>
                <w:lang w:val="en-AU"/>
              </w:rPr>
              <w:t xml:space="preserve">- </w:t>
            </w:r>
          </w:p>
        </w:tc>
        <w:tc>
          <w:tcPr>
            <w:tcW w:w="699" w:type="pct"/>
            <w:vMerge/>
            <w:shd w:val="clear" w:color="auto" w:fill="BDD6EE" w:themeFill="accent1" w:themeFillTint="66"/>
            <w:vAlign w:val="bottom"/>
          </w:tcPr>
          <w:p w14:paraId="79757B45" w14:textId="77777777" w:rsidR="00A042A9" w:rsidRPr="00F52B1D" w:rsidRDefault="00A042A9" w:rsidP="00ED665A">
            <w:pPr>
              <w:pStyle w:val="TableText"/>
              <w:keepNext/>
              <w:keepLines/>
              <w:spacing w:before="0" w:after="0"/>
              <w:jc w:val="center"/>
              <w:rPr>
                <w:b/>
                <w:szCs w:val="20"/>
                <w:lang w:val="en-AU"/>
              </w:rPr>
            </w:pPr>
          </w:p>
        </w:tc>
      </w:tr>
      <w:tr w:rsidR="00A042A9" w:rsidRPr="00F52B1D" w14:paraId="31DCDB53" w14:textId="77777777" w:rsidTr="006C2ED8">
        <w:tc>
          <w:tcPr>
            <w:tcW w:w="1653" w:type="pct"/>
            <w:gridSpan w:val="3"/>
            <w:shd w:val="clear" w:color="auto" w:fill="BDD6EE" w:themeFill="accent1" w:themeFillTint="66"/>
            <w:vAlign w:val="center"/>
          </w:tcPr>
          <w:p w14:paraId="474639B6" w14:textId="77777777" w:rsidR="00A042A9" w:rsidRPr="00F52B1D" w:rsidDel="003450F0" w:rsidRDefault="00A042A9" w:rsidP="00ED665A">
            <w:pPr>
              <w:pStyle w:val="TableText"/>
              <w:keepNext/>
              <w:keepLines/>
              <w:spacing w:before="0" w:after="0"/>
              <w:rPr>
                <w:lang w:val="en-AU"/>
              </w:rPr>
            </w:pPr>
            <w:r w:rsidRPr="00F52B1D">
              <w:rPr>
                <w:szCs w:val="20"/>
                <w:lang w:val="en-AU"/>
              </w:rPr>
              <w:t xml:space="preserve">Median months to death (95% CI) </w:t>
            </w:r>
          </w:p>
        </w:tc>
        <w:tc>
          <w:tcPr>
            <w:tcW w:w="858" w:type="pct"/>
            <w:shd w:val="clear" w:color="auto" w:fill="BDD6EE" w:themeFill="accent1" w:themeFillTint="66"/>
            <w:vAlign w:val="center"/>
          </w:tcPr>
          <w:p w14:paraId="6C20E690" w14:textId="77777777" w:rsidR="00A042A9" w:rsidRPr="00F52B1D" w:rsidDel="003450F0" w:rsidRDefault="00A042A9" w:rsidP="00ED665A">
            <w:pPr>
              <w:pStyle w:val="TableText"/>
              <w:keepNext/>
              <w:keepLines/>
              <w:spacing w:before="0" w:after="0"/>
              <w:jc w:val="center"/>
              <w:rPr>
                <w:szCs w:val="20"/>
                <w:lang w:val="en-AU"/>
              </w:rPr>
            </w:pPr>
            <w:r w:rsidRPr="00F52B1D">
              <w:rPr>
                <w:rFonts w:cs="Arial"/>
                <w:szCs w:val="20"/>
                <w:lang w:val="en-AU"/>
              </w:rPr>
              <w:t>20.11 (17.35, 26.81)</w:t>
            </w:r>
          </w:p>
        </w:tc>
        <w:tc>
          <w:tcPr>
            <w:tcW w:w="868" w:type="pct"/>
            <w:gridSpan w:val="2"/>
            <w:shd w:val="clear" w:color="auto" w:fill="BDD6EE" w:themeFill="accent1" w:themeFillTint="66"/>
            <w:vAlign w:val="center"/>
          </w:tcPr>
          <w:p w14:paraId="453A0E49" w14:textId="77777777" w:rsidR="00A042A9" w:rsidRPr="00F52B1D" w:rsidDel="003450F0" w:rsidRDefault="00A042A9" w:rsidP="00ED665A">
            <w:pPr>
              <w:pStyle w:val="TableText"/>
              <w:keepNext/>
              <w:keepLines/>
              <w:spacing w:before="0" w:after="0"/>
              <w:jc w:val="center"/>
              <w:rPr>
                <w:szCs w:val="20"/>
                <w:lang w:val="en-AU"/>
              </w:rPr>
            </w:pPr>
            <w:r w:rsidRPr="00F52B1D">
              <w:rPr>
                <w:rFonts w:cs="Arial"/>
                <w:szCs w:val="20"/>
                <w:lang w:val="en-AU"/>
              </w:rPr>
              <w:t>14.44 (10.71, 18.89)</w:t>
            </w:r>
          </w:p>
        </w:tc>
        <w:tc>
          <w:tcPr>
            <w:tcW w:w="922" w:type="pct"/>
            <w:gridSpan w:val="2"/>
            <w:shd w:val="clear" w:color="auto" w:fill="BDD6EE" w:themeFill="accent1" w:themeFillTint="66"/>
            <w:vAlign w:val="center"/>
          </w:tcPr>
          <w:p w14:paraId="5F42D69E" w14:textId="77777777" w:rsidR="00A042A9" w:rsidRPr="00F52B1D" w:rsidDel="003450F0" w:rsidRDefault="00A042A9" w:rsidP="00ED665A">
            <w:pPr>
              <w:pStyle w:val="TableText"/>
              <w:keepNext/>
              <w:keepLines/>
              <w:spacing w:before="0" w:after="0"/>
              <w:jc w:val="center"/>
              <w:rPr>
                <w:iCs/>
                <w:lang w:val="en-AU"/>
              </w:rPr>
            </w:pPr>
            <w:r w:rsidRPr="00F52B1D">
              <w:rPr>
                <w:iCs/>
                <w:lang w:val="en-AU"/>
              </w:rPr>
              <w:t>5.7</w:t>
            </w:r>
          </w:p>
        </w:tc>
        <w:tc>
          <w:tcPr>
            <w:tcW w:w="699" w:type="pct"/>
            <w:vMerge/>
            <w:shd w:val="clear" w:color="auto" w:fill="BDD6EE" w:themeFill="accent1" w:themeFillTint="66"/>
            <w:vAlign w:val="center"/>
          </w:tcPr>
          <w:p w14:paraId="22304BE9" w14:textId="77777777" w:rsidR="00A042A9" w:rsidRPr="00F52B1D" w:rsidRDefault="00A042A9" w:rsidP="00ED665A">
            <w:pPr>
              <w:pStyle w:val="TableText"/>
              <w:keepNext/>
              <w:keepLines/>
              <w:spacing w:before="0" w:after="0"/>
              <w:jc w:val="center"/>
              <w:rPr>
                <w:lang w:val="en-AU"/>
              </w:rPr>
            </w:pPr>
          </w:p>
        </w:tc>
      </w:tr>
      <w:tr w:rsidR="00A042A9" w:rsidRPr="00F52B1D" w14:paraId="714C15D6" w14:textId="77777777" w:rsidTr="006C2ED8">
        <w:tc>
          <w:tcPr>
            <w:tcW w:w="1653" w:type="pct"/>
            <w:gridSpan w:val="3"/>
            <w:shd w:val="clear" w:color="auto" w:fill="BDD6EE" w:themeFill="accent1" w:themeFillTint="66"/>
            <w:vAlign w:val="center"/>
          </w:tcPr>
          <w:p w14:paraId="00D6C30B" w14:textId="77777777" w:rsidR="00A042A9" w:rsidRPr="00F52B1D" w:rsidRDefault="00A042A9" w:rsidP="00ED665A">
            <w:pPr>
              <w:pStyle w:val="TableText"/>
              <w:keepNext/>
              <w:keepLines/>
              <w:spacing w:before="0" w:after="0"/>
              <w:rPr>
                <w:lang w:val="en-AU"/>
              </w:rPr>
            </w:pPr>
            <w:r w:rsidRPr="00F52B1D">
              <w:rPr>
                <w:lang w:val="en-AU"/>
              </w:rPr>
              <w:t xml:space="preserve">% alive at 6 months </w:t>
            </w:r>
            <w:r w:rsidRPr="00F52B1D">
              <w:rPr>
                <w:szCs w:val="20"/>
                <w:lang w:val="en-AU"/>
              </w:rPr>
              <w:t>(95% CI)</w:t>
            </w:r>
          </w:p>
        </w:tc>
        <w:tc>
          <w:tcPr>
            <w:tcW w:w="858" w:type="pct"/>
            <w:shd w:val="clear" w:color="auto" w:fill="BDD6EE" w:themeFill="accent1" w:themeFillTint="66"/>
            <w:vAlign w:val="center"/>
          </w:tcPr>
          <w:p w14:paraId="4A051FD6"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NR</w:t>
            </w:r>
          </w:p>
        </w:tc>
        <w:tc>
          <w:tcPr>
            <w:tcW w:w="868" w:type="pct"/>
            <w:gridSpan w:val="2"/>
            <w:shd w:val="clear" w:color="auto" w:fill="BDD6EE" w:themeFill="accent1" w:themeFillTint="66"/>
            <w:vAlign w:val="center"/>
          </w:tcPr>
          <w:p w14:paraId="41A34057"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NR</w:t>
            </w:r>
          </w:p>
        </w:tc>
        <w:tc>
          <w:tcPr>
            <w:tcW w:w="922" w:type="pct"/>
            <w:gridSpan w:val="2"/>
            <w:shd w:val="clear" w:color="auto" w:fill="BDD6EE" w:themeFill="accent1" w:themeFillTint="66"/>
            <w:vAlign w:val="center"/>
          </w:tcPr>
          <w:p w14:paraId="2EE8289E" w14:textId="77777777" w:rsidR="00A042A9" w:rsidRPr="00F52B1D" w:rsidRDefault="00A042A9" w:rsidP="00ED665A">
            <w:pPr>
              <w:pStyle w:val="TableText"/>
              <w:keepNext/>
              <w:keepLines/>
              <w:spacing w:before="0" w:after="0"/>
              <w:jc w:val="center"/>
              <w:rPr>
                <w:iCs/>
                <w:lang w:val="en-AU"/>
              </w:rPr>
            </w:pPr>
            <w:r w:rsidRPr="00F52B1D">
              <w:rPr>
                <w:iCs/>
                <w:lang w:val="en-AU"/>
              </w:rPr>
              <w:t>-</w:t>
            </w:r>
          </w:p>
        </w:tc>
        <w:tc>
          <w:tcPr>
            <w:tcW w:w="699" w:type="pct"/>
            <w:vMerge/>
            <w:shd w:val="clear" w:color="auto" w:fill="BDD6EE" w:themeFill="accent1" w:themeFillTint="66"/>
            <w:vAlign w:val="center"/>
          </w:tcPr>
          <w:p w14:paraId="1B6AF52A" w14:textId="77777777" w:rsidR="00A042A9" w:rsidRPr="00F52B1D" w:rsidRDefault="00A042A9" w:rsidP="00ED665A">
            <w:pPr>
              <w:pStyle w:val="TableText"/>
              <w:keepNext/>
              <w:keepLines/>
              <w:spacing w:before="0" w:after="0"/>
              <w:jc w:val="center"/>
              <w:rPr>
                <w:lang w:val="en-AU"/>
              </w:rPr>
            </w:pPr>
          </w:p>
        </w:tc>
      </w:tr>
      <w:tr w:rsidR="00A042A9" w:rsidRPr="00F52B1D" w14:paraId="043E068B" w14:textId="77777777" w:rsidTr="006C2ED8">
        <w:tc>
          <w:tcPr>
            <w:tcW w:w="1653" w:type="pct"/>
            <w:gridSpan w:val="3"/>
            <w:shd w:val="clear" w:color="auto" w:fill="BDD6EE" w:themeFill="accent1" w:themeFillTint="66"/>
            <w:vAlign w:val="center"/>
          </w:tcPr>
          <w:p w14:paraId="0EEE9AD2" w14:textId="77777777" w:rsidR="00A042A9" w:rsidRPr="00F52B1D" w:rsidRDefault="00A042A9" w:rsidP="00ED665A">
            <w:pPr>
              <w:pStyle w:val="TableText"/>
              <w:keepNext/>
              <w:keepLines/>
              <w:spacing w:before="0" w:after="0"/>
              <w:rPr>
                <w:lang w:val="en-AU"/>
              </w:rPr>
            </w:pPr>
            <w:r w:rsidRPr="00F52B1D">
              <w:rPr>
                <w:lang w:val="en-AU"/>
              </w:rPr>
              <w:t xml:space="preserve">% alive at 12 months </w:t>
            </w:r>
            <w:r w:rsidRPr="00F52B1D">
              <w:rPr>
                <w:szCs w:val="20"/>
                <w:lang w:val="en-AU"/>
              </w:rPr>
              <w:t>(95% CI)</w:t>
            </w:r>
          </w:p>
        </w:tc>
        <w:tc>
          <w:tcPr>
            <w:tcW w:w="858" w:type="pct"/>
            <w:shd w:val="clear" w:color="auto" w:fill="BDD6EE" w:themeFill="accent1" w:themeFillTint="66"/>
            <w:vAlign w:val="center"/>
          </w:tcPr>
          <w:p w14:paraId="72B6294D"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NR</w:t>
            </w:r>
          </w:p>
        </w:tc>
        <w:tc>
          <w:tcPr>
            <w:tcW w:w="868" w:type="pct"/>
            <w:gridSpan w:val="2"/>
            <w:shd w:val="clear" w:color="auto" w:fill="BDD6EE" w:themeFill="accent1" w:themeFillTint="66"/>
            <w:vAlign w:val="center"/>
          </w:tcPr>
          <w:p w14:paraId="515B65F5"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NR</w:t>
            </w:r>
          </w:p>
        </w:tc>
        <w:tc>
          <w:tcPr>
            <w:tcW w:w="922" w:type="pct"/>
            <w:gridSpan w:val="2"/>
            <w:shd w:val="clear" w:color="auto" w:fill="BDD6EE" w:themeFill="accent1" w:themeFillTint="66"/>
            <w:vAlign w:val="center"/>
          </w:tcPr>
          <w:p w14:paraId="3A6352ED" w14:textId="77777777" w:rsidR="00A042A9" w:rsidRPr="00F52B1D" w:rsidRDefault="00A042A9" w:rsidP="00ED665A">
            <w:pPr>
              <w:pStyle w:val="TableText"/>
              <w:keepNext/>
              <w:keepLines/>
              <w:spacing w:before="0" w:after="0"/>
              <w:jc w:val="center"/>
              <w:rPr>
                <w:iCs/>
                <w:lang w:val="en-AU"/>
              </w:rPr>
            </w:pPr>
            <w:r w:rsidRPr="00F52B1D">
              <w:rPr>
                <w:iCs/>
                <w:lang w:val="en-AU"/>
              </w:rPr>
              <w:t>-</w:t>
            </w:r>
          </w:p>
        </w:tc>
        <w:tc>
          <w:tcPr>
            <w:tcW w:w="699" w:type="pct"/>
            <w:vMerge/>
            <w:shd w:val="clear" w:color="auto" w:fill="BDD6EE" w:themeFill="accent1" w:themeFillTint="66"/>
            <w:vAlign w:val="center"/>
          </w:tcPr>
          <w:p w14:paraId="0F712FA8" w14:textId="77777777" w:rsidR="00A042A9" w:rsidRPr="00F52B1D" w:rsidRDefault="00A042A9" w:rsidP="00ED665A">
            <w:pPr>
              <w:pStyle w:val="TableText"/>
              <w:keepNext/>
              <w:keepLines/>
              <w:spacing w:before="0" w:after="0"/>
              <w:jc w:val="center"/>
              <w:rPr>
                <w:lang w:val="en-AU"/>
              </w:rPr>
            </w:pPr>
          </w:p>
        </w:tc>
      </w:tr>
      <w:tr w:rsidR="00A042A9" w:rsidRPr="00F52B1D" w14:paraId="091AC82D" w14:textId="77777777" w:rsidTr="00ED665A">
        <w:tc>
          <w:tcPr>
            <w:tcW w:w="5000" w:type="pct"/>
            <w:gridSpan w:val="9"/>
            <w:shd w:val="clear" w:color="auto" w:fill="BDD6EE" w:themeFill="accent1" w:themeFillTint="66"/>
          </w:tcPr>
          <w:p w14:paraId="5A8DB30C" w14:textId="77777777" w:rsidR="00A042A9" w:rsidRPr="00F52B1D" w:rsidRDefault="00A042A9" w:rsidP="00ED665A">
            <w:pPr>
              <w:pStyle w:val="TableText"/>
              <w:keepNext/>
              <w:keepLines/>
              <w:spacing w:before="0" w:after="0"/>
              <w:rPr>
                <w:b/>
                <w:u w:val="single"/>
                <w:lang w:val="en-AU"/>
              </w:rPr>
            </w:pPr>
            <w:r w:rsidRPr="00F52B1D">
              <w:rPr>
                <w:b/>
                <w:u w:val="single"/>
                <w:lang w:val="en-AU"/>
              </w:rPr>
              <w:t>Harms – PROfound</w:t>
            </w:r>
          </w:p>
        </w:tc>
      </w:tr>
      <w:tr w:rsidR="00D147D5" w:rsidRPr="00F52B1D" w14:paraId="7767CEEF" w14:textId="77777777" w:rsidTr="006C2ED8">
        <w:trPr>
          <w:trHeight w:val="70"/>
        </w:trPr>
        <w:tc>
          <w:tcPr>
            <w:tcW w:w="610" w:type="pct"/>
            <w:vMerge w:val="restart"/>
            <w:shd w:val="clear" w:color="auto" w:fill="BDD6EE" w:themeFill="accent1" w:themeFillTint="66"/>
            <w:vAlign w:val="center"/>
          </w:tcPr>
          <w:p w14:paraId="637E20A4" w14:textId="77777777" w:rsidR="00A042A9" w:rsidRPr="00F52B1D" w:rsidRDefault="00A042A9" w:rsidP="00ED665A">
            <w:pPr>
              <w:pStyle w:val="TableText"/>
              <w:keepNext/>
              <w:keepLines/>
              <w:spacing w:before="0" w:after="0"/>
              <w:rPr>
                <w:lang w:val="en-AU"/>
              </w:rPr>
            </w:pPr>
            <w:r w:rsidRPr="00F52B1D">
              <w:rPr>
                <w:b/>
                <w:lang w:val="en-AU"/>
              </w:rPr>
              <w:t xml:space="preserve">Cohort A + B of PROfound </w:t>
            </w:r>
          </w:p>
        </w:tc>
        <w:tc>
          <w:tcPr>
            <w:tcW w:w="549" w:type="pct"/>
            <w:vMerge w:val="restart"/>
            <w:shd w:val="clear" w:color="auto" w:fill="BDD6EE" w:themeFill="accent1" w:themeFillTint="66"/>
            <w:vAlign w:val="center"/>
          </w:tcPr>
          <w:p w14:paraId="78B7198D" w14:textId="77777777" w:rsidR="00A042A9" w:rsidRPr="00F52B1D" w:rsidRDefault="00A042A9" w:rsidP="00ED665A">
            <w:pPr>
              <w:pStyle w:val="TableText"/>
              <w:keepNext/>
              <w:keepLines/>
              <w:spacing w:before="0" w:after="0"/>
              <w:jc w:val="center"/>
              <w:rPr>
                <w:b/>
                <w:lang w:val="en-AU"/>
              </w:rPr>
            </w:pPr>
            <w:r w:rsidRPr="00F52B1D">
              <w:rPr>
                <w:b/>
                <w:lang w:val="en-AU"/>
              </w:rPr>
              <w:t>Olaparib</w:t>
            </w:r>
          </w:p>
          <w:p w14:paraId="235C3E98" w14:textId="77777777" w:rsidR="00A042A9" w:rsidRPr="00F52B1D" w:rsidRDefault="00A042A9" w:rsidP="00ED665A">
            <w:pPr>
              <w:pStyle w:val="TableText"/>
              <w:keepNext/>
              <w:keepLines/>
              <w:spacing w:before="0" w:after="0"/>
              <w:jc w:val="center"/>
              <w:rPr>
                <w:b/>
                <w:lang w:val="en-AU"/>
              </w:rPr>
            </w:pPr>
            <w:r w:rsidRPr="00F52B1D">
              <w:rPr>
                <w:b/>
                <w:lang w:val="en-AU"/>
              </w:rPr>
              <w:t>N=256</w:t>
            </w:r>
          </w:p>
        </w:tc>
        <w:tc>
          <w:tcPr>
            <w:tcW w:w="495" w:type="pct"/>
            <w:vMerge w:val="restart"/>
            <w:shd w:val="clear" w:color="auto" w:fill="BDD6EE" w:themeFill="accent1" w:themeFillTint="66"/>
            <w:vAlign w:val="center"/>
          </w:tcPr>
          <w:p w14:paraId="24DA172D" w14:textId="77777777" w:rsidR="00A042A9" w:rsidRPr="00F52B1D" w:rsidRDefault="00A042A9" w:rsidP="00ED665A">
            <w:pPr>
              <w:pStyle w:val="TableText"/>
              <w:keepNext/>
              <w:keepLines/>
              <w:spacing w:before="0" w:after="0"/>
              <w:jc w:val="center"/>
              <w:rPr>
                <w:b/>
                <w:lang w:val="en-AU"/>
              </w:rPr>
            </w:pPr>
            <w:r w:rsidRPr="00F52B1D">
              <w:rPr>
                <w:b/>
                <w:lang w:val="en-AU"/>
              </w:rPr>
              <w:t>NHA</w:t>
            </w:r>
          </w:p>
          <w:p w14:paraId="5DB7D789" w14:textId="77777777" w:rsidR="00A042A9" w:rsidRPr="00F52B1D" w:rsidRDefault="00A042A9" w:rsidP="00ED665A">
            <w:pPr>
              <w:pStyle w:val="TableText"/>
              <w:keepNext/>
              <w:keepLines/>
              <w:spacing w:before="0" w:after="0"/>
              <w:jc w:val="center"/>
              <w:rPr>
                <w:b/>
                <w:lang w:val="en-AU"/>
              </w:rPr>
            </w:pPr>
            <w:r w:rsidRPr="00F52B1D">
              <w:rPr>
                <w:b/>
                <w:lang w:val="en-AU"/>
              </w:rPr>
              <w:t>N=130</w:t>
            </w:r>
          </w:p>
        </w:tc>
        <w:tc>
          <w:tcPr>
            <w:tcW w:w="931" w:type="pct"/>
            <w:gridSpan w:val="2"/>
            <w:vMerge w:val="restart"/>
            <w:shd w:val="clear" w:color="auto" w:fill="BDD6EE" w:themeFill="accent1" w:themeFillTint="66"/>
            <w:vAlign w:val="center"/>
          </w:tcPr>
          <w:p w14:paraId="70D499D4" w14:textId="77777777" w:rsidR="00A042A9" w:rsidRPr="00F52B1D" w:rsidRDefault="00A042A9" w:rsidP="00ED665A">
            <w:pPr>
              <w:pStyle w:val="TableText"/>
              <w:keepNext/>
              <w:keepLines/>
              <w:spacing w:before="0" w:after="0"/>
              <w:jc w:val="center"/>
              <w:rPr>
                <w:b/>
                <w:lang w:val="en-AU"/>
              </w:rPr>
            </w:pPr>
            <w:r w:rsidRPr="00F52B1D">
              <w:rPr>
                <w:b/>
                <w:lang w:val="en-AU"/>
              </w:rPr>
              <w:t>RR</w:t>
            </w:r>
          </w:p>
          <w:p w14:paraId="271E4BE9" w14:textId="77777777" w:rsidR="00A042A9" w:rsidRPr="00F52B1D" w:rsidRDefault="00A042A9" w:rsidP="00ED665A">
            <w:pPr>
              <w:pStyle w:val="TableText"/>
              <w:keepNext/>
              <w:keepLines/>
              <w:spacing w:before="0" w:after="0"/>
              <w:jc w:val="center"/>
              <w:rPr>
                <w:b/>
                <w:lang w:val="en-AU"/>
              </w:rPr>
            </w:pPr>
            <w:r w:rsidRPr="00F52B1D">
              <w:rPr>
                <w:b/>
                <w:lang w:val="en-AU"/>
              </w:rPr>
              <w:t>(95% CI)</w:t>
            </w:r>
          </w:p>
        </w:tc>
        <w:tc>
          <w:tcPr>
            <w:tcW w:w="1339" w:type="pct"/>
            <w:gridSpan w:val="2"/>
            <w:shd w:val="clear" w:color="auto" w:fill="BDD6EE" w:themeFill="accent1" w:themeFillTint="66"/>
            <w:vAlign w:val="center"/>
          </w:tcPr>
          <w:p w14:paraId="5052E0B7" w14:textId="77777777" w:rsidR="00A042A9" w:rsidRPr="00F52B1D" w:rsidRDefault="00A042A9" w:rsidP="00ED665A">
            <w:pPr>
              <w:pStyle w:val="TableText"/>
              <w:keepNext/>
              <w:keepLines/>
              <w:spacing w:before="0" w:after="0"/>
              <w:jc w:val="center"/>
              <w:rPr>
                <w:b/>
                <w:lang w:val="en-AU"/>
              </w:rPr>
            </w:pPr>
            <w:r w:rsidRPr="00F52B1D">
              <w:rPr>
                <w:b/>
                <w:lang w:val="en-AU"/>
              </w:rPr>
              <w:t>Events/100 patients</w:t>
            </w:r>
          </w:p>
        </w:tc>
        <w:tc>
          <w:tcPr>
            <w:tcW w:w="1077" w:type="pct"/>
            <w:gridSpan w:val="2"/>
            <w:vMerge w:val="restart"/>
            <w:shd w:val="clear" w:color="auto" w:fill="BDD6EE" w:themeFill="accent1" w:themeFillTint="66"/>
            <w:vAlign w:val="center"/>
          </w:tcPr>
          <w:p w14:paraId="1683B9BB" w14:textId="77777777" w:rsidR="00A042A9" w:rsidRPr="00F52B1D" w:rsidRDefault="00A042A9" w:rsidP="00ED665A">
            <w:pPr>
              <w:pStyle w:val="TableText"/>
              <w:keepNext/>
              <w:keepLines/>
              <w:spacing w:before="0" w:after="0"/>
              <w:jc w:val="center"/>
              <w:rPr>
                <w:b/>
                <w:lang w:val="en-AU"/>
              </w:rPr>
            </w:pPr>
            <w:r w:rsidRPr="00F52B1D">
              <w:rPr>
                <w:b/>
                <w:lang w:val="en-AU"/>
              </w:rPr>
              <w:t>RD</w:t>
            </w:r>
          </w:p>
          <w:p w14:paraId="5678E7F7" w14:textId="77777777" w:rsidR="00A042A9" w:rsidRPr="00F52B1D" w:rsidRDefault="00A042A9" w:rsidP="00ED665A">
            <w:pPr>
              <w:pStyle w:val="TableText"/>
              <w:keepNext/>
              <w:keepLines/>
              <w:spacing w:before="0" w:after="0"/>
              <w:jc w:val="center"/>
              <w:rPr>
                <w:b/>
                <w:lang w:val="en-AU"/>
              </w:rPr>
            </w:pPr>
            <w:r w:rsidRPr="00F52B1D">
              <w:rPr>
                <w:b/>
                <w:lang w:val="en-AU"/>
              </w:rPr>
              <w:t>(95% CI)</w:t>
            </w:r>
          </w:p>
        </w:tc>
      </w:tr>
      <w:tr w:rsidR="00D147D5" w:rsidRPr="00F52B1D" w14:paraId="3172A36F" w14:textId="77777777" w:rsidTr="006C2ED8">
        <w:trPr>
          <w:trHeight w:val="70"/>
        </w:trPr>
        <w:tc>
          <w:tcPr>
            <w:tcW w:w="610" w:type="pct"/>
            <w:vMerge/>
            <w:shd w:val="clear" w:color="auto" w:fill="BDD6EE" w:themeFill="accent1" w:themeFillTint="66"/>
            <w:vAlign w:val="center"/>
          </w:tcPr>
          <w:p w14:paraId="647AAFB7" w14:textId="77777777" w:rsidR="00A042A9" w:rsidRPr="00F52B1D" w:rsidRDefault="00A042A9" w:rsidP="00ED665A">
            <w:pPr>
              <w:pStyle w:val="TableText"/>
              <w:keepNext/>
              <w:keepLines/>
              <w:spacing w:before="0" w:after="0"/>
              <w:rPr>
                <w:lang w:val="en-AU"/>
              </w:rPr>
            </w:pPr>
          </w:p>
        </w:tc>
        <w:tc>
          <w:tcPr>
            <w:tcW w:w="549" w:type="pct"/>
            <w:vMerge/>
            <w:shd w:val="clear" w:color="auto" w:fill="BDD6EE" w:themeFill="accent1" w:themeFillTint="66"/>
            <w:vAlign w:val="center"/>
          </w:tcPr>
          <w:p w14:paraId="51B3FA4A" w14:textId="77777777" w:rsidR="00A042A9" w:rsidRPr="00F52B1D" w:rsidRDefault="00A042A9" w:rsidP="00ED665A">
            <w:pPr>
              <w:pStyle w:val="TableText"/>
              <w:keepNext/>
              <w:keepLines/>
              <w:spacing w:before="0" w:after="0"/>
              <w:rPr>
                <w:lang w:val="en-AU"/>
              </w:rPr>
            </w:pPr>
          </w:p>
        </w:tc>
        <w:tc>
          <w:tcPr>
            <w:tcW w:w="495" w:type="pct"/>
            <w:vMerge/>
            <w:shd w:val="clear" w:color="auto" w:fill="BDD6EE" w:themeFill="accent1" w:themeFillTint="66"/>
            <w:vAlign w:val="center"/>
          </w:tcPr>
          <w:p w14:paraId="0095B790" w14:textId="77777777" w:rsidR="00A042A9" w:rsidRPr="00F52B1D" w:rsidRDefault="00A042A9" w:rsidP="00ED665A">
            <w:pPr>
              <w:pStyle w:val="TableText"/>
              <w:keepNext/>
              <w:keepLines/>
              <w:spacing w:before="0" w:after="0"/>
              <w:rPr>
                <w:lang w:val="en-AU"/>
              </w:rPr>
            </w:pPr>
          </w:p>
        </w:tc>
        <w:tc>
          <w:tcPr>
            <w:tcW w:w="931" w:type="pct"/>
            <w:gridSpan w:val="2"/>
            <w:vMerge/>
            <w:shd w:val="clear" w:color="auto" w:fill="BDD6EE" w:themeFill="accent1" w:themeFillTint="66"/>
            <w:vAlign w:val="center"/>
          </w:tcPr>
          <w:p w14:paraId="0AAFB827" w14:textId="77777777" w:rsidR="00A042A9" w:rsidRPr="00F52B1D" w:rsidRDefault="00A042A9" w:rsidP="00ED665A">
            <w:pPr>
              <w:pStyle w:val="TableText"/>
              <w:keepNext/>
              <w:keepLines/>
              <w:spacing w:before="0" w:after="0"/>
              <w:rPr>
                <w:lang w:val="en-AU"/>
              </w:rPr>
            </w:pPr>
          </w:p>
        </w:tc>
        <w:tc>
          <w:tcPr>
            <w:tcW w:w="795" w:type="pct"/>
            <w:shd w:val="clear" w:color="auto" w:fill="BDD6EE" w:themeFill="accent1" w:themeFillTint="66"/>
            <w:vAlign w:val="center"/>
          </w:tcPr>
          <w:p w14:paraId="1238636C" w14:textId="77777777" w:rsidR="00A042A9" w:rsidRPr="00F52B1D" w:rsidRDefault="00A042A9" w:rsidP="00ED665A">
            <w:pPr>
              <w:pStyle w:val="TableText"/>
              <w:keepNext/>
              <w:keepLines/>
              <w:spacing w:before="0" w:after="0"/>
              <w:jc w:val="center"/>
              <w:rPr>
                <w:b/>
                <w:lang w:val="en-AU"/>
              </w:rPr>
            </w:pPr>
            <w:r w:rsidRPr="00F52B1D">
              <w:rPr>
                <w:b/>
                <w:lang w:val="en-AU"/>
              </w:rPr>
              <w:t>Olaparib</w:t>
            </w:r>
          </w:p>
        </w:tc>
        <w:tc>
          <w:tcPr>
            <w:tcW w:w="544" w:type="pct"/>
            <w:shd w:val="clear" w:color="auto" w:fill="BDD6EE" w:themeFill="accent1" w:themeFillTint="66"/>
            <w:vAlign w:val="center"/>
          </w:tcPr>
          <w:p w14:paraId="184AEE81" w14:textId="77777777" w:rsidR="00A042A9" w:rsidRPr="00F52B1D" w:rsidRDefault="00A042A9" w:rsidP="00ED665A">
            <w:pPr>
              <w:pStyle w:val="TableText"/>
              <w:keepNext/>
              <w:keepLines/>
              <w:spacing w:before="0" w:after="0"/>
              <w:jc w:val="center"/>
              <w:rPr>
                <w:b/>
                <w:lang w:val="en-AU"/>
              </w:rPr>
            </w:pPr>
            <w:r w:rsidRPr="00F52B1D">
              <w:rPr>
                <w:b/>
                <w:lang w:val="en-AU"/>
              </w:rPr>
              <w:t>NHA</w:t>
            </w:r>
          </w:p>
        </w:tc>
        <w:tc>
          <w:tcPr>
            <w:tcW w:w="1077" w:type="pct"/>
            <w:gridSpan w:val="2"/>
            <w:vMerge/>
            <w:shd w:val="clear" w:color="auto" w:fill="BDD6EE" w:themeFill="accent1" w:themeFillTint="66"/>
            <w:vAlign w:val="center"/>
          </w:tcPr>
          <w:p w14:paraId="0DAC98E8" w14:textId="77777777" w:rsidR="00A042A9" w:rsidRPr="00F52B1D" w:rsidRDefault="00A042A9" w:rsidP="00ED665A">
            <w:pPr>
              <w:pStyle w:val="TableText"/>
              <w:keepNext/>
              <w:keepLines/>
              <w:spacing w:before="0" w:after="0"/>
              <w:rPr>
                <w:lang w:val="en-AU"/>
              </w:rPr>
            </w:pPr>
          </w:p>
        </w:tc>
      </w:tr>
      <w:tr w:rsidR="00D147D5" w:rsidRPr="00F52B1D" w14:paraId="3F7F8869" w14:textId="77777777" w:rsidTr="006C2ED8">
        <w:tc>
          <w:tcPr>
            <w:tcW w:w="610" w:type="pct"/>
            <w:shd w:val="clear" w:color="auto" w:fill="BDD6EE" w:themeFill="accent1" w:themeFillTint="66"/>
            <w:vAlign w:val="center"/>
          </w:tcPr>
          <w:p w14:paraId="15F49C6D" w14:textId="77777777" w:rsidR="00A042A9" w:rsidRPr="00F52B1D" w:rsidRDefault="00A042A9" w:rsidP="00ED665A">
            <w:pPr>
              <w:pStyle w:val="TableText"/>
              <w:keepNext/>
              <w:keepLines/>
              <w:spacing w:before="0" w:after="0"/>
              <w:rPr>
                <w:szCs w:val="20"/>
                <w:lang w:val="en-AU"/>
              </w:rPr>
            </w:pPr>
            <w:r w:rsidRPr="00F52B1D">
              <w:rPr>
                <w:szCs w:val="20"/>
                <w:lang w:val="en-AU"/>
              </w:rPr>
              <w:t>Anaemia</w:t>
            </w:r>
          </w:p>
        </w:tc>
        <w:tc>
          <w:tcPr>
            <w:tcW w:w="549" w:type="pct"/>
            <w:shd w:val="clear" w:color="auto" w:fill="BDD6EE" w:themeFill="accent1" w:themeFillTint="66"/>
            <w:vAlign w:val="center"/>
          </w:tcPr>
          <w:p w14:paraId="6421BB2E"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52 (22.7%)</w:t>
            </w:r>
          </w:p>
        </w:tc>
        <w:tc>
          <w:tcPr>
            <w:tcW w:w="495" w:type="pct"/>
            <w:shd w:val="clear" w:color="auto" w:fill="BDD6EE" w:themeFill="accent1" w:themeFillTint="66"/>
            <w:vAlign w:val="center"/>
          </w:tcPr>
          <w:p w14:paraId="7D16B108"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7 (5.4%)</w:t>
            </w:r>
          </w:p>
        </w:tc>
        <w:tc>
          <w:tcPr>
            <w:tcW w:w="931" w:type="pct"/>
            <w:gridSpan w:val="2"/>
            <w:shd w:val="clear" w:color="auto" w:fill="BDD6EE" w:themeFill="accent1" w:themeFillTint="66"/>
            <w:vAlign w:val="center"/>
          </w:tcPr>
          <w:p w14:paraId="6A9275D7" w14:textId="77777777" w:rsidR="00A042A9" w:rsidRPr="00F52B1D" w:rsidRDefault="00A042A9" w:rsidP="00ED665A">
            <w:pPr>
              <w:keepNext/>
              <w:keepLines/>
              <w:spacing w:before="0"/>
              <w:jc w:val="center"/>
              <w:rPr>
                <w:rFonts w:ascii="Arial Narrow" w:hAnsi="Arial Narrow"/>
                <w:sz w:val="20"/>
                <w:szCs w:val="20"/>
                <w:lang w:val="en-AU" w:eastAsia="en-AU"/>
              </w:rPr>
            </w:pPr>
            <w:r w:rsidRPr="00F52B1D">
              <w:rPr>
                <w:rFonts w:ascii="Arial Narrow" w:hAnsi="Arial Narrow"/>
                <w:sz w:val="20"/>
                <w:szCs w:val="20"/>
                <w:lang w:val="en-AU"/>
              </w:rPr>
              <w:t>3.77 (1.76, 8.07)</w:t>
            </w:r>
          </w:p>
        </w:tc>
        <w:tc>
          <w:tcPr>
            <w:tcW w:w="795" w:type="pct"/>
            <w:shd w:val="clear" w:color="auto" w:fill="BDD6EE" w:themeFill="accent1" w:themeFillTint="66"/>
            <w:vAlign w:val="center"/>
          </w:tcPr>
          <w:p w14:paraId="0FBFB5B7" w14:textId="77777777" w:rsidR="00A042A9" w:rsidRPr="00F52B1D" w:rsidRDefault="00A042A9" w:rsidP="00ED665A">
            <w:pPr>
              <w:pStyle w:val="TableText"/>
              <w:keepNext/>
              <w:keepLines/>
              <w:spacing w:before="0" w:after="0"/>
              <w:jc w:val="center"/>
              <w:rPr>
                <w:lang w:val="en-AU"/>
              </w:rPr>
            </w:pPr>
            <w:r w:rsidRPr="00F52B1D">
              <w:rPr>
                <w:lang w:val="en-AU"/>
              </w:rPr>
              <w:t>23</w:t>
            </w:r>
          </w:p>
        </w:tc>
        <w:tc>
          <w:tcPr>
            <w:tcW w:w="544" w:type="pct"/>
            <w:shd w:val="clear" w:color="auto" w:fill="BDD6EE" w:themeFill="accent1" w:themeFillTint="66"/>
            <w:vAlign w:val="center"/>
          </w:tcPr>
          <w:p w14:paraId="48AAE394" w14:textId="77777777" w:rsidR="00A042A9" w:rsidRPr="00F52B1D" w:rsidRDefault="00A042A9" w:rsidP="00ED665A">
            <w:pPr>
              <w:pStyle w:val="TableText"/>
              <w:keepNext/>
              <w:keepLines/>
              <w:spacing w:before="0" w:after="0"/>
              <w:jc w:val="center"/>
              <w:rPr>
                <w:lang w:val="en-AU"/>
              </w:rPr>
            </w:pPr>
            <w:r w:rsidRPr="00F52B1D">
              <w:rPr>
                <w:lang w:val="en-AU"/>
              </w:rPr>
              <w:t>5</w:t>
            </w:r>
          </w:p>
        </w:tc>
        <w:tc>
          <w:tcPr>
            <w:tcW w:w="1077" w:type="pct"/>
            <w:gridSpan w:val="2"/>
            <w:shd w:val="clear" w:color="auto" w:fill="BDD6EE" w:themeFill="accent1" w:themeFillTint="66"/>
            <w:vAlign w:val="center"/>
          </w:tcPr>
          <w:p w14:paraId="5EE98426" w14:textId="77777777" w:rsidR="00A042A9" w:rsidRPr="00F52B1D" w:rsidRDefault="00A042A9" w:rsidP="00ED665A">
            <w:pPr>
              <w:keepNext/>
              <w:keepLines/>
              <w:spacing w:before="0"/>
              <w:jc w:val="center"/>
              <w:rPr>
                <w:rFonts w:ascii="Arial Narrow" w:hAnsi="Arial Narrow"/>
                <w:b/>
                <w:bCs/>
                <w:sz w:val="20"/>
                <w:szCs w:val="20"/>
                <w:lang w:val="en-AU"/>
              </w:rPr>
            </w:pPr>
            <w:r w:rsidRPr="00F52B1D">
              <w:rPr>
                <w:rFonts w:ascii="Arial Narrow" w:hAnsi="Arial Narrow"/>
                <w:sz w:val="20"/>
                <w:szCs w:val="20"/>
                <w:lang w:val="en-AU"/>
              </w:rPr>
              <w:t>0.15 (0.09, 0.21)</w:t>
            </w:r>
          </w:p>
        </w:tc>
      </w:tr>
      <w:tr w:rsidR="00D147D5" w:rsidRPr="00F52B1D" w14:paraId="6EBF498A" w14:textId="77777777" w:rsidTr="006C2ED8">
        <w:tc>
          <w:tcPr>
            <w:tcW w:w="610" w:type="pct"/>
            <w:tcBorders>
              <w:bottom w:val="single" w:sz="4" w:space="0" w:color="auto"/>
            </w:tcBorders>
            <w:shd w:val="clear" w:color="auto" w:fill="BDD6EE" w:themeFill="accent1" w:themeFillTint="66"/>
            <w:vAlign w:val="center"/>
          </w:tcPr>
          <w:p w14:paraId="1AA0FF7C" w14:textId="77777777" w:rsidR="00A042A9" w:rsidRPr="00F52B1D" w:rsidRDefault="00A042A9" w:rsidP="00ED665A">
            <w:pPr>
              <w:pStyle w:val="TableText"/>
              <w:keepNext/>
              <w:keepLines/>
              <w:spacing w:before="0" w:after="0"/>
              <w:rPr>
                <w:lang w:val="en-AU"/>
              </w:rPr>
            </w:pPr>
            <w:r w:rsidRPr="00F52B1D">
              <w:rPr>
                <w:szCs w:val="20"/>
                <w:lang w:val="en-AU"/>
              </w:rPr>
              <w:t>Neutropenia</w:t>
            </w:r>
          </w:p>
        </w:tc>
        <w:tc>
          <w:tcPr>
            <w:tcW w:w="549" w:type="pct"/>
            <w:tcBorders>
              <w:bottom w:val="single" w:sz="4" w:space="0" w:color="auto"/>
            </w:tcBorders>
            <w:shd w:val="clear" w:color="auto" w:fill="BDD6EE" w:themeFill="accent1" w:themeFillTint="66"/>
            <w:vAlign w:val="center"/>
          </w:tcPr>
          <w:p w14:paraId="2D75FBA2"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10 (3.9%)</w:t>
            </w:r>
          </w:p>
        </w:tc>
        <w:tc>
          <w:tcPr>
            <w:tcW w:w="495" w:type="pct"/>
            <w:tcBorders>
              <w:bottom w:val="single" w:sz="4" w:space="0" w:color="auto"/>
            </w:tcBorders>
            <w:shd w:val="clear" w:color="auto" w:fill="BDD6EE" w:themeFill="accent1" w:themeFillTint="66"/>
            <w:vAlign w:val="center"/>
          </w:tcPr>
          <w:p w14:paraId="2243498C" w14:textId="77777777" w:rsidR="00A042A9" w:rsidRPr="00F52B1D" w:rsidRDefault="00A042A9" w:rsidP="00ED665A">
            <w:pPr>
              <w:pStyle w:val="TableText"/>
              <w:keepNext/>
              <w:keepLines/>
              <w:spacing w:before="0" w:after="0"/>
              <w:jc w:val="center"/>
              <w:rPr>
                <w:szCs w:val="20"/>
                <w:lang w:val="en-AU"/>
              </w:rPr>
            </w:pPr>
            <w:r w:rsidRPr="00F52B1D">
              <w:rPr>
                <w:szCs w:val="20"/>
                <w:lang w:val="en-AU"/>
              </w:rPr>
              <w:t>0 (0. 0%)</w:t>
            </w:r>
          </w:p>
        </w:tc>
        <w:tc>
          <w:tcPr>
            <w:tcW w:w="931" w:type="pct"/>
            <w:gridSpan w:val="2"/>
            <w:tcBorders>
              <w:bottom w:val="single" w:sz="4" w:space="0" w:color="auto"/>
            </w:tcBorders>
            <w:shd w:val="clear" w:color="auto" w:fill="BDD6EE" w:themeFill="accent1" w:themeFillTint="66"/>
            <w:vAlign w:val="center"/>
          </w:tcPr>
          <w:p w14:paraId="0A695595" w14:textId="77777777" w:rsidR="00A042A9" w:rsidRPr="00F52B1D" w:rsidRDefault="00A042A9" w:rsidP="00ED665A">
            <w:pPr>
              <w:keepNext/>
              <w:keepLines/>
              <w:spacing w:before="0"/>
              <w:jc w:val="center"/>
              <w:rPr>
                <w:rFonts w:ascii="Arial Narrow" w:hAnsi="Arial Narrow"/>
                <w:b/>
                <w:bCs/>
                <w:sz w:val="20"/>
                <w:szCs w:val="20"/>
                <w:lang w:val="en-AU" w:eastAsia="en-AU"/>
              </w:rPr>
            </w:pPr>
            <w:r w:rsidRPr="00F52B1D">
              <w:rPr>
                <w:rFonts w:ascii="Arial Narrow" w:hAnsi="Arial Narrow"/>
                <w:sz w:val="20"/>
                <w:szCs w:val="20"/>
                <w:lang w:val="en-AU"/>
              </w:rPr>
              <w:t>10.70 (0.63, 181.25)</w:t>
            </w:r>
          </w:p>
        </w:tc>
        <w:tc>
          <w:tcPr>
            <w:tcW w:w="795" w:type="pct"/>
            <w:tcBorders>
              <w:bottom w:val="single" w:sz="4" w:space="0" w:color="auto"/>
            </w:tcBorders>
            <w:shd w:val="clear" w:color="auto" w:fill="BDD6EE" w:themeFill="accent1" w:themeFillTint="66"/>
            <w:vAlign w:val="center"/>
          </w:tcPr>
          <w:p w14:paraId="0604E0D1" w14:textId="77777777" w:rsidR="00A042A9" w:rsidRPr="00F52B1D" w:rsidRDefault="00A042A9" w:rsidP="00ED665A">
            <w:pPr>
              <w:pStyle w:val="TableText"/>
              <w:keepNext/>
              <w:keepLines/>
              <w:spacing w:before="0" w:after="0"/>
              <w:jc w:val="center"/>
              <w:rPr>
                <w:lang w:val="en-AU"/>
              </w:rPr>
            </w:pPr>
            <w:r w:rsidRPr="00F52B1D">
              <w:rPr>
                <w:lang w:val="en-AU"/>
              </w:rPr>
              <w:t>4</w:t>
            </w:r>
          </w:p>
        </w:tc>
        <w:tc>
          <w:tcPr>
            <w:tcW w:w="544" w:type="pct"/>
            <w:tcBorders>
              <w:bottom w:val="single" w:sz="4" w:space="0" w:color="auto"/>
            </w:tcBorders>
            <w:shd w:val="clear" w:color="auto" w:fill="BDD6EE" w:themeFill="accent1" w:themeFillTint="66"/>
            <w:vAlign w:val="center"/>
          </w:tcPr>
          <w:p w14:paraId="0431616F" w14:textId="77777777" w:rsidR="00A042A9" w:rsidRPr="00F52B1D" w:rsidRDefault="00A042A9" w:rsidP="00ED665A">
            <w:pPr>
              <w:pStyle w:val="TableText"/>
              <w:keepNext/>
              <w:keepLines/>
              <w:spacing w:before="0" w:after="0"/>
              <w:jc w:val="center"/>
              <w:rPr>
                <w:lang w:val="en-AU"/>
              </w:rPr>
            </w:pPr>
            <w:r w:rsidRPr="00F52B1D">
              <w:rPr>
                <w:lang w:val="en-AU"/>
              </w:rPr>
              <w:t>0</w:t>
            </w:r>
          </w:p>
        </w:tc>
        <w:tc>
          <w:tcPr>
            <w:tcW w:w="1077" w:type="pct"/>
            <w:gridSpan w:val="2"/>
            <w:tcBorders>
              <w:bottom w:val="single" w:sz="4" w:space="0" w:color="auto"/>
            </w:tcBorders>
            <w:shd w:val="clear" w:color="auto" w:fill="BDD6EE" w:themeFill="accent1" w:themeFillTint="66"/>
            <w:vAlign w:val="center"/>
          </w:tcPr>
          <w:p w14:paraId="757398F1" w14:textId="77777777" w:rsidR="00A042A9" w:rsidRPr="00F52B1D" w:rsidRDefault="00A042A9" w:rsidP="00ED665A">
            <w:pPr>
              <w:keepNext/>
              <w:keepLines/>
              <w:spacing w:before="0"/>
              <w:jc w:val="center"/>
              <w:rPr>
                <w:rFonts w:ascii="Arial Narrow" w:hAnsi="Arial Narrow"/>
                <w:b/>
                <w:bCs/>
                <w:sz w:val="20"/>
                <w:szCs w:val="20"/>
                <w:lang w:val="en-AU"/>
              </w:rPr>
            </w:pPr>
            <w:r w:rsidRPr="00F52B1D">
              <w:rPr>
                <w:rFonts w:ascii="Arial Narrow" w:hAnsi="Arial Narrow"/>
                <w:sz w:val="20"/>
                <w:szCs w:val="20"/>
                <w:lang w:val="en-AU"/>
              </w:rPr>
              <w:t>0.04 (0.01, 0.07)</w:t>
            </w:r>
          </w:p>
        </w:tc>
      </w:tr>
      <w:tr w:rsidR="00D147D5" w:rsidRPr="00F52B1D" w14:paraId="2BC1FA10" w14:textId="77777777" w:rsidTr="006C2ED8">
        <w:tc>
          <w:tcPr>
            <w:tcW w:w="610" w:type="pct"/>
            <w:shd w:val="clear" w:color="auto" w:fill="BDD6EE" w:themeFill="accent1" w:themeFillTint="66"/>
            <w:vAlign w:val="center"/>
          </w:tcPr>
          <w:p w14:paraId="3B7513DE" w14:textId="77777777" w:rsidR="00A042A9" w:rsidRPr="00F52B1D" w:rsidRDefault="00A042A9" w:rsidP="00ED665A">
            <w:pPr>
              <w:pStyle w:val="TableText"/>
              <w:keepNext/>
              <w:keepLines/>
              <w:shd w:val="clear" w:color="auto" w:fill="BDD6EE" w:themeFill="accent1" w:themeFillTint="66"/>
              <w:spacing w:before="0" w:after="0"/>
              <w:rPr>
                <w:lang w:val="en-AU"/>
              </w:rPr>
            </w:pPr>
            <w:r w:rsidRPr="00F52B1D">
              <w:rPr>
                <w:szCs w:val="20"/>
                <w:lang w:val="en-AU"/>
              </w:rPr>
              <w:t>Pneumonia</w:t>
            </w:r>
          </w:p>
        </w:tc>
        <w:tc>
          <w:tcPr>
            <w:tcW w:w="549" w:type="pct"/>
            <w:shd w:val="clear" w:color="auto" w:fill="BDD6EE" w:themeFill="accent1" w:themeFillTint="66"/>
            <w:vAlign w:val="center"/>
          </w:tcPr>
          <w:p w14:paraId="1587F24F" w14:textId="77777777" w:rsidR="00A042A9" w:rsidRPr="00F52B1D" w:rsidRDefault="00A042A9" w:rsidP="00ED665A">
            <w:pPr>
              <w:pStyle w:val="TableText"/>
              <w:keepNext/>
              <w:keepLines/>
              <w:shd w:val="clear" w:color="auto" w:fill="BDD6EE" w:themeFill="accent1" w:themeFillTint="66"/>
              <w:spacing w:before="0" w:after="0"/>
              <w:jc w:val="center"/>
              <w:rPr>
                <w:lang w:val="en-AU"/>
              </w:rPr>
            </w:pPr>
            <w:r w:rsidRPr="00F52B1D">
              <w:rPr>
                <w:szCs w:val="20"/>
                <w:lang w:val="en-AU"/>
              </w:rPr>
              <w:t>8 (3.1%)</w:t>
            </w:r>
          </w:p>
        </w:tc>
        <w:tc>
          <w:tcPr>
            <w:tcW w:w="495" w:type="pct"/>
            <w:shd w:val="clear" w:color="auto" w:fill="BDD6EE" w:themeFill="accent1" w:themeFillTint="66"/>
            <w:vAlign w:val="center"/>
          </w:tcPr>
          <w:p w14:paraId="1B677F31" w14:textId="77777777" w:rsidR="00A042A9" w:rsidRPr="00F52B1D" w:rsidRDefault="00A042A9" w:rsidP="00ED665A">
            <w:pPr>
              <w:pStyle w:val="TableText"/>
              <w:keepNext/>
              <w:keepLines/>
              <w:shd w:val="clear" w:color="auto" w:fill="BDD6EE" w:themeFill="accent1" w:themeFillTint="66"/>
              <w:spacing w:before="0" w:after="0"/>
              <w:jc w:val="center"/>
              <w:rPr>
                <w:lang w:val="en-AU"/>
              </w:rPr>
            </w:pPr>
            <w:r w:rsidRPr="00F52B1D">
              <w:rPr>
                <w:szCs w:val="20"/>
                <w:lang w:val="en-AU"/>
              </w:rPr>
              <w:t>3 (2.3%)</w:t>
            </w:r>
          </w:p>
        </w:tc>
        <w:tc>
          <w:tcPr>
            <w:tcW w:w="931" w:type="pct"/>
            <w:gridSpan w:val="2"/>
            <w:shd w:val="clear" w:color="auto" w:fill="BDD6EE" w:themeFill="accent1" w:themeFillTint="66"/>
            <w:vAlign w:val="center"/>
          </w:tcPr>
          <w:p w14:paraId="6C874102" w14:textId="77777777" w:rsidR="00A042A9" w:rsidRPr="00F52B1D" w:rsidRDefault="00A042A9" w:rsidP="00ED665A">
            <w:pPr>
              <w:keepNext/>
              <w:keepLines/>
              <w:shd w:val="clear" w:color="auto" w:fill="BDD6EE" w:themeFill="accent1" w:themeFillTint="66"/>
              <w:spacing w:before="0"/>
              <w:jc w:val="center"/>
              <w:rPr>
                <w:rFonts w:ascii="Arial Narrow" w:hAnsi="Arial Narrow"/>
                <w:b/>
                <w:bCs/>
                <w:sz w:val="20"/>
                <w:szCs w:val="20"/>
                <w:lang w:val="en-AU" w:eastAsia="en-AU"/>
              </w:rPr>
            </w:pPr>
            <w:r w:rsidRPr="00F52B1D">
              <w:rPr>
                <w:rFonts w:ascii="Arial Narrow" w:hAnsi="Arial Narrow"/>
                <w:sz w:val="20"/>
                <w:szCs w:val="20"/>
                <w:lang w:val="en-AU"/>
              </w:rPr>
              <w:t>1.35 (0.37, 5.02)</w:t>
            </w:r>
          </w:p>
        </w:tc>
        <w:tc>
          <w:tcPr>
            <w:tcW w:w="795" w:type="pct"/>
            <w:shd w:val="clear" w:color="auto" w:fill="BDD6EE" w:themeFill="accent1" w:themeFillTint="66"/>
            <w:vAlign w:val="center"/>
          </w:tcPr>
          <w:p w14:paraId="1BD5CB23" w14:textId="77777777" w:rsidR="00A042A9" w:rsidRPr="00F52B1D" w:rsidRDefault="00A042A9" w:rsidP="00ED665A">
            <w:pPr>
              <w:pStyle w:val="TableText"/>
              <w:keepNext/>
              <w:keepLines/>
              <w:shd w:val="clear" w:color="auto" w:fill="BDD6EE" w:themeFill="accent1" w:themeFillTint="66"/>
              <w:spacing w:before="0" w:after="0"/>
              <w:jc w:val="center"/>
              <w:rPr>
                <w:lang w:val="en-AU"/>
              </w:rPr>
            </w:pPr>
            <w:r w:rsidRPr="00F52B1D">
              <w:rPr>
                <w:lang w:val="en-AU"/>
              </w:rPr>
              <w:t>3</w:t>
            </w:r>
          </w:p>
        </w:tc>
        <w:tc>
          <w:tcPr>
            <w:tcW w:w="544" w:type="pct"/>
            <w:shd w:val="clear" w:color="auto" w:fill="BDD6EE" w:themeFill="accent1" w:themeFillTint="66"/>
            <w:vAlign w:val="center"/>
          </w:tcPr>
          <w:p w14:paraId="73DEB648" w14:textId="77777777" w:rsidR="00A042A9" w:rsidRPr="00F52B1D" w:rsidRDefault="00A042A9" w:rsidP="00ED665A">
            <w:pPr>
              <w:pStyle w:val="TableText"/>
              <w:keepNext/>
              <w:keepLines/>
              <w:shd w:val="clear" w:color="auto" w:fill="BDD6EE" w:themeFill="accent1" w:themeFillTint="66"/>
              <w:spacing w:before="0" w:after="0"/>
              <w:jc w:val="center"/>
              <w:rPr>
                <w:lang w:val="en-AU"/>
              </w:rPr>
            </w:pPr>
            <w:r w:rsidRPr="00F52B1D">
              <w:rPr>
                <w:lang w:val="en-AU"/>
              </w:rPr>
              <w:t>2</w:t>
            </w:r>
          </w:p>
        </w:tc>
        <w:tc>
          <w:tcPr>
            <w:tcW w:w="1077" w:type="pct"/>
            <w:gridSpan w:val="2"/>
            <w:shd w:val="clear" w:color="auto" w:fill="BDD6EE" w:themeFill="accent1" w:themeFillTint="66"/>
            <w:vAlign w:val="center"/>
          </w:tcPr>
          <w:p w14:paraId="4203EDAE" w14:textId="77777777" w:rsidR="00A042A9" w:rsidRPr="00F52B1D" w:rsidRDefault="00A042A9" w:rsidP="00ED665A">
            <w:pPr>
              <w:keepNext/>
              <w:keepLines/>
              <w:shd w:val="clear" w:color="auto" w:fill="BDD6EE" w:themeFill="accent1" w:themeFillTint="66"/>
              <w:spacing w:before="0"/>
              <w:jc w:val="center"/>
              <w:rPr>
                <w:rFonts w:ascii="Arial Narrow" w:hAnsi="Arial Narrow"/>
                <w:b/>
                <w:bCs/>
                <w:sz w:val="20"/>
                <w:szCs w:val="20"/>
                <w:lang w:val="en-AU"/>
              </w:rPr>
            </w:pPr>
            <w:r w:rsidRPr="00F52B1D">
              <w:rPr>
                <w:rFonts w:ascii="Arial Narrow" w:hAnsi="Arial Narrow"/>
                <w:sz w:val="20"/>
                <w:szCs w:val="20"/>
                <w:lang w:val="en-AU"/>
              </w:rPr>
              <w:t>0.01 (-0.03, 0.04)</w:t>
            </w:r>
          </w:p>
        </w:tc>
      </w:tr>
    </w:tbl>
    <w:p w14:paraId="4BA30716" w14:textId="77777777" w:rsidR="00A042A9" w:rsidRPr="00CA4838" w:rsidRDefault="00A042A9" w:rsidP="00A042A9">
      <w:pPr>
        <w:pStyle w:val="TableFooter"/>
        <w:keepNext/>
        <w:keepLines/>
        <w:shd w:val="clear" w:color="auto" w:fill="BDD6EE" w:themeFill="accent1" w:themeFillTint="66"/>
      </w:pPr>
      <w:r w:rsidRPr="00CA4838">
        <w:t>Source: Compiled during the evaluation</w:t>
      </w:r>
    </w:p>
    <w:p w14:paraId="4853B793" w14:textId="77777777" w:rsidR="00A042A9" w:rsidRPr="00F52B1D" w:rsidRDefault="00A042A9" w:rsidP="00A042A9">
      <w:pPr>
        <w:pStyle w:val="TableFooter"/>
        <w:keepNext/>
        <w:keepLines/>
      </w:pPr>
      <w:r w:rsidRPr="00CA4838">
        <w:t>BRCA=breast cancer gene; CI=confidence interval; HR=hazard ratio; NHA=novel hormonal agent; NR=not reported; RD=risk difference; rPFS=radiological progression-free survival; RR=relative risk</w:t>
      </w:r>
    </w:p>
    <w:p w14:paraId="4EB66169" w14:textId="77777777" w:rsidR="00A042A9" w:rsidRPr="00CA4838" w:rsidRDefault="00A042A9" w:rsidP="00A2713C">
      <w:pPr>
        <w:pStyle w:val="ListParagraph"/>
        <w:ind w:left="709"/>
        <w:rPr>
          <w:color w:val="auto"/>
        </w:rPr>
      </w:pPr>
      <w:r w:rsidRPr="00F52B1D">
        <w:rPr>
          <w:iCs/>
          <w:color w:val="auto"/>
        </w:rPr>
        <w:t xml:space="preserve">On the basis of the evidence presented by the submission for the BRCA1/2 subgroup, no statements </w:t>
      </w:r>
      <w:r w:rsidRPr="00F52B1D">
        <w:t>regarding</w:t>
      </w:r>
      <w:r w:rsidRPr="00F52B1D">
        <w:rPr>
          <w:iCs/>
          <w:color w:val="auto"/>
        </w:rPr>
        <w:t xml:space="preserve"> the number of patients progression-free or number of patients alive when treated with olaparib compared to NHA can be made, given the required data was not provided by the submission. </w:t>
      </w:r>
      <w:r w:rsidRPr="00F52B1D">
        <w:rPr>
          <w:color w:val="auto"/>
        </w:rPr>
        <w:t>In regard to harms, for every 100 patients treated with olaparib, approximately 18 additional patients would experience anaemia, 4</w:t>
      </w:r>
      <w:r w:rsidRPr="00CA4838">
        <w:rPr>
          <w:color w:val="auto"/>
        </w:rPr>
        <w:t xml:space="preserve"> additional patients would experience neutropenia and 1 additional patient would experience pneumonia.</w:t>
      </w:r>
    </w:p>
    <w:p w14:paraId="45C3DF46" w14:textId="77777777" w:rsidR="00A042A9" w:rsidRPr="00B53360" w:rsidRDefault="00A042A9" w:rsidP="00A042A9">
      <w:pPr>
        <w:pStyle w:val="4-SubsectionHeading"/>
        <w:rPr>
          <w:rFonts w:asciiTheme="minorHAnsi" w:hAnsiTheme="minorHAnsi"/>
        </w:rPr>
      </w:pPr>
      <w:r w:rsidRPr="00B53360">
        <w:rPr>
          <w:rFonts w:asciiTheme="minorHAnsi" w:hAnsiTheme="minorHAnsi"/>
          <w:color w:val="auto"/>
        </w:rPr>
        <w:t>Clinical claim</w:t>
      </w:r>
    </w:p>
    <w:p w14:paraId="06594A03" w14:textId="77777777" w:rsidR="00A042A9" w:rsidRPr="00CA4838" w:rsidRDefault="00A042A9" w:rsidP="00A2713C">
      <w:pPr>
        <w:pStyle w:val="ListParagraph"/>
        <w:ind w:left="709"/>
        <w:rPr>
          <w:color w:val="auto"/>
        </w:rPr>
      </w:pPr>
      <w:r w:rsidRPr="00CA4838">
        <w:rPr>
          <w:color w:val="auto"/>
        </w:rPr>
        <w:t xml:space="preserve">The </w:t>
      </w:r>
      <w:r w:rsidRPr="00F52B1D">
        <w:t>resubmission</w:t>
      </w:r>
      <w:r w:rsidRPr="00CA4838">
        <w:rPr>
          <w:color w:val="auto"/>
        </w:rPr>
        <w:t xml:space="preserve"> claimed olaparib was superior in efficacy and inferior in safety to BSC, although it was added the toxicity burden was manageable in mCR</w:t>
      </w:r>
      <w:r>
        <w:rPr>
          <w:color w:val="auto"/>
        </w:rPr>
        <w:t>PC</w:t>
      </w:r>
      <w:r w:rsidRPr="00CA4838">
        <w:rPr>
          <w:color w:val="auto"/>
        </w:rPr>
        <w:t xml:space="preserve"> patients with </w:t>
      </w:r>
      <w:r w:rsidRPr="00AB515A">
        <w:rPr>
          <w:iCs/>
          <w:color w:val="auto"/>
        </w:rPr>
        <w:t>BRCA1/2</w:t>
      </w:r>
      <w:r w:rsidRPr="00CA4838">
        <w:rPr>
          <w:i/>
          <w:color w:val="auto"/>
        </w:rPr>
        <w:t xml:space="preserve"> </w:t>
      </w:r>
      <w:r w:rsidRPr="00CA4838">
        <w:rPr>
          <w:color w:val="auto"/>
        </w:rPr>
        <w:t xml:space="preserve">pathogenic variants who had previously </w:t>
      </w:r>
      <w:r w:rsidR="001579DF" w:rsidRPr="00CA4838">
        <w:rPr>
          <w:color w:val="auto"/>
        </w:rPr>
        <w:t>progressed</w:t>
      </w:r>
      <w:r w:rsidRPr="00CA4838">
        <w:rPr>
          <w:color w:val="auto"/>
        </w:rPr>
        <w:t xml:space="preserve"> on NHAs. </w:t>
      </w:r>
    </w:p>
    <w:p w14:paraId="2A7916CE" w14:textId="77777777" w:rsidR="00A042A9" w:rsidRPr="00F52B1D" w:rsidRDefault="00A042A9" w:rsidP="008A4199">
      <w:pPr>
        <w:pStyle w:val="ListParagraph"/>
        <w:ind w:left="720"/>
      </w:pPr>
      <w:r w:rsidRPr="00354017">
        <w:t>Based on the PROfound trial, and assuming that data from the NHA arm of the trial reasonably represent BSC, the claim of superior effectiveness and inferior safety against BSC was reasonable</w:t>
      </w:r>
      <w:r w:rsidR="00354017">
        <w:rPr>
          <w:color w:val="auto"/>
        </w:rPr>
        <w:t>. H</w:t>
      </w:r>
      <w:r w:rsidRPr="00354017">
        <w:t xml:space="preserve">owever, the magnitude of the estimated survival benefit </w:t>
      </w:r>
      <w:r w:rsidR="00463B33">
        <w:t>is</w:t>
      </w:r>
      <w:r w:rsidRPr="00354017">
        <w:t xml:space="preserve"> uncertain because</w:t>
      </w:r>
      <w:r w:rsidR="00354017">
        <w:t xml:space="preserve"> th</w:t>
      </w:r>
      <w:r w:rsidRPr="00F52B1D">
        <w:t xml:space="preserve">e trial was not powered to </w:t>
      </w:r>
      <w:r w:rsidRPr="00354017">
        <w:rPr>
          <w:iCs/>
        </w:rPr>
        <w:t xml:space="preserve">assess </w:t>
      </w:r>
      <w:r w:rsidRPr="00354017">
        <w:rPr>
          <w:rFonts w:ascii="Calibri" w:hAnsi="Calibri" w:cs="Calibri"/>
          <w:iCs/>
        </w:rPr>
        <w:t>efficacy within individual subgroups.</w:t>
      </w:r>
      <w:r w:rsidRPr="00F52B1D">
        <w:t xml:space="preserve"> </w:t>
      </w:r>
      <w:r w:rsidRPr="00354017">
        <w:rPr>
          <w:rFonts w:ascii="Calibri" w:hAnsi="Calibri" w:cs="Calibri"/>
          <w:iCs/>
        </w:rPr>
        <w:t>Furthermore, BRCA1/2 status was not a stratification factor in PROfound and baseline imbalances between the two treatment arms (</w:t>
      </w:r>
      <w:r w:rsidR="001579DF" w:rsidRPr="00354017">
        <w:rPr>
          <w:rFonts w:ascii="Calibri" w:hAnsi="Calibri" w:cs="Calibri"/>
          <w:iCs/>
        </w:rPr>
        <w:t>e.g.</w:t>
      </w:r>
      <w:r w:rsidRPr="00354017">
        <w:rPr>
          <w:rFonts w:ascii="Calibri" w:hAnsi="Calibri" w:cs="Calibri"/>
          <w:iCs/>
        </w:rPr>
        <w:t>, on ECOG status, PSA levels and prior taxane use) were detected, which may bias results.</w:t>
      </w:r>
    </w:p>
    <w:p w14:paraId="026C9BC8" w14:textId="77777777" w:rsidR="00354017" w:rsidRPr="008A4199" w:rsidRDefault="00A042A9" w:rsidP="00A2713C">
      <w:pPr>
        <w:pStyle w:val="ListParagraph"/>
        <w:ind w:left="709"/>
        <w:rPr>
          <w:color w:val="auto"/>
        </w:rPr>
      </w:pPr>
      <w:r w:rsidRPr="00F52B1D">
        <w:t xml:space="preserve">In the BRCA1/2 subgroup, 69% of patients in the NHA arm switched to subsequent olaparib treatment post disease progression. This means the unadjusted OS result (HR =0.63, 95%CI: 0.42, 0.95) would bias against olaparib, and analyses to adjust treatment switching were used to correct for this bias. The resubmission’s preferred method, RPSFTM with recensoring, estimated a significantly lower HR of 0.28 (95%CI: 0.10, 0.79). </w:t>
      </w:r>
    </w:p>
    <w:p w14:paraId="1BA0EAF3" w14:textId="77777777" w:rsidR="00A042A9" w:rsidRPr="00F52B1D" w:rsidRDefault="00A042A9" w:rsidP="00A2713C">
      <w:pPr>
        <w:pStyle w:val="ListParagraph"/>
        <w:ind w:left="709"/>
        <w:rPr>
          <w:color w:val="auto"/>
        </w:rPr>
      </w:pPr>
      <w:r w:rsidRPr="00CA4838">
        <w:rPr>
          <w:color w:val="auto"/>
        </w:rPr>
        <w:t xml:space="preserve">The resubmission claimed that olaparib was superior to cabazitaxel with respect to both effectiveness and safety. </w:t>
      </w:r>
    </w:p>
    <w:p w14:paraId="076234F7" w14:textId="77777777" w:rsidR="00A042A9" w:rsidRDefault="00A042A9" w:rsidP="00A2713C">
      <w:pPr>
        <w:pStyle w:val="ListParagraph"/>
        <w:ind w:left="709"/>
      </w:pPr>
      <w:r w:rsidRPr="00F52B1D">
        <w:t xml:space="preserve">Based on the ITCs comparing olaparib (data from PROfound) with cabazitaxel (data from CARD) through the common treatment arm of NHA, the resubmission’s claim of superior efficacy and safety against cabazitaxel may not be reasonable, mainly due to important differences in baseline </w:t>
      </w:r>
      <w:r w:rsidR="001579DF" w:rsidRPr="00F52B1D">
        <w:t>characteristics</w:t>
      </w:r>
      <w:r w:rsidRPr="00F52B1D">
        <w:t xml:space="preserve"> between the two trial populations which could not be adjusted for and the unreliable survival results in the small post</w:t>
      </w:r>
      <w:r w:rsidR="00881C2E">
        <w:noBreakHyphen/>
      </w:r>
      <w:r w:rsidRPr="00F52B1D">
        <w:t>hoc subgroup of BRCA1/2 patients with prior taxane treatment in PROfound.</w:t>
      </w:r>
      <w:r w:rsidR="00FC227C" w:rsidRPr="00FC227C">
        <w:t xml:space="preserve"> </w:t>
      </w:r>
      <w:r w:rsidR="00FC227C" w:rsidRPr="00F52B1D">
        <w:t>Therefore, it may be more appropriate to use the comparative results of olaparib vs. NHAs in PROfound to represent estimates of effectiveness of olaparib over a mixed comparator, as per the PBAC’s prior advice (paragraphs 5.3,5.4, olaparib PSD, Mar 2021).</w:t>
      </w:r>
      <w:r w:rsidR="00CC7EB2" w:rsidRPr="00CC7EB2">
        <w:rPr>
          <w:lang w:eastAsia="en-US"/>
        </w:rPr>
        <w:t xml:space="preserve"> </w:t>
      </w:r>
      <w:r w:rsidR="00CC7EB2" w:rsidRPr="00266EE3">
        <w:rPr>
          <w:lang w:eastAsia="en-US"/>
        </w:rPr>
        <w:t>The</w:t>
      </w:r>
      <w:r w:rsidR="00CC7EB2" w:rsidRPr="00266EE3">
        <w:rPr>
          <w:color w:val="auto"/>
        </w:rPr>
        <w:t xml:space="preserve"> PSCR accepted t</w:t>
      </w:r>
      <w:r w:rsidR="00CC7EB2" w:rsidRPr="00266EE3">
        <w:rPr>
          <w:lang w:eastAsia="en-US"/>
        </w:rPr>
        <w:t>he</w:t>
      </w:r>
      <w:r w:rsidR="00CC7EB2" w:rsidRPr="00F52B1D">
        <w:rPr>
          <w:lang w:eastAsia="en-US"/>
        </w:rPr>
        <w:t xml:space="preserve"> claim of non-inferior safety may be more appropriate given the safety ITC was unadjusted and based on the ITT populations in the two trials.</w:t>
      </w:r>
    </w:p>
    <w:p w14:paraId="5D969330" w14:textId="77777777" w:rsidR="007904FB" w:rsidRPr="008A4199" w:rsidRDefault="007904FB" w:rsidP="007904FB">
      <w:pPr>
        <w:pStyle w:val="ListParagraph"/>
        <w:ind w:left="709"/>
      </w:pPr>
      <w:bookmarkStart w:id="51" w:name="_Hlk76376200"/>
      <w:r w:rsidRPr="008A4199">
        <w:t xml:space="preserve">The PBAC considered that the claim of superior comparative effectiveness </w:t>
      </w:r>
      <w:r w:rsidR="00354017" w:rsidRPr="008A4199">
        <w:t xml:space="preserve">versus the mixed comparator (75% BSC and 25% cabazitaxel) </w:t>
      </w:r>
      <w:r w:rsidRPr="008A4199">
        <w:t>was reasonable.</w:t>
      </w:r>
    </w:p>
    <w:p w14:paraId="3FC74830" w14:textId="16CC1A87" w:rsidR="007904FB" w:rsidRPr="00F52B1D" w:rsidRDefault="007904FB" w:rsidP="0030433E">
      <w:pPr>
        <w:pStyle w:val="ListParagraph"/>
        <w:ind w:left="709"/>
      </w:pPr>
      <w:r w:rsidRPr="008A4199">
        <w:t>The PBAC considered that the claim of inferior</w:t>
      </w:r>
      <w:r w:rsidR="00354017" w:rsidRPr="008A4199">
        <w:t xml:space="preserve"> comparative safety compared with BSC was reasonable</w:t>
      </w:r>
      <w:r w:rsidR="00CC7EB2">
        <w:t xml:space="preserve">. </w:t>
      </w:r>
      <w:r w:rsidR="0065050D">
        <w:t xml:space="preserve">The PBAC considered that </w:t>
      </w:r>
      <w:r w:rsidR="00354017" w:rsidRPr="008A4199">
        <w:t xml:space="preserve">the claim of </w:t>
      </w:r>
      <w:r w:rsidRPr="008A4199">
        <w:t>non-inferior</w:t>
      </w:r>
      <w:r w:rsidR="00CC7EB2">
        <w:t xml:space="preserve"> </w:t>
      </w:r>
      <w:r w:rsidR="00CC7EB2" w:rsidRPr="008A4199">
        <w:t>safety compared with taxane chemotherapy was reasonable, noting that the</w:t>
      </w:r>
      <w:r w:rsidR="00CC7EB2">
        <w:t>ir</w:t>
      </w:r>
      <w:r w:rsidR="00CC7EB2" w:rsidRPr="008A4199">
        <w:t xml:space="preserve"> safety profile</w:t>
      </w:r>
      <w:r w:rsidR="003F554B">
        <w:t>s</w:t>
      </w:r>
      <w:r w:rsidR="00CC7EB2">
        <w:t xml:space="preserve"> are </w:t>
      </w:r>
      <w:r w:rsidR="00CC7EB2" w:rsidRPr="008A4199">
        <w:t>different</w:t>
      </w:r>
      <w:r w:rsidR="00CC7EB2">
        <w:t>.</w:t>
      </w:r>
      <w:bookmarkEnd w:id="51"/>
    </w:p>
    <w:p w14:paraId="5B292616" w14:textId="77777777" w:rsidR="00A042A9" w:rsidRPr="00877118" w:rsidRDefault="00A042A9" w:rsidP="00A042A9">
      <w:pPr>
        <w:pStyle w:val="4-SubsectionHeading"/>
        <w:rPr>
          <w:rFonts w:asciiTheme="minorHAnsi" w:hAnsiTheme="minorHAnsi"/>
        </w:rPr>
      </w:pPr>
      <w:bookmarkStart w:id="52" w:name="_Toc497226191"/>
      <w:bookmarkEnd w:id="50"/>
      <w:r w:rsidRPr="00877118">
        <w:rPr>
          <w:rFonts w:asciiTheme="minorHAnsi" w:hAnsiTheme="minorHAnsi"/>
          <w:color w:val="auto"/>
        </w:rPr>
        <w:t>Economic analysis</w:t>
      </w:r>
      <w:bookmarkEnd w:id="52"/>
    </w:p>
    <w:p w14:paraId="54A7133A" w14:textId="77777777" w:rsidR="00A042A9" w:rsidRPr="00F52B1D" w:rsidRDefault="00A042A9" w:rsidP="00A2713C">
      <w:pPr>
        <w:pStyle w:val="ListParagraph"/>
        <w:ind w:left="709"/>
      </w:pPr>
      <w:r w:rsidRPr="00F52B1D">
        <w:t xml:space="preserve">In March 2021, the PBAC advised (paragraphs 7.11 and 7.14, olaparib PSD, March 2021) that a revised model </w:t>
      </w:r>
      <w:r w:rsidR="00BA0775">
        <w:t>wa</w:t>
      </w:r>
      <w:r w:rsidRPr="00F52B1D">
        <w:t>s required, considering:</w:t>
      </w:r>
    </w:p>
    <w:p w14:paraId="28996DDD" w14:textId="77777777" w:rsidR="00A042A9" w:rsidRPr="00F52B1D" w:rsidRDefault="00A042A9" w:rsidP="00A042A9">
      <w:pPr>
        <w:pStyle w:val="PBACESParagraphBulletPoint"/>
        <w:spacing w:before="0" w:after="0"/>
        <w:ind w:left="1134"/>
      </w:pPr>
      <w:r w:rsidRPr="00F52B1D">
        <w:t>A test-treat structure to assess the consequences of less than perfect test performance;</w:t>
      </w:r>
    </w:p>
    <w:p w14:paraId="2118904D" w14:textId="77777777" w:rsidR="00A042A9" w:rsidRPr="00F52B1D" w:rsidRDefault="00A042A9" w:rsidP="00A042A9">
      <w:pPr>
        <w:pStyle w:val="PBACESParagraphBulletPoint"/>
        <w:spacing w:before="0" w:after="0"/>
        <w:ind w:left="1134"/>
      </w:pPr>
      <w:r w:rsidRPr="00F52B1D">
        <w:t xml:space="preserve">BSC, cabazitaxel as comparators. If NHA use was </w:t>
      </w:r>
      <w:r w:rsidR="006C606E" w:rsidRPr="00F52B1D">
        <w:t xml:space="preserve">to be </w:t>
      </w:r>
      <w:r w:rsidRPr="00F52B1D">
        <w:t>considered a proxy for BSC, the costs associated with NHA use should be removed;</w:t>
      </w:r>
    </w:p>
    <w:p w14:paraId="4664ABB8" w14:textId="77777777" w:rsidR="00A042A9" w:rsidRPr="00F52B1D" w:rsidRDefault="00A042A9" w:rsidP="00A042A9">
      <w:pPr>
        <w:pStyle w:val="PBACESParagraphBulletPoint"/>
        <w:spacing w:before="0" w:after="0"/>
        <w:ind w:left="1134"/>
      </w:pPr>
      <w:r w:rsidRPr="00F52B1D">
        <w:t>5 year time horizon;</w:t>
      </w:r>
    </w:p>
    <w:p w14:paraId="1F1C9234" w14:textId="77777777" w:rsidR="00A042A9" w:rsidRPr="00F52B1D" w:rsidRDefault="00BA0775" w:rsidP="00A042A9">
      <w:pPr>
        <w:pStyle w:val="PBACESParagraphBulletPoint"/>
        <w:spacing w:before="0" w:after="0"/>
        <w:ind w:left="1134"/>
      </w:pPr>
      <w:r>
        <w:t>T</w:t>
      </w:r>
      <w:r w:rsidR="00A042A9" w:rsidRPr="00F52B1D">
        <w:t>he material uncertainty about the treatment effect for OS used in the model. The model had applied OS HR adjusted for treatment switching (RPSFTM with recensoring, HR=0.28) which was considerably lower than the unadjusted OS (HR=0.63) and the adjusted value from the RPSFTM model without recensoring (HR=0.37);</w:t>
      </w:r>
    </w:p>
    <w:p w14:paraId="26219EFF" w14:textId="77777777" w:rsidR="00A042A9" w:rsidRPr="00F52B1D" w:rsidRDefault="00A042A9" w:rsidP="00A042A9">
      <w:pPr>
        <w:pStyle w:val="PBACESParagraphBulletPoint"/>
        <w:spacing w:before="0" w:after="0"/>
        <w:ind w:left="1134"/>
      </w:pPr>
      <w:r w:rsidRPr="00F52B1D">
        <w:t>Use time on treatment extrapolation more representative of the model population</w:t>
      </w:r>
      <w:r w:rsidR="00BA0775">
        <w:t>;</w:t>
      </w:r>
    </w:p>
    <w:p w14:paraId="72DD68C3" w14:textId="77777777" w:rsidR="00A042A9" w:rsidRPr="00F52B1D" w:rsidRDefault="00A042A9" w:rsidP="00A042A9">
      <w:pPr>
        <w:pStyle w:val="PBACESParagraphBulletPoint"/>
        <w:spacing w:before="0" w:after="0"/>
        <w:ind w:left="1134"/>
      </w:pPr>
      <w:r w:rsidRPr="00F52B1D">
        <w:t>Alternate utility values, utility values in the model although trial based were high compared to other estimates in the literature; and</w:t>
      </w:r>
    </w:p>
    <w:p w14:paraId="3308EFA9" w14:textId="77777777" w:rsidR="00A042A9" w:rsidRPr="00F52B1D" w:rsidRDefault="00A042A9" w:rsidP="00B55BD3">
      <w:pPr>
        <w:pStyle w:val="PBACESParagraphBulletPoint"/>
        <w:ind w:left="1134"/>
      </w:pPr>
      <w:r w:rsidRPr="00F52B1D">
        <w:t xml:space="preserve">Present an ICER of less than </w:t>
      </w:r>
      <w:r w:rsidR="00B55BD3" w:rsidRPr="00B55BD3">
        <w:t xml:space="preserve">$55,000 to &lt; $75,000 </w:t>
      </w:r>
      <w:r w:rsidRPr="00F52B1D">
        <w:t>per QALY.</w:t>
      </w:r>
    </w:p>
    <w:p w14:paraId="78DEF2BE" w14:textId="77777777" w:rsidR="00A042A9" w:rsidRPr="00F52B1D" w:rsidRDefault="00A042A9" w:rsidP="00A2713C">
      <w:pPr>
        <w:pStyle w:val="ListParagraph"/>
        <w:ind w:left="709"/>
      </w:pPr>
      <w:r w:rsidRPr="00F52B1D">
        <w:t>The MSAC also requested that cost of additional germline and cascade testing should be included in the economic evaluation (P4, MSAC 1618 PSD, March 2021).</w:t>
      </w:r>
    </w:p>
    <w:p w14:paraId="1C1366C0" w14:textId="77777777" w:rsidR="00A042A9" w:rsidRPr="00F52B1D" w:rsidRDefault="00A042A9" w:rsidP="00A2713C">
      <w:pPr>
        <w:pStyle w:val="ListParagraph"/>
        <w:ind w:left="709"/>
      </w:pPr>
      <w:r w:rsidRPr="00F52B1D">
        <w:t xml:space="preserve">The resubmission presented a new stepped economic evaluation including the requested changes, except for: i) a more reliable treatment effect for OS, ii) a 5 year time horizon, iii) alternate utility values and iv) cost of cascade testing. </w:t>
      </w:r>
    </w:p>
    <w:p w14:paraId="2F5993D1" w14:textId="77777777" w:rsidR="00A042A9" w:rsidRPr="00CA4838" w:rsidRDefault="00A042A9" w:rsidP="00A2713C">
      <w:pPr>
        <w:pStyle w:val="ListParagraph"/>
        <w:ind w:left="709"/>
      </w:pPr>
      <w:r w:rsidRPr="00CA4838">
        <w:t xml:space="preserve">The new model was based on the PROfound trial, comparing two test-treat scenarios for mCRPC </w:t>
      </w:r>
      <w:r w:rsidRPr="00AB515A">
        <w:rPr>
          <w:iCs/>
        </w:rPr>
        <w:t>patients</w:t>
      </w:r>
      <w:r w:rsidRPr="00CA4838">
        <w:t xml:space="preserve"> who have failed previous treatment with NHA:</w:t>
      </w:r>
    </w:p>
    <w:p w14:paraId="1A887805" w14:textId="77777777" w:rsidR="00A042A9" w:rsidRPr="00FF4741" w:rsidRDefault="00A042A9" w:rsidP="00A042A9">
      <w:pPr>
        <w:pStyle w:val="PBACESParagraphBulletPoint"/>
        <w:spacing w:before="0" w:after="0"/>
        <w:ind w:left="1134"/>
      </w:pPr>
      <w:r w:rsidRPr="00CA4838">
        <w:t xml:space="preserve">Proposed scenario: patients are </w:t>
      </w:r>
      <w:r w:rsidRPr="00FF4741">
        <w:t xml:space="preserve">tested for </w:t>
      </w:r>
      <w:r w:rsidRPr="00AB515A">
        <w:t>BRCA1/2</w:t>
      </w:r>
      <w:r w:rsidRPr="00FF4741">
        <w:t xml:space="preserve"> pathogenic variants and those with </w:t>
      </w:r>
      <w:r w:rsidRPr="00AB515A">
        <w:t>BRCA1/2</w:t>
      </w:r>
      <w:r w:rsidRPr="00FF4741">
        <w:t xml:space="preserve"> pathogenic gene variants receive olaparib, those without receive standard of care (SOC), vs</w:t>
      </w:r>
    </w:p>
    <w:p w14:paraId="0071090C" w14:textId="77777777" w:rsidR="00A042A9" w:rsidRPr="00CA4838" w:rsidRDefault="00A042A9" w:rsidP="00A042A9">
      <w:pPr>
        <w:pStyle w:val="PBACESParagraphBulletPoint"/>
        <w:spacing w:before="0" w:after="0"/>
        <w:ind w:left="1134"/>
      </w:pPr>
      <w:r w:rsidRPr="00CA4838">
        <w:t>Current scenario: where all patients receive SOC (75%</w:t>
      </w:r>
      <w:r w:rsidR="00205338">
        <w:t xml:space="preserve"> </w:t>
      </w:r>
      <w:r w:rsidRPr="00CA4838">
        <w:t xml:space="preserve">BSC, 25% cabazitaxel) </w:t>
      </w:r>
    </w:p>
    <w:p w14:paraId="0B74D1CD" w14:textId="77777777" w:rsidR="00A042A9" w:rsidRPr="00CA4838" w:rsidRDefault="00A042A9" w:rsidP="00A2713C">
      <w:pPr>
        <w:pStyle w:val="ListParagraph"/>
        <w:ind w:left="709"/>
      </w:pPr>
      <w:r w:rsidRPr="00CA4838">
        <w:t xml:space="preserve">Key components of the new model and differences from the March 2021 model are </w:t>
      </w:r>
      <w:r w:rsidRPr="00F52B1D">
        <w:t>summarised</w:t>
      </w:r>
      <w:r w:rsidRPr="00CA4838">
        <w:t xml:space="preserve"> in the following table.</w:t>
      </w:r>
    </w:p>
    <w:p w14:paraId="1BA1610B" w14:textId="77777777" w:rsidR="00A042A9" w:rsidRPr="00CA4838" w:rsidRDefault="00A042A9" w:rsidP="00AB515A">
      <w:pPr>
        <w:pStyle w:val="Caption"/>
        <w:keepLines/>
      </w:pPr>
      <w:r>
        <w:t xml:space="preserve">Table </w:t>
      </w:r>
      <w:r w:rsidR="007C5E46">
        <w:rPr>
          <w:noProof/>
        </w:rPr>
        <w:t>10</w:t>
      </w:r>
      <w:r w:rsidR="004A4197">
        <w:rPr>
          <w:noProof/>
        </w:rPr>
        <w:t>:</w:t>
      </w:r>
      <w:r w:rsidRPr="00CA4838">
        <w:t xml:space="preserve">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Summary of model structure and rationale"/>
      </w:tblPr>
      <w:tblGrid>
        <w:gridCol w:w="1445"/>
        <w:gridCol w:w="2378"/>
        <w:gridCol w:w="2268"/>
        <w:gridCol w:w="2925"/>
      </w:tblGrid>
      <w:tr w:rsidR="00A042A9" w:rsidRPr="00F52B1D" w14:paraId="1BCBAF13" w14:textId="77777777" w:rsidTr="008A4199">
        <w:trPr>
          <w:tblHeader/>
        </w:trPr>
        <w:tc>
          <w:tcPr>
            <w:tcW w:w="801" w:type="pct"/>
            <w:shd w:val="clear" w:color="auto" w:fill="auto"/>
            <w:vAlign w:val="bottom"/>
          </w:tcPr>
          <w:p w14:paraId="1914B17C" w14:textId="77777777" w:rsidR="00A042A9" w:rsidRPr="00F52B1D" w:rsidRDefault="00A042A9" w:rsidP="00AB515A">
            <w:pPr>
              <w:pStyle w:val="TableText"/>
              <w:keepNext/>
              <w:keepLines/>
              <w:rPr>
                <w:b/>
              </w:rPr>
            </w:pPr>
            <w:r w:rsidRPr="00F52B1D">
              <w:rPr>
                <w:b/>
              </w:rPr>
              <w:t>Component</w:t>
            </w:r>
          </w:p>
        </w:tc>
        <w:tc>
          <w:tcPr>
            <w:tcW w:w="1319" w:type="pct"/>
          </w:tcPr>
          <w:p w14:paraId="49E9B302" w14:textId="77777777" w:rsidR="00A042A9" w:rsidRPr="00F52B1D" w:rsidRDefault="00A042A9" w:rsidP="00AB515A">
            <w:pPr>
              <w:pStyle w:val="TableText"/>
              <w:keepNext/>
              <w:keepLines/>
              <w:rPr>
                <w:b/>
              </w:rPr>
            </w:pPr>
            <w:r w:rsidRPr="00F52B1D">
              <w:rPr>
                <w:b/>
              </w:rPr>
              <w:t>March 2021</w:t>
            </w:r>
          </w:p>
        </w:tc>
        <w:tc>
          <w:tcPr>
            <w:tcW w:w="1258" w:type="pct"/>
            <w:shd w:val="clear" w:color="auto" w:fill="auto"/>
            <w:vAlign w:val="bottom"/>
          </w:tcPr>
          <w:p w14:paraId="25852477" w14:textId="77777777" w:rsidR="00A042A9" w:rsidRPr="00F52B1D" w:rsidRDefault="00A042A9" w:rsidP="00AB515A">
            <w:pPr>
              <w:pStyle w:val="TableText"/>
              <w:keepNext/>
              <w:keepLines/>
              <w:rPr>
                <w:b/>
              </w:rPr>
            </w:pPr>
            <w:r w:rsidRPr="00F52B1D">
              <w:rPr>
                <w:b/>
              </w:rPr>
              <w:t>Current model</w:t>
            </w:r>
          </w:p>
        </w:tc>
        <w:tc>
          <w:tcPr>
            <w:tcW w:w="1622" w:type="pct"/>
            <w:vAlign w:val="center"/>
          </w:tcPr>
          <w:p w14:paraId="7FD4A505" w14:textId="77777777" w:rsidR="00A042A9" w:rsidRPr="00F52B1D" w:rsidRDefault="00A042A9" w:rsidP="00AB515A">
            <w:pPr>
              <w:pStyle w:val="TableText"/>
              <w:keepNext/>
              <w:keepLines/>
              <w:rPr>
                <w:b/>
              </w:rPr>
            </w:pPr>
            <w:r w:rsidRPr="00F52B1D">
              <w:rPr>
                <w:b/>
              </w:rPr>
              <w:t>Justification/comments</w:t>
            </w:r>
          </w:p>
        </w:tc>
      </w:tr>
      <w:tr w:rsidR="00A042A9" w:rsidRPr="00F52B1D" w14:paraId="7192A56F" w14:textId="77777777" w:rsidTr="008A4199">
        <w:tc>
          <w:tcPr>
            <w:tcW w:w="801" w:type="pct"/>
            <w:shd w:val="clear" w:color="auto" w:fill="auto"/>
            <w:vAlign w:val="center"/>
          </w:tcPr>
          <w:p w14:paraId="700821EC" w14:textId="77777777" w:rsidR="00A042A9" w:rsidRPr="00F52B1D" w:rsidRDefault="00A042A9" w:rsidP="00AB7459">
            <w:pPr>
              <w:pStyle w:val="TableText"/>
              <w:keepNext/>
            </w:pPr>
            <w:r w:rsidRPr="00F52B1D">
              <w:t>Comparator</w:t>
            </w:r>
          </w:p>
        </w:tc>
        <w:tc>
          <w:tcPr>
            <w:tcW w:w="1319" w:type="pct"/>
            <w:vAlign w:val="center"/>
          </w:tcPr>
          <w:p w14:paraId="030A5984" w14:textId="77777777" w:rsidR="00A042A9" w:rsidRPr="00F52B1D" w:rsidRDefault="00A042A9" w:rsidP="00AB7459">
            <w:pPr>
              <w:pStyle w:val="TableText"/>
              <w:keepNext/>
            </w:pPr>
            <w:r w:rsidRPr="00F52B1D">
              <w:t>Subsequent alternate NHA</w:t>
            </w:r>
          </w:p>
        </w:tc>
        <w:tc>
          <w:tcPr>
            <w:tcW w:w="1258" w:type="pct"/>
            <w:shd w:val="clear" w:color="auto" w:fill="auto"/>
            <w:vAlign w:val="center"/>
          </w:tcPr>
          <w:p w14:paraId="3F18DD51" w14:textId="77777777" w:rsidR="00A042A9" w:rsidRPr="00F52B1D" w:rsidRDefault="00A042A9" w:rsidP="00AB7459">
            <w:pPr>
              <w:pStyle w:val="TableText"/>
              <w:keepNext/>
            </w:pPr>
            <w:r w:rsidRPr="00F52B1D">
              <w:t>SOC (BSC 75%, cabazitaxel 25%)</w:t>
            </w:r>
          </w:p>
        </w:tc>
        <w:tc>
          <w:tcPr>
            <w:tcW w:w="1622" w:type="pct"/>
            <w:vAlign w:val="center"/>
          </w:tcPr>
          <w:p w14:paraId="37EF4764" w14:textId="77777777" w:rsidR="00A042A9" w:rsidRPr="00F52B1D" w:rsidRDefault="00A042A9" w:rsidP="00AB7459">
            <w:pPr>
              <w:pStyle w:val="TableText"/>
              <w:keepNext/>
            </w:pPr>
            <w:r w:rsidRPr="00F52B1D">
              <w:t>This was reasonable, although docetaxel may also be a relevant comparator given a likely high proportion of patients without prior docetaxel treatment.</w:t>
            </w:r>
          </w:p>
        </w:tc>
      </w:tr>
      <w:tr w:rsidR="00A042A9" w:rsidRPr="00F52B1D" w14:paraId="53AE559F" w14:textId="77777777" w:rsidTr="008A4199">
        <w:tc>
          <w:tcPr>
            <w:tcW w:w="801" w:type="pct"/>
            <w:shd w:val="clear" w:color="auto" w:fill="auto"/>
            <w:vAlign w:val="center"/>
          </w:tcPr>
          <w:p w14:paraId="21E198EC" w14:textId="77777777" w:rsidR="00A042A9" w:rsidRPr="00F52B1D" w:rsidRDefault="00A042A9" w:rsidP="00AB7459">
            <w:pPr>
              <w:pStyle w:val="TableText"/>
              <w:keepNext/>
            </w:pPr>
            <w:r w:rsidRPr="00F52B1D">
              <w:t>Time horizon</w:t>
            </w:r>
          </w:p>
        </w:tc>
        <w:tc>
          <w:tcPr>
            <w:tcW w:w="1319" w:type="pct"/>
            <w:vAlign w:val="center"/>
          </w:tcPr>
          <w:p w14:paraId="66B46A7A" w14:textId="77777777" w:rsidR="00A042A9" w:rsidRPr="00F52B1D" w:rsidRDefault="00A042A9" w:rsidP="00AB7459">
            <w:pPr>
              <w:pStyle w:val="TableText"/>
              <w:keepNext/>
            </w:pPr>
            <w:r w:rsidRPr="00F52B1D">
              <w:t>10 years in the base case</w:t>
            </w:r>
          </w:p>
        </w:tc>
        <w:tc>
          <w:tcPr>
            <w:tcW w:w="1258" w:type="pct"/>
            <w:shd w:val="clear" w:color="auto" w:fill="auto"/>
            <w:vAlign w:val="center"/>
          </w:tcPr>
          <w:p w14:paraId="3265B4DF" w14:textId="77777777" w:rsidR="00A042A9" w:rsidRPr="00F52B1D" w:rsidRDefault="00A042A9" w:rsidP="00AB7459">
            <w:pPr>
              <w:pStyle w:val="TableText"/>
              <w:keepNext/>
            </w:pPr>
            <w:r w:rsidRPr="00F52B1D">
              <w:t>7.5 years in the model base case versus 3 years in trial</w:t>
            </w:r>
          </w:p>
        </w:tc>
        <w:tc>
          <w:tcPr>
            <w:tcW w:w="1622" w:type="pct"/>
            <w:vAlign w:val="center"/>
          </w:tcPr>
          <w:p w14:paraId="02D88DBB" w14:textId="77777777" w:rsidR="00A042A9" w:rsidRPr="00F52B1D" w:rsidRDefault="00A042A9" w:rsidP="00AB7459">
            <w:pPr>
              <w:pStyle w:val="TableText"/>
              <w:keepNext/>
            </w:pPr>
            <w:r w:rsidRPr="00F52B1D">
              <w:t xml:space="preserve">The PBAC </w:t>
            </w:r>
            <w:r w:rsidR="00D01B8C">
              <w:t xml:space="preserve">previously </w:t>
            </w:r>
            <w:r w:rsidRPr="00F52B1D">
              <w:t>considered a 5-year time horizon would be more appropriate (para 7.11, olaparib PSD, March 2021).</w:t>
            </w:r>
          </w:p>
          <w:p w14:paraId="48C1F3AF" w14:textId="215047AE" w:rsidR="00A042A9" w:rsidRPr="00F52B1D" w:rsidRDefault="00A042A9" w:rsidP="000D1296">
            <w:pPr>
              <w:pStyle w:val="TableText"/>
              <w:keepNext/>
            </w:pPr>
            <w:r w:rsidRPr="00F52B1D">
              <w:t>Sponsor stated 5-years would not capture OL</w:t>
            </w:r>
            <w:r w:rsidR="003F554B">
              <w:t>A survival benefit</w:t>
            </w:r>
            <w:r w:rsidRPr="00F52B1D">
              <w:t xml:space="preserve"> based on the Weibull extrapolation accepted by NICE.</w:t>
            </w:r>
          </w:p>
        </w:tc>
      </w:tr>
      <w:tr w:rsidR="00A042A9" w:rsidRPr="00F52B1D" w14:paraId="17890D69" w14:textId="77777777" w:rsidTr="008A4199">
        <w:tc>
          <w:tcPr>
            <w:tcW w:w="801" w:type="pct"/>
            <w:shd w:val="clear" w:color="auto" w:fill="auto"/>
            <w:vAlign w:val="center"/>
          </w:tcPr>
          <w:p w14:paraId="62178575" w14:textId="77777777" w:rsidR="00A042A9" w:rsidRPr="00F52B1D" w:rsidRDefault="00A042A9" w:rsidP="00AB7459">
            <w:pPr>
              <w:pStyle w:val="TableText"/>
              <w:keepNext/>
              <w:rPr>
                <w:rFonts w:ascii="Times" w:hAnsi="Times"/>
              </w:rPr>
            </w:pPr>
            <w:r w:rsidRPr="00F52B1D">
              <w:t>Outcomes</w:t>
            </w:r>
          </w:p>
        </w:tc>
        <w:tc>
          <w:tcPr>
            <w:tcW w:w="1319" w:type="pct"/>
          </w:tcPr>
          <w:p w14:paraId="3B67CB65" w14:textId="77777777" w:rsidR="00A042A9" w:rsidRPr="00F52B1D" w:rsidRDefault="00A042A9" w:rsidP="00AB7459">
            <w:pPr>
              <w:pStyle w:val="TableText"/>
              <w:keepNext/>
            </w:pPr>
            <w:r w:rsidRPr="00F52B1D">
              <w:t>Progression-free years gained, life-years gained, quality-adjusted life years gained, AEs</w:t>
            </w:r>
          </w:p>
        </w:tc>
        <w:tc>
          <w:tcPr>
            <w:tcW w:w="1258" w:type="pct"/>
            <w:shd w:val="clear" w:color="auto" w:fill="auto"/>
            <w:vAlign w:val="center"/>
          </w:tcPr>
          <w:p w14:paraId="17F2BF21" w14:textId="77777777" w:rsidR="00A042A9" w:rsidRPr="00F52B1D" w:rsidRDefault="00A042A9" w:rsidP="00AB7459">
            <w:pPr>
              <w:pStyle w:val="TableText"/>
              <w:keepNext/>
              <w:rPr>
                <w:rFonts w:ascii="Times" w:hAnsi="Times"/>
                <w:szCs w:val="20"/>
              </w:rPr>
            </w:pPr>
            <w:r w:rsidRPr="00F52B1D">
              <w:t>No change</w:t>
            </w:r>
          </w:p>
        </w:tc>
        <w:tc>
          <w:tcPr>
            <w:tcW w:w="1622" w:type="pct"/>
            <w:vAlign w:val="center"/>
          </w:tcPr>
          <w:p w14:paraId="569B1BDF" w14:textId="77777777" w:rsidR="00A042A9" w:rsidRPr="00F52B1D" w:rsidRDefault="00A042A9" w:rsidP="00AB7459">
            <w:pPr>
              <w:pStyle w:val="TableText"/>
              <w:keepNext/>
            </w:pPr>
            <w:r w:rsidRPr="00F52B1D">
              <w:rPr>
                <w:iCs/>
              </w:rPr>
              <w:t>This was appropriate.</w:t>
            </w:r>
          </w:p>
        </w:tc>
      </w:tr>
      <w:tr w:rsidR="00A042A9" w:rsidRPr="00F52B1D" w14:paraId="0AECDB75" w14:textId="77777777" w:rsidTr="008A4199">
        <w:tc>
          <w:tcPr>
            <w:tcW w:w="801" w:type="pct"/>
            <w:shd w:val="clear" w:color="auto" w:fill="auto"/>
            <w:vAlign w:val="center"/>
          </w:tcPr>
          <w:p w14:paraId="7FD42EFC" w14:textId="77777777" w:rsidR="00A042A9" w:rsidRPr="00F52B1D" w:rsidRDefault="00A042A9" w:rsidP="00AB7459">
            <w:pPr>
              <w:pStyle w:val="TableText"/>
              <w:keepNext/>
              <w:rPr>
                <w:rFonts w:ascii="Times" w:hAnsi="Times"/>
              </w:rPr>
            </w:pPr>
            <w:r w:rsidRPr="00F52B1D">
              <w:t>Methods used to generate results</w:t>
            </w:r>
          </w:p>
        </w:tc>
        <w:tc>
          <w:tcPr>
            <w:tcW w:w="1319" w:type="pct"/>
            <w:vAlign w:val="center"/>
          </w:tcPr>
          <w:p w14:paraId="0A1B8272" w14:textId="77777777" w:rsidR="00A042A9" w:rsidRPr="00F52B1D" w:rsidRDefault="00A042A9" w:rsidP="00AB7459">
            <w:pPr>
              <w:pStyle w:val="TableText"/>
              <w:keepNext/>
            </w:pPr>
            <w:r w:rsidRPr="00F52B1D">
              <w:t>Partitioned survival model.</w:t>
            </w:r>
          </w:p>
        </w:tc>
        <w:tc>
          <w:tcPr>
            <w:tcW w:w="1258" w:type="pct"/>
            <w:shd w:val="clear" w:color="auto" w:fill="auto"/>
            <w:vAlign w:val="center"/>
          </w:tcPr>
          <w:p w14:paraId="5C67FD7E" w14:textId="77777777" w:rsidR="00A042A9" w:rsidRPr="00F52B1D" w:rsidRDefault="00A042A9" w:rsidP="00AB7459">
            <w:pPr>
              <w:pStyle w:val="TableText"/>
              <w:keepNext/>
            </w:pPr>
            <w:r w:rsidRPr="00F52B1D">
              <w:t>Decision tree</w:t>
            </w:r>
          </w:p>
          <w:p w14:paraId="1C74BFD0" w14:textId="77777777" w:rsidR="00A042A9" w:rsidRPr="00F52B1D" w:rsidRDefault="00A042A9" w:rsidP="00AB7459">
            <w:pPr>
              <w:pStyle w:val="TableText"/>
              <w:keepNext/>
            </w:pPr>
            <w:r w:rsidRPr="00F52B1D">
              <w:t>Partitioned survival model.</w:t>
            </w:r>
          </w:p>
        </w:tc>
        <w:tc>
          <w:tcPr>
            <w:tcW w:w="1622" w:type="pct"/>
            <w:vAlign w:val="center"/>
          </w:tcPr>
          <w:p w14:paraId="45EF5DC3" w14:textId="77777777" w:rsidR="00A042A9" w:rsidRPr="00F52B1D" w:rsidRDefault="00A042A9" w:rsidP="00AB7459">
            <w:pPr>
              <w:pStyle w:val="TableText"/>
              <w:keepNext/>
            </w:pPr>
            <w:r w:rsidRPr="00F52B1D">
              <w:t>This approach was reasonable, but did not include the implications of cascade testing nor time to receive test result.</w:t>
            </w:r>
          </w:p>
        </w:tc>
      </w:tr>
      <w:tr w:rsidR="00A042A9" w:rsidRPr="00F52B1D" w14:paraId="2AF9DDE9" w14:textId="77777777" w:rsidTr="008A4199">
        <w:tc>
          <w:tcPr>
            <w:tcW w:w="801" w:type="pct"/>
            <w:shd w:val="clear" w:color="auto" w:fill="auto"/>
            <w:vAlign w:val="center"/>
          </w:tcPr>
          <w:p w14:paraId="3BABD445" w14:textId="77777777" w:rsidR="00A042A9" w:rsidRPr="00F52B1D" w:rsidRDefault="00A042A9" w:rsidP="00AB7459">
            <w:pPr>
              <w:pStyle w:val="TableText"/>
              <w:keepNext/>
              <w:rPr>
                <w:rFonts w:ascii="Times" w:hAnsi="Times"/>
              </w:rPr>
            </w:pPr>
            <w:r w:rsidRPr="00F52B1D">
              <w:t>Health states</w:t>
            </w:r>
          </w:p>
        </w:tc>
        <w:tc>
          <w:tcPr>
            <w:tcW w:w="1319" w:type="pct"/>
          </w:tcPr>
          <w:p w14:paraId="49FB40D2" w14:textId="77777777" w:rsidR="00A042A9" w:rsidRPr="00F52B1D" w:rsidRDefault="00A042A9" w:rsidP="00AB7459">
            <w:pPr>
              <w:pStyle w:val="TableText"/>
              <w:keepNext/>
            </w:pPr>
            <w:r w:rsidRPr="00F52B1D">
              <w:t>Progression free (PF)</w:t>
            </w:r>
          </w:p>
          <w:p w14:paraId="46F28564" w14:textId="77777777" w:rsidR="00A042A9" w:rsidRPr="00F52B1D" w:rsidRDefault="00A042A9" w:rsidP="00AB7459">
            <w:pPr>
              <w:pStyle w:val="TableText"/>
              <w:keepNext/>
            </w:pPr>
            <w:r w:rsidRPr="00F52B1D">
              <w:t>Progressed disease (PD)</w:t>
            </w:r>
          </w:p>
          <w:p w14:paraId="60F423A5" w14:textId="77777777" w:rsidR="00A042A9" w:rsidRPr="00F52B1D" w:rsidRDefault="00A042A9" w:rsidP="00AB7459">
            <w:pPr>
              <w:pStyle w:val="TableText"/>
              <w:keepNext/>
            </w:pPr>
            <w:r w:rsidRPr="00F52B1D">
              <w:t>Death</w:t>
            </w:r>
          </w:p>
        </w:tc>
        <w:tc>
          <w:tcPr>
            <w:tcW w:w="1258" w:type="pct"/>
            <w:shd w:val="clear" w:color="auto" w:fill="auto"/>
            <w:vAlign w:val="center"/>
          </w:tcPr>
          <w:p w14:paraId="11085460" w14:textId="77777777" w:rsidR="00A042A9" w:rsidRPr="00F52B1D" w:rsidRDefault="00A042A9" w:rsidP="00AB7459">
            <w:pPr>
              <w:pStyle w:val="TableText"/>
              <w:keepNext/>
              <w:rPr>
                <w:rFonts w:ascii="Times" w:hAnsi="Times"/>
                <w:szCs w:val="20"/>
              </w:rPr>
            </w:pPr>
            <w:r w:rsidRPr="00F52B1D">
              <w:t>No change</w:t>
            </w:r>
          </w:p>
        </w:tc>
        <w:tc>
          <w:tcPr>
            <w:tcW w:w="1622" w:type="pct"/>
            <w:vAlign w:val="center"/>
          </w:tcPr>
          <w:p w14:paraId="07999BC7" w14:textId="77777777" w:rsidR="00A042A9" w:rsidRPr="00F52B1D" w:rsidRDefault="00A042A9" w:rsidP="00AB7459">
            <w:pPr>
              <w:pStyle w:val="TableText"/>
              <w:keepNext/>
            </w:pPr>
            <w:r w:rsidRPr="00F52B1D">
              <w:rPr>
                <w:iCs/>
              </w:rPr>
              <w:t>This was appropriate.</w:t>
            </w:r>
          </w:p>
        </w:tc>
      </w:tr>
      <w:tr w:rsidR="00A042A9" w:rsidRPr="00F52B1D" w14:paraId="2E0FD530" w14:textId="77777777" w:rsidTr="008A4199">
        <w:tc>
          <w:tcPr>
            <w:tcW w:w="801" w:type="pct"/>
            <w:shd w:val="clear" w:color="auto" w:fill="auto"/>
            <w:vAlign w:val="center"/>
          </w:tcPr>
          <w:p w14:paraId="4EC30B76" w14:textId="77777777" w:rsidR="00A042A9" w:rsidRPr="00F52B1D" w:rsidRDefault="00A042A9" w:rsidP="00ED665A">
            <w:pPr>
              <w:pStyle w:val="TableText"/>
              <w:rPr>
                <w:rFonts w:ascii="Times" w:hAnsi="Times"/>
              </w:rPr>
            </w:pPr>
            <w:r w:rsidRPr="00F52B1D">
              <w:t>Utilities</w:t>
            </w:r>
          </w:p>
        </w:tc>
        <w:tc>
          <w:tcPr>
            <w:tcW w:w="1319" w:type="pct"/>
          </w:tcPr>
          <w:p w14:paraId="2B9B8336" w14:textId="77777777" w:rsidR="00A042A9" w:rsidRPr="00F52B1D" w:rsidRDefault="00A042A9" w:rsidP="00ED665A">
            <w:pPr>
              <w:pStyle w:val="TableText"/>
            </w:pPr>
            <w:r w:rsidRPr="00F52B1D">
              <w:t>Health state utilities based on Cohort A PROfound data.</w:t>
            </w:r>
          </w:p>
          <w:p w14:paraId="08058430" w14:textId="77777777" w:rsidR="00A042A9" w:rsidRPr="00F52B1D" w:rsidRDefault="00A042A9" w:rsidP="00ED665A">
            <w:pPr>
              <w:pStyle w:val="TableText"/>
            </w:pPr>
            <w:r w:rsidRPr="00F52B1D">
              <w:t>Time to death disutilities estimated from PROfound data modelled separately</w:t>
            </w:r>
          </w:p>
          <w:p w14:paraId="56ACE98C" w14:textId="77777777" w:rsidR="00A042A9" w:rsidRPr="00F52B1D" w:rsidRDefault="00A042A9" w:rsidP="00ED665A">
            <w:pPr>
              <w:pStyle w:val="TableText"/>
            </w:pPr>
            <w:r w:rsidRPr="00F52B1D">
              <w:t>AE and SRE disutilities based on literature</w:t>
            </w:r>
          </w:p>
        </w:tc>
        <w:tc>
          <w:tcPr>
            <w:tcW w:w="1258" w:type="pct"/>
            <w:shd w:val="clear" w:color="auto" w:fill="auto"/>
            <w:vAlign w:val="center"/>
          </w:tcPr>
          <w:p w14:paraId="42887DF8" w14:textId="77777777" w:rsidR="00A042A9" w:rsidRPr="00F52B1D" w:rsidRDefault="00A042A9" w:rsidP="00ED665A">
            <w:pPr>
              <w:pStyle w:val="TableText"/>
              <w:rPr>
                <w:rFonts w:ascii="Times" w:hAnsi="Times"/>
              </w:rPr>
            </w:pPr>
            <w:r w:rsidRPr="00F52B1D">
              <w:t xml:space="preserve">No change </w:t>
            </w:r>
          </w:p>
        </w:tc>
        <w:tc>
          <w:tcPr>
            <w:tcW w:w="1622" w:type="pct"/>
            <w:vAlign w:val="center"/>
          </w:tcPr>
          <w:p w14:paraId="09557255" w14:textId="77777777" w:rsidR="00A042A9" w:rsidRPr="00F52B1D" w:rsidRDefault="00A042A9" w:rsidP="00ED665A">
            <w:pPr>
              <w:pStyle w:val="TableText"/>
            </w:pPr>
            <w:r w:rsidRPr="00F52B1D">
              <w:t>The PBAC had previously raised concern about utilities values from PROfound given they were much higher than those reported in the literature.</w:t>
            </w:r>
          </w:p>
        </w:tc>
      </w:tr>
      <w:tr w:rsidR="00A042A9" w:rsidRPr="00F52B1D" w14:paraId="27ADE6DC" w14:textId="77777777" w:rsidTr="008A4199">
        <w:tc>
          <w:tcPr>
            <w:tcW w:w="801" w:type="pct"/>
            <w:shd w:val="clear" w:color="auto" w:fill="auto"/>
            <w:vAlign w:val="center"/>
          </w:tcPr>
          <w:p w14:paraId="30724FA8" w14:textId="77777777" w:rsidR="00A042A9" w:rsidRPr="00F52B1D" w:rsidRDefault="00A042A9" w:rsidP="00ED665A">
            <w:pPr>
              <w:pStyle w:val="TableText"/>
              <w:rPr>
                <w:rFonts w:ascii="Times" w:hAnsi="Times"/>
              </w:rPr>
            </w:pPr>
            <w:r w:rsidRPr="00F52B1D">
              <w:t>Cycle length</w:t>
            </w:r>
          </w:p>
        </w:tc>
        <w:tc>
          <w:tcPr>
            <w:tcW w:w="1319" w:type="pct"/>
          </w:tcPr>
          <w:p w14:paraId="2C66A2DE" w14:textId="77777777" w:rsidR="00A042A9" w:rsidRPr="00F52B1D" w:rsidRDefault="00A042A9" w:rsidP="00ED665A">
            <w:pPr>
              <w:pStyle w:val="TableText"/>
            </w:pPr>
            <w:r w:rsidRPr="00F52B1D">
              <w:t>1 month, half cycle correction applied</w:t>
            </w:r>
          </w:p>
        </w:tc>
        <w:tc>
          <w:tcPr>
            <w:tcW w:w="1258" w:type="pct"/>
            <w:shd w:val="clear" w:color="auto" w:fill="auto"/>
            <w:vAlign w:val="center"/>
          </w:tcPr>
          <w:p w14:paraId="7882F962" w14:textId="77777777" w:rsidR="00A042A9" w:rsidRPr="00F52B1D" w:rsidRDefault="00A042A9" w:rsidP="00ED665A">
            <w:pPr>
              <w:pStyle w:val="TableText"/>
              <w:rPr>
                <w:rFonts w:ascii="Times" w:hAnsi="Times"/>
              </w:rPr>
            </w:pPr>
            <w:r w:rsidRPr="00F52B1D">
              <w:t>No change</w:t>
            </w:r>
          </w:p>
        </w:tc>
        <w:tc>
          <w:tcPr>
            <w:tcW w:w="1622" w:type="pct"/>
            <w:vAlign w:val="center"/>
          </w:tcPr>
          <w:p w14:paraId="53A62387" w14:textId="77777777" w:rsidR="00A042A9" w:rsidRPr="00F52B1D" w:rsidRDefault="00A042A9" w:rsidP="00ED665A">
            <w:pPr>
              <w:pStyle w:val="TableText"/>
            </w:pPr>
            <w:r w:rsidRPr="00F52B1D">
              <w:t>This was appropriate</w:t>
            </w:r>
          </w:p>
        </w:tc>
      </w:tr>
      <w:tr w:rsidR="00A042A9" w:rsidRPr="00F52B1D" w14:paraId="5B0BC8EB" w14:textId="77777777" w:rsidTr="008A4199">
        <w:tc>
          <w:tcPr>
            <w:tcW w:w="801" w:type="pct"/>
            <w:shd w:val="clear" w:color="auto" w:fill="auto"/>
            <w:vAlign w:val="center"/>
          </w:tcPr>
          <w:p w14:paraId="557E4037" w14:textId="77777777" w:rsidR="00A042A9" w:rsidRPr="00F52B1D" w:rsidRDefault="00A042A9" w:rsidP="00ED665A">
            <w:pPr>
              <w:pStyle w:val="TableText"/>
              <w:rPr>
                <w:rFonts w:ascii="Times" w:hAnsi="Times"/>
              </w:rPr>
            </w:pPr>
            <w:r w:rsidRPr="00F52B1D">
              <w:t>Transition probabilities</w:t>
            </w:r>
          </w:p>
        </w:tc>
        <w:tc>
          <w:tcPr>
            <w:tcW w:w="1319" w:type="pct"/>
            <w:vAlign w:val="center"/>
          </w:tcPr>
          <w:p w14:paraId="677263F5" w14:textId="77777777" w:rsidR="00A042A9" w:rsidRPr="00F52B1D" w:rsidRDefault="00A042A9" w:rsidP="00ED665A">
            <w:pPr>
              <w:pStyle w:val="TableText"/>
            </w:pPr>
            <w:r w:rsidRPr="00F52B1D">
              <w:t>No specific transition probabilities were modelled; health state allocation was determined by PFS and OS curves, which were based on PROfound data with extrapolation (NHA as proxy for BSC).</w:t>
            </w:r>
          </w:p>
        </w:tc>
        <w:tc>
          <w:tcPr>
            <w:tcW w:w="1258" w:type="pct"/>
            <w:shd w:val="clear" w:color="auto" w:fill="auto"/>
            <w:vAlign w:val="center"/>
          </w:tcPr>
          <w:p w14:paraId="2A719003" w14:textId="77777777" w:rsidR="00A042A9" w:rsidRPr="00F52B1D" w:rsidRDefault="00A042A9" w:rsidP="00ED665A">
            <w:pPr>
              <w:pStyle w:val="TableText"/>
            </w:pPr>
            <w:r w:rsidRPr="00F52B1D">
              <w:t>As for the March 2021 submission, however NHA from PROfound was used as proxy for BSC)</w:t>
            </w:r>
          </w:p>
          <w:p w14:paraId="61AE8D0B" w14:textId="77777777" w:rsidR="00A042A9" w:rsidRPr="00F52B1D" w:rsidRDefault="00A042A9" w:rsidP="00ED665A">
            <w:pPr>
              <w:pStyle w:val="TableText"/>
            </w:pPr>
            <w:r w:rsidRPr="00F52B1D">
              <w:t>For cabazitaxel, efficacy estimates were from MAIC with CARD trial using NHA as common comparator.</w:t>
            </w:r>
          </w:p>
        </w:tc>
        <w:tc>
          <w:tcPr>
            <w:tcW w:w="1622" w:type="pct"/>
            <w:vAlign w:val="center"/>
          </w:tcPr>
          <w:p w14:paraId="0065C38E" w14:textId="77777777" w:rsidR="00A042A9" w:rsidRPr="00F52B1D" w:rsidRDefault="00A042A9" w:rsidP="00ED665A">
            <w:pPr>
              <w:pStyle w:val="TableText"/>
              <w:rPr>
                <w:iCs/>
              </w:rPr>
            </w:pPr>
            <w:r w:rsidRPr="00F52B1D">
              <w:rPr>
                <w:iCs/>
              </w:rPr>
              <w:t xml:space="preserve">Partition survival modelling approach was appropriate, but </w:t>
            </w:r>
            <w:r w:rsidRPr="00F52B1D">
              <w:t>PBAC recommended the use of the NHA arm in PROfound as a proxy for standard care arm to avoid additional uncertainty from indirect treatment comparisons (para 5.4, olaparib PSD, March 2021).</w:t>
            </w:r>
          </w:p>
        </w:tc>
      </w:tr>
      <w:tr w:rsidR="00A042A9" w:rsidRPr="00F52B1D" w14:paraId="1337DC0E" w14:textId="77777777" w:rsidTr="008A4199">
        <w:tc>
          <w:tcPr>
            <w:tcW w:w="801" w:type="pct"/>
            <w:shd w:val="clear" w:color="auto" w:fill="auto"/>
            <w:vAlign w:val="center"/>
          </w:tcPr>
          <w:p w14:paraId="6E27D143" w14:textId="77777777" w:rsidR="00A042A9" w:rsidRPr="00F52B1D" w:rsidRDefault="00A042A9" w:rsidP="00ED665A">
            <w:pPr>
              <w:pStyle w:val="TableText"/>
            </w:pPr>
            <w:r w:rsidRPr="00F52B1D">
              <w:t>Test parameters</w:t>
            </w:r>
          </w:p>
        </w:tc>
        <w:tc>
          <w:tcPr>
            <w:tcW w:w="1319" w:type="pct"/>
            <w:vAlign w:val="center"/>
          </w:tcPr>
          <w:p w14:paraId="0893E32A" w14:textId="77777777" w:rsidR="00A042A9" w:rsidRPr="00F52B1D" w:rsidRDefault="00A042A9" w:rsidP="00ED665A">
            <w:pPr>
              <w:pStyle w:val="TableText"/>
            </w:pPr>
            <w:r w:rsidRPr="00F52B1D">
              <w:t>The model did not have a test -treat structure so had assumed perfect test performance.</w:t>
            </w:r>
          </w:p>
        </w:tc>
        <w:tc>
          <w:tcPr>
            <w:tcW w:w="1258" w:type="pct"/>
            <w:shd w:val="clear" w:color="auto" w:fill="auto"/>
            <w:vAlign w:val="center"/>
          </w:tcPr>
          <w:p w14:paraId="2C7E846C" w14:textId="77777777" w:rsidR="00A042A9" w:rsidRPr="00F52B1D" w:rsidRDefault="00A042A9" w:rsidP="00ED665A">
            <w:pPr>
              <w:pStyle w:val="TableText"/>
            </w:pPr>
            <w:r w:rsidRPr="00F52B1D">
              <w:t>Test accuracy: PROfound concordance study where sensitivity and specificity were both 100%</w:t>
            </w:r>
          </w:p>
        </w:tc>
        <w:tc>
          <w:tcPr>
            <w:tcW w:w="1622" w:type="pct"/>
            <w:vAlign w:val="center"/>
          </w:tcPr>
          <w:p w14:paraId="0CAAE5A0" w14:textId="77777777" w:rsidR="00A042A9" w:rsidRPr="00F52B1D" w:rsidRDefault="00A042A9" w:rsidP="00ED665A">
            <w:pPr>
              <w:pStyle w:val="TableText"/>
            </w:pPr>
            <w:r w:rsidRPr="00F52B1D">
              <w:t>Concordance study does not account for failed biopsies and missed somatic pathogenic variants. Sensitivity expected to be below 100%.</w:t>
            </w:r>
          </w:p>
        </w:tc>
      </w:tr>
      <w:tr w:rsidR="00A042A9" w:rsidRPr="00F52B1D" w14:paraId="75360E18" w14:textId="77777777" w:rsidTr="008A4199">
        <w:tc>
          <w:tcPr>
            <w:tcW w:w="801" w:type="pct"/>
            <w:shd w:val="clear" w:color="auto" w:fill="auto"/>
            <w:vAlign w:val="center"/>
          </w:tcPr>
          <w:p w14:paraId="6101D003" w14:textId="77777777" w:rsidR="00A042A9" w:rsidRPr="00F52B1D" w:rsidRDefault="00A042A9" w:rsidP="00ED665A">
            <w:pPr>
              <w:pStyle w:val="TableText"/>
            </w:pPr>
            <w:r w:rsidRPr="00F52B1D">
              <w:t>False positives/negatives</w:t>
            </w:r>
          </w:p>
        </w:tc>
        <w:tc>
          <w:tcPr>
            <w:tcW w:w="1319" w:type="pct"/>
            <w:vAlign w:val="center"/>
          </w:tcPr>
          <w:p w14:paraId="1D95F582" w14:textId="77777777" w:rsidR="00A042A9" w:rsidRPr="00F52B1D" w:rsidRDefault="00A042A9" w:rsidP="00ED665A">
            <w:pPr>
              <w:pStyle w:val="TableText"/>
            </w:pPr>
            <w:r w:rsidRPr="00F52B1D">
              <w:t>Assumed no false positive/negatives in base case.</w:t>
            </w:r>
          </w:p>
        </w:tc>
        <w:tc>
          <w:tcPr>
            <w:tcW w:w="1258" w:type="pct"/>
            <w:shd w:val="clear" w:color="auto" w:fill="auto"/>
            <w:vAlign w:val="center"/>
          </w:tcPr>
          <w:p w14:paraId="1CF83DB7" w14:textId="77777777" w:rsidR="00A042A9" w:rsidRPr="00F52B1D" w:rsidRDefault="00A042A9" w:rsidP="00ED665A">
            <w:pPr>
              <w:pStyle w:val="TableText"/>
            </w:pPr>
            <w:r w:rsidRPr="00F52B1D">
              <w:t>Test assumed to have no false positives/negatives in base case.</w:t>
            </w:r>
          </w:p>
          <w:p w14:paraId="7A6465E0" w14:textId="77777777" w:rsidR="00A042A9" w:rsidRPr="00F52B1D" w:rsidRDefault="00A042A9" w:rsidP="00ED665A">
            <w:pPr>
              <w:pStyle w:val="TableText"/>
            </w:pPr>
            <w:r w:rsidRPr="00F52B1D">
              <w:t>In sensitivity analyses, false negatives modelled as SOC, false positives same efficacy as SOC with 2 cycles of olaparib</w:t>
            </w:r>
          </w:p>
        </w:tc>
        <w:tc>
          <w:tcPr>
            <w:tcW w:w="1622" w:type="pct"/>
            <w:vAlign w:val="center"/>
          </w:tcPr>
          <w:p w14:paraId="78A53EC1" w14:textId="77777777" w:rsidR="00A042A9" w:rsidRPr="00F52B1D" w:rsidRDefault="00A042A9" w:rsidP="00ED665A">
            <w:pPr>
              <w:pStyle w:val="TableText"/>
            </w:pPr>
            <w:r w:rsidRPr="00F52B1D">
              <w:t>Failed biopsies and missed somatic pathogenic variants likely to result in false negatives.</w:t>
            </w:r>
          </w:p>
          <w:p w14:paraId="76656008" w14:textId="77777777" w:rsidR="00A042A9" w:rsidRPr="00F52B1D" w:rsidRDefault="00A042A9" w:rsidP="00ED665A">
            <w:pPr>
              <w:pStyle w:val="TableText"/>
            </w:pPr>
            <w:r w:rsidRPr="00F52B1D">
              <w:t xml:space="preserve">BRCA1/2 subgroup of PROfound were used to model patients with and without BRCA1/2 pathogenic variants. </w:t>
            </w:r>
          </w:p>
          <w:p w14:paraId="2A21FEBB" w14:textId="77777777" w:rsidR="00A042A9" w:rsidRPr="00F52B1D" w:rsidRDefault="00A042A9" w:rsidP="00ED665A">
            <w:pPr>
              <w:pStyle w:val="TableText"/>
            </w:pPr>
            <w:r w:rsidRPr="00F52B1D">
              <w:t>No justification was given for the limit of olaparib to 2 cycles for false positives.</w:t>
            </w:r>
          </w:p>
        </w:tc>
      </w:tr>
    </w:tbl>
    <w:p w14:paraId="35C79778" w14:textId="77777777" w:rsidR="00A042A9" w:rsidRPr="00CA4838" w:rsidRDefault="00A042A9" w:rsidP="00A042A9">
      <w:pPr>
        <w:pStyle w:val="TableFooter"/>
      </w:pPr>
      <w:r w:rsidRPr="00CA4838">
        <w:t>Source: compiled during the evaluation, Table 90, p283 of the resubmission</w:t>
      </w:r>
    </w:p>
    <w:p w14:paraId="450AAE09" w14:textId="77777777" w:rsidR="00A042A9" w:rsidRPr="00CA4838" w:rsidRDefault="00A042A9" w:rsidP="00A042A9">
      <w:pPr>
        <w:pStyle w:val="TableFooter"/>
      </w:pPr>
      <w:r w:rsidRPr="00CA4838">
        <w:t>AE=adverse events, NA=not applicable; OS=overall survival; PFS=progression-free survival, rPFS=radiographic progression free survival.</w:t>
      </w:r>
    </w:p>
    <w:p w14:paraId="45C36822" w14:textId="77777777" w:rsidR="00A042A9" w:rsidRPr="00CA4838" w:rsidRDefault="00A042A9" w:rsidP="00A2713C">
      <w:pPr>
        <w:pStyle w:val="ListParagraph"/>
        <w:ind w:left="709"/>
        <w:rPr>
          <w:i/>
        </w:rPr>
      </w:pPr>
      <w:r w:rsidRPr="00CA4838">
        <w:t>The modelled economic evaluation was a cost-utility analysis using a decision tree (for the testing component) followed by a partitioned survival model with three health states: progression free survival (PFS), progressed disease (PD), and death</w:t>
      </w:r>
      <w:r w:rsidRPr="00CA4838">
        <w:rPr>
          <w:noProof/>
        </w:rPr>
        <w:t>.</w:t>
      </w:r>
      <w:r w:rsidRPr="00CA4838">
        <w:t xml:space="preserve"> </w:t>
      </w:r>
      <w:r w:rsidRPr="00F52B1D">
        <w:t xml:space="preserve">While the model had adopted a test-treat structure, in the base case, both sensitivity and specificity of the BRCA1/2 test were set to 100%, thus the model base case assumed perfect test performance, which may not be appropriate (see </w:t>
      </w:r>
      <w:r w:rsidR="004C5427">
        <w:t xml:space="preserve">also paragraph </w:t>
      </w:r>
      <w:r w:rsidR="007C5E46">
        <w:t>6.87</w:t>
      </w:r>
      <w:r w:rsidRPr="00F52B1D">
        <w:t>).</w:t>
      </w:r>
    </w:p>
    <w:p w14:paraId="747ECA86" w14:textId="77777777" w:rsidR="00A042A9" w:rsidRPr="00F52B1D" w:rsidRDefault="00A042A9" w:rsidP="00B55BD3">
      <w:pPr>
        <w:pStyle w:val="ListParagraph"/>
        <w:ind w:left="709"/>
      </w:pPr>
      <w:r w:rsidRPr="00F52B1D">
        <w:t xml:space="preserve">No utility decrements were associated with testing in the model. Patients in the proposed scenario were assumed to receive one test for BRCA1/2 pathogenic variants with no time delay. This may not be realistic since somatic testing alone could take 4-6 weeks. In PROfound, somatic testing also failed in 31.0% of cases using archival tissue, and therefore patients may require a new biopsy followed by somatic testing or a germline test preceded by genetic counselling, all of which will result in delays to treatment. </w:t>
      </w:r>
      <w:r w:rsidR="00C24F04">
        <w:t xml:space="preserve">The PBAC considered that the submission’s estimate of </w:t>
      </w:r>
      <w:r w:rsidR="007B4A63">
        <w:t xml:space="preserve">the proportion of patients who are BRCA1/2 </w:t>
      </w:r>
      <w:r w:rsidR="00C80442">
        <w:t>positive</w:t>
      </w:r>
      <w:r w:rsidR="007B4A63">
        <w:t xml:space="preserve"> was high and that </w:t>
      </w:r>
      <w:r w:rsidR="007B4A63">
        <w:rPr>
          <w:snapToGrid w:val="0"/>
        </w:rPr>
        <w:t xml:space="preserve">the lower end of the range considered reasonable by MSAC (7%) should be applied in the economic evaluation and financial estimates (see also paragraph </w:t>
      </w:r>
      <w:r w:rsidR="007C5E46">
        <w:rPr>
          <w:snapToGrid w:val="0"/>
        </w:rPr>
        <w:t>4.4</w:t>
      </w:r>
      <w:r w:rsidR="007B4A63">
        <w:rPr>
          <w:snapToGrid w:val="0"/>
        </w:rPr>
        <w:t xml:space="preserve">). This change increased the ICER to </w:t>
      </w:r>
      <w:r w:rsidR="00B55BD3">
        <w:rPr>
          <w:snapToGrid w:val="0"/>
        </w:rPr>
        <w:t>$55,000 to &lt; $75,000</w:t>
      </w:r>
      <w:r w:rsidR="007B4A63">
        <w:rPr>
          <w:snapToGrid w:val="0"/>
        </w:rPr>
        <w:t>/QALY).</w:t>
      </w:r>
    </w:p>
    <w:p w14:paraId="3F2C5F48" w14:textId="77777777" w:rsidR="00A042A9" w:rsidRPr="00F52B1D" w:rsidRDefault="00A042A9" w:rsidP="00B55BD3">
      <w:pPr>
        <w:pStyle w:val="ListParagraph"/>
        <w:ind w:left="709"/>
      </w:pPr>
      <w:r w:rsidRPr="00F52B1D">
        <w:t>Cascade testing to identify family members of BRCA1/2 pathogenic variant positive patients was also not included in the model, which was not appropriate given MSAC had requested such costs be considered in the modelled economic evaluation (p4, 1618 PSD, March 2021).</w:t>
      </w:r>
      <w:r w:rsidR="00304547">
        <w:t xml:space="preserve"> </w:t>
      </w:r>
      <w:r w:rsidR="00C24F04" w:rsidRPr="00CA4838">
        <w:rPr>
          <w:color w:val="auto"/>
        </w:rPr>
        <w:t xml:space="preserve">The evaluation estimated </w:t>
      </w:r>
      <w:r w:rsidR="00C24F04">
        <w:rPr>
          <w:color w:val="auto"/>
        </w:rPr>
        <w:t>the I</w:t>
      </w:r>
      <w:r w:rsidR="00C24F04" w:rsidRPr="00CA4838">
        <w:rPr>
          <w:color w:val="auto"/>
        </w:rPr>
        <w:t xml:space="preserve">CER </w:t>
      </w:r>
      <w:r w:rsidR="00C24F04">
        <w:rPr>
          <w:color w:val="auto"/>
        </w:rPr>
        <w:t>would increase to</w:t>
      </w:r>
      <w:r w:rsidR="00C24F04" w:rsidRPr="00CA4838">
        <w:rPr>
          <w:color w:val="auto"/>
        </w:rPr>
        <w:t xml:space="preserve"> </w:t>
      </w:r>
      <w:r w:rsidR="00B55BD3">
        <w:rPr>
          <w:color w:val="auto"/>
        </w:rPr>
        <w:t>$55,000 to &lt; $75,000</w:t>
      </w:r>
      <w:r w:rsidR="00C24F04" w:rsidRPr="00CA4838">
        <w:rPr>
          <w:color w:val="auto"/>
        </w:rPr>
        <w:t xml:space="preserve">/QALY </w:t>
      </w:r>
      <w:r w:rsidR="00C24F04">
        <w:rPr>
          <w:color w:val="auto"/>
        </w:rPr>
        <w:t>where</w:t>
      </w:r>
      <w:r w:rsidR="00C24F04" w:rsidRPr="00CA4838">
        <w:rPr>
          <w:color w:val="auto"/>
        </w:rPr>
        <w:t xml:space="preserve"> cascade testing of 3 relatives</w:t>
      </w:r>
      <w:r w:rsidR="00C24F04">
        <w:rPr>
          <w:color w:val="auto"/>
        </w:rPr>
        <w:t xml:space="preserve"> was included. </w:t>
      </w:r>
    </w:p>
    <w:p w14:paraId="24501683" w14:textId="77777777" w:rsidR="00A042A9" w:rsidRPr="00CA4838" w:rsidRDefault="00A042A9" w:rsidP="00A042A9">
      <w:pPr>
        <w:pStyle w:val="TableHeading"/>
      </w:pPr>
      <w:bookmarkStart w:id="53" w:name="_Ref81773880"/>
      <w:r w:rsidRPr="00CA4838">
        <w:rPr>
          <w:bCs/>
        </w:rPr>
        <w:t xml:space="preserve">Figure </w:t>
      </w:r>
      <w:r w:rsidR="007C5E46">
        <w:rPr>
          <w:bCs/>
          <w:noProof/>
        </w:rPr>
        <w:t>2</w:t>
      </w:r>
      <w:bookmarkEnd w:id="53"/>
      <w:r w:rsidR="00D86DB5">
        <w:rPr>
          <w:bCs/>
          <w:noProof/>
        </w:rPr>
        <w:t>:</w:t>
      </w:r>
      <w:r w:rsidRPr="00CA4838">
        <w:rPr>
          <w:bCs/>
          <w:noProof/>
        </w:rPr>
        <w:t xml:space="preserve"> </w:t>
      </w:r>
      <w:r w:rsidRPr="00CA4838">
        <w:t>Structure of the decision tree model</w:t>
      </w:r>
    </w:p>
    <w:p w14:paraId="2F7C72C3" w14:textId="77777777" w:rsidR="00A042A9" w:rsidRPr="00CA4838" w:rsidRDefault="00A042A9" w:rsidP="00A042A9">
      <w:r w:rsidRPr="00CA4838">
        <w:rPr>
          <w:noProof/>
          <w:lang w:eastAsia="en-AU"/>
        </w:rPr>
        <w:drawing>
          <wp:inline distT="0" distB="0" distL="0" distR="0" wp14:anchorId="5459D42B" wp14:editId="08AF7DBF">
            <wp:extent cx="5731120" cy="2027582"/>
            <wp:effectExtent l="0" t="0" r="3175" b="0"/>
            <wp:docPr id="17" name="Picture 17" descr="Figure 2: Structure of the decision tre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2: Structure of the decision tree mod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820" cy="2028891"/>
                    </a:xfrm>
                    <a:prstGeom prst="rect">
                      <a:avLst/>
                    </a:prstGeom>
                    <a:noFill/>
                    <a:ln>
                      <a:noFill/>
                    </a:ln>
                  </pic:spPr>
                </pic:pic>
              </a:graphicData>
            </a:graphic>
          </wp:inline>
        </w:drawing>
      </w:r>
    </w:p>
    <w:p w14:paraId="544B6E24" w14:textId="77777777" w:rsidR="00A042A9" w:rsidRPr="00F52B1D" w:rsidRDefault="00A042A9" w:rsidP="00B55BD3">
      <w:pPr>
        <w:pStyle w:val="ListParagraph"/>
        <w:ind w:left="709"/>
      </w:pPr>
      <w:r w:rsidRPr="00CA4838">
        <w:t xml:space="preserve">The treatment component model structure was similar to the original submission. For both treatment arms (olaparib arm for patients with </w:t>
      </w:r>
      <w:r w:rsidRPr="00AB515A">
        <w:rPr>
          <w:iCs/>
        </w:rPr>
        <w:t>BRCA1/2</w:t>
      </w:r>
      <w:r w:rsidRPr="00CA4838">
        <w:t xml:space="preserve"> pathogenic variant in the proposed scenario; SOC arm for patients without </w:t>
      </w:r>
      <w:r w:rsidRPr="00AB515A">
        <w:rPr>
          <w:iCs/>
        </w:rPr>
        <w:t>BRCA1/2</w:t>
      </w:r>
      <w:r w:rsidRPr="00CA4838">
        <w:t xml:space="preserve"> pathogenic variants in the proposed scenario and all patients in current scenario), patients enter the model in the PF state, at the end of each cycle they either remain in the PF state, progress to PD or die. Patients in the PD health state either remain in that health state or die. </w:t>
      </w:r>
    </w:p>
    <w:p w14:paraId="6CCD49F8" w14:textId="77777777" w:rsidR="00A042A9" w:rsidRPr="00CA4838" w:rsidRDefault="00A042A9" w:rsidP="00A2713C">
      <w:pPr>
        <w:pStyle w:val="ListParagraph"/>
        <w:ind w:left="709"/>
      </w:pPr>
      <w:r w:rsidRPr="00CA4838">
        <w:t xml:space="preserve">The resubmission used a time horizon of 7.5 years, which the resubmission considered a compromise between the PBAC request of 5 years (para 7.11, olaparib PSD, March 2021) and the treatment effects of olaparib. </w:t>
      </w:r>
      <w:r w:rsidRPr="00F52B1D">
        <w:t>Reducing the time horizon to the requested 5 years resulted in a small increase in the ICER, as only 0.73% of patients in the proposed scenario and 0.0% o</w:t>
      </w:r>
      <w:r w:rsidR="0058384A">
        <w:t>f</w:t>
      </w:r>
      <w:r w:rsidRPr="00F52B1D">
        <w:t xml:space="preserve"> patients in the current scenario are alive at 5 years.</w:t>
      </w:r>
      <w:r w:rsidR="002B16DC">
        <w:t xml:space="preserve"> </w:t>
      </w:r>
    </w:p>
    <w:p w14:paraId="1A9BA8B4" w14:textId="77777777" w:rsidR="00A042A9" w:rsidRPr="00F52B1D" w:rsidRDefault="00A042A9" w:rsidP="00A2713C">
      <w:pPr>
        <w:pStyle w:val="ListParagraph"/>
        <w:ind w:left="709"/>
      </w:pPr>
      <w:r w:rsidRPr="00CA4838">
        <w:t xml:space="preserve">The population included in the modelled economic evaluation was updated from the March </w:t>
      </w:r>
      <w:r w:rsidRPr="00AB515A">
        <w:rPr>
          <w:iCs/>
        </w:rPr>
        <w:t>2021</w:t>
      </w:r>
      <w:r w:rsidRPr="00CA4838">
        <w:t xml:space="preserve"> submission and consisted of patients with mCRPC who had previously failed NHA, the test and treat structure meant the model should include results for both </w:t>
      </w:r>
      <w:r w:rsidRPr="00AB515A">
        <w:rPr>
          <w:iCs/>
        </w:rPr>
        <w:t>BRCA1/2</w:t>
      </w:r>
      <w:r w:rsidRPr="00CA4838">
        <w:t xml:space="preserve"> positive and negative patients. </w:t>
      </w:r>
      <w:r w:rsidR="007A18F0">
        <w:t>O</w:t>
      </w:r>
      <w:r w:rsidRPr="00F52B1D">
        <w:t>nly data from the subgroup of patients with BRCA1/2 pathogenic variants in PROfound were used to inform the model. This underestimated survival estimates for patients without BRCA1/2 pathogenic variants, but is unlikely to affect the incremental results. This population were also at least second line mCRPC, whereas in practice with NHA use occurring earlier in the treatment pathway, patients may become eligible for olaparib as first line treatment in mCRPC.</w:t>
      </w:r>
    </w:p>
    <w:p w14:paraId="60A3D3BC" w14:textId="77777777" w:rsidR="00A042A9" w:rsidRDefault="00A042A9" w:rsidP="00A2713C">
      <w:pPr>
        <w:pStyle w:val="ListParagraph"/>
        <w:ind w:left="709"/>
      </w:pPr>
      <w:r w:rsidRPr="00CA4838">
        <w:t xml:space="preserve">The resubmission relied on the same data and approach to extrapolating PFS and OS as the March 2021 submission. Only KM data from olaparib treated </w:t>
      </w:r>
      <w:r w:rsidRPr="00AB515A">
        <w:rPr>
          <w:iCs/>
        </w:rPr>
        <w:t>BRCA1/2</w:t>
      </w:r>
      <w:r w:rsidRPr="00FF4741">
        <w:rPr>
          <w:iCs/>
        </w:rPr>
        <w:t xml:space="preserve"> </w:t>
      </w:r>
      <w:r w:rsidRPr="00AB515A">
        <w:rPr>
          <w:iCs/>
        </w:rPr>
        <w:t>subgroup</w:t>
      </w:r>
      <w:r w:rsidRPr="00CA4838">
        <w:t xml:space="preserve"> of PROfound were used. Data from the NHA arm of PROfound were not used and the PFS and OS curves for SOC were instead estimated by applying HRs to olaparib data.</w:t>
      </w:r>
    </w:p>
    <w:p w14:paraId="07FEC50B" w14:textId="77777777" w:rsidR="000C0628" w:rsidRPr="00CA4838" w:rsidRDefault="00A042A9" w:rsidP="000C0628">
      <w:pPr>
        <w:pStyle w:val="ListParagraph"/>
        <w:ind w:left="709"/>
      </w:pPr>
      <w:r w:rsidRPr="00CA4838">
        <w:t xml:space="preserve">Data for </w:t>
      </w:r>
      <w:r w:rsidR="007A18F0">
        <w:t xml:space="preserve">the </w:t>
      </w:r>
      <w:r w:rsidRPr="00AB515A">
        <w:rPr>
          <w:iCs/>
        </w:rPr>
        <w:t>BRCA1/2</w:t>
      </w:r>
      <w:r w:rsidRPr="00CA4838">
        <w:t xml:space="preserve"> subgroup of the NHA arm of PROfound was used as a proxy for BSC whereas efficacy of olaparib versus cabazitaxel was based on an MAIC using data from the CARD trial. </w:t>
      </w:r>
      <w:r w:rsidRPr="00F52B1D">
        <w:t xml:space="preserve">The results of the MAIC are highly uncertain due to significant transitivity issues between PROfound (conducted in patients with HRR genes) and CARD (which was an all comers trial). </w:t>
      </w:r>
    </w:p>
    <w:p w14:paraId="53D9E021" w14:textId="77777777" w:rsidR="00A042A9" w:rsidRPr="00F52B1D" w:rsidRDefault="000C0628" w:rsidP="00AB515A">
      <w:pPr>
        <w:pStyle w:val="ListParagraph"/>
        <w:ind w:left="709"/>
      </w:pPr>
      <w:r w:rsidRPr="00F52B1D">
        <w:t>Graphs depicting extrapolated and observed data were presented in the resubmission, however they were not exhaustive, nor in a format that permitted easy assessment of the goodness of fit of the extrapolated functions versus observed. For this reason, numeric KM data were sought from the sponsor during the evaluation and the data provided were used to compare extrapolations and validate the model. Significant reprogramming of the model was also undertaken to generate the goodness of fit graphs since the model’s original structure only permitted one selected function to be displayed at any one time. Lastly, as some requested KM data were unable to be provided by the sponsor (e.g., PFS</w:t>
      </w:r>
      <w:r w:rsidR="00C22A12">
        <w:t>,</w:t>
      </w:r>
      <w:r w:rsidRPr="00F52B1D">
        <w:t xml:space="preserve"> OS from the CARD trial and PFS for BRCA1/2wt patients from PROfound), aspects of the modelled extrapolation were unable to be independently validated.</w:t>
      </w:r>
    </w:p>
    <w:p w14:paraId="68784779" w14:textId="77777777" w:rsidR="00A042A9" w:rsidRPr="00F52B1D" w:rsidRDefault="00A042A9" w:rsidP="00DB2410">
      <w:pPr>
        <w:pStyle w:val="ListParagraph"/>
        <w:ind w:left="709"/>
      </w:pPr>
      <w:r w:rsidRPr="00F52B1D">
        <w:t xml:space="preserve">It may </w:t>
      </w:r>
      <w:r w:rsidR="00832B7B">
        <w:t>have been</w:t>
      </w:r>
      <w:r w:rsidRPr="00F52B1D">
        <w:t xml:space="preserve"> more appropriate to consider the NHA arm of PROfound as proxy for a mixed comparator (BSC, cabazitaxel and docetaxel where patients had not previously received docetaxel). The PBAC had considered this a pragmatic option given transitivity issues with comparing data from the BRCA1/2 subgroup of PROfound and that derived with an all comers trial, where the BRCA status of participants are unknown (para 5.4, olaparib PSD, March 2021).</w:t>
      </w:r>
    </w:p>
    <w:p w14:paraId="695AE5F7" w14:textId="77777777" w:rsidR="00A042A9" w:rsidRPr="00CA4838" w:rsidRDefault="00A042A9" w:rsidP="00B55BD3">
      <w:pPr>
        <w:pStyle w:val="ListParagraph"/>
        <w:ind w:left="709"/>
      </w:pPr>
      <w:r w:rsidRPr="00CA4838">
        <w:t xml:space="preserve">The model </w:t>
      </w:r>
      <w:r w:rsidR="00304547" w:rsidRPr="00CA4838">
        <w:t>us</w:t>
      </w:r>
      <w:r w:rsidR="00304547">
        <w:t>ed</w:t>
      </w:r>
      <w:r w:rsidR="00304547" w:rsidRPr="00CA4838">
        <w:t xml:space="preserve"> </w:t>
      </w:r>
      <w:r w:rsidRPr="00CA4838">
        <w:t xml:space="preserve">fitted data from cycle 1, which is a deviation from the preferred approach of applying KM data until it becomes unreliable due to small numbers of patients remaining events free. The resubmission argued its approach was appropriate given the maturity of the data (i.e., 60.4% maturity with 148 events out of 245 patients for OS). </w:t>
      </w:r>
      <w:r w:rsidRPr="00F52B1D">
        <w:t xml:space="preserve">Sensitivity analysis conducted during the evaluation using KM followed by extrapolated data showed while the ICER did not significantly increase, it did increase above </w:t>
      </w:r>
      <w:r w:rsidR="00B55BD3" w:rsidRPr="00B55BD3">
        <w:t xml:space="preserve">$55,000 to &lt; $75,000 </w:t>
      </w:r>
      <w:r w:rsidRPr="00F52B1D">
        <w:t>per QALY gained.</w:t>
      </w:r>
    </w:p>
    <w:p w14:paraId="5F351BFB" w14:textId="77777777" w:rsidR="00A042A9" w:rsidRPr="00CA4838" w:rsidRDefault="00A042A9" w:rsidP="00DB2410">
      <w:pPr>
        <w:pStyle w:val="ListParagraph"/>
        <w:ind w:left="709"/>
      </w:pPr>
      <w:r w:rsidRPr="00CA4838">
        <w:t xml:space="preserve">The SOC arm assumed a mix of 75% BSC and 25% cabazitaxel, and its PFS and OS were estimated with weighted average HRs of olaparib versus NHA from PROfound (as proxy for BSC) and olaparib versus cabazitaxel from the MAIC. A summary of the included hazard ratios and methodology is given in the table below. To calculate the SOC extrapolations the inverse hazard ratios (1/HR) were applied to the olaparib extrapolations for PFS and OS. </w:t>
      </w:r>
    </w:p>
    <w:p w14:paraId="137F5191" w14:textId="77777777" w:rsidR="00CD28A8" w:rsidRDefault="00CD28A8">
      <w:pPr>
        <w:spacing w:before="0" w:line="259" w:lineRule="auto"/>
        <w:jc w:val="left"/>
        <w:rPr>
          <w:rFonts w:ascii="Arial Narrow" w:eastAsiaTheme="minorHAnsi" w:hAnsi="Arial Narrow" w:cstheme="minorBidi"/>
          <w:b/>
          <w:iCs/>
          <w:sz w:val="20"/>
          <w:szCs w:val="18"/>
          <w:lang w:eastAsia="en-US"/>
        </w:rPr>
      </w:pPr>
      <w:r>
        <w:br w:type="page"/>
      </w:r>
    </w:p>
    <w:p w14:paraId="1668D1F0" w14:textId="77777777" w:rsidR="00A042A9" w:rsidRPr="00CA4838" w:rsidRDefault="00A042A9" w:rsidP="001B37A3">
      <w:pPr>
        <w:pStyle w:val="Caption"/>
      </w:pPr>
      <w:r>
        <w:t xml:space="preserve">Table </w:t>
      </w:r>
      <w:r w:rsidR="007C5E46">
        <w:rPr>
          <w:noProof/>
        </w:rPr>
        <w:t>11</w:t>
      </w:r>
      <w:r w:rsidR="004A4197">
        <w:rPr>
          <w:noProof/>
        </w:rPr>
        <w:t xml:space="preserve">: </w:t>
      </w:r>
      <w:r w:rsidRPr="00CA4838">
        <w:t>Summary of hazard ratios used in the economic analysis</w:t>
      </w:r>
    </w:p>
    <w:tbl>
      <w:tblPr>
        <w:tblStyle w:val="PBACTableStyle"/>
        <w:tblW w:w="5000" w:type="pct"/>
        <w:tblLayout w:type="fixed"/>
        <w:tblCellMar>
          <w:left w:w="28" w:type="dxa"/>
          <w:right w:w="28" w:type="dxa"/>
        </w:tblCellMar>
        <w:tblLook w:val="04A0" w:firstRow="1" w:lastRow="0" w:firstColumn="1" w:lastColumn="0" w:noHBand="0" w:noVBand="1"/>
        <w:tblCaption w:val="Table 11: Summary of hazard ratios used in the economic analysis"/>
      </w:tblPr>
      <w:tblGrid>
        <w:gridCol w:w="1804"/>
        <w:gridCol w:w="1803"/>
        <w:gridCol w:w="1803"/>
        <w:gridCol w:w="1803"/>
        <w:gridCol w:w="1803"/>
      </w:tblGrid>
      <w:tr w:rsidR="00A042A9" w:rsidRPr="00CA4838" w14:paraId="4E231B10" w14:textId="77777777" w:rsidTr="00ED665A">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0" w:type="pct"/>
            <w:noWrap/>
          </w:tcPr>
          <w:p w14:paraId="4E4AA8BF" w14:textId="77777777" w:rsidR="00A042A9" w:rsidRPr="00CA4838" w:rsidRDefault="00A042A9" w:rsidP="00ED665A">
            <w:pPr>
              <w:pStyle w:val="TableNumber"/>
              <w:spacing w:before="0" w:after="0"/>
              <w:jc w:val="left"/>
            </w:pPr>
          </w:p>
        </w:tc>
        <w:tc>
          <w:tcPr>
            <w:tcW w:w="0" w:type="pct"/>
          </w:tcPr>
          <w:p w14:paraId="213888F2" w14:textId="77777777" w:rsidR="00A042A9" w:rsidRPr="00CA4838" w:rsidRDefault="00A042A9" w:rsidP="00ED665A">
            <w:pPr>
              <w:pStyle w:val="TableNumber"/>
              <w:spacing w:before="0" w:after="0"/>
              <w:cnfStyle w:val="100000000000" w:firstRow="1" w:lastRow="0" w:firstColumn="0" w:lastColumn="0" w:oddVBand="0" w:evenVBand="0" w:oddHBand="0" w:evenHBand="0" w:firstRowFirstColumn="0" w:firstRowLastColumn="0" w:lastRowFirstColumn="0" w:lastRowLastColumn="0"/>
            </w:pPr>
            <w:r w:rsidRPr="00CA4838">
              <w:t>OLA vs BSC</w:t>
            </w:r>
          </w:p>
        </w:tc>
        <w:tc>
          <w:tcPr>
            <w:tcW w:w="0" w:type="pct"/>
            <w:noWrap/>
          </w:tcPr>
          <w:p w14:paraId="10EA726D" w14:textId="77777777" w:rsidR="00A042A9" w:rsidRPr="00CA4838" w:rsidRDefault="00A042A9" w:rsidP="00ED665A">
            <w:pPr>
              <w:pStyle w:val="TableNumber"/>
              <w:spacing w:before="0" w:after="0"/>
              <w:cnfStyle w:val="100000000000" w:firstRow="1" w:lastRow="0" w:firstColumn="0" w:lastColumn="0" w:oddVBand="0" w:evenVBand="0" w:oddHBand="0" w:evenHBand="0" w:firstRowFirstColumn="0" w:firstRowLastColumn="0" w:lastRowFirstColumn="0" w:lastRowLastColumn="0"/>
            </w:pPr>
            <w:r w:rsidRPr="00CA4838">
              <w:t>OLA vs cabazitaxel</w:t>
            </w:r>
          </w:p>
        </w:tc>
        <w:tc>
          <w:tcPr>
            <w:tcW w:w="0" w:type="pct"/>
          </w:tcPr>
          <w:p w14:paraId="0D347028" w14:textId="77777777" w:rsidR="00A042A9" w:rsidRPr="00CA4838" w:rsidRDefault="00A042A9" w:rsidP="00ED665A">
            <w:pPr>
              <w:pStyle w:val="TableNumber"/>
              <w:spacing w:before="0" w:after="0"/>
              <w:cnfStyle w:val="100000000000" w:firstRow="1" w:lastRow="0" w:firstColumn="0" w:lastColumn="0" w:oddVBand="0" w:evenVBand="0" w:oddHBand="0" w:evenHBand="0" w:firstRowFirstColumn="0" w:firstRowLastColumn="0" w:lastRowFirstColumn="0" w:lastRowLastColumn="0"/>
            </w:pPr>
            <w:r w:rsidRPr="00CA4838">
              <w:t>OLA vs SOC</w:t>
            </w:r>
          </w:p>
        </w:tc>
        <w:tc>
          <w:tcPr>
            <w:tcW w:w="0" w:type="pct"/>
          </w:tcPr>
          <w:p w14:paraId="2FBF569F" w14:textId="77777777" w:rsidR="00A042A9" w:rsidRPr="00CA4838" w:rsidRDefault="00A042A9" w:rsidP="00ED665A">
            <w:pPr>
              <w:pStyle w:val="TableNumber"/>
              <w:spacing w:before="0" w:after="0"/>
              <w:cnfStyle w:val="100000000000" w:firstRow="1" w:lastRow="0" w:firstColumn="0" w:lastColumn="0" w:oddVBand="0" w:evenVBand="0" w:oddHBand="0" w:evenHBand="0" w:firstRowFirstColumn="0" w:firstRowLastColumn="0" w:lastRowFirstColumn="0" w:lastRowLastColumn="0"/>
              <w:rPr>
                <w:b w:val="0"/>
              </w:rPr>
            </w:pPr>
            <w:r w:rsidRPr="00CA4838">
              <w:t>SOC vs OLA</w:t>
            </w:r>
          </w:p>
          <w:p w14:paraId="5A6ACC0E" w14:textId="77777777" w:rsidR="00A042A9" w:rsidRPr="00CA4838" w:rsidRDefault="00A042A9" w:rsidP="00ED665A">
            <w:pPr>
              <w:pStyle w:val="TableNumber"/>
              <w:spacing w:before="0" w:after="0"/>
              <w:cnfStyle w:val="100000000000" w:firstRow="1" w:lastRow="0" w:firstColumn="0" w:lastColumn="0" w:oddVBand="0" w:evenVBand="0" w:oddHBand="0" w:evenHBand="0" w:firstRowFirstColumn="0" w:firstRowLastColumn="0" w:lastRowFirstColumn="0" w:lastRowLastColumn="0"/>
            </w:pPr>
            <w:r w:rsidRPr="00CA4838">
              <w:t>(used in model)</w:t>
            </w:r>
          </w:p>
        </w:tc>
      </w:tr>
      <w:tr w:rsidR="00A042A9" w:rsidRPr="00266EE3" w14:paraId="466893FC" w14:textId="77777777" w:rsidTr="00ED665A">
        <w:trPr>
          <w:trHeight w:val="290"/>
        </w:trPr>
        <w:tc>
          <w:tcPr>
            <w:cnfStyle w:val="001000000000" w:firstRow="0" w:lastRow="0" w:firstColumn="1" w:lastColumn="0" w:oddVBand="0" w:evenVBand="0" w:oddHBand="0" w:evenHBand="0" w:firstRowFirstColumn="0" w:firstRowLastColumn="0" w:lastRowFirstColumn="0" w:lastRowLastColumn="0"/>
            <w:tcW w:w="0" w:type="pct"/>
            <w:noWrap/>
          </w:tcPr>
          <w:p w14:paraId="33D216D2" w14:textId="77777777" w:rsidR="00A042A9" w:rsidRPr="00266EE3" w:rsidRDefault="00A042A9" w:rsidP="00ED665A">
            <w:pPr>
              <w:pStyle w:val="TableNumber"/>
              <w:spacing w:before="0" w:after="0"/>
              <w:jc w:val="left"/>
            </w:pPr>
            <w:r w:rsidRPr="00266EE3">
              <w:t xml:space="preserve">Data source </w:t>
            </w:r>
          </w:p>
        </w:tc>
        <w:tc>
          <w:tcPr>
            <w:tcW w:w="0" w:type="pct"/>
          </w:tcPr>
          <w:p w14:paraId="1DC2403F" w14:textId="77777777" w:rsidR="00A042A9" w:rsidRPr="00266EE3"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266EE3">
              <w:t>PROfound BRCA1/2 subgroup</w:t>
            </w:r>
          </w:p>
          <w:p w14:paraId="40276F14" w14:textId="77777777" w:rsidR="00A042A9" w:rsidRPr="00266EE3"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266EE3">
              <w:t>NHA arm proxy for BSC</w:t>
            </w:r>
          </w:p>
        </w:tc>
        <w:tc>
          <w:tcPr>
            <w:tcW w:w="0" w:type="pct"/>
            <w:noWrap/>
          </w:tcPr>
          <w:p w14:paraId="43DD22F7" w14:textId="77777777" w:rsidR="00A042A9" w:rsidRPr="00266EE3"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rPr>
                <w:b/>
              </w:rPr>
            </w:pPr>
            <w:r w:rsidRPr="00266EE3">
              <w:t xml:space="preserve">PROfound BRCA1/2 subgroup and </w:t>
            </w:r>
          </w:p>
          <w:p w14:paraId="15932943" w14:textId="77777777" w:rsidR="00A042A9" w:rsidRPr="00266EE3"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266EE3">
              <w:t>CARD (BRCA1/2 status unknown)</w:t>
            </w:r>
          </w:p>
        </w:tc>
        <w:tc>
          <w:tcPr>
            <w:tcW w:w="0" w:type="pct"/>
          </w:tcPr>
          <w:p w14:paraId="49A2A669" w14:textId="77777777" w:rsidR="00A042A9" w:rsidRPr="00266EE3"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rPr>
                <w:b/>
              </w:rPr>
            </w:pPr>
            <w:r w:rsidRPr="00266EE3">
              <w:t xml:space="preserve">PROfound BRCA1/2 subgroup and </w:t>
            </w:r>
          </w:p>
          <w:p w14:paraId="7FD6F763" w14:textId="77777777" w:rsidR="00A042A9" w:rsidRPr="00266EE3"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266EE3">
              <w:t>CARD (BRCA1/2 status unknown)</w:t>
            </w:r>
          </w:p>
        </w:tc>
        <w:tc>
          <w:tcPr>
            <w:tcW w:w="0" w:type="pct"/>
          </w:tcPr>
          <w:p w14:paraId="74DD8AB8" w14:textId="77777777" w:rsidR="00A042A9" w:rsidRPr="00266EE3"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rPr>
                <w:b/>
              </w:rPr>
            </w:pPr>
            <w:r w:rsidRPr="00266EE3">
              <w:t xml:space="preserve">PROfound BRCA1/2 subgroup and </w:t>
            </w:r>
          </w:p>
          <w:p w14:paraId="721FBB7D" w14:textId="77777777" w:rsidR="00A042A9" w:rsidRPr="00266EE3"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266EE3">
              <w:t>CARD (BRCA1/2 status unknown)</w:t>
            </w:r>
          </w:p>
        </w:tc>
      </w:tr>
      <w:tr w:rsidR="00A042A9" w:rsidRPr="00CA4838" w14:paraId="67A22981" w14:textId="77777777" w:rsidTr="00ED665A">
        <w:trPr>
          <w:trHeight w:val="290"/>
        </w:trPr>
        <w:tc>
          <w:tcPr>
            <w:cnfStyle w:val="001000000000" w:firstRow="0" w:lastRow="0" w:firstColumn="1" w:lastColumn="0" w:oddVBand="0" w:evenVBand="0" w:oddHBand="0" w:evenHBand="0" w:firstRowFirstColumn="0" w:firstRowLastColumn="0" w:lastRowFirstColumn="0" w:lastRowLastColumn="0"/>
            <w:tcW w:w="0" w:type="pct"/>
            <w:noWrap/>
          </w:tcPr>
          <w:p w14:paraId="350201D7" w14:textId="77777777" w:rsidR="00A042A9" w:rsidRPr="00CA4838" w:rsidRDefault="00A042A9" w:rsidP="00ED665A">
            <w:pPr>
              <w:pStyle w:val="TableNumber"/>
              <w:spacing w:before="0" w:after="0"/>
              <w:jc w:val="left"/>
            </w:pPr>
            <w:r w:rsidRPr="00CA4838">
              <w:t>Method</w:t>
            </w:r>
          </w:p>
        </w:tc>
        <w:tc>
          <w:tcPr>
            <w:tcW w:w="0" w:type="pct"/>
          </w:tcPr>
          <w:p w14:paraId="290D6009" w14:textId="77777777" w:rsidR="00A042A9" w:rsidRPr="00CA4838"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CA4838">
              <w:t>PFS: no adjustment to NHA arm</w:t>
            </w:r>
          </w:p>
          <w:p w14:paraId="012A0553" w14:textId="77777777" w:rsidR="00A042A9" w:rsidRPr="00CA4838"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CA4838">
              <w:t>OS: Adjust for treatment switching RPSFTM, cox proportional hazards with recensoring</w:t>
            </w:r>
          </w:p>
        </w:tc>
        <w:tc>
          <w:tcPr>
            <w:tcW w:w="0" w:type="pct"/>
            <w:noWrap/>
          </w:tcPr>
          <w:p w14:paraId="441B02A4" w14:textId="77777777" w:rsidR="00A042A9" w:rsidRPr="00CA4838"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CA4838">
              <w:t>PFS: MAIC with unadjusted NHA as common comparator</w:t>
            </w:r>
          </w:p>
          <w:p w14:paraId="5B411DFA" w14:textId="77777777" w:rsidR="00A042A9" w:rsidRPr="00CA4838"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CA4838">
              <w:t>OS: MAIC, NHA adjusted for treatment switching with recensoring as common comparator</w:t>
            </w:r>
          </w:p>
        </w:tc>
        <w:tc>
          <w:tcPr>
            <w:tcW w:w="0" w:type="pct"/>
          </w:tcPr>
          <w:p w14:paraId="6C27E14D" w14:textId="77777777" w:rsidR="00A042A9" w:rsidRPr="00CA4838"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CA4838">
              <w:t>PFS &amp; OS: Weighted average</w:t>
            </w:r>
          </w:p>
          <w:p w14:paraId="50FB2CE0" w14:textId="77777777" w:rsidR="00A042A9" w:rsidRPr="00CA4838"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CA4838">
              <w:t>75% OLA vs BSC HR</w:t>
            </w:r>
          </w:p>
          <w:p w14:paraId="4EF5686A" w14:textId="77777777" w:rsidR="00A042A9" w:rsidRPr="00CA4838" w:rsidRDefault="00A042A9"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r w:rsidRPr="00CA4838">
              <w:t>25% OLA vs cabazitaxel HR</w:t>
            </w:r>
          </w:p>
        </w:tc>
        <w:tc>
          <w:tcPr>
            <w:tcW w:w="0" w:type="pct"/>
          </w:tcPr>
          <w:p w14:paraId="37B37895" w14:textId="77777777" w:rsidR="006F4000" w:rsidRDefault="006F4000" w:rsidP="006F4000">
            <w:pPr>
              <w:pStyle w:val="TableNumber"/>
              <w:spacing w:before="0" w:after="0"/>
              <w:cnfStyle w:val="000000000000" w:firstRow="0" w:lastRow="0" w:firstColumn="0" w:lastColumn="0" w:oddVBand="0" w:evenVBand="0" w:oddHBand="0" w:evenHBand="0" w:firstRowFirstColumn="0" w:firstRowLastColumn="0" w:lastRowFirstColumn="0" w:lastRowLastColumn="0"/>
              <w:rPr>
                <w:u w:val="single"/>
              </w:rPr>
            </w:pPr>
            <w:r>
              <w:rPr>
                <w:u w:val="single"/>
              </w:rPr>
              <w:t>______1_______</w:t>
            </w:r>
          </w:p>
          <w:p w14:paraId="7B25D04E" w14:textId="77777777" w:rsidR="006F4000" w:rsidRPr="006F4000" w:rsidRDefault="006F4000" w:rsidP="006F4000">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eastAsia="en-AU"/>
              </w:rPr>
            </w:pPr>
            <w:r w:rsidRPr="006F4000">
              <w:rPr>
                <w:sz w:val="20"/>
                <w:szCs w:val="20"/>
              </w:rPr>
              <w:t>OLA vs SOC HR</w:t>
            </w:r>
          </w:p>
          <w:p w14:paraId="74B53AEA" w14:textId="77777777" w:rsidR="006F4000" w:rsidRPr="0075216F" w:rsidRDefault="006F4000" w:rsidP="00ED665A">
            <w:pPr>
              <w:pStyle w:val="TableNumber"/>
              <w:spacing w:before="0" w:after="0"/>
              <w:cnfStyle w:val="000000000000" w:firstRow="0" w:lastRow="0" w:firstColumn="0" w:lastColumn="0" w:oddVBand="0" w:evenVBand="0" w:oddHBand="0" w:evenHBand="0" w:firstRowFirstColumn="0" w:firstRowLastColumn="0" w:lastRowFirstColumn="0" w:lastRowLastColumn="0"/>
            </w:pPr>
          </w:p>
        </w:tc>
      </w:tr>
      <w:tr w:rsidR="00A042A9" w:rsidRPr="00CA4838" w14:paraId="0587A867" w14:textId="77777777" w:rsidTr="00ED665A">
        <w:trPr>
          <w:trHeight w:val="290"/>
        </w:trPr>
        <w:tc>
          <w:tcPr>
            <w:cnfStyle w:val="001000000000" w:firstRow="0" w:lastRow="0" w:firstColumn="1" w:lastColumn="0" w:oddVBand="0" w:evenVBand="0" w:oddHBand="0" w:evenHBand="0" w:firstRowFirstColumn="0" w:firstRowLastColumn="0" w:lastRowFirstColumn="0" w:lastRowLastColumn="0"/>
            <w:tcW w:w="0" w:type="pct"/>
            <w:noWrap/>
          </w:tcPr>
          <w:p w14:paraId="531F1580" w14:textId="77777777" w:rsidR="00A042A9" w:rsidRPr="00CA4838" w:rsidRDefault="00A042A9" w:rsidP="00ED665A">
            <w:pPr>
              <w:pStyle w:val="TableNumber"/>
              <w:spacing w:before="0" w:after="0"/>
              <w:jc w:val="left"/>
            </w:pPr>
            <w:r w:rsidRPr="00CA4838">
              <w:t>PFS HR</w:t>
            </w:r>
          </w:p>
        </w:tc>
        <w:tc>
          <w:tcPr>
            <w:tcW w:w="0" w:type="pct"/>
          </w:tcPr>
          <w:p w14:paraId="6A88AEF5" w14:textId="77777777" w:rsidR="00A042A9" w:rsidRPr="00CA4838" w:rsidRDefault="00A042A9" w:rsidP="00ED665A">
            <w:pPr>
              <w:pStyle w:val="TableNumber"/>
              <w:cnfStyle w:val="000000000000" w:firstRow="0" w:lastRow="0" w:firstColumn="0" w:lastColumn="0" w:oddVBand="0" w:evenVBand="0" w:oddHBand="0" w:evenHBand="0" w:firstRowFirstColumn="0" w:firstRowLastColumn="0" w:lastRowFirstColumn="0" w:lastRowLastColumn="0"/>
            </w:pPr>
            <w:r w:rsidRPr="00CA4838">
              <w:t>0.22</w:t>
            </w:r>
          </w:p>
        </w:tc>
        <w:tc>
          <w:tcPr>
            <w:tcW w:w="0" w:type="pct"/>
            <w:noWrap/>
          </w:tcPr>
          <w:p w14:paraId="18ACD695" w14:textId="77777777" w:rsidR="00A042A9" w:rsidRPr="00CA4838" w:rsidRDefault="00A042A9" w:rsidP="00ED665A">
            <w:pPr>
              <w:pStyle w:val="TableNumber"/>
              <w:cnfStyle w:val="000000000000" w:firstRow="0" w:lastRow="0" w:firstColumn="0" w:lastColumn="0" w:oddVBand="0" w:evenVBand="0" w:oddHBand="0" w:evenHBand="0" w:firstRowFirstColumn="0" w:firstRowLastColumn="0" w:lastRowFirstColumn="0" w:lastRowLastColumn="0"/>
            </w:pPr>
            <w:r w:rsidRPr="00CA4838">
              <w:t>0.33</w:t>
            </w:r>
          </w:p>
        </w:tc>
        <w:tc>
          <w:tcPr>
            <w:tcW w:w="0" w:type="pct"/>
          </w:tcPr>
          <w:p w14:paraId="39B0C2FC" w14:textId="77777777" w:rsidR="00A042A9" w:rsidRPr="00CA4838" w:rsidRDefault="00A042A9" w:rsidP="00ED665A">
            <w:pPr>
              <w:pStyle w:val="TableNumber"/>
              <w:cnfStyle w:val="000000000000" w:firstRow="0" w:lastRow="0" w:firstColumn="0" w:lastColumn="0" w:oddVBand="0" w:evenVBand="0" w:oddHBand="0" w:evenHBand="0" w:firstRowFirstColumn="0" w:firstRowLastColumn="0" w:lastRowFirstColumn="0" w:lastRowLastColumn="0"/>
            </w:pPr>
            <w:r w:rsidRPr="00CA4838">
              <w:t>0.24</w:t>
            </w:r>
          </w:p>
        </w:tc>
        <w:tc>
          <w:tcPr>
            <w:tcW w:w="0" w:type="pct"/>
          </w:tcPr>
          <w:p w14:paraId="4D350182" w14:textId="77777777" w:rsidR="00A042A9" w:rsidRPr="00CA4838" w:rsidRDefault="00A042A9" w:rsidP="00ED665A">
            <w:pPr>
              <w:pStyle w:val="TableNumber"/>
              <w:cnfStyle w:val="000000000000" w:firstRow="0" w:lastRow="0" w:firstColumn="0" w:lastColumn="0" w:oddVBand="0" w:evenVBand="0" w:oddHBand="0" w:evenHBand="0" w:firstRowFirstColumn="0" w:firstRowLastColumn="0" w:lastRowFirstColumn="0" w:lastRowLastColumn="0"/>
            </w:pPr>
            <w:r w:rsidRPr="00CA4838">
              <w:t>4.17</w:t>
            </w:r>
          </w:p>
        </w:tc>
      </w:tr>
      <w:tr w:rsidR="00A042A9" w:rsidRPr="00CA4838" w14:paraId="6E67D1DE" w14:textId="77777777" w:rsidTr="00ED665A">
        <w:trPr>
          <w:trHeight w:val="290"/>
        </w:trPr>
        <w:tc>
          <w:tcPr>
            <w:cnfStyle w:val="001000000000" w:firstRow="0" w:lastRow="0" w:firstColumn="1" w:lastColumn="0" w:oddVBand="0" w:evenVBand="0" w:oddHBand="0" w:evenHBand="0" w:firstRowFirstColumn="0" w:firstRowLastColumn="0" w:lastRowFirstColumn="0" w:lastRowLastColumn="0"/>
            <w:tcW w:w="0" w:type="pct"/>
            <w:noWrap/>
          </w:tcPr>
          <w:p w14:paraId="40543888" w14:textId="77777777" w:rsidR="00A042A9" w:rsidRPr="00CA4838" w:rsidRDefault="00A042A9" w:rsidP="00ED665A">
            <w:pPr>
              <w:pStyle w:val="TableNumber"/>
              <w:spacing w:before="0" w:after="0"/>
              <w:jc w:val="left"/>
            </w:pPr>
            <w:r w:rsidRPr="00CA4838">
              <w:t>OS HR</w:t>
            </w:r>
          </w:p>
        </w:tc>
        <w:tc>
          <w:tcPr>
            <w:tcW w:w="0" w:type="pct"/>
          </w:tcPr>
          <w:p w14:paraId="7A098D53" w14:textId="77777777" w:rsidR="00A042A9" w:rsidRPr="00CA4838" w:rsidRDefault="00A042A9" w:rsidP="00ED665A">
            <w:pPr>
              <w:pStyle w:val="TableNumber"/>
              <w:cnfStyle w:val="000000000000" w:firstRow="0" w:lastRow="0" w:firstColumn="0" w:lastColumn="0" w:oddVBand="0" w:evenVBand="0" w:oddHBand="0" w:evenHBand="0" w:firstRowFirstColumn="0" w:firstRowLastColumn="0" w:lastRowFirstColumn="0" w:lastRowLastColumn="0"/>
            </w:pPr>
            <w:r w:rsidRPr="00CA4838">
              <w:t>0.28</w:t>
            </w:r>
          </w:p>
        </w:tc>
        <w:tc>
          <w:tcPr>
            <w:tcW w:w="0" w:type="pct"/>
            <w:noWrap/>
          </w:tcPr>
          <w:p w14:paraId="5B7F93C6" w14:textId="77777777" w:rsidR="00A042A9" w:rsidRPr="00CA4838" w:rsidRDefault="00A042A9" w:rsidP="00ED665A">
            <w:pPr>
              <w:pStyle w:val="TableNumber"/>
              <w:cnfStyle w:val="000000000000" w:firstRow="0" w:lastRow="0" w:firstColumn="0" w:lastColumn="0" w:oddVBand="0" w:evenVBand="0" w:oddHBand="0" w:evenHBand="0" w:firstRowFirstColumn="0" w:firstRowLastColumn="0" w:lastRowFirstColumn="0" w:lastRowLastColumn="0"/>
            </w:pPr>
            <w:r w:rsidRPr="00CA4838">
              <w:t>0.34</w:t>
            </w:r>
          </w:p>
        </w:tc>
        <w:tc>
          <w:tcPr>
            <w:tcW w:w="0" w:type="pct"/>
          </w:tcPr>
          <w:p w14:paraId="4854FF0D" w14:textId="77777777" w:rsidR="00A042A9" w:rsidRPr="00CA4838" w:rsidRDefault="00A042A9" w:rsidP="00ED665A">
            <w:pPr>
              <w:pStyle w:val="TableNumber"/>
              <w:cnfStyle w:val="000000000000" w:firstRow="0" w:lastRow="0" w:firstColumn="0" w:lastColumn="0" w:oddVBand="0" w:evenVBand="0" w:oddHBand="0" w:evenHBand="0" w:firstRowFirstColumn="0" w:firstRowLastColumn="0" w:lastRowFirstColumn="0" w:lastRowLastColumn="0"/>
            </w:pPr>
            <w:r w:rsidRPr="00CA4838">
              <w:t>0.29</w:t>
            </w:r>
          </w:p>
        </w:tc>
        <w:tc>
          <w:tcPr>
            <w:tcW w:w="0" w:type="pct"/>
          </w:tcPr>
          <w:p w14:paraId="7FC973AE" w14:textId="77777777" w:rsidR="00A042A9" w:rsidRPr="00CA4838" w:rsidRDefault="00A042A9" w:rsidP="00ED665A">
            <w:pPr>
              <w:pStyle w:val="TableNumber"/>
              <w:cnfStyle w:val="000000000000" w:firstRow="0" w:lastRow="0" w:firstColumn="0" w:lastColumn="0" w:oddVBand="0" w:evenVBand="0" w:oddHBand="0" w:evenHBand="0" w:firstRowFirstColumn="0" w:firstRowLastColumn="0" w:lastRowFirstColumn="0" w:lastRowLastColumn="0"/>
            </w:pPr>
            <w:r w:rsidRPr="00CA4838">
              <w:t>3.42</w:t>
            </w:r>
          </w:p>
        </w:tc>
      </w:tr>
    </w:tbl>
    <w:p w14:paraId="1FEB3500" w14:textId="77777777" w:rsidR="00A042A9" w:rsidRPr="00CA4838" w:rsidRDefault="00A042A9" w:rsidP="00A042A9">
      <w:pPr>
        <w:pStyle w:val="TableFooter"/>
        <w:rPr>
          <w:szCs w:val="18"/>
        </w:rPr>
      </w:pPr>
      <w:r w:rsidRPr="00CA4838">
        <w:rPr>
          <w:szCs w:val="18"/>
        </w:rPr>
        <w:t>Source: Table 99-101, p321-322, Table 105-108, p328-330</w:t>
      </w:r>
    </w:p>
    <w:p w14:paraId="1D5D0483" w14:textId="77777777" w:rsidR="00A042A9" w:rsidRPr="00CA4838" w:rsidRDefault="00A042A9" w:rsidP="00A042A9">
      <w:pPr>
        <w:pStyle w:val="TableFooter"/>
        <w:rPr>
          <w:szCs w:val="18"/>
        </w:rPr>
      </w:pPr>
      <w:r w:rsidRPr="00976265">
        <w:rPr>
          <w:i/>
          <w:szCs w:val="18"/>
        </w:rPr>
        <w:t>BRCA1/2</w:t>
      </w:r>
      <w:r w:rsidRPr="00CA4838">
        <w:rPr>
          <w:szCs w:val="18"/>
        </w:rPr>
        <w:t xml:space="preserve">= </w:t>
      </w:r>
      <w:r w:rsidRPr="00976265">
        <w:rPr>
          <w:i/>
          <w:szCs w:val="18"/>
        </w:rPr>
        <w:t>BRCA1/2</w:t>
      </w:r>
      <w:r w:rsidRPr="00CA4838">
        <w:rPr>
          <w:szCs w:val="18"/>
        </w:rPr>
        <w:t xml:space="preserve"> pathogenic variant, BSC=best supportive care, HR=hazard ratio, NHa=novel hormonal agent,</w:t>
      </w:r>
      <w:r w:rsidR="001579DF">
        <w:rPr>
          <w:szCs w:val="18"/>
        </w:rPr>
        <w:t xml:space="preserve"> </w:t>
      </w:r>
      <w:r w:rsidRPr="00CA4838">
        <w:rPr>
          <w:szCs w:val="18"/>
        </w:rPr>
        <w:t xml:space="preserve">OLA=olaparib, OS=overall survival, PFS=progression free survival, RPSFTM= rank preserving structural failure time model, SOC=standard of care </w:t>
      </w:r>
    </w:p>
    <w:p w14:paraId="1482E252" w14:textId="77777777" w:rsidR="00A042A9" w:rsidRPr="00CA4838" w:rsidRDefault="00A042A9" w:rsidP="00DB2410">
      <w:pPr>
        <w:pStyle w:val="ListParagraph"/>
        <w:ind w:left="709"/>
      </w:pPr>
      <w:r w:rsidRPr="00CA4838">
        <w:t xml:space="preserve">Treatment duration for olaparib was based on KM data from the </w:t>
      </w:r>
      <w:r w:rsidRPr="00AB515A">
        <w:rPr>
          <w:iCs/>
        </w:rPr>
        <w:t>BRCA1/2</w:t>
      </w:r>
      <w:r w:rsidRPr="00CA4838">
        <w:t xml:space="preserve"> subgroup of PROfound, extrapolated from cycle 1. </w:t>
      </w:r>
      <w:r w:rsidR="0086431C">
        <w:t>This resulted in a</w:t>
      </w:r>
      <w:r w:rsidR="00C24F04">
        <w:t>n</w:t>
      </w:r>
      <w:r w:rsidR="0086431C">
        <w:t xml:space="preserve"> average treatment duration of 332 days (10.9 months) for patients treated with olaparib.</w:t>
      </w:r>
      <w:r w:rsidR="0086431C" w:rsidRPr="00CA4838">
        <w:t xml:space="preserve"> </w:t>
      </w:r>
      <w:r w:rsidRPr="00CA4838">
        <w:t>Time on treatment for cabazitaxel was estimated using time in PFS for olaparib and applying the inverted MAIC HR for PFS for olaparib versus cabazitaxel based on the CARD trial (i.e., 1/0.33= 3.03).</w:t>
      </w:r>
      <w:r w:rsidR="0086431C">
        <w:t xml:space="preserve"> </w:t>
      </w:r>
    </w:p>
    <w:p w14:paraId="7C311743" w14:textId="77777777" w:rsidR="00A042A9" w:rsidRPr="00CA4838" w:rsidRDefault="00A042A9" w:rsidP="00DB2410">
      <w:pPr>
        <w:pStyle w:val="ListParagraph"/>
        <w:ind w:left="709"/>
      </w:pPr>
      <w:r w:rsidRPr="00CA4838">
        <w:t xml:space="preserve">A Gompertz function was chosen for PFS extrapolation, based on lowest AIC/BIC and visual fit for olaparib. </w:t>
      </w:r>
      <w:r w:rsidRPr="00F52B1D">
        <w:t>The model was insensitive to change in PFS extrapolations.</w:t>
      </w:r>
    </w:p>
    <w:p w14:paraId="02565D61" w14:textId="77777777" w:rsidR="00A042A9" w:rsidRPr="00F52B1D" w:rsidRDefault="00A042A9" w:rsidP="00DB2410">
      <w:pPr>
        <w:pStyle w:val="ListParagraph"/>
        <w:ind w:left="709"/>
      </w:pPr>
      <w:r w:rsidRPr="00CA4838">
        <w:t xml:space="preserve">A Weibull function was chosen for OS extrapolation, based on clinical plausibility, visual fit of the olaparib KM data and recommendation from a previous NICE STA for olaparib. </w:t>
      </w:r>
      <w:r w:rsidRPr="00F52B1D">
        <w:t>This differed from the previous submission where Gompertz was the chosen extrapolation (lowest AIC/BIC values), but appeared reasonable.</w:t>
      </w:r>
    </w:p>
    <w:p w14:paraId="4649056A" w14:textId="77777777" w:rsidR="00A042A9" w:rsidRPr="00F52B1D" w:rsidRDefault="00A042A9" w:rsidP="00DB2410">
      <w:pPr>
        <w:pStyle w:val="ListParagraph"/>
        <w:ind w:left="709"/>
      </w:pPr>
      <w:r w:rsidRPr="00F52B1D">
        <w:t>All OS extrapolations consistently underestimated the treatment switching adjusted KM OS data for NHA, which was used to proxy BSC. If NHA data is only used to proxy BSC, slight underestimation versus KM data may be reasonable, given NHA may be more efficacious than BSC. However, if NHA data is to represent survival of patients receiving SOC (i.e., both BSC and cabazitaxel</w:t>
      </w:r>
      <w:r w:rsidR="008822E4" w:rsidRPr="00AB515A">
        <w:rPr>
          <w:i/>
          <w:iCs/>
        </w:rPr>
        <w:t>/</w:t>
      </w:r>
      <w:r w:rsidR="008822E4" w:rsidRPr="00266EE3">
        <w:t>docetaxel</w:t>
      </w:r>
      <w:r w:rsidRPr="00F52B1D">
        <w:t>) as was recommended by the PBAC for the previous submission (para 5.4, olaparib PSD March 2021), then a consistent underestimation of observed survival in the comparator arm would not be reasonable and favoured olaparib.</w:t>
      </w:r>
    </w:p>
    <w:p w14:paraId="7A618FAB" w14:textId="77777777" w:rsidR="00A042A9" w:rsidRPr="00F52B1D" w:rsidRDefault="00A042A9" w:rsidP="001C4366">
      <w:pPr>
        <w:pStyle w:val="ListParagraph"/>
        <w:ind w:left="709"/>
      </w:pPr>
      <w:bookmarkStart w:id="54" w:name="_Ref85457961"/>
      <w:r w:rsidRPr="00F52B1D">
        <w:t>There was considerable uncertainty around adjustment for treatment switching, in particular</w:t>
      </w:r>
      <w:r w:rsidR="0058384A">
        <w:t>,</w:t>
      </w:r>
      <w:r w:rsidRPr="00F52B1D">
        <w:t xml:space="preserve"> recensoring</w:t>
      </w:r>
      <w:r w:rsidR="000B3A5C">
        <w:t xml:space="preserve">. </w:t>
      </w:r>
      <w:r w:rsidRPr="00F52B1D">
        <w:t>As illustrated in the figure below, OS for BSC treated patients increased if the adjustment did not include recensoring (results for RPSFTM method shown). Treatment switching adjustment without recensoring also appeared to visually fit the NHA KM data better than the base case. The model was very sensitive to the assumed OS HRs for olaparib versus SOC.</w:t>
      </w:r>
      <w:r w:rsidR="003A60E6">
        <w:t xml:space="preserve"> </w:t>
      </w:r>
      <w:r w:rsidR="00952FF2" w:rsidRPr="00266EE3">
        <w:rPr>
          <w:iCs/>
        </w:rPr>
        <w:t xml:space="preserve">The ESC noted that any small change in the HR has a </w:t>
      </w:r>
      <w:r w:rsidR="00260174">
        <w:rPr>
          <w:iCs/>
        </w:rPr>
        <w:t>large</w:t>
      </w:r>
      <w:r w:rsidR="00260174" w:rsidRPr="00266EE3">
        <w:rPr>
          <w:iCs/>
        </w:rPr>
        <w:t xml:space="preserve"> </w:t>
      </w:r>
      <w:r w:rsidR="00952FF2" w:rsidRPr="00266EE3">
        <w:rPr>
          <w:iCs/>
        </w:rPr>
        <w:t>impact on the modelled cost effectiveness of olaparib and as such, considered it would be appropriate to take a conservative approach to the choice of HRs applied in the economic evaluation.</w:t>
      </w:r>
      <w:bookmarkEnd w:id="54"/>
      <w:r w:rsidR="008B0A06">
        <w:rPr>
          <w:iCs/>
        </w:rPr>
        <w:t xml:space="preserve"> </w:t>
      </w:r>
      <w:r w:rsidR="00546A13">
        <w:rPr>
          <w:iCs/>
        </w:rPr>
        <w:t xml:space="preserve">Recognising the uncertainty in the </w:t>
      </w:r>
      <w:r w:rsidR="00C24F04">
        <w:rPr>
          <w:iCs/>
        </w:rPr>
        <w:t>comparison of olaparib and cabazitaxel, t</w:t>
      </w:r>
      <w:r w:rsidR="008B0A06">
        <w:rPr>
          <w:iCs/>
        </w:rPr>
        <w:t xml:space="preserve">he </w:t>
      </w:r>
      <w:r w:rsidR="00D55F1E">
        <w:rPr>
          <w:iCs/>
        </w:rPr>
        <w:t>p</w:t>
      </w:r>
      <w:r w:rsidR="008B0A06">
        <w:rPr>
          <w:iCs/>
        </w:rPr>
        <w:t>re</w:t>
      </w:r>
      <w:r w:rsidR="00C24F04">
        <w:rPr>
          <w:iCs/>
        </w:rPr>
        <w:noBreakHyphen/>
      </w:r>
      <w:r w:rsidR="008B0A06">
        <w:rPr>
          <w:iCs/>
        </w:rPr>
        <w:t xml:space="preserve">PBAC response proposed that a weighted HR of 0.30 be </w:t>
      </w:r>
      <w:r w:rsidR="00C80442">
        <w:rPr>
          <w:iCs/>
        </w:rPr>
        <w:t>applied</w:t>
      </w:r>
      <w:r w:rsidR="008B0A06">
        <w:rPr>
          <w:iCs/>
        </w:rPr>
        <w:t xml:space="preserve"> to the total SoC arm, calculated using the RPSFTM with recensoring (HR=0.28) applied to the 75% of patients receiving BSC and RPSFTM without recensoring (HR=0.37) applied to the 25% of patients receiving cabazitaxel.</w:t>
      </w:r>
      <w:r w:rsidR="00546A13">
        <w:rPr>
          <w:iCs/>
        </w:rPr>
        <w:t xml:space="preserve"> This change increased the ICER slightly to </w:t>
      </w:r>
      <w:r w:rsidR="00B55BD3">
        <w:rPr>
          <w:iCs/>
        </w:rPr>
        <w:t>$55,000 to &lt; $75,000</w:t>
      </w:r>
      <w:r w:rsidR="00546A13">
        <w:rPr>
          <w:iCs/>
        </w:rPr>
        <w:t xml:space="preserve">/QALY (or </w:t>
      </w:r>
      <w:r w:rsidR="001C4366" w:rsidRPr="001C4366">
        <w:rPr>
          <w:iCs/>
        </w:rPr>
        <w:t>$45,000 to &lt; $55,000</w:t>
      </w:r>
      <w:r w:rsidR="00546A13">
        <w:rPr>
          <w:iCs/>
        </w:rPr>
        <w:t xml:space="preserve">/QALY applying the reduced price in the pre-PBAC response). </w:t>
      </w:r>
      <w:r w:rsidR="00B26E21">
        <w:rPr>
          <w:iCs/>
        </w:rPr>
        <w:t xml:space="preserve">The PBAC noted that applying a HR of 0.37 for the total SoC arm resulted in an ICER of </w:t>
      </w:r>
      <w:r w:rsidR="00B55BD3">
        <w:rPr>
          <w:iCs/>
        </w:rPr>
        <w:t>$55,000 to &lt; $75,000</w:t>
      </w:r>
      <w:r w:rsidR="00B26E21">
        <w:rPr>
          <w:iCs/>
        </w:rPr>
        <w:t xml:space="preserve">/QALY. This was reduced to </w:t>
      </w:r>
      <w:r w:rsidR="001C4366">
        <w:rPr>
          <w:iCs/>
        </w:rPr>
        <w:t>$55,000 to &lt; $75,000</w:t>
      </w:r>
      <w:r w:rsidR="00B26E21">
        <w:rPr>
          <w:iCs/>
        </w:rPr>
        <w:t>/QALY when the revised price in the pre-PBAC response was applied.</w:t>
      </w:r>
    </w:p>
    <w:p w14:paraId="0BD19400" w14:textId="77777777" w:rsidR="00A042A9" w:rsidRPr="00CA4838" w:rsidRDefault="00A042A9" w:rsidP="001B37A3">
      <w:pPr>
        <w:pStyle w:val="Caption"/>
      </w:pPr>
      <w:r w:rsidRPr="00CA4838">
        <w:t xml:space="preserve">Figure </w:t>
      </w:r>
      <w:r w:rsidR="007C5E46">
        <w:rPr>
          <w:noProof/>
        </w:rPr>
        <w:t>3</w:t>
      </w:r>
      <w:r w:rsidR="00D86DB5">
        <w:rPr>
          <w:noProof/>
        </w:rPr>
        <w:t>:</w:t>
      </w:r>
      <w:r w:rsidRPr="00CA4838">
        <w:rPr>
          <w:noProof/>
        </w:rPr>
        <w:t xml:space="preserve"> </w:t>
      </w:r>
      <w:r w:rsidRPr="00CA4838">
        <w:t>Impact of treatment switching on overall survival extrapolations</w:t>
      </w:r>
    </w:p>
    <w:p w14:paraId="022787AA" w14:textId="77777777" w:rsidR="00A042A9" w:rsidRPr="00CA4838" w:rsidRDefault="00A042A9" w:rsidP="00A042A9">
      <w:r w:rsidRPr="00CA4838">
        <w:rPr>
          <w:noProof/>
          <w:lang w:eastAsia="en-AU"/>
        </w:rPr>
        <w:drawing>
          <wp:inline distT="0" distB="0" distL="0" distR="0" wp14:anchorId="04D2C49D" wp14:editId="2BF2AD04">
            <wp:extent cx="5422170" cy="3482671"/>
            <wp:effectExtent l="0" t="0" r="7620" b="3810"/>
            <wp:docPr id="19" name="Picture 19" descr="Figure 3: Impact of treatment switching on overall survival extrapo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3: Impact of treatment switching on overall survival extrapo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2170" cy="3482671"/>
                    </a:xfrm>
                    <a:prstGeom prst="rect">
                      <a:avLst/>
                    </a:prstGeom>
                    <a:noFill/>
                    <a:ln>
                      <a:noFill/>
                    </a:ln>
                  </pic:spPr>
                </pic:pic>
              </a:graphicData>
            </a:graphic>
          </wp:inline>
        </w:drawing>
      </w:r>
    </w:p>
    <w:p w14:paraId="418C390F" w14:textId="77777777" w:rsidR="00A042A9" w:rsidRPr="00CA4838" w:rsidRDefault="00A042A9" w:rsidP="00A042A9">
      <w:pPr>
        <w:pStyle w:val="TableFooter"/>
      </w:pPr>
      <w:r w:rsidRPr="00CA4838">
        <w:t>Source: compiled during the evaluation</w:t>
      </w:r>
    </w:p>
    <w:p w14:paraId="3B75C60D" w14:textId="77777777" w:rsidR="00A042A9" w:rsidRPr="00CA4838" w:rsidRDefault="00A042A9" w:rsidP="00A042A9">
      <w:pPr>
        <w:pStyle w:val="TableFooter"/>
      </w:pPr>
      <w:r w:rsidRPr="00CA4838">
        <w:t>BSC=best supportive care, CI=confidence interval, Gen.=general, HR=hazard ratio, KM=Kaplan-Meier, NHA=novel hormonal agent, OS=overall survival, RPSFTMr=rank preserving structural failure time model with recensoring, RPSFTMnr=rank preserving structural failure time model without recensoring</w:t>
      </w:r>
    </w:p>
    <w:p w14:paraId="303BA3C9" w14:textId="77777777" w:rsidR="00A042A9" w:rsidRPr="00F52B1D" w:rsidRDefault="00A042A9" w:rsidP="00DB2410">
      <w:pPr>
        <w:pStyle w:val="ListParagraph"/>
        <w:ind w:left="709"/>
      </w:pPr>
      <w:r w:rsidRPr="00CA4838">
        <w:t>A Gompertz function was chosen for time to treatment discontinuation (TTD) on olaparib extrapolation</w:t>
      </w:r>
      <w:r w:rsidRPr="00F52B1D">
        <w:t>. No AIC/BIC values were presented but the Gompertz function visually fitted the olaparib KM data well. The model was moderately sensitive to change in TTD extrapolation for olaparib.</w:t>
      </w:r>
    </w:p>
    <w:p w14:paraId="7B071F4C" w14:textId="77777777" w:rsidR="00A042A9" w:rsidRPr="00F52B1D" w:rsidRDefault="00A042A9" w:rsidP="00DB2410">
      <w:pPr>
        <w:pStyle w:val="ListParagraph"/>
        <w:ind w:left="709"/>
      </w:pPr>
      <w:r w:rsidRPr="00F52B1D">
        <w:t>Visual assessment of cabazitaxel KM data and extrapolations was not possible for PFS, OS or TTD because no data was provided.</w:t>
      </w:r>
    </w:p>
    <w:p w14:paraId="5B48992C" w14:textId="77777777" w:rsidR="00FF4741" w:rsidRPr="00266EE3" w:rsidRDefault="00A042A9" w:rsidP="00A858D6">
      <w:pPr>
        <w:pStyle w:val="ListParagraph"/>
        <w:ind w:left="709"/>
      </w:pPr>
      <w:bookmarkStart w:id="55" w:name="_Ref85457964"/>
      <w:bookmarkStart w:id="56" w:name="_Ref87875191"/>
      <w:r w:rsidRPr="00CA4838">
        <w:t xml:space="preserve">Utility values were modelled similarly to the March 2021 submission, where EQ-5D-5L data from Cohort A of PROfound were converted to utility values using Australian weights. The resubmission </w:t>
      </w:r>
      <w:r w:rsidR="00286A2C">
        <w:t>argued</w:t>
      </w:r>
      <w:r w:rsidR="00286A2C" w:rsidRPr="00CA4838">
        <w:t xml:space="preserve"> </w:t>
      </w:r>
      <w:r w:rsidRPr="00CA4838">
        <w:t xml:space="preserve">that a time to death disutility approach was appropriate based on previous PBAC submissions in small cell carcinoma and non-small cell lung cancer, and “multiple metastatic cancer HTA submissions to NICE” (p338 of the resubmission). </w:t>
      </w:r>
      <w:r w:rsidRPr="00F52B1D">
        <w:t>However, no mCRPC specific evidence relating to this approach was presented. The resubmission did not address any of the concerns raised by the PBAC in March 2021 on utility values.</w:t>
      </w:r>
      <w:r w:rsidR="00647A19">
        <w:t xml:space="preserve"> </w:t>
      </w:r>
      <w:r w:rsidR="00647A19" w:rsidRPr="00266EE3">
        <w:t xml:space="preserve">The ESC </w:t>
      </w:r>
      <w:r w:rsidR="00286A2C" w:rsidRPr="00266EE3">
        <w:t>noted that the utility values appeared to be high for all health states, particularly for post-progression, and that alternative values had not been explored. QoL data were sourced from Cohort A, which may not be representative of the BRCA1/2 population. Further, no information was provided on when QoL was assessed in PROfound nor how many patients had provided data, and the ESC noted that there was therefore potential for attrition bias in the QoL data.</w:t>
      </w:r>
      <w:bookmarkEnd w:id="55"/>
      <w:r w:rsidR="00220F36">
        <w:t xml:space="preserve"> The PBAC noted that removal of the time to death utility adjustments increased the ICER by 4.5% to </w:t>
      </w:r>
      <w:r w:rsidR="00A858D6">
        <w:t>$55,000 to &lt; $75,000</w:t>
      </w:r>
      <w:r w:rsidR="00220F36">
        <w:t>/QALY (</w:t>
      </w:r>
      <w:r w:rsidR="00A858D6">
        <w:t>$55,000 to &lt; $75,000</w:t>
      </w:r>
      <w:r w:rsidR="00220F36">
        <w:t xml:space="preserve"> based on the revised price in the pre-PBAC response</w:t>
      </w:r>
      <w:r w:rsidR="007C5E46">
        <w:t>)</w:t>
      </w:r>
      <w:r w:rsidR="00220F36">
        <w:t>.</w:t>
      </w:r>
      <w:bookmarkEnd w:id="56"/>
      <w:r w:rsidR="00220F36">
        <w:t xml:space="preserve"> </w:t>
      </w:r>
    </w:p>
    <w:p w14:paraId="0B2922DA" w14:textId="77777777" w:rsidR="00A042A9" w:rsidRPr="00CA4838" w:rsidRDefault="00A042A9" w:rsidP="00DB2410">
      <w:pPr>
        <w:pStyle w:val="ListParagraph"/>
        <w:ind w:left="709"/>
      </w:pPr>
      <w:r w:rsidRPr="00CA4838">
        <w:t>Incidence of adverse events and skeletal-related events were sourced from PROfound for both olaparib and SOC (with NHA as proxy for SOC). Disutilities were sourced from published literature and NICE technology appraisals, as with the March 2021 submission.</w:t>
      </w:r>
    </w:p>
    <w:p w14:paraId="442AADF5" w14:textId="77777777" w:rsidR="00A042A9" w:rsidRPr="00CA4838" w:rsidRDefault="00A042A9" w:rsidP="00DB2410">
      <w:pPr>
        <w:pStyle w:val="ListParagraph"/>
        <w:ind w:left="709"/>
      </w:pPr>
      <w:r w:rsidRPr="00CA4838">
        <w:t xml:space="preserve">All patients in the proposed scenario were assumed to receive one </w:t>
      </w:r>
      <w:r w:rsidRPr="00AB515A">
        <w:rPr>
          <w:iCs/>
        </w:rPr>
        <w:t>BRCA1/2</w:t>
      </w:r>
      <w:r w:rsidRPr="00CA4838">
        <w:t xml:space="preserve"> test at a cost of $1,200 each. This could be either a tumour tissue test, or a germline test if somatic testing was not feasible. </w:t>
      </w:r>
      <w:r w:rsidRPr="00F52B1D">
        <w:t>This likely underestimated the true cost of testing as it did not account for re-biopsying that may occur in practice, cost of archival tissue retrieval and review, or further germline testing followed by cascade testing in patients with BRCA1/2 pathogenic variants. Cost of genetic counselling was also not discussed.</w:t>
      </w:r>
    </w:p>
    <w:p w14:paraId="346062A7" w14:textId="77777777" w:rsidR="00A042A9" w:rsidRPr="00266EE3" w:rsidRDefault="00286A2C" w:rsidP="002B16DC">
      <w:pPr>
        <w:pStyle w:val="ListParagraph"/>
        <w:ind w:left="709"/>
        <w:rPr>
          <w:iCs/>
        </w:rPr>
      </w:pPr>
      <w:r>
        <w:t xml:space="preserve">Costs </w:t>
      </w:r>
      <w:r w:rsidR="00A042A9" w:rsidRPr="00CA4838">
        <w:t xml:space="preserve">for olaparib, cabazitaxel and concomitant therapies all appeared to be reasonably estimated. </w:t>
      </w:r>
      <w:r w:rsidR="00A042A9" w:rsidRPr="00F52B1D">
        <w:t>The cost of chemo-administration was based on hospital cost for administration of chemotherapy and was higher than the MBS item 13950 ($112.40) for chemo administration, however the overall impact of this difference to the modelled ICER was small. Adverse event, skeletal related event and disease management costs also had very little impact on the incremental costs as they were either small or applied similarly in both the proposed and current scenarios.</w:t>
      </w:r>
      <w:r w:rsidR="00A042A9" w:rsidRPr="002B16DC">
        <w:rPr>
          <w:i/>
        </w:rPr>
        <w:t xml:space="preserve"> </w:t>
      </w:r>
      <w:r w:rsidRPr="00266EE3">
        <w:rPr>
          <w:iCs/>
        </w:rPr>
        <w:t xml:space="preserve">The ESC noted that the cost of the “current scenario” </w:t>
      </w:r>
      <w:r w:rsidR="0059747A" w:rsidRPr="00266EE3">
        <w:rPr>
          <w:iCs/>
        </w:rPr>
        <w:t xml:space="preserve">appeared high </w:t>
      </w:r>
      <w:r w:rsidRPr="00266EE3">
        <w:rPr>
          <w:iCs/>
        </w:rPr>
        <w:t>(</w:t>
      </w:r>
      <w:r w:rsidR="0059747A" w:rsidRPr="00266EE3">
        <w:rPr>
          <w:iCs/>
        </w:rPr>
        <w:t>$</w:t>
      </w:r>
      <w:r w:rsidR="00CD28A8">
        <w:rPr>
          <w:iCs/>
          <w:noProof/>
          <w:color w:val="000000"/>
          <w:highlight w:val="black"/>
        </w:rPr>
        <w:t>''''''''''''''</w:t>
      </w:r>
      <w:r w:rsidR="0059747A" w:rsidRPr="00266EE3">
        <w:rPr>
          <w:iCs/>
        </w:rPr>
        <w:t xml:space="preserve"> undiscounted at 7.5 years, </w:t>
      </w:r>
      <w:r w:rsidRPr="00266EE3">
        <w:rPr>
          <w:iCs/>
        </w:rPr>
        <w:t>see Table 13)</w:t>
      </w:r>
      <w:r w:rsidR="0059747A" w:rsidRPr="00266EE3">
        <w:rPr>
          <w:iCs/>
        </w:rPr>
        <w:t>. The PBAC noted that this appeared to be driven by terminal care costs</w:t>
      </w:r>
      <w:r w:rsidR="000300CA" w:rsidRPr="00266EE3">
        <w:rPr>
          <w:iCs/>
        </w:rPr>
        <w:t>, where a one</w:t>
      </w:r>
      <w:r w:rsidR="00C24F04">
        <w:rPr>
          <w:iCs/>
        </w:rPr>
        <w:t>-</w:t>
      </w:r>
      <w:r w:rsidR="000300CA" w:rsidRPr="00266EE3">
        <w:rPr>
          <w:iCs/>
        </w:rPr>
        <w:t>off cost of $</w:t>
      </w:r>
      <w:r w:rsidR="00CD28A8">
        <w:rPr>
          <w:iCs/>
          <w:noProof/>
          <w:color w:val="000000"/>
          <w:highlight w:val="black"/>
        </w:rPr>
        <w:t xml:space="preserve">'''''''''''''''''''' </w:t>
      </w:r>
      <w:r w:rsidR="000300CA" w:rsidRPr="00266EE3">
        <w:rPr>
          <w:iCs/>
        </w:rPr>
        <w:t>was applied to the proportion of patie</w:t>
      </w:r>
      <w:r w:rsidR="00FF4741" w:rsidRPr="00266EE3">
        <w:rPr>
          <w:iCs/>
        </w:rPr>
        <w:t>nt</w:t>
      </w:r>
      <w:r w:rsidR="000300CA" w:rsidRPr="00266EE3">
        <w:rPr>
          <w:iCs/>
        </w:rPr>
        <w:t>s who die in each cycle. This was higher than the value assumed in the March 2021 submission of $</w:t>
      </w:r>
      <w:r w:rsidR="00CD28A8">
        <w:rPr>
          <w:iCs/>
          <w:noProof/>
          <w:color w:val="000000"/>
          <w:highlight w:val="black"/>
        </w:rPr>
        <w:t>''''''''''''</w:t>
      </w:r>
      <w:r w:rsidR="000300CA" w:rsidRPr="00266EE3">
        <w:rPr>
          <w:iCs/>
        </w:rPr>
        <w:t xml:space="preserve"> per event</w:t>
      </w:r>
      <w:r w:rsidR="00FF4741" w:rsidRPr="00266EE3">
        <w:rPr>
          <w:iCs/>
        </w:rPr>
        <w:t>, h</w:t>
      </w:r>
      <w:r w:rsidR="000300CA" w:rsidRPr="00266EE3">
        <w:rPr>
          <w:iCs/>
        </w:rPr>
        <w:t xml:space="preserve">owever, these costs were similar across the proposed and current scenarios and thus did not significantly alter the ICER. </w:t>
      </w:r>
    </w:p>
    <w:p w14:paraId="70B5618E" w14:textId="77777777" w:rsidR="00A042A9" w:rsidRPr="00CA4838" w:rsidRDefault="00A042A9" w:rsidP="00AB515A">
      <w:pPr>
        <w:pStyle w:val="ListParagraph"/>
        <w:ind w:left="709"/>
      </w:pPr>
      <w:r w:rsidRPr="00CA4838">
        <w:t>Key drivers of the model are described in the table below</w:t>
      </w:r>
      <w:r w:rsidR="005078DD">
        <w:t>.</w:t>
      </w:r>
    </w:p>
    <w:p w14:paraId="796C69F6" w14:textId="77777777" w:rsidR="00A042A9" w:rsidRPr="00CA4838" w:rsidRDefault="00A042A9" w:rsidP="001B37A3">
      <w:pPr>
        <w:pStyle w:val="Caption"/>
      </w:pPr>
      <w:r>
        <w:t xml:space="preserve">Table </w:t>
      </w:r>
      <w:r w:rsidR="007C5E46">
        <w:rPr>
          <w:noProof/>
        </w:rPr>
        <w:t>12</w:t>
      </w:r>
      <w:r w:rsidR="004A4197">
        <w:rPr>
          <w:noProof/>
        </w:rPr>
        <w:t xml:space="preserve">: </w:t>
      </w:r>
      <w:r w:rsidRPr="00CA4838">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Key drivers of the model"/>
      </w:tblPr>
      <w:tblGrid>
        <w:gridCol w:w="2757"/>
        <w:gridCol w:w="3828"/>
        <w:gridCol w:w="2431"/>
      </w:tblGrid>
      <w:tr w:rsidR="00A042A9" w:rsidRPr="00CA4838" w14:paraId="063F899C" w14:textId="77777777" w:rsidTr="00ED665A">
        <w:trPr>
          <w:tblHeader/>
        </w:trPr>
        <w:tc>
          <w:tcPr>
            <w:tcW w:w="1529" w:type="pct"/>
            <w:shd w:val="clear" w:color="auto" w:fill="auto"/>
            <w:vAlign w:val="bottom"/>
          </w:tcPr>
          <w:p w14:paraId="4F29F96D" w14:textId="77777777" w:rsidR="00A042A9" w:rsidRPr="00CA4838" w:rsidRDefault="00A042A9" w:rsidP="00AB7459">
            <w:pPr>
              <w:pStyle w:val="TableText"/>
              <w:keepNext/>
              <w:rPr>
                <w:b/>
              </w:rPr>
            </w:pPr>
            <w:r w:rsidRPr="00CA4838">
              <w:rPr>
                <w:b/>
              </w:rPr>
              <w:t>Description</w:t>
            </w:r>
          </w:p>
        </w:tc>
        <w:tc>
          <w:tcPr>
            <w:tcW w:w="2123" w:type="pct"/>
            <w:shd w:val="clear" w:color="auto" w:fill="auto"/>
            <w:vAlign w:val="bottom"/>
          </w:tcPr>
          <w:p w14:paraId="1852BC91" w14:textId="77777777" w:rsidR="00A042A9" w:rsidRPr="00CA4838" w:rsidRDefault="00A042A9" w:rsidP="00AB7459">
            <w:pPr>
              <w:pStyle w:val="TableText"/>
              <w:keepNext/>
              <w:rPr>
                <w:b/>
              </w:rPr>
            </w:pPr>
            <w:r w:rsidRPr="00CA4838">
              <w:rPr>
                <w:b/>
              </w:rPr>
              <w:t>Method/Value</w:t>
            </w:r>
          </w:p>
        </w:tc>
        <w:tc>
          <w:tcPr>
            <w:tcW w:w="1348" w:type="pct"/>
            <w:shd w:val="clear" w:color="auto" w:fill="auto"/>
            <w:vAlign w:val="bottom"/>
          </w:tcPr>
          <w:p w14:paraId="3918C4B8" w14:textId="77777777" w:rsidR="00A042A9" w:rsidRPr="00CA4838" w:rsidRDefault="00A042A9" w:rsidP="00AB7459">
            <w:pPr>
              <w:pStyle w:val="TableText"/>
              <w:keepNext/>
              <w:rPr>
                <w:b/>
              </w:rPr>
            </w:pPr>
            <w:r w:rsidRPr="00CA4838">
              <w:rPr>
                <w:b/>
              </w:rPr>
              <w:t>Impact</w:t>
            </w:r>
          </w:p>
        </w:tc>
      </w:tr>
      <w:tr w:rsidR="00A042A9" w:rsidRPr="00CA4838" w14:paraId="2FC9C8EB" w14:textId="77777777" w:rsidTr="00ED665A">
        <w:tc>
          <w:tcPr>
            <w:tcW w:w="1529" w:type="pct"/>
            <w:shd w:val="clear" w:color="auto" w:fill="auto"/>
            <w:vAlign w:val="center"/>
          </w:tcPr>
          <w:p w14:paraId="4E8ED314" w14:textId="77777777" w:rsidR="00A042A9" w:rsidRPr="00CA4838" w:rsidRDefault="00A042A9" w:rsidP="00AB7459">
            <w:pPr>
              <w:pStyle w:val="TableText"/>
              <w:keepNext/>
            </w:pPr>
            <w:r w:rsidRPr="00CA4838">
              <w:t>Treatment switching adjustment</w:t>
            </w:r>
          </w:p>
        </w:tc>
        <w:tc>
          <w:tcPr>
            <w:tcW w:w="2123" w:type="pct"/>
            <w:shd w:val="clear" w:color="auto" w:fill="auto"/>
            <w:vAlign w:val="center"/>
          </w:tcPr>
          <w:p w14:paraId="584482F3" w14:textId="77777777" w:rsidR="00A042A9" w:rsidRPr="00CA4838" w:rsidRDefault="00A042A9" w:rsidP="00AB7459">
            <w:pPr>
              <w:pStyle w:val="TableText"/>
              <w:keepNext/>
            </w:pPr>
            <w:r w:rsidRPr="00CA4838">
              <w:t>Methods to adjust for treatment switching were highly uncertain. The criteria for meeting RPSFTM were not completely justified and recensoring was likely to result in bias towards olaparib</w:t>
            </w:r>
          </w:p>
        </w:tc>
        <w:tc>
          <w:tcPr>
            <w:tcW w:w="1348" w:type="pct"/>
            <w:shd w:val="clear" w:color="auto" w:fill="auto"/>
            <w:vAlign w:val="center"/>
          </w:tcPr>
          <w:p w14:paraId="57609891" w14:textId="77777777" w:rsidR="00A042A9" w:rsidRPr="00CA4838" w:rsidRDefault="00A042A9" w:rsidP="00AB7459">
            <w:pPr>
              <w:pStyle w:val="TableText"/>
              <w:keepNext/>
            </w:pPr>
            <w:r w:rsidRPr="00CA4838">
              <w:t>High favours proposed scenario</w:t>
            </w:r>
          </w:p>
        </w:tc>
      </w:tr>
      <w:tr w:rsidR="00A042A9" w:rsidRPr="00CA4838" w14:paraId="49B7E09F" w14:textId="77777777" w:rsidTr="00ED665A">
        <w:tc>
          <w:tcPr>
            <w:tcW w:w="1529" w:type="pct"/>
            <w:shd w:val="clear" w:color="auto" w:fill="auto"/>
            <w:vAlign w:val="center"/>
          </w:tcPr>
          <w:p w14:paraId="6B2DBBD5" w14:textId="77777777" w:rsidR="00A042A9" w:rsidRPr="00CA4838" w:rsidRDefault="00A042A9" w:rsidP="00AB7459">
            <w:pPr>
              <w:pStyle w:val="TableText"/>
              <w:keepNext/>
            </w:pPr>
            <w:r w:rsidRPr="00CA4838">
              <w:t>OS extrapolation choice</w:t>
            </w:r>
          </w:p>
        </w:tc>
        <w:tc>
          <w:tcPr>
            <w:tcW w:w="2123" w:type="pct"/>
            <w:shd w:val="clear" w:color="auto" w:fill="auto"/>
            <w:vAlign w:val="center"/>
          </w:tcPr>
          <w:p w14:paraId="548BB9C3" w14:textId="77777777" w:rsidR="00A042A9" w:rsidRPr="00CA4838" w:rsidRDefault="00A042A9" w:rsidP="00AB7459">
            <w:pPr>
              <w:pStyle w:val="TableText"/>
              <w:keepNext/>
            </w:pPr>
            <w:r w:rsidRPr="00CA4838">
              <w:t xml:space="preserve">Extrapolation choice drove the additional LYG </w:t>
            </w:r>
            <w:r w:rsidR="000B3A5C">
              <w:t>for</w:t>
            </w:r>
            <w:r w:rsidR="000B3A5C" w:rsidRPr="00CA4838">
              <w:t xml:space="preserve"> </w:t>
            </w:r>
            <w:r w:rsidRPr="00CA4838">
              <w:t>olaparib over SOC</w:t>
            </w:r>
          </w:p>
        </w:tc>
        <w:tc>
          <w:tcPr>
            <w:tcW w:w="1348" w:type="pct"/>
            <w:shd w:val="clear" w:color="auto" w:fill="auto"/>
            <w:vAlign w:val="center"/>
          </w:tcPr>
          <w:p w14:paraId="0F625086" w14:textId="77777777" w:rsidR="00A042A9" w:rsidRPr="00CA4838" w:rsidRDefault="00A042A9" w:rsidP="00AB7459">
            <w:pPr>
              <w:pStyle w:val="TableText"/>
              <w:keepNext/>
            </w:pPr>
            <w:r w:rsidRPr="00CA4838">
              <w:t>High, favours proposed scenario</w:t>
            </w:r>
          </w:p>
        </w:tc>
      </w:tr>
      <w:tr w:rsidR="00A042A9" w:rsidRPr="00CA4838" w14:paraId="0D62F00E" w14:textId="77777777" w:rsidTr="00ED665A">
        <w:tc>
          <w:tcPr>
            <w:tcW w:w="1529" w:type="pct"/>
            <w:shd w:val="clear" w:color="auto" w:fill="auto"/>
            <w:vAlign w:val="center"/>
          </w:tcPr>
          <w:p w14:paraId="2E311997" w14:textId="77777777" w:rsidR="00A042A9" w:rsidRPr="00CA4838" w:rsidRDefault="00A042A9" w:rsidP="00AB7459">
            <w:pPr>
              <w:pStyle w:val="TableText"/>
              <w:keepNext/>
            </w:pPr>
            <w:r w:rsidRPr="00CA4838">
              <w:t xml:space="preserve">Cost of </w:t>
            </w:r>
            <w:r w:rsidR="00D55F1E">
              <w:t xml:space="preserve">BRCA1/2 </w:t>
            </w:r>
            <w:r w:rsidRPr="00CA4838">
              <w:t xml:space="preserve">testing </w:t>
            </w:r>
          </w:p>
        </w:tc>
        <w:tc>
          <w:tcPr>
            <w:tcW w:w="2123" w:type="pct"/>
            <w:shd w:val="clear" w:color="auto" w:fill="auto"/>
            <w:vAlign w:val="center"/>
          </w:tcPr>
          <w:p w14:paraId="2CAF89ED" w14:textId="77777777" w:rsidR="00A042A9" w:rsidRPr="00CA4838" w:rsidRDefault="00A042A9" w:rsidP="00AB7459">
            <w:pPr>
              <w:pStyle w:val="TableText"/>
              <w:keepNext/>
            </w:pPr>
            <w:r w:rsidRPr="00CA4838">
              <w:t xml:space="preserve">Given that 90.3% patients in the proposed scenario and 100% of patients in the current scenario accrue </w:t>
            </w:r>
            <w:r w:rsidR="00372574">
              <w:t xml:space="preserve">the </w:t>
            </w:r>
            <w:r w:rsidRPr="00CA4838">
              <w:t xml:space="preserve">same treatment costs and benefits per patient, </w:t>
            </w:r>
            <w:r w:rsidR="00372574">
              <w:t xml:space="preserve">the </w:t>
            </w:r>
            <w:r w:rsidRPr="00CA4838">
              <w:t>cost of test</w:t>
            </w:r>
            <w:r w:rsidR="00372574">
              <w:t>ing</w:t>
            </w:r>
            <w:r w:rsidRPr="00CA4838">
              <w:t xml:space="preserve"> is a large contributor to the incremental costs</w:t>
            </w:r>
          </w:p>
        </w:tc>
        <w:tc>
          <w:tcPr>
            <w:tcW w:w="1348" w:type="pct"/>
            <w:shd w:val="clear" w:color="auto" w:fill="auto"/>
            <w:vAlign w:val="center"/>
          </w:tcPr>
          <w:p w14:paraId="654B1B4B" w14:textId="77777777" w:rsidR="00A042A9" w:rsidRPr="00CA4838" w:rsidRDefault="00A042A9" w:rsidP="00AB7459">
            <w:pPr>
              <w:pStyle w:val="TableText"/>
              <w:keepNext/>
            </w:pPr>
            <w:r w:rsidRPr="00CA4838">
              <w:t>High, favours current scenario</w:t>
            </w:r>
          </w:p>
        </w:tc>
      </w:tr>
      <w:tr w:rsidR="00A042A9" w:rsidRPr="00CA4838" w14:paraId="27F4E4BD" w14:textId="77777777" w:rsidTr="00ED665A">
        <w:tc>
          <w:tcPr>
            <w:tcW w:w="1529" w:type="pct"/>
            <w:shd w:val="clear" w:color="auto" w:fill="auto"/>
            <w:vAlign w:val="center"/>
          </w:tcPr>
          <w:p w14:paraId="279FFA77" w14:textId="77777777" w:rsidR="00A042A9" w:rsidRPr="00CA4838" w:rsidRDefault="00A042A9" w:rsidP="00AB7459">
            <w:pPr>
              <w:pStyle w:val="TableText"/>
              <w:keepNext/>
            </w:pPr>
            <w:r w:rsidRPr="00CA4838">
              <w:t>Cost of olaparib</w:t>
            </w:r>
          </w:p>
        </w:tc>
        <w:tc>
          <w:tcPr>
            <w:tcW w:w="2123" w:type="pct"/>
            <w:shd w:val="clear" w:color="auto" w:fill="auto"/>
            <w:vAlign w:val="center"/>
          </w:tcPr>
          <w:p w14:paraId="3F58759B" w14:textId="77777777" w:rsidR="00A042A9" w:rsidRPr="00CA4838" w:rsidRDefault="00A042A9" w:rsidP="00AB7459">
            <w:pPr>
              <w:pStyle w:val="TableText"/>
              <w:keepNext/>
            </w:pPr>
            <w:r w:rsidRPr="00CA4838">
              <w:t>Given that 90.3% patients in the proposed scenario and 100% of patients in the current scenario accrue same treatment costs and benefits per patient, cost of olaparib is a large driver of the incremental costs</w:t>
            </w:r>
          </w:p>
        </w:tc>
        <w:tc>
          <w:tcPr>
            <w:tcW w:w="1348" w:type="pct"/>
            <w:shd w:val="clear" w:color="auto" w:fill="auto"/>
            <w:vAlign w:val="center"/>
          </w:tcPr>
          <w:p w14:paraId="3FA49500" w14:textId="77777777" w:rsidR="00A042A9" w:rsidRPr="00CA4838" w:rsidRDefault="00A042A9" w:rsidP="00AB7459">
            <w:pPr>
              <w:pStyle w:val="TableText"/>
              <w:keepNext/>
            </w:pPr>
            <w:r w:rsidRPr="00CA4838">
              <w:t>High, favours current scenario</w:t>
            </w:r>
          </w:p>
        </w:tc>
      </w:tr>
      <w:tr w:rsidR="00A042A9" w:rsidRPr="00CA4838" w14:paraId="1B4F2B1E" w14:textId="77777777" w:rsidTr="00ED665A">
        <w:trPr>
          <w:tblHeader/>
        </w:trPr>
        <w:tc>
          <w:tcPr>
            <w:tcW w:w="1529" w:type="pct"/>
            <w:shd w:val="clear" w:color="auto" w:fill="auto"/>
            <w:vAlign w:val="center"/>
          </w:tcPr>
          <w:p w14:paraId="78F7E1ED" w14:textId="77777777" w:rsidR="00A042A9" w:rsidRPr="00CA4838" w:rsidRDefault="00A042A9" w:rsidP="00AB7459">
            <w:pPr>
              <w:pStyle w:val="TableText"/>
              <w:keepNext/>
            </w:pPr>
            <w:r w:rsidRPr="00CA4838">
              <w:t xml:space="preserve">Prevalence of </w:t>
            </w:r>
            <w:r w:rsidRPr="008A4199">
              <w:rPr>
                <w:iCs/>
              </w:rPr>
              <w:t>BRCA1/2</w:t>
            </w:r>
          </w:p>
        </w:tc>
        <w:tc>
          <w:tcPr>
            <w:tcW w:w="2123" w:type="pct"/>
            <w:shd w:val="clear" w:color="auto" w:fill="auto"/>
            <w:vAlign w:val="center"/>
          </w:tcPr>
          <w:p w14:paraId="58A334F0" w14:textId="77777777" w:rsidR="00A042A9" w:rsidRPr="00CA4838" w:rsidRDefault="00A042A9" w:rsidP="00AB7459">
            <w:pPr>
              <w:pStyle w:val="TableText"/>
              <w:keepNext/>
            </w:pPr>
            <w:r w:rsidRPr="00CA4838">
              <w:t xml:space="preserve">Prevalence drives </w:t>
            </w:r>
            <w:r w:rsidR="00372574">
              <w:t xml:space="preserve">the </w:t>
            </w:r>
            <w:r w:rsidRPr="00CA4838">
              <w:t>proportion of patients in proposed scenario who receive olaparib. In the base case this is 9.7% from PROfound, which is near the upper end of the expected range 7-10%.</w:t>
            </w:r>
          </w:p>
        </w:tc>
        <w:tc>
          <w:tcPr>
            <w:tcW w:w="1348" w:type="pct"/>
            <w:shd w:val="clear" w:color="auto" w:fill="auto"/>
            <w:vAlign w:val="center"/>
          </w:tcPr>
          <w:p w14:paraId="0832AE23" w14:textId="77777777" w:rsidR="00A042A9" w:rsidRPr="00CA4838" w:rsidRDefault="00A042A9" w:rsidP="00AB7459">
            <w:pPr>
              <w:pStyle w:val="TableText"/>
              <w:keepNext/>
            </w:pPr>
            <w:r w:rsidRPr="00CA4838">
              <w:t>Moderate, favours proposed scenario</w:t>
            </w:r>
          </w:p>
        </w:tc>
      </w:tr>
      <w:tr w:rsidR="00A042A9" w:rsidRPr="00CA4838" w14:paraId="7E40A52A" w14:textId="77777777" w:rsidTr="00ED665A">
        <w:tc>
          <w:tcPr>
            <w:tcW w:w="1529" w:type="pct"/>
            <w:shd w:val="clear" w:color="auto" w:fill="auto"/>
            <w:vAlign w:val="center"/>
          </w:tcPr>
          <w:p w14:paraId="4735CC6E" w14:textId="77777777" w:rsidR="00A042A9" w:rsidRPr="00CA4838" w:rsidRDefault="00A042A9" w:rsidP="00AB7459">
            <w:pPr>
              <w:pStyle w:val="TableText"/>
              <w:keepNext/>
            </w:pPr>
            <w:r w:rsidRPr="00CA4838">
              <w:t>Utilities</w:t>
            </w:r>
          </w:p>
        </w:tc>
        <w:tc>
          <w:tcPr>
            <w:tcW w:w="2123" w:type="pct"/>
            <w:shd w:val="clear" w:color="auto" w:fill="auto"/>
            <w:vAlign w:val="center"/>
          </w:tcPr>
          <w:p w14:paraId="75F06A14" w14:textId="77777777" w:rsidR="00A042A9" w:rsidRPr="00CA4838" w:rsidRDefault="00A042A9" w:rsidP="00AB7459">
            <w:pPr>
              <w:pStyle w:val="TableText"/>
              <w:keepNext/>
            </w:pPr>
            <w:r w:rsidRPr="00CA4838">
              <w:t xml:space="preserve">Values for model health states taken from PROfound, with time to death disutility modelled separately. </w:t>
            </w:r>
          </w:p>
        </w:tc>
        <w:tc>
          <w:tcPr>
            <w:tcW w:w="1348" w:type="pct"/>
            <w:shd w:val="clear" w:color="auto" w:fill="auto"/>
            <w:vAlign w:val="center"/>
          </w:tcPr>
          <w:p w14:paraId="23228478" w14:textId="77777777" w:rsidR="00A042A9" w:rsidRPr="00CA4838" w:rsidRDefault="00A042A9" w:rsidP="00AB7459">
            <w:pPr>
              <w:pStyle w:val="TableText"/>
              <w:keepNext/>
            </w:pPr>
            <w:r w:rsidRPr="00CA4838">
              <w:t>Moderate, favours proposed scenario</w:t>
            </w:r>
          </w:p>
        </w:tc>
      </w:tr>
    </w:tbl>
    <w:p w14:paraId="110D3798" w14:textId="77777777" w:rsidR="00A042A9" w:rsidRPr="00CA4838" w:rsidRDefault="00A042A9" w:rsidP="00A042A9">
      <w:pPr>
        <w:pStyle w:val="TableFooter"/>
      </w:pPr>
      <w:r w:rsidRPr="00CA4838">
        <w:t xml:space="preserve">Source: compiled during the evaluation </w:t>
      </w:r>
    </w:p>
    <w:p w14:paraId="431A7518" w14:textId="77777777" w:rsidR="00A042A9" w:rsidRPr="00CA4838" w:rsidRDefault="00A042A9" w:rsidP="00DB2410">
      <w:pPr>
        <w:pStyle w:val="ListParagraph"/>
        <w:ind w:left="709"/>
      </w:pPr>
      <w:r w:rsidRPr="00CA4838">
        <w:t>The following cohort trace of the model demonstrates the small incremental gains expected with the availability of olaparib at the mCRPC population level</w:t>
      </w:r>
      <w:r w:rsidR="00294DBC">
        <w:t xml:space="preserve"> given only 9.7% of patients were estimated to have BRCA1/2 genetic variants</w:t>
      </w:r>
      <w:r w:rsidRPr="00CA4838">
        <w:t>.</w:t>
      </w:r>
    </w:p>
    <w:p w14:paraId="690B005E" w14:textId="77777777" w:rsidR="00A042A9" w:rsidRPr="00CA4838" w:rsidRDefault="00A042A9" w:rsidP="001B37A3">
      <w:pPr>
        <w:pStyle w:val="Caption"/>
      </w:pPr>
      <w:r w:rsidRPr="00CA4838">
        <w:t xml:space="preserve">Figure </w:t>
      </w:r>
      <w:r w:rsidR="007C5E46">
        <w:rPr>
          <w:noProof/>
        </w:rPr>
        <w:t>4</w:t>
      </w:r>
      <w:r w:rsidR="00D86DB5">
        <w:rPr>
          <w:noProof/>
        </w:rPr>
        <w:t>:</w:t>
      </w:r>
      <w:r w:rsidRPr="00CA4838">
        <w:rPr>
          <w:noProof/>
        </w:rPr>
        <w:t xml:space="preserve"> </w:t>
      </w:r>
      <w:r w:rsidRPr="00CA4838">
        <w:t>Cohort trace for base case economic model</w:t>
      </w:r>
    </w:p>
    <w:p w14:paraId="661A1081" w14:textId="77777777" w:rsidR="00A042A9" w:rsidRPr="00CA4838" w:rsidRDefault="00A042A9" w:rsidP="00A042A9">
      <w:r w:rsidRPr="00CA4838">
        <w:rPr>
          <w:noProof/>
          <w:lang w:eastAsia="en-AU"/>
        </w:rPr>
        <w:drawing>
          <wp:inline distT="0" distB="0" distL="0" distR="0" wp14:anchorId="790C9E23" wp14:editId="3F9D059E">
            <wp:extent cx="5731510" cy="3740750"/>
            <wp:effectExtent l="0" t="0" r="2540" b="0"/>
            <wp:docPr id="20" name="Picture 20" descr="Figure 4: Cohort trace for base cas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4: Cohort trace for base case economic mode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740750"/>
                    </a:xfrm>
                    <a:prstGeom prst="rect">
                      <a:avLst/>
                    </a:prstGeom>
                    <a:noFill/>
                    <a:ln>
                      <a:noFill/>
                    </a:ln>
                  </pic:spPr>
                </pic:pic>
              </a:graphicData>
            </a:graphic>
          </wp:inline>
        </w:drawing>
      </w:r>
    </w:p>
    <w:p w14:paraId="10F81675" w14:textId="77777777" w:rsidR="00A042A9" w:rsidRPr="00CA4838" w:rsidRDefault="00A042A9" w:rsidP="00A042A9">
      <w:pPr>
        <w:pStyle w:val="TableFooter"/>
      </w:pPr>
      <w:r w:rsidRPr="00CA4838">
        <w:t>Source: compiled during the evaluation</w:t>
      </w:r>
    </w:p>
    <w:p w14:paraId="18824812" w14:textId="77777777" w:rsidR="00A042A9" w:rsidRDefault="00A042A9" w:rsidP="00A042A9">
      <w:pPr>
        <w:pStyle w:val="TableFooter"/>
      </w:pPr>
      <w:r w:rsidRPr="00CA4838">
        <w:t>PD=progressive disease, PF=progression free</w:t>
      </w:r>
    </w:p>
    <w:p w14:paraId="59138B8A" w14:textId="77777777" w:rsidR="004440EA" w:rsidRPr="008A4199" w:rsidRDefault="004440EA" w:rsidP="00A042A9">
      <w:pPr>
        <w:pStyle w:val="TableFooter"/>
      </w:pPr>
      <w:r w:rsidRPr="008A4199">
        <w:t>Note this includes both treated (9.7%) and untreated (90.3%) patients in the proposed scenario arm.</w:t>
      </w:r>
    </w:p>
    <w:p w14:paraId="5DDD2564" w14:textId="77777777" w:rsidR="00A042A9" w:rsidRPr="00CA4838" w:rsidRDefault="00A042A9" w:rsidP="000C6EDA">
      <w:pPr>
        <w:pStyle w:val="ListParagraph"/>
        <w:spacing w:after="120"/>
        <w:ind w:left="862"/>
      </w:pPr>
      <w:r w:rsidRPr="00CA4838">
        <w:t>The results of the stepped analysis are presented in the table below.</w:t>
      </w:r>
    </w:p>
    <w:p w14:paraId="07F05BA0" w14:textId="77777777" w:rsidR="00A042A9" w:rsidRPr="00CA4838" w:rsidRDefault="00A042A9" w:rsidP="001B37A3">
      <w:pPr>
        <w:pStyle w:val="Caption"/>
      </w:pPr>
      <w:r>
        <w:t xml:space="preserve">Table </w:t>
      </w:r>
      <w:r w:rsidR="007C5E46">
        <w:rPr>
          <w:noProof/>
        </w:rPr>
        <w:t>13</w:t>
      </w:r>
      <w:r w:rsidR="004A4197">
        <w:rPr>
          <w:noProof/>
        </w:rPr>
        <w:t>:</w:t>
      </w:r>
      <w:r w:rsidR="004A4197">
        <w:t xml:space="preserve"> </w:t>
      </w:r>
      <w:r w:rsidRPr="00CA4838">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Results of the stepped economic evaluation"/>
      </w:tblPr>
      <w:tblGrid>
        <w:gridCol w:w="2757"/>
        <w:gridCol w:w="2451"/>
        <w:gridCol w:w="2297"/>
        <w:gridCol w:w="1511"/>
      </w:tblGrid>
      <w:tr w:rsidR="00A042A9" w:rsidRPr="00FF4741" w14:paraId="2A5BA525" w14:textId="77777777" w:rsidTr="00ED665A">
        <w:trPr>
          <w:tblHeader/>
        </w:trPr>
        <w:tc>
          <w:tcPr>
            <w:tcW w:w="1529" w:type="pct"/>
            <w:vAlign w:val="center"/>
          </w:tcPr>
          <w:p w14:paraId="2AF7CAFD" w14:textId="77777777" w:rsidR="00A042A9" w:rsidRPr="00FF4741" w:rsidRDefault="00A042A9" w:rsidP="00ED665A">
            <w:pPr>
              <w:pStyle w:val="TableHeading"/>
            </w:pPr>
            <w:r w:rsidRPr="00FF4741">
              <w:t>Step and component</w:t>
            </w:r>
          </w:p>
        </w:tc>
        <w:tc>
          <w:tcPr>
            <w:tcW w:w="1359" w:type="pct"/>
            <w:vAlign w:val="center"/>
          </w:tcPr>
          <w:p w14:paraId="7F3318C8" w14:textId="77777777" w:rsidR="00A042A9" w:rsidRPr="00FF4741" w:rsidRDefault="00A042A9" w:rsidP="00ED665A">
            <w:pPr>
              <w:pStyle w:val="TableHeading"/>
              <w:jc w:val="center"/>
            </w:pPr>
            <w:r w:rsidRPr="00FF4741">
              <w:t>Proposed scenario</w:t>
            </w:r>
          </w:p>
        </w:tc>
        <w:tc>
          <w:tcPr>
            <w:tcW w:w="1274" w:type="pct"/>
            <w:vAlign w:val="center"/>
          </w:tcPr>
          <w:p w14:paraId="664ABECB" w14:textId="77777777" w:rsidR="00A042A9" w:rsidRPr="00FF4741" w:rsidRDefault="00A042A9" w:rsidP="00ED665A">
            <w:pPr>
              <w:pStyle w:val="TableHeading"/>
              <w:jc w:val="center"/>
            </w:pPr>
            <w:r w:rsidRPr="00FF4741">
              <w:t>Current scenario</w:t>
            </w:r>
          </w:p>
        </w:tc>
        <w:tc>
          <w:tcPr>
            <w:tcW w:w="838" w:type="pct"/>
            <w:vAlign w:val="center"/>
          </w:tcPr>
          <w:p w14:paraId="5C86619D" w14:textId="77777777" w:rsidR="00A042A9" w:rsidRPr="00FF4741" w:rsidRDefault="00A042A9" w:rsidP="00ED665A">
            <w:pPr>
              <w:pStyle w:val="TableHeading"/>
              <w:jc w:val="center"/>
            </w:pPr>
            <w:r w:rsidRPr="00FF4741">
              <w:t>Increment</w:t>
            </w:r>
          </w:p>
        </w:tc>
      </w:tr>
      <w:tr w:rsidR="00A042A9" w:rsidRPr="00FF4741" w14:paraId="2E200125" w14:textId="77777777" w:rsidTr="00ED665A">
        <w:tc>
          <w:tcPr>
            <w:tcW w:w="5000" w:type="pct"/>
            <w:gridSpan w:val="4"/>
            <w:vAlign w:val="center"/>
          </w:tcPr>
          <w:p w14:paraId="18DB3F81" w14:textId="77777777" w:rsidR="00A042A9" w:rsidRPr="00FF4741" w:rsidRDefault="00A042A9" w:rsidP="00ED665A">
            <w:pPr>
              <w:pStyle w:val="Tabletext1"/>
              <w:rPr>
                <w:b/>
              </w:rPr>
            </w:pPr>
            <w:r w:rsidRPr="00FF4741">
              <w:rPr>
                <w:b/>
              </w:rPr>
              <w:t>Step 1: trial-based - 36 month time horizon with costs of AEs and SRE management included</w:t>
            </w:r>
          </w:p>
        </w:tc>
      </w:tr>
      <w:tr w:rsidR="00A042A9" w:rsidRPr="00FF4741" w14:paraId="5A1CC678" w14:textId="77777777" w:rsidTr="00ED665A">
        <w:tc>
          <w:tcPr>
            <w:tcW w:w="1529" w:type="pct"/>
            <w:vAlign w:val="center"/>
          </w:tcPr>
          <w:p w14:paraId="1CD8B4A5" w14:textId="77777777" w:rsidR="00A042A9" w:rsidRPr="00FF4741" w:rsidRDefault="00A042A9" w:rsidP="00ED665A">
            <w:pPr>
              <w:pStyle w:val="Tabletext1"/>
            </w:pPr>
            <w:r w:rsidRPr="00FF4741">
              <w:t>Costs</w:t>
            </w:r>
            <w:r w:rsidR="0073215C">
              <w:t>^</w:t>
            </w:r>
            <w:r w:rsidR="00A858D6">
              <w:t xml:space="preserve"> ($)</w:t>
            </w:r>
          </w:p>
        </w:tc>
        <w:tc>
          <w:tcPr>
            <w:tcW w:w="1359" w:type="pct"/>
            <w:vAlign w:val="center"/>
          </w:tcPr>
          <w:p w14:paraId="4096ED5E" w14:textId="77777777" w:rsidR="00A042A9" w:rsidRPr="00CD28A8" w:rsidRDefault="00CD28A8" w:rsidP="00ED665A">
            <w:pPr>
              <w:pStyle w:val="Tabletext1"/>
              <w:jc w:val="center"/>
              <w:rPr>
                <w:highlight w:val="black"/>
              </w:rPr>
            </w:pPr>
            <w:r>
              <w:rPr>
                <w:noProof/>
                <w:color w:val="000000"/>
                <w:highlight w:val="black"/>
              </w:rPr>
              <w:t>'''''''''''''''''''</w:t>
            </w:r>
          </w:p>
        </w:tc>
        <w:tc>
          <w:tcPr>
            <w:tcW w:w="1274" w:type="pct"/>
            <w:vAlign w:val="center"/>
          </w:tcPr>
          <w:p w14:paraId="791CF74D" w14:textId="77777777" w:rsidR="00A042A9" w:rsidRPr="00CD28A8" w:rsidRDefault="00CD28A8" w:rsidP="00ED665A">
            <w:pPr>
              <w:pStyle w:val="Tabletext1"/>
              <w:jc w:val="center"/>
              <w:rPr>
                <w:highlight w:val="black"/>
              </w:rPr>
            </w:pPr>
            <w:r>
              <w:rPr>
                <w:noProof/>
                <w:color w:val="000000"/>
                <w:highlight w:val="black"/>
              </w:rPr>
              <w:t>''''''''''''''''''</w:t>
            </w:r>
          </w:p>
        </w:tc>
        <w:tc>
          <w:tcPr>
            <w:tcW w:w="838" w:type="pct"/>
            <w:vAlign w:val="center"/>
          </w:tcPr>
          <w:p w14:paraId="6748421A" w14:textId="77777777" w:rsidR="00A042A9" w:rsidRPr="00CD28A8" w:rsidRDefault="00CD28A8" w:rsidP="00ED665A">
            <w:pPr>
              <w:pStyle w:val="Tabletext1"/>
              <w:jc w:val="center"/>
              <w:rPr>
                <w:highlight w:val="black"/>
              </w:rPr>
            </w:pPr>
            <w:r>
              <w:rPr>
                <w:noProof/>
                <w:color w:val="000000"/>
                <w:highlight w:val="black"/>
              </w:rPr>
              <w:t>''''''''''''''''</w:t>
            </w:r>
          </w:p>
        </w:tc>
      </w:tr>
      <w:tr w:rsidR="00A042A9" w:rsidRPr="00FF4741" w14:paraId="20F11933" w14:textId="77777777" w:rsidTr="00ED665A">
        <w:tc>
          <w:tcPr>
            <w:tcW w:w="1529" w:type="pct"/>
            <w:vAlign w:val="center"/>
          </w:tcPr>
          <w:p w14:paraId="1CF6E06F" w14:textId="77777777" w:rsidR="00A042A9" w:rsidRPr="00CD28A8" w:rsidRDefault="00A042A9">
            <w:pPr>
              <w:pStyle w:val="Tabletext1"/>
              <w:rPr>
                <w:vertAlign w:val="superscript"/>
              </w:rPr>
            </w:pPr>
            <w:r w:rsidRPr="00FF4741">
              <w:t>LY</w:t>
            </w:r>
          </w:p>
        </w:tc>
        <w:tc>
          <w:tcPr>
            <w:tcW w:w="1359" w:type="pct"/>
            <w:vAlign w:val="center"/>
          </w:tcPr>
          <w:p w14:paraId="460CB8F2" w14:textId="77777777" w:rsidR="00A042A9" w:rsidRPr="00AB515A" w:rsidRDefault="00A042A9" w:rsidP="00ED665A">
            <w:pPr>
              <w:pStyle w:val="Tabletext1"/>
              <w:jc w:val="center"/>
              <w:rPr>
                <w:rFonts w:cs="Arial"/>
                <w:color w:val="000000"/>
              </w:rPr>
            </w:pPr>
            <w:r w:rsidRPr="00AB515A">
              <w:t>0.92</w:t>
            </w:r>
          </w:p>
        </w:tc>
        <w:tc>
          <w:tcPr>
            <w:tcW w:w="1274" w:type="pct"/>
            <w:vAlign w:val="center"/>
          </w:tcPr>
          <w:p w14:paraId="712005B6" w14:textId="77777777" w:rsidR="00A042A9" w:rsidRPr="00AB515A" w:rsidRDefault="00A042A9" w:rsidP="00ED665A">
            <w:pPr>
              <w:pStyle w:val="Tabletext1"/>
              <w:jc w:val="center"/>
              <w:rPr>
                <w:rFonts w:cs="Arial"/>
                <w:color w:val="000000"/>
              </w:rPr>
            </w:pPr>
            <w:r w:rsidRPr="00AB515A">
              <w:t>0.83</w:t>
            </w:r>
          </w:p>
        </w:tc>
        <w:tc>
          <w:tcPr>
            <w:tcW w:w="838" w:type="pct"/>
            <w:vAlign w:val="center"/>
          </w:tcPr>
          <w:p w14:paraId="7488033C" w14:textId="77777777" w:rsidR="00A042A9" w:rsidRPr="00AB515A" w:rsidRDefault="00A042A9" w:rsidP="00ED665A">
            <w:pPr>
              <w:pStyle w:val="Tabletext1"/>
              <w:jc w:val="center"/>
              <w:rPr>
                <w:rFonts w:cs="Arial"/>
                <w:color w:val="000000"/>
              </w:rPr>
            </w:pPr>
            <w:r w:rsidRPr="00AB515A">
              <w:t>0.10</w:t>
            </w:r>
          </w:p>
        </w:tc>
      </w:tr>
      <w:tr w:rsidR="00A042A9" w:rsidRPr="00FF4741" w14:paraId="494299D8" w14:textId="77777777" w:rsidTr="00ED665A">
        <w:tc>
          <w:tcPr>
            <w:tcW w:w="4162" w:type="pct"/>
            <w:gridSpan w:val="3"/>
            <w:vAlign w:val="center"/>
          </w:tcPr>
          <w:p w14:paraId="5C606B81" w14:textId="77777777" w:rsidR="00A042A9" w:rsidRPr="00FF4741" w:rsidRDefault="00A042A9" w:rsidP="00ED665A">
            <w:pPr>
              <w:pStyle w:val="Tabletext1"/>
            </w:pPr>
            <w:r w:rsidRPr="00FF4741">
              <w:t xml:space="preserve">Incremental cost/extra LY gained </w:t>
            </w:r>
          </w:p>
        </w:tc>
        <w:tc>
          <w:tcPr>
            <w:tcW w:w="838" w:type="pct"/>
            <w:vAlign w:val="center"/>
          </w:tcPr>
          <w:p w14:paraId="7A09139E" w14:textId="77777777" w:rsidR="00A042A9" w:rsidRPr="00AB515A" w:rsidRDefault="00CD28A8" w:rsidP="00ED665A">
            <w:pPr>
              <w:pStyle w:val="Tabletext1"/>
              <w:jc w:val="center"/>
              <w:rPr>
                <w:rFonts w:cs="Arial"/>
                <w:color w:val="000000"/>
              </w:rPr>
            </w:pPr>
            <w:r>
              <w:rPr>
                <w:rFonts w:cs="Arial"/>
                <w:noProof/>
                <w:color w:val="000000"/>
                <w:highlight w:val="black"/>
              </w:rPr>
              <w:t>''''''''''''''''''''</w:t>
            </w:r>
            <w:r w:rsidR="00A858D6">
              <w:rPr>
                <w:vertAlign w:val="superscript"/>
              </w:rPr>
              <w:t>1</w:t>
            </w:r>
          </w:p>
        </w:tc>
      </w:tr>
      <w:tr w:rsidR="00A042A9" w:rsidRPr="00FF4741" w14:paraId="0AFAC002" w14:textId="77777777" w:rsidTr="00ED665A">
        <w:tc>
          <w:tcPr>
            <w:tcW w:w="5000" w:type="pct"/>
            <w:gridSpan w:val="4"/>
            <w:tcBorders>
              <w:top w:val="double" w:sz="4" w:space="0" w:color="auto"/>
            </w:tcBorders>
            <w:vAlign w:val="center"/>
          </w:tcPr>
          <w:p w14:paraId="1B14E0A4" w14:textId="77777777" w:rsidR="00A042A9" w:rsidRPr="00FF4741" w:rsidRDefault="00A042A9" w:rsidP="00ED665A">
            <w:pPr>
              <w:pStyle w:val="Tabletext1"/>
              <w:rPr>
                <w:b/>
              </w:rPr>
            </w:pPr>
            <w:r w:rsidRPr="00FF4741">
              <w:rPr>
                <w:b/>
              </w:rPr>
              <w:t>Step 2: 7.5 year time horizon</w:t>
            </w:r>
          </w:p>
        </w:tc>
      </w:tr>
      <w:tr w:rsidR="00A042A9" w:rsidRPr="00FF4741" w14:paraId="609FECD0" w14:textId="77777777" w:rsidTr="00ED665A">
        <w:tc>
          <w:tcPr>
            <w:tcW w:w="1529" w:type="pct"/>
            <w:vAlign w:val="center"/>
          </w:tcPr>
          <w:p w14:paraId="50A4CAB1" w14:textId="77777777" w:rsidR="00A042A9" w:rsidRPr="00FF4741" w:rsidRDefault="00A042A9" w:rsidP="00ED665A">
            <w:pPr>
              <w:pStyle w:val="Tabletext1"/>
              <w:rPr>
                <w:rFonts w:ascii="Times" w:hAnsi="Times"/>
              </w:rPr>
            </w:pPr>
            <w:r w:rsidRPr="00FF4741">
              <w:t>Costs</w:t>
            </w:r>
            <w:r w:rsidR="00A858D6">
              <w:t xml:space="preserve"> ($)</w:t>
            </w:r>
          </w:p>
        </w:tc>
        <w:tc>
          <w:tcPr>
            <w:tcW w:w="1359" w:type="pct"/>
            <w:vAlign w:val="center"/>
          </w:tcPr>
          <w:p w14:paraId="5D00CA75" w14:textId="77777777" w:rsidR="00A042A9" w:rsidRPr="00CD28A8" w:rsidRDefault="00CD28A8" w:rsidP="00ED665A">
            <w:pPr>
              <w:pStyle w:val="Tabletext1"/>
              <w:jc w:val="center"/>
              <w:rPr>
                <w:highlight w:val="black"/>
              </w:rPr>
            </w:pPr>
            <w:r>
              <w:rPr>
                <w:noProof/>
                <w:color w:val="000000"/>
                <w:highlight w:val="black"/>
              </w:rPr>
              <w:t>'''''''''''''''''''</w:t>
            </w:r>
          </w:p>
        </w:tc>
        <w:tc>
          <w:tcPr>
            <w:tcW w:w="1274" w:type="pct"/>
            <w:vAlign w:val="center"/>
          </w:tcPr>
          <w:p w14:paraId="0263C266" w14:textId="77777777" w:rsidR="00A042A9" w:rsidRPr="00CD28A8" w:rsidRDefault="00CD28A8" w:rsidP="00ED665A">
            <w:pPr>
              <w:pStyle w:val="Tabletext1"/>
              <w:jc w:val="center"/>
              <w:rPr>
                <w:highlight w:val="black"/>
              </w:rPr>
            </w:pPr>
            <w:r>
              <w:rPr>
                <w:noProof/>
                <w:color w:val="000000"/>
                <w:highlight w:val="black"/>
              </w:rPr>
              <w:t>''''''''''''''''''''</w:t>
            </w:r>
          </w:p>
        </w:tc>
        <w:tc>
          <w:tcPr>
            <w:tcW w:w="838" w:type="pct"/>
            <w:vAlign w:val="center"/>
          </w:tcPr>
          <w:p w14:paraId="48257901" w14:textId="77777777" w:rsidR="00A042A9" w:rsidRPr="00CD28A8" w:rsidRDefault="00CD28A8" w:rsidP="00ED665A">
            <w:pPr>
              <w:pStyle w:val="Tabletext1"/>
              <w:jc w:val="center"/>
              <w:rPr>
                <w:highlight w:val="black"/>
              </w:rPr>
            </w:pPr>
            <w:r>
              <w:rPr>
                <w:noProof/>
                <w:color w:val="000000"/>
                <w:highlight w:val="black"/>
              </w:rPr>
              <w:t>'''''''''''''''''</w:t>
            </w:r>
          </w:p>
        </w:tc>
      </w:tr>
      <w:tr w:rsidR="00A042A9" w:rsidRPr="00FF4741" w14:paraId="6D0126E7" w14:textId="77777777" w:rsidTr="00ED665A">
        <w:tc>
          <w:tcPr>
            <w:tcW w:w="1529" w:type="pct"/>
            <w:vAlign w:val="center"/>
          </w:tcPr>
          <w:p w14:paraId="724CC30C" w14:textId="77777777" w:rsidR="00A042A9" w:rsidRPr="00FF4741" w:rsidRDefault="00A042A9" w:rsidP="00ED665A">
            <w:pPr>
              <w:pStyle w:val="Tabletext1"/>
            </w:pPr>
            <w:r w:rsidRPr="00FF4741">
              <w:t>LY</w:t>
            </w:r>
          </w:p>
        </w:tc>
        <w:tc>
          <w:tcPr>
            <w:tcW w:w="1359" w:type="pct"/>
            <w:vAlign w:val="center"/>
          </w:tcPr>
          <w:p w14:paraId="05E39B40" w14:textId="77777777" w:rsidR="00A042A9" w:rsidRPr="00FF4741" w:rsidRDefault="00A042A9" w:rsidP="00ED665A">
            <w:pPr>
              <w:pStyle w:val="Tabletext1"/>
              <w:jc w:val="center"/>
            </w:pPr>
            <w:r w:rsidRPr="00FF4741">
              <w:t>0.97</w:t>
            </w:r>
          </w:p>
        </w:tc>
        <w:tc>
          <w:tcPr>
            <w:tcW w:w="1274" w:type="pct"/>
            <w:vAlign w:val="center"/>
          </w:tcPr>
          <w:p w14:paraId="07C78B58" w14:textId="77777777" w:rsidR="00A042A9" w:rsidRPr="00FF4741" w:rsidRDefault="00A042A9" w:rsidP="00ED665A">
            <w:pPr>
              <w:pStyle w:val="Tabletext1"/>
              <w:jc w:val="center"/>
            </w:pPr>
            <w:r w:rsidRPr="00FF4741">
              <w:t>0.83</w:t>
            </w:r>
          </w:p>
        </w:tc>
        <w:tc>
          <w:tcPr>
            <w:tcW w:w="838" w:type="pct"/>
            <w:vAlign w:val="center"/>
          </w:tcPr>
          <w:p w14:paraId="0D395F13" w14:textId="77777777" w:rsidR="00A042A9" w:rsidRPr="00FF4741" w:rsidRDefault="00A042A9" w:rsidP="00ED665A">
            <w:pPr>
              <w:pStyle w:val="Tabletext1"/>
              <w:jc w:val="center"/>
            </w:pPr>
            <w:r w:rsidRPr="00FF4741">
              <w:t>0.13</w:t>
            </w:r>
          </w:p>
        </w:tc>
      </w:tr>
      <w:tr w:rsidR="00A042A9" w:rsidRPr="00FF4741" w14:paraId="0FC3B02B" w14:textId="77777777" w:rsidTr="00ED665A">
        <w:tc>
          <w:tcPr>
            <w:tcW w:w="4162" w:type="pct"/>
            <w:gridSpan w:val="3"/>
            <w:vAlign w:val="center"/>
          </w:tcPr>
          <w:p w14:paraId="603E654D" w14:textId="77777777" w:rsidR="00A042A9" w:rsidRPr="00FF4741" w:rsidRDefault="00A042A9" w:rsidP="00ED665A">
            <w:pPr>
              <w:pStyle w:val="Tabletext1"/>
            </w:pPr>
            <w:r w:rsidRPr="00FF4741">
              <w:t xml:space="preserve">Incremental cost/extra LY gained </w:t>
            </w:r>
          </w:p>
        </w:tc>
        <w:tc>
          <w:tcPr>
            <w:tcW w:w="838" w:type="pct"/>
            <w:vAlign w:val="center"/>
          </w:tcPr>
          <w:p w14:paraId="54C11EB4" w14:textId="77777777" w:rsidR="00A042A9" w:rsidRPr="00FF4741" w:rsidRDefault="00CD28A8" w:rsidP="00ED665A">
            <w:pPr>
              <w:pStyle w:val="Tabletext1"/>
              <w:jc w:val="center"/>
            </w:pPr>
            <w:r>
              <w:rPr>
                <w:noProof/>
                <w:color w:val="000000"/>
                <w:highlight w:val="black"/>
              </w:rPr>
              <w:t>'''''''''''''''''''</w:t>
            </w:r>
            <w:r w:rsidR="00A858D6">
              <w:rPr>
                <w:vertAlign w:val="superscript"/>
              </w:rPr>
              <w:t>2</w:t>
            </w:r>
          </w:p>
        </w:tc>
      </w:tr>
      <w:tr w:rsidR="00A042A9" w:rsidRPr="00FF4741" w14:paraId="70FE7E6D" w14:textId="77777777" w:rsidTr="00ED665A">
        <w:tc>
          <w:tcPr>
            <w:tcW w:w="5000" w:type="pct"/>
            <w:gridSpan w:val="4"/>
            <w:tcBorders>
              <w:top w:val="double" w:sz="4" w:space="0" w:color="auto"/>
            </w:tcBorders>
            <w:vAlign w:val="center"/>
          </w:tcPr>
          <w:p w14:paraId="614A0DC1" w14:textId="77777777" w:rsidR="00A042A9" w:rsidRPr="00FF4741" w:rsidRDefault="00A042A9" w:rsidP="00ED665A">
            <w:pPr>
              <w:pStyle w:val="Tabletext1"/>
              <w:rPr>
                <w:b/>
              </w:rPr>
            </w:pPr>
            <w:r w:rsidRPr="00FF4741">
              <w:rPr>
                <w:b/>
              </w:rPr>
              <w:t>Step 3: 7.5 year time horizon with discounted utilities and costs</w:t>
            </w:r>
          </w:p>
        </w:tc>
      </w:tr>
      <w:tr w:rsidR="00A042A9" w:rsidRPr="00FF4741" w14:paraId="12D192A6" w14:textId="77777777" w:rsidTr="00ED665A">
        <w:tc>
          <w:tcPr>
            <w:tcW w:w="1529" w:type="pct"/>
            <w:vAlign w:val="center"/>
          </w:tcPr>
          <w:p w14:paraId="6E450937" w14:textId="77777777" w:rsidR="00A042A9" w:rsidRPr="00FF4741" w:rsidRDefault="00A042A9" w:rsidP="00ED665A">
            <w:pPr>
              <w:pStyle w:val="Tabletext1"/>
            </w:pPr>
            <w:r w:rsidRPr="00FF4741">
              <w:t>Costs</w:t>
            </w:r>
            <w:r w:rsidR="00A858D6">
              <w:t xml:space="preserve"> ($)</w:t>
            </w:r>
          </w:p>
        </w:tc>
        <w:tc>
          <w:tcPr>
            <w:tcW w:w="1359" w:type="pct"/>
            <w:vAlign w:val="center"/>
          </w:tcPr>
          <w:p w14:paraId="697F794A" w14:textId="77777777" w:rsidR="00A042A9" w:rsidRPr="00CD28A8" w:rsidRDefault="00CD28A8" w:rsidP="00ED665A">
            <w:pPr>
              <w:pStyle w:val="Tabletext1"/>
              <w:jc w:val="center"/>
              <w:rPr>
                <w:highlight w:val="black"/>
              </w:rPr>
            </w:pPr>
            <w:r>
              <w:rPr>
                <w:noProof/>
                <w:color w:val="000000"/>
                <w:highlight w:val="black"/>
              </w:rPr>
              <w:t>'''''''''''''''''</w:t>
            </w:r>
          </w:p>
        </w:tc>
        <w:tc>
          <w:tcPr>
            <w:tcW w:w="1274" w:type="pct"/>
            <w:vAlign w:val="center"/>
          </w:tcPr>
          <w:p w14:paraId="5A5D04E4" w14:textId="77777777" w:rsidR="00A042A9" w:rsidRPr="00CD28A8" w:rsidRDefault="00CD28A8" w:rsidP="00ED665A">
            <w:pPr>
              <w:pStyle w:val="Tabletext1"/>
              <w:jc w:val="center"/>
              <w:rPr>
                <w:highlight w:val="black"/>
              </w:rPr>
            </w:pPr>
            <w:r>
              <w:rPr>
                <w:noProof/>
                <w:color w:val="000000"/>
                <w:highlight w:val="black"/>
              </w:rPr>
              <w:t>''''''''''''''''''''</w:t>
            </w:r>
          </w:p>
        </w:tc>
        <w:tc>
          <w:tcPr>
            <w:tcW w:w="838" w:type="pct"/>
            <w:vAlign w:val="center"/>
          </w:tcPr>
          <w:p w14:paraId="3D918614" w14:textId="77777777" w:rsidR="00A042A9" w:rsidRPr="00CD28A8" w:rsidRDefault="00CD28A8" w:rsidP="00ED665A">
            <w:pPr>
              <w:pStyle w:val="Tabletext1"/>
              <w:jc w:val="center"/>
              <w:rPr>
                <w:highlight w:val="black"/>
              </w:rPr>
            </w:pPr>
            <w:r>
              <w:rPr>
                <w:noProof/>
                <w:color w:val="000000"/>
                <w:highlight w:val="black"/>
              </w:rPr>
              <w:t>''''''''''''''''</w:t>
            </w:r>
          </w:p>
        </w:tc>
      </w:tr>
      <w:tr w:rsidR="00A042A9" w:rsidRPr="00FF4741" w14:paraId="6571DC55" w14:textId="77777777" w:rsidTr="00ED665A">
        <w:tc>
          <w:tcPr>
            <w:tcW w:w="1529" w:type="pct"/>
            <w:vAlign w:val="center"/>
          </w:tcPr>
          <w:p w14:paraId="0CF39491" w14:textId="77777777" w:rsidR="00A042A9" w:rsidRPr="00FF4741" w:rsidRDefault="00A042A9" w:rsidP="00ED665A">
            <w:pPr>
              <w:pStyle w:val="Tabletext1"/>
            </w:pPr>
            <w:r w:rsidRPr="00FF4741">
              <w:t>LY</w:t>
            </w:r>
          </w:p>
        </w:tc>
        <w:tc>
          <w:tcPr>
            <w:tcW w:w="1359" w:type="pct"/>
            <w:vAlign w:val="center"/>
          </w:tcPr>
          <w:p w14:paraId="7797433B" w14:textId="77777777" w:rsidR="00A042A9" w:rsidRPr="00FF4741" w:rsidRDefault="00A042A9" w:rsidP="00ED665A">
            <w:pPr>
              <w:pStyle w:val="Tabletext1"/>
              <w:jc w:val="center"/>
            </w:pPr>
            <w:r w:rsidRPr="00FF4741">
              <w:t>0.93</w:t>
            </w:r>
          </w:p>
        </w:tc>
        <w:tc>
          <w:tcPr>
            <w:tcW w:w="1274" w:type="pct"/>
            <w:vAlign w:val="center"/>
          </w:tcPr>
          <w:p w14:paraId="00FB365C" w14:textId="77777777" w:rsidR="00A042A9" w:rsidRPr="00FF4741" w:rsidRDefault="00A042A9" w:rsidP="00ED665A">
            <w:pPr>
              <w:pStyle w:val="Tabletext1"/>
              <w:jc w:val="center"/>
            </w:pPr>
            <w:r w:rsidRPr="00FF4741">
              <w:t>0.81</w:t>
            </w:r>
          </w:p>
        </w:tc>
        <w:tc>
          <w:tcPr>
            <w:tcW w:w="838" w:type="pct"/>
            <w:vAlign w:val="center"/>
          </w:tcPr>
          <w:p w14:paraId="406107B7" w14:textId="77777777" w:rsidR="00A042A9" w:rsidRPr="00FF4741" w:rsidRDefault="00A042A9" w:rsidP="00ED665A">
            <w:pPr>
              <w:pStyle w:val="Tabletext1"/>
              <w:jc w:val="center"/>
            </w:pPr>
            <w:r w:rsidRPr="00FF4741">
              <w:t>0.12</w:t>
            </w:r>
          </w:p>
        </w:tc>
      </w:tr>
      <w:tr w:rsidR="00A042A9" w:rsidRPr="00FF4741" w14:paraId="686BB947" w14:textId="77777777" w:rsidTr="00ED665A">
        <w:tc>
          <w:tcPr>
            <w:tcW w:w="4162" w:type="pct"/>
            <w:gridSpan w:val="3"/>
            <w:vAlign w:val="center"/>
          </w:tcPr>
          <w:p w14:paraId="5C1EA0EA" w14:textId="77777777" w:rsidR="00A042A9" w:rsidRPr="00FF4741" w:rsidRDefault="00A042A9" w:rsidP="00ED665A">
            <w:pPr>
              <w:pStyle w:val="Tabletext1"/>
            </w:pPr>
            <w:r w:rsidRPr="00FF4741">
              <w:t xml:space="preserve">Incremental discounted cost/extra LY gained </w:t>
            </w:r>
          </w:p>
        </w:tc>
        <w:tc>
          <w:tcPr>
            <w:tcW w:w="838" w:type="pct"/>
            <w:vAlign w:val="center"/>
          </w:tcPr>
          <w:p w14:paraId="1E100A66" w14:textId="77777777" w:rsidR="00A042A9" w:rsidRPr="00FF4741" w:rsidRDefault="00CD28A8" w:rsidP="00ED665A">
            <w:pPr>
              <w:pStyle w:val="Tabletext1"/>
              <w:jc w:val="center"/>
            </w:pPr>
            <w:r>
              <w:rPr>
                <w:noProof/>
                <w:color w:val="000000"/>
                <w:highlight w:val="black"/>
              </w:rPr>
              <w:t>'''''''''''''''''''</w:t>
            </w:r>
            <w:r w:rsidR="00A858D6">
              <w:rPr>
                <w:vertAlign w:val="superscript"/>
              </w:rPr>
              <w:t>2</w:t>
            </w:r>
          </w:p>
        </w:tc>
      </w:tr>
      <w:tr w:rsidR="00A042A9" w:rsidRPr="00FF4741" w14:paraId="5077C661" w14:textId="77777777" w:rsidTr="00ED665A">
        <w:tc>
          <w:tcPr>
            <w:tcW w:w="1529" w:type="pct"/>
            <w:vAlign w:val="center"/>
          </w:tcPr>
          <w:p w14:paraId="07AFCAEA" w14:textId="77777777" w:rsidR="00A042A9" w:rsidRPr="00FF4741" w:rsidRDefault="00A042A9" w:rsidP="00ED665A">
            <w:pPr>
              <w:pStyle w:val="Tabletext1"/>
            </w:pPr>
            <w:r w:rsidRPr="00FF4741">
              <w:t>QALY</w:t>
            </w:r>
          </w:p>
        </w:tc>
        <w:tc>
          <w:tcPr>
            <w:tcW w:w="1359" w:type="pct"/>
            <w:vAlign w:val="center"/>
          </w:tcPr>
          <w:p w14:paraId="7E08189E" w14:textId="77777777" w:rsidR="00A042A9" w:rsidRPr="00FF4741" w:rsidRDefault="00A042A9" w:rsidP="00ED665A">
            <w:pPr>
              <w:pStyle w:val="Tabletext1"/>
              <w:jc w:val="center"/>
            </w:pPr>
            <w:r w:rsidRPr="00FF4741">
              <w:t>0.55</w:t>
            </w:r>
          </w:p>
        </w:tc>
        <w:tc>
          <w:tcPr>
            <w:tcW w:w="1274" w:type="pct"/>
            <w:vAlign w:val="center"/>
          </w:tcPr>
          <w:p w14:paraId="17A56CA6" w14:textId="77777777" w:rsidR="00A042A9" w:rsidRPr="00FF4741" w:rsidRDefault="00A042A9" w:rsidP="00ED665A">
            <w:pPr>
              <w:pStyle w:val="Tabletext1"/>
              <w:jc w:val="center"/>
            </w:pPr>
            <w:r w:rsidRPr="00FF4741">
              <w:t>0.47</w:t>
            </w:r>
          </w:p>
        </w:tc>
        <w:tc>
          <w:tcPr>
            <w:tcW w:w="838" w:type="pct"/>
            <w:vAlign w:val="center"/>
          </w:tcPr>
          <w:p w14:paraId="4045CA89" w14:textId="77777777" w:rsidR="00A042A9" w:rsidRPr="00FF4741" w:rsidRDefault="00A042A9" w:rsidP="00ED665A">
            <w:pPr>
              <w:pStyle w:val="Tabletext1"/>
              <w:jc w:val="center"/>
            </w:pPr>
            <w:r w:rsidRPr="00FF4741">
              <w:t>0.09</w:t>
            </w:r>
          </w:p>
        </w:tc>
      </w:tr>
      <w:tr w:rsidR="00A042A9" w:rsidRPr="00FF4741" w14:paraId="7CF18525" w14:textId="77777777" w:rsidTr="00ED665A">
        <w:tc>
          <w:tcPr>
            <w:tcW w:w="4162" w:type="pct"/>
            <w:gridSpan w:val="3"/>
            <w:vAlign w:val="center"/>
          </w:tcPr>
          <w:p w14:paraId="1E026490" w14:textId="77777777" w:rsidR="00A042A9" w:rsidRPr="00FF4741" w:rsidRDefault="00A042A9" w:rsidP="00ED665A">
            <w:pPr>
              <w:pStyle w:val="Tabletext1"/>
            </w:pPr>
            <w:r w:rsidRPr="00FF4741">
              <w:t>Incremental discounted cost/extra QALY gained (base case)</w:t>
            </w:r>
          </w:p>
        </w:tc>
        <w:tc>
          <w:tcPr>
            <w:tcW w:w="838" w:type="pct"/>
            <w:vAlign w:val="center"/>
          </w:tcPr>
          <w:p w14:paraId="5CD89C50" w14:textId="77777777" w:rsidR="00A042A9" w:rsidRPr="00FF4741" w:rsidRDefault="00CD28A8" w:rsidP="00ED665A">
            <w:pPr>
              <w:pStyle w:val="Tabletext1"/>
              <w:jc w:val="center"/>
            </w:pPr>
            <w:r>
              <w:rPr>
                <w:noProof/>
                <w:color w:val="000000"/>
                <w:highlight w:val="black"/>
              </w:rPr>
              <w:t>'''''''''''''''''''</w:t>
            </w:r>
            <w:r w:rsidR="00A858D6">
              <w:rPr>
                <w:vertAlign w:val="superscript"/>
              </w:rPr>
              <w:t>3</w:t>
            </w:r>
          </w:p>
        </w:tc>
      </w:tr>
    </w:tbl>
    <w:p w14:paraId="588DE5B5" w14:textId="77777777" w:rsidR="00A042A9" w:rsidRPr="00AB515A" w:rsidRDefault="00A042A9" w:rsidP="00A042A9">
      <w:pPr>
        <w:pStyle w:val="TableFooter"/>
        <w:keepNext/>
        <w:keepLines/>
        <w:rPr>
          <w:iCs/>
        </w:rPr>
      </w:pPr>
      <w:r w:rsidRPr="00AB515A">
        <w:rPr>
          <w:iCs/>
        </w:rPr>
        <w:t>^</w:t>
      </w:r>
      <w:r w:rsidRPr="00AB515A">
        <w:rPr>
          <w:iCs/>
        </w:rPr>
        <w:tab/>
        <w:t xml:space="preserve">undiscounted results generated during the evaluation </w:t>
      </w:r>
    </w:p>
    <w:p w14:paraId="56B247F7" w14:textId="77777777" w:rsidR="00A042A9" w:rsidRPr="00FF4741" w:rsidRDefault="00A042A9" w:rsidP="00A042A9">
      <w:pPr>
        <w:pStyle w:val="TableFooter"/>
        <w:keepNext/>
        <w:keepLines/>
        <w:rPr>
          <w:iCs/>
        </w:rPr>
      </w:pPr>
      <w:r w:rsidRPr="00FF4741">
        <w:rPr>
          <w:iCs/>
        </w:rPr>
        <w:t xml:space="preserve">Source: Table 145, p372 of the resubmission and </w:t>
      </w:r>
      <w:r w:rsidRPr="00AB515A">
        <w:rPr>
          <w:iCs/>
        </w:rPr>
        <w:t>compiled during the evaluation</w:t>
      </w:r>
    </w:p>
    <w:p w14:paraId="107FA833" w14:textId="77777777" w:rsidR="00A042A9" w:rsidRPr="00CA4838" w:rsidRDefault="00A042A9" w:rsidP="00A042A9">
      <w:pPr>
        <w:pStyle w:val="TableFooter"/>
        <w:keepNext/>
        <w:keepLines/>
      </w:pPr>
      <w:r w:rsidRPr="00CA4838">
        <w:t xml:space="preserve">Note: Table 145 of the resubmission does not present undiscounted results. </w:t>
      </w:r>
    </w:p>
    <w:p w14:paraId="0C645B5C" w14:textId="77777777" w:rsidR="00A042A9" w:rsidRDefault="00A042A9" w:rsidP="00CD28A8">
      <w:pPr>
        <w:pStyle w:val="TableFooter"/>
        <w:keepNext/>
        <w:keepLines/>
        <w:spacing w:after="0"/>
      </w:pPr>
      <w:r w:rsidRPr="00CA4838">
        <w:t xml:space="preserve">AE=adverse event; LY=life year; QALY=quality adjusted life year; SRE=skeletal-related event  </w:t>
      </w:r>
    </w:p>
    <w:p w14:paraId="0111A00F" w14:textId="77777777" w:rsidR="00A858D6" w:rsidRDefault="00A858D6">
      <w:pPr>
        <w:pStyle w:val="TableFigureFooter"/>
        <w:spacing w:after="0"/>
        <w:contextualSpacing w:val="0"/>
        <w:rPr>
          <w:i/>
        </w:rPr>
      </w:pPr>
      <w:r w:rsidRPr="009868C4">
        <w:rPr>
          <w:i/>
        </w:rPr>
        <w:t>The redacted values correspond to the following ranges</w:t>
      </w:r>
      <w:r>
        <w:rPr>
          <w:i/>
        </w:rPr>
        <w:t xml:space="preserve">: </w:t>
      </w:r>
    </w:p>
    <w:p w14:paraId="1C360571" w14:textId="77777777" w:rsidR="00A858D6" w:rsidRPr="00870C5D" w:rsidRDefault="00A858D6" w:rsidP="00A858D6">
      <w:pPr>
        <w:pStyle w:val="TableFigureFooter"/>
        <w:spacing w:after="0"/>
        <w:contextualSpacing w:val="0"/>
      </w:pPr>
      <w:r>
        <w:rPr>
          <w:i/>
          <w:vertAlign w:val="superscript"/>
        </w:rPr>
        <w:t>1</w:t>
      </w:r>
      <w:r>
        <w:rPr>
          <w:i/>
        </w:rPr>
        <w:t xml:space="preserve"> </w:t>
      </w:r>
      <w:r w:rsidRPr="00A858D6">
        <w:rPr>
          <w:i/>
        </w:rPr>
        <w:t>$45,000 to &lt; $55,000</w:t>
      </w:r>
    </w:p>
    <w:p w14:paraId="5F7B770C" w14:textId="77777777" w:rsidR="00A858D6" w:rsidRPr="00870C5D" w:rsidRDefault="00A858D6" w:rsidP="00A858D6">
      <w:pPr>
        <w:pStyle w:val="TableFigureFooter"/>
        <w:spacing w:after="0"/>
        <w:contextualSpacing w:val="0"/>
      </w:pPr>
      <w:r>
        <w:rPr>
          <w:i/>
          <w:vertAlign w:val="superscript"/>
        </w:rPr>
        <w:t>2</w:t>
      </w:r>
      <w:r>
        <w:rPr>
          <w:i/>
        </w:rPr>
        <w:t xml:space="preserve"> </w:t>
      </w:r>
      <w:r w:rsidRPr="00A858D6">
        <w:rPr>
          <w:i/>
        </w:rPr>
        <w:t>$35,000 to &lt; $45,000</w:t>
      </w:r>
    </w:p>
    <w:p w14:paraId="076C99EC" w14:textId="1083E5EA" w:rsidR="00A858D6" w:rsidRPr="0030433E" w:rsidRDefault="00A858D6" w:rsidP="0030433E">
      <w:pPr>
        <w:pStyle w:val="TableFigureFooter"/>
        <w:spacing w:after="0"/>
        <w:contextualSpacing w:val="0"/>
      </w:pPr>
      <w:r>
        <w:rPr>
          <w:i/>
          <w:vertAlign w:val="superscript"/>
        </w:rPr>
        <w:t>3</w:t>
      </w:r>
      <w:r>
        <w:rPr>
          <w:i/>
        </w:rPr>
        <w:t xml:space="preserve"> </w:t>
      </w:r>
      <w:r w:rsidRPr="00A858D6">
        <w:rPr>
          <w:i/>
        </w:rPr>
        <w:t>$55,000 to &lt; $75,000</w:t>
      </w:r>
    </w:p>
    <w:p w14:paraId="6C599CEB" w14:textId="77777777" w:rsidR="00A042A9" w:rsidRPr="00CA4838" w:rsidRDefault="00A042A9" w:rsidP="00DB2410">
      <w:pPr>
        <w:pStyle w:val="ListParagraph"/>
        <w:ind w:left="709"/>
      </w:pPr>
      <w:r w:rsidRPr="00CA4838">
        <w:t xml:space="preserve">The estimated base case ICER for the proposed scenario (testing and treat with olaparib for those with </w:t>
      </w:r>
      <w:r w:rsidRPr="00AB515A">
        <w:rPr>
          <w:iCs/>
        </w:rPr>
        <w:t>BRCA1/2</w:t>
      </w:r>
      <w:r w:rsidRPr="00CA4838">
        <w:t xml:space="preserve"> pathogenic variant) versus current scenario (no testing and all patients receive SOC) was </w:t>
      </w:r>
      <w:r w:rsidR="00A858D6">
        <w:t xml:space="preserve">$55,000 to &lt; $75,000 </w:t>
      </w:r>
      <w:r w:rsidRPr="00CA4838">
        <w:t>per QALY gained.</w:t>
      </w:r>
      <w:r w:rsidR="001B37A3">
        <w:t xml:space="preserve"> </w:t>
      </w:r>
      <w:r w:rsidR="001B37A3" w:rsidRPr="00266EE3">
        <w:t>The ESC noted that the incremental costs and QALYs as shown in Table 13 appeared small because only 9.7% of patients are assumed to be BRCA1/2 positive. For BRCA1/2 patients the average cost was $</w:t>
      </w:r>
      <w:r w:rsidR="00CD28A8">
        <w:rPr>
          <w:noProof/>
          <w:color w:val="000000"/>
          <w:highlight w:val="black"/>
        </w:rPr>
        <w:t>'''''''''''''</w:t>
      </w:r>
      <w:r w:rsidR="001B37A3" w:rsidRPr="00266EE3">
        <w:t xml:space="preserve"> and patients accumulated an average of 2.02 life years and 1.35 QALYs (discounted, over the 7.5 year time horizon).  </w:t>
      </w:r>
    </w:p>
    <w:p w14:paraId="44E5C753" w14:textId="77777777" w:rsidR="00A042A9" w:rsidRPr="00F52B1D" w:rsidRDefault="00A042A9" w:rsidP="00DB2410">
      <w:pPr>
        <w:pStyle w:val="ListParagraph"/>
        <w:ind w:left="709"/>
      </w:pPr>
      <w:bookmarkStart w:id="57" w:name="_Ref87874748"/>
      <w:r w:rsidRPr="00F52B1D">
        <w:t>The stepped analysis demonstrated that the majority of the survival benefit and costs were accrued in the first 3 years of the model, suggesting changes in the ICER across the 7.5 year time horizon were the result of a small proportion of patients with longer survival. At year 3</w:t>
      </w:r>
      <w:r w:rsidRPr="00F52B1D">
        <w:tab/>
        <w:t xml:space="preserve">~3.4% of patients in the proposed scenario were expected to be alive (25.6% of patients with BRCA1/2 pathogenic variants receiving olaparib, 1.0% of patients without BRCA1/2 pathogenic variants receiving standard care) versus 1% patients in the current scenario (i.e. 1% patients receiving standard care). At 7.5 years, ~0.1% of proposed scenario arm (1.4% patients with BRCA1/2 pathogenic variants receiving olaparib, 0.0% of patients without BRCA1/2 pathogenic variants receiving standard care) are estimated to still be alive and 0.0% of patients in the current scenario. </w:t>
      </w:r>
      <w:r w:rsidR="00E75539" w:rsidRPr="00266EE3">
        <w:t>The ESC considered that a time horizon of 5 years remained appropriate but noted that this had a small impact on the ICER.</w:t>
      </w:r>
      <w:r w:rsidR="00E75539">
        <w:t xml:space="preserve"> The PBAC agreed with the ESC and maintained that a time horizon of 5 years was appropriate, particularly in the context of uncertainty regarding OS benefit due to adjustment for treatment switching and the </w:t>
      </w:r>
      <w:r w:rsidR="004A38B9">
        <w:t xml:space="preserve">choice of OS </w:t>
      </w:r>
      <w:r w:rsidR="00E75539">
        <w:t>extrapolation functions.</w:t>
      </w:r>
      <w:bookmarkEnd w:id="57"/>
      <w:r w:rsidR="00E75539">
        <w:t xml:space="preserve"> </w:t>
      </w:r>
    </w:p>
    <w:p w14:paraId="3E1CA0FB" w14:textId="77777777" w:rsidR="00A042A9" w:rsidRPr="00F52B1D" w:rsidRDefault="00A042A9" w:rsidP="00DB2410">
      <w:pPr>
        <w:pStyle w:val="ListParagraph"/>
        <w:ind w:left="709"/>
      </w:pPr>
      <w:r w:rsidRPr="00F52B1D">
        <w:t>Results of key sensitivity analyses demonstrated the model was robust to changes that affected patients who receive SOC (as they accounted for 90.3% of patients in the proposed scenario and 100% patients in the current scenario). Therefore, the model was most sensitive to model inputs which affected the patients receiving olaparib, such as:</w:t>
      </w:r>
    </w:p>
    <w:p w14:paraId="6B589140" w14:textId="77777777" w:rsidR="00A042A9" w:rsidRPr="00F52B1D" w:rsidRDefault="00A042A9" w:rsidP="00A858D6">
      <w:pPr>
        <w:pStyle w:val="PBACESParagraphBulletPoint"/>
        <w:ind w:left="1134"/>
      </w:pPr>
      <w:r w:rsidRPr="00F52B1D">
        <w:t xml:space="preserve">Treatment switching adjustment: without recensoring ICER increased to </w:t>
      </w:r>
      <w:r w:rsidR="00A858D6">
        <w:t xml:space="preserve">$55,000 to &lt; $75,000 </w:t>
      </w:r>
      <w:r w:rsidRPr="00F52B1D">
        <w:t xml:space="preserve">per QALY gained, with no adjustment for treatment switching ICER increased to </w:t>
      </w:r>
      <w:r w:rsidR="00A858D6" w:rsidRPr="00A858D6">
        <w:t>$115,000 to &lt; $135,000</w:t>
      </w:r>
      <w:r w:rsidR="00A858D6">
        <w:t xml:space="preserve"> </w:t>
      </w:r>
      <w:r w:rsidRPr="00F52B1D">
        <w:t>per QALY gained</w:t>
      </w:r>
      <w:r w:rsidR="007B4A63">
        <w:t>.</w:t>
      </w:r>
    </w:p>
    <w:p w14:paraId="3FC93CCF" w14:textId="77777777" w:rsidR="00A042A9" w:rsidRPr="00F52B1D" w:rsidRDefault="00A042A9" w:rsidP="00A858D6">
      <w:pPr>
        <w:pStyle w:val="PBACESParagraphBulletPoint"/>
        <w:ind w:left="1134"/>
      </w:pPr>
      <w:r w:rsidRPr="00F52B1D">
        <w:t xml:space="preserve">Choice of OS extrapolation: with different choice of function the ICER ranged from </w:t>
      </w:r>
      <w:r w:rsidR="00A858D6" w:rsidRPr="00A858D6">
        <w:t>$35,000 to &lt; $45,000</w:t>
      </w:r>
      <w:r w:rsidR="00A858D6">
        <w:t xml:space="preserve"> </w:t>
      </w:r>
      <w:r w:rsidRPr="00F52B1D">
        <w:t xml:space="preserve">(loglogistic) to </w:t>
      </w:r>
      <w:r w:rsidR="00A858D6" w:rsidRPr="00A858D6">
        <w:t>$75,000 to &lt; $95,000</w:t>
      </w:r>
      <w:r w:rsidR="00A858D6">
        <w:t xml:space="preserve"> </w:t>
      </w:r>
      <w:r w:rsidRPr="00F52B1D">
        <w:t>(Gompertz) per QALY gained.</w:t>
      </w:r>
    </w:p>
    <w:p w14:paraId="262EB515" w14:textId="77777777" w:rsidR="00A042A9" w:rsidRDefault="00A042A9" w:rsidP="00A858D6">
      <w:pPr>
        <w:pStyle w:val="PBACESParagraphBulletPoint"/>
        <w:ind w:left="1134"/>
      </w:pPr>
      <w:r w:rsidRPr="00F52B1D">
        <w:t xml:space="preserve">Cost of BRCA1/2 pathogenic variant test: This cost drove a large proportion of the incremental costs between the proposed and current scenarios and without it the ICER reduced to </w:t>
      </w:r>
      <w:r w:rsidR="00A858D6" w:rsidRPr="00A858D6">
        <w:t>$45,000 to &lt; $55,000</w:t>
      </w:r>
      <w:r w:rsidR="00A858D6">
        <w:t xml:space="preserve"> </w:t>
      </w:r>
      <w:r w:rsidRPr="00F52B1D">
        <w:t>per QALY gained.</w:t>
      </w:r>
    </w:p>
    <w:p w14:paraId="68E59EF9" w14:textId="77777777" w:rsidR="00AC678B" w:rsidRPr="008A4199" w:rsidRDefault="00AC678B" w:rsidP="008A4199">
      <w:pPr>
        <w:pStyle w:val="ListParagraph"/>
        <w:ind w:left="709"/>
      </w:pPr>
      <w:bookmarkStart w:id="58" w:name="_Ref87872666"/>
      <w:bookmarkStart w:id="59" w:name="_Ref87875580"/>
      <w:r w:rsidRPr="008A4199">
        <w:t>The</w:t>
      </w:r>
      <w:r w:rsidRPr="00933EAD">
        <w:t xml:space="preserve"> commentary noted</w:t>
      </w:r>
      <w:r w:rsidRPr="008A4199">
        <w:t xml:space="preserve"> concerns with the assumed testing strategy. Where germline testing follows failed somatic testing sensitivity would be reduced to below 76%, since tumour test failure was 31% in PROfound and approximately 50% of patients with BRCA1/2 pathogenic variants will have somatic only pathogenic variants.</w:t>
      </w:r>
      <w:r w:rsidR="00392DD2">
        <w:t xml:space="preserve"> Reducing sensitivity to 76% increased the ICER to </w:t>
      </w:r>
      <w:r w:rsidR="00A858D6">
        <w:t>$55,000 to &lt; $75,000</w:t>
      </w:r>
      <w:r w:rsidR="00392DD2">
        <w:t>/QALY (</w:t>
      </w:r>
      <w:r w:rsidR="00A858D6">
        <w:t>$55,000 to &lt; $75,000</w:t>
      </w:r>
      <w:r w:rsidR="00392DD2">
        <w:t>/QALY using the revised price in the pre-PBAC response).</w:t>
      </w:r>
      <w:r w:rsidRPr="00933EAD">
        <w:t xml:space="preserve"> </w:t>
      </w:r>
      <w:r w:rsidR="003C734C">
        <w:t xml:space="preserve">The PBAC considered that there may be a substantial proportion of patients for whom the tissue sample is not adequate for BRCA testing. </w:t>
      </w:r>
      <w:r w:rsidRPr="00933EAD">
        <w:t xml:space="preserve">The </w:t>
      </w:r>
      <w:r w:rsidR="00D55F1E">
        <w:t>p</w:t>
      </w:r>
      <w:r w:rsidRPr="00933EAD">
        <w:t xml:space="preserve">re-PBAC response argued the </w:t>
      </w:r>
      <w:r w:rsidR="003C734C">
        <w:t xml:space="preserve">test </w:t>
      </w:r>
      <w:r w:rsidRPr="00933EAD">
        <w:t xml:space="preserve">sensitivity should be calculated based on successful samples. The </w:t>
      </w:r>
      <w:r w:rsidR="00D55F1E">
        <w:t>p</w:t>
      </w:r>
      <w:r w:rsidRPr="00933EAD">
        <w:t>re</w:t>
      </w:r>
      <w:r w:rsidRPr="00F34788">
        <w:t xml:space="preserve">-PBAC response </w:t>
      </w:r>
      <w:r w:rsidRPr="00EA7961">
        <w:t xml:space="preserve">stated that a test failure rate of 10% would be expected in clinical practice and </w:t>
      </w:r>
      <w:r w:rsidR="00664063">
        <w:t xml:space="preserve">with 50% of patients having </w:t>
      </w:r>
      <w:r w:rsidRPr="008A4199">
        <w:t>germline BRCA mutations, the sensitivity of BRCA testing would be approximately 95%.</w:t>
      </w:r>
      <w:bookmarkEnd w:id="58"/>
      <w:r w:rsidR="003C734C">
        <w:t xml:space="preserve"> </w:t>
      </w:r>
      <w:r w:rsidR="00220F36">
        <w:t xml:space="preserve">Reducing sensitivity to 95% resulted in an ICER of </w:t>
      </w:r>
      <w:r w:rsidR="00A858D6">
        <w:t>$55,000 to &lt; $75,000</w:t>
      </w:r>
      <w:r w:rsidR="00392DD2">
        <w:t>/QALY</w:t>
      </w:r>
      <w:r w:rsidR="00220F36">
        <w:t xml:space="preserve"> (</w:t>
      </w:r>
      <w:r w:rsidR="00A858D6">
        <w:t>$55,000 to &lt; $75,000</w:t>
      </w:r>
      <w:r w:rsidR="00392DD2">
        <w:t>/QALY using the price proposed in the pre-PBAC response).</w:t>
      </w:r>
      <w:bookmarkEnd w:id="59"/>
      <w:r w:rsidR="00392DD2">
        <w:t xml:space="preserve"> </w:t>
      </w:r>
    </w:p>
    <w:p w14:paraId="4C10A713" w14:textId="77777777" w:rsidR="001B37A3" w:rsidRDefault="001B37A3" w:rsidP="001B37A3">
      <w:pPr>
        <w:pStyle w:val="TableHeading"/>
      </w:pPr>
      <w:bookmarkStart w:id="60" w:name="_Ref80387316"/>
      <w:r>
        <w:t xml:space="preserve">Table </w:t>
      </w:r>
      <w:r w:rsidR="007C5E46">
        <w:rPr>
          <w:noProof/>
        </w:rPr>
        <w:t>14</w:t>
      </w:r>
      <w:r>
        <w:t xml:space="preserve">: </w:t>
      </w:r>
      <w:bookmarkEnd w:id="60"/>
      <w:r w:rsidRPr="00414755">
        <w:t>Results of sensitivity analyses</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sensitivity analyses"/>
      </w:tblPr>
      <w:tblGrid>
        <w:gridCol w:w="4105"/>
        <w:gridCol w:w="1042"/>
        <w:gridCol w:w="979"/>
        <w:gridCol w:w="1339"/>
        <w:gridCol w:w="1322"/>
      </w:tblGrid>
      <w:tr w:rsidR="001B37A3" w:rsidRPr="007E0801" w14:paraId="3ECF0E9F" w14:textId="77777777" w:rsidTr="007E0801">
        <w:trPr>
          <w:tblHeader/>
        </w:trPr>
        <w:tc>
          <w:tcPr>
            <w:tcW w:w="2336" w:type="pct"/>
            <w:tcBorders>
              <w:top w:val="single" w:sz="4" w:space="0" w:color="auto"/>
              <w:left w:val="single" w:sz="4" w:space="0" w:color="auto"/>
              <w:bottom w:val="single" w:sz="4" w:space="0" w:color="auto"/>
              <w:right w:val="single" w:sz="4" w:space="0" w:color="auto"/>
            </w:tcBorders>
            <w:vAlign w:val="center"/>
          </w:tcPr>
          <w:p w14:paraId="35E65DF8" w14:textId="77777777" w:rsidR="001B37A3" w:rsidRPr="00195873" w:rsidRDefault="001B37A3" w:rsidP="001B37A3">
            <w:pPr>
              <w:keepNext/>
              <w:widowControl w:val="0"/>
              <w:spacing w:before="0" w:after="0"/>
              <w:jc w:val="left"/>
              <w:rPr>
                <w:rFonts w:ascii="Arial Narrow" w:hAnsi="Arial Narrow"/>
                <w:b/>
                <w:sz w:val="20"/>
              </w:rPr>
            </w:pPr>
            <w:r w:rsidRPr="00195873">
              <w:rPr>
                <w:rFonts w:ascii="Arial Narrow" w:hAnsi="Arial Narrow"/>
                <w:b/>
                <w:sz w:val="20"/>
              </w:rPr>
              <w:t>Sensitivity analyses</w:t>
            </w:r>
          </w:p>
        </w:tc>
        <w:tc>
          <w:tcPr>
            <w:tcW w:w="593" w:type="pct"/>
            <w:tcBorders>
              <w:top w:val="single" w:sz="4" w:space="0" w:color="auto"/>
              <w:left w:val="single" w:sz="4" w:space="0" w:color="auto"/>
              <w:bottom w:val="single" w:sz="4" w:space="0" w:color="auto"/>
              <w:right w:val="single" w:sz="4" w:space="0" w:color="auto"/>
            </w:tcBorders>
            <w:vAlign w:val="center"/>
          </w:tcPr>
          <w:p w14:paraId="61AFB34E" w14:textId="77777777" w:rsidR="001B37A3" w:rsidRPr="007E0801" w:rsidRDefault="001B37A3" w:rsidP="001B37A3">
            <w:pPr>
              <w:keepNext/>
              <w:widowControl w:val="0"/>
              <w:spacing w:before="0" w:after="0"/>
              <w:jc w:val="center"/>
              <w:rPr>
                <w:rFonts w:ascii="Arial Narrow" w:hAnsi="Arial Narrow"/>
                <w:b/>
                <w:sz w:val="20"/>
              </w:rPr>
            </w:pPr>
            <w:r w:rsidRPr="004440EA">
              <w:rPr>
                <w:rFonts w:ascii="Arial Narrow" w:hAnsi="Arial Narrow"/>
                <w:b/>
                <w:sz w:val="20"/>
              </w:rPr>
              <w:t>Incremental cost</w:t>
            </w:r>
            <w:r w:rsidR="00A858D6">
              <w:rPr>
                <w:rFonts w:ascii="Arial Narrow" w:hAnsi="Arial Narrow"/>
                <w:b/>
                <w:sz w:val="20"/>
              </w:rPr>
              <w:t xml:space="preserve"> ($)</w:t>
            </w:r>
          </w:p>
        </w:tc>
        <w:tc>
          <w:tcPr>
            <w:tcW w:w="557" w:type="pct"/>
            <w:tcBorders>
              <w:top w:val="single" w:sz="4" w:space="0" w:color="auto"/>
              <w:left w:val="single" w:sz="4" w:space="0" w:color="auto"/>
              <w:bottom w:val="single" w:sz="4" w:space="0" w:color="auto"/>
              <w:right w:val="single" w:sz="4" w:space="0" w:color="auto"/>
            </w:tcBorders>
            <w:vAlign w:val="center"/>
          </w:tcPr>
          <w:p w14:paraId="2C7EAABA" w14:textId="77777777" w:rsidR="001B37A3" w:rsidRPr="007E0801" w:rsidRDefault="001B37A3" w:rsidP="001B37A3">
            <w:pPr>
              <w:keepNext/>
              <w:widowControl w:val="0"/>
              <w:spacing w:before="0" w:after="0"/>
              <w:jc w:val="center"/>
              <w:rPr>
                <w:rFonts w:ascii="Arial Narrow" w:hAnsi="Arial Narrow"/>
                <w:b/>
                <w:sz w:val="20"/>
              </w:rPr>
            </w:pPr>
            <w:r w:rsidRPr="007E0801">
              <w:rPr>
                <w:rFonts w:ascii="Arial Narrow" w:hAnsi="Arial Narrow"/>
                <w:b/>
                <w:sz w:val="20"/>
              </w:rPr>
              <w:t>Incremental QALY</w:t>
            </w:r>
          </w:p>
        </w:tc>
        <w:tc>
          <w:tcPr>
            <w:tcW w:w="762" w:type="pct"/>
            <w:tcBorders>
              <w:top w:val="single" w:sz="4" w:space="0" w:color="auto"/>
              <w:left w:val="single" w:sz="4" w:space="0" w:color="auto"/>
              <w:bottom w:val="single" w:sz="4" w:space="0" w:color="auto"/>
              <w:right w:val="single" w:sz="4" w:space="0" w:color="auto"/>
            </w:tcBorders>
            <w:vAlign w:val="center"/>
          </w:tcPr>
          <w:p w14:paraId="126870EC" w14:textId="77777777" w:rsidR="001B37A3" w:rsidRPr="007E0801" w:rsidRDefault="001B37A3" w:rsidP="001B37A3">
            <w:pPr>
              <w:keepNext/>
              <w:widowControl w:val="0"/>
              <w:spacing w:before="0" w:after="0"/>
              <w:jc w:val="center"/>
              <w:rPr>
                <w:rFonts w:ascii="Arial Narrow" w:hAnsi="Arial Narrow"/>
                <w:b/>
                <w:sz w:val="20"/>
              </w:rPr>
            </w:pPr>
            <w:r w:rsidRPr="007E0801">
              <w:rPr>
                <w:rFonts w:ascii="Arial Narrow" w:hAnsi="Arial Narrow"/>
                <w:b/>
                <w:sz w:val="20"/>
              </w:rPr>
              <w:t xml:space="preserve">ICER </w:t>
            </w:r>
          </w:p>
        </w:tc>
        <w:tc>
          <w:tcPr>
            <w:tcW w:w="752" w:type="pct"/>
            <w:tcBorders>
              <w:top w:val="single" w:sz="4" w:space="0" w:color="auto"/>
              <w:left w:val="single" w:sz="4" w:space="0" w:color="auto"/>
              <w:bottom w:val="single" w:sz="4" w:space="0" w:color="auto"/>
              <w:right w:val="single" w:sz="4" w:space="0" w:color="auto"/>
            </w:tcBorders>
            <w:vAlign w:val="center"/>
          </w:tcPr>
          <w:p w14:paraId="4BC0CEEC" w14:textId="77777777" w:rsidR="001B37A3" w:rsidRPr="00195873" w:rsidRDefault="001B37A3" w:rsidP="001B37A3">
            <w:pPr>
              <w:keepNext/>
              <w:widowControl w:val="0"/>
              <w:spacing w:before="0" w:after="0"/>
              <w:jc w:val="center"/>
              <w:rPr>
                <w:rFonts w:ascii="Arial Narrow" w:hAnsi="Arial Narrow"/>
                <w:b/>
                <w:sz w:val="20"/>
              </w:rPr>
            </w:pPr>
            <w:r w:rsidRPr="007E0801">
              <w:rPr>
                <w:rFonts w:ascii="Arial Narrow" w:hAnsi="Arial Narrow"/>
                <w:b/>
                <w:sz w:val="20"/>
              </w:rPr>
              <w:t xml:space="preserve">% </w:t>
            </w:r>
            <w:r w:rsidRPr="00195873">
              <w:rPr>
                <w:rFonts w:ascii="Arial Narrow" w:hAnsi="Arial Narrow"/>
                <w:b/>
                <w:sz w:val="20"/>
              </w:rPr>
              <w:sym w:font="Symbol" w:char="F044"/>
            </w:r>
            <w:r w:rsidRPr="00195873">
              <w:rPr>
                <w:rFonts w:ascii="Arial Narrow" w:hAnsi="Arial Narrow"/>
                <w:b/>
                <w:sz w:val="20"/>
              </w:rPr>
              <w:t xml:space="preserve"> ICER</w:t>
            </w:r>
          </w:p>
        </w:tc>
      </w:tr>
      <w:tr w:rsidR="001B37A3" w:rsidRPr="007E0801" w14:paraId="75944DC3"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2870D044" w14:textId="77777777" w:rsidR="001B37A3" w:rsidRPr="007E0801" w:rsidRDefault="001B37A3" w:rsidP="001B37A3">
            <w:pPr>
              <w:keepNext/>
              <w:spacing w:before="0" w:after="0"/>
              <w:jc w:val="left"/>
              <w:rPr>
                <w:rFonts w:ascii="Arial Narrow" w:hAnsi="Arial Narrow"/>
                <w:b/>
                <w:bCs/>
                <w:snapToGrid w:val="0"/>
                <w:sz w:val="20"/>
              </w:rPr>
            </w:pPr>
            <w:r w:rsidRPr="007E0801">
              <w:rPr>
                <w:rFonts w:ascii="Arial Narrow" w:hAnsi="Arial Narrow"/>
                <w:b/>
                <w:bCs/>
                <w:snapToGrid w:val="0"/>
                <w:sz w:val="20"/>
              </w:rPr>
              <w:t>Base case</w:t>
            </w:r>
          </w:p>
        </w:tc>
        <w:tc>
          <w:tcPr>
            <w:tcW w:w="593" w:type="pct"/>
            <w:tcBorders>
              <w:top w:val="single" w:sz="4" w:space="0" w:color="auto"/>
              <w:left w:val="single" w:sz="4" w:space="0" w:color="auto"/>
              <w:bottom w:val="single" w:sz="4" w:space="0" w:color="auto"/>
              <w:right w:val="single" w:sz="4" w:space="0" w:color="auto"/>
            </w:tcBorders>
            <w:vAlign w:val="center"/>
          </w:tcPr>
          <w:p w14:paraId="0AF286C4" w14:textId="77777777" w:rsidR="001B37A3" w:rsidRPr="00CD28A8" w:rsidRDefault="00CD28A8" w:rsidP="001B37A3">
            <w:pPr>
              <w:keepNext/>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1528BA50"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0.09</w:t>
            </w:r>
          </w:p>
        </w:tc>
        <w:tc>
          <w:tcPr>
            <w:tcW w:w="762" w:type="pct"/>
            <w:tcBorders>
              <w:top w:val="single" w:sz="4" w:space="0" w:color="auto"/>
              <w:left w:val="single" w:sz="4" w:space="0" w:color="auto"/>
              <w:bottom w:val="single" w:sz="4" w:space="0" w:color="auto"/>
              <w:right w:val="single" w:sz="4" w:space="0" w:color="auto"/>
            </w:tcBorders>
            <w:vAlign w:val="center"/>
          </w:tcPr>
          <w:p w14:paraId="56804FE0" w14:textId="77777777" w:rsidR="001B37A3" w:rsidRPr="007E0801" w:rsidRDefault="00CD28A8" w:rsidP="001B37A3">
            <w:pPr>
              <w:keepNext/>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138522CA"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w:t>
            </w:r>
          </w:p>
        </w:tc>
      </w:tr>
      <w:tr w:rsidR="001B37A3" w:rsidRPr="007E0801" w14:paraId="7BE5E731" w14:textId="77777777" w:rsidTr="007E0801">
        <w:tc>
          <w:tcPr>
            <w:tcW w:w="5000" w:type="pct"/>
            <w:gridSpan w:val="5"/>
            <w:tcBorders>
              <w:top w:val="single" w:sz="4" w:space="0" w:color="auto"/>
              <w:left w:val="single" w:sz="4" w:space="0" w:color="auto"/>
              <w:bottom w:val="single" w:sz="4" w:space="0" w:color="auto"/>
              <w:right w:val="single" w:sz="4" w:space="0" w:color="auto"/>
            </w:tcBorders>
            <w:vAlign w:val="center"/>
          </w:tcPr>
          <w:p w14:paraId="55781C63" w14:textId="77777777" w:rsidR="001B37A3" w:rsidRPr="00CD28A8" w:rsidRDefault="001B37A3">
            <w:pPr>
              <w:keepNext/>
              <w:widowControl w:val="0"/>
              <w:tabs>
                <w:tab w:val="decimal" w:pos="396"/>
              </w:tabs>
              <w:spacing w:before="0" w:after="0"/>
              <w:jc w:val="left"/>
              <w:rPr>
                <w:rFonts w:ascii="Arial Narrow" w:hAnsi="Arial Narrow"/>
                <w:b/>
                <w:bCs/>
                <w:sz w:val="20"/>
                <w:vertAlign w:val="superscript"/>
              </w:rPr>
            </w:pPr>
            <w:r w:rsidRPr="007E0801">
              <w:rPr>
                <w:rFonts w:ascii="Arial Narrow" w:hAnsi="Arial Narrow"/>
                <w:b/>
                <w:bCs/>
                <w:sz w:val="20"/>
              </w:rPr>
              <w:t xml:space="preserve">Time horizon </w:t>
            </w:r>
            <w:r w:rsidRPr="007E0801">
              <w:rPr>
                <w:rFonts w:ascii="Arial Narrow" w:hAnsi="Arial Narrow"/>
                <w:sz w:val="20"/>
              </w:rPr>
              <w:t>(base 7.5 years)</w:t>
            </w:r>
          </w:p>
        </w:tc>
      </w:tr>
      <w:tr w:rsidR="001B37A3" w:rsidRPr="007E0801" w14:paraId="0376A595"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3DE32BDA" w14:textId="77777777" w:rsidR="001B37A3" w:rsidRPr="007E0801" w:rsidRDefault="001B37A3" w:rsidP="00AB515A">
            <w:pPr>
              <w:keepNext/>
              <w:spacing w:before="0" w:after="0"/>
              <w:ind w:left="254"/>
              <w:jc w:val="left"/>
              <w:rPr>
                <w:rFonts w:ascii="Arial Narrow" w:hAnsi="Arial Narrow"/>
                <w:snapToGrid w:val="0"/>
                <w:sz w:val="20"/>
              </w:rPr>
            </w:pPr>
            <w:r w:rsidRPr="007E0801">
              <w:rPr>
                <w:rFonts w:ascii="Arial Narrow" w:hAnsi="Arial Narrow"/>
                <w:snapToGrid w:val="0"/>
                <w:sz w:val="20"/>
              </w:rPr>
              <w:t>Time horizon 5 years</w:t>
            </w:r>
          </w:p>
        </w:tc>
        <w:tc>
          <w:tcPr>
            <w:tcW w:w="593" w:type="pct"/>
            <w:tcBorders>
              <w:top w:val="single" w:sz="4" w:space="0" w:color="auto"/>
              <w:left w:val="single" w:sz="4" w:space="0" w:color="auto"/>
              <w:bottom w:val="single" w:sz="4" w:space="0" w:color="auto"/>
              <w:right w:val="single" w:sz="4" w:space="0" w:color="auto"/>
            </w:tcBorders>
            <w:vAlign w:val="center"/>
          </w:tcPr>
          <w:p w14:paraId="4F161725" w14:textId="77777777" w:rsidR="001B37A3" w:rsidRPr="00CD28A8" w:rsidRDefault="00CD28A8" w:rsidP="001B37A3">
            <w:pPr>
              <w:keepNext/>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1D82D530"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0.08</w:t>
            </w:r>
          </w:p>
        </w:tc>
        <w:tc>
          <w:tcPr>
            <w:tcW w:w="762" w:type="pct"/>
            <w:tcBorders>
              <w:top w:val="single" w:sz="4" w:space="0" w:color="auto"/>
              <w:left w:val="single" w:sz="4" w:space="0" w:color="auto"/>
              <w:bottom w:val="single" w:sz="4" w:space="0" w:color="auto"/>
              <w:right w:val="single" w:sz="4" w:space="0" w:color="auto"/>
            </w:tcBorders>
            <w:vAlign w:val="center"/>
          </w:tcPr>
          <w:p w14:paraId="3F3957BF" w14:textId="77777777" w:rsidR="001B37A3" w:rsidRPr="00CD28A8" w:rsidRDefault="00CD28A8" w:rsidP="001B37A3">
            <w:pPr>
              <w:keepNext/>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15E814E7"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+1.5%</w:t>
            </w:r>
          </w:p>
        </w:tc>
      </w:tr>
      <w:tr w:rsidR="007B4A63" w:rsidRPr="007B4A63" w14:paraId="14FFC290" w14:textId="77777777" w:rsidTr="008A4199">
        <w:tc>
          <w:tcPr>
            <w:tcW w:w="5000" w:type="pct"/>
            <w:gridSpan w:val="5"/>
            <w:tcBorders>
              <w:top w:val="single" w:sz="4" w:space="0" w:color="auto"/>
              <w:left w:val="single" w:sz="4" w:space="0" w:color="auto"/>
              <w:bottom w:val="single" w:sz="4" w:space="0" w:color="auto"/>
              <w:right w:val="single" w:sz="4" w:space="0" w:color="auto"/>
            </w:tcBorders>
            <w:vAlign w:val="center"/>
          </w:tcPr>
          <w:p w14:paraId="79BAF96D" w14:textId="77777777" w:rsidR="007B4A63" w:rsidRPr="008A4199" w:rsidRDefault="007B4A63" w:rsidP="008A4199">
            <w:pPr>
              <w:keepNext/>
              <w:widowControl w:val="0"/>
              <w:tabs>
                <w:tab w:val="decimal" w:pos="0"/>
              </w:tabs>
              <w:spacing w:before="0" w:after="0"/>
              <w:jc w:val="left"/>
              <w:rPr>
                <w:rFonts w:ascii="Arial Narrow" w:hAnsi="Arial Narrow"/>
                <w:b/>
                <w:bCs/>
                <w:sz w:val="20"/>
              </w:rPr>
            </w:pPr>
            <w:r w:rsidRPr="008A4199">
              <w:rPr>
                <w:rFonts w:ascii="Arial Narrow" w:hAnsi="Arial Narrow"/>
                <w:b/>
                <w:bCs/>
                <w:sz w:val="20"/>
              </w:rPr>
              <w:t>BRCA1/2 prevalence</w:t>
            </w:r>
          </w:p>
        </w:tc>
      </w:tr>
      <w:tr w:rsidR="007B4A63" w:rsidRPr="007E0801" w14:paraId="2B91182F"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32D7BA72" w14:textId="77777777" w:rsidR="007B4A63" w:rsidRPr="007E0801" w:rsidRDefault="007B4A63" w:rsidP="00AB515A">
            <w:pPr>
              <w:keepNext/>
              <w:spacing w:before="0" w:after="0"/>
              <w:ind w:left="254"/>
              <w:jc w:val="left"/>
              <w:rPr>
                <w:rFonts w:ascii="Arial Narrow" w:hAnsi="Arial Narrow"/>
                <w:snapToGrid w:val="0"/>
                <w:sz w:val="20"/>
              </w:rPr>
            </w:pPr>
            <w:r>
              <w:rPr>
                <w:rFonts w:ascii="Arial Narrow" w:hAnsi="Arial Narrow"/>
                <w:snapToGrid w:val="0"/>
                <w:sz w:val="20"/>
              </w:rPr>
              <w:t>7% prevalence</w:t>
            </w:r>
            <w:r w:rsidR="00AC678B">
              <w:rPr>
                <w:rFonts w:ascii="Arial Narrow" w:hAnsi="Arial Narrow"/>
                <w:snapToGrid w:val="0"/>
                <w:sz w:val="20"/>
              </w:rPr>
              <w:t xml:space="preserve"> (base case 9.7%)</w:t>
            </w:r>
          </w:p>
        </w:tc>
        <w:tc>
          <w:tcPr>
            <w:tcW w:w="593" w:type="pct"/>
            <w:tcBorders>
              <w:top w:val="single" w:sz="4" w:space="0" w:color="auto"/>
              <w:left w:val="single" w:sz="4" w:space="0" w:color="auto"/>
              <w:bottom w:val="single" w:sz="4" w:space="0" w:color="auto"/>
              <w:right w:val="single" w:sz="4" w:space="0" w:color="auto"/>
            </w:tcBorders>
            <w:vAlign w:val="center"/>
          </w:tcPr>
          <w:p w14:paraId="191880BB" w14:textId="77777777" w:rsidR="007B4A63" w:rsidRPr="00CD28A8" w:rsidRDefault="00CD28A8" w:rsidP="001B37A3">
            <w:pPr>
              <w:keepNext/>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5C0F4D30" w14:textId="77777777" w:rsidR="007B4A63" w:rsidRPr="007E0801" w:rsidRDefault="00AC678B" w:rsidP="001B37A3">
            <w:pPr>
              <w:keepNext/>
              <w:widowControl w:val="0"/>
              <w:tabs>
                <w:tab w:val="decimal" w:pos="396"/>
              </w:tabs>
              <w:spacing w:before="0" w:after="0"/>
              <w:jc w:val="center"/>
              <w:rPr>
                <w:rFonts w:ascii="Arial Narrow" w:hAnsi="Arial Narrow"/>
                <w:sz w:val="20"/>
              </w:rPr>
            </w:pPr>
            <w:r>
              <w:rPr>
                <w:rFonts w:ascii="Arial Narrow" w:hAnsi="Arial Narrow"/>
                <w:sz w:val="20"/>
              </w:rPr>
              <w:t>0.06</w:t>
            </w:r>
          </w:p>
        </w:tc>
        <w:tc>
          <w:tcPr>
            <w:tcW w:w="762" w:type="pct"/>
            <w:tcBorders>
              <w:top w:val="single" w:sz="4" w:space="0" w:color="auto"/>
              <w:left w:val="single" w:sz="4" w:space="0" w:color="auto"/>
              <w:bottom w:val="single" w:sz="4" w:space="0" w:color="auto"/>
              <w:right w:val="single" w:sz="4" w:space="0" w:color="auto"/>
            </w:tcBorders>
            <w:vAlign w:val="center"/>
          </w:tcPr>
          <w:p w14:paraId="521120AC" w14:textId="77777777" w:rsidR="007B4A63" w:rsidRPr="007E0801" w:rsidRDefault="00CD28A8" w:rsidP="001B37A3">
            <w:pPr>
              <w:keepNext/>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761F5873" w14:textId="77777777" w:rsidR="007B4A63" w:rsidRPr="007E0801" w:rsidRDefault="00AC678B" w:rsidP="001B37A3">
            <w:pPr>
              <w:keepNext/>
              <w:widowControl w:val="0"/>
              <w:tabs>
                <w:tab w:val="decimal" w:pos="396"/>
              </w:tabs>
              <w:spacing w:before="0" w:after="0"/>
              <w:jc w:val="center"/>
              <w:rPr>
                <w:rFonts w:ascii="Arial Narrow" w:hAnsi="Arial Narrow"/>
                <w:sz w:val="20"/>
              </w:rPr>
            </w:pPr>
            <w:r>
              <w:rPr>
                <w:rFonts w:ascii="Arial Narrow" w:hAnsi="Arial Narrow"/>
                <w:sz w:val="20"/>
              </w:rPr>
              <w:t>+9.0%</w:t>
            </w:r>
          </w:p>
        </w:tc>
      </w:tr>
      <w:tr w:rsidR="001B37A3" w:rsidRPr="007E0801" w14:paraId="1D703684" w14:textId="77777777" w:rsidTr="007E0801">
        <w:tc>
          <w:tcPr>
            <w:tcW w:w="5000" w:type="pct"/>
            <w:gridSpan w:val="5"/>
            <w:tcBorders>
              <w:top w:val="single" w:sz="4" w:space="0" w:color="auto"/>
              <w:left w:val="single" w:sz="4" w:space="0" w:color="auto"/>
              <w:bottom w:val="single" w:sz="4" w:space="0" w:color="auto"/>
              <w:right w:val="single" w:sz="4" w:space="0" w:color="auto"/>
            </w:tcBorders>
            <w:vAlign w:val="center"/>
          </w:tcPr>
          <w:p w14:paraId="785985D5" w14:textId="77777777" w:rsidR="001B37A3" w:rsidRPr="007E0801" w:rsidRDefault="001B37A3" w:rsidP="001B37A3">
            <w:pPr>
              <w:keepNext/>
              <w:widowControl w:val="0"/>
              <w:tabs>
                <w:tab w:val="decimal" w:pos="396"/>
              </w:tabs>
              <w:spacing w:before="0" w:after="0"/>
              <w:jc w:val="left"/>
              <w:rPr>
                <w:rFonts w:ascii="Arial Narrow" w:hAnsi="Arial Narrow"/>
                <w:b/>
                <w:bCs/>
                <w:sz w:val="20"/>
              </w:rPr>
            </w:pPr>
            <w:r w:rsidRPr="007E0801">
              <w:rPr>
                <w:rFonts w:ascii="Arial Narrow" w:hAnsi="Arial Narrow"/>
                <w:b/>
                <w:bCs/>
                <w:sz w:val="20"/>
              </w:rPr>
              <w:t xml:space="preserve">Test accuracy </w:t>
            </w:r>
            <w:r w:rsidRPr="007E0801">
              <w:rPr>
                <w:rFonts w:ascii="Arial Narrow" w:hAnsi="Arial Narrow"/>
                <w:sz w:val="20"/>
              </w:rPr>
              <w:t>(base sens 100%, spec 100%)</w:t>
            </w:r>
          </w:p>
        </w:tc>
      </w:tr>
      <w:tr w:rsidR="001B37A3" w:rsidRPr="007E0801" w14:paraId="183F5C82"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74E81C6C" w14:textId="77777777" w:rsidR="001B37A3" w:rsidRPr="007E0801" w:rsidRDefault="001B37A3" w:rsidP="00AB515A">
            <w:pPr>
              <w:keepNext/>
              <w:spacing w:before="0" w:after="0"/>
              <w:ind w:left="254"/>
              <w:jc w:val="left"/>
              <w:rPr>
                <w:rFonts w:ascii="Arial Narrow" w:hAnsi="Arial Narrow"/>
                <w:snapToGrid w:val="0"/>
                <w:sz w:val="20"/>
              </w:rPr>
            </w:pPr>
            <w:r w:rsidRPr="007E0801">
              <w:rPr>
                <w:rFonts w:ascii="Arial Narrow" w:hAnsi="Arial Narrow"/>
                <w:snapToGrid w:val="0"/>
                <w:sz w:val="20"/>
              </w:rPr>
              <w:t xml:space="preserve">Sens 76% spec 100% (31.0% failed somatic test, </w:t>
            </w:r>
            <w:r w:rsidR="005726FC" w:rsidRPr="007E0801">
              <w:rPr>
                <w:rFonts w:ascii="Arial Narrow" w:hAnsi="Arial Narrow"/>
                <w:snapToGrid w:val="0"/>
                <w:sz w:val="20"/>
              </w:rPr>
              <w:t xml:space="preserve"> </w:t>
            </w:r>
            <w:r w:rsidRPr="007E0801">
              <w:rPr>
                <w:rFonts w:ascii="Arial Narrow" w:hAnsi="Arial Narrow"/>
                <w:snapToGrid w:val="0"/>
                <w:sz w:val="20"/>
              </w:rPr>
              <w:t>59.4% somatic BRCA1/2 and 8.1% germline only, Somatic test sens 100%)</w:t>
            </w:r>
          </w:p>
        </w:tc>
        <w:tc>
          <w:tcPr>
            <w:tcW w:w="593" w:type="pct"/>
            <w:tcBorders>
              <w:top w:val="single" w:sz="4" w:space="0" w:color="auto"/>
              <w:left w:val="single" w:sz="4" w:space="0" w:color="auto"/>
              <w:bottom w:val="single" w:sz="4" w:space="0" w:color="auto"/>
              <w:right w:val="single" w:sz="4" w:space="0" w:color="auto"/>
            </w:tcBorders>
            <w:vAlign w:val="center"/>
          </w:tcPr>
          <w:p w14:paraId="07975D77" w14:textId="77777777" w:rsidR="001B37A3" w:rsidRPr="007E0801" w:rsidRDefault="005726FC"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 xml:space="preserve"> </w:t>
            </w:r>
          </w:p>
        </w:tc>
        <w:tc>
          <w:tcPr>
            <w:tcW w:w="557" w:type="pct"/>
            <w:tcBorders>
              <w:top w:val="single" w:sz="4" w:space="0" w:color="auto"/>
              <w:left w:val="single" w:sz="4" w:space="0" w:color="auto"/>
              <w:bottom w:val="single" w:sz="4" w:space="0" w:color="auto"/>
              <w:right w:val="single" w:sz="4" w:space="0" w:color="auto"/>
            </w:tcBorders>
            <w:vAlign w:val="center"/>
          </w:tcPr>
          <w:p w14:paraId="54E94604"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0.06</w:t>
            </w:r>
          </w:p>
        </w:tc>
        <w:tc>
          <w:tcPr>
            <w:tcW w:w="762" w:type="pct"/>
            <w:tcBorders>
              <w:top w:val="single" w:sz="4" w:space="0" w:color="auto"/>
              <w:left w:val="single" w:sz="4" w:space="0" w:color="auto"/>
              <w:bottom w:val="single" w:sz="4" w:space="0" w:color="auto"/>
              <w:right w:val="single" w:sz="4" w:space="0" w:color="auto"/>
            </w:tcBorders>
            <w:vAlign w:val="center"/>
          </w:tcPr>
          <w:p w14:paraId="142FF29B" w14:textId="77777777" w:rsidR="001B37A3" w:rsidRPr="00CD28A8" w:rsidRDefault="00CD28A8" w:rsidP="001B37A3">
            <w:pPr>
              <w:keepNext/>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0E7ACE0C"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+7.4%</w:t>
            </w:r>
          </w:p>
        </w:tc>
      </w:tr>
      <w:tr w:rsidR="004A38B9" w:rsidRPr="007E0801" w14:paraId="6A2517F7"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51CC98E7" w14:textId="77777777" w:rsidR="004A38B9" w:rsidRPr="007E0801" w:rsidRDefault="004A38B9" w:rsidP="00AB515A">
            <w:pPr>
              <w:keepNext/>
              <w:spacing w:before="0" w:after="0"/>
              <w:ind w:left="254"/>
              <w:jc w:val="left"/>
              <w:rPr>
                <w:rFonts w:ascii="Arial Narrow" w:hAnsi="Arial Narrow"/>
                <w:snapToGrid w:val="0"/>
                <w:sz w:val="20"/>
              </w:rPr>
            </w:pPr>
            <w:r>
              <w:rPr>
                <w:rFonts w:ascii="Arial Narrow" w:hAnsi="Arial Narrow"/>
                <w:snapToGrid w:val="0"/>
                <w:sz w:val="20"/>
              </w:rPr>
              <w:t>Sens 95%, spec 100%</w:t>
            </w:r>
          </w:p>
        </w:tc>
        <w:tc>
          <w:tcPr>
            <w:tcW w:w="593" w:type="pct"/>
            <w:tcBorders>
              <w:top w:val="single" w:sz="4" w:space="0" w:color="auto"/>
              <w:left w:val="single" w:sz="4" w:space="0" w:color="auto"/>
              <w:bottom w:val="single" w:sz="4" w:space="0" w:color="auto"/>
              <w:right w:val="single" w:sz="4" w:space="0" w:color="auto"/>
            </w:tcBorders>
            <w:vAlign w:val="center"/>
          </w:tcPr>
          <w:p w14:paraId="3112C02B" w14:textId="77777777" w:rsidR="004A38B9" w:rsidRPr="00CD28A8" w:rsidRDefault="00CD28A8" w:rsidP="001B37A3">
            <w:pPr>
              <w:keepNext/>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3762FAD4" w14:textId="77777777" w:rsidR="004A38B9" w:rsidRPr="007E0801" w:rsidRDefault="00C24F04" w:rsidP="001B37A3">
            <w:pPr>
              <w:keepNext/>
              <w:widowControl w:val="0"/>
              <w:tabs>
                <w:tab w:val="decimal" w:pos="396"/>
              </w:tabs>
              <w:spacing w:before="0" w:after="0"/>
              <w:jc w:val="center"/>
              <w:rPr>
                <w:rFonts w:ascii="Arial Narrow" w:hAnsi="Arial Narrow"/>
                <w:sz w:val="20"/>
              </w:rPr>
            </w:pPr>
            <w:r>
              <w:rPr>
                <w:rFonts w:ascii="Arial Narrow" w:hAnsi="Arial Narrow"/>
                <w:sz w:val="20"/>
              </w:rPr>
              <w:t>0.08</w:t>
            </w:r>
          </w:p>
        </w:tc>
        <w:tc>
          <w:tcPr>
            <w:tcW w:w="762" w:type="pct"/>
            <w:tcBorders>
              <w:top w:val="single" w:sz="4" w:space="0" w:color="auto"/>
              <w:left w:val="single" w:sz="4" w:space="0" w:color="auto"/>
              <w:bottom w:val="single" w:sz="4" w:space="0" w:color="auto"/>
              <w:right w:val="single" w:sz="4" w:space="0" w:color="auto"/>
            </w:tcBorders>
            <w:vAlign w:val="center"/>
          </w:tcPr>
          <w:p w14:paraId="6B3D5C3F" w14:textId="77777777" w:rsidR="004A38B9" w:rsidRPr="00CD28A8" w:rsidRDefault="00CD28A8" w:rsidP="001B37A3">
            <w:pPr>
              <w:keepNext/>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2C08D6CC" w14:textId="77777777" w:rsidR="004A38B9" w:rsidRPr="007E0801" w:rsidRDefault="00C24F04" w:rsidP="001B37A3">
            <w:pPr>
              <w:keepNext/>
              <w:widowControl w:val="0"/>
              <w:tabs>
                <w:tab w:val="decimal" w:pos="396"/>
              </w:tabs>
              <w:spacing w:before="0" w:after="0"/>
              <w:jc w:val="center"/>
              <w:rPr>
                <w:rFonts w:ascii="Arial Narrow" w:hAnsi="Arial Narrow"/>
                <w:sz w:val="20"/>
              </w:rPr>
            </w:pPr>
            <w:r>
              <w:rPr>
                <w:rFonts w:ascii="Arial Narrow" w:hAnsi="Arial Narrow"/>
                <w:sz w:val="20"/>
              </w:rPr>
              <w:t>+1.2%</w:t>
            </w:r>
          </w:p>
        </w:tc>
      </w:tr>
      <w:tr w:rsidR="001B37A3" w:rsidRPr="007E0801" w14:paraId="47546BE8"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2C153FFD" w14:textId="77777777" w:rsidR="001B37A3" w:rsidRPr="007E0801" w:rsidRDefault="001B37A3" w:rsidP="001B37A3">
            <w:pPr>
              <w:keepNext/>
              <w:widowControl w:val="0"/>
              <w:tabs>
                <w:tab w:val="decimal" w:pos="396"/>
              </w:tabs>
              <w:spacing w:before="0" w:after="0"/>
              <w:jc w:val="left"/>
              <w:rPr>
                <w:rFonts w:ascii="Arial Narrow" w:hAnsi="Arial Narrow"/>
                <w:b/>
                <w:bCs/>
                <w:sz w:val="20"/>
              </w:rPr>
            </w:pPr>
            <w:r w:rsidRPr="007E0801">
              <w:rPr>
                <w:rFonts w:ascii="Arial Narrow" w:hAnsi="Arial Narrow"/>
                <w:b/>
                <w:bCs/>
                <w:sz w:val="20"/>
              </w:rPr>
              <w:t xml:space="preserve">Comparator </w:t>
            </w:r>
            <w:r w:rsidRPr="007E0801">
              <w:rPr>
                <w:rFonts w:ascii="Arial Narrow" w:hAnsi="Arial Narrow"/>
                <w:sz w:val="20"/>
              </w:rPr>
              <w:t>(25% cabazitaxel, 75% BSC)</w:t>
            </w:r>
          </w:p>
        </w:tc>
        <w:tc>
          <w:tcPr>
            <w:tcW w:w="593" w:type="pct"/>
            <w:tcBorders>
              <w:top w:val="single" w:sz="4" w:space="0" w:color="auto"/>
              <w:left w:val="single" w:sz="4" w:space="0" w:color="auto"/>
              <w:bottom w:val="single" w:sz="4" w:space="0" w:color="auto"/>
              <w:right w:val="single" w:sz="4" w:space="0" w:color="auto"/>
            </w:tcBorders>
            <w:vAlign w:val="center"/>
          </w:tcPr>
          <w:p w14:paraId="46449DE8" w14:textId="77777777" w:rsidR="001B37A3" w:rsidRPr="007E0801" w:rsidRDefault="001B37A3" w:rsidP="001B37A3">
            <w:pPr>
              <w:keepNext/>
              <w:widowControl w:val="0"/>
              <w:tabs>
                <w:tab w:val="decimal" w:pos="396"/>
              </w:tabs>
              <w:spacing w:before="0" w:after="0"/>
              <w:jc w:val="left"/>
              <w:rPr>
                <w:rFonts w:ascii="Arial Narrow" w:hAnsi="Arial Narrow"/>
                <w:sz w:val="20"/>
              </w:rPr>
            </w:pPr>
          </w:p>
        </w:tc>
        <w:tc>
          <w:tcPr>
            <w:tcW w:w="557" w:type="pct"/>
            <w:tcBorders>
              <w:top w:val="single" w:sz="4" w:space="0" w:color="auto"/>
              <w:left w:val="single" w:sz="4" w:space="0" w:color="auto"/>
              <w:bottom w:val="single" w:sz="4" w:space="0" w:color="auto"/>
              <w:right w:val="single" w:sz="4" w:space="0" w:color="auto"/>
            </w:tcBorders>
            <w:vAlign w:val="center"/>
          </w:tcPr>
          <w:p w14:paraId="516AB4AE" w14:textId="77777777" w:rsidR="001B37A3" w:rsidRPr="007E0801" w:rsidRDefault="001B37A3" w:rsidP="001B37A3">
            <w:pPr>
              <w:keepNext/>
              <w:widowControl w:val="0"/>
              <w:tabs>
                <w:tab w:val="decimal" w:pos="396"/>
              </w:tabs>
              <w:spacing w:before="0" w:after="0"/>
              <w:jc w:val="left"/>
              <w:rPr>
                <w:rFonts w:ascii="Arial Narrow" w:hAnsi="Arial Narrow"/>
                <w:sz w:val="20"/>
              </w:rPr>
            </w:pPr>
          </w:p>
        </w:tc>
        <w:tc>
          <w:tcPr>
            <w:tcW w:w="762" w:type="pct"/>
            <w:tcBorders>
              <w:top w:val="single" w:sz="4" w:space="0" w:color="auto"/>
              <w:left w:val="single" w:sz="4" w:space="0" w:color="auto"/>
              <w:bottom w:val="single" w:sz="4" w:space="0" w:color="auto"/>
              <w:right w:val="single" w:sz="4" w:space="0" w:color="auto"/>
            </w:tcBorders>
            <w:vAlign w:val="center"/>
          </w:tcPr>
          <w:p w14:paraId="05A26A88" w14:textId="77777777" w:rsidR="001B37A3" w:rsidRPr="007E0801" w:rsidRDefault="001B37A3" w:rsidP="001B37A3">
            <w:pPr>
              <w:keepNext/>
              <w:widowControl w:val="0"/>
              <w:tabs>
                <w:tab w:val="decimal" w:pos="396"/>
              </w:tabs>
              <w:spacing w:before="0" w:after="0"/>
              <w:jc w:val="left"/>
              <w:rPr>
                <w:rFonts w:ascii="Arial Narrow" w:hAnsi="Arial Narrow"/>
                <w:sz w:val="20"/>
              </w:rPr>
            </w:pPr>
          </w:p>
        </w:tc>
        <w:tc>
          <w:tcPr>
            <w:tcW w:w="752" w:type="pct"/>
            <w:tcBorders>
              <w:top w:val="single" w:sz="4" w:space="0" w:color="auto"/>
              <w:left w:val="single" w:sz="4" w:space="0" w:color="auto"/>
              <w:bottom w:val="single" w:sz="4" w:space="0" w:color="auto"/>
              <w:right w:val="single" w:sz="4" w:space="0" w:color="auto"/>
            </w:tcBorders>
            <w:vAlign w:val="center"/>
          </w:tcPr>
          <w:p w14:paraId="42DD856D" w14:textId="77777777" w:rsidR="001B37A3" w:rsidRPr="007E0801" w:rsidRDefault="001B37A3" w:rsidP="001B37A3">
            <w:pPr>
              <w:keepNext/>
              <w:widowControl w:val="0"/>
              <w:tabs>
                <w:tab w:val="decimal" w:pos="396"/>
              </w:tabs>
              <w:spacing w:before="0" w:after="0"/>
              <w:jc w:val="left"/>
              <w:rPr>
                <w:rFonts w:ascii="Arial Narrow" w:hAnsi="Arial Narrow"/>
                <w:sz w:val="20"/>
              </w:rPr>
            </w:pPr>
          </w:p>
        </w:tc>
      </w:tr>
      <w:tr w:rsidR="001B37A3" w:rsidRPr="007E0801" w14:paraId="0968E8DE"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0CBC7DCC" w14:textId="77777777" w:rsidR="001B37A3" w:rsidRPr="007E0801" w:rsidRDefault="001B37A3" w:rsidP="00AB515A">
            <w:pPr>
              <w:keepNext/>
              <w:spacing w:before="0" w:after="0"/>
              <w:ind w:left="254"/>
              <w:jc w:val="left"/>
              <w:rPr>
                <w:rFonts w:ascii="Arial Narrow" w:hAnsi="Arial Narrow"/>
                <w:snapToGrid w:val="0"/>
                <w:sz w:val="20"/>
              </w:rPr>
            </w:pPr>
            <w:r w:rsidRPr="007E0801">
              <w:rPr>
                <w:rFonts w:ascii="Arial Narrow" w:hAnsi="Arial Narrow"/>
                <w:snapToGrid w:val="0"/>
                <w:sz w:val="20"/>
              </w:rPr>
              <w:t>25% docetaxel (efficacy=cabazitaxel) 75% BSC</w:t>
            </w:r>
          </w:p>
        </w:tc>
        <w:tc>
          <w:tcPr>
            <w:tcW w:w="593" w:type="pct"/>
            <w:tcBorders>
              <w:top w:val="single" w:sz="4" w:space="0" w:color="auto"/>
              <w:left w:val="single" w:sz="4" w:space="0" w:color="auto"/>
              <w:bottom w:val="single" w:sz="4" w:space="0" w:color="auto"/>
              <w:right w:val="single" w:sz="4" w:space="0" w:color="auto"/>
            </w:tcBorders>
            <w:vAlign w:val="center"/>
          </w:tcPr>
          <w:p w14:paraId="3632BEC5" w14:textId="77777777" w:rsidR="001B37A3" w:rsidRPr="00CD28A8" w:rsidRDefault="00CD28A8" w:rsidP="001B37A3">
            <w:pPr>
              <w:keepNext/>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53CD663B"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0.09</w:t>
            </w:r>
          </w:p>
        </w:tc>
        <w:tc>
          <w:tcPr>
            <w:tcW w:w="762" w:type="pct"/>
            <w:tcBorders>
              <w:top w:val="single" w:sz="4" w:space="0" w:color="auto"/>
              <w:left w:val="single" w:sz="4" w:space="0" w:color="auto"/>
              <w:bottom w:val="single" w:sz="4" w:space="0" w:color="auto"/>
              <w:right w:val="single" w:sz="4" w:space="0" w:color="auto"/>
            </w:tcBorders>
            <w:vAlign w:val="center"/>
          </w:tcPr>
          <w:p w14:paraId="09D7B709" w14:textId="77777777" w:rsidR="001B37A3" w:rsidRPr="00CD28A8" w:rsidRDefault="00CD28A8" w:rsidP="001B37A3">
            <w:pPr>
              <w:keepNext/>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33958054"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+5.0%</w:t>
            </w:r>
          </w:p>
        </w:tc>
      </w:tr>
      <w:tr w:rsidR="001B37A3" w:rsidRPr="007E0801" w14:paraId="298861B0"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18BA31AA" w14:textId="77777777" w:rsidR="001B37A3" w:rsidRPr="007E0801" w:rsidRDefault="001B37A3" w:rsidP="00AB515A">
            <w:pPr>
              <w:keepNext/>
              <w:spacing w:before="0" w:after="0"/>
              <w:ind w:left="254"/>
              <w:jc w:val="left"/>
              <w:rPr>
                <w:rFonts w:ascii="Arial Narrow" w:hAnsi="Arial Narrow"/>
                <w:snapToGrid w:val="0"/>
                <w:sz w:val="20"/>
              </w:rPr>
            </w:pPr>
            <w:r w:rsidRPr="007E0801">
              <w:rPr>
                <w:rFonts w:ascii="Arial Narrow" w:hAnsi="Arial Narrow"/>
                <w:snapToGrid w:val="0"/>
                <w:sz w:val="20"/>
              </w:rPr>
              <w:t>25% docetaxel (efficacy=BSC) 75% BSC</w:t>
            </w:r>
          </w:p>
        </w:tc>
        <w:tc>
          <w:tcPr>
            <w:tcW w:w="593" w:type="pct"/>
            <w:tcBorders>
              <w:top w:val="single" w:sz="4" w:space="0" w:color="auto"/>
              <w:left w:val="single" w:sz="4" w:space="0" w:color="auto"/>
              <w:bottom w:val="single" w:sz="4" w:space="0" w:color="auto"/>
              <w:right w:val="single" w:sz="4" w:space="0" w:color="auto"/>
            </w:tcBorders>
            <w:vAlign w:val="center"/>
          </w:tcPr>
          <w:p w14:paraId="3A101642" w14:textId="77777777" w:rsidR="001B37A3" w:rsidRPr="00CD28A8" w:rsidRDefault="00CD28A8" w:rsidP="001B37A3">
            <w:pPr>
              <w:keepNext/>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1632B11B"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0.09</w:t>
            </w:r>
          </w:p>
        </w:tc>
        <w:tc>
          <w:tcPr>
            <w:tcW w:w="762" w:type="pct"/>
            <w:tcBorders>
              <w:top w:val="single" w:sz="4" w:space="0" w:color="auto"/>
              <w:left w:val="single" w:sz="4" w:space="0" w:color="auto"/>
              <w:bottom w:val="single" w:sz="4" w:space="0" w:color="auto"/>
              <w:right w:val="single" w:sz="4" w:space="0" w:color="auto"/>
            </w:tcBorders>
            <w:vAlign w:val="center"/>
          </w:tcPr>
          <w:p w14:paraId="31C10518" w14:textId="77777777" w:rsidR="001B37A3" w:rsidRPr="00CD28A8" w:rsidRDefault="00CD28A8" w:rsidP="001B37A3">
            <w:pPr>
              <w:keepNext/>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54ED2A9B"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+2.9%</w:t>
            </w:r>
          </w:p>
        </w:tc>
      </w:tr>
      <w:tr w:rsidR="005726FC" w:rsidRPr="007E0801" w14:paraId="05F183B6"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70186D8F" w14:textId="77777777" w:rsidR="005726FC" w:rsidRPr="007E0801" w:rsidRDefault="005726FC" w:rsidP="00AB515A">
            <w:pPr>
              <w:pStyle w:val="TableNumber"/>
              <w:spacing w:before="0" w:after="0" w:line="240" w:lineRule="auto"/>
              <w:ind w:left="254"/>
              <w:jc w:val="left"/>
            </w:pPr>
            <w:r w:rsidRPr="007E0801">
              <w:t>Assume 100% BSC</w:t>
            </w:r>
          </w:p>
        </w:tc>
        <w:tc>
          <w:tcPr>
            <w:tcW w:w="593" w:type="pct"/>
            <w:tcBorders>
              <w:top w:val="single" w:sz="4" w:space="0" w:color="auto"/>
              <w:left w:val="single" w:sz="4" w:space="0" w:color="auto"/>
              <w:bottom w:val="single" w:sz="4" w:space="0" w:color="auto"/>
              <w:right w:val="single" w:sz="4" w:space="0" w:color="auto"/>
            </w:tcBorders>
            <w:vAlign w:val="center"/>
          </w:tcPr>
          <w:p w14:paraId="742FF1DE" w14:textId="77777777" w:rsidR="005726FC" w:rsidRPr="00CD28A8" w:rsidRDefault="00CD28A8" w:rsidP="005904A1">
            <w:pPr>
              <w:pStyle w:val="TableNumber"/>
              <w:spacing w:before="0" w:after="0" w:line="240" w:lineRule="auto"/>
              <w:rPr>
                <w:highlight w:val="black"/>
              </w:rPr>
            </w:pPr>
            <w:r>
              <w:rPr>
                <w:noProof/>
                <w:color w:val="00000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6E5ED9A4" w14:textId="77777777" w:rsidR="005726FC" w:rsidRPr="007E0801" w:rsidRDefault="005726FC" w:rsidP="005904A1">
            <w:pPr>
              <w:pStyle w:val="TableNumber"/>
              <w:spacing w:before="0" w:after="0" w:line="240" w:lineRule="auto"/>
            </w:pPr>
            <w:r w:rsidRPr="007E0801">
              <w:t>0.09</w:t>
            </w:r>
          </w:p>
        </w:tc>
        <w:tc>
          <w:tcPr>
            <w:tcW w:w="762" w:type="pct"/>
            <w:tcBorders>
              <w:top w:val="single" w:sz="4" w:space="0" w:color="auto"/>
              <w:left w:val="single" w:sz="4" w:space="0" w:color="auto"/>
              <w:bottom w:val="single" w:sz="4" w:space="0" w:color="auto"/>
              <w:right w:val="single" w:sz="4" w:space="0" w:color="auto"/>
            </w:tcBorders>
            <w:vAlign w:val="center"/>
          </w:tcPr>
          <w:p w14:paraId="47D05C7E" w14:textId="77777777" w:rsidR="005726FC" w:rsidRPr="00CD28A8" w:rsidRDefault="00CD28A8" w:rsidP="005904A1">
            <w:pPr>
              <w:pStyle w:val="TableNumber"/>
              <w:spacing w:before="0" w:after="0" w:line="240" w:lineRule="auto"/>
            </w:pPr>
            <w:r>
              <w:rPr>
                <w:noProof/>
                <w:color w:val="000000"/>
                <w:highlight w:val="black"/>
              </w:rPr>
              <w:t>'''''''''''''''''''</w:t>
            </w:r>
            <w:r w:rsidR="00A858D6">
              <w:rPr>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1F79279D" w14:textId="77777777" w:rsidR="005726FC" w:rsidRPr="007E0801" w:rsidRDefault="005726FC" w:rsidP="005904A1">
            <w:pPr>
              <w:pStyle w:val="TableNumber"/>
              <w:spacing w:before="0" w:after="0" w:line="240" w:lineRule="auto"/>
            </w:pPr>
            <w:r w:rsidRPr="007E0801">
              <w:t>+4.5%</w:t>
            </w:r>
          </w:p>
        </w:tc>
      </w:tr>
      <w:tr w:rsidR="005726FC" w:rsidRPr="007E0801" w14:paraId="4599E049"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1D569025" w14:textId="77777777" w:rsidR="005726FC" w:rsidRPr="007E0801" w:rsidRDefault="005726FC" w:rsidP="00AB515A">
            <w:pPr>
              <w:pStyle w:val="TableNumber"/>
              <w:spacing w:before="0" w:after="0" w:line="240" w:lineRule="auto"/>
              <w:ind w:left="254"/>
              <w:jc w:val="left"/>
            </w:pPr>
            <w:r w:rsidRPr="007E0801">
              <w:t>Assume 100% cabazitaxel</w:t>
            </w:r>
          </w:p>
        </w:tc>
        <w:tc>
          <w:tcPr>
            <w:tcW w:w="593" w:type="pct"/>
            <w:tcBorders>
              <w:top w:val="single" w:sz="4" w:space="0" w:color="auto"/>
              <w:left w:val="single" w:sz="4" w:space="0" w:color="auto"/>
              <w:bottom w:val="single" w:sz="4" w:space="0" w:color="auto"/>
              <w:right w:val="single" w:sz="4" w:space="0" w:color="auto"/>
            </w:tcBorders>
            <w:vAlign w:val="center"/>
          </w:tcPr>
          <w:p w14:paraId="1CE4A9AB" w14:textId="77777777" w:rsidR="005726FC" w:rsidRPr="00CD28A8" w:rsidRDefault="00CD28A8" w:rsidP="005904A1">
            <w:pPr>
              <w:pStyle w:val="TableNumber"/>
              <w:spacing w:before="0" w:after="0" w:line="240" w:lineRule="auto"/>
              <w:rPr>
                <w:highlight w:val="black"/>
              </w:rPr>
            </w:pPr>
            <w:r>
              <w:rPr>
                <w:noProof/>
                <w:color w:val="00000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0B4DD0E1" w14:textId="77777777" w:rsidR="005726FC" w:rsidRPr="007E0801" w:rsidRDefault="005726FC" w:rsidP="005904A1">
            <w:pPr>
              <w:pStyle w:val="TableNumber"/>
              <w:spacing w:before="0" w:after="0" w:line="240" w:lineRule="auto"/>
            </w:pPr>
            <w:r w:rsidRPr="007E0801">
              <w:t>0.08</w:t>
            </w:r>
          </w:p>
        </w:tc>
        <w:tc>
          <w:tcPr>
            <w:tcW w:w="762" w:type="pct"/>
            <w:tcBorders>
              <w:top w:val="single" w:sz="4" w:space="0" w:color="auto"/>
              <w:left w:val="single" w:sz="4" w:space="0" w:color="auto"/>
              <w:bottom w:val="single" w:sz="4" w:space="0" w:color="auto"/>
              <w:right w:val="single" w:sz="4" w:space="0" w:color="auto"/>
            </w:tcBorders>
            <w:vAlign w:val="center"/>
          </w:tcPr>
          <w:p w14:paraId="4352ED5A" w14:textId="77777777" w:rsidR="005726FC" w:rsidRPr="00CD28A8" w:rsidRDefault="00CD28A8" w:rsidP="005904A1">
            <w:pPr>
              <w:pStyle w:val="TableNumber"/>
              <w:spacing w:before="0" w:after="0" w:line="240" w:lineRule="auto"/>
            </w:pPr>
            <w:r>
              <w:rPr>
                <w:noProof/>
                <w:color w:val="000000"/>
                <w:highlight w:val="black"/>
              </w:rPr>
              <w:t>'''''''''''''''''</w:t>
            </w:r>
            <w:r w:rsidR="00B45E6A">
              <w:rPr>
                <w:vertAlign w:val="superscript"/>
              </w:rPr>
              <w:t>2</w:t>
            </w:r>
          </w:p>
        </w:tc>
        <w:tc>
          <w:tcPr>
            <w:tcW w:w="752" w:type="pct"/>
            <w:tcBorders>
              <w:top w:val="single" w:sz="4" w:space="0" w:color="auto"/>
              <w:left w:val="single" w:sz="4" w:space="0" w:color="auto"/>
              <w:bottom w:val="single" w:sz="4" w:space="0" w:color="auto"/>
              <w:right w:val="single" w:sz="4" w:space="0" w:color="auto"/>
            </w:tcBorders>
            <w:vAlign w:val="center"/>
          </w:tcPr>
          <w:p w14:paraId="5F687693" w14:textId="77777777" w:rsidR="005726FC" w:rsidRPr="007E0801" w:rsidRDefault="005726FC" w:rsidP="005904A1">
            <w:pPr>
              <w:pStyle w:val="TableNumber"/>
              <w:spacing w:before="0" w:after="0" w:line="240" w:lineRule="auto"/>
            </w:pPr>
            <w:r w:rsidRPr="007E0801">
              <w:t>-13.4%</w:t>
            </w:r>
          </w:p>
        </w:tc>
      </w:tr>
      <w:tr w:rsidR="001B37A3" w:rsidRPr="007E0801" w14:paraId="2D2E196B"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3B3E262A" w14:textId="77777777" w:rsidR="001B37A3" w:rsidRPr="007E0801" w:rsidRDefault="001B37A3" w:rsidP="00AB515A">
            <w:pPr>
              <w:keepNext/>
              <w:spacing w:before="0" w:after="0"/>
              <w:ind w:left="254"/>
              <w:jc w:val="left"/>
              <w:rPr>
                <w:rFonts w:ascii="Arial Narrow" w:hAnsi="Arial Narrow"/>
                <w:snapToGrid w:val="0"/>
                <w:sz w:val="20"/>
              </w:rPr>
            </w:pPr>
            <w:r w:rsidRPr="007E0801">
              <w:rPr>
                <w:rFonts w:ascii="Arial Narrow" w:hAnsi="Arial Narrow"/>
                <w:snapToGrid w:val="0"/>
                <w:sz w:val="20"/>
              </w:rPr>
              <w:t>53.8% docetaxel, 10% cabazitaxel, 36.2% BSC^</w:t>
            </w:r>
          </w:p>
        </w:tc>
        <w:tc>
          <w:tcPr>
            <w:tcW w:w="593" w:type="pct"/>
            <w:tcBorders>
              <w:top w:val="single" w:sz="4" w:space="0" w:color="auto"/>
              <w:left w:val="single" w:sz="4" w:space="0" w:color="auto"/>
              <w:bottom w:val="single" w:sz="4" w:space="0" w:color="auto"/>
              <w:right w:val="single" w:sz="4" w:space="0" w:color="auto"/>
            </w:tcBorders>
          </w:tcPr>
          <w:p w14:paraId="5A4AE456" w14:textId="77777777" w:rsidR="001B37A3" w:rsidRPr="00CD28A8" w:rsidRDefault="00CD28A8" w:rsidP="001B37A3">
            <w:pPr>
              <w:keepNext/>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tcPr>
          <w:p w14:paraId="0626913C"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0.08</w:t>
            </w:r>
          </w:p>
        </w:tc>
        <w:tc>
          <w:tcPr>
            <w:tcW w:w="762" w:type="pct"/>
            <w:tcBorders>
              <w:top w:val="single" w:sz="4" w:space="0" w:color="auto"/>
              <w:left w:val="single" w:sz="4" w:space="0" w:color="auto"/>
              <w:bottom w:val="single" w:sz="4" w:space="0" w:color="auto"/>
              <w:right w:val="single" w:sz="4" w:space="0" w:color="auto"/>
            </w:tcBorders>
          </w:tcPr>
          <w:p w14:paraId="109E640C" w14:textId="77777777" w:rsidR="001B37A3" w:rsidRPr="00CD28A8" w:rsidRDefault="00CD28A8" w:rsidP="001B37A3">
            <w:pPr>
              <w:keepNext/>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tcPr>
          <w:p w14:paraId="2770CB25"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+4.2%</w:t>
            </w:r>
          </w:p>
        </w:tc>
      </w:tr>
      <w:tr w:rsidR="001B37A3" w:rsidRPr="007E0801" w14:paraId="63AE3742" w14:textId="77777777" w:rsidTr="007E0801">
        <w:tc>
          <w:tcPr>
            <w:tcW w:w="5000" w:type="pct"/>
            <w:gridSpan w:val="5"/>
            <w:tcBorders>
              <w:top w:val="single" w:sz="4" w:space="0" w:color="auto"/>
              <w:left w:val="single" w:sz="4" w:space="0" w:color="auto"/>
              <w:bottom w:val="single" w:sz="4" w:space="0" w:color="auto"/>
              <w:right w:val="single" w:sz="4" w:space="0" w:color="auto"/>
            </w:tcBorders>
            <w:vAlign w:val="center"/>
          </w:tcPr>
          <w:p w14:paraId="5C91E294" w14:textId="77777777" w:rsidR="001B37A3" w:rsidRPr="007E0801" w:rsidRDefault="001B37A3" w:rsidP="001B37A3">
            <w:pPr>
              <w:keepNext/>
              <w:widowControl w:val="0"/>
              <w:tabs>
                <w:tab w:val="decimal" w:pos="396"/>
              </w:tabs>
              <w:spacing w:before="0" w:after="0"/>
              <w:jc w:val="left"/>
              <w:rPr>
                <w:rFonts w:ascii="Arial Narrow" w:hAnsi="Arial Narrow"/>
                <w:sz w:val="20"/>
              </w:rPr>
            </w:pPr>
            <w:r w:rsidRPr="007E0801">
              <w:rPr>
                <w:rFonts w:ascii="Arial Narrow" w:hAnsi="Arial Narrow"/>
                <w:b/>
                <w:bCs/>
                <w:sz w:val="20"/>
              </w:rPr>
              <w:t>Choice of HR</w:t>
            </w:r>
            <w:r w:rsidRPr="007E0801">
              <w:rPr>
                <w:rFonts w:ascii="Arial Narrow" w:hAnsi="Arial Narrow"/>
                <w:sz w:val="20"/>
              </w:rPr>
              <w:t xml:space="preserve"> (base weighted 75% BSC, 25% cabazitaxel, PFS 0.24, OS 0.29)</w:t>
            </w:r>
          </w:p>
        </w:tc>
      </w:tr>
      <w:tr w:rsidR="001B37A3" w:rsidRPr="007E0801" w14:paraId="4F164406"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2D8AC39B" w14:textId="77777777" w:rsidR="001B37A3" w:rsidRPr="007E0801" w:rsidRDefault="001B37A3" w:rsidP="00AB515A">
            <w:pPr>
              <w:keepNext/>
              <w:spacing w:before="0" w:after="0"/>
              <w:ind w:left="254"/>
              <w:jc w:val="left"/>
              <w:rPr>
                <w:rFonts w:ascii="Arial Narrow" w:hAnsi="Arial Narrow"/>
                <w:snapToGrid w:val="0"/>
                <w:sz w:val="20"/>
              </w:rPr>
            </w:pPr>
            <w:r w:rsidRPr="007E0801">
              <w:rPr>
                <w:rFonts w:ascii="Arial Narrow" w:hAnsi="Arial Narrow"/>
                <w:snapToGrid w:val="0"/>
                <w:sz w:val="20"/>
              </w:rPr>
              <w:t>Assume BSC and cabazitaxel equal to NHA arm PFS 0.22, OS 0.28)</w:t>
            </w:r>
          </w:p>
        </w:tc>
        <w:tc>
          <w:tcPr>
            <w:tcW w:w="593" w:type="pct"/>
            <w:tcBorders>
              <w:top w:val="single" w:sz="4" w:space="0" w:color="auto"/>
              <w:left w:val="single" w:sz="4" w:space="0" w:color="auto"/>
              <w:bottom w:val="single" w:sz="4" w:space="0" w:color="auto"/>
              <w:right w:val="single" w:sz="4" w:space="0" w:color="auto"/>
            </w:tcBorders>
            <w:vAlign w:val="center"/>
          </w:tcPr>
          <w:p w14:paraId="3F7EE8FA" w14:textId="77777777" w:rsidR="001B37A3" w:rsidRPr="00CD28A8" w:rsidRDefault="00CD28A8" w:rsidP="001B37A3">
            <w:pPr>
              <w:keepNext/>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02BC863B"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0.09</w:t>
            </w:r>
          </w:p>
        </w:tc>
        <w:tc>
          <w:tcPr>
            <w:tcW w:w="762" w:type="pct"/>
            <w:tcBorders>
              <w:top w:val="single" w:sz="4" w:space="0" w:color="auto"/>
              <w:left w:val="single" w:sz="4" w:space="0" w:color="auto"/>
              <w:bottom w:val="single" w:sz="4" w:space="0" w:color="auto"/>
              <w:right w:val="single" w:sz="4" w:space="0" w:color="auto"/>
            </w:tcBorders>
            <w:vAlign w:val="center"/>
          </w:tcPr>
          <w:p w14:paraId="15763CE2" w14:textId="77777777" w:rsidR="001B37A3" w:rsidRPr="00CD28A8" w:rsidRDefault="00CD28A8" w:rsidP="001B37A3">
            <w:pPr>
              <w:keepNext/>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740A6D76" w14:textId="77777777" w:rsidR="001B37A3" w:rsidRPr="007E0801" w:rsidRDefault="001B37A3" w:rsidP="001B37A3">
            <w:pPr>
              <w:keepNext/>
              <w:widowControl w:val="0"/>
              <w:tabs>
                <w:tab w:val="decimal" w:pos="396"/>
              </w:tabs>
              <w:spacing w:before="0" w:after="0"/>
              <w:jc w:val="center"/>
              <w:rPr>
                <w:rFonts w:ascii="Arial Narrow" w:hAnsi="Arial Narrow"/>
                <w:sz w:val="20"/>
              </w:rPr>
            </w:pPr>
            <w:r w:rsidRPr="007E0801">
              <w:rPr>
                <w:rFonts w:ascii="Arial Narrow" w:hAnsi="Arial Narrow"/>
                <w:sz w:val="20"/>
              </w:rPr>
              <w:t>-0.8%</w:t>
            </w:r>
          </w:p>
        </w:tc>
      </w:tr>
      <w:tr w:rsidR="001B37A3" w:rsidRPr="007E0801" w14:paraId="1AEE6C93"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243C7345" w14:textId="77777777" w:rsidR="001B37A3" w:rsidRPr="007E0801" w:rsidRDefault="001B37A3" w:rsidP="00AB515A">
            <w:pPr>
              <w:spacing w:before="0" w:after="0"/>
              <w:ind w:left="254"/>
              <w:jc w:val="left"/>
              <w:rPr>
                <w:rFonts w:ascii="Arial Narrow" w:hAnsi="Arial Narrow"/>
                <w:snapToGrid w:val="0"/>
                <w:sz w:val="20"/>
              </w:rPr>
            </w:pPr>
            <w:r w:rsidRPr="007E0801">
              <w:rPr>
                <w:rFonts w:ascii="Arial Narrow" w:hAnsi="Arial Narrow"/>
                <w:snapToGrid w:val="0"/>
                <w:sz w:val="20"/>
              </w:rPr>
              <w:t>Without recensoring (base with recensoring)</w:t>
            </w:r>
          </w:p>
        </w:tc>
        <w:tc>
          <w:tcPr>
            <w:tcW w:w="593" w:type="pct"/>
            <w:tcBorders>
              <w:top w:val="single" w:sz="4" w:space="0" w:color="auto"/>
              <w:left w:val="single" w:sz="4" w:space="0" w:color="auto"/>
              <w:bottom w:val="single" w:sz="4" w:space="0" w:color="auto"/>
              <w:right w:val="single" w:sz="4" w:space="0" w:color="auto"/>
            </w:tcBorders>
            <w:vAlign w:val="center"/>
          </w:tcPr>
          <w:p w14:paraId="3E1EF6C8" w14:textId="77777777" w:rsidR="001B37A3" w:rsidRPr="00CD28A8" w:rsidRDefault="00CD28A8" w:rsidP="001B37A3">
            <w:pPr>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44EE32E5" w14:textId="77777777" w:rsidR="001B37A3" w:rsidRPr="007E0801" w:rsidRDefault="001B37A3" w:rsidP="001B37A3">
            <w:pPr>
              <w:widowControl w:val="0"/>
              <w:tabs>
                <w:tab w:val="decimal" w:pos="396"/>
              </w:tabs>
              <w:spacing w:before="0" w:after="0"/>
              <w:jc w:val="center"/>
              <w:rPr>
                <w:rFonts w:ascii="Arial Narrow" w:hAnsi="Arial Narrow"/>
                <w:sz w:val="20"/>
              </w:rPr>
            </w:pPr>
            <w:r w:rsidRPr="007E0801">
              <w:rPr>
                <w:rFonts w:ascii="Arial Narrow" w:hAnsi="Arial Narrow"/>
                <w:sz w:val="20"/>
              </w:rPr>
              <w:t>0.07</w:t>
            </w:r>
          </w:p>
        </w:tc>
        <w:tc>
          <w:tcPr>
            <w:tcW w:w="762" w:type="pct"/>
            <w:tcBorders>
              <w:top w:val="single" w:sz="4" w:space="0" w:color="auto"/>
              <w:left w:val="single" w:sz="4" w:space="0" w:color="auto"/>
              <w:bottom w:val="single" w:sz="4" w:space="0" w:color="auto"/>
              <w:right w:val="single" w:sz="4" w:space="0" w:color="auto"/>
            </w:tcBorders>
            <w:vAlign w:val="center"/>
          </w:tcPr>
          <w:p w14:paraId="012345AD" w14:textId="77777777" w:rsidR="001B37A3" w:rsidRPr="00CD28A8" w:rsidRDefault="00CD28A8" w:rsidP="001B37A3">
            <w:pPr>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4134A017" w14:textId="77777777" w:rsidR="001B37A3" w:rsidRPr="007E0801" w:rsidRDefault="001B37A3" w:rsidP="001B37A3">
            <w:pPr>
              <w:widowControl w:val="0"/>
              <w:tabs>
                <w:tab w:val="decimal" w:pos="396"/>
              </w:tabs>
              <w:spacing w:before="0" w:after="0"/>
              <w:jc w:val="center"/>
              <w:rPr>
                <w:rFonts w:ascii="Arial Narrow" w:hAnsi="Arial Narrow"/>
                <w:sz w:val="20"/>
              </w:rPr>
            </w:pPr>
            <w:r w:rsidRPr="007E0801">
              <w:rPr>
                <w:rFonts w:ascii="Arial Narrow" w:hAnsi="Arial Narrow"/>
                <w:sz w:val="20"/>
              </w:rPr>
              <w:t>+16.9%</w:t>
            </w:r>
          </w:p>
        </w:tc>
      </w:tr>
      <w:tr w:rsidR="001B37A3" w:rsidRPr="007E0801" w14:paraId="3F83F696"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47C7F6A7" w14:textId="77777777" w:rsidR="001B37A3" w:rsidRPr="007E0801" w:rsidRDefault="001B37A3" w:rsidP="00AB515A">
            <w:pPr>
              <w:spacing w:before="0" w:after="0"/>
              <w:ind w:left="254"/>
              <w:jc w:val="left"/>
              <w:rPr>
                <w:rFonts w:ascii="Arial Narrow" w:hAnsi="Arial Narrow"/>
                <w:snapToGrid w:val="0"/>
                <w:sz w:val="20"/>
              </w:rPr>
            </w:pPr>
            <w:r w:rsidRPr="007E0801">
              <w:rPr>
                <w:rFonts w:ascii="Arial Narrow" w:hAnsi="Arial Narrow"/>
                <w:snapToGrid w:val="0"/>
                <w:sz w:val="20"/>
              </w:rPr>
              <w:t>No treatment switching adjustment</w:t>
            </w:r>
          </w:p>
        </w:tc>
        <w:tc>
          <w:tcPr>
            <w:tcW w:w="593" w:type="pct"/>
            <w:tcBorders>
              <w:top w:val="single" w:sz="4" w:space="0" w:color="auto"/>
              <w:left w:val="single" w:sz="4" w:space="0" w:color="auto"/>
              <w:bottom w:val="single" w:sz="4" w:space="0" w:color="auto"/>
              <w:right w:val="single" w:sz="4" w:space="0" w:color="auto"/>
            </w:tcBorders>
            <w:vAlign w:val="center"/>
          </w:tcPr>
          <w:p w14:paraId="5D4E47CC" w14:textId="77777777" w:rsidR="001B37A3" w:rsidRPr="00CD28A8" w:rsidRDefault="00CD28A8" w:rsidP="001B37A3">
            <w:pPr>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1F2542DD" w14:textId="77777777" w:rsidR="001B37A3" w:rsidRPr="007E0801" w:rsidRDefault="001B37A3" w:rsidP="001B37A3">
            <w:pPr>
              <w:widowControl w:val="0"/>
              <w:tabs>
                <w:tab w:val="decimal" w:pos="396"/>
              </w:tabs>
              <w:spacing w:before="0" w:after="0"/>
              <w:jc w:val="center"/>
              <w:rPr>
                <w:rFonts w:ascii="Arial Narrow" w:hAnsi="Arial Narrow"/>
                <w:sz w:val="20"/>
              </w:rPr>
            </w:pPr>
            <w:r w:rsidRPr="007E0801">
              <w:rPr>
                <w:rFonts w:ascii="Arial Narrow" w:hAnsi="Arial Narrow"/>
                <w:sz w:val="20"/>
              </w:rPr>
              <w:t>0.04</w:t>
            </w:r>
          </w:p>
        </w:tc>
        <w:tc>
          <w:tcPr>
            <w:tcW w:w="762" w:type="pct"/>
            <w:tcBorders>
              <w:top w:val="single" w:sz="4" w:space="0" w:color="auto"/>
              <w:left w:val="single" w:sz="4" w:space="0" w:color="auto"/>
              <w:bottom w:val="single" w:sz="4" w:space="0" w:color="auto"/>
              <w:right w:val="single" w:sz="4" w:space="0" w:color="auto"/>
            </w:tcBorders>
            <w:vAlign w:val="center"/>
          </w:tcPr>
          <w:p w14:paraId="7382E562" w14:textId="77777777" w:rsidR="001B37A3" w:rsidRPr="00CD28A8" w:rsidRDefault="00CD28A8" w:rsidP="001B37A3">
            <w:pPr>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B45E6A">
              <w:rPr>
                <w:rFonts w:ascii="Arial Narrow" w:hAnsi="Arial Narrow"/>
                <w:sz w:val="20"/>
                <w:vertAlign w:val="superscript"/>
              </w:rPr>
              <w:t>3</w:t>
            </w:r>
          </w:p>
        </w:tc>
        <w:tc>
          <w:tcPr>
            <w:tcW w:w="752" w:type="pct"/>
            <w:tcBorders>
              <w:top w:val="single" w:sz="4" w:space="0" w:color="auto"/>
              <w:left w:val="single" w:sz="4" w:space="0" w:color="auto"/>
              <w:bottom w:val="single" w:sz="4" w:space="0" w:color="auto"/>
              <w:right w:val="single" w:sz="4" w:space="0" w:color="auto"/>
            </w:tcBorders>
            <w:vAlign w:val="center"/>
          </w:tcPr>
          <w:p w14:paraId="7FA6DD47" w14:textId="77777777" w:rsidR="001B37A3" w:rsidRPr="007E0801" w:rsidRDefault="001B37A3" w:rsidP="001B37A3">
            <w:pPr>
              <w:widowControl w:val="0"/>
              <w:tabs>
                <w:tab w:val="decimal" w:pos="396"/>
              </w:tabs>
              <w:spacing w:before="0" w:after="0"/>
              <w:jc w:val="center"/>
              <w:rPr>
                <w:rFonts w:ascii="Arial Narrow" w:hAnsi="Arial Narrow"/>
                <w:sz w:val="20"/>
              </w:rPr>
            </w:pPr>
            <w:r w:rsidRPr="007E0801">
              <w:rPr>
                <w:rFonts w:ascii="Arial Narrow" w:hAnsi="Arial Narrow"/>
                <w:sz w:val="20"/>
              </w:rPr>
              <w:t>+116.1%</w:t>
            </w:r>
          </w:p>
        </w:tc>
      </w:tr>
      <w:tr w:rsidR="00832B7B" w:rsidRPr="009C705A" w14:paraId="3785B3D3"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4497B3D4" w14:textId="77777777" w:rsidR="00832B7B" w:rsidRPr="008A4199" w:rsidRDefault="00832B7B" w:rsidP="008A4199">
            <w:pPr>
              <w:spacing w:before="0" w:after="0"/>
              <w:jc w:val="left"/>
              <w:rPr>
                <w:rFonts w:ascii="Arial Narrow" w:hAnsi="Arial Narrow"/>
                <w:b/>
                <w:bCs/>
                <w:snapToGrid w:val="0"/>
                <w:sz w:val="20"/>
              </w:rPr>
            </w:pPr>
            <w:r w:rsidRPr="008A4199">
              <w:rPr>
                <w:rFonts w:ascii="Arial Narrow" w:hAnsi="Arial Narrow"/>
                <w:b/>
                <w:bCs/>
                <w:snapToGrid w:val="0"/>
                <w:sz w:val="20"/>
              </w:rPr>
              <w:t>Utilities</w:t>
            </w:r>
          </w:p>
        </w:tc>
        <w:tc>
          <w:tcPr>
            <w:tcW w:w="593" w:type="pct"/>
            <w:tcBorders>
              <w:top w:val="single" w:sz="4" w:space="0" w:color="auto"/>
              <w:left w:val="single" w:sz="4" w:space="0" w:color="auto"/>
              <w:bottom w:val="single" w:sz="4" w:space="0" w:color="auto"/>
              <w:right w:val="single" w:sz="4" w:space="0" w:color="auto"/>
            </w:tcBorders>
            <w:vAlign w:val="center"/>
          </w:tcPr>
          <w:p w14:paraId="0ADAB5F8" w14:textId="77777777" w:rsidR="00832B7B" w:rsidRPr="008A4199" w:rsidRDefault="00832B7B" w:rsidP="001B37A3">
            <w:pPr>
              <w:widowControl w:val="0"/>
              <w:tabs>
                <w:tab w:val="decimal" w:pos="396"/>
              </w:tabs>
              <w:spacing w:before="0" w:after="0"/>
              <w:jc w:val="center"/>
              <w:rPr>
                <w:rFonts w:ascii="Arial Narrow" w:hAnsi="Arial Narrow"/>
                <w:b/>
                <w:bCs/>
                <w:sz w:val="20"/>
              </w:rPr>
            </w:pPr>
          </w:p>
        </w:tc>
        <w:tc>
          <w:tcPr>
            <w:tcW w:w="557" w:type="pct"/>
            <w:tcBorders>
              <w:top w:val="single" w:sz="4" w:space="0" w:color="auto"/>
              <w:left w:val="single" w:sz="4" w:space="0" w:color="auto"/>
              <w:bottom w:val="single" w:sz="4" w:space="0" w:color="auto"/>
              <w:right w:val="single" w:sz="4" w:space="0" w:color="auto"/>
            </w:tcBorders>
            <w:vAlign w:val="center"/>
          </w:tcPr>
          <w:p w14:paraId="0383986E" w14:textId="77777777" w:rsidR="00832B7B" w:rsidRPr="008A4199" w:rsidRDefault="00832B7B" w:rsidP="001B37A3">
            <w:pPr>
              <w:widowControl w:val="0"/>
              <w:tabs>
                <w:tab w:val="decimal" w:pos="396"/>
              </w:tabs>
              <w:spacing w:before="0" w:after="0"/>
              <w:jc w:val="center"/>
              <w:rPr>
                <w:rFonts w:ascii="Arial Narrow" w:hAnsi="Arial Narrow"/>
                <w:b/>
                <w:bCs/>
                <w:sz w:val="20"/>
              </w:rPr>
            </w:pPr>
          </w:p>
        </w:tc>
        <w:tc>
          <w:tcPr>
            <w:tcW w:w="762" w:type="pct"/>
            <w:tcBorders>
              <w:top w:val="single" w:sz="4" w:space="0" w:color="auto"/>
              <w:left w:val="single" w:sz="4" w:space="0" w:color="auto"/>
              <w:bottom w:val="single" w:sz="4" w:space="0" w:color="auto"/>
              <w:right w:val="single" w:sz="4" w:space="0" w:color="auto"/>
            </w:tcBorders>
            <w:vAlign w:val="center"/>
          </w:tcPr>
          <w:p w14:paraId="6A7B6350" w14:textId="77777777" w:rsidR="00832B7B" w:rsidRPr="008A4199" w:rsidRDefault="00832B7B" w:rsidP="001B37A3">
            <w:pPr>
              <w:widowControl w:val="0"/>
              <w:tabs>
                <w:tab w:val="decimal" w:pos="396"/>
              </w:tabs>
              <w:spacing w:before="0" w:after="0"/>
              <w:jc w:val="center"/>
              <w:rPr>
                <w:rFonts w:ascii="Arial Narrow" w:hAnsi="Arial Narrow"/>
                <w:b/>
                <w:bCs/>
                <w:sz w:val="20"/>
              </w:rPr>
            </w:pPr>
          </w:p>
        </w:tc>
        <w:tc>
          <w:tcPr>
            <w:tcW w:w="752" w:type="pct"/>
            <w:tcBorders>
              <w:top w:val="single" w:sz="4" w:space="0" w:color="auto"/>
              <w:left w:val="single" w:sz="4" w:space="0" w:color="auto"/>
              <w:bottom w:val="single" w:sz="4" w:space="0" w:color="auto"/>
              <w:right w:val="single" w:sz="4" w:space="0" w:color="auto"/>
            </w:tcBorders>
            <w:vAlign w:val="center"/>
          </w:tcPr>
          <w:p w14:paraId="1A9DEC7A" w14:textId="77777777" w:rsidR="00832B7B" w:rsidRPr="008A4199" w:rsidRDefault="00832B7B" w:rsidP="001B37A3">
            <w:pPr>
              <w:widowControl w:val="0"/>
              <w:tabs>
                <w:tab w:val="decimal" w:pos="396"/>
              </w:tabs>
              <w:spacing w:before="0" w:after="0"/>
              <w:jc w:val="center"/>
              <w:rPr>
                <w:rFonts w:ascii="Arial Narrow" w:hAnsi="Arial Narrow"/>
                <w:b/>
                <w:bCs/>
                <w:sz w:val="20"/>
              </w:rPr>
            </w:pPr>
          </w:p>
        </w:tc>
      </w:tr>
      <w:tr w:rsidR="00832B7B" w:rsidRPr="007E0801" w14:paraId="3D2E5CDF"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1F5085A3" w14:textId="77777777" w:rsidR="00832B7B" w:rsidRPr="007E0801" w:rsidRDefault="00832B7B" w:rsidP="00AB515A">
            <w:pPr>
              <w:spacing w:before="0" w:after="0"/>
              <w:ind w:left="254"/>
              <w:jc w:val="left"/>
              <w:rPr>
                <w:rFonts w:ascii="Arial Narrow" w:hAnsi="Arial Narrow"/>
                <w:snapToGrid w:val="0"/>
                <w:sz w:val="20"/>
              </w:rPr>
            </w:pPr>
            <w:r>
              <w:rPr>
                <w:rFonts w:ascii="Arial Narrow" w:hAnsi="Arial Narrow"/>
                <w:snapToGrid w:val="0"/>
                <w:sz w:val="20"/>
              </w:rPr>
              <w:t>Health state only (</w:t>
            </w:r>
            <w:r w:rsidR="009C705A">
              <w:rPr>
                <w:rFonts w:ascii="Arial Narrow" w:hAnsi="Arial Narrow"/>
                <w:snapToGrid w:val="0"/>
                <w:sz w:val="20"/>
              </w:rPr>
              <w:t>no time to death disutilities applied)</w:t>
            </w:r>
          </w:p>
        </w:tc>
        <w:tc>
          <w:tcPr>
            <w:tcW w:w="593" w:type="pct"/>
            <w:tcBorders>
              <w:top w:val="single" w:sz="4" w:space="0" w:color="auto"/>
              <w:left w:val="single" w:sz="4" w:space="0" w:color="auto"/>
              <w:bottom w:val="single" w:sz="4" w:space="0" w:color="auto"/>
              <w:right w:val="single" w:sz="4" w:space="0" w:color="auto"/>
            </w:tcBorders>
            <w:vAlign w:val="center"/>
          </w:tcPr>
          <w:p w14:paraId="6F238BD7" w14:textId="77777777" w:rsidR="00832B7B" w:rsidRPr="00CD28A8" w:rsidRDefault="00CD28A8" w:rsidP="001B37A3">
            <w:pPr>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41B897D7" w14:textId="77777777" w:rsidR="00832B7B" w:rsidRPr="007E0801" w:rsidRDefault="009C705A" w:rsidP="001B37A3">
            <w:pPr>
              <w:widowControl w:val="0"/>
              <w:tabs>
                <w:tab w:val="decimal" w:pos="396"/>
              </w:tabs>
              <w:spacing w:before="0" w:after="0"/>
              <w:jc w:val="center"/>
              <w:rPr>
                <w:rFonts w:ascii="Arial Narrow" w:hAnsi="Arial Narrow"/>
                <w:sz w:val="20"/>
              </w:rPr>
            </w:pPr>
            <w:r>
              <w:rPr>
                <w:rFonts w:ascii="Arial Narrow" w:hAnsi="Arial Narrow"/>
                <w:sz w:val="20"/>
              </w:rPr>
              <w:t>0.08</w:t>
            </w:r>
          </w:p>
        </w:tc>
        <w:tc>
          <w:tcPr>
            <w:tcW w:w="762" w:type="pct"/>
            <w:tcBorders>
              <w:top w:val="single" w:sz="4" w:space="0" w:color="auto"/>
              <w:left w:val="single" w:sz="4" w:space="0" w:color="auto"/>
              <w:bottom w:val="single" w:sz="4" w:space="0" w:color="auto"/>
              <w:right w:val="single" w:sz="4" w:space="0" w:color="auto"/>
            </w:tcBorders>
            <w:vAlign w:val="center"/>
          </w:tcPr>
          <w:p w14:paraId="61A5D9C3" w14:textId="77777777" w:rsidR="00832B7B" w:rsidRPr="00CD28A8" w:rsidRDefault="00CD28A8" w:rsidP="001B37A3">
            <w:pPr>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329FF2B2" w14:textId="77777777" w:rsidR="00832B7B" w:rsidRPr="007E0801" w:rsidRDefault="009C705A" w:rsidP="001B37A3">
            <w:pPr>
              <w:widowControl w:val="0"/>
              <w:tabs>
                <w:tab w:val="decimal" w:pos="396"/>
              </w:tabs>
              <w:spacing w:before="0" w:after="0"/>
              <w:jc w:val="center"/>
              <w:rPr>
                <w:rFonts w:ascii="Arial Narrow" w:hAnsi="Arial Narrow"/>
                <w:sz w:val="20"/>
              </w:rPr>
            </w:pPr>
            <w:r>
              <w:rPr>
                <w:rFonts w:ascii="Arial Narrow" w:hAnsi="Arial Narrow"/>
                <w:sz w:val="20"/>
              </w:rPr>
              <w:t>+4.5%</w:t>
            </w:r>
          </w:p>
        </w:tc>
      </w:tr>
      <w:tr w:rsidR="001B37A3" w:rsidRPr="007E0801" w14:paraId="288D2C61"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36ADB86B" w14:textId="77777777" w:rsidR="001B37A3" w:rsidRPr="007E0801" w:rsidRDefault="001B37A3" w:rsidP="001B37A3">
            <w:pPr>
              <w:keepNext/>
              <w:spacing w:before="0" w:after="0"/>
              <w:jc w:val="left"/>
              <w:rPr>
                <w:rFonts w:ascii="Arial Narrow" w:hAnsi="Arial Narrow"/>
                <w:b/>
                <w:snapToGrid w:val="0"/>
                <w:sz w:val="20"/>
              </w:rPr>
            </w:pPr>
            <w:r w:rsidRPr="007E0801">
              <w:rPr>
                <w:rFonts w:ascii="Arial Narrow" w:hAnsi="Arial Narrow"/>
                <w:b/>
                <w:snapToGrid w:val="0"/>
                <w:sz w:val="20"/>
              </w:rPr>
              <w:t>Multivariate analysis (MA)</w:t>
            </w:r>
          </w:p>
        </w:tc>
        <w:tc>
          <w:tcPr>
            <w:tcW w:w="593" w:type="pct"/>
            <w:tcBorders>
              <w:top w:val="single" w:sz="4" w:space="0" w:color="auto"/>
              <w:left w:val="single" w:sz="4" w:space="0" w:color="auto"/>
              <w:bottom w:val="single" w:sz="4" w:space="0" w:color="auto"/>
              <w:right w:val="single" w:sz="4" w:space="0" w:color="auto"/>
            </w:tcBorders>
            <w:vAlign w:val="center"/>
          </w:tcPr>
          <w:p w14:paraId="4188BFCE" w14:textId="77777777" w:rsidR="001B37A3" w:rsidRPr="007E0801" w:rsidRDefault="001B37A3" w:rsidP="001B37A3">
            <w:pPr>
              <w:keepNext/>
              <w:widowControl w:val="0"/>
              <w:tabs>
                <w:tab w:val="decimal" w:pos="396"/>
              </w:tabs>
              <w:spacing w:before="0" w:after="0"/>
              <w:jc w:val="center"/>
              <w:rPr>
                <w:rFonts w:ascii="Arial Narrow" w:hAnsi="Arial Narrow"/>
                <w:b/>
                <w:sz w:val="20"/>
              </w:rPr>
            </w:pPr>
          </w:p>
        </w:tc>
        <w:tc>
          <w:tcPr>
            <w:tcW w:w="557" w:type="pct"/>
            <w:tcBorders>
              <w:top w:val="single" w:sz="4" w:space="0" w:color="auto"/>
              <w:left w:val="single" w:sz="4" w:space="0" w:color="auto"/>
              <w:bottom w:val="single" w:sz="4" w:space="0" w:color="auto"/>
              <w:right w:val="single" w:sz="4" w:space="0" w:color="auto"/>
            </w:tcBorders>
            <w:vAlign w:val="center"/>
          </w:tcPr>
          <w:p w14:paraId="363320FF" w14:textId="77777777" w:rsidR="001B37A3" w:rsidRPr="007E0801" w:rsidRDefault="001B37A3" w:rsidP="001B37A3">
            <w:pPr>
              <w:keepNext/>
              <w:widowControl w:val="0"/>
              <w:tabs>
                <w:tab w:val="decimal" w:pos="396"/>
              </w:tabs>
              <w:spacing w:before="0" w:after="0"/>
              <w:jc w:val="center"/>
              <w:rPr>
                <w:rFonts w:ascii="Arial Narrow" w:hAnsi="Arial Narrow"/>
                <w:b/>
                <w:sz w:val="20"/>
              </w:rPr>
            </w:pPr>
          </w:p>
        </w:tc>
        <w:tc>
          <w:tcPr>
            <w:tcW w:w="762" w:type="pct"/>
            <w:tcBorders>
              <w:top w:val="single" w:sz="4" w:space="0" w:color="auto"/>
              <w:left w:val="single" w:sz="4" w:space="0" w:color="auto"/>
              <w:bottom w:val="single" w:sz="4" w:space="0" w:color="auto"/>
              <w:right w:val="single" w:sz="4" w:space="0" w:color="auto"/>
            </w:tcBorders>
            <w:vAlign w:val="center"/>
          </w:tcPr>
          <w:p w14:paraId="6285A456" w14:textId="77777777" w:rsidR="001B37A3" w:rsidRPr="007E0801" w:rsidRDefault="001B37A3" w:rsidP="001B37A3">
            <w:pPr>
              <w:keepNext/>
              <w:widowControl w:val="0"/>
              <w:tabs>
                <w:tab w:val="decimal" w:pos="396"/>
              </w:tabs>
              <w:spacing w:before="0" w:after="0"/>
              <w:jc w:val="center"/>
              <w:rPr>
                <w:rFonts w:ascii="Arial Narrow" w:hAnsi="Arial Narrow"/>
                <w:b/>
                <w:sz w:val="20"/>
              </w:rPr>
            </w:pPr>
          </w:p>
        </w:tc>
        <w:tc>
          <w:tcPr>
            <w:tcW w:w="752" w:type="pct"/>
            <w:tcBorders>
              <w:top w:val="single" w:sz="4" w:space="0" w:color="auto"/>
              <w:left w:val="single" w:sz="4" w:space="0" w:color="auto"/>
              <w:bottom w:val="single" w:sz="4" w:space="0" w:color="auto"/>
              <w:right w:val="single" w:sz="4" w:space="0" w:color="auto"/>
            </w:tcBorders>
          </w:tcPr>
          <w:p w14:paraId="3BFE5EF2" w14:textId="77777777" w:rsidR="001B37A3" w:rsidRPr="007E0801" w:rsidRDefault="001B37A3" w:rsidP="001B37A3">
            <w:pPr>
              <w:keepNext/>
              <w:widowControl w:val="0"/>
              <w:tabs>
                <w:tab w:val="decimal" w:pos="396"/>
              </w:tabs>
              <w:spacing w:before="0" w:after="0"/>
              <w:jc w:val="center"/>
              <w:rPr>
                <w:rFonts w:ascii="Arial Narrow" w:hAnsi="Arial Narrow"/>
                <w:b/>
                <w:sz w:val="20"/>
              </w:rPr>
            </w:pPr>
          </w:p>
        </w:tc>
      </w:tr>
      <w:tr w:rsidR="001B37A3" w:rsidRPr="007E0801" w14:paraId="66A6460D"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4AEC3D22" w14:textId="77777777" w:rsidR="001B37A3" w:rsidRPr="007E0801" w:rsidRDefault="001B37A3" w:rsidP="001B37A3">
            <w:pPr>
              <w:spacing w:before="0" w:after="0"/>
              <w:jc w:val="left"/>
              <w:rPr>
                <w:rFonts w:ascii="Arial Narrow" w:hAnsi="Arial Narrow"/>
                <w:snapToGrid w:val="0"/>
                <w:sz w:val="20"/>
              </w:rPr>
            </w:pPr>
            <w:r w:rsidRPr="007E0801">
              <w:rPr>
                <w:rFonts w:ascii="Arial Narrow" w:hAnsi="Arial Narrow"/>
                <w:snapToGrid w:val="0"/>
                <w:sz w:val="20"/>
              </w:rPr>
              <w:t>MA1: Cabazitaxel=BSC=NHA efficacy, treatment switching adjustment without recensoring</w:t>
            </w:r>
          </w:p>
        </w:tc>
        <w:tc>
          <w:tcPr>
            <w:tcW w:w="593" w:type="pct"/>
            <w:tcBorders>
              <w:top w:val="single" w:sz="4" w:space="0" w:color="auto"/>
              <w:left w:val="single" w:sz="4" w:space="0" w:color="auto"/>
              <w:bottom w:val="single" w:sz="4" w:space="0" w:color="auto"/>
              <w:right w:val="single" w:sz="4" w:space="0" w:color="auto"/>
            </w:tcBorders>
            <w:vAlign w:val="center"/>
          </w:tcPr>
          <w:p w14:paraId="63F22E85" w14:textId="77777777" w:rsidR="001B37A3" w:rsidRPr="00CD28A8" w:rsidRDefault="00CD28A8" w:rsidP="001B37A3">
            <w:pPr>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vAlign w:val="center"/>
          </w:tcPr>
          <w:p w14:paraId="5CEF971B" w14:textId="77777777" w:rsidR="001B37A3" w:rsidRPr="007E0801" w:rsidRDefault="001B37A3" w:rsidP="001B37A3">
            <w:pPr>
              <w:widowControl w:val="0"/>
              <w:tabs>
                <w:tab w:val="decimal" w:pos="396"/>
              </w:tabs>
              <w:spacing w:before="0" w:after="0"/>
              <w:jc w:val="center"/>
              <w:rPr>
                <w:rFonts w:ascii="Arial Narrow" w:hAnsi="Arial Narrow"/>
                <w:sz w:val="20"/>
              </w:rPr>
            </w:pPr>
            <w:r w:rsidRPr="007E0801">
              <w:rPr>
                <w:rFonts w:ascii="Arial Narrow" w:hAnsi="Arial Narrow"/>
                <w:sz w:val="20"/>
              </w:rPr>
              <w:t>0.08</w:t>
            </w:r>
          </w:p>
        </w:tc>
        <w:tc>
          <w:tcPr>
            <w:tcW w:w="762" w:type="pct"/>
            <w:tcBorders>
              <w:top w:val="single" w:sz="4" w:space="0" w:color="auto"/>
              <w:left w:val="single" w:sz="4" w:space="0" w:color="auto"/>
              <w:bottom w:val="single" w:sz="4" w:space="0" w:color="auto"/>
              <w:right w:val="single" w:sz="4" w:space="0" w:color="auto"/>
            </w:tcBorders>
            <w:vAlign w:val="center"/>
          </w:tcPr>
          <w:p w14:paraId="6E84CB23" w14:textId="77777777" w:rsidR="001B37A3" w:rsidRPr="00CD28A8" w:rsidRDefault="00CD28A8" w:rsidP="001B37A3">
            <w:pPr>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vAlign w:val="center"/>
          </w:tcPr>
          <w:p w14:paraId="7771DFDE" w14:textId="77777777" w:rsidR="001B37A3" w:rsidRPr="007E0801" w:rsidRDefault="001B37A3" w:rsidP="001B37A3">
            <w:pPr>
              <w:widowControl w:val="0"/>
              <w:tabs>
                <w:tab w:val="decimal" w:pos="396"/>
              </w:tabs>
              <w:spacing w:before="0" w:after="0"/>
              <w:jc w:val="center"/>
              <w:rPr>
                <w:rFonts w:ascii="Arial Narrow" w:hAnsi="Arial Narrow"/>
                <w:sz w:val="20"/>
              </w:rPr>
            </w:pPr>
            <w:r w:rsidRPr="007E0801">
              <w:rPr>
                <w:rFonts w:ascii="Arial Narrow" w:hAnsi="Arial Narrow"/>
                <w:sz w:val="20"/>
              </w:rPr>
              <w:t>+15.2%</w:t>
            </w:r>
          </w:p>
        </w:tc>
      </w:tr>
      <w:tr w:rsidR="001B37A3" w:rsidRPr="007E0801" w14:paraId="17276BBD"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13DA4B0D" w14:textId="77777777" w:rsidR="001B37A3" w:rsidRPr="007E0801" w:rsidRDefault="001B37A3" w:rsidP="001B37A3">
            <w:pPr>
              <w:spacing w:before="0" w:after="0"/>
              <w:jc w:val="left"/>
              <w:rPr>
                <w:rFonts w:ascii="Arial Narrow" w:hAnsi="Arial Narrow"/>
                <w:snapToGrid w:val="0"/>
                <w:sz w:val="20"/>
              </w:rPr>
            </w:pPr>
            <w:r w:rsidRPr="007E0801">
              <w:rPr>
                <w:rFonts w:ascii="Arial Narrow" w:hAnsi="Arial Narrow"/>
                <w:snapToGrid w:val="0"/>
                <w:sz w:val="20"/>
              </w:rPr>
              <w:t>MA2: Sensitivity 76% (incl. test failure), cascade testing</w:t>
            </w:r>
          </w:p>
        </w:tc>
        <w:tc>
          <w:tcPr>
            <w:tcW w:w="593" w:type="pct"/>
            <w:tcBorders>
              <w:top w:val="single" w:sz="4" w:space="0" w:color="auto"/>
              <w:left w:val="single" w:sz="4" w:space="0" w:color="auto"/>
              <w:bottom w:val="single" w:sz="4" w:space="0" w:color="auto"/>
              <w:right w:val="single" w:sz="4" w:space="0" w:color="auto"/>
            </w:tcBorders>
          </w:tcPr>
          <w:p w14:paraId="387DDB89" w14:textId="77777777" w:rsidR="001B37A3" w:rsidRPr="00CD28A8" w:rsidRDefault="00CD28A8" w:rsidP="001B37A3">
            <w:pPr>
              <w:widowControl w:val="0"/>
              <w:tabs>
                <w:tab w:val="decimal" w:pos="396"/>
              </w:tabs>
              <w:spacing w:before="0" w:after="0"/>
              <w:jc w:val="center"/>
              <w:rPr>
                <w:rFonts w:ascii="Arial Narrow" w:hAnsi="Arial Narrow"/>
                <w:sz w:val="20"/>
                <w:highlight w:val="black"/>
              </w:rPr>
            </w:pPr>
            <w:r>
              <w:rPr>
                <w:rFonts w:ascii="Arial Narrow" w:hAnsi="Arial Narrow"/>
                <w:noProof/>
                <w:color w:val="000000"/>
                <w:sz w:val="20"/>
                <w:highlight w:val="black"/>
              </w:rPr>
              <w:t>'''''''''''''''''</w:t>
            </w:r>
          </w:p>
        </w:tc>
        <w:tc>
          <w:tcPr>
            <w:tcW w:w="557" w:type="pct"/>
            <w:tcBorders>
              <w:top w:val="single" w:sz="4" w:space="0" w:color="auto"/>
              <w:left w:val="single" w:sz="4" w:space="0" w:color="auto"/>
              <w:bottom w:val="single" w:sz="4" w:space="0" w:color="auto"/>
              <w:right w:val="single" w:sz="4" w:space="0" w:color="auto"/>
            </w:tcBorders>
          </w:tcPr>
          <w:p w14:paraId="4F5BD7E2" w14:textId="77777777" w:rsidR="001B37A3" w:rsidRPr="007E0801" w:rsidRDefault="001B37A3" w:rsidP="001B37A3">
            <w:pPr>
              <w:widowControl w:val="0"/>
              <w:tabs>
                <w:tab w:val="decimal" w:pos="396"/>
              </w:tabs>
              <w:spacing w:before="0" w:after="0"/>
              <w:jc w:val="center"/>
              <w:rPr>
                <w:rFonts w:ascii="Arial Narrow" w:hAnsi="Arial Narrow"/>
                <w:sz w:val="20"/>
              </w:rPr>
            </w:pPr>
            <w:r w:rsidRPr="007E0801">
              <w:rPr>
                <w:rFonts w:ascii="Arial Narrow" w:hAnsi="Arial Narrow"/>
                <w:sz w:val="20"/>
              </w:rPr>
              <w:t>0.06</w:t>
            </w:r>
          </w:p>
        </w:tc>
        <w:tc>
          <w:tcPr>
            <w:tcW w:w="762" w:type="pct"/>
            <w:tcBorders>
              <w:top w:val="single" w:sz="4" w:space="0" w:color="auto"/>
              <w:left w:val="single" w:sz="4" w:space="0" w:color="auto"/>
              <w:bottom w:val="single" w:sz="4" w:space="0" w:color="auto"/>
              <w:right w:val="single" w:sz="4" w:space="0" w:color="auto"/>
            </w:tcBorders>
          </w:tcPr>
          <w:p w14:paraId="1175CD06" w14:textId="77777777" w:rsidR="001B37A3" w:rsidRPr="00CD28A8" w:rsidRDefault="00CD28A8" w:rsidP="001B37A3">
            <w:pPr>
              <w:widowControl w:val="0"/>
              <w:tabs>
                <w:tab w:val="decimal" w:pos="396"/>
              </w:tabs>
              <w:spacing w:before="0" w:after="0"/>
              <w:jc w:val="center"/>
              <w:rPr>
                <w:rFonts w:ascii="Arial Narrow" w:hAnsi="Arial Narrow"/>
                <w:sz w:val="20"/>
              </w:rPr>
            </w:pPr>
            <w:r>
              <w:rPr>
                <w:rFonts w:ascii="Arial Narrow" w:hAnsi="Arial Narrow"/>
                <w:noProof/>
                <w:color w:val="000000"/>
                <w:sz w:val="20"/>
                <w:highlight w:val="black"/>
              </w:rPr>
              <w:t>''''''''''''''''''''</w:t>
            </w:r>
            <w:r w:rsidR="00A858D6">
              <w:rPr>
                <w:rFonts w:ascii="Arial Narrow" w:hAnsi="Arial Narrow"/>
                <w:sz w:val="20"/>
                <w:vertAlign w:val="superscript"/>
              </w:rPr>
              <w:t>1</w:t>
            </w:r>
          </w:p>
        </w:tc>
        <w:tc>
          <w:tcPr>
            <w:tcW w:w="752" w:type="pct"/>
            <w:tcBorders>
              <w:top w:val="single" w:sz="4" w:space="0" w:color="auto"/>
              <w:left w:val="single" w:sz="4" w:space="0" w:color="auto"/>
              <w:bottom w:val="single" w:sz="4" w:space="0" w:color="auto"/>
              <w:right w:val="single" w:sz="4" w:space="0" w:color="auto"/>
            </w:tcBorders>
          </w:tcPr>
          <w:p w14:paraId="6F472370" w14:textId="77777777" w:rsidR="001B37A3" w:rsidRPr="007E0801" w:rsidRDefault="001B37A3" w:rsidP="001B37A3">
            <w:pPr>
              <w:widowControl w:val="0"/>
              <w:tabs>
                <w:tab w:val="decimal" w:pos="396"/>
              </w:tabs>
              <w:spacing w:before="0" w:after="0"/>
              <w:jc w:val="center"/>
              <w:rPr>
                <w:rFonts w:ascii="Arial Narrow" w:hAnsi="Arial Narrow"/>
                <w:sz w:val="20"/>
              </w:rPr>
            </w:pPr>
            <w:r w:rsidRPr="007E0801">
              <w:rPr>
                <w:rFonts w:ascii="Arial Narrow" w:hAnsi="Arial Narrow"/>
                <w:sz w:val="20"/>
              </w:rPr>
              <w:t>+11.3%</w:t>
            </w:r>
          </w:p>
        </w:tc>
      </w:tr>
      <w:tr w:rsidR="00C71F6B" w:rsidRPr="007E0801" w14:paraId="640A61C6"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5E5CE270" w14:textId="77777777" w:rsidR="00C71F6B" w:rsidRPr="007E0801" w:rsidRDefault="00C71F6B" w:rsidP="00C71F6B">
            <w:pPr>
              <w:pStyle w:val="Tabletext1"/>
            </w:pPr>
            <w:r w:rsidRPr="007E0801">
              <w:t>MA3: MA1&amp;MA2</w:t>
            </w:r>
          </w:p>
        </w:tc>
        <w:tc>
          <w:tcPr>
            <w:tcW w:w="593" w:type="pct"/>
            <w:tcBorders>
              <w:top w:val="single" w:sz="4" w:space="0" w:color="auto"/>
              <w:left w:val="single" w:sz="4" w:space="0" w:color="auto"/>
              <w:bottom w:val="single" w:sz="4" w:space="0" w:color="auto"/>
              <w:right w:val="single" w:sz="4" w:space="0" w:color="auto"/>
            </w:tcBorders>
          </w:tcPr>
          <w:p w14:paraId="2C67C60B" w14:textId="77777777" w:rsidR="00C71F6B" w:rsidRPr="00CD28A8" w:rsidRDefault="00CD28A8" w:rsidP="00C71F6B">
            <w:pPr>
              <w:pStyle w:val="TableNumber"/>
              <w:spacing w:before="0" w:after="0" w:line="240" w:lineRule="auto"/>
              <w:rPr>
                <w:highlight w:val="black"/>
              </w:rPr>
            </w:pPr>
            <w:r>
              <w:rPr>
                <w:noProof/>
                <w:color w:val="000000"/>
                <w:highlight w:val="black"/>
              </w:rPr>
              <w:t>'''''''''''''''''</w:t>
            </w:r>
          </w:p>
        </w:tc>
        <w:tc>
          <w:tcPr>
            <w:tcW w:w="557" w:type="pct"/>
            <w:tcBorders>
              <w:top w:val="single" w:sz="4" w:space="0" w:color="auto"/>
              <w:left w:val="single" w:sz="4" w:space="0" w:color="auto"/>
              <w:bottom w:val="single" w:sz="4" w:space="0" w:color="auto"/>
              <w:right w:val="single" w:sz="4" w:space="0" w:color="auto"/>
            </w:tcBorders>
          </w:tcPr>
          <w:p w14:paraId="2425684B" w14:textId="77777777" w:rsidR="00C71F6B" w:rsidRPr="007E0801" w:rsidRDefault="00C71F6B" w:rsidP="00C71F6B">
            <w:pPr>
              <w:pStyle w:val="TableNumber"/>
              <w:spacing w:before="0" w:after="0" w:line="240" w:lineRule="auto"/>
            </w:pPr>
            <w:r w:rsidRPr="007E0801">
              <w:t>0.06</w:t>
            </w:r>
          </w:p>
        </w:tc>
        <w:tc>
          <w:tcPr>
            <w:tcW w:w="762" w:type="pct"/>
            <w:tcBorders>
              <w:top w:val="single" w:sz="4" w:space="0" w:color="auto"/>
              <w:left w:val="single" w:sz="4" w:space="0" w:color="auto"/>
              <w:bottom w:val="single" w:sz="4" w:space="0" w:color="auto"/>
              <w:right w:val="single" w:sz="4" w:space="0" w:color="auto"/>
            </w:tcBorders>
          </w:tcPr>
          <w:p w14:paraId="4A1EC5FC" w14:textId="77777777" w:rsidR="00C71F6B" w:rsidRPr="00CD28A8" w:rsidRDefault="00CD28A8" w:rsidP="00C71F6B">
            <w:pPr>
              <w:pStyle w:val="TableNumber"/>
              <w:spacing w:before="0" w:after="0" w:line="240" w:lineRule="auto"/>
            </w:pPr>
            <w:r>
              <w:rPr>
                <w:noProof/>
                <w:color w:val="000000"/>
                <w:highlight w:val="black"/>
              </w:rPr>
              <w:t>'''''''''''''''''''</w:t>
            </w:r>
            <w:r w:rsidR="00B45E6A">
              <w:rPr>
                <w:vertAlign w:val="superscript"/>
              </w:rPr>
              <w:t>4</w:t>
            </w:r>
          </w:p>
        </w:tc>
        <w:tc>
          <w:tcPr>
            <w:tcW w:w="752" w:type="pct"/>
            <w:tcBorders>
              <w:top w:val="single" w:sz="4" w:space="0" w:color="auto"/>
              <w:left w:val="single" w:sz="4" w:space="0" w:color="auto"/>
              <w:bottom w:val="single" w:sz="4" w:space="0" w:color="auto"/>
              <w:right w:val="single" w:sz="4" w:space="0" w:color="auto"/>
            </w:tcBorders>
          </w:tcPr>
          <w:p w14:paraId="199E2BFE" w14:textId="77777777" w:rsidR="00C71F6B" w:rsidRPr="007E0801" w:rsidRDefault="00C71F6B" w:rsidP="00C71F6B">
            <w:pPr>
              <w:pStyle w:val="TableNumber"/>
              <w:spacing w:before="0" w:after="0" w:line="240" w:lineRule="auto"/>
            </w:pPr>
            <w:r w:rsidRPr="007E0801">
              <w:t>+28.0%</w:t>
            </w:r>
          </w:p>
        </w:tc>
      </w:tr>
      <w:tr w:rsidR="00C71F6B" w:rsidRPr="007E0801" w14:paraId="6EC4EAFC"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7D55D31A" w14:textId="77777777" w:rsidR="00C71F6B" w:rsidRPr="007E0801" w:rsidRDefault="00C71F6B" w:rsidP="00C71F6B">
            <w:pPr>
              <w:pStyle w:val="Tabletext1"/>
              <w:rPr>
                <w:bCs/>
              </w:rPr>
            </w:pPr>
            <w:r w:rsidRPr="007E0801">
              <w:rPr>
                <w:bCs/>
              </w:rPr>
              <w:t>MA4: MA3&amp; chemo admin corrected</w:t>
            </w:r>
          </w:p>
        </w:tc>
        <w:tc>
          <w:tcPr>
            <w:tcW w:w="593" w:type="pct"/>
            <w:tcBorders>
              <w:top w:val="single" w:sz="4" w:space="0" w:color="auto"/>
              <w:left w:val="single" w:sz="4" w:space="0" w:color="auto"/>
              <w:bottom w:val="single" w:sz="4" w:space="0" w:color="auto"/>
              <w:right w:val="single" w:sz="4" w:space="0" w:color="auto"/>
            </w:tcBorders>
          </w:tcPr>
          <w:p w14:paraId="6090750B" w14:textId="77777777" w:rsidR="00C71F6B" w:rsidRPr="00CD28A8" w:rsidRDefault="00CD28A8" w:rsidP="00C71F6B">
            <w:pPr>
              <w:pStyle w:val="TableNumber"/>
              <w:spacing w:before="0" w:after="0" w:line="240" w:lineRule="auto"/>
              <w:rPr>
                <w:bCs/>
                <w:highlight w:val="black"/>
              </w:rPr>
            </w:pPr>
            <w:r>
              <w:rPr>
                <w:bCs/>
                <w:noProof/>
                <w:color w:val="000000"/>
                <w:highlight w:val="black"/>
              </w:rPr>
              <w:t>'''''''''''''''''</w:t>
            </w:r>
          </w:p>
        </w:tc>
        <w:tc>
          <w:tcPr>
            <w:tcW w:w="557" w:type="pct"/>
            <w:tcBorders>
              <w:top w:val="single" w:sz="4" w:space="0" w:color="auto"/>
              <w:left w:val="single" w:sz="4" w:space="0" w:color="auto"/>
              <w:bottom w:val="single" w:sz="4" w:space="0" w:color="auto"/>
              <w:right w:val="single" w:sz="4" w:space="0" w:color="auto"/>
            </w:tcBorders>
          </w:tcPr>
          <w:p w14:paraId="20E716B7" w14:textId="77777777" w:rsidR="00C71F6B" w:rsidRPr="007E0801" w:rsidRDefault="00C71F6B" w:rsidP="00C71F6B">
            <w:pPr>
              <w:pStyle w:val="TableNumber"/>
              <w:spacing w:before="0" w:after="0" w:line="240" w:lineRule="auto"/>
              <w:rPr>
                <w:bCs/>
              </w:rPr>
            </w:pPr>
            <w:r w:rsidRPr="007E0801">
              <w:rPr>
                <w:bCs/>
              </w:rPr>
              <w:t>0.06</w:t>
            </w:r>
          </w:p>
        </w:tc>
        <w:tc>
          <w:tcPr>
            <w:tcW w:w="762" w:type="pct"/>
            <w:tcBorders>
              <w:top w:val="single" w:sz="4" w:space="0" w:color="auto"/>
              <w:left w:val="single" w:sz="4" w:space="0" w:color="auto"/>
              <w:bottom w:val="single" w:sz="4" w:space="0" w:color="auto"/>
              <w:right w:val="single" w:sz="4" w:space="0" w:color="auto"/>
            </w:tcBorders>
          </w:tcPr>
          <w:p w14:paraId="5C5F3DA6" w14:textId="77777777" w:rsidR="00C71F6B" w:rsidRPr="00CD28A8" w:rsidRDefault="00CD28A8" w:rsidP="00C71F6B">
            <w:pPr>
              <w:pStyle w:val="TableNumber"/>
              <w:spacing w:before="0" w:after="0" w:line="240" w:lineRule="auto"/>
              <w:rPr>
                <w:bCs/>
              </w:rPr>
            </w:pPr>
            <w:r>
              <w:rPr>
                <w:bCs/>
                <w:noProof/>
                <w:color w:val="000000"/>
                <w:highlight w:val="black"/>
              </w:rPr>
              <w:t>''''''''''''''''''</w:t>
            </w:r>
            <w:r w:rsidR="00B45E6A">
              <w:rPr>
                <w:vertAlign w:val="superscript"/>
              </w:rPr>
              <w:t>4</w:t>
            </w:r>
          </w:p>
        </w:tc>
        <w:tc>
          <w:tcPr>
            <w:tcW w:w="752" w:type="pct"/>
            <w:tcBorders>
              <w:top w:val="single" w:sz="4" w:space="0" w:color="auto"/>
              <w:left w:val="single" w:sz="4" w:space="0" w:color="auto"/>
              <w:bottom w:val="single" w:sz="4" w:space="0" w:color="auto"/>
              <w:right w:val="single" w:sz="4" w:space="0" w:color="auto"/>
            </w:tcBorders>
          </w:tcPr>
          <w:p w14:paraId="4CCCFAF8" w14:textId="77777777" w:rsidR="00C71F6B" w:rsidRPr="007E0801" w:rsidRDefault="00C71F6B" w:rsidP="00C71F6B">
            <w:pPr>
              <w:pStyle w:val="TableNumber"/>
              <w:spacing w:before="0" w:after="0" w:line="240" w:lineRule="auto"/>
              <w:rPr>
                <w:bCs/>
              </w:rPr>
            </w:pPr>
            <w:r w:rsidRPr="007E0801">
              <w:rPr>
                <w:bCs/>
              </w:rPr>
              <w:t>+28.2%</w:t>
            </w:r>
          </w:p>
        </w:tc>
      </w:tr>
      <w:tr w:rsidR="00C71F6B" w:rsidRPr="007E0801" w14:paraId="01009303"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1377BF29" w14:textId="77777777" w:rsidR="00C71F6B" w:rsidRPr="007E0801" w:rsidRDefault="00C71F6B" w:rsidP="00C71F6B">
            <w:pPr>
              <w:pStyle w:val="Tabletext1"/>
              <w:rPr>
                <w:b/>
              </w:rPr>
            </w:pPr>
            <w:r w:rsidRPr="007E0801">
              <w:t>MA5: MA4 &amp; docetaxel replace cabazitaxel</w:t>
            </w:r>
          </w:p>
        </w:tc>
        <w:tc>
          <w:tcPr>
            <w:tcW w:w="593" w:type="pct"/>
            <w:tcBorders>
              <w:top w:val="single" w:sz="4" w:space="0" w:color="auto"/>
              <w:left w:val="single" w:sz="4" w:space="0" w:color="auto"/>
              <w:bottom w:val="single" w:sz="4" w:space="0" w:color="auto"/>
              <w:right w:val="single" w:sz="4" w:space="0" w:color="auto"/>
            </w:tcBorders>
          </w:tcPr>
          <w:p w14:paraId="73ED33E0" w14:textId="77777777" w:rsidR="00C71F6B" w:rsidRPr="00CD28A8" w:rsidRDefault="00CD28A8" w:rsidP="00C71F6B">
            <w:pPr>
              <w:pStyle w:val="TableNumber"/>
              <w:spacing w:before="0" w:after="0" w:line="240" w:lineRule="auto"/>
              <w:rPr>
                <w:b/>
                <w:highlight w:val="black"/>
              </w:rPr>
            </w:pPr>
            <w:r>
              <w:rPr>
                <w:noProof/>
                <w:color w:val="000000"/>
                <w:highlight w:val="black"/>
              </w:rPr>
              <w:t>''''''''''''''''</w:t>
            </w:r>
          </w:p>
        </w:tc>
        <w:tc>
          <w:tcPr>
            <w:tcW w:w="557" w:type="pct"/>
            <w:tcBorders>
              <w:top w:val="single" w:sz="4" w:space="0" w:color="auto"/>
              <w:left w:val="single" w:sz="4" w:space="0" w:color="auto"/>
              <w:bottom w:val="single" w:sz="4" w:space="0" w:color="auto"/>
              <w:right w:val="single" w:sz="4" w:space="0" w:color="auto"/>
            </w:tcBorders>
          </w:tcPr>
          <w:p w14:paraId="6DEC0A1D" w14:textId="77777777" w:rsidR="00C71F6B" w:rsidRPr="007E0801" w:rsidRDefault="00C71F6B" w:rsidP="00C71F6B">
            <w:pPr>
              <w:pStyle w:val="TableNumber"/>
              <w:spacing w:before="0" w:after="0" w:line="240" w:lineRule="auto"/>
              <w:rPr>
                <w:b/>
              </w:rPr>
            </w:pPr>
            <w:r w:rsidRPr="007E0801">
              <w:t>0.06</w:t>
            </w:r>
          </w:p>
        </w:tc>
        <w:tc>
          <w:tcPr>
            <w:tcW w:w="762" w:type="pct"/>
            <w:tcBorders>
              <w:top w:val="single" w:sz="4" w:space="0" w:color="auto"/>
              <w:left w:val="single" w:sz="4" w:space="0" w:color="auto"/>
              <w:bottom w:val="single" w:sz="4" w:space="0" w:color="auto"/>
              <w:right w:val="single" w:sz="4" w:space="0" w:color="auto"/>
            </w:tcBorders>
          </w:tcPr>
          <w:p w14:paraId="134CF08D" w14:textId="77777777" w:rsidR="00C71F6B" w:rsidRPr="00CD28A8" w:rsidRDefault="00CD28A8" w:rsidP="00C71F6B">
            <w:pPr>
              <w:pStyle w:val="TableNumber"/>
              <w:spacing w:before="0" w:after="0" w:line="240" w:lineRule="auto"/>
              <w:rPr>
                <w:b/>
              </w:rPr>
            </w:pPr>
            <w:r>
              <w:rPr>
                <w:noProof/>
                <w:color w:val="000000"/>
                <w:highlight w:val="black"/>
              </w:rPr>
              <w:t>''''''''''''''''''</w:t>
            </w:r>
            <w:r w:rsidR="00B45E6A">
              <w:rPr>
                <w:vertAlign w:val="superscript"/>
              </w:rPr>
              <w:t>4</w:t>
            </w:r>
          </w:p>
        </w:tc>
        <w:tc>
          <w:tcPr>
            <w:tcW w:w="752" w:type="pct"/>
            <w:tcBorders>
              <w:top w:val="single" w:sz="4" w:space="0" w:color="auto"/>
              <w:left w:val="single" w:sz="4" w:space="0" w:color="auto"/>
              <w:bottom w:val="single" w:sz="4" w:space="0" w:color="auto"/>
              <w:right w:val="single" w:sz="4" w:space="0" w:color="auto"/>
            </w:tcBorders>
          </w:tcPr>
          <w:p w14:paraId="09B50800" w14:textId="77777777" w:rsidR="00C71F6B" w:rsidRPr="007E0801" w:rsidRDefault="00C71F6B" w:rsidP="00C71F6B">
            <w:pPr>
              <w:pStyle w:val="TableNumber"/>
              <w:spacing w:before="0" w:after="0" w:line="240" w:lineRule="auto"/>
              <w:rPr>
                <w:b/>
              </w:rPr>
            </w:pPr>
            <w:r w:rsidRPr="007E0801">
              <w:t>+32.6%</w:t>
            </w:r>
          </w:p>
        </w:tc>
      </w:tr>
      <w:tr w:rsidR="00C71F6B" w:rsidRPr="007E0801" w14:paraId="5ED3D1C6" w14:textId="77777777" w:rsidTr="007E0801">
        <w:tc>
          <w:tcPr>
            <w:tcW w:w="2336" w:type="pct"/>
            <w:tcBorders>
              <w:top w:val="single" w:sz="4" w:space="0" w:color="auto"/>
              <w:left w:val="single" w:sz="4" w:space="0" w:color="auto"/>
              <w:bottom w:val="single" w:sz="4" w:space="0" w:color="auto"/>
              <w:right w:val="single" w:sz="4" w:space="0" w:color="auto"/>
            </w:tcBorders>
            <w:vAlign w:val="center"/>
          </w:tcPr>
          <w:p w14:paraId="0E14979C" w14:textId="77777777" w:rsidR="00C71F6B" w:rsidRPr="007E0801" w:rsidRDefault="00C71F6B" w:rsidP="00C71F6B">
            <w:pPr>
              <w:pStyle w:val="Tabletext1"/>
            </w:pPr>
            <w:r w:rsidRPr="007E0801">
              <w:t>MA6: MA4 &amp; utilities health state only</w:t>
            </w:r>
          </w:p>
        </w:tc>
        <w:tc>
          <w:tcPr>
            <w:tcW w:w="593" w:type="pct"/>
            <w:tcBorders>
              <w:top w:val="single" w:sz="4" w:space="0" w:color="auto"/>
              <w:left w:val="single" w:sz="4" w:space="0" w:color="auto"/>
              <w:bottom w:val="single" w:sz="4" w:space="0" w:color="auto"/>
              <w:right w:val="single" w:sz="4" w:space="0" w:color="auto"/>
            </w:tcBorders>
          </w:tcPr>
          <w:p w14:paraId="4708F405" w14:textId="77777777" w:rsidR="00C71F6B" w:rsidRPr="00CD28A8" w:rsidRDefault="00CD28A8" w:rsidP="00C71F6B">
            <w:pPr>
              <w:pStyle w:val="TableNumber"/>
              <w:spacing w:before="0" w:after="0" w:line="240" w:lineRule="auto"/>
              <w:rPr>
                <w:highlight w:val="black"/>
              </w:rPr>
            </w:pPr>
            <w:r>
              <w:rPr>
                <w:noProof/>
                <w:color w:val="000000"/>
                <w:highlight w:val="black"/>
              </w:rPr>
              <w:t>''''''''''''''''</w:t>
            </w:r>
          </w:p>
        </w:tc>
        <w:tc>
          <w:tcPr>
            <w:tcW w:w="557" w:type="pct"/>
            <w:tcBorders>
              <w:top w:val="single" w:sz="4" w:space="0" w:color="auto"/>
              <w:left w:val="single" w:sz="4" w:space="0" w:color="auto"/>
              <w:bottom w:val="single" w:sz="4" w:space="0" w:color="auto"/>
              <w:right w:val="single" w:sz="4" w:space="0" w:color="auto"/>
            </w:tcBorders>
          </w:tcPr>
          <w:p w14:paraId="3D863993" w14:textId="77777777" w:rsidR="00C71F6B" w:rsidRPr="007E0801" w:rsidRDefault="00C71F6B" w:rsidP="00C71F6B">
            <w:pPr>
              <w:pStyle w:val="TableNumber"/>
              <w:spacing w:before="0" w:after="0" w:line="240" w:lineRule="auto"/>
            </w:pPr>
            <w:r w:rsidRPr="007E0801">
              <w:t>0.05</w:t>
            </w:r>
          </w:p>
        </w:tc>
        <w:tc>
          <w:tcPr>
            <w:tcW w:w="762" w:type="pct"/>
            <w:tcBorders>
              <w:top w:val="single" w:sz="4" w:space="0" w:color="auto"/>
              <w:left w:val="single" w:sz="4" w:space="0" w:color="auto"/>
              <w:bottom w:val="single" w:sz="4" w:space="0" w:color="auto"/>
              <w:right w:val="single" w:sz="4" w:space="0" w:color="auto"/>
            </w:tcBorders>
          </w:tcPr>
          <w:p w14:paraId="615B7EC9" w14:textId="77777777" w:rsidR="00C71F6B" w:rsidRPr="00CD28A8" w:rsidRDefault="00CD28A8" w:rsidP="00C71F6B">
            <w:pPr>
              <w:pStyle w:val="TableNumber"/>
              <w:spacing w:before="0" w:after="0" w:line="240" w:lineRule="auto"/>
            </w:pPr>
            <w:r>
              <w:rPr>
                <w:noProof/>
                <w:color w:val="000000"/>
                <w:highlight w:val="black"/>
              </w:rPr>
              <w:t>'''''''''''''''''''''</w:t>
            </w:r>
            <w:r w:rsidR="00B45E6A">
              <w:rPr>
                <w:vertAlign w:val="superscript"/>
              </w:rPr>
              <w:t>4</w:t>
            </w:r>
          </w:p>
        </w:tc>
        <w:tc>
          <w:tcPr>
            <w:tcW w:w="752" w:type="pct"/>
            <w:tcBorders>
              <w:top w:val="single" w:sz="4" w:space="0" w:color="auto"/>
              <w:left w:val="single" w:sz="4" w:space="0" w:color="auto"/>
              <w:bottom w:val="single" w:sz="4" w:space="0" w:color="auto"/>
              <w:right w:val="single" w:sz="4" w:space="0" w:color="auto"/>
            </w:tcBorders>
          </w:tcPr>
          <w:p w14:paraId="0E1BE2AD" w14:textId="77777777" w:rsidR="00C71F6B" w:rsidRPr="007E0801" w:rsidRDefault="00C71F6B" w:rsidP="00C71F6B">
            <w:pPr>
              <w:pStyle w:val="TableNumber"/>
              <w:spacing w:before="0" w:after="0" w:line="240" w:lineRule="auto"/>
            </w:pPr>
            <w:r w:rsidRPr="007E0801">
              <w:t>+34.0%</w:t>
            </w:r>
          </w:p>
        </w:tc>
      </w:tr>
    </w:tbl>
    <w:p w14:paraId="7F238B57" w14:textId="77777777" w:rsidR="001B37A3" w:rsidRPr="001B37A3" w:rsidRDefault="001B37A3" w:rsidP="00AB515A">
      <w:pPr>
        <w:pStyle w:val="TableFooter"/>
      </w:pPr>
      <w:r w:rsidRPr="00962538">
        <w:t xml:space="preserve">Source: </w:t>
      </w:r>
      <w:r>
        <w:t xml:space="preserve">Table 155, p380-381 </w:t>
      </w:r>
      <w:r w:rsidRPr="001B37A3">
        <w:t xml:space="preserve">and </w:t>
      </w:r>
      <w:r w:rsidRPr="00AB515A">
        <w:t>compiled during the submission</w:t>
      </w:r>
    </w:p>
    <w:p w14:paraId="11A596D3" w14:textId="77777777" w:rsidR="001B37A3" w:rsidRPr="00266EE3" w:rsidRDefault="001B37A3" w:rsidP="00AB515A">
      <w:pPr>
        <w:pStyle w:val="TableFooter"/>
      </w:pPr>
      <w:r w:rsidRPr="00266EE3">
        <w:sym w:font="Symbol" w:char="F044"/>
      </w:r>
      <w:r w:rsidRPr="00266EE3">
        <w:t>=change, BRCA1/2=BRCA1/2 pathogenic variant, BSC=best supportive care, FP=false positive for BRCA1/2 pathogenic variant, ICER=incremental cost-effectiveness ratio, MA=multivariate analysis, NHA=novel hormonal agent, OLA=olaparib OS=overall survival, PFS=progression free survival, pt=patient, QALY=quality adjusted life year, rels=relatives, sens=sensitivity, spec=specificity, SRE=skeletal related events, TTD=time to treatment discontinuation</w:t>
      </w:r>
    </w:p>
    <w:p w14:paraId="1897C6D7" w14:textId="77777777" w:rsidR="001B37A3" w:rsidRPr="00266EE3" w:rsidRDefault="001B37A3" w:rsidP="00AB515A">
      <w:pPr>
        <w:pStyle w:val="TableFooter"/>
      </w:pPr>
      <w:r w:rsidRPr="00266EE3">
        <w:t>^This analysis is presented as an upper bound of docetaxel use. In Table 2 olaparib PSD, March 2021, 46.2% of patients were expected to have had prior docetaxel use, suggesting up to 53.8% could receive it in second line mCRPC. 10% cabazitaxel is presented as paragraph 5.3, olaparib PDS, March 2021 and BSC % is estimated as 100%-53.8%-10%.</w:t>
      </w:r>
    </w:p>
    <w:p w14:paraId="11B3E3B3" w14:textId="77777777" w:rsidR="001B37A3" w:rsidRDefault="001B37A3" w:rsidP="00CD28A8">
      <w:pPr>
        <w:pStyle w:val="TableFooter"/>
        <w:spacing w:after="0"/>
      </w:pPr>
      <w:r>
        <w:t xml:space="preserve">*resubmission presented KM until cycles 15-18 with ICERs ranging from </w:t>
      </w:r>
      <w:r w:rsidR="00CD28A8">
        <w:rPr>
          <w:noProof/>
          <w:color w:val="000000"/>
          <w:highlight w:val="black"/>
        </w:rPr>
        <w:t>'''''''''''''''''''</w:t>
      </w:r>
      <w:r>
        <w:t xml:space="preserve"> to </w:t>
      </w:r>
      <w:r w:rsidR="00CD28A8">
        <w:rPr>
          <w:noProof/>
          <w:color w:val="000000"/>
          <w:highlight w:val="black"/>
        </w:rPr>
        <w:t>'''''''''''''''''''''</w:t>
      </w:r>
      <w:r>
        <w:t xml:space="preserve"> per QALY gained.</w:t>
      </w:r>
    </w:p>
    <w:p w14:paraId="3D330958" w14:textId="77777777" w:rsidR="00A858D6" w:rsidRDefault="00A858D6">
      <w:pPr>
        <w:pStyle w:val="TableFigureFooter"/>
        <w:spacing w:after="0"/>
        <w:contextualSpacing w:val="0"/>
        <w:rPr>
          <w:i/>
        </w:rPr>
      </w:pPr>
      <w:r w:rsidRPr="009868C4">
        <w:rPr>
          <w:i/>
        </w:rPr>
        <w:t>The redacted values correspond to the following ranges</w:t>
      </w:r>
      <w:r>
        <w:rPr>
          <w:i/>
        </w:rPr>
        <w:t xml:space="preserve">: </w:t>
      </w:r>
    </w:p>
    <w:p w14:paraId="69FA3B19" w14:textId="77777777" w:rsidR="00A858D6" w:rsidRPr="00870C5D" w:rsidRDefault="00A858D6">
      <w:pPr>
        <w:pStyle w:val="TableFigureFooter"/>
        <w:spacing w:after="0"/>
        <w:contextualSpacing w:val="0"/>
      </w:pPr>
      <w:r>
        <w:rPr>
          <w:i/>
          <w:vertAlign w:val="superscript"/>
        </w:rPr>
        <w:t>1</w:t>
      </w:r>
      <w:r>
        <w:rPr>
          <w:i/>
        </w:rPr>
        <w:t xml:space="preserve"> </w:t>
      </w:r>
      <w:r w:rsidRPr="00A858D6">
        <w:rPr>
          <w:i/>
        </w:rPr>
        <w:t>$55,000 to &lt; $75,000</w:t>
      </w:r>
    </w:p>
    <w:p w14:paraId="3FBA2EE2" w14:textId="77777777" w:rsidR="00A858D6" w:rsidRPr="00870C5D" w:rsidRDefault="00A858D6" w:rsidP="00A858D6">
      <w:pPr>
        <w:pStyle w:val="TableFigureFooter"/>
        <w:spacing w:after="0"/>
        <w:contextualSpacing w:val="0"/>
      </w:pPr>
      <w:r>
        <w:rPr>
          <w:i/>
          <w:vertAlign w:val="superscript"/>
        </w:rPr>
        <w:t>2</w:t>
      </w:r>
      <w:r>
        <w:rPr>
          <w:i/>
        </w:rPr>
        <w:t xml:space="preserve"> </w:t>
      </w:r>
      <w:r w:rsidRPr="00A858D6">
        <w:rPr>
          <w:i/>
        </w:rPr>
        <w:t>$45,000 to &lt; $55,000</w:t>
      </w:r>
    </w:p>
    <w:p w14:paraId="64A57728" w14:textId="77777777" w:rsidR="00A858D6" w:rsidRPr="00870C5D" w:rsidRDefault="00A858D6" w:rsidP="00A858D6">
      <w:pPr>
        <w:pStyle w:val="TableFigureFooter"/>
        <w:spacing w:after="0"/>
        <w:contextualSpacing w:val="0"/>
      </w:pPr>
      <w:r>
        <w:rPr>
          <w:i/>
          <w:vertAlign w:val="superscript"/>
        </w:rPr>
        <w:t>3</w:t>
      </w:r>
      <w:r>
        <w:rPr>
          <w:i/>
        </w:rPr>
        <w:t xml:space="preserve"> </w:t>
      </w:r>
      <w:r w:rsidRPr="00A858D6">
        <w:rPr>
          <w:i/>
        </w:rPr>
        <w:t>$115,000 to &lt; $135,000</w:t>
      </w:r>
    </w:p>
    <w:p w14:paraId="3586ACA6" w14:textId="446DF083" w:rsidR="00A858D6" w:rsidRDefault="00A858D6" w:rsidP="0030433E">
      <w:pPr>
        <w:pStyle w:val="TableFigureFooter"/>
        <w:spacing w:after="0"/>
        <w:contextualSpacing w:val="0"/>
      </w:pPr>
      <w:r>
        <w:rPr>
          <w:i/>
          <w:vertAlign w:val="superscript"/>
        </w:rPr>
        <w:t>4</w:t>
      </w:r>
      <w:r>
        <w:rPr>
          <w:i/>
        </w:rPr>
        <w:t xml:space="preserve"> </w:t>
      </w:r>
      <w:r w:rsidRPr="00A858D6">
        <w:rPr>
          <w:i/>
        </w:rPr>
        <w:t>$75,000 to &lt; $95,000</w:t>
      </w:r>
    </w:p>
    <w:p w14:paraId="0A9A3240" w14:textId="77777777" w:rsidR="00A042A9" w:rsidRPr="00F52B1D" w:rsidRDefault="00A042A9" w:rsidP="00DB2410">
      <w:pPr>
        <w:pStyle w:val="ListParagraph"/>
        <w:ind w:left="709"/>
      </w:pPr>
      <w:r w:rsidRPr="00F52B1D">
        <w:t xml:space="preserve">While the ICER was not sensitive to some parameter and structural inputs individually, some had a larger impact in combination and may represent a more accurate estimation of the ICER. Several plausible multivariate scenarios suggest the base case ICER of the proposed scenario versus the current scenario was probably underestimated. For example, when the model included somatic test failures, cost of cascade testing, and cost of archival tumour tissue retrieval, the ICER increased to </w:t>
      </w:r>
      <w:r w:rsidR="00B45E6A">
        <w:t xml:space="preserve">$55,000 to &lt; $75,000 </w:t>
      </w:r>
      <w:r w:rsidRPr="00F52B1D">
        <w:t xml:space="preserve">per QALY gained. </w:t>
      </w:r>
    </w:p>
    <w:p w14:paraId="588681D6" w14:textId="77777777" w:rsidR="00A042A9" w:rsidRDefault="00A042A9" w:rsidP="00DB2410">
      <w:pPr>
        <w:pStyle w:val="ListParagraph"/>
        <w:ind w:left="709"/>
      </w:pPr>
      <w:r w:rsidRPr="00F52B1D">
        <w:t xml:space="preserve">In addition, when chemotherapy administration cost was corrected; and the NHA arm of PROfound was assumed to represent SOC (25% cabazitaxel, 75% BSC); and there was treatment switching without recensoring, the ICER increased to </w:t>
      </w:r>
      <w:r w:rsidR="00B45E6A" w:rsidRPr="00A858D6">
        <w:t>$75,000 to &lt; $95,000</w:t>
      </w:r>
      <w:r w:rsidR="00B45E6A">
        <w:t xml:space="preserve"> </w:t>
      </w:r>
      <w:r w:rsidRPr="00F52B1D">
        <w:t xml:space="preserve">per QALY gained. Additional changes, such as use of utilities unadjusted for separate time to death disutilities, resulted in increasing ICERs up to </w:t>
      </w:r>
      <w:r w:rsidR="00B45E6A" w:rsidRPr="00A858D6">
        <w:t>$75,000 to &lt; $95,000</w:t>
      </w:r>
      <w:r w:rsidR="00B45E6A">
        <w:t xml:space="preserve"> </w:t>
      </w:r>
      <w:r w:rsidRPr="00F52B1D">
        <w:t>per QALY gained. With uncertainty around the treatment switching adjustment not captured here, there is potential for the true ICER to be higher than these figures.</w:t>
      </w:r>
    </w:p>
    <w:p w14:paraId="3B2FDE9C" w14:textId="77777777" w:rsidR="007C5E46" w:rsidRPr="00F52B1D" w:rsidRDefault="007C5E46" w:rsidP="00DB2410">
      <w:pPr>
        <w:pStyle w:val="ListParagraph"/>
        <w:ind w:left="709"/>
      </w:pPr>
      <w:r>
        <w:t xml:space="preserve">The PBAC considered that the prevalence of BRCA1/2 pathogenic variants should be revised to from 9.7% to 7% in the economic model (paragraph 4.4). </w:t>
      </w:r>
      <w:r>
        <w:rPr>
          <w:color w:val="auto"/>
        </w:rPr>
        <w:t xml:space="preserve">Reducing </w:t>
      </w:r>
      <w:r>
        <w:t xml:space="preserve">the proportion of patients who test positive for BRCA from 9.7% to 7% increased the ICER (based on HR=0.37) from </w:t>
      </w:r>
      <w:r w:rsidR="00B45E6A">
        <w:t xml:space="preserve">$55,000 to &lt; $75,000 </w:t>
      </w:r>
      <w:r>
        <w:t xml:space="preserve">to </w:t>
      </w:r>
      <w:r w:rsidR="00B45E6A">
        <w:t>$55,000 to &lt; $75,000</w:t>
      </w:r>
      <w:r>
        <w:t>.</w:t>
      </w:r>
    </w:p>
    <w:p w14:paraId="367BE7C8" w14:textId="77777777" w:rsidR="00A042A9" w:rsidRPr="00A67F26" w:rsidRDefault="00A042A9" w:rsidP="00A042A9">
      <w:pPr>
        <w:pStyle w:val="4-SubsectionHeading"/>
        <w:rPr>
          <w:rFonts w:asciiTheme="minorHAnsi" w:hAnsiTheme="minorHAnsi"/>
        </w:rPr>
      </w:pPr>
      <w:bookmarkStart w:id="61" w:name="_Toc413139283"/>
      <w:bookmarkStart w:id="62" w:name="_Toc497226192"/>
      <w:r w:rsidRPr="00A67F26">
        <w:rPr>
          <w:rFonts w:asciiTheme="minorHAnsi" w:hAnsiTheme="minorHAnsi"/>
          <w:color w:val="auto"/>
        </w:rPr>
        <w:t>Drug cost/patient/course</w:t>
      </w:r>
      <w:bookmarkEnd w:id="61"/>
      <w:bookmarkEnd w:id="62"/>
    </w:p>
    <w:p w14:paraId="4A77A6B7" w14:textId="77777777" w:rsidR="00A042A9" w:rsidRPr="00266EE3" w:rsidRDefault="00D55F1E" w:rsidP="00DB2410">
      <w:pPr>
        <w:pStyle w:val="ListParagraph"/>
        <w:ind w:left="709"/>
      </w:pPr>
      <w:r>
        <w:rPr>
          <w:color w:val="auto"/>
        </w:rPr>
        <w:t>The drug cost/patient/course was reduced from $</w:t>
      </w:r>
      <w:r w:rsidR="00CD28A8">
        <w:rPr>
          <w:noProof/>
          <w:color w:val="000000"/>
          <w:highlight w:val="black"/>
        </w:rPr>
        <w:t>'''''''''''''</w:t>
      </w:r>
      <w:r>
        <w:rPr>
          <w:color w:val="auto"/>
        </w:rPr>
        <w:t xml:space="preserve"> to $</w:t>
      </w:r>
      <w:r w:rsidR="00CD28A8">
        <w:rPr>
          <w:noProof/>
          <w:color w:val="000000"/>
          <w:highlight w:val="black"/>
        </w:rPr>
        <w:t>'''''''''''''</w:t>
      </w:r>
      <w:r w:rsidR="00EB604E">
        <w:rPr>
          <w:color w:val="auto"/>
        </w:rPr>
        <w:t xml:space="preserve"> at the price proposed in the pre-PBAC response. </w:t>
      </w:r>
      <w:r w:rsidR="00A042A9" w:rsidRPr="00CA4838">
        <w:rPr>
          <w:color w:val="auto"/>
        </w:rPr>
        <w:t xml:space="preserve">The following table outlines the drug cost per patient for both olaparib and cabazitaxel across the model and the financial estimates. </w:t>
      </w:r>
      <w:r w:rsidR="00A042A9" w:rsidRPr="00F52B1D">
        <w:rPr>
          <w:color w:val="auto"/>
        </w:rPr>
        <w:t>Total cost per patient per course were similar between the model and the financials, and differed mainly due to a slightly different calculation for the average time on treatment. The financials also presented an estimated cost for patients receiving olaparib first line, though the longer treatment duration could not be validated.</w:t>
      </w:r>
      <w:r w:rsidR="002B16DC">
        <w:rPr>
          <w:color w:val="auto"/>
        </w:rPr>
        <w:t xml:space="preserve"> </w:t>
      </w:r>
      <w:r w:rsidR="002B16DC" w:rsidRPr="00266EE3">
        <w:rPr>
          <w:color w:val="auto"/>
        </w:rPr>
        <w:t xml:space="preserve">The ESC noted that the model applied a lower mean dose of olaparib per day than the previous submission </w:t>
      </w:r>
      <w:r w:rsidR="007D0326" w:rsidRPr="00266EE3">
        <w:rPr>
          <w:color w:val="auto"/>
        </w:rPr>
        <w:t xml:space="preserve">(549 mg/day and 600 mg/day, respectively). The resubmission model and financial estimates also applied a longer median treatment duration for olaparib than the previous submission (332 days and 243 days, respectively). </w:t>
      </w:r>
    </w:p>
    <w:p w14:paraId="6B43AA1F" w14:textId="77777777" w:rsidR="00A042A9" w:rsidRPr="00266EE3" w:rsidRDefault="00A042A9" w:rsidP="001B37A3">
      <w:pPr>
        <w:pStyle w:val="Caption"/>
        <w:rPr>
          <w:iCs w:val="0"/>
        </w:rPr>
      </w:pPr>
      <w:r w:rsidRPr="00266EE3">
        <w:rPr>
          <w:iCs w:val="0"/>
        </w:rPr>
        <w:t>Table</w:t>
      </w:r>
      <w:r w:rsidR="008B5EB7" w:rsidRPr="00266EE3">
        <w:rPr>
          <w:iCs w:val="0"/>
        </w:rPr>
        <w:t xml:space="preserve"> </w:t>
      </w:r>
      <w:r w:rsidR="007C5E46">
        <w:rPr>
          <w:iCs w:val="0"/>
          <w:noProof/>
        </w:rPr>
        <w:t>15</w:t>
      </w:r>
      <w:r w:rsidR="004A4197" w:rsidRPr="00266EE3">
        <w:rPr>
          <w:iCs w:val="0"/>
          <w:noProof/>
        </w:rPr>
        <w:t xml:space="preserve">: </w:t>
      </w:r>
      <w:r w:rsidRPr="00266EE3">
        <w:rPr>
          <w:iCs w:val="0"/>
        </w:rPr>
        <w:t>Drug cost per patient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Drug cost per patient"/>
      </w:tblPr>
      <w:tblGrid>
        <w:gridCol w:w="1838"/>
        <w:gridCol w:w="1134"/>
        <w:gridCol w:w="1134"/>
        <w:gridCol w:w="1441"/>
        <w:gridCol w:w="11"/>
        <w:gridCol w:w="958"/>
        <w:gridCol w:w="1417"/>
        <w:gridCol w:w="1139"/>
      </w:tblGrid>
      <w:tr w:rsidR="00A042A9" w:rsidRPr="00CA4838" w14:paraId="3D889DE9" w14:textId="77777777" w:rsidTr="00ED665A">
        <w:trPr>
          <w:cantSplit/>
          <w:tblHeader/>
          <w:jc w:val="center"/>
        </w:trPr>
        <w:tc>
          <w:tcPr>
            <w:tcW w:w="1838" w:type="dxa"/>
            <w:vMerge w:val="restart"/>
            <w:shd w:val="clear" w:color="auto" w:fill="auto"/>
            <w:vAlign w:val="center"/>
          </w:tcPr>
          <w:p w14:paraId="1DE259D4" w14:textId="77777777" w:rsidR="00A042A9" w:rsidRPr="00CA4838" w:rsidRDefault="00A042A9" w:rsidP="00AB7459">
            <w:pPr>
              <w:pStyle w:val="In-tableHeading"/>
              <w:rPr>
                <w:lang w:val="en-AU"/>
              </w:rPr>
            </w:pPr>
          </w:p>
        </w:tc>
        <w:tc>
          <w:tcPr>
            <w:tcW w:w="3720" w:type="dxa"/>
            <w:gridSpan w:val="4"/>
            <w:shd w:val="clear" w:color="auto" w:fill="auto"/>
            <w:vAlign w:val="center"/>
          </w:tcPr>
          <w:p w14:paraId="0F9CE985" w14:textId="77777777" w:rsidR="00A042A9" w:rsidRPr="00CA4838" w:rsidRDefault="00A042A9" w:rsidP="00AB7459">
            <w:pPr>
              <w:pStyle w:val="In-tableHeading"/>
              <w:jc w:val="center"/>
              <w:rPr>
                <w:lang w:val="en-AU"/>
              </w:rPr>
            </w:pPr>
            <w:r w:rsidRPr="00CA4838">
              <w:rPr>
                <w:lang w:val="en-AU"/>
              </w:rPr>
              <w:t>Olaparib</w:t>
            </w:r>
          </w:p>
        </w:tc>
        <w:tc>
          <w:tcPr>
            <w:tcW w:w="3514" w:type="dxa"/>
            <w:gridSpan w:val="3"/>
            <w:shd w:val="clear" w:color="auto" w:fill="FFFFFF" w:themeFill="background1"/>
            <w:vAlign w:val="center"/>
          </w:tcPr>
          <w:p w14:paraId="11B73C15" w14:textId="77777777" w:rsidR="00A042A9" w:rsidRPr="00CA4838" w:rsidRDefault="00A042A9" w:rsidP="00AB7459">
            <w:pPr>
              <w:pStyle w:val="In-tableHeading"/>
              <w:jc w:val="center"/>
              <w:rPr>
                <w:lang w:val="en-AU"/>
              </w:rPr>
            </w:pPr>
            <w:r w:rsidRPr="00CA4838">
              <w:rPr>
                <w:lang w:val="en-AU"/>
              </w:rPr>
              <w:t>Cabazitaxel</w:t>
            </w:r>
          </w:p>
        </w:tc>
      </w:tr>
      <w:tr w:rsidR="00A042A9" w:rsidRPr="00CA4838" w14:paraId="74D635CF" w14:textId="77777777" w:rsidTr="00ED665A">
        <w:trPr>
          <w:cantSplit/>
          <w:trHeight w:val="173"/>
          <w:tblHeader/>
          <w:jc w:val="center"/>
        </w:trPr>
        <w:tc>
          <w:tcPr>
            <w:tcW w:w="1838" w:type="dxa"/>
            <w:vMerge/>
            <w:shd w:val="clear" w:color="auto" w:fill="auto"/>
            <w:vAlign w:val="center"/>
          </w:tcPr>
          <w:p w14:paraId="3D1EDAE5" w14:textId="77777777" w:rsidR="00A042A9" w:rsidRPr="00CA4838" w:rsidRDefault="00A042A9" w:rsidP="00AB7459">
            <w:pPr>
              <w:keepNext/>
              <w:spacing w:before="0" w:after="0"/>
              <w:jc w:val="left"/>
              <w:rPr>
                <w:rFonts w:ascii="Arial Narrow" w:hAnsi="Arial Narrow"/>
                <w:sz w:val="20"/>
                <w:szCs w:val="20"/>
              </w:rPr>
            </w:pPr>
          </w:p>
        </w:tc>
        <w:tc>
          <w:tcPr>
            <w:tcW w:w="1134" w:type="dxa"/>
            <w:shd w:val="clear" w:color="auto" w:fill="auto"/>
            <w:vAlign w:val="center"/>
          </w:tcPr>
          <w:p w14:paraId="63C06891" w14:textId="77777777" w:rsidR="00A042A9" w:rsidRPr="00CA4838" w:rsidRDefault="00A042A9" w:rsidP="00AB7459">
            <w:pPr>
              <w:keepNext/>
              <w:spacing w:before="0" w:after="0"/>
              <w:jc w:val="center"/>
              <w:rPr>
                <w:rFonts w:ascii="Arial Narrow" w:hAnsi="Arial Narrow"/>
                <w:b/>
                <w:bCs/>
                <w:sz w:val="20"/>
                <w:szCs w:val="20"/>
              </w:rPr>
            </w:pPr>
            <w:r w:rsidRPr="00CA4838">
              <w:rPr>
                <w:rFonts w:ascii="Arial Narrow" w:hAnsi="Arial Narrow"/>
                <w:b/>
                <w:bCs/>
                <w:sz w:val="20"/>
                <w:szCs w:val="20"/>
              </w:rPr>
              <w:t xml:space="preserve">PROfound </w:t>
            </w:r>
          </w:p>
        </w:tc>
        <w:tc>
          <w:tcPr>
            <w:tcW w:w="1134" w:type="dxa"/>
            <w:shd w:val="clear" w:color="auto" w:fill="auto"/>
            <w:vAlign w:val="center"/>
          </w:tcPr>
          <w:p w14:paraId="677879A9" w14:textId="77777777" w:rsidR="00A042A9" w:rsidRPr="00CA4838" w:rsidRDefault="00A042A9" w:rsidP="00AB7459">
            <w:pPr>
              <w:keepNext/>
              <w:spacing w:before="0" w:after="0"/>
              <w:jc w:val="center"/>
              <w:rPr>
                <w:rFonts w:ascii="Arial Narrow" w:hAnsi="Arial Narrow"/>
                <w:b/>
                <w:bCs/>
                <w:sz w:val="20"/>
                <w:szCs w:val="20"/>
              </w:rPr>
            </w:pPr>
            <w:r w:rsidRPr="00CA4838">
              <w:rPr>
                <w:rFonts w:ascii="Arial Narrow" w:hAnsi="Arial Narrow"/>
                <w:b/>
                <w:bCs/>
                <w:sz w:val="20"/>
                <w:szCs w:val="20"/>
              </w:rPr>
              <w:t>Model</w:t>
            </w:r>
          </w:p>
        </w:tc>
        <w:tc>
          <w:tcPr>
            <w:tcW w:w="1441" w:type="dxa"/>
            <w:shd w:val="clear" w:color="auto" w:fill="auto"/>
            <w:vAlign w:val="center"/>
          </w:tcPr>
          <w:p w14:paraId="13E03352" w14:textId="77777777" w:rsidR="00A042A9" w:rsidRPr="00CA4838" w:rsidRDefault="00A042A9" w:rsidP="00AB7459">
            <w:pPr>
              <w:keepNext/>
              <w:spacing w:before="0" w:after="0"/>
              <w:jc w:val="center"/>
              <w:rPr>
                <w:rFonts w:ascii="Arial Narrow" w:hAnsi="Arial Narrow"/>
                <w:b/>
                <w:bCs/>
                <w:sz w:val="20"/>
                <w:szCs w:val="20"/>
              </w:rPr>
            </w:pPr>
            <w:r w:rsidRPr="00CA4838">
              <w:rPr>
                <w:rFonts w:ascii="Arial Narrow" w:hAnsi="Arial Narrow"/>
                <w:b/>
                <w:bCs/>
                <w:sz w:val="20"/>
                <w:szCs w:val="20"/>
              </w:rPr>
              <w:t xml:space="preserve">Financials </w:t>
            </w:r>
          </w:p>
        </w:tc>
        <w:tc>
          <w:tcPr>
            <w:tcW w:w="969" w:type="dxa"/>
            <w:gridSpan w:val="2"/>
            <w:shd w:val="clear" w:color="auto" w:fill="FFFFFF" w:themeFill="background1"/>
            <w:vAlign w:val="center"/>
          </w:tcPr>
          <w:p w14:paraId="1B1D8BFC" w14:textId="77777777" w:rsidR="00A042A9" w:rsidRPr="00CA4838" w:rsidRDefault="00A042A9" w:rsidP="00AB7459">
            <w:pPr>
              <w:keepNext/>
              <w:spacing w:before="0" w:after="0"/>
              <w:jc w:val="center"/>
              <w:rPr>
                <w:rFonts w:ascii="Arial Narrow" w:hAnsi="Arial Narrow"/>
                <w:b/>
                <w:bCs/>
                <w:sz w:val="20"/>
                <w:szCs w:val="20"/>
              </w:rPr>
            </w:pPr>
            <w:r w:rsidRPr="00CA4838">
              <w:rPr>
                <w:rFonts w:ascii="Arial Narrow" w:hAnsi="Arial Narrow"/>
                <w:b/>
                <w:bCs/>
                <w:sz w:val="20"/>
                <w:szCs w:val="20"/>
              </w:rPr>
              <w:t>CARD</w:t>
            </w:r>
          </w:p>
        </w:tc>
        <w:tc>
          <w:tcPr>
            <w:tcW w:w="1417" w:type="dxa"/>
            <w:shd w:val="clear" w:color="auto" w:fill="FFFFFF" w:themeFill="background1"/>
            <w:vAlign w:val="center"/>
          </w:tcPr>
          <w:p w14:paraId="5790090E" w14:textId="77777777" w:rsidR="00A042A9" w:rsidRPr="00CA4838" w:rsidRDefault="00A042A9" w:rsidP="00AB7459">
            <w:pPr>
              <w:keepNext/>
              <w:spacing w:before="0" w:after="0"/>
              <w:jc w:val="center"/>
              <w:rPr>
                <w:rFonts w:ascii="Arial Narrow" w:hAnsi="Arial Narrow"/>
                <w:b/>
                <w:bCs/>
                <w:sz w:val="20"/>
                <w:szCs w:val="20"/>
              </w:rPr>
            </w:pPr>
            <w:r w:rsidRPr="00CA4838">
              <w:rPr>
                <w:rFonts w:ascii="Arial Narrow" w:hAnsi="Arial Narrow"/>
                <w:b/>
                <w:bCs/>
                <w:sz w:val="20"/>
                <w:szCs w:val="20"/>
              </w:rPr>
              <w:t>Model</w:t>
            </w:r>
          </w:p>
        </w:tc>
        <w:tc>
          <w:tcPr>
            <w:tcW w:w="1139" w:type="dxa"/>
            <w:shd w:val="clear" w:color="auto" w:fill="FFFFFF" w:themeFill="background1"/>
            <w:vAlign w:val="center"/>
          </w:tcPr>
          <w:p w14:paraId="4BB83501" w14:textId="77777777" w:rsidR="00A042A9" w:rsidRPr="00CA4838" w:rsidRDefault="00A042A9" w:rsidP="00AB7459">
            <w:pPr>
              <w:keepNext/>
              <w:spacing w:before="0" w:after="0"/>
              <w:jc w:val="center"/>
              <w:rPr>
                <w:rFonts w:ascii="Arial Narrow" w:hAnsi="Arial Narrow"/>
                <w:b/>
                <w:bCs/>
                <w:sz w:val="20"/>
                <w:szCs w:val="20"/>
              </w:rPr>
            </w:pPr>
            <w:r w:rsidRPr="00CA4838">
              <w:rPr>
                <w:rFonts w:ascii="Arial Narrow" w:hAnsi="Arial Narrow"/>
                <w:b/>
                <w:bCs/>
                <w:sz w:val="20"/>
                <w:szCs w:val="20"/>
              </w:rPr>
              <w:t xml:space="preserve">Financials </w:t>
            </w:r>
          </w:p>
        </w:tc>
      </w:tr>
      <w:tr w:rsidR="00A042A9" w:rsidRPr="00CA4838" w14:paraId="332743C7" w14:textId="77777777" w:rsidTr="00ED665A">
        <w:trPr>
          <w:cantSplit/>
          <w:jc w:val="center"/>
        </w:trPr>
        <w:tc>
          <w:tcPr>
            <w:tcW w:w="1838" w:type="dxa"/>
            <w:shd w:val="clear" w:color="auto" w:fill="auto"/>
            <w:vAlign w:val="center"/>
          </w:tcPr>
          <w:p w14:paraId="58DB4D38" w14:textId="77777777" w:rsidR="00A042A9" w:rsidRPr="00CA4838" w:rsidRDefault="00A042A9" w:rsidP="00AB7459">
            <w:pPr>
              <w:keepNext/>
              <w:spacing w:before="0" w:after="0"/>
              <w:jc w:val="left"/>
              <w:rPr>
                <w:rFonts w:ascii="Arial Narrow" w:hAnsi="Arial Narrow"/>
                <w:sz w:val="20"/>
                <w:szCs w:val="20"/>
              </w:rPr>
            </w:pPr>
            <w:r w:rsidRPr="00CA4838">
              <w:rPr>
                <w:rFonts w:ascii="Arial Narrow" w:hAnsi="Arial Narrow"/>
                <w:sz w:val="20"/>
                <w:szCs w:val="20"/>
              </w:rPr>
              <w:t>Mean dose</w:t>
            </w:r>
          </w:p>
        </w:tc>
        <w:tc>
          <w:tcPr>
            <w:tcW w:w="1134" w:type="dxa"/>
            <w:shd w:val="clear" w:color="auto" w:fill="auto"/>
            <w:vAlign w:val="center"/>
          </w:tcPr>
          <w:p w14:paraId="702E4378"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600 mg/day</w:t>
            </w:r>
          </w:p>
        </w:tc>
        <w:tc>
          <w:tcPr>
            <w:tcW w:w="1134" w:type="dxa"/>
            <w:shd w:val="clear" w:color="auto" w:fill="auto"/>
            <w:vAlign w:val="center"/>
          </w:tcPr>
          <w:p w14:paraId="39DF428A"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549 mg/day</w:t>
            </w:r>
          </w:p>
        </w:tc>
        <w:tc>
          <w:tcPr>
            <w:tcW w:w="1441" w:type="dxa"/>
            <w:shd w:val="clear" w:color="auto" w:fill="auto"/>
            <w:vAlign w:val="center"/>
          </w:tcPr>
          <w:p w14:paraId="450869FF"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600 mg/day</w:t>
            </w:r>
          </w:p>
        </w:tc>
        <w:tc>
          <w:tcPr>
            <w:tcW w:w="969" w:type="dxa"/>
            <w:gridSpan w:val="2"/>
            <w:shd w:val="clear" w:color="auto" w:fill="FFFFFF" w:themeFill="background1"/>
            <w:vAlign w:val="center"/>
          </w:tcPr>
          <w:p w14:paraId="6ED72883"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NR</w:t>
            </w:r>
            <w:r w:rsidRPr="00CA4838">
              <w:rPr>
                <w:rFonts w:ascii="Arial Narrow" w:hAnsi="Arial Narrow"/>
                <w:sz w:val="20"/>
                <w:szCs w:val="20"/>
                <w:vertAlign w:val="superscript"/>
              </w:rPr>
              <w:t>a</w:t>
            </w:r>
          </w:p>
        </w:tc>
        <w:tc>
          <w:tcPr>
            <w:tcW w:w="1417" w:type="dxa"/>
            <w:shd w:val="clear" w:color="auto" w:fill="FFFFFF" w:themeFill="background1"/>
            <w:vAlign w:val="center"/>
          </w:tcPr>
          <w:p w14:paraId="4F3A115D"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38.20mg/3 weeks</w:t>
            </w:r>
            <w:r w:rsidRPr="00CA4838">
              <w:rPr>
                <w:rFonts w:ascii="Arial Narrow" w:hAnsi="Arial Narrow"/>
                <w:sz w:val="20"/>
                <w:szCs w:val="20"/>
                <w:vertAlign w:val="superscript"/>
              </w:rPr>
              <w:t>b</w:t>
            </w:r>
          </w:p>
        </w:tc>
        <w:tc>
          <w:tcPr>
            <w:tcW w:w="1139" w:type="dxa"/>
            <w:shd w:val="clear" w:color="auto" w:fill="FFFFFF" w:themeFill="background1"/>
            <w:vAlign w:val="center"/>
          </w:tcPr>
          <w:p w14:paraId="01B90CA8"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55mg/3 weeks</w:t>
            </w:r>
          </w:p>
        </w:tc>
      </w:tr>
      <w:tr w:rsidR="00A042A9" w:rsidRPr="00CA4838" w14:paraId="01F78A25" w14:textId="77777777" w:rsidTr="00ED665A">
        <w:trPr>
          <w:cantSplit/>
          <w:jc w:val="center"/>
        </w:trPr>
        <w:tc>
          <w:tcPr>
            <w:tcW w:w="1838" w:type="dxa"/>
            <w:shd w:val="clear" w:color="auto" w:fill="auto"/>
            <w:vAlign w:val="center"/>
          </w:tcPr>
          <w:p w14:paraId="045FEC5C" w14:textId="77777777" w:rsidR="00A042A9" w:rsidRPr="00CA4838" w:rsidRDefault="00A042A9" w:rsidP="00AB7459">
            <w:pPr>
              <w:keepNext/>
              <w:spacing w:before="0" w:after="0"/>
              <w:jc w:val="left"/>
              <w:rPr>
                <w:rFonts w:ascii="Arial Narrow" w:hAnsi="Arial Narrow"/>
                <w:sz w:val="20"/>
                <w:szCs w:val="20"/>
              </w:rPr>
            </w:pPr>
            <w:r w:rsidRPr="00CA4838">
              <w:rPr>
                <w:rFonts w:ascii="Arial Narrow" w:hAnsi="Arial Narrow"/>
                <w:sz w:val="20"/>
                <w:szCs w:val="20"/>
              </w:rPr>
              <w:t>Mean [median] duration</w:t>
            </w:r>
          </w:p>
        </w:tc>
        <w:tc>
          <w:tcPr>
            <w:tcW w:w="1134" w:type="dxa"/>
            <w:shd w:val="clear" w:color="auto" w:fill="auto"/>
            <w:vAlign w:val="center"/>
          </w:tcPr>
          <w:p w14:paraId="6EFB3F57"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277.4 days</w:t>
            </w:r>
            <w:r w:rsidRPr="00CA4838">
              <w:rPr>
                <w:rFonts w:ascii="Arial Narrow" w:hAnsi="Arial Narrow"/>
                <w:sz w:val="20"/>
                <w:szCs w:val="20"/>
                <w:vertAlign w:val="superscript"/>
              </w:rPr>
              <w:t>c</w:t>
            </w:r>
          </w:p>
        </w:tc>
        <w:tc>
          <w:tcPr>
            <w:tcW w:w="1134" w:type="dxa"/>
            <w:shd w:val="clear" w:color="auto" w:fill="auto"/>
            <w:vAlign w:val="center"/>
          </w:tcPr>
          <w:p w14:paraId="37B9D61B"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332 days</w:t>
            </w:r>
          </w:p>
        </w:tc>
        <w:tc>
          <w:tcPr>
            <w:tcW w:w="1441" w:type="dxa"/>
            <w:shd w:val="clear" w:color="auto" w:fill="auto"/>
            <w:vAlign w:val="center"/>
          </w:tcPr>
          <w:p w14:paraId="6F579A0E"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332 days (2L)</w:t>
            </w:r>
          </w:p>
          <w:p w14:paraId="0EBDF989"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435 days (1L)</w:t>
            </w:r>
          </w:p>
        </w:tc>
        <w:tc>
          <w:tcPr>
            <w:tcW w:w="969" w:type="dxa"/>
            <w:gridSpan w:val="2"/>
            <w:shd w:val="clear" w:color="auto" w:fill="FFFFFF" w:themeFill="background1"/>
            <w:vAlign w:val="center"/>
          </w:tcPr>
          <w:p w14:paraId="291AA65B"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[154 days</w:t>
            </w:r>
            <w:r w:rsidRPr="00CA4838">
              <w:rPr>
                <w:rFonts w:ascii="Arial Narrow" w:hAnsi="Arial Narrow"/>
                <w:sz w:val="20"/>
                <w:szCs w:val="20"/>
                <w:vertAlign w:val="superscript"/>
              </w:rPr>
              <w:t>d</w:t>
            </w:r>
            <w:r w:rsidRPr="00CA4838">
              <w:rPr>
                <w:rFonts w:ascii="Arial Narrow" w:hAnsi="Arial Narrow"/>
                <w:sz w:val="20"/>
                <w:szCs w:val="20"/>
              </w:rPr>
              <w:t>]</w:t>
            </w:r>
          </w:p>
        </w:tc>
        <w:tc>
          <w:tcPr>
            <w:tcW w:w="1417" w:type="dxa"/>
            <w:shd w:val="clear" w:color="auto" w:fill="FFFFFF" w:themeFill="background1"/>
            <w:vAlign w:val="center"/>
          </w:tcPr>
          <w:p w14:paraId="7E6CC3A0"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158 days</w:t>
            </w:r>
            <w:r w:rsidRPr="00CA4838">
              <w:rPr>
                <w:rFonts w:ascii="Arial Narrow" w:hAnsi="Arial Narrow"/>
                <w:sz w:val="20"/>
                <w:szCs w:val="20"/>
                <w:vertAlign w:val="superscript"/>
              </w:rPr>
              <w:t>e</w:t>
            </w:r>
          </w:p>
        </w:tc>
        <w:tc>
          <w:tcPr>
            <w:tcW w:w="1139" w:type="dxa"/>
            <w:shd w:val="clear" w:color="auto" w:fill="FFFFFF" w:themeFill="background1"/>
            <w:vAlign w:val="center"/>
          </w:tcPr>
          <w:p w14:paraId="2D99D7C6"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160 days</w:t>
            </w:r>
          </w:p>
        </w:tc>
      </w:tr>
      <w:tr w:rsidR="00A042A9" w:rsidRPr="00CA4838" w14:paraId="0FBC0126" w14:textId="77777777" w:rsidTr="00ED665A">
        <w:trPr>
          <w:cantSplit/>
          <w:jc w:val="center"/>
        </w:trPr>
        <w:tc>
          <w:tcPr>
            <w:tcW w:w="1838" w:type="dxa"/>
            <w:shd w:val="clear" w:color="auto" w:fill="auto"/>
            <w:vAlign w:val="center"/>
          </w:tcPr>
          <w:p w14:paraId="107B5E4C" w14:textId="77777777" w:rsidR="00A042A9" w:rsidRPr="00CA4838" w:rsidRDefault="00A042A9" w:rsidP="00AB7459">
            <w:pPr>
              <w:keepNext/>
              <w:spacing w:before="0" w:after="0"/>
              <w:jc w:val="left"/>
              <w:rPr>
                <w:rFonts w:ascii="Arial Narrow" w:hAnsi="Arial Narrow"/>
                <w:sz w:val="20"/>
                <w:szCs w:val="20"/>
              </w:rPr>
            </w:pPr>
            <w:r w:rsidRPr="00CA4838">
              <w:rPr>
                <w:rFonts w:ascii="Arial Narrow" w:hAnsi="Arial Narrow"/>
                <w:sz w:val="20"/>
                <w:szCs w:val="20"/>
              </w:rPr>
              <w:t>Total mg administered</w:t>
            </w:r>
          </w:p>
        </w:tc>
        <w:tc>
          <w:tcPr>
            <w:tcW w:w="1134" w:type="dxa"/>
            <w:shd w:val="clear" w:color="auto" w:fill="auto"/>
            <w:vAlign w:val="center"/>
          </w:tcPr>
          <w:p w14:paraId="67DD4D92" w14:textId="77777777" w:rsidR="00A042A9" w:rsidRPr="00CA4838" w:rsidRDefault="00A042A9" w:rsidP="00AB7459">
            <w:pPr>
              <w:keepNext/>
              <w:spacing w:before="0" w:after="0"/>
              <w:jc w:val="center"/>
              <w:rPr>
                <w:rFonts w:ascii="Arial Narrow" w:hAnsi="Arial Narrow"/>
                <w:iCs/>
                <w:sz w:val="20"/>
                <w:szCs w:val="20"/>
              </w:rPr>
            </w:pPr>
            <w:r w:rsidRPr="00CA4838">
              <w:rPr>
                <w:rFonts w:ascii="Arial Narrow" w:hAnsi="Arial Narrow"/>
                <w:iCs/>
                <w:sz w:val="20"/>
                <w:szCs w:val="20"/>
              </w:rPr>
              <w:t>NR</w:t>
            </w:r>
          </w:p>
        </w:tc>
        <w:tc>
          <w:tcPr>
            <w:tcW w:w="1134" w:type="dxa"/>
            <w:shd w:val="clear" w:color="auto" w:fill="auto"/>
            <w:vAlign w:val="center"/>
          </w:tcPr>
          <w:p w14:paraId="2FF5C137"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182,124mg</w:t>
            </w:r>
          </w:p>
        </w:tc>
        <w:tc>
          <w:tcPr>
            <w:tcW w:w="1441" w:type="dxa"/>
            <w:shd w:val="clear" w:color="auto" w:fill="auto"/>
            <w:vAlign w:val="center"/>
          </w:tcPr>
          <w:p w14:paraId="02023965"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182,427mg (2L)</w:t>
            </w:r>
          </w:p>
          <w:p w14:paraId="2A608613"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238,962mg (1L) (includes 92% dose intensity)</w:t>
            </w:r>
          </w:p>
        </w:tc>
        <w:tc>
          <w:tcPr>
            <w:tcW w:w="969" w:type="dxa"/>
            <w:gridSpan w:val="2"/>
            <w:shd w:val="clear" w:color="auto" w:fill="FFFFFF" w:themeFill="background1"/>
            <w:vAlign w:val="center"/>
          </w:tcPr>
          <w:p w14:paraId="54044B17"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NC</w:t>
            </w:r>
          </w:p>
        </w:tc>
        <w:tc>
          <w:tcPr>
            <w:tcW w:w="1417" w:type="dxa"/>
            <w:shd w:val="clear" w:color="auto" w:fill="FFFFFF" w:themeFill="background1"/>
            <w:vAlign w:val="center"/>
          </w:tcPr>
          <w:p w14:paraId="43C18713"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287mg</w:t>
            </w:r>
            <w:r w:rsidRPr="00CA4838">
              <w:rPr>
                <w:rFonts w:ascii="Arial Narrow" w:hAnsi="Arial Narrow"/>
                <w:sz w:val="20"/>
                <w:szCs w:val="20"/>
                <w:vertAlign w:val="superscript"/>
              </w:rPr>
              <w:t>b</w:t>
            </w:r>
          </w:p>
        </w:tc>
        <w:tc>
          <w:tcPr>
            <w:tcW w:w="1139" w:type="dxa"/>
            <w:shd w:val="clear" w:color="auto" w:fill="FFFFFF" w:themeFill="background1"/>
            <w:vAlign w:val="center"/>
          </w:tcPr>
          <w:p w14:paraId="7267B5F2"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418mg</w:t>
            </w:r>
          </w:p>
        </w:tc>
      </w:tr>
      <w:tr w:rsidR="00A042A9" w:rsidRPr="00CA4838" w14:paraId="6BED12DA" w14:textId="77777777" w:rsidTr="00ED665A">
        <w:trPr>
          <w:cantSplit/>
          <w:jc w:val="center"/>
        </w:trPr>
        <w:tc>
          <w:tcPr>
            <w:tcW w:w="1838" w:type="dxa"/>
            <w:shd w:val="clear" w:color="auto" w:fill="auto"/>
            <w:vAlign w:val="center"/>
          </w:tcPr>
          <w:p w14:paraId="3A84C893" w14:textId="77777777" w:rsidR="00A042A9" w:rsidRPr="00CA4838" w:rsidRDefault="00A042A9" w:rsidP="00AB7459">
            <w:pPr>
              <w:keepNext/>
              <w:spacing w:before="0" w:after="0"/>
              <w:jc w:val="left"/>
              <w:rPr>
                <w:rFonts w:ascii="Arial Narrow" w:hAnsi="Arial Narrow"/>
                <w:sz w:val="20"/>
                <w:szCs w:val="20"/>
              </w:rPr>
            </w:pPr>
            <w:r w:rsidRPr="00CA4838">
              <w:rPr>
                <w:rFonts w:ascii="Arial Narrow" w:hAnsi="Arial Narrow"/>
                <w:sz w:val="20"/>
                <w:szCs w:val="20"/>
              </w:rPr>
              <w:t>Cost/patient/month</w:t>
            </w:r>
          </w:p>
        </w:tc>
        <w:tc>
          <w:tcPr>
            <w:tcW w:w="1134" w:type="dxa"/>
            <w:shd w:val="clear" w:color="auto" w:fill="auto"/>
            <w:vAlign w:val="center"/>
          </w:tcPr>
          <w:p w14:paraId="130F8AF8"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w:t>
            </w:r>
          </w:p>
        </w:tc>
        <w:tc>
          <w:tcPr>
            <w:tcW w:w="1134" w:type="dxa"/>
            <w:shd w:val="clear" w:color="auto" w:fill="auto"/>
            <w:vAlign w:val="center"/>
          </w:tcPr>
          <w:p w14:paraId="5652FE38"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w:t>
            </w:r>
            <w:r w:rsidR="00CD28A8">
              <w:rPr>
                <w:rFonts w:ascii="Arial Narrow" w:hAnsi="Arial Narrow"/>
                <w:noProof/>
                <w:color w:val="000000"/>
                <w:sz w:val="20"/>
                <w:szCs w:val="20"/>
                <w:highlight w:val="black"/>
              </w:rPr>
              <w:t>'''''''''''''''''''</w:t>
            </w:r>
          </w:p>
        </w:tc>
        <w:tc>
          <w:tcPr>
            <w:tcW w:w="1441" w:type="dxa"/>
            <w:shd w:val="clear" w:color="auto" w:fill="auto"/>
            <w:vAlign w:val="center"/>
          </w:tcPr>
          <w:p w14:paraId="48EF980A"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NR</w:t>
            </w:r>
          </w:p>
        </w:tc>
        <w:tc>
          <w:tcPr>
            <w:tcW w:w="969" w:type="dxa"/>
            <w:gridSpan w:val="2"/>
            <w:shd w:val="clear" w:color="auto" w:fill="FFFFFF" w:themeFill="background1"/>
            <w:vAlign w:val="center"/>
          </w:tcPr>
          <w:p w14:paraId="2AA88E7A"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w:t>
            </w:r>
          </w:p>
        </w:tc>
        <w:tc>
          <w:tcPr>
            <w:tcW w:w="1417" w:type="dxa"/>
            <w:shd w:val="clear" w:color="auto" w:fill="FFFFFF" w:themeFill="background1"/>
            <w:vAlign w:val="center"/>
          </w:tcPr>
          <w:p w14:paraId="1F6EA5CE" w14:textId="77777777" w:rsidR="00A042A9" w:rsidRPr="00AE293E" w:rsidRDefault="00A042A9" w:rsidP="00AB7459">
            <w:pPr>
              <w:keepNext/>
              <w:spacing w:before="0" w:after="0"/>
              <w:jc w:val="center"/>
              <w:rPr>
                <w:rFonts w:ascii="Arial Narrow" w:hAnsi="Arial Narrow"/>
                <w:sz w:val="20"/>
                <w:szCs w:val="20"/>
              </w:rPr>
            </w:pPr>
            <w:r w:rsidRPr="00AE293E">
              <w:rPr>
                <w:rFonts w:ascii="Arial Narrow" w:hAnsi="Arial Narrow"/>
                <w:sz w:val="20"/>
                <w:szCs w:val="20"/>
              </w:rPr>
              <w:t>$1,549.19</w:t>
            </w:r>
          </w:p>
        </w:tc>
        <w:tc>
          <w:tcPr>
            <w:tcW w:w="1139" w:type="dxa"/>
            <w:shd w:val="clear" w:color="auto" w:fill="FFFFFF" w:themeFill="background1"/>
            <w:vAlign w:val="center"/>
          </w:tcPr>
          <w:p w14:paraId="72DB8E40"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NR</w:t>
            </w:r>
          </w:p>
        </w:tc>
      </w:tr>
      <w:tr w:rsidR="00A042A9" w:rsidRPr="00CA4838" w14:paraId="74E8BEFF" w14:textId="77777777" w:rsidTr="00ED665A">
        <w:trPr>
          <w:cantSplit/>
          <w:jc w:val="center"/>
        </w:trPr>
        <w:tc>
          <w:tcPr>
            <w:tcW w:w="1838" w:type="dxa"/>
            <w:shd w:val="clear" w:color="auto" w:fill="auto"/>
            <w:vAlign w:val="center"/>
          </w:tcPr>
          <w:p w14:paraId="00F91ABA" w14:textId="77777777" w:rsidR="00A042A9" w:rsidRPr="00CA4838" w:rsidRDefault="00A042A9" w:rsidP="00AB7459">
            <w:pPr>
              <w:keepNext/>
              <w:spacing w:before="0" w:after="0"/>
              <w:jc w:val="left"/>
              <w:rPr>
                <w:rFonts w:ascii="Arial Narrow" w:hAnsi="Arial Narrow"/>
                <w:sz w:val="20"/>
                <w:szCs w:val="20"/>
              </w:rPr>
            </w:pPr>
            <w:r w:rsidRPr="00CA4838">
              <w:rPr>
                <w:rFonts w:ascii="Arial Narrow" w:hAnsi="Arial Narrow"/>
                <w:sz w:val="20"/>
                <w:szCs w:val="20"/>
              </w:rPr>
              <w:t>With admin/cc therapies</w:t>
            </w:r>
          </w:p>
        </w:tc>
        <w:tc>
          <w:tcPr>
            <w:tcW w:w="1134" w:type="dxa"/>
            <w:shd w:val="clear" w:color="auto" w:fill="auto"/>
            <w:vAlign w:val="center"/>
          </w:tcPr>
          <w:p w14:paraId="6F8309D7" w14:textId="77777777" w:rsidR="00A042A9" w:rsidRPr="00CA4838" w:rsidRDefault="00A042A9" w:rsidP="00AB7459">
            <w:pPr>
              <w:keepNext/>
              <w:spacing w:before="0" w:after="0"/>
              <w:jc w:val="center"/>
              <w:rPr>
                <w:rFonts w:ascii="Arial Narrow" w:hAnsi="Arial Narrow"/>
                <w:sz w:val="20"/>
                <w:szCs w:val="20"/>
              </w:rPr>
            </w:pPr>
          </w:p>
        </w:tc>
        <w:tc>
          <w:tcPr>
            <w:tcW w:w="1134" w:type="dxa"/>
            <w:shd w:val="clear" w:color="auto" w:fill="auto"/>
            <w:vAlign w:val="center"/>
          </w:tcPr>
          <w:p w14:paraId="111D66C2"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w:t>
            </w:r>
            <w:r w:rsidR="00CD28A8">
              <w:rPr>
                <w:rFonts w:ascii="Arial Narrow" w:hAnsi="Arial Narrow"/>
                <w:noProof/>
                <w:color w:val="000000"/>
                <w:sz w:val="20"/>
                <w:szCs w:val="20"/>
                <w:highlight w:val="black"/>
              </w:rPr>
              <w:t>''''''''''''''''''''''</w:t>
            </w:r>
          </w:p>
        </w:tc>
        <w:tc>
          <w:tcPr>
            <w:tcW w:w="1441" w:type="dxa"/>
            <w:shd w:val="clear" w:color="auto" w:fill="auto"/>
            <w:vAlign w:val="center"/>
          </w:tcPr>
          <w:p w14:paraId="2FFBE3D7"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NR</w:t>
            </w:r>
          </w:p>
        </w:tc>
        <w:tc>
          <w:tcPr>
            <w:tcW w:w="969" w:type="dxa"/>
            <w:gridSpan w:val="2"/>
            <w:shd w:val="clear" w:color="auto" w:fill="FFFFFF" w:themeFill="background1"/>
            <w:vAlign w:val="center"/>
          </w:tcPr>
          <w:p w14:paraId="6D606DE5"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w:t>
            </w:r>
          </w:p>
        </w:tc>
        <w:tc>
          <w:tcPr>
            <w:tcW w:w="1417" w:type="dxa"/>
            <w:shd w:val="clear" w:color="auto" w:fill="FFFFFF" w:themeFill="background1"/>
            <w:vAlign w:val="center"/>
          </w:tcPr>
          <w:p w14:paraId="2764CC46" w14:textId="77777777" w:rsidR="00A042A9" w:rsidRPr="00AE293E" w:rsidRDefault="00A042A9" w:rsidP="00AB7459">
            <w:pPr>
              <w:keepNext/>
              <w:spacing w:before="0" w:after="0"/>
              <w:jc w:val="center"/>
              <w:rPr>
                <w:rFonts w:ascii="Arial Narrow" w:hAnsi="Arial Narrow"/>
                <w:sz w:val="20"/>
                <w:szCs w:val="20"/>
              </w:rPr>
            </w:pPr>
            <w:r w:rsidRPr="00AE293E">
              <w:rPr>
                <w:rFonts w:ascii="Arial Narrow" w:hAnsi="Arial Narrow"/>
                <w:sz w:val="20"/>
                <w:szCs w:val="20"/>
              </w:rPr>
              <w:t>$2,385.04</w:t>
            </w:r>
          </w:p>
        </w:tc>
        <w:tc>
          <w:tcPr>
            <w:tcW w:w="1139" w:type="dxa"/>
            <w:shd w:val="clear" w:color="auto" w:fill="FFFFFF" w:themeFill="background1"/>
            <w:vAlign w:val="center"/>
          </w:tcPr>
          <w:p w14:paraId="60FD6A6D"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NR</w:t>
            </w:r>
          </w:p>
        </w:tc>
      </w:tr>
      <w:tr w:rsidR="00A042A9" w:rsidRPr="00CA4838" w14:paraId="472B3D26" w14:textId="77777777" w:rsidTr="00ED665A">
        <w:trPr>
          <w:cantSplit/>
          <w:jc w:val="center"/>
        </w:trPr>
        <w:tc>
          <w:tcPr>
            <w:tcW w:w="1838" w:type="dxa"/>
            <w:shd w:val="clear" w:color="auto" w:fill="auto"/>
            <w:vAlign w:val="center"/>
          </w:tcPr>
          <w:p w14:paraId="1FF42FF4" w14:textId="77777777" w:rsidR="00A042A9" w:rsidRPr="00CA4838" w:rsidRDefault="00A042A9" w:rsidP="00AB7459">
            <w:pPr>
              <w:keepNext/>
              <w:spacing w:before="0" w:after="0"/>
              <w:jc w:val="left"/>
              <w:rPr>
                <w:rFonts w:ascii="Arial Narrow" w:hAnsi="Arial Narrow"/>
                <w:sz w:val="20"/>
                <w:szCs w:val="20"/>
              </w:rPr>
            </w:pPr>
            <w:r w:rsidRPr="00CA4838">
              <w:rPr>
                <w:rFonts w:ascii="Arial Narrow" w:hAnsi="Arial Narrow"/>
                <w:sz w:val="20"/>
                <w:szCs w:val="20"/>
              </w:rPr>
              <w:t>Cost/patient/course</w:t>
            </w:r>
          </w:p>
        </w:tc>
        <w:tc>
          <w:tcPr>
            <w:tcW w:w="1134" w:type="dxa"/>
            <w:shd w:val="clear" w:color="auto" w:fill="auto"/>
            <w:vAlign w:val="center"/>
          </w:tcPr>
          <w:p w14:paraId="75E06C18"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w:t>
            </w:r>
          </w:p>
        </w:tc>
        <w:tc>
          <w:tcPr>
            <w:tcW w:w="1134" w:type="dxa"/>
            <w:shd w:val="clear" w:color="auto" w:fill="auto"/>
            <w:vAlign w:val="center"/>
          </w:tcPr>
          <w:p w14:paraId="3D9FC75C"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w:t>
            </w:r>
            <w:r w:rsidR="00CD28A8">
              <w:rPr>
                <w:rFonts w:ascii="Arial Narrow" w:hAnsi="Arial Narrow"/>
                <w:noProof/>
                <w:color w:val="000000"/>
                <w:sz w:val="20"/>
                <w:szCs w:val="20"/>
                <w:highlight w:val="black"/>
              </w:rPr>
              <w:t>''''''''''''''''''''''''''</w:t>
            </w:r>
            <w:r w:rsidR="00D55F1E" w:rsidRPr="008A4199">
              <w:rPr>
                <w:rFonts w:ascii="Arial Narrow" w:hAnsi="Arial Narrow"/>
                <w:sz w:val="20"/>
                <w:szCs w:val="20"/>
                <w:vertAlign w:val="superscript"/>
              </w:rPr>
              <w:t>f</w:t>
            </w:r>
          </w:p>
        </w:tc>
        <w:tc>
          <w:tcPr>
            <w:tcW w:w="1441" w:type="dxa"/>
            <w:shd w:val="clear" w:color="auto" w:fill="auto"/>
            <w:vAlign w:val="center"/>
          </w:tcPr>
          <w:p w14:paraId="35AFEAF7" w14:textId="77777777" w:rsidR="00A042A9" w:rsidRPr="00AE293E" w:rsidRDefault="00A042A9" w:rsidP="00AB7459">
            <w:pPr>
              <w:keepNext/>
              <w:spacing w:before="0" w:after="0"/>
              <w:jc w:val="center"/>
              <w:rPr>
                <w:rFonts w:ascii="Arial Narrow" w:hAnsi="Arial Narrow"/>
                <w:sz w:val="20"/>
                <w:szCs w:val="20"/>
              </w:rPr>
            </w:pPr>
            <w:r w:rsidRPr="00AE293E">
              <w:rPr>
                <w:rFonts w:ascii="Arial Narrow" w:hAnsi="Arial Narrow"/>
                <w:sz w:val="20"/>
                <w:szCs w:val="20"/>
              </w:rPr>
              <w:t>$</w:t>
            </w:r>
            <w:r w:rsidR="00CD28A8">
              <w:rPr>
                <w:rFonts w:ascii="Arial Narrow" w:hAnsi="Arial Narrow"/>
                <w:noProof/>
                <w:color w:val="000000"/>
                <w:sz w:val="20"/>
                <w:szCs w:val="20"/>
                <w:highlight w:val="black"/>
              </w:rPr>
              <w:t>'''''''''''''''''''''''</w:t>
            </w:r>
            <w:r w:rsidRPr="00AE293E">
              <w:rPr>
                <w:rFonts w:ascii="Arial Narrow" w:hAnsi="Arial Narrow"/>
                <w:sz w:val="20"/>
                <w:szCs w:val="20"/>
              </w:rPr>
              <w:t xml:space="preserve"> (2L)</w:t>
            </w:r>
          </w:p>
          <w:p w14:paraId="38D5D7B4" w14:textId="77777777" w:rsidR="00A042A9" w:rsidRPr="00CA4838" w:rsidRDefault="00A042A9" w:rsidP="00AB7459">
            <w:pPr>
              <w:keepNext/>
              <w:spacing w:before="0" w:after="0"/>
              <w:jc w:val="center"/>
              <w:rPr>
                <w:rFonts w:ascii="Arial Narrow" w:hAnsi="Arial Narrow"/>
                <w:sz w:val="20"/>
                <w:szCs w:val="20"/>
              </w:rPr>
            </w:pPr>
            <w:r w:rsidRPr="00AE293E">
              <w:rPr>
                <w:rFonts w:ascii="Arial Narrow" w:hAnsi="Arial Narrow"/>
                <w:sz w:val="20"/>
                <w:szCs w:val="20"/>
              </w:rPr>
              <w:t>$</w:t>
            </w:r>
            <w:r w:rsidR="00CD28A8">
              <w:rPr>
                <w:rFonts w:ascii="Arial Narrow" w:hAnsi="Arial Narrow"/>
                <w:noProof/>
                <w:color w:val="000000"/>
                <w:sz w:val="20"/>
                <w:szCs w:val="20"/>
                <w:highlight w:val="black"/>
              </w:rPr>
              <w:t>'''''''''''''''''''''''</w:t>
            </w:r>
            <w:r w:rsidRPr="00AE293E">
              <w:rPr>
                <w:rFonts w:ascii="Arial Narrow" w:hAnsi="Arial Narrow"/>
                <w:sz w:val="20"/>
                <w:szCs w:val="20"/>
              </w:rPr>
              <w:t xml:space="preserve"> (</w:t>
            </w:r>
            <w:r w:rsidRPr="00CA4838">
              <w:rPr>
                <w:rFonts w:ascii="Arial Narrow" w:hAnsi="Arial Narrow"/>
                <w:sz w:val="20"/>
                <w:szCs w:val="20"/>
              </w:rPr>
              <w:t>1L)</w:t>
            </w:r>
          </w:p>
        </w:tc>
        <w:tc>
          <w:tcPr>
            <w:tcW w:w="969" w:type="dxa"/>
            <w:gridSpan w:val="2"/>
            <w:shd w:val="clear" w:color="auto" w:fill="FFFFFF" w:themeFill="background1"/>
            <w:vAlign w:val="center"/>
          </w:tcPr>
          <w:p w14:paraId="7EC0E349"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w:t>
            </w:r>
          </w:p>
        </w:tc>
        <w:tc>
          <w:tcPr>
            <w:tcW w:w="1417" w:type="dxa"/>
            <w:shd w:val="clear" w:color="auto" w:fill="FFFFFF" w:themeFill="background1"/>
            <w:vAlign w:val="center"/>
          </w:tcPr>
          <w:p w14:paraId="48DC71FD" w14:textId="77777777" w:rsidR="00A042A9" w:rsidRPr="00AE293E" w:rsidRDefault="00A042A9" w:rsidP="00AB7459">
            <w:pPr>
              <w:keepNext/>
              <w:spacing w:before="0" w:after="0"/>
              <w:jc w:val="center"/>
              <w:rPr>
                <w:rFonts w:ascii="Arial Narrow" w:hAnsi="Arial Narrow"/>
                <w:sz w:val="20"/>
                <w:szCs w:val="20"/>
              </w:rPr>
            </w:pPr>
            <w:r w:rsidRPr="00AE293E">
              <w:rPr>
                <w:rFonts w:ascii="Arial Narrow" w:hAnsi="Arial Narrow"/>
                <w:sz w:val="20"/>
                <w:szCs w:val="20"/>
              </w:rPr>
              <w:t>$8,033.95</w:t>
            </w:r>
          </w:p>
        </w:tc>
        <w:tc>
          <w:tcPr>
            <w:tcW w:w="1139" w:type="dxa"/>
            <w:shd w:val="clear" w:color="auto" w:fill="FFFFFF" w:themeFill="background1"/>
            <w:vAlign w:val="center"/>
          </w:tcPr>
          <w:p w14:paraId="4C0DC429"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$8,129.74</w:t>
            </w:r>
          </w:p>
        </w:tc>
      </w:tr>
      <w:tr w:rsidR="00A042A9" w:rsidRPr="00CA4838" w14:paraId="39554C45" w14:textId="77777777" w:rsidTr="00ED665A">
        <w:trPr>
          <w:cantSplit/>
          <w:jc w:val="center"/>
        </w:trPr>
        <w:tc>
          <w:tcPr>
            <w:tcW w:w="1838" w:type="dxa"/>
            <w:shd w:val="clear" w:color="auto" w:fill="auto"/>
            <w:vAlign w:val="center"/>
          </w:tcPr>
          <w:p w14:paraId="60D5B5FE" w14:textId="77777777" w:rsidR="00A042A9" w:rsidRPr="00CA4838" w:rsidRDefault="00A042A9" w:rsidP="00AB7459">
            <w:pPr>
              <w:keepNext/>
              <w:spacing w:before="0" w:after="0"/>
              <w:jc w:val="left"/>
              <w:rPr>
                <w:rFonts w:ascii="Arial Narrow" w:hAnsi="Arial Narrow"/>
                <w:sz w:val="20"/>
                <w:szCs w:val="20"/>
              </w:rPr>
            </w:pPr>
            <w:r w:rsidRPr="00CA4838">
              <w:rPr>
                <w:rFonts w:ascii="Arial Narrow" w:hAnsi="Arial Narrow"/>
                <w:sz w:val="20"/>
                <w:szCs w:val="20"/>
              </w:rPr>
              <w:t>With admin/cc therapies</w:t>
            </w:r>
          </w:p>
        </w:tc>
        <w:tc>
          <w:tcPr>
            <w:tcW w:w="1134" w:type="dxa"/>
            <w:shd w:val="clear" w:color="auto" w:fill="auto"/>
            <w:vAlign w:val="center"/>
          </w:tcPr>
          <w:p w14:paraId="01B3AD4A" w14:textId="77777777" w:rsidR="00A042A9" w:rsidRPr="00CA4838" w:rsidRDefault="00A042A9" w:rsidP="00AB7459">
            <w:pPr>
              <w:keepNext/>
              <w:spacing w:before="0" w:after="0"/>
              <w:jc w:val="center"/>
              <w:rPr>
                <w:rFonts w:ascii="Arial Narrow" w:hAnsi="Arial Narrow"/>
                <w:sz w:val="20"/>
                <w:szCs w:val="20"/>
              </w:rPr>
            </w:pPr>
          </w:p>
        </w:tc>
        <w:tc>
          <w:tcPr>
            <w:tcW w:w="1134" w:type="dxa"/>
            <w:shd w:val="clear" w:color="auto" w:fill="auto"/>
            <w:vAlign w:val="center"/>
          </w:tcPr>
          <w:p w14:paraId="650BA574"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w:t>
            </w:r>
            <w:r w:rsidR="00CD28A8">
              <w:rPr>
                <w:rFonts w:ascii="Arial Narrow" w:hAnsi="Arial Narrow"/>
                <w:noProof/>
                <w:color w:val="000000"/>
                <w:sz w:val="20"/>
                <w:szCs w:val="20"/>
                <w:highlight w:val="black"/>
              </w:rPr>
              <w:t>''''''''''''''''''''''''</w:t>
            </w:r>
          </w:p>
        </w:tc>
        <w:tc>
          <w:tcPr>
            <w:tcW w:w="1441" w:type="dxa"/>
            <w:shd w:val="clear" w:color="auto" w:fill="auto"/>
            <w:vAlign w:val="center"/>
          </w:tcPr>
          <w:p w14:paraId="0AD74E7A"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NR</w:t>
            </w:r>
          </w:p>
        </w:tc>
        <w:tc>
          <w:tcPr>
            <w:tcW w:w="969" w:type="dxa"/>
            <w:gridSpan w:val="2"/>
            <w:shd w:val="clear" w:color="auto" w:fill="FFFFFF" w:themeFill="background1"/>
            <w:vAlign w:val="center"/>
          </w:tcPr>
          <w:p w14:paraId="00EA680E"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w:t>
            </w:r>
          </w:p>
        </w:tc>
        <w:tc>
          <w:tcPr>
            <w:tcW w:w="1417" w:type="dxa"/>
            <w:shd w:val="clear" w:color="auto" w:fill="FFFFFF" w:themeFill="background1"/>
            <w:vAlign w:val="center"/>
          </w:tcPr>
          <w:p w14:paraId="3BA68A5F" w14:textId="77777777" w:rsidR="00A042A9" w:rsidRPr="00AE293E" w:rsidRDefault="00A042A9" w:rsidP="00AB7459">
            <w:pPr>
              <w:keepNext/>
              <w:spacing w:before="0" w:after="0"/>
              <w:jc w:val="center"/>
              <w:rPr>
                <w:rFonts w:ascii="Arial Narrow" w:hAnsi="Arial Narrow"/>
                <w:sz w:val="20"/>
                <w:szCs w:val="20"/>
              </w:rPr>
            </w:pPr>
            <w:r w:rsidRPr="00AE293E">
              <w:rPr>
                <w:rFonts w:ascii="Arial Narrow" w:hAnsi="Arial Narrow"/>
                <w:sz w:val="20"/>
                <w:szCs w:val="20"/>
              </w:rPr>
              <w:t>$12,368.54</w:t>
            </w:r>
          </w:p>
        </w:tc>
        <w:tc>
          <w:tcPr>
            <w:tcW w:w="1139" w:type="dxa"/>
            <w:shd w:val="clear" w:color="auto" w:fill="FFFFFF" w:themeFill="background1"/>
            <w:vAlign w:val="center"/>
          </w:tcPr>
          <w:p w14:paraId="7F173B92" w14:textId="77777777" w:rsidR="00A042A9" w:rsidRPr="00CA4838" w:rsidRDefault="00A042A9" w:rsidP="00AB7459">
            <w:pPr>
              <w:keepNext/>
              <w:spacing w:before="0" w:after="0"/>
              <w:jc w:val="center"/>
              <w:rPr>
                <w:rFonts w:ascii="Arial Narrow" w:hAnsi="Arial Narrow"/>
                <w:sz w:val="20"/>
                <w:szCs w:val="20"/>
              </w:rPr>
            </w:pPr>
            <w:r w:rsidRPr="00CA4838">
              <w:rPr>
                <w:rFonts w:ascii="Arial Narrow" w:hAnsi="Arial Narrow"/>
                <w:sz w:val="20"/>
                <w:szCs w:val="20"/>
              </w:rPr>
              <w:t>NR</w:t>
            </w:r>
          </w:p>
        </w:tc>
      </w:tr>
    </w:tbl>
    <w:p w14:paraId="185BD334" w14:textId="77777777" w:rsidR="00A042A9" w:rsidRPr="00CA4838" w:rsidRDefault="00A042A9" w:rsidP="00A042A9">
      <w:pPr>
        <w:pStyle w:val="TableFooter"/>
      </w:pPr>
      <w:r w:rsidRPr="00CA4838">
        <w:t>Source: compiled during the evaluation</w:t>
      </w:r>
    </w:p>
    <w:p w14:paraId="15C22718" w14:textId="77777777" w:rsidR="00A042A9" w:rsidRPr="00CA4838" w:rsidRDefault="00A042A9" w:rsidP="00A042A9">
      <w:pPr>
        <w:pStyle w:val="TableFooter"/>
      </w:pPr>
      <w:r w:rsidRPr="00CA4838">
        <w:t xml:space="preserve">cc=concomitant therapies, NC= not calculable, NR=not reported </w:t>
      </w:r>
    </w:p>
    <w:p w14:paraId="546275D8" w14:textId="77777777" w:rsidR="00A042A9" w:rsidRPr="00CA4838" w:rsidRDefault="00A042A9" w:rsidP="00A042A9">
      <w:pPr>
        <w:pStyle w:val="TableFooter"/>
      </w:pPr>
      <w:r w:rsidRPr="00CA4838">
        <w:rPr>
          <w:vertAlign w:val="superscript"/>
        </w:rPr>
        <w:t>a</w:t>
      </w:r>
      <w:r w:rsidRPr="00CA4838">
        <w:t xml:space="preserve"> 25mg/m2 intended dose </w:t>
      </w:r>
    </w:p>
    <w:p w14:paraId="604FCD2A" w14:textId="77777777" w:rsidR="00A042A9" w:rsidRPr="00CA4838" w:rsidRDefault="00A042A9" w:rsidP="00A042A9">
      <w:pPr>
        <w:pStyle w:val="TableFooter"/>
      </w:pPr>
      <w:r w:rsidRPr="00CA4838">
        <w:rPr>
          <w:vertAlign w:val="superscript"/>
        </w:rPr>
        <w:t>b</w:t>
      </w:r>
      <w:r w:rsidRPr="00CA4838">
        <w:t xml:space="preserve"> based on 20mg/m2 dose. Model assumes no vial sharing, so actual allocated dose was 55mg every 3 weeks for a total of 413mg, costs based on no vial sharing.</w:t>
      </w:r>
    </w:p>
    <w:p w14:paraId="707E9B19" w14:textId="77777777" w:rsidR="00A042A9" w:rsidRPr="00266EE3" w:rsidRDefault="00A042A9" w:rsidP="00A042A9">
      <w:pPr>
        <w:pStyle w:val="TableFooter"/>
      </w:pPr>
      <w:r w:rsidRPr="00266EE3">
        <w:rPr>
          <w:vertAlign w:val="superscript"/>
        </w:rPr>
        <w:t xml:space="preserve">c </w:t>
      </w:r>
      <w:r w:rsidRPr="00266EE3">
        <w:t>Only available for Cohort A+B (not BRCA1/2 subgroup). Actual treatment duration excluding dose interruptions was 263.3 days. Model</w:t>
      </w:r>
      <w:r w:rsidRPr="00CA4838">
        <w:t xml:space="preserve"> </w:t>
      </w:r>
      <w:r w:rsidRPr="00266EE3">
        <w:t>used BRCA1/2 subgroup but mean was not reported.</w:t>
      </w:r>
    </w:p>
    <w:p w14:paraId="4410FBED" w14:textId="77777777" w:rsidR="00A042A9" w:rsidRPr="00CA4838" w:rsidRDefault="00A042A9" w:rsidP="00A042A9">
      <w:pPr>
        <w:pStyle w:val="TableFooter"/>
      </w:pPr>
      <w:r w:rsidRPr="00CA4838">
        <w:rPr>
          <w:vertAlign w:val="superscript"/>
        </w:rPr>
        <w:t>d</w:t>
      </w:r>
      <w:r w:rsidRPr="00CA4838">
        <w:t xml:space="preserve"> median reported 7.0 actual treatment days</w:t>
      </w:r>
    </w:p>
    <w:p w14:paraId="5A9D9806" w14:textId="77777777" w:rsidR="00A042A9" w:rsidRDefault="00A042A9" w:rsidP="00A042A9">
      <w:pPr>
        <w:pStyle w:val="TableFooter"/>
      </w:pPr>
      <w:r w:rsidRPr="00CA4838">
        <w:rPr>
          <w:vertAlign w:val="superscript"/>
        </w:rPr>
        <w:t>e</w:t>
      </w:r>
      <w:r w:rsidRPr="00CA4838">
        <w:t xml:space="preserve"> equal to 7.5 actual treatment days</w:t>
      </w:r>
    </w:p>
    <w:p w14:paraId="6ADE11B8" w14:textId="77777777" w:rsidR="00D55F1E" w:rsidRPr="00CA4838" w:rsidRDefault="00D55F1E" w:rsidP="00A042A9">
      <w:pPr>
        <w:pStyle w:val="TableFooter"/>
      </w:pPr>
      <w:r w:rsidRPr="008A4199">
        <w:rPr>
          <w:vertAlign w:val="superscript"/>
        </w:rPr>
        <w:t>f</w:t>
      </w:r>
      <w:r>
        <w:t xml:space="preserve"> </w:t>
      </w:r>
      <w:r w:rsidR="00EB604E">
        <w:t>$</w:t>
      </w:r>
      <w:r w:rsidR="00CD28A8">
        <w:rPr>
          <w:noProof/>
          <w:color w:val="000000"/>
          <w:highlight w:val="black"/>
        </w:rPr>
        <w:t>''''''''''''''''</w:t>
      </w:r>
      <w:r w:rsidR="00EB604E">
        <w:t xml:space="preserve"> with the revised price in the pre-PBAC response ($</w:t>
      </w:r>
      <w:r w:rsidR="00CD28A8">
        <w:rPr>
          <w:noProof/>
          <w:color w:val="000000"/>
          <w:highlight w:val="black"/>
        </w:rPr>
        <w:t>'''''''''''''''''''''</w:t>
      </w:r>
      <w:r w:rsidR="00EB604E">
        <w:t xml:space="preserve"> AEMP)</w:t>
      </w:r>
    </w:p>
    <w:p w14:paraId="645A9D21" w14:textId="77777777" w:rsidR="00A042A9" w:rsidRPr="00A67F26" w:rsidRDefault="00A042A9" w:rsidP="00A042A9">
      <w:pPr>
        <w:pStyle w:val="4-SubsectionHeading"/>
        <w:rPr>
          <w:rFonts w:asciiTheme="minorHAnsi" w:hAnsiTheme="minorHAnsi"/>
        </w:rPr>
      </w:pPr>
      <w:bookmarkStart w:id="63" w:name="_Toc413139284"/>
      <w:bookmarkStart w:id="64" w:name="_Toc497226193"/>
      <w:bookmarkStart w:id="65" w:name="_Toc413139286"/>
      <w:r w:rsidRPr="00A67F26">
        <w:rPr>
          <w:rFonts w:asciiTheme="minorHAnsi" w:hAnsiTheme="minorHAnsi"/>
          <w:color w:val="auto"/>
        </w:rPr>
        <w:t xml:space="preserve">Estimated PBS </w:t>
      </w:r>
      <w:r>
        <w:rPr>
          <w:rFonts w:asciiTheme="minorHAnsi" w:hAnsiTheme="minorHAnsi"/>
          <w:color w:val="auto"/>
        </w:rPr>
        <w:t xml:space="preserve">usage </w:t>
      </w:r>
      <w:r w:rsidRPr="00A67F26">
        <w:rPr>
          <w:rFonts w:asciiTheme="minorHAnsi" w:hAnsiTheme="minorHAnsi"/>
          <w:color w:val="auto"/>
        </w:rPr>
        <w:t>&amp; financial implications</w:t>
      </w:r>
      <w:bookmarkEnd w:id="63"/>
      <w:bookmarkEnd w:id="64"/>
    </w:p>
    <w:p w14:paraId="034ADA60" w14:textId="77777777" w:rsidR="00A042A9" w:rsidRPr="00CA4838" w:rsidRDefault="00A042A9" w:rsidP="00DB2410">
      <w:pPr>
        <w:pStyle w:val="ListParagraph"/>
        <w:ind w:left="709"/>
      </w:pPr>
      <w:r w:rsidRPr="00CA4838">
        <w:t>The resubmission provided new predicted use and financial implications associated with testing and treating for olaparib. The main changes were:</w:t>
      </w:r>
    </w:p>
    <w:p w14:paraId="69A8511D" w14:textId="77777777" w:rsidR="00A042A9" w:rsidRPr="00CA4838" w:rsidRDefault="00A042A9" w:rsidP="00A042A9">
      <w:pPr>
        <w:pStyle w:val="MainBodyBulletPoint"/>
        <w:ind w:left="714" w:hanging="357"/>
      </w:pPr>
      <w:r w:rsidRPr="00CA4838">
        <w:t>Incident rather than prevalent approach to project annual patient numbers</w:t>
      </w:r>
      <w:r w:rsidR="007D0326">
        <w:t>;</w:t>
      </w:r>
    </w:p>
    <w:p w14:paraId="793CC73C" w14:textId="77777777" w:rsidR="00A042A9" w:rsidRPr="00CA4838" w:rsidRDefault="00A042A9" w:rsidP="00A042A9">
      <w:pPr>
        <w:pStyle w:val="MainBodyBulletPoint"/>
        <w:ind w:left="714" w:hanging="357"/>
      </w:pPr>
      <w:r w:rsidRPr="00CA4838">
        <w:t>Inclusion of cascade testing costs</w:t>
      </w:r>
      <w:r w:rsidR="007D0326">
        <w:t xml:space="preserve"> to 3 relatives;</w:t>
      </w:r>
    </w:p>
    <w:p w14:paraId="2BB449C0" w14:textId="77777777" w:rsidR="00A042A9" w:rsidRPr="00CA4838" w:rsidRDefault="00A042A9" w:rsidP="00A042A9">
      <w:pPr>
        <w:pStyle w:val="MainBodyBulletPoint"/>
        <w:ind w:left="714" w:hanging="357"/>
      </w:pPr>
      <w:r w:rsidRPr="00CA4838">
        <w:t>Reduction of cost of olaparib</w:t>
      </w:r>
      <w:r w:rsidR="007D0326">
        <w:t>;</w:t>
      </w:r>
    </w:p>
    <w:p w14:paraId="3E7E1574" w14:textId="77777777" w:rsidR="00A042A9" w:rsidRPr="00CA4838" w:rsidRDefault="00A042A9" w:rsidP="00A042A9">
      <w:pPr>
        <w:pStyle w:val="MainBodyBulletPoint"/>
        <w:ind w:left="714" w:hanging="357"/>
      </w:pPr>
      <w:r w:rsidRPr="00CA4838">
        <w:t xml:space="preserve">Increased time on treatment to match </w:t>
      </w:r>
      <w:r>
        <w:t>the economic analysis</w:t>
      </w:r>
      <w:r w:rsidR="007D0326">
        <w:t>;</w:t>
      </w:r>
    </w:p>
    <w:p w14:paraId="0609E0A8" w14:textId="77777777" w:rsidR="00A042A9" w:rsidRPr="00CA4838" w:rsidRDefault="00A042A9" w:rsidP="00A042A9">
      <w:pPr>
        <w:pStyle w:val="MainBodyBulletPoint"/>
        <w:ind w:left="714" w:hanging="357"/>
      </w:pPr>
      <w:r w:rsidRPr="00CA4838">
        <w:t>Removal of subsequent germline testing for patients in whom tumour testing was not feasible or not successful</w:t>
      </w:r>
      <w:r>
        <w:t xml:space="preserve"> as MSAC recommended that laboratories should not be able to claim twice for somatic and germline testing for the same patient</w:t>
      </w:r>
      <w:r w:rsidR="007D0326">
        <w:t>; and</w:t>
      </w:r>
    </w:p>
    <w:p w14:paraId="43FC3485" w14:textId="77777777" w:rsidR="00A042A9" w:rsidRPr="00CA4838" w:rsidRDefault="00A042A9" w:rsidP="00A042A9">
      <w:pPr>
        <w:pStyle w:val="MainBodyBulletPoint"/>
        <w:ind w:left="714" w:hanging="357"/>
      </w:pPr>
      <w:r w:rsidRPr="00CA4838">
        <w:t>Changes in use and financial impact of other medicines due to change in comparator</w:t>
      </w:r>
      <w:r w:rsidR="007D0326">
        <w:t>.</w:t>
      </w:r>
    </w:p>
    <w:p w14:paraId="3D77A197" w14:textId="77777777" w:rsidR="00A042A9" w:rsidRPr="00F52B1D" w:rsidRDefault="00A042A9" w:rsidP="00DB2410">
      <w:pPr>
        <w:pStyle w:val="ListParagraph"/>
        <w:ind w:left="709"/>
      </w:pPr>
      <w:r w:rsidRPr="00CA4838">
        <w:t xml:space="preserve">The following table summarises the parameters and data sources applied in the financial analysis. </w:t>
      </w:r>
      <w:r w:rsidRPr="00F52B1D">
        <w:t>Comparable values from the March 2021 financial model are also presented for reference</w:t>
      </w:r>
      <w:r w:rsidR="00F52B1D">
        <w:t>.</w:t>
      </w:r>
    </w:p>
    <w:p w14:paraId="317EFE70" w14:textId="77777777" w:rsidR="00A042A9" w:rsidRPr="00CA4838" w:rsidRDefault="00A042A9" w:rsidP="001B37A3">
      <w:pPr>
        <w:pStyle w:val="Caption"/>
      </w:pPr>
      <w:r>
        <w:t xml:space="preserve">Table </w:t>
      </w:r>
      <w:r w:rsidR="007C5E46">
        <w:rPr>
          <w:noProof/>
        </w:rPr>
        <w:t>16</w:t>
      </w:r>
      <w:r w:rsidR="004A4197">
        <w:rPr>
          <w:noProof/>
        </w:rPr>
        <w:t xml:space="preserve">: </w:t>
      </w:r>
      <w:r w:rsidRPr="00CA4838">
        <w:t>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Data sources and parameter values applied in the utilisation and financial estimates"/>
      </w:tblPr>
      <w:tblGrid>
        <w:gridCol w:w="1104"/>
        <w:gridCol w:w="974"/>
        <w:gridCol w:w="696"/>
        <w:gridCol w:w="2774"/>
        <w:gridCol w:w="3468"/>
      </w:tblGrid>
      <w:tr w:rsidR="00A042A9" w:rsidRPr="007D0326" w14:paraId="5D06CC22" w14:textId="77777777" w:rsidTr="008A4199">
        <w:trPr>
          <w:cantSplit/>
          <w:tblHeader/>
        </w:trPr>
        <w:tc>
          <w:tcPr>
            <w:tcW w:w="1127" w:type="dxa"/>
            <w:vAlign w:val="center"/>
          </w:tcPr>
          <w:p w14:paraId="6FF3EDB2" w14:textId="77777777" w:rsidR="00A042A9" w:rsidRPr="007D0326" w:rsidRDefault="00A042A9" w:rsidP="00AB7459">
            <w:pPr>
              <w:pStyle w:val="In-tableHeading"/>
              <w:rPr>
                <w:lang w:val="en-AU"/>
              </w:rPr>
            </w:pPr>
            <w:r w:rsidRPr="007D0326">
              <w:rPr>
                <w:lang w:val="en-AU"/>
              </w:rPr>
              <w:t>Data</w:t>
            </w:r>
          </w:p>
        </w:tc>
        <w:tc>
          <w:tcPr>
            <w:tcW w:w="1704" w:type="dxa"/>
            <w:gridSpan w:val="2"/>
            <w:vAlign w:val="center"/>
          </w:tcPr>
          <w:p w14:paraId="7BF2ABCA" w14:textId="77777777" w:rsidR="00A042A9" w:rsidRPr="007D0326" w:rsidRDefault="00A042A9" w:rsidP="00AB7459">
            <w:pPr>
              <w:pStyle w:val="In-tableHeading"/>
              <w:rPr>
                <w:lang w:val="en-AU"/>
              </w:rPr>
            </w:pPr>
            <w:r w:rsidRPr="007D0326">
              <w:rPr>
                <w:lang w:val="en-AU"/>
              </w:rPr>
              <w:t>Value</w:t>
            </w:r>
          </w:p>
        </w:tc>
        <w:tc>
          <w:tcPr>
            <w:tcW w:w="2834" w:type="dxa"/>
            <w:vAlign w:val="center"/>
          </w:tcPr>
          <w:p w14:paraId="27B55467" w14:textId="77777777" w:rsidR="00A042A9" w:rsidRPr="007D0326" w:rsidRDefault="00A042A9" w:rsidP="00AB7459">
            <w:pPr>
              <w:pStyle w:val="In-tableHeading"/>
              <w:rPr>
                <w:lang w:val="en-AU"/>
              </w:rPr>
            </w:pPr>
            <w:r w:rsidRPr="007D0326">
              <w:rPr>
                <w:lang w:val="en-AU"/>
              </w:rPr>
              <w:t>Source</w:t>
            </w:r>
          </w:p>
        </w:tc>
        <w:tc>
          <w:tcPr>
            <w:tcW w:w="3544" w:type="dxa"/>
            <w:vAlign w:val="center"/>
          </w:tcPr>
          <w:p w14:paraId="7273BC2C" w14:textId="77777777" w:rsidR="00A042A9" w:rsidRPr="007D0326" w:rsidRDefault="00A042A9" w:rsidP="00AB7459">
            <w:pPr>
              <w:pStyle w:val="In-tableHeading"/>
              <w:rPr>
                <w:lang w:val="en-AU"/>
              </w:rPr>
            </w:pPr>
            <w:r w:rsidRPr="007D0326">
              <w:rPr>
                <w:lang w:val="en-AU"/>
              </w:rPr>
              <w:t>Comment</w:t>
            </w:r>
          </w:p>
        </w:tc>
      </w:tr>
      <w:tr w:rsidR="00A042A9" w:rsidRPr="007D0326" w14:paraId="60401F66" w14:textId="77777777" w:rsidTr="008A4199">
        <w:trPr>
          <w:cantSplit/>
        </w:trPr>
        <w:tc>
          <w:tcPr>
            <w:tcW w:w="9209" w:type="dxa"/>
            <w:gridSpan w:val="5"/>
            <w:vAlign w:val="center"/>
          </w:tcPr>
          <w:p w14:paraId="68D220C5" w14:textId="77777777" w:rsidR="00A042A9" w:rsidRPr="007D0326" w:rsidRDefault="00A042A9" w:rsidP="00AB7459">
            <w:pPr>
              <w:pStyle w:val="In-tableHeading"/>
              <w:rPr>
                <w:lang w:val="en-AU"/>
              </w:rPr>
            </w:pPr>
            <w:r w:rsidRPr="007D0326">
              <w:rPr>
                <w:lang w:val="en-AU"/>
              </w:rPr>
              <w:t>Eligible population</w:t>
            </w:r>
          </w:p>
        </w:tc>
      </w:tr>
      <w:tr w:rsidR="00A042A9" w:rsidRPr="007D0326" w14:paraId="56FFAFBF" w14:textId="77777777" w:rsidTr="008A4199">
        <w:trPr>
          <w:cantSplit/>
        </w:trPr>
        <w:tc>
          <w:tcPr>
            <w:tcW w:w="1127" w:type="dxa"/>
            <w:vAlign w:val="center"/>
          </w:tcPr>
          <w:p w14:paraId="1701733C" w14:textId="77777777" w:rsidR="00A042A9" w:rsidRPr="007D0326" w:rsidRDefault="00A042A9" w:rsidP="00AB7459">
            <w:pPr>
              <w:pStyle w:val="TableText"/>
              <w:keepNext/>
              <w:spacing w:before="0" w:after="0" w:line="240" w:lineRule="auto"/>
            </w:pPr>
            <w:r w:rsidRPr="007D0326">
              <w:t>Incident patients</w:t>
            </w:r>
          </w:p>
          <w:p w14:paraId="2DAE7CD8" w14:textId="77777777" w:rsidR="00A042A9" w:rsidRPr="007D0326" w:rsidRDefault="00A042A9" w:rsidP="00AB7459">
            <w:pPr>
              <w:pStyle w:val="TableText"/>
              <w:keepNext/>
              <w:spacing w:before="0" w:after="0" w:line="240" w:lineRule="auto"/>
            </w:pPr>
            <w:r w:rsidRPr="007D0326">
              <w:t>(2L: prev NHA use in mCRPC)</w:t>
            </w:r>
          </w:p>
        </w:tc>
        <w:tc>
          <w:tcPr>
            <w:tcW w:w="1704" w:type="dxa"/>
            <w:gridSpan w:val="2"/>
            <w:vAlign w:val="center"/>
          </w:tcPr>
          <w:p w14:paraId="19F83F37" w14:textId="77777777" w:rsidR="00A042A9" w:rsidRPr="00AE293E" w:rsidRDefault="00A042A9" w:rsidP="00AB7459">
            <w:pPr>
              <w:pStyle w:val="TableText"/>
              <w:keepNext/>
              <w:spacing w:before="0" w:after="0" w:line="240" w:lineRule="auto"/>
            </w:pPr>
            <w:r w:rsidRPr="00AE293E">
              <w:t xml:space="preserve">Yr 1: </w:t>
            </w:r>
            <w:r w:rsidR="00CD28A8">
              <w:rPr>
                <w:noProof/>
                <w:color w:val="000000"/>
                <w:highlight w:val="black"/>
              </w:rPr>
              <w:t>''''''''</w:t>
            </w:r>
            <w:r w:rsidR="00C62A5A" w:rsidRPr="00AE293E">
              <w:rPr>
                <w:vertAlign w:val="superscript"/>
              </w:rPr>
              <w:t>1</w:t>
            </w:r>
          </w:p>
          <w:p w14:paraId="639DE52A" w14:textId="77777777" w:rsidR="00A042A9" w:rsidRPr="00AE293E" w:rsidRDefault="00A042A9" w:rsidP="00AB7459">
            <w:pPr>
              <w:pStyle w:val="TableText"/>
              <w:keepNext/>
              <w:spacing w:before="0" w:after="0" w:line="240" w:lineRule="auto"/>
            </w:pPr>
            <w:r w:rsidRPr="00AE293E">
              <w:t xml:space="preserve">Yr 2: </w:t>
            </w:r>
            <w:r w:rsidR="00CD28A8">
              <w:rPr>
                <w:noProof/>
                <w:color w:val="000000"/>
                <w:highlight w:val="black"/>
              </w:rPr>
              <w:t>''''''''''</w:t>
            </w:r>
            <w:r w:rsidR="00C62A5A" w:rsidRPr="00AE293E">
              <w:rPr>
                <w:vertAlign w:val="superscript"/>
              </w:rPr>
              <w:t>1</w:t>
            </w:r>
          </w:p>
          <w:p w14:paraId="3B6D6156" w14:textId="77777777" w:rsidR="00A042A9" w:rsidRPr="00AE293E" w:rsidRDefault="00A042A9" w:rsidP="00AB7459">
            <w:pPr>
              <w:pStyle w:val="TableText"/>
              <w:keepNext/>
              <w:spacing w:before="0" w:after="0" w:line="240" w:lineRule="auto"/>
            </w:pPr>
            <w:r w:rsidRPr="00AE293E">
              <w:t xml:space="preserve">Yr 3: </w:t>
            </w:r>
            <w:r w:rsidR="00CD28A8">
              <w:rPr>
                <w:noProof/>
                <w:color w:val="000000"/>
                <w:highlight w:val="black"/>
              </w:rPr>
              <w:t>'''''''''</w:t>
            </w:r>
            <w:r w:rsidR="00C62A5A" w:rsidRPr="00AE293E">
              <w:rPr>
                <w:vertAlign w:val="superscript"/>
              </w:rPr>
              <w:t>1</w:t>
            </w:r>
          </w:p>
          <w:p w14:paraId="6E3BFB5A" w14:textId="77777777" w:rsidR="00A042A9" w:rsidRPr="00AE293E" w:rsidRDefault="00A042A9" w:rsidP="00AB7459">
            <w:pPr>
              <w:pStyle w:val="TableText"/>
              <w:keepNext/>
              <w:spacing w:before="0" w:after="0" w:line="240" w:lineRule="auto"/>
            </w:pPr>
            <w:r w:rsidRPr="00AE293E">
              <w:t xml:space="preserve">Yr 4: </w:t>
            </w:r>
            <w:r w:rsidR="00CD28A8">
              <w:rPr>
                <w:noProof/>
                <w:color w:val="000000"/>
                <w:highlight w:val="black"/>
              </w:rPr>
              <w:t>'''''''''</w:t>
            </w:r>
            <w:r w:rsidR="00C62A5A" w:rsidRPr="00AE293E">
              <w:rPr>
                <w:vertAlign w:val="superscript"/>
              </w:rPr>
              <w:t>1</w:t>
            </w:r>
          </w:p>
          <w:p w14:paraId="0E26A71B" w14:textId="77777777" w:rsidR="00A042A9" w:rsidRPr="00AE293E" w:rsidRDefault="00A042A9" w:rsidP="00AB7459">
            <w:pPr>
              <w:pStyle w:val="TableText"/>
              <w:keepNext/>
              <w:spacing w:before="0" w:after="0" w:line="240" w:lineRule="auto"/>
            </w:pPr>
            <w:r w:rsidRPr="00AE293E">
              <w:t xml:space="preserve">Yr 5: </w:t>
            </w:r>
            <w:r w:rsidR="00CD28A8">
              <w:rPr>
                <w:noProof/>
                <w:color w:val="000000"/>
                <w:highlight w:val="black"/>
              </w:rPr>
              <w:t>''''''''''</w:t>
            </w:r>
            <w:r w:rsidR="00C62A5A" w:rsidRPr="00AE293E">
              <w:rPr>
                <w:vertAlign w:val="superscript"/>
              </w:rPr>
              <w:t>1</w:t>
            </w:r>
          </w:p>
          <w:p w14:paraId="7BE57093" w14:textId="77777777" w:rsidR="00A042A9" w:rsidRPr="00AE293E" w:rsidRDefault="00A042A9" w:rsidP="00AB7459">
            <w:pPr>
              <w:pStyle w:val="TableText"/>
              <w:keepNext/>
              <w:spacing w:before="0" w:after="0" w:line="240" w:lineRule="auto"/>
            </w:pPr>
            <w:r w:rsidRPr="00AE293E">
              <w:t xml:space="preserve">Yr 6: </w:t>
            </w:r>
            <w:r w:rsidR="00CD28A8">
              <w:rPr>
                <w:noProof/>
                <w:color w:val="000000"/>
                <w:highlight w:val="black"/>
              </w:rPr>
              <w:t>''''''''''</w:t>
            </w:r>
            <w:r w:rsidR="00C62A5A" w:rsidRPr="00AE293E">
              <w:rPr>
                <w:vertAlign w:val="superscript"/>
              </w:rPr>
              <w:t>1</w:t>
            </w:r>
          </w:p>
        </w:tc>
        <w:tc>
          <w:tcPr>
            <w:tcW w:w="2834" w:type="dxa"/>
            <w:vAlign w:val="center"/>
          </w:tcPr>
          <w:p w14:paraId="2C1CB954" w14:textId="77777777" w:rsidR="00A042A9" w:rsidRPr="007D0326" w:rsidRDefault="00A042A9" w:rsidP="00AB7459">
            <w:pPr>
              <w:pStyle w:val="TableText"/>
              <w:keepNext/>
              <w:spacing w:before="0" w:after="0" w:line="240" w:lineRule="auto"/>
            </w:pPr>
            <w:r w:rsidRPr="007D0326">
              <w:t>Estimated using NHA initiations 2016-2020 from 10% PBS sample with average annual growth rate (6.86%) applied based on 2016-2019 figures:</w:t>
            </w:r>
          </w:p>
          <w:p w14:paraId="64FEA427" w14:textId="77777777" w:rsidR="00A042A9" w:rsidRPr="007D0326" w:rsidRDefault="00A042A9" w:rsidP="00B73D66">
            <w:pPr>
              <w:pStyle w:val="TableText"/>
              <w:keepNext/>
              <w:widowControl/>
              <w:numPr>
                <w:ilvl w:val="0"/>
                <w:numId w:val="16"/>
              </w:numPr>
              <w:spacing w:before="0" w:after="0" w:line="240" w:lineRule="auto"/>
              <w:ind w:left="247" w:hanging="142"/>
            </w:pPr>
            <w:r w:rsidRPr="007D0326">
              <w:t xml:space="preserve">% receive </w:t>
            </w:r>
            <w:r w:rsidRPr="00AB515A">
              <w:t>BRCA1/2</w:t>
            </w:r>
            <w:r w:rsidRPr="007D0326">
              <w:t xml:space="preserve"> test (</w:t>
            </w:r>
            <w:r w:rsidR="00CD28A8">
              <w:rPr>
                <w:noProof/>
                <w:color w:val="000000"/>
                <w:highlight w:val="black"/>
              </w:rPr>
              <w:t>'''''''</w:t>
            </w:r>
            <w:r w:rsidRPr="007D0326">
              <w:t>-</w:t>
            </w:r>
            <w:r w:rsidR="00CD28A8">
              <w:rPr>
                <w:noProof/>
                <w:color w:val="000000"/>
                <w:highlight w:val="black"/>
              </w:rPr>
              <w:t>'''''</w:t>
            </w:r>
            <w:r w:rsidRPr="007D0326">
              <w:t>%)- Sponsor’s assumption (increased over time)</w:t>
            </w:r>
          </w:p>
          <w:p w14:paraId="17EC67CD" w14:textId="77777777" w:rsidR="00A042A9" w:rsidRPr="007D0326" w:rsidRDefault="00A042A9" w:rsidP="00B73D66">
            <w:pPr>
              <w:pStyle w:val="TableText"/>
              <w:keepNext/>
              <w:widowControl/>
              <w:numPr>
                <w:ilvl w:val="0"/>
                <w:numId w:val="16"/>
              </w:numPr>
              <w:spacing w:before="0" w:after="0" w:line="240" w:lineRule="auto"/>
              <w:ind w:left="247" w:hanging="142"/>
            </w:pPr>
            <w:r w:rsidRPr="007D0326">
              <w:t xml:space="preserve">% </w:t>
            </w:r>
            <w:r w:rsidRPr="00AB515A">
              <w:t>BRCA1/2</w:t>
            </w:r>
            <w:r w:rsidRPr="007D0326">
              <w:t xml:space="preserve"> prevalence (9.7%)- i.e. eligible for olaparib- PROfound data</w:t>
            </w:r>
          </w:p>
          <w:p w14:paraId="6356F212" w14:textId="6EAE6C54" w:rsidR="00A042A9" w:rsidRPr="007D0326" w:rsidRDefault="00A042A9" w:rsidP="00B73D66">
            <w:pPr>
              <w:pStyle w:val="TableText"/>
              <w:keepNext/>
              <w:widowControl/>
              <w:numPr>
                <w:ilvl w:val="0"/>
                <w:numId w:val="16"/>
              </w:numPr>
              <w:spacing w:before="0" w:after="0" w:line="240" w:lineRule="auto"/>
              <w:ind w:left="247" w:hanging="142"/>
            </w:pPr>
            <w:r w:rsidRPr="007D0326">
              <w:t xml:space="preserve">% patients progress from NHA to further treatment </w:t>
            </w:r>
            <w:r w:rsidR="0014398D" w:rsidRPr="007D0326">
              <w:t>(</w:t>
            </w:r>
            <w:r w:rsidR="0014398D">
              <w:rPr>
                <w:noProof/>
                <w:color w:val="000000"/>
                <w:highlight w:val="black"/>
              </w:rPr>
              <w:t>'''''''</w:t>
            </w:r>
            <w:r w:rsidR="0014398D" w:rsidRPr="007D0326">
              <w:t>%)</w:t>
            </w:r>
            <w:r w:rsidRPr="007D0326">
              <w:t>- Sponsor assumption</w:t>
            </w:r>
          </w:p>
        </w:tc>
        <w:tc>
          <w:tcPr>
            <w:tcW w:w="3544" w:type="dxa"/>
            <w:vAlign w:val="center"/>
          </w:tcPr>
          <w:p w14:paraId="19918B23" w14:textId="77777777" w:rsidR="00A042A9" w:rsidRPr="007D0326" w:rsidRDefault="00A042A9" w:rsidP="00AB7459">
            <w:pPr>
              <w:pStyle w:val="TableText"/>
              <w:keepNext/>
              <w:spacing w:before="0" w:after="0" w:line="240" w:lineRule="auto"/>
            </w:pPr>
            <w:r w:rsidRPr="007D0326">
              <w:t>Data sources were reasonable, though the progression from NHA was not justified. The average growth rate excluded 2020 from the calculations as COVID-19 was assumed to have impacted initiations, but used the 2020 value to predict future years. It might be more appropriate to estimate what 2020 numbers should have been and carry those through (as numbers are likely to rise above predicted growth rate following pandemic)</w:t>
            </w:r>
            <w:r w:rsidR="007D0326" w:rsidRPr="007D0326">
              <w:t>.</w:t>
            </w:r>
            <w:r w:rsidRPr="007D0326">
              <w:t xml:space="preserve"> </w:t>
            </w:r>
          </w:p>
          <w:p w14:paraId="7F937515" w14:textId="77777777" w:rsidR="00A042A9" w:rsidRPr="007D0326" w:rsidRDefault="00A042A9" w:rsidP="00AB7459">
            <w:pPr>
              <w:pStyle w:val="TableText"/>
              <w:keepNext/>
              <w:spacing w:before="0" w:after="0" w:line="240" w:lineRule="auto"/>
            </w:pPr>
            <w:r w:rsidRPr="007D0326">
              <w:t>It was noted that in the economic analysis, uptake of BRCA1/2 testing was assumed to be 100%.</w:t>
            </w:r>
          </w:p>
        </w:tc>
      </w:tr>
      <w:tr w:rsidR="00A042A9" w:rsidRPr="007D0326" w14:paraId="46EB8866" w14:textId="77777777" w:rsidTr="008A4199">
        <w:trPr>
          <w:cantSplit/>
        </w:trPr>
        <w:tc>
          <w:tcPr>
            <w:tcW w:w="1127" w:type="dxa"/>
            <w:vAlign w:val="center"/>
          </w:tcPr>
          <w:p w14:paraId="2A061BD0" w14:textId="77777777" w:rsidR="00A042A9" w:rsidRPr="007D0326" w:rsidRDefault="00A042A9" w:rsidP="00ED665A">
            <w:pPr>
              <w:pStyle w:val="TableText"/>
              <w:spacing w:before="0" w:after="0" w:line="240" w:lineRule="auto"/>
            </w:pPr>
            <w:r w:rsidRPr="007D0326">
              <w:t>Incident patients</w:t>
            </w:r>
          </w:p>
          <w:p w14:paraId="4765C3D8" w14:textId="77777777" w:rsidR="00A042A9" w:rsidRPr="007D0326" w:rsidRDefault="00A042A9" w:rsidP="00ED665A">
            <w:pPr>
              <w:pStyle w:val="TableText"/>
              <w:spacing w:before="0" w:after="0" w:line="240" w:lineRule="auto"/>
            </w:pPr>
            <w:r w:rsidRPr="007D0326">
              <w:t>(1L: prev NHA use in m0CRPC)</w:t>
            </w:r>
          </w:p>
        </w:tc>
        <w:tc>
          <w:tcPr>
            <w:tcW w:w="1704" w:type="dxa"/>
            <w:gridSpan w:val="2"/>
            <w:vAlign w:val="center"/>
          </w:tcPr>
          <w:p w14:paraId="261701AC" w14:textId="77777777" w:rsidR="00A042A9" w:rsidRPr="00AE293E" w:rsidRDefault="00A042A9" w:rsidP="00ED665A">
            <w:pPr>
              <w:pStyle w:val="TableText"/>
              <w:spacing w:before="0" w:after="0" w:line="240" w:lineRule="auto"/>
            </w:pPr>
            <w:r w:rsidRPr="00AE293E">
              <w:t xml:space="preserve">Yr 1: </w:t>
            </w:r>
            <w:r w:rsidR="00CD28A8">
              <w:rPr>
                <w:noProof/>
                <w:color w:val="000000"/>
                <w:highlight w:val="black"/>
              </w:rPr>
              <w:t>'''</w:t>
            </w:r>
            <w:r w:rsidR="00C62A5A" w:rsidRPr="00AE293E">
              <w:rPr>
                <w:vertAlign w:val="superscript"/>
              </w:rPr>
              <w:t>1</w:t>
            </w:r>
          </w:p>
          <w:p w14:paraId="5BA7F2E8" w14:textId="77777777" w:rsidR="00A042A9" w:rsidRPr="00AE293E" w:rsidRDefault="00A042A9" w:rsidP="00ED665A">
            <w:pPr>
              <w:pStyle w:val="TableText"/>
              <w:spacing w:before="0" w:after="0" w:line="240" w:lineRule="auto"/>
            </w:pPr>
            <w:r w:rsidRPr="00AE293E">
              <w:t xml:space="preserve">Yr 2: </w:t>
            </w:r>
            <w:r w:rsidR="00CD28A8">
              <w:rPr>
                <w:noProof/>
                <w:color w:val="000000"/>
                <w:highlight w:val="black"/>
              </w:rPr>
              <w:t>''''''</w:t>
            </w:r>
            <w:r w:rsidR="00C62A5A" w:rsidRPr="00AE293E">
              <w:rPr>
                <w:vertAlign w:val="superscript"/>
              </w:rPr>
              <w:t>1</w:t>
            </w:r>
          </w:p>
          <w:p w14:paraId="551E9CCD" w14:textId="77777777" w:rsidR="00A042A9" w:rsidRPr="00AE293E" w:rsidRDefault="00A042A9" w:rsidP="00ED665A">
            <w:pPr>
              <w:pStyle w:val="TableText"/>
              <w:spacing w:before="0" w:after="0" w:line="240" w:lineRule="auto"/>
            </w:pPr>
            <w:r w:rsidRPr="00AE293E">
              <w:t xml:space="preserve">Yr 3: </w:t>
            </w:r>
            <w:r w:rsidR="00CD28A8">
              <w:rPr>
                <w:noProof/>
                <w:color w:val="000000"/>
                <w:highlight w:val="black"/>
              </w:rPr>
              <w:t>'''''''</w:t>
            </w:r>
            <w:r w:rsidR="00C62A5A" w:rsidRPr="00AE293E">
              <w:rPr>
                <w:vertAlign w:val="superscript"/>
              </w:rPr>
              <w:t>1</w:t>
            </w:r>
          </w:p>
          <w:p w14:paraId="12723B3E" w14:textId="77777777" w:rsidR="00A042A9" w:rsidRPr="00AE293E" w:rsidRDefault="00A042A9" w:rsidP="00ED665A">
            <w:pPr>
              <w:pStyle w:val="TableText"/>
              <w:spacing w:before="0" w:after="0" w:line="240" w:lineRule="auto"/>
            </w:pPr>
            <w:r w:rsidRPr="00AE293E">
              <w:t xml:space="preserve">Yr 4: </w:t>
            </w:r>
            <w:r w:rsidR="00CD28A8">
              <w:rPr>
                <w:noProof/>
                <w:color w:val="000000"/>
                <w:highlight w:val="black"/>
              </w:rPr>
              <w:t>''''''</w:t>
            </w:r>
            <w:r w:rsidR="00C62A5A" w:rsidRPr="00AE293E">
              <w:rPr>
                <w:vertAlign w:val="superscript"/>
              </w:rPr>
              <w:t>1</w:t>
            </w:r>
          </w:p>
          <w:p w14:paraId="43577A09" w14:textId="77777777" w:rsidR="00A042A9" w:rsidRPr="00AE293E" w:rsidRDefault="00A042A9" w:rsidP="00ED665A">
            <w:pPr>
              <w:pStyle w:val="TableText"/>
              <w:spacing w:before="0" w:after="0" w:line="240" w:lineRule="auto"/>
            </w:pPr>
            <w:r w:rsidRPr="00AE293E">
              <w:t xml:space="preserve">Yr 5: </w:t>
            </w:r>
            <w:r w:rsidR="00CD28A8">
              <w:rPr>
                <w:noProof/>
                <w:color w:val="000000"/>
                <w:highlight w:val="black"/>
              </w:rPr>
              <w:t>''''''</w:t>
            </w:r>
            <w:r w:rsidR="00C62A5A" w:rsidRPr="00AE293E">
              <w:rPr>
                <w:vertAlign w:val="superscript"/>
              </w:rPr>
              <w:t>1</w:t>
            </w:r>
          </w:p>
          <w:p w14:paraId="0DF1942C" w14:textId="77777777" w:rsidR="00A042A9" w:rsidRPr="00AE293E" w:rsidRDefault="00A042A9" w:rsidP="00ED665A">
            <w:pPr>
              <w:pStyle w:val="TableText"/>
              <w:spacing w:before="0" w:after="0" w:line="240" w:lineRule="auto"/>
            </w:pPr>
            <w:r w:rsidRPr="00AE293E">
              <w:t xml:space="preserve">Yr 6: </w:t>
            </w:r>
            <w:r w:rsidR="00CD28A8">
              <w:rPr>
                <w:noProof/>
                <w:color w:val="000000"/>
                <w:highlight w:val="black"/>
              </w:rPr>
              <w:t>''''''</w:t>
            </w:r>
            <w:r w:rsidR="00C62A5A" w:rsidRPr="00AE293E">
              <w:rPr>
                <w:vertAlign w:val="superscript"/>
              </w:rPr>
              <w:t>1</w:t>
            </w:r>
          </w:p>
        </w:tc>
        <w:tc>
          <w:tcPr>
            <w:tcW w:w="2834" w:type="dxa"/>
            <w:vAlign w:val="center"/>
          </w:tcPr>
          <w:p w14:paraId="07CE1ADA" w14:textId="77777777" w:rsidR="00A042A9" w:rsidRPr="007D0326" w:rsidRDefault="00A042A9" w:rsidP="00ED665A">
            <w:pPr>
              <w:pStyle w:val="TableText"/>
              <w:spacing w:before="0" w:after="0" w:line="240" w:lineRule="auto"/>
            </w:pPr>
            <w:r w:rsidRPr="007D0326">
              <w:t>Estimated using the NHA initiating patients (n), treatment algorithm and probability of metastatic CRPC to calculate total number of CRPC patients receiving NHA (n/(82%*84%)) multiplied proportion of patients who are non-metastatic (16%) :</w:t>
            </w:r>
          </w:p>
          <w:p w14:paraId="08E8DFE3" w14:textId="77777777" w:rsidR="00A042A9" w:rsidRPr="007D0326" w:rsidRDefault="00A042A9" w:rsidP="00B73D66">
            <w:pPr>
              <w:pStyle w:val="TableText"/>
              <w:widowControl/>
              <w:numPr>
                <w:ilvl w:val="0"/>
                <w:numId w:val="17"/>
              </w:numPr>
              <w:spacing w:before="0" w:after="0" w:line="240" w:lineRule="auto"/>
              <w:ind w:left="100" w:hanging="100"/>
            </w:pPr>
            <w:r w:rsidRPr="007D0326">
              <w:t>%high-risk of distant mets (35%)- DARO PSD July 2020</w:t>
            </w:r>
          </w:p>
          <w:p w14:paraId="68E1ADE7" w14:textId="77777777" w:rsidR="00A042A9" w:rsidRPr="007D0326" w:rsidRDefault="00A042A9" w:rsidP="00B73D66">
            <w:pPr>
              <w:pStyle w:val="TableText"/>
              <w:widowControl/>
              <w:numPr>
                <w:ilvl w:val="0"/>
                <w:numId w:val="17"/>
              </w:numPr>
              <w:spacing w:before="0" w:after="0" w:line="240" w:lineRule="auto"/>
              <w:ind w:left="100" w:hanging="100"/>
            </w:pPr>
            <w:r w:rsidRPr="007D0326">
              <w:t xml:space="preserve">% uptake NHA (50%)- APA PSD Nov 2020 </w:t>
            </w:r>
          </w:p>
          <w:p w14:paraId="34D957BA" w14:textId="454220E3" w:rsidR="00A042A9" w:rsidRPr="007D0326" w:rsidRDefault="00A042A9" w:rsidP="00B73D66">
            <w:pPr>
              <w:pStyle w:val="TableText"/>
              <w:widowControl/>
              <w:numPr>
                <w:ilvl w:val="0"/>
                <w:numId w:val="17"/>
              </w:numPr>
              <w:spacing w:before="0" w:after="0" w:line="240" w:lineRule="auto"/>
              <w:ind w:left="100" w:hanging="100"/>
            </w:pPr>
            <w:r w:rsidRPr="007D0326">
              <w:t xml:space="preserve">%progress on NHA </w:t>
            </w:r>
            <w:r w:rsidR="0014398D" w:rsidRPr="007D0326">
              <w:t>(</w:t>
            </w:r>
            <w:r w:rsidR="0014398D">
              <w:rPr>
                <w:noProof/>
                <w:color w:val="000000"/>
                <w:highlight w:val="black"/>
              </w:rPr>
              <w:t>'''''''</w:t>
            </w:r>
            <w:r w:rsidR="0014398D" w:rsidRPr="007D0326">
              <w:t>%)</w:t>
            </w:r>
            <w:r w:rsidRPr="007D0326">
              <w:t xml:space="preserve"> Sponsor assumption </w:t>
            </w:r>
          </w:p>
          <w:p w14:paraId="11074820" w14:textId="77777777" w:rsidR="00A042A9" w:rsidRPr="007D0326" w:rsidRDefault="00A042A9" w:rsidP="00B73D66">
            <w:pPr>
              <w:pStyle w:val="TableText"/>
              <w:widowControl/>
              <w:numPr>
                <w:ilvl w:val="0"/>
                <w:numId w:val="17"/>
              </w:numPr>
              <w:spacing w:before="0" w:after="0" w:line="240" w:lineRule="auto"/>
              <w:ind w:left="100" w:hanging="100"/>
            </w:pPr>
            <w:r w:rsidRPr="007D0326">
              <w:t xml:space="preserve">%receive </w:t>
            </w:r>
            <w:r w:rsidRPr="00AB515A">
              <w:t>BRCA1/2</w:t>
            </w:r>
            <w:r w:rsidRPr="007D0326">
              <w:t xml:space="preserve"> test (</w:t>
            </w:r>
            <w:r w:rsidR="00CD28A8">
              <w:rPr>
                <w:noProof/>
                <w:color w:val="000000"/>
                <w:highlight w:val="black"/>
              </w:rPr>
              <w:t>'''''''</w:t>
            </w:r>
            <w:r w:rsidRPr="007D0326">
              <w:t>-</w:t>
            </w:r>
            <w:r w:rsidR="00CD28A8">
              <w:rPr>
                <w:noProof/>
                <w:color w:val="000000"/>
                <w:highlight w:val="black"/>
              </w:rPr>
              <w:t>'''''</w:t>
            </w:r>
            <w:r w:rsidRPr="007D0326">
              <w:t>%)- Sponsor’s assumption (increased over time)</w:t>
            </w:r>
          </w:p>
          <w:p w14:paraId="5F66A706" w14:textId="77777777" w:rsidR="00A042A9" w:rsidRPr="007D0326" w:rsidRDefault="00A042A9" w:rsidP="00B73D66">
            <w:pPr>
              <w:pStyle w:val="TableText"/>
              <w:widowControl/>
              <w:numPr>
                <w:ilvl w:val="0"/>
                <w:numId w:val="17"/>
              </w:numPr>
              <w:spacing w:before="0" w:after="0" w:line="240" w:lineRule="auto"/>
              <w:ind w:left="100" w:hanging="100"/>
            </w:pPr>
            <w:r w:rsidRPr="007D0326">
              <w:t>%</w:t>
            </w:r>
            <w:r w:rsidRPr="00AB515A">
              <w:t>BRCA1/2</w:t>
            </w:r>
            <w:r w:rsidRPr="007D0326">
              <w:t xml:space="preserve"> prevalence (9.7%)- PROfound data</w:t>
            </w:r>
          </w:p>
        </w:tc>
        <w:tc>
          <w:tcPr>
            <w:tcW w:w="3544" w:type="dxa"/>
            <w:vAlign w:val="center"/>
          </w:tcPr>
          <w:p w14:paraId="00228240" w14:textId="77777777" w:rsidR="00A042A9" w:rsidRPr="007D0326" w:rsidRDefault="00A042A9" w:rsidP="00ED665A">
            <w:pPr>
              <w:pStyle w:val="TableText"/>
              <w:spacing w:before="0" w:after="0" w:line="240" w:lineRule="auto"/>
              <w:rPr>
                <w:rFonts w:ascii="Calibri" w:hAnsi="Calibri" w:cs="Arial"/>
                <w:bCs/>
                <w:sz w:val="24"/>
              </w:rPr>
            </w:pPr>
            <w:r w:rsidRPr="007D0326">
              <w:t>The two incident populations were calculated independently so there may be some small potential for double counting</w:t>
            </w:r>
            <w:r w:rsidR="00C7511C">
              <w:t xml:space="preserve">. The PBAC also noted that the BRCA1/2 prevalence applied should be based on the lower end of the </w:t>
            </w:r>
            <w:r w:rsidR="00C80442">
              <w:t>estimates</w:t>
            </w:r>
            <w:r w:rsidR="00C7511C">
              <w:t xml:space="preserve"> considered reasonable by MSAC (7%, see also paragraph </w:t>
            </w:r>
            <w:r w:rsidR="007C5E46">
              <w:t>4.4</w:t>
            </w:r>
            <w:r w:rsidR="00C7511C">
              <w:t>)</w:t>
            </w:r>
          </w:p>
        </w:tc>
      </w:tr>
      <w:tr w:rsidR="00A042A9" w:rsidRPr="007D0326" w14:paraId="6F284362" w14:textId="77777777" w:rsidTr="008A4199">
        <w:trPr>
          <w:cantSplit/>
        </w:trPr>
        <w:tc>
          <w:tcPr>
            <w:tcW w:w="1127" w:type="dxa"/>
            <w:vAlign w:val="center"/>
          </w:tcPr>
          <w:p w14:paraId="54DC7EE8" w14:textId="77777777" w:rsidR="00A042A9" w:rsidRPr="007D0326" w:rsidRDefault="00A042A9" w:rsidP="00ED665A">
            <w:pPr>
              <w:pStyle w:val="TableText"/>
              <w:spacing w:before="0" w:after="0" w:line="240" w:lineRule="auto"/>
            </w:pPr>
            <w:r w:rsidRPr="007D0326">
              <w:t>Total patients eligible to initiate treatment</w:t>
            </w:r>
          </w:p>
        </w:tc>
        <w:tc>
          <w:tcPr>
            <w:tcW w:w="994" w:type="dxa"/>
            <w:vAlign w:val="center"/>
          </w:tcPr>
          <w:p w14:paraId="29FD67F1" w14:textId="77777777" w:rsidR="00A042A9" w:rsidRPr="00AE293E" w:rsidRDefault="00A042A9" w:rsidP="00ED665A">
            <w:pPr>
              <w:pStyle w:val="TableText"/>
              <w:keepLines/>
              <w:spacing w:before="0" w:after="0" w:line="240" w:lineRule="auto"/>
            </w:pPr>
            <w:r w:rsidRPr="00AE293E">
              <w:t>Current</w:t>
            </w:r>
          </w:p>
          <w:p w14:paraId="79896456" w14:textId="77777777" w:rsidR="00A042A9" w:rsidRPr="00AE293E" w:rsidRDefault="00A042A9" w:rsidP="00ED665A">
            <w:pPr>
              <w:pStyle w:val="TableText"/>
              <w:keepLines/>
              <w:spacing w:before="0" w:after="0" w:line="240" w:lineRule="auto"/>
            </w:pPr>
            <w:r w:rsidRPr="00AE293E">
              <w:t xml:space="preserve">Yr 1: </w:t>
            </w:r>
            <w:r w:rsidR="00CD28A8">
              <w:rPr>
                <w:noProof/>
                <w:color w:val="000000"/>
                <w:highlight w:val="black"/>
              </w:rPr>
              <w:t>''''''''</w:t>
            </w:r>
            <w:r w:rsidR="00C62A5A" w:rsidRPr="00AE293E">
              <w:rPr>
                <w:vertAlign w:val="superscript"/>
              </w:rPr>
              <w:t>1</w:t>
            </w:r>
          </w:p>
          <w:p w14:paraId="26DB24A4" w14:textId="77777777" w:rsidR="00A042A9" w:rsidRPr="00AE293E" w:rsidRDefault="00A042A9" w:rsidP="00ED665A">
            <w:pPr>
              <w:pStyle w:val="TableText"/>
              <w:keepLines/>
              <w:spacing w:before="0" w:after="0" w:line="240" w:lineRule="auto"/>
            </w:pPr>
            <w:r w:rsidRPr="00AE293E">
              <w:t xml:space="preserve">Yr 2: </w:t>
            </w:r>
            <w:r w:rsidR="00CD28A8">
              <w:rPr>
                <w:noProof/>
                <w:color w:val="000000"/>
                <w:highlight w:val="black"/>
              </w:rPr>
              <w:t>'''''''''</w:t>
            </w:r>
            <w:r w:rsidR="00C62A5A" w:rsidRPr="00AE293E">
              <w:rPr>
                <w:vertAlign w:val="superscript"/>
              </w:rPr>
              <w:t>1</w:t>
            </w:r>
          </w:p>
          <w:p w14:paraId="4019628C" w14:textId="77777777" w:rsidR="00A042A9" w:rsidRPr="00AE293E" w:rsidRDefault="00A042A9" w:rsidP="00ED665A">
            <w:pPr>
              <w:pStyle w:val="TableText"/>
              <w:keepLines/>
              <w:spacing w:before="0" w:after="0" w:line="240" w:lineRule="auto"/>
            </w:pPr>
            <w:r w:rsidRPr="00AE293E">
              <w:t xml:space="preserve">Yr 3: </w:t>
            </w:r>
            <w:r w:rsidR="00CD28A8">
              <w:rPr>
                <w:noProof/>
                <w:color w:val="000000"/>
                <w:highlight w:val="black"/>
              </w:rPr>
              <w:t>''''''''''</w:t>
            </w:r>
            <w:r w:rsidR="00C62A5A" w:rsidRPr="00AE293E">
              <w:rPr>
                <w:vertAlign w:val="superscript"/>
              </w:rPr>
              <w:t>1</w:t>
            </w:r>
          </w:p>
          <w:p w14:paraId="28E66CD4" w14:textId="77777777" w:rsidR="00A042A9" w:rsidRPr="00AE293E" w:rsidRDefault="00A042A9" w:rsidP="00ED665A">
            <w:pPr>
              <w:pStyle w:val="TableText"/>
              <w:keepLines/>
              <w:spacing w:before="0" w:after="0" w:line="240" w:lineRule="auto"/>
            </w:pPr>
            <w:r w:rsidRPr="00AE293E">
              <w:t xml:space="preserve">Yr 4: </w:t>
            </w:r>
            <w:r w:rsidR="00CD28A8">
              <w:rPr>
                <w:noProof/>
                <w:color w:val="000000"/>
                <w:highlight w:val="black"/>
              </w:rPr>
              <w:t>'''''''''</w:t>
            </w:r>
            <w:r w:rsidR="00C62A5A" w:rsidRPr="00AE293E">
              <w:rPr>
                <w:vertAlign w:val="superscript"/>
              </w:rPr>
              <w:t>1</w:t>
            </w:r>
          </w:p>
          <w:p w14:paraId="2AE9BDEF" w14:textId="77777777" w:rsidR="00A042A9" w:rsidRPr="00AE293E" w:rsidRDefault="00A042A9" w:rsidP="00ED665A">
            <w:pPr>
              <w:pStyle w:val="TableText"/>
              <w:keepLines/>
              <w:spacing w:before="0" w:after="0" w:line="240" w:lineRule="auto"/>
            </w:pPr>
            <w:r w:rsidRPr="00AE293E">
              <w:t xml:space="preserve">Yr 5: </w:t>
            </w:r>
            <w:r w:rsidR="00CD28A8">
              <w:rPr>
                <w:noProof/>
                <w:color w:val="000000"/>
                <w:highlight w:val="black"/>
              </w:rPr>
              <w:t>'''''''''</w:t>
            </w:r>
            <w:r w:rsidR="00C62A5A" w:rsidRPr="00AE293E">
              <w:rPr>
                <w:vertAlign w:val="superscript"/>
              </w:rPr>
              <w:t>1</w:t>
            </w:r>
          </w:p>
          <w:p w14:paraId="64284726" w14:textId="77777777" w:rsidR="00A042A9" w:rsidRPr="00AE293E" w:rsidRDefault="00A042A9" w:rsidP="00ED665A">
            <w:pPr>
              <w:pStyle w:val="TableText"/>
              <w:keepLines/>
              <w:spacing w:before="0" w:after="0" w:line="240" w:lineRule="auto"/>
            </w:pPr>
            <w:r w:rsidRPr="00AE293E">
              <w:t xml:space="preserve">Yr 6: </w:t>
            </w:r>
            <w:r w:rsidR="00CD28A8">
              <w:rPr>
                <w:noProof/>
                <w:color w:val="000000"/>
                <w:highlight w:val="black"/>
              </w:rPr>
              <w:t>''''''''''</w:t>
            </w:r>
            <w:r w:rsidR="00C62A5A" w:rsidRPr="00AE293E">
              <w:rPr>
                <w:vertAlign w:val="superscript"/>
              </w:rPr>
              <w:t>1</w:t>
            </w:r>
          </w:p>
        </w:tc>
        <w:tc>
          <w:tcPr>
            <w:tcW w:w="710" w:type="dxa"/>
            <w:vAlign w:val="center"/>
          </w:tcPr>
          <w:p w14:paraId="783E6806" w14:textId="77777777" w:rsidR="00A042A9" w:rsidRPr="00AE293E" w:rsidRDefault="00A042A9" w:rsidP="00ED665A">
            <w:pPr>
              <w:pStyle w:val="TableText"/>
              <w:spacing w:before="0" w:after="0" w:line="240" w:lineRule="auto"/>
            </w:pPr>
            <w:r w:rsidRPr="00AE293E">
              <w:t>Mar21</w:t>
            </w:r>
          </w:p>
          <w:p w14:paraId="0D29AB9D"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1</w:t>
            </w:r>
          </w:p>
          <w:p w14:paraId="12A95C36"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1</w:t>
            </w:r>
          </w:p>
          <w:p w14:paraId="0643439C"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1</w:t>
            </w:r>
          </w:p>
          <w:p w14:paraId="5D856FCB"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1</w:t>
            </w:r>
          </w:p>
          <w:p w14:paraId="631E9A75"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2</w:t>
            </w:r>
          </w:p>
          <w:p w14:paraId="281860EF" w14:textId="77777777" w:rsidR="00A042A9" w:rsidRPr="00AE293E" w:rsidRDefault="00CD28A8" w:rsidP="00ED665A">
            <w:pPr>
              <w:pStyle w:val="TableText"/>
              <w:spacing w:before="0" w:after="0" w:line="240" w:lineRule="auto"/>
            </w:pPr>
            <w:r>
              <w:rPr>
                <w:noProof/>
                <w:color w:val="000000"/>
                <w:highlight w:val="black"/>
              </w:rPr>
              <w:t>''''''''''</w:t>
            </w:r>
            <w:r w:rsidR="00C62A5A" w:rsidRPr="00AE293E">
              <w:rPr>
                <w:vertAlign w:val="superscript"/>
              </w:rPr>
              <w:t>2</w:t>
            </w:r>
          </w:p>
        </w:tc>
        <w:tc>
          <w:tcPr>
            <w:tcW w:w="2834" w:type="dxa"/>
            <w:vAlign w:val="center"/>
          </w:tcPr>
          <w:p w14:paraId="4A4B6FEA" w14:textId="77777777" w:rsidR="00A042A9" w:rsidRPr="007D0326" w:rsidRDefault="00A042A9" w:rsidP="00ED665A">
            <w:pPr>
              <w:pStyle w:val="TableText"/>
              <w:spacing w:before="0" w:after="0" w:line="240" w:lineRule="auto"/>
            </w:pPr>
            <w:r w:rsidRPr="007D0326">
              <w:t>Incident patients 1L and 2L combined</w:t>
            </w:r>
          </w:p>
        </w:tc>
        <w:tc>
          <w:tcPr>
            <w:tcW w:w="3544" w:type="dxa"/>
            <w:vAlign w:val="center"/>
          </w:tcPr>
          <w:p w14:paraId="4B113B99" w14:textId="77777777" w:rsidR="00A042A9" w:rsidRPr="007D0326" w:rsidRDefault="00A042A9" w:rsidP="00ED665A">
            <w:pPr>
              <w:pStyle w:val="TableText"/>
              <w:spacing w:before="0" w:after="0" w:line="240" w:lineRule="auto"/>
            </w:pPr>
            <w:r w:rsidRPr="007D0326">
              <w:t>Potential underestimate due to omission of prevalent patients who would also be treated and also likely underestimate of NHA initiation estimations (rows above)</w:t>
            </w:r>
          </w:p>
        </w:tc>
      </w:tr>
      <w:tr w:rsidR="00A042A9" w:rsidRPr="007D0326" w14:paraId="15A397E6" w14:textId="77777777" w:rsidTr="008A4199">
        <w:trPr>
          <w:cantSplit/>
        </w:trPr>
        <w:tc>
          <w:tcPr>
            <w:tcW w:w="1127" w:type="dxa"/>
            <w:vAlign w:val="center"/>
          </w:tcPr>
          <w:p w14:paraId="76ADE888" w14:textId="77777777" w:rsidR="00A042A9" w:rsidRPr="007D0326" w:rsidRDefault="00A042A9" w:rsidP="00ED665A">
            <w:pPr>
              <w:pStyle w:val="TableText"/>
              <w:keepLines/>
              <w:spacing w:before="0" w:after="0" w:line="240" w:lineRule="auto"/>
            </w:pPr>
            <w:r w:rsidRPr="007D0326">
              <w:t>Grandfathered</w:t>
            </w:r>
          </w:p>
        </w:tc>
        <w:tc>
          <w:tcPr>
            <w:tcW w:w="1704" w:type="dxa"/>
            <w:gridSpan w:val="2"/>
            <w:vAlign w:val="center"/>
          </w:tcPr>
          <w:p w14:paraId="08BE92D6" w14:textId="77777777" w:rsidR="00A042A9" w:rsidRPr="00AE293E" w:rsidRDefault="00A042A9" w:rsidP="00ED665A">
            <w:pPr>
              <w:pStyle w:val="TableText"/>
              <w:keepLines/>
              <w:spacing w:before="0" w:after="0" w:line="240" w:lineRule="auto"/>
            </w:pPr>
            <w:r w:rsidRPr="00AE293E">
              <w:t xml:space="preserve">Yr 1: </w:t>
            </w:r>
            <w:r w:rsidR="00CD28A8">
              <w:rPr>
                <w:noProof/>
                <w:color w:val="000000"/>
                <w:highlight w:val="black"/>
              </w:rPr>
              <w:t>'''''''</w:t>
            </w:r>
            <w:r w:rsidR="00C62A5A" w:rsidRPr="00AE293E">
              <w:rPr>
                <w:vertAlign w:val="superscript"/>
              </w:rPr>
              <w:t>1</w:t>
            </w:r>
          </w:p>
        </w:tc>
        <w:tc>
          <w:tcPr>
            <w:tcW w:w="2834" w:type="dxa"/>
            <w:vAlign w:val="center"/>
          </w:tcPr>
          <w:p w14:paraId="1213BEBD" w14:textId="77777777" w:rsidR="00A042A9" w:rsidRPr="007D0326" w:rsidRDefault="00A042A9" w:rsidP="00ED665A">
            <w:pPr>
              <w:pStyle w:val="TableText"/>
              <w:keepLines/>
              <w:spacing w:before="0" w:after="0" w:line="240" w:lineRule="auto"/>
            </w:pPr>
            <w:r w:rsidRPr="007D0326">
              <w:t>Estimated by sponsor</w:t>
            </w:r>
          </w:p>
        </w:tc>
        <w:tc>
          <w:tcPr>
            <w:tcW w:w="3544" w:type="dxa"/>
            <w:vAlign w:val="center"/>
          </w:tcPr>
          <w:p w14:paraId="1A890578" w14:textId="77777777" w:rsidR="00A042A9" w:rsidRPr="007D0326" w:rsidRDefault="00C7511C" w:rsidP="00ED665A">
            <w:pPr>
              <w:pStyle w:val="TableText"/>
              <w:keepLines/>
              <w:spacing w:before="0" w:after="0" w:line="240" w:lineRule="auto"/>
            </w:pPr>
            <w:r>
              <w:t>U</w:t>
            </w:r>
            <w:r w:rsidR="00A042A9" w:rsidRPr="007D0326">
              <w:t>nchanged from the March 2021 submission.</w:t>
            </w:r>
          </w:p>
        </w:tc>
      </w:tr>
      <w:tr w:rsidR="00A042A9" w:rsidRPr="007D0326" w14:paraId="6BA6EE3C" w14:textId="77777777" w:rsidTr="008A4199">
        <w:trPr>
          <w:cantSplit/>
        </w:trPr>
        <w:tc>
          <w:tcPr>
            <w:tcW w:w="9209" w:type="dxa"/>
            <w:gridSpan w:val="5"/>
            <w:vAlign w:val="center"/>
          </w:tcPr>
          <w:p w14:paraId="40071B16" w14:textId="77777777" w:rsidR="00A042A9" w:rsidRPr="007D0326" w:rsidRDefault="00A042A9" w:rsidP="00ED665A">
            <w:pPr>
              <w:pStyle w:val="TableText"/>
              <w:spacing w:before="0" w:after="0" w:line="240" w:lineRule="auto"/>
              <w:rPr>
                <w:b/>
              </w:rPr>
            </w:pPr>
            <w:r w:rsidRPr="007D0326">
              <w:rPr>
                <w:b/>
              </w:rPr>
              <w:t>Treatment utilisation</w:t>
            </w:r>
          </w:p>
        </w:tc>
      </w:tr>
      <w:tr w:rsidR="00A042A9" w:rsidRPr="007D0326" w14:paraId="2F8F28D8" w14:textId="77777777" w:rsidTr="008A4199">
        <w:trPr>
          <w:cantSplit/>
        </w:trPr>
        <w:tc>
          <w:tcPr>
            <w:tcW w:w="1127" w:type="dxa"/>
            <w:vAlign w:val="center"/>
          </w:tcPr>
          <w:p w14:paraId="7E0E6C6E" w14:textId="77777777" w:rsidR="00A042A9" w:rsidRPr="007D0326" w:rsidRDefault="00A042A9" w:rsidP="00ED665A">
            <w:pPr>
              <w:pStyle w:val="TableText"/>
              <w:spacing w:before="0" w:after="0" w:line="240" w:lineRule="auto"/>
            </w:pPr>
            <w:r w:rsidRPr="007D0326">
              <w:t xml:space="preserve">Uptake rate </w:t>
            </w:r>
          </w:p>
        </w:tc>
        <w:tc>
          <w:tcPr>
            <w:tcW w:w="994" w:type="dxa"/>
          </w:tcPr>
          <w:p w14:paraId="0A62A2E3" w14:textId="77777777" w:rsidR="00A042A9" w:rsidRPr="007D0326" w:rsidRDefault="00A042A9" w:rsidP="00ED665A">
            <w:pPr>
              <w:pStyle w:val="TableText"/>
              <w:spacing w:before="0" w:after="0" w:line="240" w:lineRule="auto"/>
            </w:pPr>
          </w:p>
          <w:p w14:paraId="050F99BD" w14:textId="275B9D46" w:rsidR="00A042A9" w:rsidRPr="007D0326" w:rsidDel="007F3D19" w:rsidRDefault="00A042A9" w:rsidP="00ED665A">
            <w:pPr>
              <w:pStyle w:val="TableText"/>
              <w:spacing w:before="0" w:after="0" w:line="240" w:lineRule="auto"/>
            </w:pPr>
            <w:r w:rsidRPr="007D0326">
              <w:t xml:space="preserve">Yr 1-6: </w:t>
            </w:r>
            <w:r w:rsidR="0014398D">
              <w:rPr>
                <w:noProof/>
                <w:color w:val="000000"/>
                <w:highlight w:val="black"/>
              </w:rPr>
              <w:t>'''''''''</w:t>
            </w:r>
            <w:r w:rsidR="0014398D" w:rsidRPr="007D0326">
              <w:t>%</w:t>
            </w:r>
          </w:p>
        </w:tc>
        <w:tc>
          <w:tcPr>
            <w:tcW w:w="710" w:type="dxa"/>
          </w:tcPr>
          <w:p w14:paraId="42898EC6" w14:textId="77777777" w:rsidR="00A042A9" w:rsidRPr="007D0326" w:rsidRDefault="00A042A9" w:rsidP="00ED665A">
            <w:pPr>
              <w:pStyle w:val="TableText"/>
              <w:spacing w:before="0" w:after="0" w:line="240" w:lineRule="auto"/>
            </w:pPr>
            <w:r w:rsidRPr="007D0326">
              <w:t>Mar21</w:t>
            </w:r>
          </w:p>
          <w:p w14:paraId="323714BA" w14:textId="77777777" w:rsidR="00A042A9" w:rsidRPr="007D0326" w:rsidRDefault="00A042A9" w:rsidP="00ED665A">
            <w:pPr>
              <w:pStyle w:val="TableText"/>
              <w:spacing w:before="0" w:after="0" w:line="240" w:lineRule="auto"/>
            </w:pPr>
            <w:r w:rsidRPr="007D0326">
              <w:t>Yr 1-6:</w:t>
            </w:r>
          </w:p>
          <w:p w14:paraId="0622F266" w14:textId="77777777" w:rsidR="00A042A9" w:rsidRPr="007D0326" w:rsidRDefault="00A042A9" w:rsidP="00ED665A">
            <w:pPr>
              <w:pStyle w:val="TableText"/>
              <w:spacing w:before="0" w:after="0" w:line="240" w:lineRule="auto"/>
            </w:pPr>
            <w:r w:rsidRPr="007D0326">
              <w:t>95%</w:t>
            </w:r>
          </w:p>
        </w:tc>
        <w:tc>
          <w:tcPr>
            <w:tcW w:w="2834" w:type="dxa"/>
            <w:vAlign w:val="center"/>
          </w:tcPr>
          <w:p w14:paraId="05B9E9D5" w14:textId="25E9FA6A" w:rsidR="00A042A9" w:rsidRPr="007D0326" w:rsidRDefault="0014398D" w:rsidP="00ED665A">
            <w:pPr>
              <w:pStyle w:val="TableText"/>
              <w:spacing w:before="0" w:after="0" w:line="240" w:lineRule="auto"/>
            </w:pPr>
            <w:r w:rsidRPr="007D0326">
              <w:t>Uptake (</w:t>
            </w:r>
            <w:r>
              <w:rPr>
                <w:noProof/>
                <w:color w:val="000000"/>
                <w:highlight w:val="black"/>
              </w:rPr>
              <w:t>''''''''</w:t>
            </w:r>
            <w:r w:rsidRPr="007D0326">
              <w:t xml:space="preserve">%)- Sponsor assumption that </w:t>
            </w:r>
            <w:r>
              <w:rPr>
                <w:noProof/>
                <w:color w:val="000000"/>
                <w:highlight w:val="black"/>
              </w:rPr>
              <w:t>'''''''''</w:t>
            </w:r>
            <w:r w:rsidRPr="007D0326">
              <w:t>% of patients agreeing to test would receive treatment</w:t>
            </w:r>
          </w:p>
        </w:tc>
        <w:tc>
          <w:tcPr>
            <w:tcW w:w="3544" w:type="dxa"/>
            <w:vAlign w:val="center"/>
          </w:tcPr>
          <w:p w14:paraId="484C3B63" w14:textId="77777777" w:rsidR="00A042A9" w:rsidRPr="007D0326" w:rsidRDefault="00C7511C" w:rsidP="00ED665A">
            <w:pPr>
              <w:pStyle w:val="TableText"/>
              <w:spacing w:before="0" w:after="0" w:line="240" w:lineRule="auto"/>
            </w:pPr>
            <w:r>
              <w:t>The PBAC considered that the uptake rate is likely to be less than 100% in clinical practice and should be reduced to 95%.</w:t>
            </w:r>
          </w:p>
        </w:tc>
      </w:tr>
      <w:tr w:rsidR="00A042A9" w:rsidRPr="007D0326" w14:paraId="0C5DEE4E" w14:textId="77777777" w:rsidTr="008A4199">
        <w:trPr>
          <w:cantSplit/>
        </w:trPr>
        <w:tc>
          <w:tcPr>
            <w:tcW w:w="1127" w:type="dxa"/>
            <w:vAlign w:val="center"/>
          </w:tcPr>
          <w:p w14:paraId="221EC52E" w14:textId="77777777" w:rsidR="00A042A9" w:rsidRPr="007D0326" w:rsidRDefault="00A042A9" w:rsidP="00ED665A">
            <w:pPr>
              <w:pStyle w:val="TableText"/>
              <w:spacing w:before="0" w:after="0" w:line="240" w:lineRule="auto"/>
            </w:pPr>
            <w:r w:rsidRPr="007D0326">
              <w:t>Number initiating treatment</w:t>
            </w:r>
          </w:p>
        </w:tc>
        <w:tc>
          <w:tcPr>
            <w:tcW w:w="994" w:type="dxa"/>
            <w:vAlign w:val="center"/>
          </w:tcPr>
          <w:p w14:paraId="117F3FF8" w14:textId="77777777" w:rsidR="00A042A9" w:rsidRPr="00AE293E" w:rsidRDefault="00A042A9" w:rsidP="00ED665A">
            <w:pPr>
              <w:pStyle w:val="TableText"/>
              <w:keepLines/>
              <w:spacing w:before="0" w:after="0" w:line="240" w:lineRule="auto"/>
            </w:pPr>
            <w:r w:rsidRPr="00AE293E">
              <w:t>Current</w:t>
            </w:r>
          </w:p>
          <w:p w14:paraId="59C5C0CB" w14:textId="77777777" w:rsidR="00A042A9" w:rsidRPr="00AE293E" w:rsidRDefault="00A042A9" w:rsidP="00ED665A">
            <w:pPr>
              <w:pStyle w:val="TableText"/>
              <w:keepLines/>
              <w:spacing w:before="0" w:after="0" w:line="240" w:lineRule="auto"/>
            </w:pPr>
            <w:r w:rsidRPr="00AE293E">
              <w:t xml:space="preserve">Yr 1: </w:t>
            </w:r>
            <w:r w:rsidR="00CD28A8">
              <w:rPr>
                <w:noProof/>
                <w:color w:val="000000"/>
                <w:highlight w:val="black"/>
              </w:rPr>
              <w:t>''''''''''</w:t>
            </w:r>
            <w:r w:rsidRPr="00AE293E">
              <w:t>*</w:t>
            </w:r>
            <w:r w:rsidR="00C62A5A" w:rsidRPr="00AE293E">
              <w:rPr>
                <w:vertAlign w:val="superscript"/>
              </w:rPr>
              <w:t>,1</w:t>
            </w:r>
          </w:p>
          <w:p w14:paraId="12821253" w14:textId="77777777" w:rsidR="00A042A9" w:rsidRPr="00AE293E" w:rsidRDefault="00A042A9" w:rsidP="00ED665A">
            <w:pPr>
              <w:pStyle w:val="TableText"/>
              <w:keepLines/>
              <w:spacing w:before="0" w:after="0" w:line="240" w:lineRule="auto"/>
            </w:pPr>
            <w:r w:rsidRPr="00AE293E">
              <w:t xml:space="preserve">Yr 2: </w:t>
            </w:r>
            <w:r w:rsidR="00CD28A8">
              <w:rPr>
                <w:noProof/>
                <w:color w:val="000000"/>
                <w:highlight w:val="black"/>
              </w:rPr>
              <w:t>'''''''''</w:t>
            </w:r>
            <w:r w:rsidR="00C62A5A" w:rsidRPr="00AE293E">
              <w:rPr>
                <w:vertAlign w:val="superscript"/>
              </w:rPr>
              <w:t>1</w:t>
            </w:r>
          </w:p>
          <w:p w14:paraId="2305C72E" w14:textId="77777777" w:rsidR="00A042A9" w:rsidRPr="00AE293E" w:rsidRDefault="00A042A9" w:rsidP="00ED665A">
            <w:pPr>
              <w:pStyle w:val="TableText"/>
              <w:keepLines/>
              <w:spacing w:before="0" w:after="0" w:line="240" w:lineRule="auto"/>
            </w:pPr>
            <w:r w:rsidRPr="00AE293E">
              <w:t xml:space="preserve">Yr 3: </w:t>
            </w:r>
            <w:r w:rsidR="00CD28A8">
              <w:rPr>
                <w:noProof/>
                <w:color w:val="000000"/>
                <w:highlight w:val="black"/>
              </w:rPr>
              <w:t>''''''''''</w:t>
            </w:r>
            <w:r w:rsidR="00C62A5A" w:rsidRPr="00AE293E">
              <w:rPr>
                <w:vertAlign w:val="superscript"/>
              </w:rPr>
              <w:t>1</w:t>
            </w:r>
          </w:p>
          <w:p w14:paraId="2FB6FF10" w14:textId="77777777" w:rsidR="00A042A9" w:rsidRPr="00AE293E" w:rsidRDefault="00A042A9" w:rsidP="00ED665A">
            <w:pPr>
              <w:pStyle w:val="TableText"/>
              <w:keepLines/>
              <w:spacing w:before="0" w:after="0" w:line="240" w:lineRule="auto"/>
            </w:pPr>
            <w:r w:rsidRPr="00AE293E">
              <w:t xml:space="preserve">Yr 4: </w:t>
            </w:r>
            <w:r w:rsidR="00CD28A8">
              <w:rPr>
                <w:noProof/>
                <w:color w:val="000000"/>
                <w:highlight w:val="black"/>
              </w:rPr>
              <w:t>'''''''''</w:t>
            </w:r>
            <w:r w:rsidR="00C62A5A" w:rsidRPr="00AE293E">
              <w:rPr>
                <w:vertAlign w:val="superscript"/>
              </w:rPr>
              <w:t>1</w:t>
            </w:r>
          </w:p>
          <w:p w14:paraId="1A63CA01" w14:textId="77777777" w:rsidR="00A042A9" w:rsidRPr="00AE293E" w:rsidRDefault="00A042A9" w:rsidP="00ED665A">
            <w:pPr>
              <w:pStyle w:val="TableText"/>
              <w:keepLines/>
              <w:spacing w:before="0" w:after="0" w:line="240" w:lineRule="auto"/>
            </w:pPr>
            <w:r w:rsidRPr="00AE293E">
              <w:t xml:space="preserve">Yr 5: </w:t>
            </w:r>
            <w:r w:rsidR="00CD28A8">
              <w:rPr>
                <w:noProof/>
                <w:color w:val="000000"/>
                <w:highlight w:val="black"/>
              </w:rPr>
              <w:t>'''''''''</w:t>
            </w:r>
            <w:r w:rsidR="00C62A5A" w:rsidRPr="00AE293E">
              <w:rPr>
                <w:vertAlign w:val="superscript"/>
              </w:rPr>
              <w:t>1</w:t>
            </w:r>
          </w:p>
          <w:p w14:paraId="01493CE4" w14:textId="77777777" w:rsidR="00A042A9" w:rsidRPr="00AE293E" w:rsidRDefault="00A042A9" w:rsidP="00ED665A">
            <w:pPr>
              <w:pStyle w:val="TableText"/>
              <w:keepLines/>
              <w:spacing w:before="0" w:after="0" w:line="240" w:lineRule="auto"/>
            </w:pPr>
            <w:r w:rsidRPr="00AE293E">
              <w:t xml:space="preserve">Yr 6: </w:t>
            </w:r>
            <w:r w:rsidR="00CD28A8">
              <w:rPr>
                <w:noProof/>
                <w:color w:val="000000"/>
                <w:highlight w:val="black"/>
              </w:rPr>
              <w:t>'''''''''</w:t>
            </w:r>
            <w:r w:rsidR="00C62A5A" w:rsidRPr="00AE293E">
              <w:rPr>
                <w:vertAlign w:val="superscript"/>
              </w:rPr>
              <w:t>1</w:t>
            </w:r>
          </w:p>
        </w:tc>
        <w:tc>
          <w:tcPr>
            <w:tcW w:w="710" w:type="dxa"/>
            <w:vAlign w:val="center"/>
          </w:tcPr>
          <w:p w14:paraId="71B1B6F7" w14:textId="77777777" w:rsidR="00A042A9" w:rsidRPr="00AE293E" w:rsidRDefault="00A042A9" w:rsidP="00ED665A">
            <w:pPr>
              <w:pStyle w:val="TableText"/>
              <w:spacing w:before="0" w:after="0" w:line="240" w:lineRule="auto"/>
            </w:pPr>
            <w:r w:rsidRPr="00AE293E">
              <w:t>Mar21</w:t>
            </w:r>
          </w:p>
          <w:p w14:paraId="49C50E27" w14:textId="270FFB20" w:rsidR="00A042A9" w:rsidRPr="00AE293E" w:rsidRDefault="0014398D" w:rsidP="00ED665A">
            <w:pPr>
              <w:pStyle w:val="TableText"/>
              <w:spacing w:before="0" w:after="0" w:line="240" w:lineRule="auto"/>
            </w:pPr>
            <w:r>
              <w:rPr>
                <w:noProof/>
                <w:color w:val="000000"/>
                <w:highlight w:val="black"/>
              </w:rPr>
              <w:t>''''''''''</w:t>
            </w:r>
            <w:r w:rsidR="00A042A9" w:rsidRPr="00AE293E">
              <w:t>*</w:t>
            </w:r>
            <w:r w:rsidR="00C62A5A" w:rsidRPr="00AE293E">
              <w:rPr>
                <w:vertAlign w:val="superscript"/>
              </w:rPr>
              <w:t>,1</w:t>
            </w:r>
          </w:p>
          <w:p w14:paraId="27BCCD41"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1</w:t>
            </w:r>
          </w:p>
          <w:p w14:paraId="111AFD59"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1</w:t>
            </w:r>
          </w:p>
          <w:p w14:paraId="537604CA"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1</w:t>
            </w:r>
          </w:p>
          <w:p w14:paraId="71A2A1D5"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1</w:t>
            </w:r>
          </w:p>
          <w:p w14:paraId="07274A2A" w14:textId="77777777" w:rsidR="00A042A9" w:rsidRPr="00AE293E" w:rsidRDefault="00CD28A8" w:rsidP="00ED665A">
            <w:pPr>
              <w:pStyle w:val="TableText"/>
              <w:spacing w:before="0" w:after="0" w:line="240" w:lineRule="auto"/>
            </w:pPr>
            <w:r>
              <w:rPr>
                <w:noProof/>
                <w:color w:val="000000"/>
                <w:highlight w:val="black"/>
              </w:rPr>
              <w:t>'''''''''</w:t>
            </w:r>
            <w:r w:rsidR="00C62A5A" w:rsidRPr="00AE293E">
              <w:rPr>
                <w:vertAlign w:val="superscript"/>
              </w:rPr>
              <w:t>2</w:t>
            </w:r>
          </w:p>
        </w:tc>
        <w:tc>
          <w:tcPr>
            <w:tcW w:w="2834" w:type="dxa"/>
            <w:vAlign w:val="center"/>
          </w:tcPr>
          <w:p w14:paraId="0954E263" w14:textId="77777777" w:rsidR="00A042A9" w:rsidRPr="00AE293E" w:rsidRDefault="00A042A9" w:rsidP="00ED665A">
            <w:pPr>
              <w:pStyle w:val="TableText"/>
              <w:spacing w:before="0" w:after="0" w:line="240" w:lineRule="auto"/>
            </w:pPr>
            <w:r w:rsidRPr="00AE293E">
              <w:t>Total eligible multiplied by uptake rate plus 100% of grandfathered patients</w:t>
            </w:r>
          </w:p>
          <w:p w14:paraId="187D9B20" w14:textId="77777777" w:rsidR="00A042A9" w:rsidRPr="00AE293E" w:rsidRDefault="00A042A9" w:rsidP="00ED665A">
            <w:pPr>
              <w:pStyle w:val="TableText"/>
              <w:spacing w:before="0" w:after="0" w:line="240" w:lineRule="auto"/>
            </w:pPr>
          </w:p>
          <w:p w14:paraId="25B4E614" w14:textId="41915B39" w:rsidR="00A042A9" w:rsidRPr="00AE293E" w:rsidRDefault="00A042A9" w:rsidP="00ED665A">
            <w:pPr>
              <w:pStyle w:val="TableText"/>
              <w:spacing w:before="0" w:after="0" w:line="240" w:lineRule="auto"/>
            </w:pPr>
            <w:r w:rsidRPr="00AE293E">
              <w:t xml:space="preserve">*Year 1 includes </w:t>
            </w:r>
            <w:r w:rsidR="0014398D">
              <w:rPr>
                <w:noProof/>
                <w:color w:val="000000"/>
                <w:highlight w:val="black"/>
              </w:rPr>
              <w:t>''''''</w:t>
            </w:r>
            <w:r w:rsidR="00C62A5A" w:rsidRPr="00AE293E">
              <w:rPr>
                <w:vertAlign w:val="superscript"/>
              </w:rPr>
              <w:t>1</w:t>
            </w:r>
            <w:r w:rsidRPr="00AE293E">
              <w:t xml:space="preserve"> grandfathered patients</w:t>
            </w:r>
          </w:p>
        </w:tc>
        <w:tc>
          <w:tcPr>
            <w:tcW w:w="3544" w:type="dxa"/>
            <w:vAlign w:val="center"/>
          </w:tcPr>
          <w:p w14:paraId="27EB63BC" w14:textId="77777777" w:rsidR="00A042A9" w:rsidRPr="007D0326" w:rsidRDefault="00A042A9" w:rsidP="00ED665A">
            <w:pPr>
              <w:pStyle w:val="TableText"/>
              <w:spacing w:before="0" w:after="0" w:line="240" w:lineRule="auto"/>
            </w:pPr>
          </w:p>
        </w:tc>
      </w:tr>
      <w:tr w:rsidR="00A042A9" w:rsidRPr="007D0326" w14:paraId="5A1DC964" w14:textId="77777777" w:rsidTr="008A4199">
        <w:trPr>
          <w:cantSplit/>
        </w:trPr>
        <w:tc>
          <w:tcPr>
            <w:tcW w:w="1127" w:type="dxa"/>
            <w:vAlign w:val="center"/>
          </w:tcPr>
          <w:p w14:paraId="0A8BD2FF" w14:textId="77777777" w:rsidR="00A042A9" w:rsidRPr="007D0326" w:rsidRDefault="00A042A9" w:rsidP="00ED665A">
            <w:pPr>
              <w:pStyle w:val="TableText"/>
              <w:spacing w:before="0" w:after="0" w:line="240" w:lineRule="auto"/>
            </w:pPr>
            <w:r w:rsidRPr="007D0326">
              <w:t>Scripts dispensed</w:t>
            </w:r>
          </w:p>
        </w:tc>
        <w:tc>
          <w:tcPr>
            <w:tcW w:w="994" w:type="dxa"/>
            <w:vAlign w:val="center"/>
          </w:tcPr>
          <w:p w14:paraId="312A3E01" w14:textId="77777777" w:rsidR="00A042A9" w:rsidRPr="00AE293E" w:rsidRDefault="00A042A9" w:rsidP="00ED665A">
            <w:pPr>
              <w:pStyle w:val="TableText"/>
              <w:spacing w:before="0" w:after="0" w:line="240" w:lineRule="auto"/>
            </w:pPr>
            <w:r w:rsidRPr="00AE293E">
              <w:t>Current</w:t>
            </w:r>
          </w:p>
          <w:p w14:paraId="3C997D23" w14:textId="77777777" w:rsidR="00A042A9" w:rsidRPr="00AE293E" w:rsidRDefault="00A042A9" w:rsidP="00ED665A">
            <w:pPr>
              <w:pStyle w:val="TableText"/>
              <w:spacing w:before="0" w:after="0" w:line="240" w:lineRule="auto"/>
            </w:pPr>
            <w:r w:rsidRPr="00AE293E">
              <w:t xml:space="preserve">Yr 1: </w:t>
            </w:r>
            <w:r w:rsidR="00CD28A8">
              <w:rPr>
                <w:noProof/>
                <w:color w:val="000000"/>
                <w:highlight w:val="black"/>
              </w:rPr>
              <w:t>''''''''''''''</w:t>
            </w:r>
            <w:r w:rsidR="00C62A5A" w:rsidRPr="00AE293E">
              <w:rPr>
                <w:vertAlign w:val="superscript"/>
              </w:rPr>
              <w:t>2</w:t>
            </w:r>
          </w:p>
          <w:p w14:paraId="67627A35" w14:textId="77777777" w:rsidR="00A042A9" w:rsidRPr="00AE293E" w:rsidRDefault="00A042A9" w:rsidP="00ED665A">
            <w:pPr>
              <w:pStyle w:val="TableText"/>
              <w:spacing w:before="0" w:after="0" w:line="240" w:lineRule="auto"/>
            </w:pPr>
            <w:r w:rsidRPr="00AE293E">
              <w:t xml:space="preserve">Yr 2: </w:t>
            </w:r>
            <w:r w:rsidR="00CD28A8">
              <w:rPr>
                <w:noProof/>
                <w:color w:val="000000"/>
                <w:highlight w:val="black"/>
              </w:rPr>
              <w:t>''''''''''''</w:t>
            </w:r>
            <w:r w:rsidR="00C62A5A" w:rsidRPr="00AE293E">
              <w:rPr>
                <w:vertAlign w:val="superscript"/>
              </w:rPr>
              <w:t>2</w:t>
            </w:r>
          </w:p>
          <w:p w14:paraId="47F742EE" w14:textId="77777777" w:rsidR="00A042A9" w:rsidRPr="00AE293E" w:rsidRDefault="00A042A9" w:rsidP="00ED665A">
            <w:pPr>
              <w:pStyle w:val="TableText"/>
              <w:spacing w:before="0" w:after="0" w:line="240" w:lineRule="auto"/>
            </w:pPr>
            <w:r w:rsidRPr="00AE293E">
              <w:t xml:space="preserve">Yr 3: </w:t>
            </w:r>
            <w:r w:rsidR="00CD28A8">
              <w:rPr>
                <w:noProof/>
                <w:color w:val="000000"/>
                <w:highlight w:val="black"/>
              </w:rPr>
              <w:t>''''''''''''</w:t>
            </w:r>
            <w:r w:rsidR="00C62A5A" w:rsidRPr="00AE293E">
              <w:rPr>
                <w:vertAlign w:val="superscript"/>
              </w:rPr>
              <w:t>2</w:t>
            </w:r>
          </w:p>
          <w:p w14:paraId="73CF9214" w14:textId="77777777" w:rsidR="00A042A9" w:rsidRPr="00AE293E" w:rsidRDefault="00A042A9" w:rsidP="00ED665A">
            <w:pPr>
              <w:pStyle w:val="TableText"/>
              <w:spacing w:before="0" w:after="0" w:line="240" w:lineRule="auto"/>
            </w:pPr>
            <w:r w:rsidRPr="00AE293E">
              <w:t xml:space="preserve">Yr 4: </w:t>
            </w:r>
            <w:r w:rsidR="00CD28A8">
              <w:rPr>
                <w:noProof/>
                <w:color w:val="000000"/>
                <w:highlight w:val="black"/>
              </w:rPr>
              <w:t>'''''''''''''</w:t>
            </w:r>
            <w:r w:rsidR="00C62A5A" w:rsidRPr="00AE293E">
              <w:rPr>
                <w:vertAlign w:val="superscript"/>
              </w:rPr>
              <w:t>2</w:t>
            </w:r>
          </w:p>
          <w:p w14:paraId="7D23FF80" w14:textId="77777777" w:rsidR="00A042A9" w:rsidRPr="00AE293E" w:rsidRDefault="00A042A9" w:rsidP="00ED665A">
            <w:pPr>
              <w:pStyle w:val="TableText"/>
              <w:spacing w:before="0" w:after="0" w:line="240" w:lineRule="auto"/>
            </w:pPr>
            <w:r w:rsidRPr="00AE293E">
              <w:t xml:space="preserve">Yr 5: </w:t>
            </w:r>
            <w:r w:rsidR="00CD28A8">
              <w:rPr>
                <w:noProof/>
                <w:color w:val="000000"/>
                <w:highlight w:val="black"/>
              </w:rPr>
              <w:t>''''''''''''''</w:t>
            </w:r>
            <w:r w:rsidR="00C62A5A" w:rsidRPr="00AE293E">
              <w:rPr>
                <w:vertAlign w:val="superscript"/>
              </w:rPr>
              <w:t>2</w:t>
            </w:r>
          </w:p>
          <w:p w14:paraId="690DC39D" w14:textId="77777777" w:rsidR="00A042A9" w:rsidRPr="00AE293E" w:rsidRDefault="00A042A9" w:rsidP="00ED665A">
            <w:pPr>
              <w:pStyle w:val="TableText"/>
              <w:spacing w:before="0" w:after="0" w:line="240" w:lineRule="auto"/>
            </w:pPr>
            <w:r w:rsidRPr="00AE293E">
              <w:t xml:space="preserve">Yr 6: </w:t>
            </w:r>
            <w:r w:rsidR="00CD28A8">
              <w:rPr>
                <w:noProof/>
                <w:color w:val="000000"/>
                <w:highlight w:val="black"/>
              </w:rPr>
              <w:t>'''''''''''''</w:t>
            </w:r>
            <w:r w:rsidR="00C62A5A" w:rsidRPr="00AE293E">
              <w:rPr>
                <w:vertAlign w:val="superscript"/>
              </w:rPr>
              <w:t>2</w:t>
            </w:r>
          </w:p>
        </w:tc>
        <w:tc>
          <w:tcPr>
            <w:tcW w:w="710" w:type="dxa"/>
            <w:vAlign w:val="center"/>
          </w:tcPr>
          <w:p w14:paraId="50165073" w14:textId="77777777" w:rsidR="00A042A9" w:rsidRPr="00AE293E" w:rsidRDefault="00A042A9" w:rsidP="00ED665A">
            <w:pPr>
              <w:pStyle w:val="TableText"/>
              <w:spacing w:before="0" w:after="0" w:line="240" w:lineRule="auto"/>
            </w:pPr>
            <w:r w:rsidRPr="00AE293E">
              <w:t>Mar21</w:t>
            </w:r>
          </w:p>
          <w:p w14:paraId="031933A2"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2</w:t>
            </w:r>
          </w:p>
          <w:p w14:paraId="78DE77E2"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2</w:t>
            </w:r>
          </w:p>
          <w:p w14:paraId="09AA157D"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2</w:t>
            </w:r>
          </w:p>
          <w:p w14:paraId="5D0714AE"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2</w:t>
            </w:r>
          </w:p>
          <w:p w14:paraId="73B140DB" w14:textId="77777777" w:rsidR="00A042A9" w:rsidRPr="00CD28A8" w:rsidRDefault="00CD28A8" w:rsidP="00ED665A">
            <w:pPr>
              <w:pStyle w:val="TableText"/>
              <w:spacing w:before="0" w:after="0" w:line="240" w:lineRule="auto"/>
            </w:pPr>
            <w:r>
              <w:rPr>
                <w:noProof/>
                <w:color w:val="000000"/>
                <w:highlight w:val="black"/>
              </w:rPr>
              <w:t>'''''''''''''''</w:t>
            </w:r>
            <w:r w:rsidR="00C62A5A" w:rsidRPr="00AE293E">
              <w:rPr>
                <w:vertAlign w:val="superscript"/>
              </w:rPr>
              <w:t>2</w:t>
            </w:r>
          </w:p>
          <w:p w14:paraId="7212161B" w14:textId="77777777" w:rsidR="00A042A9" w:rsidRPr="00AE293E" w:rsidRDefault="00CD28A8" w:rsidP="00ED665A">
            <w:pPr>
              <w:pStyle w:val="TableText"/>
              <w:spacing w:before="0" w:after="0" w:line="240" w:lineRule="auto"/>
            </w:pPr>
            <w:r>
              <w:rPr>
                <w:noProof/>
                <w:color w:val="000000"/>
                <w:highlight w:val="black"/>
              </w:rPr>
              <w:t>'''''''''''''''</w:t>
            </w:r>
            <w:r w:rsidR="00C62A5A" w:rsidRPr="00AE293E">
              <w:rPr>
                <w:vertAlign w:val="superscript"/>
              </w:rPr>
              <w:t>2</w:t>
            </w:r>
          </w:p>
        </w:tc>
        <w:tc>
          <w:tcPr>
            <w:tcW w:w="2834" w:type="dxa"/>
            <w:vAlign w:val="center"/>
          </w:tcPr>
          <w:p w14:paraId="3AE6F016" w14:textId="77777777" w:rsidR="00A042A9" w:rsidRPr="00AE293E" w:rsidRDefault="00A042A9" w:rsidP="00ED665A">
            <w:pPr>
              <w:pStyle w:val="TableText"/>
              <w:spacing w:before="0" w:after="0" w:line="240" w:lineRule="auto"/>
            </w:pPr>
            <w:r w:rsidRPr="00AE293E">
              <w:t xml:space="preserve">Incident patient months based on an assumed average time on treatment of 10.9months 2L (model), </w:t>
            </w:r>
            <w:r w:rsidR="00CD28A8">
              <w:rPr>
                <w:noProof/>
                <w:color w:val="000000"/>
                <w:highlight w:val="black"/>
              </w:rPr>
              <w:t>''''''''''</w:t>
            </w:r>
            <w:r w:rsidRPr="00AE293E">
              <w:t xml:space="preserve">months 1L (AZ data on file), multiplied by 11.94 scripts per year (1 script=1 pack of 112 tablets, 4 tablets per day, dosing at </w:t>
            </w:r>
            <w:r w:rsidR="00CD28A8">
              <w:rPr>
                <w:noProof/>
                <w:color w:val="000000"/>
                <w:highlight w:val="black"/>
              </w:rPr>
              <w:t>''''''''''''</w:t>
            </w:r>
            <w:r w:rsidRPr="00AE293E">
              <w:t>% compliance)</w:t>
            </w:r>
          </w:p>
          <w:p w14:paraId="48955395" w14:textId="1E938033" w:rsidR="00A042A9" w:rsidRPr="00AE293E" w:rsidRDefault="00A042A9" w:rsidP="0014398D">
            <w:pPr>
              <w:pStyle w:val="TableText"/>
              <w:spacing w:before="0" w:after="0" w:line="240" w:lineRule="auto"/>
            </w:pPr>
            <w:r w:rsidRPr="00AE293E">
              <w:t xml:space="preserve">Grandfathered patients expected to have received </w:t>
            </w:r>
            <w:r w:rsidR="00CD28A8">
              <w:rPr>
                <w:noProof/>
                <w:color w:val="000000"/>
                <w:highlight w:val="black"/>
              </w:rPr>
              <w:t>''''''''</w:t>
            </w:r>
            <w:r w:rsidRPr="00AE293E">
              <w:t xml:space="preserve">months of treatment prior to PBS listing (i.e. </w:t>
            </w:r>
            <w:r w:rsidR="0014398D">
              <w:rPr>
                <w:noProof/>
                <w:color w:val="000000"/>
                <w:highlight w:val="black"/>
              </w:rPr>
              <w:t>''''''''</w:t>
            </w:r>
            <w:r w:rsidRPr="00AE293E">
              <w:t xml:space="preserve"> of 2L treatment duration)</w:t>
            </w:r>
          </w:p>
        </w:tc>
        <w:tc>
          <w:tcPr>
            <w:tcW w:w="3544" w:type="dxa"/>
            <w:vAlign w:val="center"/>
          </w:tcPr>
          <w:p w14:paraId="23B461EF" w14:textId="77777777" w:rsidR="00A042A9" w:rsidRPr="007D0326" w:rsidRDefault="00A042A9" w:rsidP="00ED665A">
            <w:pPr>
              <w:pStyle w:val="TableText"/>
              <w:spacing w:before="0" w:after="0" w:line="240" w:lineRule="auto"/>
            </w:pPr>
            <w:r w:rsidRPr="007D0326">
              <w:t>The 2L time on treatment was based on the average time on treatment when the model. The time on treatment for the 1L mCRPC patients could not be verified</w:t>
            </w:r>
            <w:r w:rsidR="007D0326" w:rsidRPr="007D0326">
              <w:t>.</w:t>
            </w:r>
            <w:r w:rsidR="00C7511C">
              <w:t xml:space="preserve"> The PBAC considered that the time on treatment for all patients (both 1L and 2L) should be based on the average time on treatment applied in the model (10.9 months).</w:t>
            </w:r>
          </w:p>
        </w:tc>
      </w:tr>
      <w:tr w:rsidR="00A042A9" w:rsidRPr="007D0326" w14:paraId="1F56AF30" w14:textId="77777777" w:rsidTr="008A4199">
        <w:trPr>
          <w:cantSplit/>
        </w:trPr>
        <w:tc>
          <w:tcPr>
            <w:tcW w:w="1127" w:type="dxa"/>
            <w:vAlign w:val="center"/>
          </w:tcPr>
          <w:p w14:paraId="43C3EAAD" w14:textId="77777777" w:rsidR="00A042A9" w:rsidRPr="007D0326" w:rsidRDefault="00A042A9" w:rsidP="00ED665A">
            <w:pPr>
              <w:pStyle w:val="TableText"/>
              <w:spacing w:before="0" w:after="0" w:line="240" w:lineRule="auto"/>
            </w:pPr>
            <w:r w:rsidRPr="007D0326">
              <w:t>Concomitant treatments</w:t>
            </w:r>
          </w:p>
        </w:tc>
        <w:tc>
          <w:tcPr>
            <w:tcW w:w="1704" w:type="dxa"/>
            <w:gridSpan w:val="2"/>
            <w:vAlign w:val="center"/>
          </w:tcPr>
          <w:p w14:paraId="4E0ED786" w14:textId="77777777" w:rsidR="00A042A9" w:rsidRPr="00AE293E" w:rsidRDefault="00A042A9" w:rsidP="00ED665A">
            <w:pPr>
              <w:pStyle w:val="TableText"/>
              <w:spacing w:before="0" w:after="0" w:line="240" w:lineRule="auto"/>
            </w:pPr>
            <w:r w:rsidRPr="00AE293E">
              <w:t>Not costed</w:t>
            </w:r>
          </w:p>
        </w:tc>
        <w:tc>
          <w:tcPr>
            <w:tcW w:w="2834" w:type="dxa"/>
            <w:vAlign w:val="center"/>
          </w:tcPr>
          <w:p w14:paraId="2A6F0001" w14:textId="77777777" w:rsidR="00A042A9" w:rsidRPr="00AE293E" w:rsidRDefault="00A042A9" w:rsidP="00ED665A">
            <w:pPr>
              <w:pStyle w:val="TableText"/>
              <w:spacing w:before="0" w:after="0" w:line="240" w:lineRule="auto"/>
            </w:pPr>
            <w:r w:rsidRPr="00AE293E">
              <w:t>Concomitant treatments were not discussed</w:t>
            </w:r>
          </w:p>
        </w:tc>
        <w:tc>
          <w:tcPr>
            <w:tcW w:w="3544" w:type="dxa"/>
            <w:vAlign w:val="center"/>
          </w:tcPr>
          <w:p w14:paraId="7F5FF569" w14:textId="77777777" w:rsidR="00A042A9" w:rsidRPr="007D0326" w:rsidRDefault="00A042A9" w:rsidP="00ED665A">
            <w:pPr>
              <w:pStyle w:val="TableText"/>
              <w:spacing w:before="0" w:after="0" w:line="240" w:lineRule="auto"/>
            </w:pPr>
            <w:r w:rsidRPr="007D0326">
              <w:t>This was inconsistent with the economic analysis, where olaparib was associated with a different mix of concomitant therapies than cabazitaxel</w:t>
            </w:r>
            <w:r w:rsidR="007D0326" w:rsidRPr="007D0326">
              <w:t>.</w:t>
            </w:r>
          </w:p>
        </w:tc>
      </w:tr>
      <w:tr w:rsidR="00A042A9" w:rsidRPr="007D0326" w14:paraId="78F6E5D1" w14:textId="77777777" w:rsidTr="008A4199">
        <w:trPr>
          <w:cantSplit/>
        </w:trPr>
        <w:tc>
          <w:tcPr>
            <w:tcW w:w="1127" w:type="dxa"/>
            <w:vAlign w:val="center"/>
          </w:tcPr>
          <w:p w14:paraId="5B8B8998" w14:textId="77777777" w:rsidR="00A042A9" w:rsidRPr="007D0326" w:rsidRDefault="00A042A9" w:rsidP="00ED665A">
            <w:pPr>
              <w:pStyle w:val="TableText"/>
              <w:spacing w:before="0" w:after="0" w:line="240" w:lineRule="auto"/>
            </w:pPr>
            <w:r w:rsidRPr="007D0326">
              <w:t>AE/SRE therapies</w:t>
            </w:r>
          </w:p>
        </w:tc>
        <w:tc>
          <w:tcPr>
            <w:tcW w:w="1704" w:type="dxa"/>
            <w:gridSpan w:val="2"/>
            <w:vAlign w:val="center"/>
          </w:tcPr>
          <w:p w14:paraId="132A7F29" w14:textId="77777777" w:rsidR="00A042A9" w:rsidRPr="007D0326" w:rsidRDefault="00A042A9" w:rsidP="00ED665A">
            <w:pPr>
              <w:pStyle w:val="TableText"/>
              <w:spacing w:before="0" w:after="0" w:line="240" w:lineRule="auto"/>
            </w:pPr>
            <w:r w:rsidRPr="007D0326">
              <w:t>Not costed</w:t>
            </w:r>
          </w:p>
        </w:tc>
        <w:tc>
          <w:tcPr>
            <w:tcW w:w="2834" w:type="dxa"/>
            <w:vAlign w:val="center"/>
          </w:tcPr>
          <w:p w14:paraId="605D13CC" w14:textId="77777777" w:rsidR="00A042A9" w:rsidRPr="007D0326" w:rsidRDefault="00A042A9" w:rsidP="00ED665A">
            <w:pPr>
              <w:pStyle w:val="TableText"/>
              <w:spacing w:before="0" w:after="0" w:line="240" w:lineRule="auto"/>
            </w:pPr>
            <w:r w:rsidRPr="007D0326">
              <w:t>AE/SRE therapies were not discussed</w:t>
            </w:r>
          </w:p>
        </w:tc>
        <w:tc>
          <w:tcPr>
            <w:tcW w:w="3544" w:type="dxa"/>
            <w:vAlign w:val="center"/>
          </w:tcPr>
          <w:p w14:paraId="6DCD5305" w14:textId="77777777" w:rsidR="00A042A9" w:rsidRPr="007D0326" w:rsidRDefault="00A042A9" w:rsidP="00ED665A">
            <w:pPr>
              <w:pStyle w:val="TableText"/>
              <w:spacing w:before="0" w:after="0" w:line="240" w:lineRule="auto"/>
            </w:pPr>
            <w:r w:rsidRPr="007D0326">
              <w:t>This was inconsistent with the economic analysis, where olaparib was associated with a different probability and variety of AEs and SREs.</w:t>
            </w:r>
          </w:p>
        </w:tc>
      </w:tr>
      <w:tr w:rsidR="00A042A9" w:rsidRPr="007D0326" w14:paraId="798679C6" w14:textId="77777777" w:rsidTr="008A4199">
        <w:trPr>
          <w:cantSplit/>
        </w:trPr>
        <w:tc>
          <w:tcPr>
            <w:tcW w:w="1127" w:type="dxa"/>
            <w:vAlign w:val="center"/>
          </w:tcPr>
          <w:p w14:paraId="32DB7EA2" w14:textId="77777777" w:rsidR="00A042A9" w:rsidRPr="007D0326" w:rsidRDefault="00A042A9" w:rsidP="00ED665A">
            <w:pPr>
              <w:pStyle w:val="TableText"/>
              <w:spacing w:before="0" w:after="0" w:line="240" w:lineRule="auto"/>
            </w:pPr>
            <w:r w:rsidRPr="007D0326">
              <w:t>Subsequent treatments</w:t>
            </w:r>
          </w:p>
        </w:tc>
        <w:tc>
          <w:tcPr>
            <w:tcW w:w="1704" w:type="dxa"/>
            <w:gridSpan w:val="2"/>
            <w:vAlign w:val="center"/>
          </w:tcPr>
          <w:p w14:paraId="2995E27F" w14:textId="77777777" w:rsidR="00A042A9" w:rsidRPr="007D0326" w:rsidRDefault="00A042A9" w:rsidP="00ED665A">
            <w:pPr>
              <w:pStyle w:val="TableText"/>
              <w:spacing w:before="0" w:after="0" w:line="240" w:lineRule="auto"/>
            </w:pPr>
            <w:r w:rsidRPr="007D0326">
              <w:t>Not costed</w:t>
            </w:r>
          </w:p>
        </w:tc>
        <w:tc>
          <w:tcPr>
            <w:tcW w:w="2834" w:type="dxa"/>
            <w:vAlign w:val="center"/>
          </w:tcPr>
          <w:p w14:paraId="761EED36" w14:textId="77777777" w:rsidR="00A042A9" w:rsidRPr="007D0326" w:rsidRDefault="00A042A9" w:rsidP="00ED665A">
            <w:pPr>
              <w:pStyle w:val="TableText"/>
              <w:spacing w:before="0" w:after="0" w:line="240" w:lineRule="auto"/>
            </w:pPr>
            <w:r w:rsidRPr="007D0326">
              <w:t>Subsequent treatment was not discussed</w:t>
            </w:r>
          </w:p>
        </w:tc>
        <w:tc>
          <w:tcPr>
            <w:tcW w:w="3544" w:type="dxa"/>
            <w:vAlign w:val="center"/>
          </w:tcPr>
          <w:p w14:paraId="1B7F30F9" w14:textId="77777777" w:rsidR="00A042A9" w:rsidRPr="007D0326" w:rsidRDefault="00A042A9" w:rsidP="00ED665A">
            <w:pPr>
              <w:pStyle w:val="TableText"/>
              <w:spacing w:before="0" w:after="0" w:line="240" w:lineRule="auto"/>
            </w:pPr>
            <w:r w:rsidRPr="007D0326">
              <w:t>This was consistent with the economic analysis. With earlier treatment commencement of NHAs patients may opt for olaparib earlier in their treatment pathway than in PROfound and therefore there may be opportunities for later lines of treatment</w:t>
            </w:r>
            <w:r w:rsidR="007D0326" w:rsidRPr="007D0326">
              <w:t>.</w:t>
            </w:r>
          </w:p>
        </w:tc>
      </w:tr>
      <w:tr w:rsidR="00A042A9" w:rsidRPr="007D0326" w14:paraId="47C249FF" w14:textId="77777777" w:rsidTr="008A4199">
        <w:trPr>
          <w:cantSplit/>
        </w:trPr>
        <w:tc>
          <w:tcPr>
            <w:tcW w:w="9209" w:type="dxa"/>
            <w:gridSpan w:val="5"/>
            <w:vAlign w:val="center"/>
          </w:tcPr>
          <w:p w14:paraId="36FA9F69" w14:textId="77777777" w:rsidR="00A042A9" w:rsidRPr="007D0326" w:rsidRDefault="00A042A9" w:rsidP="00ED665A">
            <w:pPr>
              <w:pStyle w:val="TableText"/>
              <w:spacing w:before="0" w:after="0" w:line="240" w:lineRule="auto"/>
              <w:rPr>
                <w:b/>
              </w:rPr>
            </w:pPr>
            <w:r w:rsidRPr="007D0326">
              <w:rPr>
                <w:b/>
              </w:rPr>
              <w:t>PBS/RPBS Costs</w:t>
            </w:r>
          </w:p>
        </w:tc>
      </w:tr>
      <w:tr w:rsidR="00A042A9" w:rsidRPr="007D0326" w14:paraId="39D792E2" w14:textId="77777777" w:rsidTr="008A4199">
        <w:trPr>
          <w:cantSplit/>
        </w:trPr>
        <w:tc>
          <w:tcPr>
            <w:tcW w:w="1127" w:type="dxa"/>
            <w:vAlign w:val="center"/>
          </w:tcPr>
          <w:p w14:paraId="039DA717" w14:textId="77777777" w:rsidR="00A042A9" w:rsidRPr="007D0326" w:rsidRDefault="00A042A9" w:rsidP="00ED665A">
            <w:pPr>
              <w:pStyle w:val="TableText"/>
              <w:spacing w:before="0" w:after="0" w:line="240" w:lineRule="auto"/>
            </w:pPr>
            <w:r w:rsidRPr="007D0326">
              <w:t>Olaparib</w:t>
            </w:r>
          </w:p>
        </w:tc>
        <w:tc>
          <w:tcPr>
            <w:tcW w:w="1704" w:type="dxa"/>
            <w:gridSpan w:val="2"/>
            <w:vAlign w:val="center"/>
          </w:tcPr>
          <w:p w14:paraId="521FBC9A" w14:textId="77777777" w:rsidR="00A042A9" w:rsidRPr="007D0326" w:rsidRDefault="00A042A9" w:rsidP="00ED665A">
            <w:pPr>
              <w:pStyle w:val="TableText"/>
              <w:spacing w:before="0" w:after="0" w:line="240" w:lineRule="auto"/>
            </w:pPr>
            <w:r w:rsidRPr="007D0326">
              <w:t>$</w:t>
            </w:r>
            <w:r w:rsidR="00CD28A8">
              <w:rPr>
                <w:noProof/>
                <w:color w:val="000000"/>
                <w:highlight w:val="black"/>
              </w:rPr>
              <w:t>'''''''''''''''''''''</w:t>
            </w:r>
            <w:r w:rsidRPr="007D0326">
              <w:t xml:space="preserve"> per </w:t>
            </w:r>
          </w:p>
          <w:p w14:paraId="26932FF8" w14:textId="77777777" w:rsidR="00A042A9" w:rsidRPr="007D0326" w:rsidRDefault="00A042A9" w:rsidP="00ED665A">
            <w:pPr>
              <w:pStyle w:val="TableText"/>
              <w:spacing w:before="0" w:after="0" w:line="240" w:lineRule="auto"/>
            </w:pPr>
            <w:r w:rsidRPr="007D0326">
              <w:t>28 day supply</w:t>
            </w:r>
          </w:p>
        </w:tc>
        <w:tc>
          <w:tcPr>
            <w:tcW w:w="2834" w:type="dxa"/>
            <w:vAlign w:val="center"/>
          </w:tcPr>
          <w:p w14:paraId="77A416A1" w14:textId="77777777" w:rsidR="00A042A9" w:rsidRPr="007D0326" w:rsidRDefault="00A042A9" w:rsidP="00ED665A">
            <w:pPr>
              <w:pStyle w:val="TableText"/>
              <w:spacing w:before="0" w:after="0" w:line="240" w:lineRule="auto"/>
            </w:pPr>
            <w:r w:rsidRPr="007D0326">
              <w:t xml:space="preserve">DPMQ (effective) </w:t>
            </w:r>
          </w:p>
        </w:tc>
        <w:tc>
          <w:tcPr>
            <w:tcW w:w="3544" w:type="dxa"/>
            <w:vMerge w:val="restart"/>
            <w:vAlign w:val="center"/>
          </w:tcPr>
          <w:p w14:paraId="6D052103" w14:textId="77777777" w:rsidR="00A042A9" w:rsidRPr="007D0326" w:rsidRDefault="00C7511C" w:rsidP="00ED665A">
            <w:pPr>
              <w:pStyle w:val="TableText"/>
              <w:spacing w:before="0" w:after="0" w:line="240" w:lineRule="auto"/>
            </w:pPr>
            <w:r>
              <w:t>C</w:t>
            </w:r>
            <w:r w:rsidR="00A042A9" w:rsidRPr="007D0326">
              <w:t>osts were consistent with the economic analysis.</w:t>
            </w:r>
          </w:p>
          <w:p w14:paraId="78D05A1C" w14:textId="77777777" w:rsidR="00A042A9" w:rsidRPr="007D0326" w:rsidRDefault="00A042A9" w:rsidP="00ED665A">
            <w:pPr>
              <w:pStyle w:val="TableText"/>
              <w:spacing w:before="0" w:after="0" w:line="240" w:lineRule="auto"/>
            </w:pPr>
            <w:r w:rsidRPr="007D0326">
              <w:t>Drug compliance was assumed to be 100%, with 91.9% dosage for olaparib, consistent with</w:t>
            </w:r>
            <w:r w:rsidR="00ED665A" w:rsidRPr="007D0326">
              <w:t xml:space="preserve"> the</w:t>
            </w:r>
            <w:r w:rsidRPr="007D0326">
              <w:t xml:space="preserve"> </w:t>
            </w:r>
            <w:r w:rsidR="00ED665A" w:rsidRPr="007D0326">
              <w:t>economic analysis.</w:t>
            </w:r>
          </w:p>
          <w:p w14:paraId="6C1DE545" w14:textId="77777777" w:rsidR="00A042A9" w:rsidRPr="007D0326" w:rsidRDefault="00A042A9" w:rsidP="00ED665A">
            <w:pPr>
              <w:pStyle w:val="TableText"/>
              <w:spacing w:before="0" w:after="0" w:line="240" w:lineRule="auto"/>
            </w:pPr>
            <w:r w:rsidRPr="007D0326">
              <w:t>Weighted cost of cabazitaxel differed slightly from economic analysis ($1,068.85) because of a different public/private split</w:t>
            </w:r>
          </w:p>
          <w:p w14:paraId="51F18712" w14:textId="77777777" w:rsidR="00A042A9" w:rsidRPr="007D0326" w:rsidRDefault="00A042A9" w:rsidP="00ED665A">
            <w:pPr>
              <w:pStyle w:val="TableText"/>
              <w:spacing w:before="0" w:after="0" w:line="240" w:lineRule="auto"/>
            </w:pPr>
            <w:r w:rsidRPr="007D0326">
              <w:t>No vial sharing was assumed for cabazitaxel, consistent with the economic analysis.</w:t>
            </w:r>
          </w:p>
        </w:tc>
      </w:tr>
      <w:tr w:rsidR="00A042A9" w:rsidRPr="007D0326" w14:paraId="4A14A77E" w14:textId="77777777" w:rsidTr="008A4199">
        <w:trPr>
          <w:cantSplit/>
        </w:trPr>
        <w:tc>
          <w:tcPr>
            <w:tcW w:w="1127" w:type="dxa"/>
            <w:vAlign w:val="center"/>
          </w:tcPr>
          <w:p w14:paraId="1E2ABDAC" w14:textId="77777777" w:rsidR="00A042A9" w:rsidRPr="007D0326" w:rsidRDefault="00A042A9" w:rsidP="00ED665A">
            <w:pPr>
              <w:pStyle w:val="TableText"/>
              <w:spacing w:before="0" w:after="0" w:line="240" w:lineRule="auto"/>
            </w:pPr>
            <w:r w:rsidRPr="007D0326">
              <w:t>Cabazitaxel</w:t>
            </w:r>
          </w:p>
        </w:tc>
        <w:tc>
          <w:tcPr>
            <w:tcW w:w="1704" w:type="dxa"/>
            <w:gridSpan w:val="2"/>
            <w:vAlign w:val="center"/>
          </w:tcPr>
          <w:p w14:paraId="68BB3398" w14:textId="77777777" w:rsidR="00A042A9" w:rsidRPr="007D0326" w:rsidRDefault="00A042A9" w:rsidP="00ED665A">
            <w:pPr>
              <w:pStyle w:val="TableText"/>
              <w:spacing w:before="0" w:after="0" w:line="240" w:lineRule="auto"/>
            </w:pPr>
            <w:r w:rsidRPr="007D0326">
              <w:t>$1,068.61</w:t>
            </w:r>
          </w:p>
        </w:tc>
        <w:tc>
          <w:tcPr>
            <w:tcW w:w="2834" w:type="dxa"/>
            <w:vAlign w:val="center"/>
          </w:tcPr>
          <w:p w14:paraId="70B72C53" w14:textId="77777777" w:rsidR="00A042A9" w:rsidRPr="007D0326" w:rsidRDefault="00A042A9" w:rsidP="00ED665A">
            <w:pPr>
              <w:pStyle w:val="TableText"/>
              <w:spacing w:before="0" w:after="0" w:line="240" w:lineRule="auto"/>
            </w:pPr>
            <w:r w:rsidRPr="007D0326">
              <w:t xml:space="preserve">PBS codes 4376H, 7236W 60mg/1.5ml injection once every 21 days for 5.2months (dose 38.2mg per administration as per </w:t>
            </w:r>
            <w:r w:rsidR="007D0326" w:rsidRPr="007D0326">
              <w:t>economic model</w:t>
            </w:r>
            <w:r w:rsidRPr="007D0326">
              <w:t>, no vial sharing assumed)</w:t>
            </w:r>
          </w:p>
        </w:tc>
        <w:tc>
          <w:tcPr>
            <w:tcW w:w="3544" w:type="dxa"/>
            <w:vMerge/>
            <w:vAlign w:val="center"/>
          </w:tcPr>
          <w:p w14:paraId="3E2C71C0" w14:textId="77777777" w:rsidR="00A042A9" w:rsidRPr="007D0326" w:rsidRDefault="00A042A9" w:rsidP="00ED665A">
            <w:pPr>
              <w:pStyle w:val="TableText"/>
              <w:spacing w:before="0" w:after="0" w:line="240" w:lineRule="auto"/>
            </w:pPr>
          </w:p>
        </w:tc>
      </w:tr>
      <w:tr w:rsidR="00A042A9" w:rsidRPr="007D0326" w14:paraId="477CAD23" w14:textId="77777777" w:rsidTr="008A4199">
        <w:trPr>
          <w:cantSplit/>
          <w:trHeight w:val="710"/>
        </w:trPr>
        <w:tc>
          <w:tcPr>
            <w:tcW w:w="1127" w:type="dxa"/>
            <w:vAlign w:val="center"/>
          </w:tcPr>
          <w:p w14:paraId="156A7753" w14:textId="77777777" w:rsidR="00A042A9" w:rsidRPr="007D0326" w:rsidRDefault="00A042A9" w:rsidP="00ED665A">
            <w:pPr>
              <w:pStyle w:val="TableText"/>
              <w:spacing w:before="0" w:after="0" w:line="240" w:lineRule="auto"/>
            </w:pPr>
            <w:r w:rsidRPr="007D0326">
              <w:t>PBS/RPBS split</w:t>
            </w:r>
          </w:p>
        </w:tc>
        <w:tc>
          <w:tcPr>
            <w:tcW w:w="1704" w:type="dxa"/>
            <w:gridSpan w:val="2"/>
            <w:vAlign w:val="center"/>
          </w:tcPr>
          <w:p w14:paraId="307069DE" w14:textId="77777777" w:rsidR="00A042A9" w:rsidRPr="007D0326" w:rsidRDefault="00A042A9" w:rsidP="00ED665A">
            <w:pPr>
              <w:pStyle w:val="TableText"/>
              <w:spacing w:before="0" w:after="0" w:line="240" w:lineRule="auto"/>
            </w:pPr>
            <w:r w:rsidRPr="007D0326">
              <w:t>Olaparib:</w:t>
            </w:r>
          </w:p>
          <w:p w14:paraId="639A44C2" w14:textId="77777777" w:rsidR="00A042A9" w:rsidRPr="007D0326" w:rsidRDefault="00A042A9" w:rsidP="00ED665A">
            <w:pPr>
              <w:pStyle w:val="TableText"/>
              <w:spacing w:before="0" w:after="0" w:line="240" w:lineRule="auto"/>
            </w:pPr>
            <w:r w:rsidRPr="007D0326">
              <w:t>95.11%: 4.89%</w:t>
            </w:r>
          </w:p>
          <w:p w14:paraId="304CC1E2" w14:textId="77777777" w:rsidR="00A042A9" w:rsidRPr="007D0326" w:rsidRDefault="00A042A9" w:rsidP="00ED665A">
            <w:pPr>
              <w:pStyle w:val="TableText"/>
              <w:spacing w:before="0" w:after="0" w:line="240" w:lineRule="auto"/>
            </w:pPr>
            <w:r w:rsidRPr="007D0326">
              <w:t xml:space="preserve">Cabazitaxel: 96.62%:3.38% </w:t>
            </w:r>
          </w:p>
        </w:tc>
        <w:tc>
          <w:tcPr>
            <w:tcW w:w="2834" w:type="dxa"/>
            <w:vMerge w:val="restart"/>
            <w:vAlign w:val="center"/>
          </w:tcPr>
          <w:p w14:paraId="0BB6DB2A" w14:textId="77777777" w:rsidR="00A042A9" w:rsidRPr="007D0326" w:rsidRDefault="00A042A9" w:rsidP="00ED665A">
            <w:pPr>
              <w:pStyle w:val="TableText"/>
              <w:spacing w:before="0" w:after="0" w:line="240" w:lineRule="auto"/>
            </w:pPr>
            <w:r w:rsidRPr="007D0326">
              <w:t>Olaparib based on existing PBS Item statistics for abiraterone acetate and enzalutamide</w:t>
            </w:r>
          </w:p>
          <w:p w14:paraId="0102887E" w14:textId="77777777" w:rsidR="00A042A9" w:rsidRPr="007D0326" w:rsidRDefault="00A042A9" w:rsidP="00ED665A">
            <w:pPr>
              <w:pStyle w:val="TableText"/>
              <w:spacing w:before="0" w:after="0" w:line="240" w:lineRule="auto"/>
            </w:pPr>
            <w:r w:rsidRPr="007D0326">
              <w:t>Cabazitaxel based on existing PBS Item statistics for cabazitaxel</w:t>
            </w:r>
          </w:p>
        </w:tc>
        <w:tc>
          <w:tcPr>
            <w:tcW w:w="3544" w:type="dxa"/>
            <w:vMerge w:val="restart"/>
            <w:vAlign w:val="center"/>
          </w:tcPr>
          <w:p w14:paraId="593B0005" w14:textId="77777777" w:rsidR="00A042A9" w:rsidRPr="007D0326" w:rsidRDefault="00A042A9" w:rsidP="00ED665A">
            <w:pPr>
              <w:pStyle w:val="TableText"/>
              <w:spacing w:before="0" w:after="0" w:line="240" w:lineRule="auto"/>
            </w:pPr>
            <w:r w:rsidRPr="007D0326">
              <w:t>The public private split used in the economic analysis was 31.5%:68.5% resulting in slightly different weighted cost of cabazitaxel</w:t>
            </w:r>
            <w:r w:rsidR="007D0326" w:rsidRPr="007D0326">
              <w:t>.</w:t>
            </w:r>
          </w:p>
        </w:tc>
      </w:tr>
      <w:tr w:rsidR="00A042A9" w:rsidRPr="007D0326" w14:paraId="22BA40AB" w14:textId="77777777" w:rsidTr="008A4199">
        <w:trPr>
          <w:cantSplit/>
        </w:trPr>
        <w:tc>
          <w:tcPr>
            <w:tcW w:w="1127" w:type="dxa"/>
            <w:vAlign w:val="center"/>
          </w:tcPr>
          <w:p w14:paraId="150AFD8C" w14:textId="77777777" w:rsidR="00A042A9" w:rsidRPr="007D0326" w:rsidRDefault="00A042A9" w:rsidP="00ED665A">
            <w:pPr>
              <w:pStyle w:val="TableText"/>
              <w:spacing w:before="0" w:after="0" w:line="240" w:lineRule="auto"/>
            </w:pPr>
            <w:r w:rsidRPr="007D0326">
              <w:t>Public/ private split</w:t>
            </w:r>
          </w:p>
        </w:tc>
        <w:tc>
          <w:tcPr>
            <w:tcW w:w="1704" w:type="dxa"/>
            <w:gridSpan w:val="2"/>
            <w:vAlign w:val="center"/>
          </w:tcPr>
          <w:p w14:paraId="61AD9190" w14:textId="77777777" w:rsidR="00A042A9" w:rsidRPr="007D0326" w:rsidRDefault="00A042A9" w:rsidP="00ED665A">
            <w:pPr>
              <w:pStyle w:val="TableText"/>
              <w:spacing w:before="0" w:after="0" w:line="240" w:lineRule="auto"/>
            </w:pPr>
            <w:r w:rsidRPr="007D0326">
              <w:t>Cabazitaxel: 31.94%: 68.06%</w:t>
            </w:r>
          </w:p>
        </w:tc>
        <w:tc>
          <w:tcPr>
            <w:tcW w:w="2834" w:type="dxa"/>
            <w:vMerge/>
            <w:vAlign w:val="center"/>
          </w:tcPr>
          <w:p w14:paraId="5AB639DF" w14:textId="77777777" w:rsidR="00A042A9" w:rsidRPr="007D0326" w:rsidRDefault="00A042A9" w:rsidP="00ED665A">
            <w:pPr>
              <w:pStyle w:val="TableText"/>
              <w:spacing w:before="0" w:after="0" w:line="240" w:lineRule="auto"/>
            </w:pPr>
          </w:p>
        </w:tc>
        <w:tc>
          <w:tcPr>
            <w:tcW w:w="3544" w:type="dxa"/>
            <w:vMerge/>
            <w:vAlign w:val="center"/>
          </w:tcPr>
          <w:p w14:paraId="1BD703D2" w14:textId="77777777" w:rsidR="00A042A9" w:rsidRPr="007D0326" w:rsidRDefault="00A042A9" w:rsidP="00ED665A">
            <w:pPr>
              <w:pStyle w:val="TableText"/>
              <w:spacing w:before="0" w:after="0" w:line="240" w:lineRule="auto"/>
            </w:pPr>
          </w:p>
        </w:tc>
      </w:tr>
      <w:tr w:rsidR="00A042A9" w:rsidRPr="007D0326" w14:paraId="0F3AE0CC" w14:textId="77777777" w:rsidTr="008A4199">
        <w:trPr>
          <w:cantSplit/>
        </w:trPr>
        <w:tc>
          <w:tcPr>
            <w:tcW w:w="1127" w:type="dxa"/>
            <w:vAlign w:val="center"/>
          </w:tcPr>
          <w:p w14:paraId="5E4FAE7F" w14:textId="77777777" w:rsidR="00A042A9" w:rsidRPr="007D0326" w:rsidRDefault="00A042A9" w:rsidP="00ED665A">
            <w:pPr>
              <w:pStyle w:val="TableText"/>
              <w:spacing w:before="0" w:after="0" w:line="240" w:lineRule="auto"/>
            </w:pPr>
            <w:r w:rsidRPr="007D0326">
              <w:t xml:space="preserve">Patient </w:t>
            </w:r>
            <w:r w:rsidR="001579DF" w:rsidRPr="007D0326">
              <w:t>co-payment</w:t>
            </w:r>
          </w:p>
        </w:tc>
        <w:tc>
          <w:tcPr>
            <w:tcW w:w="1704" w:type="dxa"/>
            <w:gridSpan w:val="2"/>
            <w:vAlign w:val="center"/>
          </w:tcPr>
          <w:p w14:paraId="31E617D4" w14:textId="77777777" w:rsidR="00A042A9" w:rsidRPr="007D0326" w:rsidRDefault="00A042A9" w:rsidP="00ED665A">
            <w:pPr>
              <w:pStyle w:val="TableText"/>
              <w:widowControl/>
              <w:spacing w:before="0" w:after="0" w:line="240" w:lineRule="auto"/>
              <w:ind w:left="173"/>
            </w:pPr>
            <w:r w:rsidRPr="007D0326">
              <w:t>Olaparib</w:t>
            </w:r>
          </w:p>
          <w:p w14:paraId="632CE3C0" w14:textId="77777777" w:rsidR="00A042A9" w:rsidRPr="007D0326" w:rsidRDefault="00A042A9" w:rsidP="00B73D66">
            <w:pPr>
              <w:pStyle w:val="TableText"/>
              <w:widowControl/>
              <w:numPr>
                <w:ilvl w:val="0"/>
                <w:numId w:val="18"/>
              </w:numPr>
              <w:spacing w:before="0" w:after="0" w:line="240" w:lineRule="auto"/>
              <w:ind w:left="173" w:hanging="142"/>
            </w:pPr>
            <w:r w:rsidRPr="007D0326">
              <w:t>$11.85 PBS</w:t>
            </w:r>
          </w:p>
          <w:p w14:paraId="4C2A1E62" w14:textId="77777777" w:rsidR="00A042A9" w:rsidRPr="007D0326" w:rsidRDefault="00A042A9" w:rsidP="00B73D66">
            <w:pPr>
              <w:pStyle w:val="TableText"/>
              <w:widowControl/>
              <w:numPr>
                <w:ilvl w:val="0"/>
                <w:numId w:val="18"/>
              </w:numPr>
              <w:spacing w:before="0" w:after="0" w:line="240" w:lineRule="auto"/>
              <w:ind w:left="173" w:hanging="142"/>
            </w:pPr>
            <w:r w:rsidRPr="007D0326">
              <w:t>$5.27 RPBS</w:t>
            </w:r>
          </w:p>
          <w:p w14:paraId="06DC6315" w14:textId="77777777" w:rsidR="00A042A9" w:rsidRPr="00AB515A" w:rsidRDefault="00A042A9" w:rsidP="00ED665A">
            <w:pPr>
              <w:pStyle w:val="TableText"/>
              <w:widowControl/>
              <w:spacing w:before="0" w:after="0" w:line="240" w:lineRule="auto"/>
              <w:ind w:left="173"/>
            </w:pPr>
            <w:r w:rsidRPr="00AB515A">
              <w:t>Cabazitaxel</w:t>
            </w:r>
          </w:p>
          <w:p w14:paraId="4FD1C910" w14:textId="77777777" w:rsidR="00A042A9" w:rsidRPr="00AB515A" w:rsidRDefault="00A042A9" w:rsidP="00B73D66">
            <w:pPr>
              <w:pStyle w:val="TableText"/>
              <w:widowControl/>
              <w:numPr>
                <w:ilvl w:val="0"/>
                <w:numId w:val="18"/>
              </w:numPr>
              <w:spacing w:before="0" w:after="0" w:line="240" w:lineRule="auto"/>
              <w:ind w:left="173" w:hanging="142"/>
            </w:pPr>
            <w:r w:rsidRPr="00AB515A">
              <w:t>$16.12 PBS</w:t>
            </w:r>
          </w:p>
          <w:p w14:paraId="3E1B39A3" w14:textId="77777777" w:rsidR="00A042A9" w:rsidRPr="007D0326" w:rsidRDefault="00A042A9" w:rsidP="00B73D66">
            <w:pPr>
              <w:pStyle w:val="TableText"/>
              <w:widowControl/>
              <w:numPr>
                <w:ilvl w:val="0"/>
                <w:numId w:val="18"/>
              </w:numPr>
              <w:spacing w:before="0" w:after="0" w:line="240" w:lineRule="auto"/>
              <w:ind w:left="173" w:hanging="142"/>
            </w:pPr>
            <w:r w:rsidRPr="00AB515A">
              <w:t>$5.69 RPBS</w:t>
            </w:r>
          </w:p>
        </w:tc>
        <w:tc>
          <w:tcPr>
            <w:tcW w:w="2834" w:type="dxa"/>
            <w:vAlign w:val="center"/>
          </w:tcPr>
          <w:p w14:paraId="357EFF5A" w14:textId="77777777" w:rsidR="00A042A9" w:rsidRPr="007D0326" w:rsidRDefault="00A042A9" w:rsidP="00ED665A">
            <w:pPr>
              <w:pStyle w:val="TableText"/>
              <w:spacing w:before="0" w:after="0" w:line="240" w:lineRule="auto"/>
            </w:pPr>
            <w:r w:rsidRPr="007D0326">
              <w:t xml:space="preserve">Olaparib average </w:t>
            </w:r>
            <w:r w:rsidR="001579DF" w:rsidRPr="007D0326">
              <w:t>co-payment</w:t>
            </w:r>
            <w:r w:rsidRPr="007D0326">
              <w:t xml:space="preserve"> was based on the current weighted mean </w:t>
            </w:r>
            <w:r w:rsidR="001579DF" w:rsidRPr="007D0326">
              <w:t>co-payment</w:t>
            </w:r>
            <w:r w:rsidRPr="007D0326">
              <w:t xml:space="preserve"> of abiraterone and enzalutamide</w:t>
            </w:r>
          </w:p>
          <w:p w14:paraId="6416F111" w14:textId="77777777" w:rsidR="00A042A9" w:rsidRPr="007D0326" w:rsidRDefault="00A042A9" w:rsidP="00ED665A">
            <w:pPr>
              <w:pStyle w:val="TableText"/>
              <w:spacing w:before="0" w:after="0" w:line="240" w:lineRule="auto"/>
            </w:pPr>
            <w:r w:rsidRPr="007D0326">
              <w:t xml:space="preserve">Cabazitaxel average </w:t>
            </w:r>
            <w:r w:rsidR="001579DF" w:rsidRPr="007D0326">
              <w:t>co-payment</w:t>
            </w:r>
            <w:r w:rsidRPr="007D0326">
              <w:t xml:space="preserve"> based on weighted mean </w:t>
            </w:r>
            <w:r w:rsidR="001579DF" w:rsidRPr="007D0326">
              <w:t>co-payment</w:t>
            </w:r>
            <w:r w:rsidRPr="007D0326">
              <w:t xml:space="preserve"> of cabazitaxel</w:t>
            </w:r>
          </w:p>
        </w:tc>
        <w:tc>
          <w:tcPr>
            <w:tcW w:w="3544" w:type="dxa"/>
            <w:vAlign w:val="center"/>
          </w:tcPr>
          <w:p w14:paraId="5F2AFD0E" w14:textId="77777777" w:rsidR="00A042A9" w:rsidRPr="007D0326" w:rsidRDefault="00A042A9" w:rsidP="00ED665A">
            <w:pPr>
              <w:pStyle w:val="TableText"/>
              <w:spacing w:before="0" w:after="0" w:line="240" w:lineRule="auto"/>
            </w:pPr>
          </w:p>
        </w:tc>
      </w:tr>
      <w:tr w:rsidR="00A042A9" w:rsidRPr="007D0326" w14:paraId="761D15D9" w14:textId="77777777" w:rsidTr="008A4199">
        <w:trPr>
          <w:cantSplit/>
        </w:trPr>
        <w:tc>
          <w:tcPr>
            <w:tcW w:w="9209" w:type="dxa"/>
            <w:gridSpan w:val="5"/>
            <w:vAlign w:val="center"/>
          </w:tcPr>
          <w:p w14:paraId="60CEBC5D" w14:textId="77777777" w:rsidR="00A042A9" w:rsidRPr="007D0326" w:rsidRDefault="00A042A9" w:rsidP="00ED665A">
            <w:pPr>
              <w:pStyle w:val="TableText"/>
              <w:spacing w:before="0" w:after="0" w:line="240" w:lineRule="auto"/>
            </w:pPr>
            <w:r w:rsidRPr="007D0326">
              <w:rPr>
                <w:b/>
              </w:rPr>
              <w:t>MBS costs</w:t>
            </w:r>
          </w:p>
        </w:tc>
      </w:tr>
      <w:tr w:rsidR="00A042A9" w:rsidRPr="007D0326" w14:paraId="4169930D" w14:textId="77777777" w:rsidTr="008A4199">
        <w:trPr>
          <w:cantSplit/>
        </w:trPr>
        <w:tc>
          <w:tcPr>
            <w:tcW w:w="1127" w:type="dxa"/>
            <w:vAlign w:val="center"/>
          </w:tcPr>
          <w:p w14:paraId="54DC0C68" w14:textId="77777777" w:rsidR="00A042A9" w:rsidRPr="007D0326" w:rsidRDefault="00A042A9" w:rsidP="00ED665A">
            <w:pPr>
              <w:pStyle w:val="TableText"/>
              <w:spacing w:before="0" w:after="0" w:line="240" w:lineRule="auto"/>
            </w:pPr>
            <w:r w:rsidRPr="007D0326">
              <w:t xml:space="preserve">Somatic </w:t>
            </w:r>
            <w:r w:rsidRPr="00AB515A">
              <w:t>BRCA1/2</w:t>
            </w:r>
            <w:r w:rsidRPr="007D0326">
              <w:t xml:space="preserve"> test</w:t>
            </w:r>
          </w:p>
        </w:tc>
        <w:tc>
          <w:tcPr>
            <w:tcW w:w="1704" w:type="dxa"/>
            <w:gridSpan w:val="2"/>
            <w:vAlign w:val="center"/>
          </w:tcPr>
          <w:p w14:paraId="18D4E540" w14:textId="77777777" w:rsidR="00A042A9" w:rsidRPr="00AB515A" w:rsidRDefault="00A042A9" w:rsidP="00ED665A">
            <w:pPr>
              <w:pStyle w:val="TableText"/>
              <w:spacing w:before="0" w:after="0" w:line="240" w:lineRule="auto"/>
            </w:pPr>
            <w:r w:rsidRPr="00AB515A">
              <w:t>$960</w:t>
            </w:r>
          </w:p>
        </w:tc>
        <w:tc>
          <w:tcPr>
            <w:tcW w:w="2834" w:type="dxa"/>
            <w:vAlign w:val="center"/>
          </w:tcPr>
          <w:p w14:paraId="3A6B7834" w14:textId="77777777" w:rsidR="00A042A9" w:rsidRPr="007D0326" w:rsidRDefault="00A042A9" w:rsidP="00ED665A">
            <w:pPr>
              <w:pStyle w:val="TableText"/>
              <w:spacing w:before="0" w:after="0" w:line="240" w:lineRule="auto"/>
            </w:pPr>
            <w:r w:rsidRPr="007D0326">
              <w:t xml:space="preserve">Item similar to 73301, $1,200 at 80% fee </w:t>
            </w:r>
          </w:p>
        </w:tc>
        <w:tc>
          <w:tcPr>
            <w:tcW w:w="3544" w:type="dxa"/>
            <w:vAlign w:val="center"/>
          </w:tcPr>
          <w:p w14:paraId="47EF4652" w14:textId="77777777" w:rsidR="00A042A9" w:rsidRPr="007D0326" w:rsidRDefault="00A042A9" w:rsidP="00ED665A">
            <w:pPr>
              <w:pStyle w:val="TableText"/>
              <w:spacing w:before="0" w:after="0" w:line="240" w:lineRule="auto"/>
            </w:pPr>
            <w:r w:rsidRPr="007D0326">
              <w:t>All patients assumed to start with somatic testing. MSAC advised that where a somatic test was inconclusive, a germline test can be used, but providers can only charge for the one fee (p3, MSAC1618 PSD, March2021)</w:t>
            </w:r>
            <w:r w:rsidR="007D0326" w:rsidRPr="007D0326">
              <w:t>.</w:t>
            </w:r>
          </w:p>
        </w:tc>
      </w:tr>
      <w:tr w:rsidR="00A042A9" w:rsidRPr="007D0326" w14:paraId="2F0EFA47" w14:textId="77777777" w:rsidTr="008A4199">
        <w:trPr>
          <w:cantSplit/>
        </w:trPr>
        <w:tc>
          <w:tcPr>
            <w:tcW w:w="1127" w:type="dxa"/>
            <w:vAlign w:val="center"/>
          </w:tcPr>
          <w:p w14:paraId="0A3B3CB5" w14:textId="77777777" w:rsidR="00A042A9" w:rsidRPr="007D0326" w:rsidRDefault="00A042A9" w:rsidP="00ED665A">
            <w:pPr>
              <w:pStyle w:val="TableText"/>
              <w:spacing w:before="0" w:after="0" w:line="240" w:lineRule="auto"/>
            </w:pPr>
            <w:r w:rsidRPr="007D0326">
              <w:t>Archival tissue review</w:t>
            </w:r>
          </w:p>
        </w:tc>
        <w:tc>
          <w:tcPr>
            <w:tcW w:w="1704" w:type="dxa"/>
            <w:gridSpan w:val="2"/>
            <w:vAlign w:val="center"/>
          </w:tcPr>
          <w:p w14:paraId="1D949D36" w14:textId="77777777" w:rsidR="00A042A9" w:rsidRPr="00AB515A" w:rsidRDefault="00A042A9" w:rsidP="00ED665A">
            <w:pPr>
              <w:pStyle w:val="TableText"/>
              <w:spacing w:before="0" w:after="0" w:line="240" w:lineRule="auto"/>
            </w:pPr>
            <w:r w:rsidRPr="00AB515A">
              <w:t>$68</w:t>
            </w:r>
          </w:p>
        </w:tc>
        <w:tc>
          <w:tcPr>
            <w:tcW w:w="2834" w:type="dxa"/>
            <w:vAlign w:val="center"/>
          </w:tcPr>
          <w:p w14:paraId="695FCF98" w14:textId="77777777" w:rsidR="00A042A9" w:rsidRPr="007D0326" w:rsidRDefault="00A042A9" w:rsidP="00ED665A">
            <w:pPr>
              <w:pStyle w:val="TableText"/>
              <w:spacing w:before="0" w:after="0" w:line="240" w:lineRule="auto"/>
            </w:pPr>
            <w:r w:rsidRPr="007D0326">
              <w:t>Item 72860 $85 at 80% fee</w:t>
            </w:r>
          </w:p>
        </w:tc>
        <w:tc>
          <w:tcPr>
            <w:tcW w:w="3544" w:type="dxa"/>
            <w:vAlign w:val="center"/>
          </w:tcPr>
          <w:p w14:paraId="1BABF627" w14:textId="77777777" w:rsidR="00A042A9" w:rsidRPr="007D0326" w:rsidRDefault="00C7511C" w:rsidP="00ED665A">
            <w:pPr>
              <w:pStyle w:val="TableText"/>
              <w:spacing w:before="0" w:after="0" w:line="240" w:lineRule="auto"/>
            </w:pPr>
            <w:r>
              <w:t>T</w:t>
            </w:r>
            <w:r w:rsidR="00A042A9" w:rsidRPr="007D0326">
              <w:t xml:space="preserve">his cost was not included in </w:t>
            </w:r>
            <w:r w:rsidR="007D0326" w:rsidRPr="007D0326">
              <w:t>the economic model.</w:t>
            </w:r>
          </w:p>
        </w:tc>
      </w:tr>
      <w:tr w:rsidR="00A042A9" w:rsidRPr="007D0326" w14:paraId="6E6845BD" w14:textId="77777777" w:rsidTr="008A4199">
        <w:trPr>
          <w:cantSplit/>
        </w:trPr>
        <w:tc>
          <w:tcPr>
            <w:tcW w:w="1127" w:type="dxa"/>
            <w:vAlign w:val="center"/>
          </w:tcPr>
          <w:p w14:paraId="6CA453E7" w14:textId="77777777" w:rsidR="00A042A9" w:rsidRPr="007D0326" w:rsidRDefault="00A042A9" w:rsidP="00ED665A">
            <w:pPr>
              <w:pStyle w:val="TableText"/>
              <w:spacing w:before="0" w:after="0" w:line="240" w:lineRule="auto"/>
            </w:pPr>
            <w:r w:rsidRPr="007D0326">
              <w:t xml:space="preserve">Germline </w:t>
            </w:r>
            <w:r w:rsidRPr="00AB515A">
              <w:t>BRCA1/2</w:t>
            </w:r>
            <w:r w:rsidRPr="007D0326">
              <w:t xml:space="preserve"> (after positive somatic test)</w:t>
            </w:r>
          </w:p>
        </w:tc>
        <w:tc>
          <w:tcPr>
            <w:tcW w:w="1704" w:type="dxa"/>
            <w:gridSpan w:val="2"/>
            <w:vAlign w:val="center"/>
          </w:tcPr>
          <w:p w14:paraId="7733A426" w14:textId="77777777" w:rsidR="00A042A9" w:rsidRPr="00AB515A" w:rsidRDefault="00A042A9" w:rsidP="00ED665A">
            <w:pPr>
              <w:pStyle w:val="TableText"/>
              <w:spacing w:before="0" w:after="0" w:line="240" w:lineRule="auto"/>
            </w:pPr>
            <w:r w:rsidRPr="00AB515A">
              <w:t>$320 per test</w:t>
            </w:r>
          </w:p>
        </w:tc>
        <w:tc>
          <w:tcPr>
            <w:tcW w:w="2834" w:type="dxa"/>
            <w:vAlign w:val="center"/>
          </w:tcPr>
          <w:p w14:paraId="132D40EA" w14:textId="77777777" w:rsidR="00A042A9" w:rsidRPr="007D0326" w:rsidRDefault="00A042A9" w:rsidP="00ED665A">
            <w:pPr>
              <w:pStyle w:val="TableText"/>
              <w:spacing w:before="0" w:after="0" w:line="240" w:lineRule="auto"/>
            </w:pPr>
            <w:r w:rsidRPr="007D0326">
              <w:t xml:space="preserve">Item 73302 $400 at 80% fee </w:t>
            </w:r>
          </w:p>
        </w:tc>
        <w:tc>
          <w:tcPr>
            <w:tcW w:w="3544" w:type="dxa"/>
            <w:vAlign w:val="center"/>
          </w:tcPr>
          <w:p w14:paraId="4A201544" w14:textId="77777777" w:rsidR="00A042A9" w:rsidRPr="007D0326" w:rsidRDefault="00C7511C" w:rsidP="00ED665A">
            <w:pPr>
              <w:pStyle w:val="TableText"/>
              <w:spacing w:before="0" w:after="0" w:line="240" w:lineRule="auto"/>
            </w:pPr>
            <w:r>
              <w:t>T</w:t>
            </w:r>
            <w:r w:rsidR="00A042A9" w:rsidRPr="007D0326">
              <w:t>his cost was not included in the economic analysis.</w:t>
            </w:r>
          </w:p>
          <w:p w14:paraId="4BDCBDC0" w14:textId="77777777" w:rsidR="00A042A9" w:rsidRPr="007D0326" w:rsidRDefault="00A042A9" w:rsidP="00ED665A">
            <w:pPr>
              <w:pStyle w:val="TableText"/>
              <w:spacing w:before="0" w:after="0" w:line="240" w:lineRule="auto"/>
            </w:pPr>
            <w:r w:rsidRPr="007D0326">
              <w:t xml:space="preserve">Note this is different to the March 2021 </w:t>
            </w:r>
            <w:r w:rsidR="00C7511C">
              <w:t xml:space="preserve">submission </w:t>
            </w:r>
            <w:r w:rsidRPr="007D0326">
              <w:t>where 37% of patients were assumed to require a germline test because the somatic test was not feasible or not successful. In this resubmission, a further germline test was only able to be billed on MBS for patients who have a positive somatic test.</w:t>
            </w:r>
          </w:p>
        </w:tc>
      </w:tr>
      <w:tr w:rsidR="00A042A9" w:rsidRPr="007D0326" w14:paraId="17AA1E5B" w14:textId="77777777" w:rsidTr="008A4199">
        <w:trPr>
          <w:cantSplit/>
        </w:trPr>
        <w:tc>
          <w:tcPr>
            <w:tcW w:w="1127" w:type="dxa"/>
            <w:vAlign w:val="center"/>
          </w:tcPr>
          <w:p w14:paraId="31485F71" w14:textId="77777777" w:rsidR="00A042A9" w:rsidRPr="007D0326" w:rsidRDefault="00A042A9" w:rsidP="00ED665A">
            <w:pPr>
              <w:pStyle w:val="TableText"/>
              <w:spacing w:before="0" w:after="0" w:line="240" w:lineRule="auto"/>
            </w:pPr>
            <w:r w:rsidRPr="007D0326">
              <w:t xml:space="preserve">Germline </w:t>
            </w:r>
            <w:r w:rsidRPr="00AB515A">
              <w:t>BRCA1/2</w:t>
            </w:r>
            <w:r w:rsidRPr="007D0326">
              <w:t xml:space="preserve"> testing for relatives</w:t>
            </w:r>
          </w:p>
        </w:tc>
        <w:tc>
          <w:tcPr>
            <w:tcW w:w="1704" w:type="dxa"/>
            <w:gridSpan w:val="2"/>
            <w:vAlign w:val="center"/>
          </w:tcPr>
          <w:p w14:paraId="40824E96" w14:textId="77777777" w:rsidR="00A042A9" w:rsidRPr="00AB515A" w:rsidRDefault="00A042A9" w:rsidP="00ED665A">
            <w:pPr>
              <w:pStyle w:val="TableText"/>
              <w:spacing w:before="0" w:after="0" w:line="240" w:lineRule="auto"/>
            </w:pPr>
            <w:r w:rsidRPr="00AB515A">
              <w:t xml:space="preserve">$320 per test </w:t>
            </w:r>
          </w:p>
        </w:tc>
        <w:tc>
          <w:tcPr>
            <w:tcW w:w="2834" w:type="dxa"/>
            <w:vAlign w:val="center"/>
          </w:tcPr>
          <w:p w14:paraId="620DB6D8" w14:textId="77777777" w:rsidR="00A042A9" w:rsidRPr="007D0326" w:rsidRDefault="00A042A9" w:rsidP="00ED665A">
            <w:pPr>
              <w:pStyle w:val="TableText"/>
              <w:spacing w:before="0" w:after="0" w:line="240" w:lineRule="auto"/>
            </w:pPr>
            <w:r w:rsidRPr="007D0326">
              <w:t xml:space="preserve">Item 73297 $400 at 80% fee. Total cost $480 per patient eligible for olaparib, i.e. 50% somatic </w:t>
            </w:r>
            <w:r w:rsidRPr="00AB515A">
              <w:t>BRCA1/2</w:t>
            </w:r>
            <w:r w:rsidRPr="007D0326">
              <w:t xml:space="preserve"> patients will be germline </w:t>
            </w:r>
            <w:r w:rsidRPr="00AB515A">
              <w:t>BRCA1/2</w:t>
            </w:r>
            <w:r w:rsidRPr="007D0326">
              <w:t>, each with 3 relatives tested though cascade testing</w:t>
            </w:r>
          </w:p>
        </w:tc>
        <w:tc>
          <w:tcPr>
            <w:tcW w:w="3544" w:type="dxa"/>
            <w:vAlign w:val="center"/>
          </w:tcPr>
          <w:p w14:paraId="432C5AF4" w14:textId="77777777" w:rsidR="00A042A9" w:rsidRPr="007D0326" w:rsidRDefault="00C7511C" w:rsidP="00ED665A">
            <w:pPr>
              <w:pStyle w:val="TableText"/>
              <w:spacing w:before="0" w:after="0" w:line="240" w:lineRule="auto"/>
            </w:pPr>
            <w:r>
              <w:t>T</w:t>
            </w:r>
            <w:r w:rsidR="00A042A9" w:rsidRPr="007D0326">
              <w:t xml:space="preserve">his cost was not included in </w:t>
            </w:r>
            <w:r w:rsidR="00ED665A" w:rsidRPr="007D0326">
              <w:t>the economic analysis</w:t>
            </w:r>
            <w:r w:rsidR="00A042A9" w:rsidRPr="007D0326">
              <w:t>. Rate of somatic only BRCA1/2 was higher in PROfound (59.4%)</w:t>
            </w:r>
            <w:r w:rsidR="007D0326" w:rsidRPr="007D0326">
              <w:t>.</w:t>
            </w:r>
          </w:p>
        </w:tc>
      </w:tr>
      <w:tr w:rsidR="00A042A9" w:rsidRPr="007D0326" w14:paraId="37E8E331" w14:textId="77777777" w:rsidTr="008A4199">
        <w:trPr>
          <w:cantSplit/>
        </w:trPr>
        <w:tc>
          <w:tcPr>
            <w:tcW w:w="1127" w:type="dxa"/>
            <w:vAlign w:val="center"/>
          </w:tcPr>
          <w:p w14:paraId="745B491F" w14:textId="77777777" w:rsidR="00A042A9" w:rsidRPr="007D0326" w:rsidRDefault="00A042A9" w:rsidP="00ED665A">
            <w:pPr>
              <w:pStyle w:val="TableText"/>
              <w:spacing w:before="0" w:after="0" w:line="240" w:lineRule="auto"/>
            </w:pPr>
            <w:r w:rsidRPr="007D0326">
              <w:t>Chemo administration</w:t>
            </w:r>
          </w:p>
        </w:tc>
        <w:tc>
          <w:tcPr>
            <w:tcW w:w="1704" w:type="dxa"/>
            <w:gridSpan w:val="2"/>
            <w:vAlign w:val="center"/>
          </w:tcPr>
          <w:p w14:paraId="6D110FB6" w14:textId="77777777" w:rsidR="00A042A9" w:rsidRPr="00AB515A" w:rsidRDefault="00A042A9" w:rsidP="00ED665A">
            <w:pPr>
              <w:pStyle w:val="TableText"/>
              <w:spacing w:before="0" w:after="0" w:line="240" w:lineRule="auto"/>
            </w:pPr>
            <w:r w:rsidRPr="00AB515A">
              <w:t>$89.12 per admin</w:t>
            </w:r>
          </w:p>
        </w:tc>
        <w:tc>
          <w:tcPr>
            <w:tcW w:w="2834" w:type="dxa"/>
            <w:vAlign w:val="center"/>
          </w:tcPr>
          <w:p w14:paraId="4294B739" w14:textId="77777777" w:rsidR="00A042A9" w:rsidRPr="007D0326" w:rsidRDefault="00A042A9" w:rsidP="00ED665A">
            <w:pPr>
              <w:pStyle w:val="TableText"/>
              <w:spacing w:before="0" w:after="0" w:line="240" w:lineRule="auto"/>
            </w:pPr>
            <w:r w:rsidRPr="007D0326">
              <w:t>Item 13950 $111.40* at 80% fee</w:t>
            </w:r>
          </w:p>
        </w:tc>
        <w:tc>
          <w:tcPr>
            <w:tcW w:w="3544" w:type="dxa"/>
            <w:vAlign w:val="center"/>
          </w:tcPr>
          <w:p w14:paraId="5E45D428" w14:textId="77777777" w:rsidR="00A042A9" w:rsidRPr="007D0326" w:rsidRDefault="00C7511C" w:rsidP="00ED665A">
            <w:pPr>
              <w:pStyle w:val="TableText"/>
              <w:spacing w:before="0" w:after="0" w:line="240" w:lineRule="auto"/>
            </w:pPr>
            <w:r>
              <w:t>T</w:t>
            </w:r>
            <w:r w:rsidR="00A042A9" w:rsidRPr="007D0326">
              <w:t>he economic analysis used a higher weighted average cost based on this item and the NEP</w:t>
            </w:r>
            <w:r w:rsidR="00ED665A" w:rsidRPr="007D0326">
              <w:t>.</w:t>
            </w:r>
          </w:p>
        </w:tc>
      </w:tr>
    </w:tbl>
    <w:p w14:paraId="7C608E69" w14:textId="77777777" w:rsidR="00A042A9" w:rsidRPr="00CA4838" w:rsidRDefault="00A042A9" w:rsidP="00A042A9">
      <w:pPr>
        <w:pStyle w:val="TableFooter"/>
      </w:pPr>
      <w:r w:rsidRPr="00CA4838">
        <w:t xml:space="preserve">Source: Table 159, p 388, Table 163, p392, Table 164, p393, Table 169 p 396, ‘Grandfathered patients’ p400, Tables 175,-177 p402, Table 178 p403, Section 4.2.3 p403, Table 182, p405, Table 185 p 407, Table 191, p410 and </w:t>
      </w:r>
      <w:r w:rsidRPr="00266EE3">
        <w:rPr>
          <w:iCs/>
        </w:rPr>
        <w:t>compiled during the evaluation</w:t>
      </w:r>
    </w:p>
    <w:p w14:paraId="1F445A84" w14:textId="77777777" w:rsidR="00A042A9" w:rsidRPr="00CA4838" w:rsidRDefault="00A042A9" w:rsidP="00A042A9">
      <w:pPr>
        <w:pStyle w:val="TableFooter"/>
      </w:pPr>
      <w:r w:rsidRPr="00CA4838">
        <w:t>1L=</w:t>
      </w:r>
      <w:r w:rsidR="001579DF" w:rsidRPr="00CA4838">
        <w:t>first line</w:t>
      </w:r>
      <w:r w:rsidRPr="00CA4838">
        <w:t>, 2L=</w:t>
      </w:r>
      <w:r w:rsidR="001579DF" w:rsidRPr="00CA4838">
        <w:t>second line</w:t>
      </w:r>
      <w:r w:rsidRPr="00CA4838">
        <w:t xml:space="preserve">, AE=adverse event, </w:t>
      </w:r>
      <w:r w:rsidRPr="008A4199">
        <w:rPr>
          <w:iCs/>
        </w:rPr>
        <w:t>BRCA1/2</w:t>
      </w:r>
      <w:r w:rsidRPr="00933EAD">
        <w:rPr>
          <w:iCs/>
        </w:rPr>
        <w:t>=</w:t>
      </w:r>
      <w:r w:rsidRPr="008A4199">
        <w:rPr>
          <w:iCs/>
        </w:rPr>
        <w:t>BRCA1/2</w:t>
      </w:r>
      <w:r w:rsidRPr="00CA4838">
        <w:t xml:space="preserve"> pathogenic variant, GF=grandfathering, m0CRPC=non-metastatic castrate resistant prostate cancer, MBS=Medicare Benefits Schedule, mCRPC=metastatic castrate resistant prostate cancer, NHA=novel hormonal agent, PBS=Pharmaceutical Benefits Scheme, RPBS=Repatriation Schedule of Pharmaceutical Benefits, SRE=skeletal related event</w:t>
      </w:r>
    </w:p>
    <w:p w14:paraId="1C5143E9" w14:textId="77777777" w:rsidR="00A042A9" w:rsidRDefault="00A042A9" w:rsidP="00CD28A8">
      <w:pPr>
        <w:pStyle w:val="TableFooter"/>
        <w:spacing w:after="0"/>
      </w:pPr>
      <w:r w:rsidRPr="00CA4838">
        <w:t>Some PBS and MBS costs have changed since the resubmission was compiled. The cost differences are small and therefore have not been updated during the evaluation.</w:t>
      </w:r>
    </w:p>
    <w:p w14:paraId="74A6FFD5" w14:textId="77777777" w:rsidR="00C62A5A" w:rsidRDefault="00C62A5A">
      <w:pPr>
        <w:pStyle w:val="TableFigureFooter"/>
        <w:spacing w:after="0"/>
        <w:contextualSpacing w:val="0"/>
        <w:rPr>
          <w:i/>
        </w:rPr>
      </w:pPr>
      <w:r w:rsidRPr="009868C4">
        <w:rPr>
          <w:i/>
        </w:rPr>
        <w:t>The redacted values correspond to the following ranges</w:t>
      </w:r>
      <w:r>
        <w:rPr>
          <w:i/>
        </w:rPr>
        <w:t xml:space="preserve">: </w:t>
      </w:r>
    </w:p>
    <w:p w14:paraId="45B18571" w14:textId="77777777" w:rsidR="00C62A5A" w:rsidRPr="00870C5D" w:rsidRDefault="00C62A5A" w:rsidP="00C62A5A">
      <w:pPr>
        <w:pStyle w:val="TableFigureFooter"/>
        <w:spacing w:after="0"/>
        <w:contextualSpacing w:val="0"/>
      </w:pPr>
      <w:r>
        <w:rPr>
          <w:i/>
          <w:vertAlign w:val="superscript"/>
        </w:rPr>
        <w:t>1</w:t>
      </w:r>
      <w:r>
        <w:rPr>
          <w:i/>
        </w:rPr>
        <w:t xml:space="preserve"> </w:t>
      </w:r>
      <w:r w:rsidRPr="00B45E6A">
        <w:rPr>
          <w:i/>
        </w:rPr>
        <w:t>&lt; 500</w:t>
      </w:r>
    </w:p>
    <w:p w14:paraId="6120EA12" w14:textId="016F67D8" w:rsidR="00C62A5A" w:rsidRPr="00CA4838" w:rsidRDefault="00C62A5A" w:rsidP="0030433E">
      <w:pPr>
        <w:pStyle w:val="TableFigureFooter"/>
        <w:spacing w:after="0"/>
        <w:contextualSpacing w:val="0"/>
      </w:pPr>
      <w:r>
        <w:rPr>
          <w:i/>
          <w:vertAlign w:val="superscript"/>
        </w:rPr>
        <w:t>2</w:t>
      </w:r>
      <w:r>
        <w:rPr>
          <w:i/>
        </w:rPr>
        <w:t xml:space="preserve"> </w:t>
      </w:r>
      <w:r w:rsidRPr="00B45E6A">
        <w:rPr>
          <w:i/>
        </w:rPr>
        <w:t>500 to &lt; 5,000</w:t>
      </w:r>
    </w:p>
    <w:p w14:paraId="46C09DAA" w14:textId="77777777" w:rsidR="00A042A9" w:rsidRPr="00CA4838" w:rsidRDefault="00A042A9" w:rsidP="00DB2410">
      <w:pPr>
        <w:pStyle w:val="ListParagraph"/>
        <w:ind w:left="709"/>
      </w:pPr>
      <w:r w:rsidRPr="00CA4838">
        <w:t>The following table presents the estimated use and financial impact of olaparib</w:t>
      </w:r>
      <w:r w:rsidR="007D0326">
        <w:t>.</w:t>
      </w:r>
    </w:p>
    <w:p w14:paraId="666D5687" w14:textId="77777777" w:rsidR="00A042A9" w:rsidRPr="00CA4838" w:rsidRDefault="00A042A9" w:rsidP="001B37A3">
      <w:pPr>
        <w:pStyle w:val="Caption"/>
      </w:pPr>
      <w:r w:rsidRPr="007D0326">
        <w:t xml:space="preserve">Table </w:t>
      </w:r>
      <w:r w:rsidR="007C5E46">
        <w:rPr>
          <w:noProof/>
        </w:rPr>
        <w:t>17</w:t>
      </w:r>
      <w:r w:rsidR="003C01AE" w:rsidRPr="007D0326">
        <w:rPr>
          <w:noProof/>
        </w:rPr>
        <w:t>:</w:t>
      </w:r>
      <w:r w:rsidRPr="007D0326">
        <w:t xml:space="preserve"> Estimation of use and financial impact of the proposed </w:t>
      </w:r>
      <w:r w:rsidRPr="00AB515A">
        <w:t>medicine</w:t>
      </w:r>
    </w:p>
    <w:tbl>
      <w:tblPr>
        <w:tblStyle w:val="ASDTable2"/>
        <w:tblW w:w="5000" w:type="pct"/>
        <w:tblLayout w:type="fixed"/>
        <w:tblCellMar>
          <w:left w:w="28" w:type="dxa"/>
          <w:right w:w="28" w:type="dxa"/>
        </w:tblCellMar>
        <w:tblLook w:val="04A0" w:firstRow="1" w:lastRow="0" w:firstColumn="1" w:lastColumn="0" w:noHBand="0" w:noVBand="1"/>
        <w:tblCaption w:val="Table 17: Estimation of use and financial impact of the proposed medicine"/>
      </w:tblPr>
      <w:tblGrid>
        <w:gridCol w:w="3408"/>
        <w:gridCol w:w="934"/>
        <w:gridCol w:w="935"/>
        <w:gridCol w:w="935"/>
        <w:gridCol w:w="934"/>
        <w:gridCol w:w="935"/>
        <w:gridCol w:w="935"/>
      </w:tblGrid>
      <w:tr w:rsidR="00A042A9" w:rsidRPr="00F52B1D" w14:paraId="21BF6306" w14:textId="77777777" w:rsidTr="008A4199">
        <w:trPr>
          <w:tblHeader/>
        </w:trPr>
        <w:tc>
          <w:tcPr>
            <w:tcW w:w="3408" w:type="dxa"/>
            <w:shd w:val="clear" w:color="auto" w:fill="auto"/>
            <w:vAlign w:val="center"/>
          </w:tcPr>
          <w:p w14:paraId="0B9D55BC" w14:textId="77777777" w:rsidR="00A042A9" w:rsidRPr="00F52B1D" w:rsidRDefault="00A042A9" w:rsidP="00AB7459">
            <w:pPr>
              <w:pStyle w:val="TableText"/>
              <w:keepNext/>
              <w:spacing w:before="0" w:after="0" w:line="240" w:lineRule="auto"/>
              <w:rPr>
                <w:sz w:val="19"/>
                <w:szCs w:val="19"/>
              </w:rPr>
            </w:pPr>
          </w:p>
        </w:tc>
        <w:tc>
          <w:tcPr>
            <w:tcW w:w="934" w:type="dxa"/>
            <w:shd w:val="clear" w:color="auto" w:fill="auto"/>
            <w:vAlign w:val="center"/>
          </w:tcPr>
          <w:p w14:paraId="2DEEB4DC" w14:textId="77777777" w:rsidR="00A042A9" w:rsidRPr="00F52B1D" w:rsidRDefault="00A042A9" w:rsidP="00AB7459">
            <w:pPr>
              <w:pStyle w:val="TableText"/>
              <w:keepNext/>
              <w:spacing w:before="0" w:after="0" w:line="240" w:lineRule="auto"/>
              <w:jc w:val="center"/>
              <w:rPr>
                <w:b/>
                <w:sz w:val="19"/>
                <w:szCs w:val="19"/>
              </w:rPr>
            </w:pPr>
            <w:r w:rsidRPr="00F52B1D">
              <w:rPr>
                <w:b/>
                <w:sz w:val="19"/>
                <w:szCs w:val="19"/>
              </w:rPr>
              <w:t>2022</w:t>
            </w:r>
          </w:p>
        </w:tc>
        <w:tc>
          <w:tcPr>
            <w:tcW w:w="935" w:type="dxa"/>
            <w:shd w:val="clear" w:color="auto" w:fill="auto"/>
            <w:vAlign w:val="center"/>
          </w:tcPr>
          <w:p w14:paraId="399D322A" w14:textId="77777777" w:rsidR="00A042A9" w:rsidRPr="00F52B1D" w:rsidRDefault="00A042A9" w:rsidP="00AB7459">
            <w:pPr>
              <w:pStyle w:val="TableText"/>
              <w:keepNext/>
              <w:spacing w:before="0" w:after="0" w:line="240" w:lineRule="auto"/>
              <w:jc w:val="center"/>
              <w:rPr>
                <w:b/>
                <w:sz w:val="19"/>
                <w:szCs w:val="19"/>
              </w:rPr>
            </w:pPr>
            <w:r w:rsidRPr="00F52B1D">
              <w:rPr>
                <w:b/>
                <w:sz w:val="19"/>
                <w:szCs w:val="19"/>
              </w:rPr>
              <w:t>2023</w:t>
            </w:r>
          </w:p>
        </w:tc>
        <w:tc>
          <w:tcPr>
            <w:tcW w:w="935" w:type="dxa"/>
            <w:shd w:val="clear" w:color="auto" w:fill="auto"/>
            <w:vAlign w:val="center"/>
          </w:tcPr>
          <w:p w14:paraId="5E9A51B8" w14:textId="77777777" w:rsidR="00A042A9" w:rsidRPr="00F52B1D" w:rsidRDefault="00A042A9" w:rsidP="00AB7459">
            <w:pPr>
              <w:pStyle w:val="TableText"/>
              <w:keepNext/>
              <w:spacing w:before="0" w:after="0" w:line="240" w:lineRule="auto"/>
              <w:jc w:val="center"/>
              <w:rPr>
                <w:b/>
                <w:sz w:val="19"/>
                <w:szCs w:val="19"/>
              </w:rPr>
            </w:pPr>
            <w:r w:rsidRPr="00F52B1D">
              <w:rPr>
                <w:b/>
                <w:sz w:val="19"/>
                <w:szCs w:val="19"/>
              </w:rPr>
              <w:t>2024</w:t>
            </w:r>
          </w:p>
        </w:tc>
        <w:tc>
          <w:tcPr>
            <w:tcW w:w="934" w:type="dxa"/>
            <w:shd w:val="clear" w:color="auto" w:fill="auto"/>
            <w:vAlign w:val="center"/>
          </w:tcPr>
          <w:p w14:paraId="613DDF3A" w14:textId="77777777" w:rsidR="00A042A9" w:rsidRPr="00F52B1D" w:rsidRDefault="00A042A9" w:rsidP="00AB7459">
            <w:pPr>
              <w:pStyle w:val="TableText"/>
              <w:keepNext/>
              <w:spacing w:before="0" w:after="0" w:line="240" w:lineRule="auto"/>
              <w:jc w:val="center"/>
              <w:rPr>
                <w:b/>
                <w:sz w:val="19"/>
                <w:szCs w:val="19"/>
              </w:rPr>
            </w:pPr>
            <w:r w:rsidRPr="00F52B1D">
              <w:rPr>
                <w:b/>
                <w:sz w:val="19"/>
                <w:szCs w:val="19"/>
              </w:rPr>
              <w:t>2025</w:t>
            </w:r>
          </w:p>
        </w:tc>
        <w:tc>
          <w:tcPr>
            <w:tcW w:w="935" w:type="dxa"/>
            <w:shd w:val="clear" w:color="auto" w:fill="auto"/>
            <w:vAlign w:val="center"/>
          </w:tcPr>
          <w:p w14:paraId="1DA996AE" w14:textId="77777777" w:rsidR="00A042A9" w:rsidRPr="00F52B1D" w:rsidRDefault="00A042A9" w:rsidP="00AB7459">
            <w:pPr>
              <w:pStyle w:val="TableText"/>
              <w:keepNext/>
              <w:spacing w:before="0" w:after="0" w:line="240" w:lineRule="auto"/>
              <w:jc w:val="center"/>
              <w:rPr>
                <w:b/>
                <w:sz w:val="19"/>
                <w:szCs w:val="19"/>
              </w:rPr>
            </w:pPr>
            <w:r w:rsidRPr="00F52B1D">
              <w:rPr>
                <w:b/>
                <w:sz w:val="19"/>
                <w:szCs w:val="19"/>
              </w:rPr>
              <w:t>2026</w:t>
            </w:r>
          </w:p>
        </w:tc>
        <w:tc>
          <w:tcPr>
            <w:tcW w:w="935" w:type="dxa"/>
            <w:shd w:val="clear" w:color="auto" w:fill="auto"/>
            <w:vAlign w:val="center"/>
          </w:tcPr>
          <w:p w14:paraId="0E064630" w14:textId="77777777" w:rsidR="00A042A9" w:rsidRPr="00F52B1D" w:rsidRDefault="00A042A9" w:rsidP="00AB7459">
            <w:pPr>
              <w:pStyle w:val="TableText"/>
              <w:keepNext/>
              <w:spacing w:before="0" w:after="0" w:line="240" w:lineRule="auto"/>
              <w:jc w:val="center"/>
              <w:rPr>
                <w:b/>
                <w:sz w:val="19"/>
                <w:szCs w:val="19"/>
              </w:rPr>
            </w:pPr>
            <w:r w:rsidRPr="00F52B1D">
              <w:rPr>
                <w:b/>
                <w:sz w:val="19"/>
                <w:szCs w:val="19"/>
              </w:rPr>
              <w:t>2027</w:t>
            </w:r>
          </w:p>
        </w:tc>
      </w:tr>
      <w:tr w:rsidR="00A042A9" w:rsidRPr="00F52B1D" w14:paraId="20FC5718" w14:textId="77777777" w:rsidTr="008A4199">
        <w:trPr>
          <w:trHeight w:val="118"/>
        </w:trPr>
        <w:tc>
          <w:tcPr>
            <w:tcW w:w="9016" w:type="dxa"/>
            <w:gridSpan w:val="7"/>
            <w:shd w:val="clear" w:color="auto" w:fill="auto"/>
            <w:vAlign w:val="center"/>
          </w:tcPr>
          <w:p w14:paraId="4646B0E0" w14:textId="77777777" w:rsidR="00A042A9" w:rsidRPr="00F52B1D" w:rsidRDefault="00A042A9" w:rsidP="00AB7459">
            <w:pPr>
              <w:pStyle w:val="TableText"/>
              <w:keepNext/>
              <w:spacing w:before="0" w:after="0" w:line="240" w:lineRule="auto"/>
              <w:rPr>
                <w:b/>
                <w:sz w:val="19"/>
                <w:szCs w:val="19"/>
              </w:rPr>
            </w:pPr>
            <w:r w:rsidRPr="00F52B1D">
              <w:rPr>
                <w:b/>
                <w:sz w:val="19"/>
                <w:szCs w:val="19"/>
              </w:rPr>
              <w:t>Estimation of number of treated patients</w:t>
            </w:r>
          </w:p>
        </w:tc>
      </w:tr>
      <w:tr w:rsidR="00A042A9" w:rsidRPr="00F52B1D" w14:paraId="7B380611" w14:textId="77777777" w:rsidTr="008A4199">
        <w:tc>
          <w:tcPr>
            <w:tcW w:w="9016" w:type="dxa"/>
            <w:gridSpan w:val="7"/>
            <w:shd w:val="clear" w:color="auto" w:fill="auto"/>
            <w:vAlign w:val="center"/>
          </w:tcPr>
          <w:p w14:paraId="0BA605C5" w14:textId="77777777" w:rsidR="00A042A9" w:rsidRPr="00F52B1D" w:rsidRDefault="00A042A9" w:rsidP="00AB7459">
            <w:pPr>
              <w:pStyle w:val="TableText"/>
              <w:keepNext/>
              <w:spacing w:before="0" w:after="0" w:line="240" w:lineRule="auto"/>
              <w:rPr>
                <w:sz w:val="19"/>
                <w:szCs w:val="19"/>
              </w:rPr>
            </w:pPr>
            <w:r w:rsidRPr="00F52B1D">
              <w:rPr>
                <w:b/>
                <w:sz w:val="19"/>
                <w:szCs w:val="19"/>
              </w:rPr>
              <w:t>2L: previous NHA use in mCRPC</w:t>
            </w:r>
          </w:p>
        </w:tc>
      </w:tr>
      <w:tr w:rsidR="00A042A9" w:rsidRPr="00F52B1D" w14:paraId="776E8A35" w14:textId="77777777" w:rsidTr="008A4199">
        <w:tc>
          <w:tcPr>
            <w:tcW w:w="3408" w:type="dxa"/>
            <w:shd w:val="clear" w:color="auto" w:fill="auto"/>
            <w:vAlign w:val="center"/>
          </w:tcPr>
          <w:p w14:paraId="2F4DC086" w14:textId="77777777" w:rsidR="00A042A9" w:rsidRPr="00F52B1D" w:rsidRDefault="00A042A9" w:rsidP="00AB7459">
            <w:pPr>
              <w:pStyle w:val="TableText"/>
              <w:keepNext/>
              <w:spacing w:before="0" w:after="0" w:line="240" w:lineRule="auto"/>
              <w:rPr>
                <w:b/>
                <w:sz w:val="19"/>
                <w:szCs w:val="19"/>
              </w:rPr>
            </w:pPr>
            <w:r w:rsidRPr="00F52B1D">
              <w:rPr>
                <w:b/>
                <w:sz w:val="19"/>
                <w:szCs w:val="19"/>
              </w:rPr>
              <w:t>Incident NHA use</w:t>
            </w:r>
          </w:p>
        </w:tc>
        <w:tc>
          <w:tcPr>
            <w:tcW w:w="934" w:type="dxa"/>
            <w:shd w:val="clear" w:color="auto" w:fill="auto"/>
            <w:vAlign w:val="center"/>
          </w:tcPr>
          <w:p w14:paraId="54DFA261"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shd w:val="clear" w:color="auto" w:fill="auto"/>
            <w:vAlign w:val="center"/>
          </w:tcPr>
          <w:p w14:paraId="22654AF1"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shd w:val="clear" w:color="auto" w:fill="auto"/>
            <w:vAlign w:val="center"/>
          </w:tcPr>
          <w:p w14:paraId="22F8C204"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4" w:type="dxa"/>
            <w:shd w:val="clear" w:color="auto" w:fill="auto"/>
            <w:vAlign w:val="center"/>
          </w:tcPr>
          <w:p w14:paraId="3C37CB5A"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shd w:val="clear" w:color="auto" w:fill="auto"/>
            <w:vAlign w:val="center"/>
          </w:tcPr>
          <w:p w14:paraId="43810281"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shd w:val="clear" w:color="auto" w:fill="auto"/>
            <w:vAlign w:val="center"/>
          </w:tcPr>
          <w:p w14:paraId="4749DB4A"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r>
      <w:tr w:rsidR="00A042A9" w:rsidRPr="00F52B1D" w14:paraId="5D983BA5" w14:textId="77777777" w:rsidTr="008A4199">
        <w:tc>
          <w:tcPr>
            <w:tcW w:w="3408" w:type="dxa"/>
            <w:vAlign w:val="center"/>
          </w:tcPr>
          <w:p w14:paraId="66B91BC5" w14:textId="77777777" w:rsidR="00A042A9" w:rsidRPr="00F52B1D" w:rsidRDefault="00A042A9" w:rsidP="00AB7459">
            <w:pPr>
              <w:pStyle w:val="TableText"/>
              <w:keepNext/>
              <w:spacing w:before="0" w:after="0" w:line="240" w:lineRule="auto"/>
              <w:ind w:left="104"/>
              <w:rPr>
                <w:sz w:val="19"/>
                <w:szCs w:val="19"/>
              </w:rPr>
            </w:pPr>
            <w:r w:rsidRPr="00F52B1D">
              <w:rPr>
                <w:sz w:val="19"/>
                <w:szCs w:val="19"/>
              </w:rPr>
              <w:t xml:space="preserve">mCRPC patients tested for BRCA1/2 </w:t>
            </w:r>
          </w:p>
        </w:tc>
        <w:tc>
          <w:tcPr>
            <w:tcW w:w="934" w:type="dxa"/>
          </w:tcPr>
          <w:p w14:paraId="666B52F8"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tcPr>
          <w:p w14:paraId="3E5ADE58"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tcPr>
          <w:p w14:paraId="3F109F2D"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4" w:type="dxa"/>
          </w:tcPr>
          <w:p w14:paraId="7BB74694"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tcPr>
          <w:p w14:paraId="411B95AD"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tcPr>
          <w:p w14:paraId="5A49D5B4"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r>
      <w:tr w:rsidR="00A042A9" w:rsidRPr="00F52B1D" w14:paraId="76E61AE1" w14:textId="77777777" w:rsidTr="008A4199">
        <w:tc>
          <w:tcPr>
            <w:tcW w:w="3408" w:type="dxa"/>
            <w:vAlign w:val="center"/>
          </w:tcPr>
          <w:p w14:paraId="3435204E" w14:textId="77777777" w:rsidR="00A042A9" w:rsidRPr="00F52B1D" w:rsidDel="00E722D4" w:rsidRDefault="00A042A9" w:rsidP="00AB7459">
            <w:pPr>
              <w:pStyle w:val="TableText"/>
              <w:keepNext/>
              <w:spacing w:before="0" w:after="0" w:line="240" w:lineRule="auto"/>
              <w:ind w:left="104"/>
              <w:rPr>
                <w:sz w:val="19"/>
                <w:szCs w:val="19"/>
              </w:rPr>
            </w:pPr>
            <w:r w:rsidRPr="00F52B1D">
              <w:rPr>
                <w:sz w:val="19"/>
                <w:szCs w:val="19"/>
              </w:rPr>
              <w:t>Patients who progress to 2L treatment</w:t>
            </w:r>
          </w:p>
        </w:tc>
        <w:tc>
          <w:tcPr>
            <w:tcW w:w="934" w:type="dxa"/>
            <w:vAlign w:val="center"/>
          </w:tcPr>
          <w:p w14:paraId="7525115F"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vAlign w:val="center"/>
          </w:tcPr>
          <w:p w14:paraId="2A185CD4"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vAlign w:val="center"/>
          </w:tcPr>
          <w:p w14:paraId="03ADF97A"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4" w:type="dxa"/>
            <w:vAlign w:val="center"/>
          </w:tcPr>
          <w:p w14:paraId="4448633C"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vAlign w:val="center"/>
          </w:tcPr>
          <w:p w14:paraId="2813CB31"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vAlign w:val="center"/>
          </w:tcPr>
          <w:p w14:paraId="1A66DAD7"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r>
      <w:tr w:rsidR="00A042A9" w:rsidRPr="00F52B1D" w14:paraId="030589A1" w14:textId="77777777" w:rsidTr="008A4199">
        <w:tc>
          <w:tcPr>
            <w:tcW w:w="3408" w:type="dxa"/>
            <w:vAlign w:val="center"/>
          </w:tcPr>
          <w:p w14:paraId="74A23374" w14:textId="77777777" w:rsidR="00A042A9" w:rsidRPr="00F52B1D" w:rsidRDefault="00A042A9" w:rsidP="00AB7459">
            <w:pPr>
              <w:pStyle w:val="TableText"/>
              <w:keepNext/>
              <w:spacing w:before="0" w:after="0" w:line="240" w:lineRule="auto"/>
              <w:ind w:left="104"/>
              <w:rPr>
                <w:sz w:val="19"/>
                <w:szCs w:val="19"/>
              </w:rPr>
            </w:pPr>
            <w:r w:rsidRPr="00F52B1D">
              <w:rPr>
                <w:sz w:val="19"/>
                <w:szCs w:val="19"/>
              </w:rPr>
              <w:t>2L patients who initiate olaparib</w:t>
            </w:r>
          </w:p>
        </w:tc>
        <w:tc>
          <w:tcPr>
            <w:tcW w:w="934" w:type="dxa"/>
            <w:vAlign w:val="center"/>
          </w:tcPr>
          <w:p w14:paraId="0D9CE3F4"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56E1B007"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2B2AD2B6"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4" w:type="dxa"/>
            <w:vAlign w:val="center"/>
          </w:tcPr>
          <w:p w14:paraId="24E2659D"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1C60F52E"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4EAAA194"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r>
      <w:tr w:rsidR="00A042A9" w:rsidRPr="00F52B1D" w14:paraId="1B22D041" w14:textId="77777777" w:rsidTr="008A4199">
        <w:tc>
          <w:tcPr>
            <w:tcW w:w="9016" w:type="dxa"/>
            <w:gridSpan w:val="7"/>
            <w:vAlign w:val="center"/>
          </w:tcPr>
          <w:p w14:paraId="067D9752" w14:textId="77777777" w:rsidR="00A042A9" w:rsidRPr="00F52B1D" w:rsidRDefault="00A042A9" w:rsidP="00AB7459">
            <w:pPr>
              <w:pStyle w:val="TableText"/>
              <w:keepNext/>
              <w:spacing w:before="0" w:after="0" w:line="240" w:lineRule="auto"/>
              <w:rPr>
                <w:sz w:val="19"/>
                <w:szCs w:val="19"/>
              </w:rPr>
            </w:pPr>
            <w:r w:rsidRPr="00F52B1D">
              <w:rPr>
                <w:b/>
                <w:sz w:val="19"/>
                <w:szCs w:val="19"/>
              </w:rPr>
              <w:t>1L: prev NHA use in m0CRPC</w:t>
            </w:r>
          </w:p>
        </w:tc>
      </w:tr>
      <w:tr w:rsidR="00A042A9" w:rsidRPr="00F52B1D" w14:paraId="05FF3F9F" w14:textId="77777777" w:rsidTr="008A4199">
        <w:tc>
          <w:tcPr>
            <w:tcW w:w="3408" w:type="dxa"/>
            <w:vAlign w:val="center"/>
          </w:tcPr>
          <w:p w14:paraId="219BFF35" w14:textId="77777777" w:rsidR="00A042A9" w:rsidRPr="00F52B1D" w:rsidRDefault="00A042A9" w:rsidP="00AB7459">
            <w:pPr>
              <w:pStyle w:val="TableText"/>
              <w:keepNext/>
              <w:spacing w:before="0" w:after="0" w:line="240" w:lineRule="auto"/>
              <w:rPr>
                <w:b/>
                <w:sz w:val="19"/>
                <w:szCs w:val="19"/>
              </w:rPr>
            </w:pPr>
            <w:r w:rsidRPr="00F52B1D">
              <w:rPr>
                <w:b/>
                <w:sz w:val="19"/>
                <w:szCs w:val="19"/>
              </w:rPr>
              <w:t>Incident NHA use in m0CRPC</w:t>
            </w:r>
          </w:p>
        </w:tc>
        <w:tc>
          <w:tcPr>
            <w:tcW w:w="934" w:type="dxa"/>
            <w:vAlign w:val="center"/>
          </w:tcPr>
          <w:p w14:paraId="789A6848"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vAlign w:val="center"/>
          </w:tcPr>
          <w:p w14:paraId="569F9A6A"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vAlign w:val="center"/>
          </w:tcPr>
          <w:p w14:paraId="43F3A74E"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4" w:type="dxa"/>
            <w:vAlign w:val="center"/>
          </w:tcPr>
          <w:p w14:paraId="75662A28"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vAlign w:val="center"/>
          </w:tcPr>
          <w:p w14:paraId="6B6C4407"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c>
          <w:tcPr>
            <w:tcW w:w="935" w:type="dxa"/>
            <w:vAlign w:val="center"/>
          </w:tcPr>
          <w:p w14:paraId="337AB85B"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2</w:t>
            </w:r>
          </w:p>
        </w:tc>
      </w:tr>
      <w:tr w:rsidR="00A042A9" w:rsidRPr="00F52B1D" w14:paraId="7A284A7C" w14:textId="77777777" w:rsidTr="008A4199">
        <w:tc>
          <w:tcPr>
            <w:tcW w:w="3408" w:type="dxa"/>
            <w:vAlign w:val="center"/>
          </w:tcPr>
          <w:p w14:paraId="2C3871F5" w14:textId="77777777" w:rsidR="00A042A9" w:rsidRPr="00F52B1D" w:rsidRDefault="00A042A9" w:rsidP="00AB7459">
            <w:pPr>
              <w:pStyle w:val="TableText"/>
              <w:keepNext/>
              <w:spacing w:before="0" w:after="0" w:line="240" w:lineRule="auto"/>
              <w:ind w:left="104"/>
              <w:rPr>
                <w:sz w:val="19"/>
                <w:szCs w:val="19"/>
              </w:rPr>
            </w:pPr>
            <w:r w:rsidRPr="00F52B1D">
              <w:rPr>
                <w:sz w:val="19"/>
                <w:szCs w:val="19"/>
              </w:rPr>
              <w:t xml:space="preserve">Total progress to mCRPC </w:t>
            </w:r>
          </w:p>
        </w:tc>
        <w:tc>
          <w:tcPr>
            <w:tcW w:w="934" w:type="dxa"/>
            <w:vAlign w:val="center"/>
          </w:tcPr>
          <w:p w14:paraId="0C788A84"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07669A83"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06423BAE"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4" w:type="dxa"/>
            <w:vAlign w:val="center"/>
          </w:tcPr>
          <w:p w14:paraId="35F83C82"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0F3606D8"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26B1481D"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r>
      <w:tr w:rsidR="00A042A9" w:rsidRPr="00F52B1D" w14:paraId="2F502E14" w14:textId="77777777" w:rsidTr="008A4199">
        <w:tc>
          <w:tcPr>
            <w:tcW w:w="3408" w:type="dxa"/>
            <w:vAlign w:val="center"/>
          </w:tcPr>
          <w:p w14:paraId="76BE81F6" w14:textId="77777777" w:rsidR="00A042A9" w:rsidRPr="00F52B1D" w:rsidDel="00E722D4" w:rsidRDefault="00A042A9" w:rsidP="00AB7459">
            <w:pPr>
              <w:pStyle w:val="TableText"/>
              <w:keepNext/>
              <w:spacing w:before="0" w:after="0" w:line="240" w:lineRule="auto"/>
              <w:ind w:left="104"/>
              <w:rPr>
                <w:sz w:val="19"/>
                <w:szCs w:val="19"/>
              </w:rPr>
            </w:pPr>
            <w:r w:rsidRPr="00F52B1D">
              <w:rPr>
                <w:sz w:val="19"/>
                <w:szCs w:val="19"/>
              </w:rPr>
              <w:t>Total 1L patients tested for BRCA1/2</w:t>
            </w:r>
          </w:p>
        </w:tc>
        <w:tc>
          <w:tcPr>
            <w:tcW w:w="934" w:type="dxa"/>
            <w:vAlign w:val="center"/>
          </w:tcPr>
          <w:p w14:paraId="058CB195"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0185544F"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7300107F"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4" w:type="dxa"/>
            <w:vAlign w:val="center"/>
          </w:tcPr>
          <w:p w14:paraId="6485C202"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7A70C56D"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5352ECB8"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r>
      <w:tr w:rsidR="00A042A9" w:rsidRPr="00F52B1D" w14:paraId="01C283CD" w14:textId="77777777" w:rsidTr="008A4199">
        <w:tc>
          <w:tcPr>
            <w:tcW w:w="3408" w:type="dxa"/>
            <w:vAlign w:val="center"/>
          </w:tcPr>
          <w:p w14:paraId="320489F0" w14:textId="77777777" w:rsidR="00A042A9" w:rsidRPr="00F52B1D" w:rsidRDefault="00A042A9" w:rsidP="00AB7459">
            <w:pPr>
              <w:pStyle w:val="TableText"/>
              <w:keepNext/>
              <w:spacing w:before="0" w:after="0" w:line="240" w:lineRule="auto"/>
              <w:ind w:left="104"/>
              <w:rPr>
                <w:sz w:val="19"/>
                <w:szCs w:val="19"/>
              </w:rPr>
            </w:pPr>
            <w:r w:rsidRPr="00F52B1D">
              <w:rPr>
                <w:sz w:val="19"/>
                <w:szCs w:val="19"/>
              </w:rPr>
              <w:t>Total 1L patients initiate olaparib</w:t>
            </w:r>
          </w:p>
        </w:tc>
        <w:tc>
          <w:tcPr>
            <w:tcW w:w="934" w:type="dxa"/>
            <w:vAlign w:val="center"/>
          </w:tcPr>
          <w:p w14:paraId="732C7967"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0C3A4D9F"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33C08123"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4" w:type="dxa"/>
            <w:vAlign w:val="center"/>
          </w:tcPr>
          <w:p w14:paraId="7B26F447"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20763C75"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c>
          <w:tcPr>
            <w:tcW w:w="935" w:type="dxa"/>
            <w:vAlign w:val="center"/>
          </w:tcPr>
          <w:p w14:paraId="72FA274C"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C62A5A">
              <w:rPr>
                <w:sz w:val="19"/>
                <w:szCs w:val="19"/>
                <w:vertAlign w:val="superscript"/>
              </w:rPr>
              <w:t>1</w:t>
            </w:r>
          </w:p>
        </w:tc>
      </w:tr>
      <w:tr w:rsidR="00A042A9" w:rsidRPr="00F52B1D" w14:paraId="60D26D2D" w14:textId="77777777" w:rsidTr="008A4199">
        <w:tc>
          <w:tcPr>
            <w:tcW w:w="3408" w:type="dxa"/>
            <w:vAlign w:val="center"/>
          </w:tcPr>
          <w:p w14:paraId="1E47063F" w14:textId="77777777" w:rsidR="00A042A9" w:rsidRPr="00CD28A8" w:rsidRDefault="00A042A9">
            <w:pPr>
              <w:pStyle w:val="TableText"/>
              <w:keepNext/>
              <w:spacing w:before="0" w:after="0" w:line="240" w:lineRule="auto"/>
              <w:ind w:left="104"/>
              <w:rPr>
                <w:sz w:val="19"/>
                <w:szCs w:val="19"/>
                <w:vertAlign w:val="superscript"/>
              </w:rPr>
            </w:pPr>
            <w:r w:rsidRPr="00F52B1D">
              <w:rPr>
                <w:sz w:val="19"/>
                <w:szCs w:val="19"/>
              </w:rPr>
              <w:t>Total 1L patients treated with olaparib</w:t>
            </w:r>
          </w:p>
        </w:tc>
        <w:tc>
          <w:tcPr>
            <w:tcW w:w="934" w:type="dxa"/>
            <w:vAlign w:val="center"/>
          </w:tcPr>
          <w:p w14:paraId="25C77043"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B45E6A">
              <w:rPr>
                <w:sz w:val="19"/>
                <w:szCs w:val="19"/>
                <w:vertAlign w:val="superscript"/>
              </w:rPr>
              <w:t>1</w:t>
            </w:r>
          </w:p>
        </w:tc>
        <w:tc>
          <w:tcPr>
            <w:tcW w:w="935" w:type="dxa"/>
            <w:vAlign w:val="center"/>
          </w:tcPr>
          <w:p w14:paraId="6F2A8EDB"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B45E6A">
              <w:rPr>
                <w:sz w:val="19"/>
                <w:szCs w:val="19"/>
                <w:vertAlign w:val="superscript"/>
              </w:rPr>
              <w:t>1</w:t>
            </w:r>
          </w:p>
        </w:tc>
        <w:tc>
          <w:tcPr>
            <w:tcW w:w="935" w:type="dxa"/>
            <w:vAlign w:val="center"/>
          </w:tcPr>
          <w:p w14:paraId="4EB76390"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B45E6A">
              <w:rPr>
                <w:sz w:val="19"/>
                <w:szCs w:val="19"/>
                <w:vertAlign w:val="superscript"/>
              </w:rPr>
              <w:t>1</w:t>
            </w:r>
          </w:p>
        </w:tc>
        <w:tc>
          <w:tcPr>
            <w:tcW w:w="934" w:type="dxa"/>
            <w:vAlign w:val="center"/>
          </w:tcPr>
          <w:p w14:paraId="6C737CD4"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B45E6A">
              <w:rPr>
                <w:sz w:val="19"/>
                <w:szCs w:val="19"/>
                <w:vertAlign w:val="superscript"/>
              </w:rPr>
              <w:t>1</w:t>
            </w:r>
          </w:p>
        </w:tc>
        <w:tc>
          <w:tcPr>
            <w:tcW w:w="935" w:type="dxa"/>
            <w:vAlign w:val="center"/>
          </w:tcPr>
          <w:p w14:paraId="2588B1FA"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B45E6A">
              <w:rPr>
                <w:sz w:val="19"/>
                <w:szCs w:val="19"/>
                <w:vertAlign w:val="superscript"/>
              </w:rPr>
              <w:t>1</w:t>
            </w:r>
          </w:p>
        </w:tc>
        <w:tc>
          <w:tcPr>
            <w:tcW w:w="935" w:type="dxa"/>
            <w:vAlign w:val="center"/>
          </w:tcPr>
          <w:p w14:paraId="08207919"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B45E6A">
              <w:rPr>
                <w:sz w:val="19"/>
                <w:szCs w:val="19"/>
                <w:vertAlign w:val="superscript"/>
              </w:rPr>
              <w:t>1</w:t>
            </w:r>
          </w:p>
        </w:tc>
      </w:tr>
      <w:tr w:rsidR="00A042A9" w:rsidRPr="00F52B1D" w14:paraId="4EACE032" w14:textId="77777777" w:rsidTr="008A4199">
        <w:tc>
          <w:tcPr>
            <w:tcW w:w="3408" w:type="dxa"/>
            <w:vAlign w:val="center"/>
          </w:tcPr>
          <w:p w14:paraId="03B340ED" w14:textId="77777777" w:rsidR="00A042A9" w:rsidRPr="00F52B1D" w:rsidRDefault="00A042A9" w:rsidP="00AB7459">
            <w:pPr>
              <w:pStyle w:val="TableText"/>
              <w:keepNext/>
              <w:spacing w:before="0" w:after="0" w:line="240" w:lineRule="auto"/>
              <w:ind w:left="104"/>
              <w:rPr>
                <w:sz w:val="19"/>
                <w:szCs w:val="19"/>
              </w:rPr>
            </w:pPr>
            <w:r w:rsidRPr="00F52B1D">
              <w:rPr>
                <w:sz w:val="19"/>
                <w:szCs w:val="19"/>
              </w:rPr>
              <w:t xml:space="preserve">Grandfathered </w:t>
            </w:r>
          </w:p>
        </w:tc>
        <w:tc>
          <w:tcPr>
            <w:tcW w:w="934" w:type="dxa"/>
            <w:vAlign w:val="center"/>
          </w:tcPr>
          <w:p w14:paraId="0ECE74F4" w14:textId="77777777" w:rsidR="00A042A9" w:rsidRPr="00F52B1D" w:rsidRDefault="00CD28A8" w:rsidP="00AB7459">
            <w:pPr>
              <w:pStyle w:val="TableText"/>
              <w:keepNext/>
              <w:spacing w:before="0" w:after="0" w:line="240" w:lineRule="auto"/>
              <w:jc w:val="center"/>
              <w:rPr>
                <w:b/>
                <w:sz w:val="19"/>
                <w:szCs w:val="19"/>
              </w:rPr>
            </w:pPr>
            <w:r>
              <w:rPr>
                <w:b/>
                <w:noProof/>
                <w:color w:val="000000"/>
                <w:sz w:val="19"/>
                <w:szCs w:val="19"/>
                <w:highlight w:val="black"/>
              </w:rPr>
              <w:t>'''''</w:t>
            </w:r>
            <w:r w:rsidR="006758C4">
              <w:rPr>
                <w:sz w:val="19"/>
                <w:szCs w:val="19"/>
                <w:vertAlign w:val="superscript"/>
              </w:rPr>
              <w:t>1</w:t>
            </w:r>
          </w:p>
        </w:tc>
        <w:tc>
          <w:tcPr>
            <w:tcW w:w="935" w:type="dxa"/>
            <w:vAlign w:val="center"/>
          </w:tcPr>
          <w:p w14:paraId="2169789A" w14:textId="77777777" w:rsidR="00A042A9" w:rsidRPr="00F52B1D" w:rsidRDefault="00A042A9" w:rsidP="00AB7459">
            <w:pPr>
              <w:pStyle w:val="TableText"/>
              <w:keepNext/>
              <w:spacing w:before="0" w:after="0" w:line="240" w:lineRule="auto"/>
              <w:jc w:val="center"/>
              <w:rPr>
                <w:b/>
                <w:sz w:val="19"/>
                <w:szCs w:val="19"/>
              </w:rPr>
            </w:pPr>
          </w:p>
        </w:tc>
        <w:tc>
          <w:tcPr>
            <w:tcW w:w="935" w:type="dxa"/>
            <w:vAlign w:val="center"/>
          </w:tcPr>
          <w:p w14:paraId="66447C1E" w14:textId="77777777" w:rsidR="00A042A9" w:rsidRPr="00F52B1D" w:rsidRDefault="00A042A9" w:rsidP="00AB7459">
            <w:pPr>
              <w:pStyle w:val="TableText"/>
              <w:keepNext/>
              <w:spacing w:before="0" w:after="0" w:line="240" w:lineRule="auto"/>
              <w:jc w:val="center"/>
              <w:rPr>
                <w:b/>
                <w:sz w:val="19"/>
                <w:szCs w:val="19"/>
              </w:rPr>
            </w:pPr>
          </w:p>
        </w:tc>
        <w:tc>
          <w:tcPr>
            <w:tcW w:w="934" w:type="dxa"/>
            <w:vAlign w:val="center"/>
          </w:tcPr>
          <w:p w14:paraId="6C5A725F" w14:textId="77777777" w:rsidR="00A042A9" w:rsidRPr="00F52B1D" w:rsidRDefault="00A042A9" w:rsidP="00AB7459">
            <w:pPr>
              <w:pStyle w:val="TableText"/>
              <w:keepNext/>
              <w:spacing w:before="0" w:after="0" w:line="240" w:lineRule="auto"/>
              <w:jc w:val="center"/>
              <w:rPr>
                <w:b/>
                <w:sz w:val="19"/>
                <w:szCs w:val="19"/>
              </w:rPr>
            </w:pPr>
          </w:p>
        </w:tc>
        <w:tc>
          <w:tcPr>
            <w:tcW w:w="935" w:type="dxa"/>
            <w:vAlign w:val="center"/>
          </w:tcPr>
          <w:p w14:paraId="64E2A0CB" w14:textId="77777777" w:rsidR="00A042A9" w:rsidRPr="00F52B1D" w:rsidRDefault="00A042A9" w:rsidP="00AB7459">
            <w:pPr>
              <w:pStyle w:val="TableText"/>
              <w:keepNext/>
              <w:spacing w:before="0" w:after="0" w:line="240" w:lineRule="auto"/>
              <w:jc w:val="center"/>
              <w:rPr>
                <w:b/>
                <w:sz w:val="19"/>
                <w:szCs w:val="19"/>
              </w:rPr>
            </w:pPr>
          </w:p>
        </w:tc>
        <w:tc>
          <w:tcPr>
            <w:tcW w:w="935" w:type="dxa"/>
            <w:vAlign w:val="center"/>
          </w:tcPr>
          <w:p w14:paraId="653F765E" w14:textId="77777777" w:rsidR="00A042A9" w:rsidRPr="00F52B1D" w:rsidRDefault="00A042A9" w:rsidP="00AB7459">
            <w:pPr>
              <w:pStyle w:val="TableText"/>
              <w:keepNext/>
              <w:spacing w:before="0" w:after="0" w:line="240" w:lineRule="auto"/>
              <w:jc w:val="center"/>
              <w:rPr>
                <w:b/>
                <w:sz w:val="19"/>
                <w:szCs w:val="19"/>
              </w:rPr>
            </w:pPr>
          </w:p>
        </w:tc>
      </w:tr>
      <w:tr w:rsidR="00A042A9" w:rsidRPr="00F52B1D" w14:paraId="1D49C0C8" w14:textId="77777777" w:rsidTr="008A4199">
        <w:tc>
          <w:tcPr>
            <w:tcW w:w="3408" w:type="dxa"/>
            <w:vAlign w:val="center"/>
          </w:tcPr>
          <w:p w14:paraId="5921B528" w14:textId="77777777" w:rsidR="00A042A9" w:rsidRPr="00F52B1D" w:rsidRDefault="00A042A9" w:rsidP="00AB7459">
            <w:pPr>
              <w:pStyle w:val="TableText"/>
              <w:keepNext/>
              <w:spacing w:before="0" w:after="0" w:line="240" w:lineRule="auto"/>
              <w:rPr>
                <w:b/>
                <w:sz w:val="19"/>
                <w:szCs w:val="19"/>
              </w:rPr>
            </w:pPr>
            <w:r w:rsidRPr="00F52B1D">
              <w:rPr>
                <w:b/>
                <w:sz w:val="19"/>
                <w:szCs w:val="19"/>
              </w:rPr>
              <w:t xml:space="preserve">Total initial patients for olaparib </w:t>
            </w:r>
          </w:p>
        </w:tc>
        <w:tc>
          <w:tcPr>
            <w:tcW w:w="934" w:type="dxa"/>
            <w:vAlign w:val="center"/>
          </w:tcPr>
          <w:p w14:paraId="7D2F94F2" w14:textId="77777777" w:rsidR="00A042A9" w:rsidRPr="00CD28A8" w:rsidRDefault="00CD28A8" w:rsidP="00AB7459">
            <w:pPr>
              <w:pStyle w:val="TableText"/>
              <w:keepNext/>
              <w:keepLines/>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25720AD1"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2315B3FE"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c>
          <w:tcPr>
            <w:tcW w:w="934" w:type="dxa"/>
            <w:vAlign w:val="center"/>
          </w:tcPr>
          <w:p w14:paraId="12A6D65E"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257A8561"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685B9AAD"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r>
      <w:tr w:rsidR="00A042A9" w:rsidRPr="00F52B1D" w14:paraId="3C67F56B" w14:textId="77777777" w:rsidTr="008A4199">
        <w:tc>
          <w:tcPr>
            <w:tcW w:w="3408" w:type="dxa"/>
            <w:shd w:val="clear" w:color="auto" w:fill="BDD6EE" w:themeFill="accent1" w:themeFillTint="66"/>
            <w:vAlign w:val="center"/>
          </w:tcPr>
          <w:p w14:paraId="31757BA5" w14:textId="77777777" w:rsidR="00A042A9" w:rsidRPr="00F52B1D" w:rsidRDefault="00A042A9" w:rsidP="00AB7459">
            <w:pPr>
              <w:pStyle w:val="TableText"/>
              <w:keepNext/>
              <w:spacing w:before="0" w:after="0" w:line="240" w:lineRule="auto"/>
              <w:rPr>
                <w:b/>
                <w:sz w:val="19"/>
                <w:szCs w:val="19"/>
              </w:rPr>
            </w:pPr>
            <w:r w:rsidRPr="00F52B1D">
              <w:rPr>
                <w:b/>
                <w:sz w:val="19"/>
                <w:szCs w:val="19"/>
              </w:rPr>
              <w:t>Total initial patients olaparib (Mar21)</w:t>
            </w:r>
          </w:p>
        </w:tc>
        <w:tc>
          <w:tcPr>
            <w:tcW w:w="934" w:type="dxa"/>
            <w:shd w:val="clear" w:color="auto" w:fill="BDD6EE" w:themeFill="accent1" w:themeFillTint="66"/>
            <w:vAlign w:val="center"/>
          </w:tcPr>
          <w:p w14:paraId="03152B42" w14:textId="77777777" w:rsidR="00A042A9" w:rsidRPr="00CD28A8" w:rsidRDefault="00CD28A8" w:rsidP="00AB7459">
            <w:pPr>
              <w:pStyle w:val="TableText"/>
              <w:keepNext/>
              <w:keepLines/>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c>
          <w:tcPr>
            <w:tcW w:w="935" w:type="dxa"/>
            <w:shd w:val="clear" w:color="auto" w:fill="BDD6EE" w:themeFill="accent1" w:themeFillTint="66"/>
            <w:vAlign w:val="center"/>
          </w:tcPr>
          <w:p w14:paraId="5E292CEF"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c>
          <w:tcPr>
            <w:tcW w:w="935" w:type="dxa"/>
            <w:shd w:val="clear" w:color="auto" w:fill="BDD6EE" w:themeFill="accent1" w:themeFillTint="66"/>
            <w:vAlign w:val="center"/>
          </w:tcPr>
          <w:p w14:paraId="6CADC23D"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c>
          <w:tcPr>
            <w:tcW w:w="934" w:type="dxa"/>
            <w:shd w:val="clear" w:color="auto" w:fill="BDD6EE" w:themeFill="accent1" w:themeFillTint="66"/>
            <w:vAlign w:val="center"/>
          </w:tcPr>
          <w:p w14:paraId="610180D7"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c>
          <w:tcPr>
            <w:tcW w:w="935" w:type="dxa"/>
            <w:shd w:val="clear" w:color="auto" w:fill="BDD6EE" w:themeFill="accent1" w:themeFillTint="66"/>
            <w:vAlign w:val="center"/>
          </w:tcPr>
          <w:p w14:paraId="11B89A7D"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c>
          <w:tcPr>
            <w:tcW w:w="935" w:type="dxa"/>
            <w:shd w:val="clear" w:color="auto" w:fill="BDD6EE" w:themeFill="accent1" w:themeFillTint="66"/>
            <w:vAlign w:val="center"/>
          </w:tcPr>
          <w:p w14:paraId="720B73D7"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2</w:t>
            </w:r>
          </w:p>
        </w:tc>
      </w:tr>
      <w:tr w:rsidR="00A042A9" w:rsidRPr="00F52B1D" w14:paraId="4A49B288" w14:textId="77777777" w:rsidTr="008A4199">
        <w:tc>
          <w:tcPr>
            <w:tcW w:w="3408" w:type="dxa"/>
            <w:vAlign w:val="center"/>
          </w:tcPr>
          <w:p w14:paraId="7B3EDC84" w14:textId="77777777" w:rsidR="00A042A9" w:rsidRPr="00F52B1D" w:rsidRDefault="00A042A9" w:rsidP="00AB7459">
            <w:pPr>
              <w:pStyle w:val="TableText"/>
              <w:keepNext/>
              <w:spacing w:before="0" w:after="0" w:line="240" w:lineRule="auto"/>
              <w:rPr>
                <w:b/>
                <w:sz w:val="19"/>
                <w:szCs w:val="19"/>
              </w:rPr>
            </w:pPr>
            <w:r w:rsidRPr="00F52B1D">
              <w:rPr>
                <w:b/>
                <w:sz w:val="19"/>
                <w:szCs w:val="19"/>
              </w:rPr>
              <w:t>Total continuing patient olaparib</w:t>
            </w:r>
          </w:p>
        </w:tc>
        <w:tc>
          <w:tcPr>
            <w:tcW w:w="934" w:type="dxa"/>
            <w:vAlign w:val="center"/>
          </w:tcPr>
          <w:p w14:paraId="359E9B35"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20B4FF6C"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5AB78A6E"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c>
          <w:tcPr>
            <w:tcW w:w="934" w:type="dxa"/>
            <w:vAlign w:val="center"/>
          </w:tcPr>
          <w:p w14:paraId="4E4680A4"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01C1F5E3"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0902C4EF" w14:textId="77777777" w:rsidR="00A042A9" w:rsidRPr="00CD28A8" w:rsidRDefault="00CD28A8" w:rsidP="00AB7459">
            <w:pPr>
              <w:pStyle w:val="TableText"/>
              <w:keepN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1</w:t>
            </w:r>
          </w:p>
        </w:tc>
      </w:tr>
      <w:tr w:rsidR="00A042A9" w:rsidRPr="00F52B1D" w14:paraId="1543B6C0" w14:textId="77777777" w:rsidTr="008A4199">
        <w:tc>
          <w:tcPr>
            <w:tcW w:w="3408" w:type="dxa"/>
            <w:shd w:val="clear" w:color="auto" w:fill="BDD6EE" w:themeFill="accent1" w:themeFillTint="66"/>
            <w:vAlign w:val="center"/>
          </w:tcPr>
          <w:p w14:paraId="0852F49A" w14:textId="77777777" w:rsidR="00A042A9" w:rsidRPr="00F52B1D" w:rsidRDefault="00A042A9" w:rsidP="00AB7459">
            <w:pPr>
              <w:pStyle w:val="TableText"/>
              <w:keepNext/>
              <w:spacing w:before="0" w:after="0" w:line="240" w:lineRule="auto"/>
              <w:rPr>
                <w:b/>
                <w:sz w:val="19"/>
                <w:szCs w:val="19"/>
              </w:rPr>
            </w:pPr>
            <w:r w:rsidRPr="00F52B1D">
              <w:rPr>
                <w:b/>
                <w:sz w:val="19"/>
                <w:szCs w:val="19"/>
              </w:rPr>
              <w:t>Total continuing patients olaparib (Mar21)</w:t>
            </w:r>
          </w:p>
        </w:tc>
        <w:tc>
          <w:tcPr>
            <w:tcW w:w="934" w:type="dxa"/>
            <w:shd w:val="clear" w:color="auto" w:fill="BDD6EE" w:themeFill="accent1" w:themeFillTint="66"/>
            <w:vAlign w:val="center"/>
          </w:tcPr>
          <w:p w14:paraId="717E5D08"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c>
          <w:tcPr>
            <w:tcW w:w="935" w:type="dxa"/>
            <w:shd w:val="clear" w:color="auto" w:fill="BDD6EE" w:themeFill="accent1" w:themeFillTint="66"/>
            <w:vAlign w:val="center"/>
          </w:tcPr>
          <w:p w14:paraId="17C3F8BD"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c>
          <w:tcPr>
            <w:tcW w:w="935" w:type="dxa"/>
            <w:shd w:val="clear" w:color="auto" w:fill="BDD6EE" w:themeFill="accent1" w:themeFillTint="66"/>
            <w:vAlign w:val="center"/>
          </w:tcPr>
          <w:p w14:paraId="542A35D0"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c>
          <w:tcPr>
            <w:tcW w:w="934" w:type="dxa"/>
            <w:shd w:val="clear" w:color="auto" w:fill="BDD6EE" w:themeFill="accent1" w:themeFillTint="66"/>
            <w:vAlign w:val="center"/>
          </w:tcPr>
          <w:p w14:paraId="725F4D84"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c>
          <w:tcPr>
            <w:tcW w:w="935" w:type="dxa"/>
            <w:shd w:val="clear" w:color="auto" w:fill="BDD6EE" w:themeFill="accent1" w:themeFillTint="66"/>
            <w:vAlign w:val="center"/>
          </w:tcPr>
          <w:p w14:paraId="4D2DC2CE"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c>
          <w:tcPr>
            <w:tcW w:w="935" w:type="dxa"/>
            <w:shd w:val="clear" w:color="auto" w:fill="BDD6EE" w:themeFill="accent1" w:themeFillTint="66"/>
            <w:vAlign w:val="center"/>
          </w:tcPr>
          <w:p w14:paraId="6F972A6E" w14:textId="77777777" w:rsidR="00A042A9" w:rsidRPr="00CD28A8" w:rsidRDefault="00CD28A8" w:rsidP="00AB7459">
            <w:pPr>
              <w:pStyle w:val="TableText"/>
              <w:keepN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1</w:t>
            </w:r>
          </w:p>
        </w:tc>
      </w:tr>
      <w:tr w:rsidR="00A042A9" w:rsidRPr="00F52B1D" w14:paraId="1984EAAD" w14:textId="77777777" w:rsidTr="008A4199">
        <w:trPr>
          <w:trHeight w:val="70"/>
        </w:trPr>
        <w:tc>
          <w:tcPr>
            <w:tcW w:w="9016" w:type="dxa"/>
            <w:gridSpan w:val="7"/>
            <w:shd w:val="clear" w:color="auto" w:fill="auto"/>
            <w:vAlign w:val="center"/>
          </w:tcPr>
          <w:p w14:paraId="61C68FBB" w14:textId="77777777" w:rsidR="00A042A9" w:rsidRPr="00F52B1D" w:rsidRDefault="00A042A9" w:rsidP="00AB7459">
            <w:pPr>
              <w:pStyle w:val="TableText"/>
              <w:keepNext/>
              <w:spacing w:before="0" w:after="0" w:line="240" w:lineRule="auto"/>
              <w:rPr>
                <w:b/>
                <w:sz w:val="19"/>
                <w:szCs w:val="19"/>
              </w:rPr>
            </w:pPr>
            <w:r w:rsidRPr="00F52B1D">
              <w:rPr>
                <w:b/>
                <w:sz w:val="19"/>
                <w:szCs w:val="19"/>
              </w:rPr>
              <w:t>Estimated number of olaparib scripts (PBS/RPBS) and cost (effective) to PBS/RPBS</w:t>
            </w:r>
          </w:p>
        </w:tc>
      </w:tr>
      <w:tr w:rsidR="00A042A9" w:rsidRPr="00F52B1D" w14:paraId="0C30679C" w14:textId="77777777" w:rsidTr="008A4199">
        <w:tc>
          <w:tcPr>
            <w:tcW w:w="3408" w:type="dxa"/>
            <w:vAlign w:val="center"/>
          </w:tcPr>
          <w:p w14:paraId="1B2BBE59" w14:textId="77777777" w:rsidR="00A042A9" w:rsidRPr="00F52B1D" w:rsidRDefault="00A042A9" w:rsidP="00AB7459">
            <w:pPr>
              <w:pStyle w:val="TableText"/>
              <w:keepNext/>
              <w:spacing w:before="0" w:after="0" w:line="240" w:lineRule="auto"/>
              <w:ind w:left="104"/>
              <w:rPr>
                <w:sz w:val="19"/>
                <w:szCs w:val="19"/>
              </w:rPr>
            </w:pPr>
            <w:r w:rsidRPr="00F52B1D">
              <w:rPr>
                <w:sz w:val="19"/>
                <w:szCs w:val="19"/>
              </w:rPr>
              <w:t>2L mCRPC</w:t>
            </w:r>
          </w:p>
        </w:tc>
        <w:tc>
          <w:tcPr>
            <w:tcW w:w="934" w:type="dxa"/>
            <w:vAlign w:val="center"/>
          </w:tcPr>
          <w:p w14:paraId="78322B74" w14:textId="77777777" w:rsidR="00A042A9" w:rsidRPr="00CD28A8" w:rsidRDefault="00CD28A8" w:rsidP="00AB7459">
            <w:pPr>
              <w:pStyle w:val="TableText"/>
              <w:keepN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2</w:t>
            </w:r>
          </w:p>
        </w:tc>
        <w:tc>
          <w:tcPr>
            <w:tcW w:w="935" w:type="dxa"/>
            <w:vAlign w:val="center"/>
          </w:tcPr>
          <w:p w14:paraId="37B9FA27" w14:textId="77777777" w:rsidR="00A042A9" w:rsidRPr="00CD28A8" w:rsidRDefault="00CD28A8" w:rsidP="00AB7459">
            <w:pPr>
              <w:pStyle w:val="TableText"/>
              <w:keepN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2</w:t>
            </w:r>
          </w:p>
        </w:tc>
        <w:tc>
          <w:tcPr>
            <w:tcW w:w="935" w:type="dxa"/>
            <w:vAlign w:val="center"/>
          </w:tcPr>
          <w:p w14:paraId="74BE6B21" w14:textId="77777777" w:rsidR="00A042A9" w:rsidRPr="00CD28A8" w:rsidRDefault="00CD28A8" w:rsidP="00AB7459">
            <w:pPr>
              <w:pStyle w:val="TableText"/>
              <w:keepN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2</w:t>
            </w:r>
          </w:p>
        </w:tc>
        <w:tc>
          <w:tcPr>
            <w:tcW w:w="934" w:type="dxa"/>
            <w:vAlign w:val="center"/>
          </w:tcPr>
          <w:p w14:paraId="4820BD56" w14:textId="77777777" w:rsidR="00A042A9" w:rsidRPr="00CD28A8" w:rsidRDefault="00CD28A8" w:rsidP="00AB7459">
            <w:pPr>
              <w:pStyle w:val="TableText"/>
              <w:keepN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2</w:t>
            </w:r>
          </w:p>
        </w:tc>
        <w:tc>
          <w:tcPr>
            <w:tcW w:w="935" w:type="dxa"/>
            <w:vAlign w:val="center"/>
          </w:tcPr>
          <w:p w14:paraId="2B0C58E5" w14:textId="77777777" w:rsidR="00A042A9" w:rsidRPr="00CD28A8" w:rsidRDefault="00CD28A8" w:rsidP="00AB7459">
            <w:pPr>
              <w:pStyle w:val="TableText"/>
              <w:keepN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2</w:t>
            </w:r>
          </w:p>
        </w:tc>
        <w:tc>
          <w:tcPr>
            <w:tcW w:w="935" w:type="dxa"/>
            <w:vAlign w:val="center"/>
          </w:tcPr>
          <w:p w14:paraId="13BB1C11" w14:textId="77777777" w:rsidR="00A042A9" w:rsidRPr="00CD28A8" w:rsidRDefault="00CD28A8" w:rsidP="00AB7459">
            <w:pPr>
              <w:pStyle w:val="TableText"/>
              <w:keepN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2</w:t>
            </w:r>
          </w:p>
        </w:tc>
      </w:tr>
      <w:tr w:rsidR="00A042A9" w:rsidRPr="00F52B1D" w14:paraId="030BAD1D" w14:textId="77777777" w:rsidTr="008A4199">
        <w:tc>
          <w:tcPr>
            <w:tcW w:w="3408" w:type="dxa"/>
            <w:vAlign w:val="center"/>
          </w:tcPr>
          <w:p w14:paraId="38037E53" w14:textId="77777777" w:rsidR="00A042A9" w:rsidRPr="00F52B1D" w:rsidRDefault="00A042A9" w:rsidP="00ED665A">
            <w:pPr>
              <w:pStyle w:val="TableText"/>
              <w:spacing w:before="0" w:after="0" w:line="240" w:lineRule="auto"/>
              <w:ind w:left="104"/>
              <w:rPr>
                <w:sz w:val="19"/>
                <w:szCs w:val="19"/>
              </w:rPr>
            </w:pPr>
            <w:r w:rsidRPr="00F52B1D">
              <w:rPr>
                <w:sz w:val="19"/>
                <w:szCs w:val="19"/>
              </w:rPr>
              <w:t>1L mCRPC</w:t>
            </w:r>
          </w:p>
        </w:tc>
        <w:tc>
          <w:tcPr>
            <w:tcW w:w="934" w:type="dxa"/>
            <w:vAlign w:val="center"/>
          </w:tcPr>
          <w:p w14:paraId="791207E5"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43C5E2EA"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199EF544"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4" w:type="dxa"/>
            <w:vAlign w:val="center"/>
          </w:tcPr>
          <w:p w14:paraId="0233E568"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1BF486FF"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0EEBB1AB"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r>
      <w:tr w:rsidR="00A042A9" w:rsidRPr="00F52B1D" w14:paraId="03AF4412" w14:textId="77777777" w:rsidTr="008A4199">
        <w:tc>
          <w:tcPr>
            <w:tcW w:w="3408" w:type="dxa"/>
            <w:vAlign w:val="center"/>
          </w:tcPr>
          <w:p w14:paraId="71FCE9A7" w14:textId="77777777" w:rsidR="00A042A9" w:rsidRPr="00F52B1D" w:rsidRDefault="00A042A9" w:rsidP="00ED665A">
            <w:pPr>
              <w:pStyle w:val="TableText"/>
              <w:spacing w:before="0" w:after="0" w:line="240" w:lineRule="auto"/>
              <w:ind w:left="104"/>
              <w:rPr>
                <w:sz w:val="19"/>
                <w:szCs w:val="19"/>
              </w:rPr>
            </w:pPr>
            <w:r w:rsidRPr="00F52B1D">
              <w:rPr>
                <w:sz w:val="19"/>
                <w:szCs w:val="19"/>
              </w:rPr>
              <w:t>Grandfathered</w:t>
            </w:r>
          </w:p>
        </w:tc>
        <w:tc>
          <w:tcPr>
            <w:tcW w:w="934" w:type="dxa"/>
            <w:vAlign w:val="center"/>
          </w:tcPr>
          <w:p w14:paraId="0E9CADC0"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2BC24F88"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5871D166"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4" w:type="dxa"/>
            <w:vAlign w:val="center"/>
          </w:tcPr>
          <w:p w14:paraId="217B0A5A"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0848DF70"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6EB07CC3"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r>
      <w:tr w:rsidR="00A042A9" w:rsidRPr="00F52B1D" w14:paraId="682C0CC6" w14:textId="77777777" w:rsidTr="008A4199">
        <w:tc>
          <w:tcPr>
            <w:tcW w:w="3408" w:type="dxa"/>
            <w:vAlign w:val="center"/>
          </w:tcPr>
          <w:p w14:paraId="75D32A7F" w14:textId="77777777" w:rsidR="00A042A9" w:rsidRPr="00F52B1D" w:rsidRDefault="00A042A9" w:rsidP="00ED665A">
            <w:pPr>
              <w:pStyle w:val="TableText"/>
              <w:spacing w:before="0" w:after="0" w:line="240" w:lineRule="auto"/>
              <w:rPr>
                <w:b/>
                <w:sz w:val="19"/>
                <w:szCs w:val="19"/>
              </w:rPr>
            </w:pPr>
            <w:r w:rsidRPr="00F52B1D">
              <w:rPr>
                <w:b/>
                <w:sz w:val="19"/>
                <w:szCs w:val="19"/>
              </w:rPr>
              <w:t>Total olaparib scripts</w:t>
            </w:r>
          </w:p>
        </w:tc>
        <w:tc>
          <w:tcPr>
            <w:tcW w:w="934" w:type="dxa"/>
            <w:vAlign w:val="center"/>
          </w:tcPr>
          <w:p w14:paraId="411240AC" w14:textId="77777777" w:rsidR="00A042A9" w:rsidRPr="00CD28A8" w:rsidRDefault="00CD28A8" w:rsidP="00ED665A">
            <w:pPr>
              <w:pStyle w:val="TableText"/>
              <w:spacing w:before="0" w:after="0" w:line="240" w:lineRule="auto"/>
              <w:jc w:val="center"/>
              <w:rPr>
                <w:b/>
                <w:sz w:val="19"/>
                <w:szCs w:val="19"/>
              </w:rPr>
            </w:pPr>
            <w:r>
              <w:rPr>
                <w:noProof/>
                <w:color w:val="000000"/>
                <w:sz w:val="19"/>
                <w:szCs w:val="19"/>
                <w:highlight w:val="black"/>
              </w:rPr>
              <w:t>'''''''''''''</w:t>
            </w:r>
            <w:r w:rsidR="006758C4">
              <w:rPr>
                <w:sz w:val="19"/>
                <w:szCs w:val="19"/>
                <w:vertAlign w:val="superscript"/>
              </w:rPr>
              <w:t>2</w:t>
            </w:r>
          </w:p>
        </w:tc>
        <w:tc>
          <w:tcPr>
            <w:tcW w:w="935" w:type="dxa"/>
            <w:vAlign w:val="center"/>
          </w:tcPr>
          <w:p w14:paraId="7447EE1B" w14:textId="77777777" w:rsidR="00A042A9" w:rsidRPr="00CD28A8" w:rsidRDefault="00CD28A8" w:rsidP="00ED665A">
            <w:pPr>
              <w:pStyle w:val="TableText"/>
              <w:spacing w:before="0" w:after="0" w:line="240" w:lineRule="auto"/>
              <w:jc w:val="center"/>
              <w:rPr>
                <w:b/>
                <w:sz w:val="19"/>
                <w:szCs w:val="19"/>
              </w:rPr>
            </w:pPr>
            <w:r>
              <w:rPr>
                <w:noProof/>
                <w:color w:val="000000"/>
                <w:sz w:val="19"/>
                <w:szCs w:val="19"/>
                <w:highlight w:val="black"/>
              </w:rPr>
              <w:t>'''''''''''''''</w:t>
            </w:r>
            <w:r w:rsidR="006758C4">
              <w:rPr>
                <w:sz w:val="19"/>
                <w:szCs w:val="19"/>
                <w:vertAlign w:val="superscript"/>
              </w:rPr>
              <w:t>2</w:t>
            </w:r>
          </w:p>
        </w:tc>
        <w:tc>
          <w:tcPr>
            <w:tcW w:w="935" w:type="dxa"/>
            <w:vAlign w:val="center"/>
          </w:tcPr>
          <w:p w14:paraId="06868A08" w14:textId="77777777" w:rsidR="00A042A9" w:rsidRPr="00CD28A8" w:rsidRDefault="00CD28A8" w:rsidP="00ED665A">
            <w:pPr>
              <w:pStyle w:val="TableText"/>
              <w:spacing w:before="0" w:after="0" w:line="240" w:lineRule="auto"/>
              <w:jc w:val="center"/>
              <w:rPr>
                <w:b/>
                <w:sz w:val="19"/>
                <w:szCs w:val="19"/>
              </w:rPr>
            </w:pPr>
            <w:r>
              <w:rPr>
                <w:noProof/>
                <w:color w:val="000000"/>
                <w:sz w:val="19"/>
                <w:szCs w:val="19"/>
                <w:highlight w:val="black"/>
              </w:rPr>
              <w:t>'''''''''''''</w:t>
            </w:r>
            <w:r w:rsidR="006758C4">
              <w:rPr>
                <w:sz w:val="19"/>
                <w:szCs w:val="19"/>
                <w:vertAlign w:val="superscript"/>
              </w:rPr>
              <w:t>2</w:t>
            </w:r>
          </w:p>
        </w:tc>
        <w:tc>
          <w:tcPr>
            <w:tcW w:w="934" w:type="dxa"/>
            <w:vAlign w:val="center"/>
          </w:tcPr>
          <w:p w14:paraId="726A1112" w14:textId="77777777" w:rsidR="00A042A9" w:rsidRPr="00CD28A8" w:rsidRDefault="00CD28A8" w:rsidP="00ED665A">
            <w:pPr>
              <w:pStyle w:val="TableText"/>
              <w:spacing w:before="0" w:after="0" w:line="240" w:lineRule="auto"/>
              <w:jc w:val="center"/>
              <w:rPr>
                <w:b/>
                <w:sz w:val="19"/>
                <w:szCs w:val="19"/>
              </w:rPr>
            </w:pPr>
            <w:r>
              <w:rPr>
                <w:noProof/>
                <w:color w:val="000000"/>
                <w:sz w:val="19"/>
                <w:szCs w:val="19"/>
                <w:highlight w:val="black"/>
              </w:rPr>
              <w:t>'''''''''''''''</w:t>
            </w:r>
            <w:r w:rsidR="006758C4">
              <w:rPr>
                <w:sz w:val="19"/>
                <w:szCs w:val="19"/>
                <w:vertAlign w:val="superscript"/>
              </w:rPr>
              <w:t>2</w:t>
            </w:r>
          </w:p>
        </w:tc>
        <w:tc>
          <w:tcPr>
            <w:tcW w:w="935" w:type="dxa"/>
            <w:vAlign w:val="center"/>
          </w:tcPr>
          <w:p w14:paraId="6A1DDA45" w14:textId="77777777" w:rsidR="00A042A9" w:rsidRPr="00CD28A8" w:rsidRDefault="00CD28A8" w:rsidP="00ED665A">
            <w:pPr>
              <w:pStyle w:val="TableText"/>
              <w:spacing w:before="0" w:after="0" w:line="240" w:lineRule="auto"/>
              <w:jc w:val="center"/>
              <w:rPr>
                <w:b/>
                <w:sz w:val="19"/>
                <w:szCs w:val="19"/>
              </w:rPr>
            </w:pPr>
            <w:r>
              <w:rPr>
                <w:noProof/>
                <w:color w:val="000000"/>
                <w:sz w:val="19"/>
                <w:szCs w:val="19"/>
                <w:highlight w:val="black"/>
              </w:rPr>
              <w:t>''''''''''''</w:t>
            </w:r>
            <w:r w:rsidR="006758C4">
              <w:rPr>
                <w:sz w:val="19"/>
                <w:szCs w:val="19"/>
                <w:vertAlign w:val="superscript"/>
              </w:rPr>
              <w:t>2</w:t>
            </w:r>
          </w:p>
        </w:tc>
        <w:tc>
          <w:tcPr>
            <w:tcW w:w="935" w:type="dxa"/>
            <w:vAlign w:val="center"/>
          </w:tcPr>
          <w:p w14:paraId="164B774A" w14:textId="77777777" w:rsidR="00A042A9" w:rsidRPr="00CD28A8" w:rsidRDefault="00CD28A8" w:rsidP="00ED665A">
            <w:pPr>
              <w:pStyle w:val="TableText"/>
              <w:spacing w:before="0" w:after="0" w:line="240" w:lineRule="auto"/>
              <w:jc w:val="center"/>
              <w:rPr>
                <w:b/>
                <w:sz w:val="19"/>
                <w:szCs w:val="19"/>
              </w:rPr>
            </w:pPr>
            <w:r>
              <w:rPr>
                <w:noProof/>
                <w:color w:val="000000"/>
                <w:sz w:val="19"/>
                <w:szCs w:val="19"/>
                <w:highlight w:val="black"/>
              </w:rPr>
              <w:t>''''''''''''''</w:t>
            </w:r>
            <w:r w:rsidR="006758C4">
              <w:rPr>
                <w:sz w:val="19"/>
                <w:szCs w:val="19"/>
                <w:vertAlign w:val="superscript"/>
              </w:rPr>
              <w:t>2</w:t>
            </w:r>
          </w:p>
        </w:tc>
      </w:tr>
      <w:tr w:rsidR="00A042A9" w:rsidRPr="00F52B1D" w14:paraId="716F0B28" w14:textId="77777777" w:rsidTr="008A4199">
        <w:tc>
          <w:tcPr>
            <w:tcW w:w="3408" w:type="dxa"/>
            <w:shd w:val="clear" w:color="auto" w:fill="BDD6EE" w:themeFill="accent1" w:themeFillTint="66"/>
            <w:vAlign w:val="center"/>
          </w:tcPr>
          <w:p w14:paraId="7CF2FF49" w14:textId="77777777" w:rsidR="00A042A9" w:rsidRPr="00F52B1D" w:rsidRDefault="00A042A9" w:rsidP="00ED665A">
            <w:pPr>
              <w:pStyle w:val="TableText"/>
              <w:spacing w:before="0" w:after="0" w:line="240" w:lineRule="auto"/>
              <w:rPr>
                <w:b/>
                <w:sz w:val="19"/>
                <w:szCs w:val="19"/>
              </w:rPr>
            </w:pPr>
            <w:r w:rsidRPr="00F52B1D">
              <w:rPr>
                <w:b/>
                <w:sz w:val="19"/>
                <w:szCs w:val="19"/>
              </w:rPr>
              <w:t>Total olaparib scripts (Mar21)</w:t>
            </w:r>
          </w:p>
        </w:tc>
        <w:tc>
          <w:tcPr>
            <w:tcW w:w="934" w:type="dxa"/>
            <w:shd w:val="clear" w:color="auto" w:fill="BDD6EE" w:themeFill="accent1" w:themeFillTint="66"/>
            <w:vAlign w:val="center"/>
          </w:tcPr>
          <w:p w14:paraId="1138A149"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2</w:t>
            </w:r>
          </w:p>
        </w:tc>
        <w:tc>
          <w:tcPr>
            <w:tcW w:w="935" w:type="dxa"/>
            <w:shd w:val="clear" w:color="auto" w:fill="BDD6EE" w:themeFill="accent1" w:themeFillTint="66"/>
            <w:vAlign w:val="center"/>
          </w:tcPr>
          <w:p w14:paraId="44903A79"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w:t>
            </w:r>
            <w:r w:rsidR="006758C4">
              <w:rPr>
                <w:sz w:val="19"/>
                <w:szCs w:val="19"/>
                <w:vertAlign w:val="superscript"/>
              </w:rPr>
              <w:t>2</w:t>
            </w:r>
            <w:r>
              <w:rPr>
                <w:rFonts w:cs="Arial"/>
                <w:noProof/>
                <w:color w:val="000000"/>
                <w:sz w:val="19"/>
                <w:szCs w:val="19"/>
                <w:highlight w:val="black"/>
              </w:rPr>
              <w:t xml:space="preserve"> </w:t>
            </w:r>
          </w:p>
        </w:tc>
        <w:tc>
          <w:tcPr>
            <w:tcW w:w="935" w:type="dxa"/>
            <w:shd w:val="clear" w:color="auto" w:fill="BDD6EE" w:themeFill="accent1" w:themeFillTint="66"/>
            <w:vAlign w:val="center"/>
          </w:tcPr>
          <w:p w14:paraId="6C1FFC56"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2</w:t>
            </w:r>
          </w:p>
        </w:tc>
        <w:tc>
          <w:tcPr>
            <w:tcW w:w="934" w:type="dxa"/>
            <w:shd w:val="clear" w:color="auto" w:fill="BDD6EE" w:themeFill="accent1" w:themeFillTint="66"/>
            <w:vAlign w:val="center"/>
          </w:tcPr>
          <w:p w14:paraId="22205AEB"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2</w:t>
            </w:r>
          </w:p>
        </w:tc>
        <w:tc>
          <w:tcPr>
            <w:tcW w:w="935" w:type="dxa"/>
            <w:shd w:val="clear" w:color="auto" w:fill="BDD6EE" w:themeFill="accent1" w:themeFillTint="66"/>
            <w:vAlign w:val="center"/>
          </w:tcPr>
          <w:p w14:paraId="4E4C9D98"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 xml:space="preserve">'''''''''''' </w:t>
            </w:r>
            <w:r w:rsidR="006758C4">
              <w:rPr>
                <w:sz w:val="19"/>
                <w:szCs w:val="19"/>
                <w:vertAlign w:val="superscript"/>
              </w:rPr>
              <w:t>2</w:t>
            </w:r>
          </w:p>
        </w:tc>
        <w:tc>
          <w:tcPr>
            <w:tcW w:w="935" w:type="dxa"/>
            <w:shd w:val="clear" w:color="auto" w:fill="BDD6EE" w:themeFill="accent1" w:themeFillTint="66"/>
            <w:vAlign w:val="center"/>
          </w:tcPr>
          <w:p w14:paraId="6C46C135"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w:t>
            </w:r>
            <w:r w:rsidR="006758C4">
              <w:rPr>
                <w:sz w:val="19"/>
                <w:szCs w:val="19"/>
                <w:vertAlign w:val="superscript"/>
              </w:rPr>
              <w:t>2</w:t>
            </w:r>
            <w:r>
              <w:rPr>
                <w:rFonts w:cs="Arial"/>
                <w:noProof/>
                <w:color w:val="000000"/>
                <w:sz w:val="19"/>
                <w:szCs w:val="19"/>
                <w:highlight w:val="black"/>
              </w:rPr>
              <w:t xml:space="preserve"> </w:t>
            </w:r>
          </w:p>
        </w:tc>
      </w:tr>
      <w:tr w:rsidR="00A042A9" w:rsidRPr="00F52B1D" w14:paraId="3573B03B" w14:textId="77777777" w:rsidTr="008A4199">
        <w:tc>
          <w:tcPr>
            <w:tcW w:w="3408" w:type="dxa"/>
            <w:vAlign w:val="center"/>
          </w:tcPr>
          <w:p w14:paraId="4C0BF5F1" w14:textId="77777777" w:rsidR="00A042A9" w:rsidRPr="00F52B1D" w:rsidRDefault="00A042A9" w:rsidP="00ED665A">
            <w:pPr>
              <w:pStyle w:val="TableText"/>
              <w:spacing w:before="0" w:after="0" w:line="240" w:lineRule="auto"/>
              <w:rPr>
                <w:b/>
                <w:sz w:val="19"/>
                <w:szCs w:val="19"/>
              </w:rPr>
            </w:pPr>
            <w:r w:rsidRPr="00F52B1D">
              <w:rPr>
                <w:b/>
                <w:sz w:val="19"/>
                <w:szCs w:val="19"/>
              </w:rPr>
              <w:t>Net cost of olaparib to PBS/RPBS</w:t>
            </w:r>
          </w:p>
        </w:tc>
        <w:tc>
          <w:tcPr>
            <w:tcW w:w="934" w:type="dxa"/>
          </w:tcPr>
          <w:p w14:paraId="01E6F47F"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3</w:t>
            </w:r>
          </w:p>
        </w:tc>
        <w:tc>
          <w:tcPr>
            <w:tcW w:w="935" w:type="dxa"/>
          </w:tcPr>
          <w:p w14:paraId="143E6CBA"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3</w:t>
            </w:r>
          </w:p>
        </w:tc>
        <w:tc>
          <w:tcPr>
            <w:tcW w:w="935" w:type="dxa"/>
          </w:tcPr>
          <w:p w14:paraId="39DDE514"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3</w:t>
            </w:r>
          </w:p>
        </w:tc>
        <w:tc>
          <w:tcPr>
            <w:tcW w:w="934" w:type="dxa"/>
          </w:tcPr>
          <w:p w14:paraId="10AA0204"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3</w:t>
            </w:r>
          </w:p>
        </w:tc>
        <w:tc>
          <w:tcPr>
            <w:tcW w:w="935" w:type="dxa"/>
          </w:tcPr>
          <w:p w14:paraId="651C0D72"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3</w:t>
            </w:r>
          </w:p>
        </w:tc>
        <w:tc>
          <w:tcPr>
            <w:tcW w:w="935" w:type="dxa"/>
          </w:tcPr>
          <w:p w14:paraId="003CBEE3"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3</w:t>
            </w:r>
          </w:p>
        </w:tc>
      </w:tr>
      <w:tr w:rsidR="00A042A9" w:rsidRPr="00F52B1D" w14:paraId="510969A5" w14:textId="77777777" w:rsidTr="008A4199">
        <w:tc>
          <w:tcPr>
            <w:tcW w:w="3408" w:type="dxa"/>
            <w:shd w:val="clear" w:color="auto" w:fill="BDD6EE" w:themeFill="accent1" w:themeFillTint="66"/>
            <w:vAlign w:val="center"/>
          </w:tcPr>
          <w:p w14:paraId="323C8FE4" w14:textId="77777777" w:rsidR="00A042A9" w:rsidRPr="00F52B1D" w:rsidRDefault="00A042A9" w:rsidP="00ED665A">
            <w:pPr>
              <w:pStyle w:val="TableText"/>
              <w:spacing w:before="0" w:after="0" w:line="240" w:lineRule="auto"/>
              <w:rPr>
                <w:b/>
                <w:sz w:val="19"/>
                <w:szCs w:val="19"/>
              </w:rPr>
            </w:pPr>
            <w:r w:rsidRPr="00F52B1D">
              <w:rPr>
                <w:b/>
                <w:sz w:val="19"/>
                <w:szCs w:val="19"/>
              </w:rPr>
              <w:t>Net cost olaparib to PBS/RPBS (Mar21)</w:t>
            </w:r>
          </w:p>
        </w:tc>
        <w:tc>
          <w:tcPr>
            <w:tcW w:w="934" w:type="dxa"/>
            <w:shd w:val="clear" w:color="auto" w:fill="BDD6EE" w:themeFill="accent1" w:themeFillTint="66"/>
            <w:vAlign w:val="center"/>
          </w:tcPr>
          <w:p w14:paraId="5868F87D"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4E11CB5F"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1BB3CDEF"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w:t>
            </w:r>
            <w:r w:rsidR="006758C4">
              <w:rPr>
                <w:sz w:val="19"/>
                <w:szCs w:val="19"/>
                <w:vertAlign w:val="superscript"/>
              </w:rPr>
              <w:t>4</w:t>
            </w:r>
          </w:p>
        </w:tc>
        <w:tc>
          <w:tcPr>
            <w:tcW w:w="934" w:type="dxa"/>
            <w:shd w:val="clear" w:color="auto" w:fill="BDD6EE" w:themeFill="accent1" w:themeFillTint="66"/>
            <w:vAlign w:val="center"/>
          </w:tcPr>
          <w:p w14:paraId="5BF01C2B"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25758F5D"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2A09B249" w14:textId="77777777" w:rsidR="00A042A9" w:rsidRPr="00CD28A8" w:rsidRDefault="00CD28A8" w:rsidP="00ED665A">
            <w:pPr>
              <w:pStyle w:val="TableText"/>
              <w:spacing w:before="0" w:after="0" w:line="240" w:lineRule="auto"/>
              <w:jc w:val="center"/>
              <w:rPr>
                <w:sz w:val="19"/>
                <w:szCs w:val="19"/>
              </w:rPr>
            </w:pPr>
            <w:r>
              <w:rPr>
                <w:rFonts w:cs="Arial"/>
                <w:noProof/>
                <w:color w:val="000000"/>
                <w:sz w:val="19"/>
                <w:szCs w:val="19"/>
                <w:highlight w:val="black"/>
              </w:rPr>
              <w:t>''''''''''''''''''''''''</w:t>
            </w:r>
            <w:r w:rsidR="006758C4">
              <w:rPr>
                <w:sz w:val="19"/>
                <w:szCs w:val="19"/>
                <w:vertAlign w:val="superscript"/>
              </w:rPr>
              <w:t>4</w:t>
            </w:r>
          </w:p>
        </w:tc>
      </w:tr>
      <w:tr w:rsidR="00A042A9" w:rsidRPr="00F52B1D" w14:paraId="7477AEBE" w14:textId="77777777" w:rsidTr="008A4199">
        <w:trPr>
          <w:trHeight w:val="192"/>
        </w:trPr>
        <w:tc>
          <w:tcPr>
            <w:tcW w:w="9016" w:type="dxa"/>
            <w:gridSpan w:val="7"/>
            <w:shd w:val="clear" w:color="auto" w:fill="auto"/>
            <w:vAlign w:val="center"/>
          </w:tcPr>
          <w:p w14:paraId="7126B196" w14:textId="77777777" w:rsidR="00A042A9" w:rsidRPr="00F52B1D" w:rsidRDefault="00A042A9" w:rsidP="00ED665A">
            <w:pPr>
              <w:pStyle w:val="TableText"/>
              <w:spacing w:before="0" w:after="0" w:line="240" w:lineRule="auto"/>
              <w:rPr>
                <w:sz w:val="19"/>
                <w:szCs w:val="19"/>
              </w:rPr>
            </w:pPr>
            <w:r w:rsidRPr="00F52B1D">
              <w:rPr>
                <w:b/>
                <w:sz w:val="19"/>
                <w:szCs w:val="19"/>
              </w:rPr>
              <w:t>Estimation changes in use and financial impact of currently listed treatments</w:t>
            </w:r>
          </w:p>
        </w:tc>
      </w:tr>
      <w:tr w:rsidR="00A042A9" w:rsidRPr="00F52B1D" w14:paraId="191F9AA4" w14:textId="77777777" w:rsidTr="008A4199">
        <w:tc>
          <w:tcPr>
            <w:tcW w:w="3408" w:type="dxa"/>
            <w:vAlign w:val="center"/>
          </w:tcPr>
          <w:p w14:paraId="2E77948D" w14:textId="77777777" w:rsidR="00A042A9" w:rsidRPr="00F52B1D" w:rsidRDefault="00A042A9" w:rsidP="00ED665A">
            <w:pPr>
              <w:pStyle w:val="TableText"/>
              <w:spacing w:before="0" w:after="0" w:line="240" w:lineRule="auto"/>
              <w:ind w:left="104"/>
              <w:rPr>
                <w:sz w:val="19"/>
                <w:szCs w:val="19"/>
              </w:rPr>
            </w:pPr>
            <w:r w:rsidRPr="00F52B1D">
              <w:rPr>
                <w:sz w:val="19"/>
                <w:szCs w:val="19"/>
              </w:rPr>
              <w:t>Patients on comparators TMs displaced by PBS listing of olaparib (2L +1L)</w:t>
            </w:r>
          </w:p>
        </w:tc>
        <w:tc>
          <w:tcPr>
            <w:tcW w:w="934" w:type="dxa"/>
            <w:vAlign w:val="center"/>
          </w:tcPr>
          <w:p w14:paraId="3C8AC3DC"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32889235"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3C5DD970"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4" w:type="dxa"/>
            <w:vAlign w:val="center"/>
          </w:tcPr>
          <w:p w14:paraId="776B83E3"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72AF9260"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c>
          <w:tcPr>
            <w:tcW w:w="935" w:type="dxa"/>
            <w:vAlign w:val="center"/>
          </w:tcPr>
          <w:p w14:paraId="548F50E7" w14:textId="77777777" w:rsidR="00A042A9" w:rsidRPr="00CD28A8" w:rsidRDefault="00CD28A8" w:rsidP="00ED665A">
            <w:pPr>
              <w:pStyle w:val="TableText"/>
              <w:spacing w:before="0" w:after="0" w:line="240" w:lineRule="auto"/>
              <w:jc w:val="center"/>
              <w:rPr>
                <w:iCs/>
                <w:sz w:val="19"/>
                <w:szCs w:val="19"/>
              </w:rPr>
            </w:pPr>
            <w:r>
              <w:rPr>
                <w:noProof/>
                <w:color w:val="000000"/>
                <w:sz w:val="19"/>
                <w:szCs w:val="19"/>
                <w:highlight w:val="black"/>
              </w:rPr>
              <w:t>'''''''</w:t>
            </w:r>
            <w:r w:rsidR="006758C4">
              <w:rPr>
                <w:sz w:val="19"/>
                <w:szCs w:val="19"/>
                <w:vertAlign w:val="superscript"/>
              </w:rPr>
              <w:t>1</w:t>
            </w:r>
          </w:p>
        </w:tc>
      </w:tr>
      <w:tr w:rsidR="00A042A9" w:rsidRPr="00F52B1D" w14:paraId="50563BD6" w14:textId="77777777" w:rsidTr="008A4199">
        <w:tc>
          <w:tcPr>
            <w:tcW w:w="3408" w:type="dxa"/>
            <w:vAlign w:val="center"/>
          </w:tcPr>
          <w:p w14:paraId="6C7C4E8E" w14:textId="77777777" w:rsidR="00A042A9" w:rsidRPr="00F52B1D" w:rsidRDefault="00A042A9">
            <w:pPr>
              <w:pStyle w:val="TableText"/>
              <w:spacing w:before="0" w:after="0" w:line="240" w:lineRule="auto"/>
              <w:ind w:left="104"/>
              <w:rPr>
                <w:sz w:val="19"/>
                <w:szCs w:val="19"/>
              </w:rPr>
            </w:pPr>
            <w:r w:rsidRPr="00F52B1D">
              <w:rPr>
                <w:sz w:val="19"/>
                <w:szCs w:val="19"/>
              </w:rPr>
              <w:t>Reduction in cabazitaxel scripts</w:t>
            </w:r>
          </w:p>
        </w:tc>
        <w:tc>
          <w:tcPr>
            <w:tcW w:w="934" w:type="dxa"/>
            <w:vAlign w:val="center"/>
          </w:tcPr>
          <w:p w14:paraId="77DE9AA3" w14:textId="77777777" w:rsidR="00A042A9" w:rsidRPr="00CD28A8" w:rsidRDefault="006758C4">
            <w:pPr>
              <w:pStyle w:val="TableText"/>
              <w:spacing w:before="0" w:after="0" w:line="240" w:lineRule="auto"/>
              <w:jc w:val="center"/>
              <w:rPr>
                <w:iCs/>
                <w:sz w:val="19"/>
                <w:szCs w:val="19"/>
              </w:rPr>
            </w:pPr>
            <w:r>
              <w:rPr>
                <w:sz w:val="19"/>
                <w:szCs w:val="19"/>
              </w:rPr>
              <w:t>-</w:t>
            </w:r>
            <w:r w:rsidR="00CD28A8">
              <w:rPr>
                <w:noProof/>
                <w:color w:val="000000"/>
                <w:sz w:val="19"/>
                <w:szCs w:val="19"/>
                <w:highlight w:val="black"/>
              </w:rPr>
              <w:t>''''''''''</w:t>
            </w:r>
            <w:r>
              <w:rPr>
                <w:sz w:val="19"/>
                <w:szCs w:val="19"/>
                <w:vertAlign w:val="superscript"/>
              </w:rPr>
              <w:t>1</w:t>
            </w:r>
          </w:p>
        </w:tc>
        <w:tc>
          <w:tcPr>
            <w:tcW w:w="935" w:type="dxa"/>
            <w:vAlign w:val="center"/>
          </w:tcPr>
          <w:p w14:paraId="31DF6590" w14:textId="77777777" w:rsidR="00A042A9" w:rsidRPr="00CD28A8" w:rsidRDefault="006758C4">
            <w:pPr>
              <w:pStyle w:val="TableText"/>
              <w:spacing w:before="0" w:after="0" w:line="240" w:lineRule="auto"/>
              <w:jc w:val="center"/>
              <w:rPr>
                <w:iCs/>
                <w:sz w:val="19"/>
                <w:szCs w:val="19"/>
              </w:rPr>
            </w:pPr>
            <w:r>
              <w:rPr>
                <w:sz w:val="19"/>
                <w:szCs w:val="19"/>
              </w:rPr>
              <w:t>-</w:t>
            </w:r>
            <w:r w:rsidR="00CD28A8">
              <w:rPr>
                <w:noProof/>
                <w:color w:val="000000"/>
                <w:sz w:val="19"/>
                <w:szCs w:val="19"/>
                <w:highlight w:val="black"/>
              </w:rPr>
              <w:t>''''''''''</w:t>
            </w:r>
            <w:r>
              <w:rPr>
                <w:sz w:val="19"/>
                <w:szCs w:val="19"/>
                <w:vertAlign w:val="superscript"/>
              </w:rPr>
              <w:t>1</w:t>
            </w:r>
          </w:p>
        </w:tc>
        <w:tc>
          <w:tcPr>
            <w:tcW w:w="935" w:type="dxa"/>
            <w:vAlign w:val="center"/>
          </w:tcPr>
          <w:p w14:paraId="62481303" w14:textId="77777777" w:rsidR="00A042A9" w:rsidRPr="00CD28A8" w:rsidRDefault="006758C4">
            <w:pPr>
              <w:pStyle w:val="TableText"/>
              <w:spacing w:before="0" w:after="0" w:line="240" w:lineRule="auto"/>
              <w:jc w:val="center"/>
              <w:rPr>
                <w:iCs/>
                <w:sz w:val="19"/>
                <w:szCs w:val="19"/>
              </w:rPr>
            </w:pPr>
            <w:r>
              <w:rPr>
                <w:sz w:val="19"/>
                <w:szCs w:val="19"/>
              </w:rPr>
              <w:t>-</w:t>
            </w:r>
            <w:r w:rsidR="00CD28A8">
              <w:rPr>
                <w:noProof/>
                <w:color w:val="000000"/>
                <w:sz w:val="19"/>
                <w:szCs w:val="19"/>
                <w:highlight w:val="black"/>
              </w:rPr>
              <w:t>''''''''''''</w:t>
            </w:r>
            <w:r>
              <w:rPr>
                <w:sz w:val="19"/>
                <w:szCs w:val="19"/>
                <w:vertAlign w:val="superscript"/>
              </w:rPr>
              <w:t>2</w:t>
            </w:r>
          </w:p>
        </w:tc>
        <w:tc>
          <w:tcPr>
            <w:tcW w:w="934" w:type="dxa"/>
            <w:vAlign w:val="center"/>
          </w:tcPr>
          <w:p w14:paraId="020E41CB" w14:textId="77777777" w:rsidR="00A042A9" w:rsidRPr="00CD28A8" w:rsidRDefault="006758C4">
            <w:pPr>
              <w:pStyle w:val="TableText"/>
              <w:spacing w:before="0" w:after="0" w:line="240" w:lineRule="auto"/>
              <w:jc w:val="center"/>
              <w:rPr>
                <w:iCs/>
                <w:sz w:val="19"/>
                <w:szCs w:val="19"/>
              </w:rPr>
            </w:pPr>
            <w:r>
              <w:rPr>
                <w:sz w:val="19"/>
                <w:szCs w:val="19"/>
              </w:rPr>
              <w:t>-</w:t>
            </w:r>
            <w:r w:rsidR="00CD28A8">
              <w:rPr>
                <w:noProof/>
                <w:color w:val="000000"/>
                <w:sz w:val="19"/>
                <w:szCs w:val="19"/>
                <w:highlight w:val="black"/>
              </w:rPr>
              <w:t>''''''''''''</w:t>
            </w:r>
            <w:r>
              <w:rPr>
                <w:sz w:val="19"/>
                <w:szCs w:val="19"/>
                <w:vertAlign w:val="superscript"/>
              </w:rPr>
              <w:t>2</w:t>
            </w:r>
          </w:p>
        </w:tc>
        <w:tc>
          <w:tcPr>
            <w:tcW w:w="935" w:type="dxa"/>
            <w:vAlign w:val="center"/>
          </w:tcPr>
          <w:p w14:paraId="77FECB34" w14:textId="77777777" w:rsidR="00A042A9" w:rsidRPr="00CD28A8" w:rsidRDefault="006758C4">
            <w:pPr>
              <w:pStyle w:val="TableText"/>
              <w:spacing w:before="0" w:after="0" w:line="240" w:lineRule="auto"/>
              <w:jc w:val="center"/>
              <w:rPr>
                <w:iCs/>
                <w:sz w:val="19"/>
                <w:szCs w:val="19"/>
              </w:rPr>
            </w:pPr>
            <w:r>
              <w:rPr>
                <w:sz w:val="19"/>
                <w:szCs w:val="19"/>
              </w:rPr>
              <w:t>-</w:t>
            </w:r>
            <w:r w:rsidR="00CD28A8">
              <w:rPr>
                <w:noProof/>
                <w:color w:val="000000"/>
                <w:sz w:val="19"/>
                <w:szCs w:val="19"/>
                <w:highlight w:val="black"/>
              </w:rPr>
              <w:t>''''''''''''</w:t>
            </w:r>
            <w:r>
              <w:rPr>
                <w:sz w:val="19"/>
                <w:szCs w:val="19"/>
                <w:vertAlign w:val="superscript"/>
              </w:rPr>
              <w:t>2</w:t>
            </w:r>
          </w:p>
        </w:tc>
        <w:tc>
          <w:tcPr>
            <w:tcW w:w="935" w:type="dxa"/>
            <w:vAlign w:val="center"/>
          </w:tcPr>
          <w:p w14:paraId="04C68E85" w14:textId="77777777" w:rsidR="00A042A9" w:rsidRPr="00CD28A8" w:rsidRDefault="006758C4">
            <w:pPr>
              <w:pStyle w:val="TableText"/>
              <w:spacing w:before="0" w:after="0" w:line="240" w:lineRule="auto"/>
              <w:jc w:val="center"/>
              <w:rPr>
                <w:iCs/>
                <w:sz w:val="19"/>
                <w:szCs w:val="19"/>
              </w:rPr>
            </w:pPr>
            <w:r>
              <w:rPr>
                <w:sz w:val="19"/>
                <w:szCs w:val="19"/>
              </w:rPr>
              <w:t>-</w:t>
            </w:r>
            <w:r w:rsidR="00CD28A8">
              <w:rPr>
                <w:noProof/>
                <w:color w:val="000000"/>
                <w:sz w:val="19"/>
                <w:szCs w:val="19"/>
                <w:highlight w:val="black"/>
              </w:rPr>
              <w:t>'''''''''''</w:t>
            </w:r>
            <w:r>
              <w:rPr>
                <w:sz w:val="19"/>
                <w:szCs w:val="19"/>
                <w:vertAlign w:val="superscript"/>
              </w:rPr>
              <w:t>2</w:t>
            </w:r>
          </w:p>
        </w:tc>
      </w:tr>
      <w:tr w:rsidR="00A042A9" w:rsidRPr="00F52B1D" w14:paraId="62109B1D" w14:textId="77777777" w:rsidTr="008A4199">
        <w:tc>
          <w:tcPr>
            <w:tcW w:w="3408" w:type="dxa"/>
            <w:vAlign w:val="center"/>
          </w:tcPr>
          <w:p w14:paraId="17427170" w14:textId="77777777" w:rsidR="00A042A9" w:rsidRPr="00F52B1D" w:rsidRDefault="00A042A9" w:rsidP="00ED665A">
            <w:pPr>
              <w:pStyle w:val="TableText"/>
              <w:spacing w:before="0" w:after="0" w:line="240" w:lineRule="auto"/>
              <w:ind w:left="-38"/>
              <w:rPr>
                <w:sz w:val="19"/>
                <w:szCs w:val="19"/>
              </w:rPr>
            </w:pPr>
            <w:r w:rsidRPr="00F52B1D">
              <w:rPr>
                <w:sz w:val="19"/>
                <w:szCs w:val="19"/>
              </w:rPr>
              <w:t>Total cost offset to PBS/RPBS</w:t>
            </w:r>
          </w:p>
        </w:tc>
        <w:tc>
          <w:tcPr>
            <w:tcW w:w="934" w:type="dxa"/>
          </w:tcPr>
          <w:p w14:paraId="6B06905B" w14:textId="77777777" w:rsidR="00A042A9" w:rsidRPr="00CD28A8" w:rsidRDefault="006758C4" w:rsidP="00ED665A">
            <w:pPr>
              <w:pStyle w:val="TableText"/>
              <w:spacing w:before="0" w:after="0" w:line="240" w:lineRule="auto"/>
              <w:rPr>
                <w:sz w:val="19"/>
                <w:szCs w:val="19"/>
                <w:highlight w:val="yellow"/>
              </w:rPr>
            </w:pPr>
            <w:r>
              <w:rPr>
                <w:sz w:val="19"/>
                <w:szCs w:val="19"/>
              </w:rPr>
              <w:t>-</w:t>
            </w:r>
            <w:r w:rsidR="00CD28A8">
              <w:rPr>
                <w:noProof/>
                <w:color w:val="000000"/>
                <w:sz w:val="19"/>
                <w:szCs w:val="19"/>
                <w:highlight w:val="black"/>
              </w:rPr>
              <w:t>''''''''''''''''''''''</w:t>
            </w:r>
            <w:r>
              <w:rPr>
                <w:sz w:val="19"/>
                <w:szCs w:val="19"/>
                <w:vertAlign w:val="superscript"/>
              </w:rPr>
              <w:t>4</w:t>
            </w:r>
          </w:p>
        </w:tc>
        <w:tc>
          <w:tcPr>
            <w:tcW w:w="935" w:type="dxa"/>
          </w:tcPr>
          <w:p w14:paraId="75DCD583" w14:textId="77777777" w:rsidR="00A042A9" w:rsidRPr="00CD28A8" w:rsidRDefault="006758C4">
            <w:pPr>
              <w:pStyle w:val="TableText"/>
              <w:spacing w:before="0" w:after="0" w:line="240" w:lineRule="auto"/>
              <w:rPr>
                <w:sz w:val="19"/>
                <w:szCs w:val="19"/>
                <w:highlight w:val="yellow"/>
              </w:rPr>
            </w:pPr>
            <w:r>
              <w:rPr>
                <w:sz w:val="19"/>
                <w:szCs w:val="19"/>
              </w:rPr>
              <w:t>-</w:t>
            </w:r>
            <w:r w:rsidR="00CD28A8">
              <w:rPr>
                <w:noProof/>
                <w:color w:val="000000"/>
                <w:sz w:val="19"/>
                <w:szCs w:val="19"/>
                <w:highlight w:val="black"/>
              </w:rPr>
              <w:t>'''''''''''''''''''''</w:t>
            </w:r>
            <w:r>
              <w:rPr>
                <w:sz w:val="19"/>
                <w:szCs w:val="19"/>
                <w:vertAlign w:val="superscript"/>
              </w:rPr>
              <w:t>4</w:t>
            </w:r>
          </w:p>
        </w:tc>
        <w:tc>
          <w:tcPr>
            <w:tcW w:w="935" w:type="dxa"/>
          </w:tcPr>
          <w:p w14:paraId="33F7F681" w14:textId="77777777" w:rsidR="00A042A9" w:rsidRPr="00CD28A8" w:rsidRDefault="006758C4">
            <w:pPr>
              <w:pStyle w:val="TableText"/>
              <w:spacing w:before="0" w:after="0" w:line="240" w:lineRule="auto"/>
              <w:rPr>
                <w:sz w:val="19"/>
                <w:szCs w:val="19"/>
                <w:highlight w:val="yellow"/>
              </w:rPr>
            </w:pPr>
            <w:r>
              <w:rPr>
                <w:sz w:val="19"/>
                <w:szCs w:val="19"/>
              </w:rPr>
              <w:t>-</w:t>
            </w:r>
            <w:r w:rsidR="00CD28A8">
              <w:rPr>
                <w:noProof/>
                <w:color w:val="000000"/>
                <w:sz w:val="19"/>
                <w:szCs w:val="19"/>
                <w:highlight w:val="black"/>
              </w:rPr>
              <w:t>''''''''''''''''''''''''</w:t>
            </w:r>
            <w:r>
              <w:rPr>
                <w:sz w:val="19"/>
                <w:szCs w:val="19"/>
                <w:vertAlign w:val="superscript"/>
              </w:rPr>
              <w:t>4</w:t>
            </w:r>
          </w:p>
        </w:tc>
        <w:tc>
          <w:tcPr>
            <w:tcW w:w="934" w:type="dxa"/>
          </w:tcPr>
          <w:p w14:paraId="4AB88CB4" w14:textId="77777777" w:rsidR="00A042A9" w:rsidRPr="00CD28A8" w:rsidRDefault="006758C4">
            <w:pPr>
              <w:pStyle w:val="TableText"/>
              <w:spacing w:before="0" w:after="0" w:line="240" w:lineRule="auto"/>
              <w:rPr>
                <w:sz w:val="19"/>
                <w:szCs w:val="19"/>
                <w:highlight w:val="yellow"/>
              </w:rPr>
            </w:pPr>
            <w:r>
              <w:rPr>
                <w:sz w:val="19"/>
                <w:szCs w:val="19"/>
              </w:rPr>
              <w:t>-</w:t>
            </w:r>
            <w:r w:rsidR="00CD28A8">
              <w:rPr>
                <w:noProof/>
                <w:color w:val="000000"/>
                <w:sz w:val="19"/>
                <w:szCs w:val="19"/>
                <w:highlight w:val="black"/>
              </w:rPr>
              <w:t>'''''''''''''''''''''''''</w:t>
            </w:r>
            <w:r>
              <w:rPr>
                <w:sz w:val="19"/>
                <w:szCs w:val="19"/>
                <w:vertAlign w:val="superscript"/>
              </w:rPr>
              <w:t>4</w:t>
            </w:r>
          </w:p>
        </w:tc>
        <w:tc>
          <w:tcPr>
            <w:tcW w:w="935" w:type="dxa"/>
          </w:tcPr>
          <w:p w14:paraId="24FAA710" w14:textId="77777777" w:rsidR="00A042A9" w:rsidRPr="00CD28A8" w:rsidRDefault="006758C4">
            <w:pPr>
              <w:pStyle w:val="TableText"/>
              <w:spacing w:before="0" w:after="0" w:line="240" w:lineRule="auto"/>
              <w:rPr>
                <w:sz w:val="19"/>
                <w:szCs w:val="19"/>
                <w:highlight w:val="yellow"/>
              </w:rPr>
            </w:pPr>
            <w:r>
              <w:rPr>
                <w:sz w:val="19"/>
                <w:szCs w:val="19"/>
              </w:rPr>
              <w:t>-</w:t>
            </w:r>
            <w:r w:rsidR="00CD28A8">
              <w:rPr>
                <w:noProof/>
                <w:color w:val="000000"/>
                <w:sz w:val="19"/>
                <w:szCs w:val="19"/>
                <w:highlight w:val="black"/>
              </w:rPr>
              <w:t>''''''''''''''''''''''</w:t>
            </w:r>
            <w:r>
              <w:rPr>
                <w:sz w:val="19"/>
                <w:szCs w:val="19"/>
                <w:vertAlign w:val="superscript"/>
              </w:rPr>
              <w:t>4</w:t>
            </w:r>
          </w:p>
        </w:tc>
        <w:tc>
          <w:tcPr>
            <w:tcW w:w="935" w:type="dxa"/>
          </w:tcPr>
          <w:p w14:paraId="3EE7EA34" w14:textId="77777777" w:rsidR="00A042A9" w:rsidRPr="00CD28A8" w:rsidRDefault="006758C4">
            <w:pPr>
              <w:pStyle w:val="TableText"/>
              <w:spacing w:before="0" w:after="0" w:line="240" w:lineRule="auto"/>
              <w:rPr>
                <w:sz w:val="19"/>
                <w:szCs w:val="19"/>
              </w:rPr>
            </w:pPr>
            <w:r>
              <w:rPr>
                <w:sz w:val="19"/>
                <w:szCs w:val="19"/>
              </w:rPr>
              <w:t>-</w:t>
            </w:r>
            <w:r w:rsidR="00CD28A8">
              <w:rPr>
                <w:noProof/>
                <w:color w:val="000000"/>
                <w:sz w:val="19"/>
                <w:szCs w:val="19"/>
                <w:highlight w:val="black"/>
              </w:rPr>
              <w:t>''''''''''''''''''''''''</w:t>
            </w:r>
            <w:r>
              <w:rPr>
                <w:sz w:val="19"/>
                <w:szCs w:val="19"/>
                <w:vertAlign w:val="superscript"/>
              </w:rPr>
              <w:t>4</w:t>
            </w:r>
          </w:p>
        </w:tc>
      </w:tr>
      <w:tr w:rsidR="00A042A9" w:rsidRPr="00F52B1D" w14:paraId="02F5455F" w14:textId="77777777" w:rsidTr="008A4199">
        <w:tc>
          <w:tcPr>
            <w:tcW w:w="3408" w:type="dxa"/>
            <w:shd w:val="clear" w:color="auto" w:fill="BDD6EE" w:themeFill="accent1" w:themeFillTint="66"/>
            <w:vAlign w:val="center"/>
          </w:tcPr>
          <w:p w14:paraId="321B99A7" w14:textId="77777777" w:rsidR="00A042A9" w:rsidRPr="00F52B1D" w:rsidRDefault="00A042A9" w:rsidP="00ED665A">
            <w:pPr>
              <w:pStyle w:val="TableText"/>
              <w:spacing w:before="0" w:after="0" w:line="240" w:lineRule="auto"/>
              <w:rPr>
                <w:sz w:val="19"/>
                <w:szCs w:val="19"/>
              </w:rPr>
            </w:pPr>
            <w:r w:rsidRPr="00F52B1D">
              <w:rPr>
                <w:sz w:val="19"/>
                <w:szCs w:val="19"/>
              </w:rPr>
              <w:t>Total cost offsets to PBS/RPBS (Mar21)</w:t>
            </w:r>
          </w:p>
        </w:tc>
        <w:tc>
          <w:tcPr>
            <w:tcW w:w="934" w:type="dxa"/>
            <w:shd w:val="clear" w:color="auto" w:fill="BDD6EE" w:themeFill="accent1" w:themeFillTint="66"/>
          </w:tcPr>
          <w:p w14:paraId="67E267A5"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tcPr>
          <w:p w14:paraId="73AF05D2"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tcPr>
          <w:p w14:paraId="1C7F442D"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4</w:t>
            </w:r>
          </w:p>
        </w:tc>
        <w:tc>
          <w:tcPr>
            <w:tcW w:w="934" w:type="dxa"/>
            <w:shd w:val="clear" w:color="auto" w:fill="BDD6EE" w:themeFill="accent1" w:themeFillTint="66"/>
          </w:tcPr>
          <w:p w14:paraId="596721A0"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tcPr>
          <w:p w14:paraId="6481E891"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tcPr>
          <w:p w14:paraId="66C3DCAA" w14:textId="77777777" w:rsidR="00A042A9" w:rsidRPr="00CD28A8" w:rsidRDefault="00CD28A8" w:rsidP="00ED665A">
            <w:pPr>
              <w:pStyle w:val="TableText"/>
              <w:spacing w:before="0" w:after="0" w:line="240" w:lineRule="auto"/>
              <w:jc w:val="center"/>
              <w:rPr>
                <w:sz w:val="19"/>
                <w:szCs w:val="19"/>
              </w:rPr>
            </w:pPr>
            <w:r>
              <w:rPr>
                <w:noProof/>
                <w:color w:val="000000"/>
                <w:sz w:val="19"/>
                <w:szCs w:val="19"/>
                <w:highlight w:val="black"/>
              </w:rPr>
              <w:t>''''''</w:t>
            </w:r>
            <w:r w:rsidR="006758C4">
              <w:rPr>
                <w:sz w:val="19"/>
                <w:szCs w:val="19"/>
                <w:vertAlign w:val="superscript"/>
              </w:rPr>
              <w:t>4</w:t>
            </w:r>
          </w:p>
        </w:tc>
      </w:tr>
      <w:tr w:rsidR="00A042A9" w:rsidRPr="00F52B1D" w14:paraId="53AC4A96" w14:textId="77777777" w:rsidTr="008A4199">
        <w:trPr>
          <w:trHeight w:val="299"/>
        </w:trPr>
        <w:tc>
          <w:tcPr>
            <w:tcW w:w="9016" w:type="dxa"/>
            <w:gridSpan w:val="7"/>
            <w:vAlign w:val="center"/>
          </w:tcPr>
          <w:p w14:paraId="1672F84C" w14:textId="77777777" w:rsidR="00A042A9" w:rsidRPr="00F52B1D" w:rsidRDefault="00A042A9" w:rsidP="00ED665A">
            <w:pPr>
              <w:pStyle w:val="TableText"/>
              <w:spacing w:before="0" w:after="0" w:line="240" w:lineRule="auto"/>
              <w:rPr>
                <w:sz w:val="19"/>
                <w:szCs w:val="19"/>
              </w:rPr>
            </w:pPr>
            <w:r w:rsidRPr="00F52B1D">
              <w:rPr>
                <w:b/>
                <w:sz w:val="19"/>
                <w:szCs w:val="19"/>
              </w:rPr>
              <w:t>Estimated financial implications for the PBS/RPBS and the health budget</w:t>
            </w:r>
          </w:p>
        </w:tc>
      </w:tr>
      <w:tr w:rsidR="00A042A9" w:rsidRPr="00F52B1D" w14:paraId="4EAEC075" w14:textId="77777777" w:rsidTr="008A4199">
        <w:tc>
          <w:tcPr>
            <w:tcW w:w="3408" w:type="dxa"/>
            <w:vAlign w:val="center"/>
          </w:tcPr>
          <w:p w14:paraId="13B63835" w14:textId="77777777" w:rsidR="00A042A9" w:rsidRPr="00F52B1D" w:rsidRDefault="00A042A9" w:rsidP="00ED665A">
            <w:pPr>
              <w:pStyle w:val="TableText"/>
              <w:spacing w:before="0" w:after="0" w:line="240" w:lineRule="auto"/>
              <w:rPr>
                <w:sz w:val="19"/>
                <w:szCs w:val="19"/>
              </w:rPr>
            </w:pPr>
            <w:r w:rsidRPr="00F52B1D">
              <w:rPr>
                <w:sz w:val="19"/>
                <w:szCs w:val="19"/>
              </w:rPr>
              <w:t>Net cost PBS/RPBS (net cost offsets)</w:t>
            </w:r>
          </w:p>
        </w:tc>
        <w:tc>
          <w:tcPr>
            <w:tcW w:w="934" w:type="dxa"/>
            <w:vAlign w:val="center"/>
          </w:tcPr>
          <w:p w14:paraId="50970951" w14:textId="77777777" w:rsidR="00A042A9" w:rsidRPr="00CD28A8" w:rsidRDefault="00CD28A8" w:rsidP="00ED665A">
            <w:pPr>
              <w:pStyle w:val="Tabletext1"/>
              <w:jc w:val="center"/>
              <w:rPr>
                <w:sz w:val="19"/>
                <w:szCs w:val="19"/>
                <w:highlight w:val="yellow"/>
              </w:rPr>
            </w:pPr>
            <w:r>
              <w:rPr>
                <w:noProof/>
                <w:color w:val="000000"/>
                <w:sz w:val="19"/>
                <w:szCs w:val="19"/>
                <w:highlight w:val="black"/>
              </w:rPr>
              <w:t>''''''''''''''''''''''''''</w:t>
            </w:r>
            <w:r w:rsidR="006758C4">
              <w:rPr>
                <w:sz w:val="19"/>
                <w:szCs w:val="19"/>
                <w:vertAlign w:val="superscript"/>
              </w:rPr>
              <w:t>3</w:t>
            </w:r>
          </w:p>
        </w:tc>
        <w:tc>
          <w:tcPr>
            <w:tcW w:w="935" w:type="dxa"/>
            <w:vAlign w:val="center"/>
          </w:tcPr>
          <w:p w14:paraId="4D4D4DE1" w14:textId="77777777" w:rsidR="00A042A9" w:rsidRPr="00CD28A8" w:rsidRDefault="00CD28A8" w:rsidP="00ED665A">
            <w:pPr>
              <w:pStyle w:val="Tabletext1"/>
              <w:jc w:val="center"/>
              <w:rPr>
                <w:sz w:val="19"/>
                <w:szCs w:val="19"/>
                <w:highlight w:val="yellow"/>
              </w:rPr>
            </w:pPr>
            <w:r>
              <w:rPr>
                <w:noProof/>
                <w:color w:val="000000"/>
                <w:sz w:val="19"/>
                <w:szCs w:val="19"/>
                <w:highlight w:val="black"/>
              </w:rPr>
              <w:t>'''''''''''''''''''''''''''</w:t>
            </w:r>
            <w:r w:rsidR="006758C4">
              <w:rPr>
                <w:sz w:val="19"/>
                <w:szCs w:val="19"/>
                <w:vertAlign w:val="superscript"/>
              </w:rPr>
              <w:t>3</w:t>
            </w:r>
          </w:p>
        </w:tc>
        <w:tc>
          <w:tcPr>
            <w:tcW w:w="935" w:type="dxa"/>
            <w:vAlign w:val="center"/>
          </w:tcPr>
          <w:p w14:paraId="29B18855" w14:textId="77777777" w:rsidR="00A042A9" w:rsidRPr="00CD28A8" w:rsidRDefault="00CD28A8" w:rsidP="00ED665A">
            <w:pPr>
              <w:pStyle w:val="Tabletext1"/>
              <w:jc w:val="center"/>
              <w:rPr>
                <w:sz w:val="19"/>
                <w:szCs w:val="19"/>
                <w:highlight w:val="yellow"/>
              </w:rPr>
            </w:pPr>
            <w:r>
              <w:rPr>
                <w:noProof/>
                <w:color w:val="000000"/>
                <w:sz w:val="19"/>
                <w:szCs w:val="19"/>
                <w:highlight w:val="black"/>
              </w:rPr>
              <w:t>''''''''''''''''''''''</w:t>
            </w:r>
            <w:r w:rsidR="006758C4">
              <w:rPr>
                <w:sz w:val="19"/>
                <w:szCs w:val="19"/>
                <w:vertAlign w:val="superscript"/>
              </w:rPr>
              <w:t>3</w:t>
            </w:r>
          </w:p>
        </w:tc>
        <w:tc>
          <w:tcPr>
            <w:tcW w:w="934" w:type="dxa"/>
            <w:vAlign w:val="center"/>
          </w:tcPr>
          <w:p w14:paraId="1AC7E552" w14:textId="77777777" w:rsidR="00A042A9" w:rsidRPr="00CD28A8" w:rsidRDefault="00CD28A8" w:rsidP="00ED665A">
            <w:pPr>
              <w:pStyle w:val="Tabletext1"/>
              <w:jc w:val="center"/>
              <w:rPr>
                <w:sz w:val="19"/>
                <w:szCs w:val="19"/>
                <w:highlight w:val="yellow"/>
              </w:rPr>
            </w:pPr>
            <w:r>
              <w:rPr>
                <w:noProof/>
                <w:color w:val="000000"/>
                <w:sz w:val="19"/>
                <w:szCs w:val="19"/>
                <w:highlight w:val="black"/>
              </w:rPr>
              <w:t>'''''''''''''''''''</w:t>
            </w:r>
            <w:r w:rsidR="006758C4">
              <w:rPr>
                <w:sz w:val="19"/>
                <w:szCs w:val="19"/>
                <w:vertAlign w:val="superscript"/>
              </w:rPr>
              <w:t>3</w:t>
            </w:r>
          </w:p>
        </w:tc>
        <w:tc>
          <w:tcPr>
            <w:tcW w:w="935" w:type="dxa"/>
            <w:vAlign w:val="center"/>
          </w:tcPr>
          <w:p w14:paraId="01B5365C" w14:textId="77777777" w:rsidR="00A042A9" w:rsidRPr="00CD28A8" w:rsidRDefault="00CD28A8" w:rsidP="00ED665A">
            <w:pPr>
              <w:pStyle w:val="Tabletext1"/>
              <w:jc w:val="center"/>
              <w:rPr>
                <w:sz w:val="19"/>
                <w:szCs w:val="19"/>
                <w:highlight w:val="yellow"/>
              </w:rPr>
            </w:pPr>
            <w:r>
              <w:rPr>
                <w:noProof/>
                <w:color w:val="000000"/>
                <w:sz w:val="19"/>
                <w:szCs w:val="19"/>
                <w:highlight w:val="black"/>
              </w:rPr>
              <w:t>'''''''''''''''''''''</w:t>
            </w:r>
            <w:r w:rsidR="006758C4">
              <w:rPr>
                <w:sz w:val="19"/>
                <w:szCs w:val="19"/>
                <w:vertAlign w:val="superscript"/>
              </w:rPr>
              <w:t>3</w:t>
            </w:r>
          </w:p>
        </w:tc>
        <w:tc>
          <w:tcPr>
            <w:tcW w:w="935" w:type="dxa"/>
            <w:vAlign w:val="center"/>
          </w:tcPr>
          <w:p w14:paraId="1FF32A69" w14:textId="77777777" w:rsidR="00A042A9" w:rsidRPr="00CD28A8" w:rsidRDefault="00CD28A8" w:rsidP="00ED665A">
            <w:pPr>
              <w:pStyle w:val="Tabletext1"/>
              <w:jc w:val="center"/>
              <w:rPr>
                <w:sz w:val="19"/>
                <w:szCs w:val="19"/>
                <w:highlight w:val="yellow"/>
              </w:rPr>
            </w:pPr>
            <w:r>
              <w:rPr>
                <w:noProof/>
                <w:color w:val="000000"/>
                <w:sz w:val="19"/>
                <w:szCs w:val="19"/>
                <w:highlight w:val="black"/>
              </w:rPr>
              <w:t>''''''''''''''''''''''</w:t>
            </w:r>
            <w:r w:rsidR="006758C4">
              <w:rPr>
                <w:sz w:val="19"/>
                <w:szCs w:val="19"/>
                <w:vertAlign w:val="superscript"/>
              </w:rPr>
              <w:t>3</w:t>
            </w:r>
          </w:p>
        </w:tc>
      </w:tr>
      <w:tr w:rsidR="00A042A9" w:rsidRPr="00F52B1D" w14:paraId="2CB3BCC9" w14:textId="77777777" w:rsidTr="008A4199">
        <w:tc>
          <w:tcPr>
            <w:tcW w:w="3408" w:type="dxa"/>
            <w:shd w:val="clear" w:color="auto" w:fill="BDD6EE" w:themeFill="accent1" w:themeFillTint="66"/>
            <w:vAlign w:val="center"/>
          </w:tcPr>
          <w:p w14:paraId="211A2FD5" w14:textId="77777777" w:rsidR="00A042A9" w:rsidRPr="00F52B1D" w:rsidRDefault="00A042A9" w:rsidP="00ED665A">
            <w:pPr>
              <w:pStyle w:val="TableText"/>
              <w:spacing w:before="0" w:after="0" w:line="240" w:lineRule="auto"/>
              <w:rPr>
                <w:sz w:val="19"/>
                <w:szCs w:val="19"/>
              </w:rPr>
            </w:pPr>
            <w:r w:rsidRPr="00F52B1D">
              <w:rPr>
                <w:sz w:val="19"/>
                <w:szCs w:val="19"/>
              </w:rPr>
              <w:t>Net cost PBS/RPBS (net cost offsets) (Mar21)</w:t>
            </w:r>
          </w:p>
        </w:tc>
        <w:tc>
          <w:tcPr>
            <w:tcW w:w="934" w:type="dxa"/>
            <w:shd w:val="clear" w:color="auto" w:fill="BDD6EE" w:themeFill="accent1" w:themeFillTint="66"/>
            <w:vAlign w:val="center"/>
          </w:tcPr>
          <w:p w14:paraId="04A9C45E" w14:textId="77777777" w:rsidR="00A042A9" w:rsidRPr="00CD28A8" w:rsidRDefault="00CD28A8" w:rsidP="00ED665A">
            <w:pPr>
              <w:pStyle w:val="Tabletext1"/>
              <w:jc w:val="center"/>
              <w:rPr>
                <w:sz w:val="19"/>
                <w:szCs w:val="19"/>
              </w:rPr>
            </w:pPr>
            <w:r>
              <w:rPr>
                <w:rFonts w:cs="Arial"/>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7FDEF049" w14:textId="77777777" w:rsidR="00A042A9" w:rsidRPr="00CD28A8" w:rsidRDefault="00CD28A8" w:rsidP="00ED665A">
            <w:pPr>
              <w:pStyle w:val="Tabletext1"/>
              <w:jc w:val="center"/>
              <w:rPr>
                <w:sz w:val="19"/>
                <w:szCs w:val="19"/>
              </w:rPr>
            </w:pPr>
            <w:r>
              <w:rPr>
                <w:rFonts w:cs="Arial"/>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26B50BD2" w14:textId="77777777" w:rsidR="00A042A9" w:rsidRPr="00CD28A8" w:rsidRDefault="00CD28A8" w:rsidP="00ED665A">
            <w:pPr>
              <w:pStyle w:val="Tabletext1"/>
              <w:jc w:val="center"/>
              <w:rPr>
                <w:sz w:val="19"/>
                <w:szCs w:val="19"/>
              </w:rPr>
            </w:pPr>
            <w:r>
              <w:rPr>
                <w:rFonts w:cs="Arial"/>
                <w:noProof/>
                <w:color w:val="000000"/>
                <w:sz w:val="19"/>
                <w:szCs w:val="19"/>
                <w:highlight w:val="black"/>
              </w:rPr>
              <w:t>''''''''''''''''''''''''</w:t>
            </w:r>
            <w:r w:rsidR="006758C4">
              <w:rPr>
                <w:sz w:val="19"/>
                <w:szCs w:val="19"/>
                <w:vertAlign w:val="superscript"/>
              </w:rPr>
              <w:t>4</w:t>
            </w:r>
          </w:p>
        </w:tc>
        <w:tc>
          <w:tcPr>
            <w:tcW w:w="934" w:type="dxa"/>
            <w:shd w:val="clear" w:color="auto" w:fill="BDD6EE" w:themeFill="accent1" w:themeFillTint="66"/>
            <w:vAlign w:val="center"/>
          </w:tcPr>
          <w:p w14:paraId="0A932EF7" w14:textId="77777777" w:rsidR="00A042A9" w:rsidRPr="00CD28A8" w:rsidRDefault="00CD28A8" w:rsidP="00ED665A">
            <w:pPr>
              <w:pStyle w:val="Tabletext1"/>
              <w:jc w:val="center"/>
              <w:rPr>
                <w:sz w:val="19"/>
                <w:szCs w:val="19"/>
              </w:rPr>
            </w:pPr>
            <w:r>
              <w:rPr>
                <w:rFonts w:cs="Arial"/>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4B7D6BA2" w14:textId="77777777" w:rsidR="00A042A9" w:rsidRPr="00CD28A8" w:rsidRDefault="00CD28A8" w:rsidP="00ED665A">
            <w:pPr>
              <w:pStyle w:val="Tabletext1"/>
              <w:jc w:val="center"/>
              <w:rPr>
                <w:sz w:val="19"/>
                <w:szCs w:val="19"/>
              </w:rPr>
            </w:pPr>
            <w:r>
              <w:rPr>
                <w:rFonts w:cs="Arial"/>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2596FEA5" w14:textId="77777777" w:rsidR="00A042A9" w:rsidRPr="00CD28A8" w:rsidRDefault="00CD28A8" w:rsidP="00ED665A">
            <w:pPr>
              <w:pStyle w:val="Tabletext1"/>
              <w:jc w:val="center"/>
              <w:rPr>
                <w:sz w:val="19"/>
                <w:szCs w:val="19"/>
              </w:rPr>
            </w:pPr>
            <w:r>
              <w:rPr>
                <w:rFonts w:cs="Arial"/>
                <w:noProof/>
                <w:color w:val="000000"/>
                <w:sz w:val="19"/>
                <w:szCs w:val="19"/>
                <w:highlight w:val="black"/>
              </w:rPr>
              <w:t>''''''''''''''''''''''''''</w:t>
            </w:r>
            <w:r w:rsidR="006758C4">
              <w:rPr>
                <w:sz w:val="19"/>
                <w:szCs w:val="19"/>
                <w:vertAlign w:val="superscript"/>
              </w:rPr>
              <w:t>4</w:t>
            </w:r>
          </w:p>
        </w:tc>
      </w:tr>
      <w:tr w:rsidR="00A042A9" w:rsidRPr="00F52B1D" w14:paraId="65001772" w14:textId="77777777" w:rsidTr="008A4199">
        <w:tc>
          <w:tcPr>
            <w:tcW w:w="3408" w:type="dxa"/>
            <w:vAlign w:val="center"/>
          </w:tcPr>
          <w:p w14:paraId="065E3162" w14:textId="77777777" w:rsidR="00A042A9" w:rsidRPr="00F52B1D" w:rsidRDefault="00A042A9" w:rsidP="00ED665A">
            <w:pPr>
              <w:pStyle w:val="TableText"/>
              <w:spacing w:before="0" w:after="0" w:line="240" w:lineRule="auto"/>
              <w:rPr>
                <w:b/>
                <w:sz w:val="19"/>
                <w:szCs w:val="19"/>
              </w:rPr>
            </w:pPr>
            <w:r w:rsidRPr="00F52B1D">
              <w:rPr>
                <w:b/>
                <w:sz w:val="19"/>
                <w:szCs w:val="19"/>
              </w:rPr>
              <w:t>Net cost to MBS</w:t>
            </w:r>
          </w:p>
        </w:tc>
        <w:tc>
          <w:tcPr>
            <w:tcW w:w="934" w:type="dxa"/>
            <w:vAlign w:val="center"/>
          </w:tcPr>
          <w:p w14:paraId="66991F37"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4</w:t>
            </w:r>
          </w:p>
        </w:tc>
        <w:tc>
          <w:tcPr>
            <w:tcW w:w="935" w:type="dxa"/>
            <w:vAlign w:val="center"/>
          </w:tcPr>
          <w:p w14:paraId="1B4F7E0A"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4</w:t>
            </w:r>
          </w:p>
        </w:tc>
        <w:tc>
          <w:tcPr>
            <w:tcW w:w="935" w:type="dxa"/>
            <w:vAlign w:val="center"/>
          </w:tcPr>
          <w:p w14:paraId="53A2FF2D"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4</w:t>
            </w:r>
          </w:p>
        </w:tc>
        <w:tc>
          <w:tcPr>
            <w:tcW w:w="934" w:type="dxa"/>
            <w:vAlign w:val="center"/>
          </w:tcPr>
          <w:p w14:paraId="2F244E5F"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4</w:t>
            </w:r>
          </w:p>
        </w:tc>
        <w:tc>
          <w:tcPr>
            <w:tcW w:w="935" w:type="dxa"/>
            <w:vAlign w:val="center"/>
          </w:tcPr>
          <w:p w14:paraId="1EDF5101"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4</w:t>
            </w:r>
          </w:p>
        </w:tc>
        <w:tc>
          <w:tcPr>
            <w:tcW w:w="935" w:type="dxa"/>
            <w:vAlign w:val="center"/>
          </w:tcPr>
          <w:p w14:paraId="78335991"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4</w:t>
            </w:r>
          </w:p>
        </w:tc>
      </w:tr>
      <w:tr w:rsidR="00A042A9" w:rsidRPr="00F52B1D" w14:paraId="67FB19E0" w14:textId="77777777" w:rsidTr="008A4199">
        <w:tc>
          <w:tcPr>
            <w:tcW w:w="3408" w:type="dxa"/>
            <w:shd w:val="clear" w:color="auto" w:fill="BDD6EE" w:themeFill="accent1" w:themeFillTint="66"/>
            <w:vAlign w:val="center"/>
          </w:tcPr>
          <w:p w14:paraId="4F904F59" w14:textId="77777777" w:rsidR="00A042A9" w:rsidRPr="00F52B1D" w:rsidRDefault="00A042A9" w:rsidP="00ED665A">
            <w:pPr>
              <w:pStyle w:val="TableText"/>
              <w:spacing w:before="0" w:after="0" w:line="240" w:lineRule="auto"/>
              <w:rPr>
                <w:b/>
                <w:sz w:val="19"/>
                <w:szCs w:val="19"/>
              </w:rPr>
            </w:pPr>
            <w:r w:rsidRPr="00F52B1D">
              <w:rPr>
                <w:b/>
                <w:sz w:val="19"/>
                <w:szCs w:val="19"/>
              </w:rPr>
              <w:t>Net cost to MBS (Mar21)</w:t>
            </w:r>
          </w:p>
        </w:tc>
        <w:tc>
          <w:tcPr>
            <w:tcW w:w="934" w:type="dxa"/>
            <w:shd w:val="clear" w:color="auto" w:fill="BDD6EE" w:themeFill="accent1" w:themeFillTint="66"/>
            <w:vAlign w:val="center"/>
          </w:tcPr>
          <w:p w14:paraId="6E40E87D"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4B23F779"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3DD9C4BC"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4</w:t>
            </w:r>
          </w:p>
        </w:tc>
        <w:tc>
          <w:tcPr>
            <w:tcW w:w="934" w:type="dxa"/>
            <w:shd w:val="clear" w:color="auto" w:fill="BDD6EE" w:themeFill="accent1" w:themeFillTint="66"/>
            <w:vAlign w:val="center"/>
          </w:tcPr>
          <w:p w14:paraId="665D29B9"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1F169EB6"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4</w:t>
            </w:r>
          </w:p>
        </w:tc>
        <w:tc>
          <w:tcPr>
            <w:tcW w:w="935" w:type="dxa"/>
            <w:shd w:val="clear" w:color="auto" w:fill="BDD6EE" w:themeFill="accent1" w:themeFillTint="66"/>
            <w:vAlign w:val="center"/>
          </w:tcPr>
          <w:p w14:paraId="41D3734D"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4</w:t>
            </w:r>
          </w:p>
        </w:tc>
      </w:tr>
      <w:tr w:rsidR="00A042A9" w:rsidRPr="00F52B1D" w14:paraId="4F6D52ED" w14:textId="77777777" w:rsidTr="008A4199">
        <w:tc>
          <w:tcPr>
            <w:tcW w:w="3408" w:type="dxa"/>
            <w:vAlign w:val="center"/>
          </w:tcPr>
          <w:p w14:paraId="271C9C77" w14:textId="77777777" w:rsidR="00A042A9" w:rsidRPr="00F52B1D" w:rsidRDefault="00A042A9" w:rsidP="00ED665A">
            <w:pPr>
              <w:pStyle w:val="TableText"/>
              <w:spacing w:before="0" w:after="0" w:line="240" w:lineRule="auto"/>
              <w:rPr>
                <w:b/>
                <w:sz w:val="19"/>
                <w:szCs w:val="19"/>
              </w:rPr>
            </w:pPr>
            <w:r w:rsidRPr="00F52B1D">
              <w:rPr>
                <w:b/>
                <w:sz w:val="19"/>
                <w:szCs w:val="19"/>
              </w:rPr>
              <w:t>Net change to government budget</w:t>
            </w:r>
          </w:p>
        </w:tc>
        <w:tc>
          <w:tcPr>
            <w:tcW w:w="934" w:type="dxa"/>
            <w:vAlign w:val="center"/>
          </w:tcPr>
          <w:p w14:paraId="0FAB3EE6"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3</w:t>
            </w:r>
          </w:p>
        </w:tc>
        <w:tc>
          <w:tcPr>
            <w:tcW w:w="935" w:type="dxa"/>
            <w:vAlign w:val="center"/>
          </w:tcPr>
          <w:p w14:paraId="3798C3D7"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3</w:t>
            </w:r>
          </w:p>
        </w:tc>
        <w:tc>
          <w:tcPr>
            <w:tcW w:w="935" w:type="dxa"/>
            <w:vAlign w:val="center"/>
          </w:tcPr>
          <w:p w14:paraId="7A9DD11D"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3</w:t>
            </w:r>
          </w:p>
        </w:tc>
        <w:tc>
          <w:tcPr>
            <w:tcW w:w="934" w:type="dxa"/>
            <w:vAlign w:val="center"/>
          </w:tcPr>
          <w:p w14:paraId="136C46B7"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3</w:t>
            </w:r>
          </w:p>
        </w:tc>
        <w:tc>
          <w:tcPr>
            <w:tcW w:w="935" w:type="dxa"/>
            <w:vAlign w:val="center"/>
          </w:tcPr>
          <w:p w14:paraId="3BE193A7"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3</w:t>
            </w:r>
          </w:p>
        </w:tc>
        <w:tc>
          <w:tcPr>
            <w:tcW w:w="935" w:type="dxa"/>
            <w:vAlign w:val="center"/>
          </w:tcPr>
          <w:p w14:paraId="57EA37D9" w14:textId="77777777" w:rsidR="00A042A9" w:rsidRPr="00CD28A8" w:rsidRDefault="00CD28A8" w:rsidP="00ED665A">
            <w:pPr>
              <w:pStyle w:val="Tabletext1"/>
              <w:jc w:val="center"/>
              <w:rPr>
                <w:b/>
                <w:sz w:val="19"/>
                <w:szCs w:val="19"/>
              </w:rPr>
            </w:pPr>
            <w:r>
              <w:rPr>
                <w:b/>
                <w:noProof/>
                <w:color w:val="000000"/>
                <w:sz w:val="19"/>
                <w:szCs w:val="19"/>
                <w:highlight w:val="black"/>
              </w:rPr>
              <w:t>'''''''''''''''''''''</w:t>
            </w:r>
            <w:r w:rsidR="006758C4">
              <w:rPr>
                <w:sz w:val="19"/>
                <w:szCs w:val="19"/>
                <w:vertAlign w:val="superscript"/>
              </w:rPr>
              <w:t>5</w:t>
            </w:r>
          </w:p>
        </w:tc>
      </w:tr>
      <w:tr w:rsidR="00A042A9" w:rsidRPr="00F52B1D" w14:paraId="22DE2E88" w14:textId="77777777" w:rsidTr="008A4199">
        <w:tc>
          <w:tcPr>
            <w:tcW w:w="3408" w:type="dxa"/>
            <w:shd w:val="clear" w:color="auto" w:fill="BDD6EE" w:themeFill="accent1" w:themeFillTint="66"/>
            <w:vAlign w:val="center"/>
          </w:tcPr>
          <w:p w14:paraId="301338CC" w14:textId="77777777" w:rsidR="00A042A9" w:rsidRPr="00F52B1D" w:rsidRDefault="00A042A9" w:rsidP="00ED665A">
            <w:pPr>
              <w:pStyle w:val="TableText"/>
              <w:spacing w:before="0" w:after="0" w:line="240" w:lineRule="auto"/>
              <w:rPr>
                <w:b/>
                <w:sz w:val="19"/>
                <w:szCs w:val="19"/>
              </w:rPr>
            </w:pPr>
            <w:r w:rsidRPr="00F52B1D">
              <w:rPr>
                <w:b/>
                <w:sz w:val="19"/>
                <w:szCs w:val="19"/>
              </w:rPr>
              <w:t>Net change to government budget (Mar21)</w:t>
            </w:r>
          </w:p>
        </w:tc>
        <w:tc>
          <w:tcPr>
            <w:tcW w:w="934" w:type="dxa"/>
            <w:shd w:val="clear" w:color="auto" w:fill="BDD6EE" w:themeFill="accent1" w:themeFillTint="66"/>
            <w:vAlign w:val="center"/>
          </w:tcPr>
          <w:p w14:paraId="6C76B6C2"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3</w:t>
            </w:r>
          </w:p>
        </w:tc>
        <w:tc>
          <w:tcPr>
            <w:tcW w:w="935" w:type="dxa"/>
            <w:shd w:val="clear" w:color="auto" w:fill="BDD6EE" w:themeFill="accent1" w:themeFillTint="66"/>
            <w:vAlign w:val="center"/>
          </w:tcPr>
          <w:p w14:paraId="214E29B6"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3</w:t>
            </w:r>
          </w:p>
        </w:tc>
        <w:tc>
          <w:tcPr>
            <w:tcW w:w="935" w:type="dxa"/>
            <w:shd w:val="clear" w:color="auto" w:fill="BDD6EE" w:themeFill="accent1" w:themeFillTint="66"/>
            <w:vAlign w:val="center"/>
          </w:tcPr>
          <w:p w14:paraId="4EA3010F"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3</w:t>
            </w:r>
          </w:p>
        </w:tc>
        <w:tc>
          <w:tcPr>
            <w:tcW w:w="934" w:type="dxa"/>
            <w:shd w:val="clear" w:color="auto" w:fill="BDD6EE" w:themeFill="accent1" w:themeFillTint="66"/>
            <w:vAlign w:val="center"/>
          </w:tcPr>
          <w:p w14:paraId="5E6C8366"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3</w:t>
            </w:r>
          </w:p>
        </w:tc>
        <w:tc>
          <w:tcPr>
            <w:tcW w:w="935" w:type="dxa"/>
            <w:shd w:val="clear" w:color="auto" w:fill="BDD6EE" w:themeFill="accent1" w:themeFillTint="66"/>
            <w:vAlign w:val="center"/>
          </w:tcPr>
          <w:p w14:paraId="03F9CFED"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3</w:t>
            </w:r>
          </w:p>
        </w:tc>
        <w:tc>
          <w:tcPr>
            <w:tcW w:w="935" w:type="dxa"/>
            <w:shd w:val="clear" w:color="auto" w:fill="BDD6EE" w:themeFill="accent1" w:themeFillTint="66"/>
            <w:vAlign w:val="center"/>
          </w:tcPr>
          <w:p w14:paraId="21AA71D8" w14:textId="77777777" w:rsidR="00A042A9" w:rsidRPr="00CD28A8" w:rsidRDefault="00CD28A8" w:rsidP="00ED665A">
            <w:pPr>
              <w:pStyle w:val="Tabletext1"/>
              <w:jc w:val="center"/>
              <w:rPr>
                <w:b/>
                <w:sz w:val="19"/>
                <w:szCs w:val="19"/>
              </w:rPr>
            </w:pPr>
            <w:r>
              <w:rPr>
                <w:rFonts w:cs="Arial"/>
                <w:b/>
                <w:bCs/>
                <w:noProof/>
                <w:color w:val="000000"/>
                <w:sz w:val="19"/>
                <w:szCs w:val="19"/>
                <w:highlight w:val="black"/>
              </w:rPr>
              <w:t>'''''''''''''''''''''</w:t>
            </w:r>
            <w:r w:rsidR="006758C4">
              <w:rPr>
                <w:sz w:val="19"/>
                <w:szCs w:val="19"/>
                <w:vertAlign w:val="superscript"/>
              </w:rPr>
              <w:t>3</w:t>
            </w:r>
          </w:p>
        </w:tc>
      </w:tr>
    </w:tbl>
    <w:p w14:paraId="40ABE0B0" w14:textId="77777777" w:rsidR="00A042A9" w:rsidRPr="00CA4838" w:rsidRDefault="00A042A9" w:rsidP="00A042A9">
      <w:pPr>
        <w:pStyle w:val="TableFooter"/>
      </w:pPr>
      <w:r w:rsidRPr="00CA4838">
        <w:rPr>
          <w:shd w:val="clear" w:color="auto" w:fill="BDD6EE" w:themeFill="accent1" w:themeFillTint="66"/>
        </w:rPr>
        <w:t>Blue</w:t>
      </w:r>
      <w:r w:rsidRPr="00CA4838">
        <w:t xml:space="preserve"> highlight represent estimates from the March 2021 submission, these were extracted from the last commentary during the evaluation.</w:t>
      </w:r>
    </w:p>
    <w:p w14:paraId="1CD78C24" w14:textId="77777777" w:rsidR="00A042A9" w:rsidRPr="00F52B1D" w:rsidRDefault="00A042A9" w:rsidP="00A042A9">
      <w:pPr>
        <w:pStyle w:val="TableFooter"/>
      </w:pPr>
      <w:r w:rsidRPr="00F52B1D">
        <w:t>Source: Table 162, p391, Table 164, p393, Table 166, p395, Table 169 p 396, ‘Grandfathered patients’ p400, , Tables 175,-178 p402-403, Tables 183-186 p405-407, Table 188-190 p408-409, Tables 192-196 p412-413, Table 198 p414 and compiled during the evaluation</w:t>
      </w:r>
    </w:p>
    <w:p w14:paraId="14281081" w14:textId="77777777" w:rsidR="00A042A9" w:rsidRPr="00CA4838" w:rsidRDefault="00A042A9" w:rsidP="00A042A9">
      <w:pPr>
        <w:pStyle w:val="TableFooter"/>
      </w:pPr>
      <w:r w:rsidRPr="00CA4838">
        <w:t>1L=</w:t>
      </w:r>
      <w:r w:rsidR="001579DF" w:rsidRPr="00CA4838">
        <w:t>first line</w:t>
      </w:r>
      <w:r w:rsidRPr="00CA4838">
        <w:t>, 2L=</w:t>
      </w:r>
      <w:r w:rsidR="001579DF" w:rsidRPr="00CA4838">
        <w:t>second line</w:t>
      </w:r>
      <w:r w:rsidRPr="00CA4838">
        <w:t xml:space="preserve">, </w:t>
      </w:r>
      <w:r w:rsidRPr="00976265">
        <w:rPr>
          <w:i/>
        </w:rPr>
        <w:t>BRCA1/2</w:t>
      </w:r>
      <w:r w:rsidRPr="00CA4838">
        <w:t>=</w:t>
      </w:r>
      <w:r w:rsidRPr="00976265">
        <w:rPr>
          <w:i/>
        </w:rPr>
        <w:t>BRCA1/2</w:t>
      </w:r>
      <w:r w:rsidRPr="00CA4838">
        <w:t xml:space="preserve"> pathogenic variant, GF=grandfathering, m0CRPC=non-metastatic castrate resistant prostate cancer, MBS=Medicare Benefits Schedule, mCRPC=metastatic castrate resistant prostate cancer, NHA=novel hormonal agent, PBS=Pharmaceutical Benefits Scheme, RPBS=Repatriation Schedule of Pharmaceutical Benefits</w:t>
      </w:r>
    </w:p>
    <w:p w14:paraId="600DED05" w14:textId="77777777" w:rsidR="00A042A9" w:rsidRDefault="00A042A9" w:rsidP="00CD28A8">
      <w:pPr>
        <w:pStyle w:val="TableFooter"/>
        <w:spacing w:after="0"/>
      </w:pPr>
      <w:r w:rsidRPr="00CA4838">
        <w:rPr>
          <w:vertAlign w:val="superscript"/>
        </w:rPr>
        <w:t>a</w:t>
      </w:r>
      <w:r w:rsidRPr="00CA4838">
        <w:rPr>
          <w:vertAlign w:val="superscript"/>
        </w:rPr>
        <w:tab/>
      </w:r>
      <w:r w:rsidRPr="00CA4838">
        <w:t>estimated by assuming 37% of patients for whom tumour testing was not feasible or not successful, based on PROfound data.</w:t>
      </w:r>
    </w:p>
    <w:p w14:paraId="114AAF96" w14:textId="77777777" w:rsidR="00B45E6A" w:rsidRDefault="00B45E6A">
      <w:pPr>
        <w:pStyle w:val="TableFigureFooter"/>
        <w:spacing w:after="0"/>
        <w:contextualSpacing w:val="0"/>
        <w:rPr>
          <w:i/>
        </w:rPr>
      </w:pPr>
      <w:r w:rsidRPr="009868C4">
        <w:rPr>
          <w:i/>
        </w:rPr>
        <w:t>The redacted values correspond to the following ranges</w:t>
      </w:r>
      <w:r>
        <w:rPr>
          <w:i/>
        </w:rPr>
        <w:t xml:space="preserve">: </w:t>
      </w:r>
    </w:p>
    <w:p w14:paraId="793ECE01" w14:textId="77777777" w:rsidR="00B45E6A" w:rsidRPr="00870C5D" w:rsidRDefault="00B45E6A" w:rsidP="00B45E6A">
      <w:pPr>
        <w:pStyle w:val="TableFigureFooter"/>
        <w:spacing w:after="0"/>
        <w:contextualSpacing w:val="0"/>
      </w:pPr>
      <w:r>
        <w:rPr>
          <w:i/>
          <w:vertAlign w:val="superscript"/>
        </w:rPr>
        <w:t>1</w:t>
      </w:r>
      <w:r>
        <w:rPr>
          <w:i/>
        </w:rPr>
        <w:t xml:space="preserve"> </w:t>
      </w:r>
      <w:r w:rsidRPr="00B45E6A">
        <w:rPr>
          <w:i/>
        </w:rPr>
        <w:t>&lt; 500</w:t>
      </w:r>
    </w:p>
    <w:p w14:paraId="7971E542" w14:textId="77777777" w:rsidR="00B45E6A" w:rsidRPr="00870C5D" w:rsidRDefault="00B45E6A" w:rsidP="00B45E6A">
      <w:pPr>
        <w:pStyle w:val="TableFigureFooter"/>
        <w:spacing w:after="0"/>
        <w:contextualSpacing w:val="0"/>
      </w:pPr>
      <w:r>
        <w:rPr>
          <w:i/>
          <w:vertAlign w:val="superscript"/>
        </w:rPr>
        <w:t>2</w:t>
      </w:r>
      <w:r>
        <w:rPr>
          <w:i/>
        </w:rPr>
        <w:t xml:space="preserve"> </w:t>
      </w:r>
      <w:r w:rsidRPr="00B45E6A">
        <w:rPr>
          <w:i/>
        </w:rPr>
        <w:t>500 to &lt; 5,000</w:t>
      </w:r>
    </w:p>
    <w:p w14:paraId="21752092" w14:textId="77777777" w:rsidR="00B45E6A" w:rsidRPr="00870C5D" w:rsidRDefault="00B45E6A" w:rsidP="00B45E6A">
      <w:pPr>
        <w:pStyle w:val="TableFigureFooter"/>
        <w:spacing w:after="0"/>
        <w:contextualSpacing w:val="0"/>
      </w:pPr>
      <w:r>
        <w:rPr>
          <w:i/>
          <w:vertAlign w:val="superscript"/>
        </w:rPr>
        <w:t>3</w:t>
      </w:r>
      <w:r>
        <w:rPr>
          <w:i/>
        </w:rPr>
        <w:t xml:space="preserve"> </w:t>
      </w:r>
      <w:r w:rsidRPr="00B45E6A">
        <w:rPr>
          <w:i/>
        </w:rPr>
        <w:t>$10 million to &lt; $20 million</w:t>
      </w:r>
    </w:p>
    <w:p w14:paraId="256F43CD" w14:textId="77777777" w:rsidR="00B45E6A" w:rsidRPr="00870C5D" w:rsidRDefault="00B45E6A" w:rsidP="00B45E6A">
      <w:pPr>
        <w:pStyle w:val="TableFigureFooter"/>
        <w:spacing w:after="0"/>
        <w:contextualSpacing w:val="0"/>
      </w:pPr>
      <w:r>
        <w:rPr>
          <w:i/>
          <w:vertAlign w:val="superscript"/>
        </w:rPr>
        <w:t>4</w:t>
      </w:r>
      <w:r>
        <w:rPr>
          <w:i/>
        </w:rPr>
        <w:t xml:space="preserve"> </w:t>
      </w:r>
      <w:r w:rsidRPr="00B45E6A">
        <w:rPr>
          <w:i/>
        </w:rPr>
        <w:t>$0 to &lt; $10 million</w:t>
      </w:r>
    </w:p>
    <w:p w14:paraId="3888E33E" w14:textId="77777777" w:rsidR="00B45E6A" w:rsidRPr="00870C5D" w:rsidRDefault="00B45E6A" w:rsidP="00B45E6A">
      <w:pPr>
        <w:pStyle w:val="TableFigureFooter"/>
        <w:spacing w:after="0"/>
        <w:contextualSpacing w:val="0"/>
      </w:pPr>
      <w:r>
        <w:rPr>
          <w:i/>
          <w:vertAlign w:val="superscript"/>
        </w:rPr>
        <w:t>5</w:t>
      </w:r>
      <w:r>
        <w:rPr>
          <w:i/>
        </w:rPr>
        <w:t xml:space="preserve"> </w:t>
      </w:r>
      <w:r w:rsidRPr="00B45E6A">
        <w:rPr>
          <w:i/>
        </w:rPr>
        <w:t>$20 million to &lt; $30 million</w:t>
      </w:r>
    </w:p>
    <w:p w14:paraId="76829E35" w14:textId="77777777" w:rsidR="00B45E6A" w:rsidRPr="00CA4838" w:rsidRDefault="00B45E6A" w:rsidP="00A042A9">
      <w:pPr>
        <w:pStyle w:val="TableFooter"/>
      </w:pPr>
    </w:p>
    <w:p w14:paraId="0BFC4B8C" w14:textId="77777777" w:rsidR="00A042A9" w:rsidRPr="00F52B1D" w:rsidRDefault="008914FE" w:rsidP="006F0633">
      <w:pPr>
        <w:pStyle w:val="ListParagraph"/>
        <w:ind w:left="709"/>
      </w:pPr>
      <w:r w:rsidRPr="00C80442">
        <w:t xml:space="preserve">At year 6, the estimated number of patients was </w:t>
      </w:r>
      <w:r w:rsidR="006F0633" w:rsidRPr="006F0633">
        <w:t>&lt; 500</w:t>
      </w:r>
      <w:r w:rsidR="00D07FF4" w:rsidRPr="00C80442">
        <w:t xml:space="preserve"> </w:t>
      </w:r>
      <w:r w:rsidRPr="00C80442">
        <w:t>and the net cost to the PBS</w:t>
      </w:r>
      <w:r w:rsidR="00D12EEC">
        <w:t>/RPBS</w:t>
      </w:r>
      <w:r w:rsidRPr="00C80442">
        <w:t xml:space="preserve"> would be </w:t>
      </w:r>
      <w:r w:rsidR="006F0633" w:rsidRPr="006F0633">
        <w:t>$10 million to &lt; $20 million</w:t>
      </w:r>
      <w:r w:rsidRPr="000D3858">
        <w:rPr>
          <w:rFonts w:ascii="Arial" w:hAnsi="Arial"/>
          <w:sz w:val="22"/>
        </w:rPr>
        <w:t>.</w:t>
      </w:r>
      <w:r>
        <w:rPr>
          <w:rFonts w:ascii="Arial" w:hAnsi="Arial"/>
          <w:sz w:val="22"/>
        </w:rPr>
        <w:t xml:space="preserve"> </w:t>
      </w:r>
      <w:r w:rsidR="00A042A9" w:rsidRPr="00F52B1D">
        <w:t xml:space="preserve">The net cost to </w:t>
      </w:r>
      <w:r w:rsidR="00D12EEC">
        <w:t xml:space="preserve">the </w:t>
      </w:r>
      <w:r w:rsidR="00A042A9" w:rsidRPr="00F52B1D">
        <w:t xml:space="preserve">PBS/RPBS was estimated to be approximately </w:t>
      </w:r>
      <w:r w:rsidR="006F0633" w:rsidRPr="006F0633">
        <w:t>$70 million to &lt; $80 million</w:t>
      </w:r>
      <w:r w:rsidR="00A042A9" w:rsidRPr="00F52B1D">
        <w:t xml:space="preserve">, net cost to the MBS </w:t>
      </w:r>
      <w:r w:rsidR="006F0633" w:rsidRPr="006F0633">
        <w:t>$20 million to &lt; $30 million</w:t>
      </w:r>
      <w:r w:rsidR="00A042A9" w:rsidRPr="00F52B1D">
        <w:t xml:space="preserve">, and total net cost to the government of approximately </w:t>
      </w:r>
      <w:r w:rsidR="006F0633" w:rsidRPr="006F0633">
        <w:t>$100 million to &lt; $200 million</w:t>
      </w:r>
      <w:r w:rsidR="00A042A9" w:rsidRPr="00F52B1D">
        <w:t xml:space="preserve"> over the first six years of listing. The financial estimates may be underestimated due to:</w:t>
      </w:r>
    </w:p>
    <w:p w14:paraId="68EAE9BD" w14:textId="77777777" w:rsidR="00A042A9" w:rsidRPr="00F52B1D" w:rsidRDefault="00A042A9" w:rsidP="005078DD">
      <w:pPr>
        <w:pStyle w:val="PBACESParagraphBulletPoint"/>
        <w:ind w:left="1077"/>
      </w:pPr>
      <w:r w:rsidRPr="00F52B1D">
        <w:t>An underestimate of NHA use based on 2020 data which is likely lower due to the COVID-19 pandemic</w:t>
      </w:r>
      <w:r w:rsidR="00D07FF4">
        <w:t>. The PBAC considered the impact of this may have been at least partly offset by use of a growth rate of 6.86% which was higher than that applied in the March 21 submission (5%, although applied to prevalent patients)</w:t>
      </w:r>
      <w:r w:rsidR="003A60E6">
        <w:t>;</w:t>
      </w:r>
    </w:p>
    <w:p w14:paraId="1715D420" w14:textId="77777777" w:rsidR="00A042A9" w:rsidRPr="00F52B1D" w:rsidRDefault="00A042A9" w:rsidP="005078DD">
      <w:pPr>
        <w:pStyle w:val="PBACESParagraphBulletPoint"/>
        <w:ind w:left="1077"/>
      </w:pPr>
      <w:r w:rsidRPr="00F52B1D">
        <w:t>An underestimate of patients eligible to access olaparib as the prevalent population was not included</w:t>
      </w:r>
      <w:r w:rsidR="00D07FF4">
        <w:t>. The PBAC expected the prevalent population to be relatively small given the poor prognosis for the proposed patient population (the median survival in the comparator arm of PROfound was less than 12 months after adjustment for cross-over)</w:t>
      </w:r>
      <w:r w:rsidR="003A60E6">
        <w:t>;</w:t>
      </w:r>
    </w:p>
    <w:p w14:paraId="3B7788A5" w14:textId="77777777" w:rsidR="00A042A9" w:rsidRPr="00F52B1D" w:rsidRDefault="00A042A9" w:rsidP="005078DD">
      <w:pPr>
        <w:pStyle w:val="PBACESParagraphBulletPoint"/>
        <w:ind w:left="1077"/>
      </w:pPr>
      <w:r w:rsidRPr="00F52B1D">
        <w:t>An underestimate of the proportion of patients progressing from NHA. In current practice there are limited treatment options for mCRPC patients, as such NHA use may be more protracted than if other treatment options were available</w:t>
      </w:r>
      <w:r w:rsidR="00D07FF4">
        <w:t>. The PBAC acknowledged the potential for earlier treatment with olaparib but considered this risk could be managed with the RSA</w:t>
      </w:r>
      <w:r w:rsidR="003A60E6">
        <w:t>;</w:t>
      </w:r>
    </w:p>
    <w:p w14:paraId="73C2048B" w14:textId="77777777" w:rsidR="00A042A9" w:rsidRPr="00F52B1D" w:rsidRDefault="00A042A9" w:rsidP="005078DD">
      <w:pPr>
        <w:pStyle w:val="PBACESParagraphBulletPoint"/>
        <w:ind w:left="1077"/>
      </w:pPr>
      <w:r w:rsidRPr="00F52B1D">
        <w:t>A proportion of patients may receive docetaxel in practice, rather than cabazitaxel, which would reduce offset costs</w:t>
      </w:r>
      <w:r w:rsidR="003A60E6">
        <w:t>;</w:t>
      </w:r>
    </w:p>
    <w:p w14:paraId="75354A32" w14:textId="77777777" w:rsidR="00A042A9" w:rsidRPr="00F52B1D" w:rsidRDefault="00A042A9" w:rsidP="005078DD">
      <w:pPr>
        <w:pStyle w:val="PBACESParagraphBulletPoint"/>
        <w:ind w:left="1077"/>
      </w:pPr>
      <w:r w:rsidRPr="00F52B1D">
        <w:t>Adverse event costs were not included and are likely to be higher for patients receiving olaparib based on the economic analysis</w:t>
      </w:r>
      <w:r w:rsidR="003A60E6">
        <w:t>; and</w:t>
      </w:r>
    </w:p>
    <w:p w14:paraId="186C4A31" w14:textId="77777777" w:rsidR="00A042A9" w:rsidRPr="00F52B1D" w:rsidRDefault="00A042A9" w:rsidP="005078DD">
      <w:pPr>
        <w:pStyle w:val="PBACESParagraphBulletPoint"/>
        <w:ind w:left="1077"/>
      </w:pPr>
      <w:r w:rsidRPr="00F52B1D">
        <w:t>No cost for potential re-biopsying was included. While this is in line with the economic analysis and the resubmission’s suggestion that patients who fail somatic testing go on to germline testing, this is a scenario that could require &gt;30% of patients to receive genetic counselling (not currently available on MBS) in order to acquire a germline BRCA1/2 test. Furthermore, &gt;50% of BRCA1/2 pathogenic variants are somatic only (i.e., they will be missed by a germline test alone). Therefore, re-biopsy may be preferable in practice.</w:t>
      </w:r>
    </w:p>
    <w:p w14:paraId="0D66EE2E" w14:textId="77777777" w:rsidR="00A042A9" w:rsidRPr="00F52B1D" w:rsidRDefault="00A042A9" w:rsidP="00DB2410">
      <w:pPr>
        <w:pStyle w:val="ListParagraph"/>
        <w:ind w:left="709"/>
      </w:pPr>
      <w:r w:rsidRPr="00F52B1D">
        <w:t>The financial estimates may be overestimated as</w:t>
      </w:r>
      <w:r w:rsidR="003A60E6">
        <w:t>:</w:t>
      </w:r>
      <w:r w:rsidRPr="00F52B1D">
        <w:t xml:space="preserve"> </w:t>
      </w:r>
    </w:p>
    <w:p w14:paraId="40CC0CEA" w14:textId="77777777" w:rsidR="00A042A9" w:rsidRPr="00F52B1D" w:rsidRDefault="00A042A9" w:rsidP="005078DD">
      <w:pPr>
        <w:pStyle w:val="PBACESParagraphBulletPoint"/>
        <w:ind w:left="1077"/>
      </w:pPr>
      <w:r w:rsidRPr="00F52B1D">
        <w:t>Comparator costs may be underestimated. As NHAs are adopted earlier in practice, docetaxel use in mCRPC may increase which could also result in sequential docetaxel to cabazitaxel treatment as an option for a proportion of patients</w:t>
      </w:r>
      <w:r w:rsidR="003A60E6">
        <w:t>;</w:t>
      </w:r>
    </w:p>
    <w:p w14:paraId="6F183B4E" w14:textId="77777777" w:rsidR="00A042A9" w:rsidRPr="00F52B1D" w:rsidRDefault="00A042A9" w:rsidP="005078DD">
      <w:pPr>
        <w:pStyle w:val="PBACESParagraphBulletPoint"/>
        <w:ind w:left="1077"/>
      </w:pPr>
      <w:r w:rsidRPr="00F52B1D">
        <w:t>The financial estimates did not include concomitant treatment costs, which may be higher for patients receiving cabazitaxel than olaparib, based on the economic analysis</w:t>
      </w:r>
      <w:r w:rsidR="003A60E6">
        <w:t>;</w:t>
      </w:r>
      <w:r w:rsidR="00BC77C0">
        <w:t xml:space="preserve"> and</w:t>
      </w:r>
    </w:p>
    <w:p w14:paraId="0FA8186C" w14:textId="77777777" w:rsidR="00A042A9" w:rsidRPr="00F52B1D" w:rsidRDefault="00A042A9" w:rsidP="005078DD">
      <w:pPr>
        <w:pStyle w:val="PBACESParagraphBulletPoint"/>
        <w:ind w:left="1077"/>
      </w:pPr>
      <w:r w:rsidRPr="00F52B1D">
        <w:t xml:space="preserve">In practice some patients may know their germline status prior to mCRPC (e.g., previously identified through cascade testing of a relative with a BRCA1/2 pathogenic variant) and therefore will not need to undergo somatic testing. However, this is unlikely to significantly reduce overall testing costs as even when germline status has been identified in all patients prior to mCRPC, approximately 95% of mCRPC patients will still need to undergo somatic testing. This is because &lt;5% of mCRPC patients are expected to have germline BRCA1/2 pathogenic variants (less than half of the 9.7% of patients with any BRCA1/2 pathogenic variant), and the remaining &gt;95% will be tested for somatic BRCA1/2 pathogenic variants. </w:t>
      </w:r>
    </w:p>
    <w:p w14:paraId="3EBDAF17" w14:textId="77777777" w:rsidR="001C5808" w:rsidRPr="00F52B1D" w:rsidRDefault="001C5808" w:rsidP="001C5808">
      <w:pPr>
        <w:pStyle w:val="ListParagraph"/>
        <w:ind w:left="709"/>
      </w:pPr>
      <w:bookmarkStart w:id="66" w:name="_Ref88044678"/>
      <w:r w:rsidRPr="00F52B1D">
        <w:t>The financial estimates were sensitive to changes to the numbers of patients eligible for olaparib: annual growth rate for NHA initiation, BRCA1/2 prevalence, progression from NHA, and NHA initiation incidence.</w:t>
      </w:r>
    </w:p>
    <w:p w14:paraId="0DF2E69E" w14:textId="77777777" w:rsidR="00A042A9" w:rsidRDefault="00A042A9" w:rsidP="00DB2410">
      <w:pPr>
        <w:pStyle w:val="ListParagraph"/>
        <w:ind w:left="709"/>
      </w:pPr>
      <w:r w:rsidRPr="00F52B1D">
        <w:t xml:space="preserve">Overall </w:t>
      </w:r>
      <w:r w:rsidRPr="00266EE3">
        <w:t xml:space="preserve">the </w:t>
      </w:r>
      <w:r w:rsidR="003A60E6" w:rsidRPr="00266EE3">
        <w:t>ESC considered</w:t>
      </w:r>
      <w:r w:rsidR="003A60E6">
        <w:t xml:space="preserve"> the </w:t>
      </w:r>
      <w:r w:rsidRPr="00F52B1D">
        <w:t>net costs of olaparib are likely to be underestimated.</w:t>
      </w:r>
      <w:r w:rsidR="00C7511C">
        <w:t xml:space="preserve"> </w:t>
      </w:r>
      <w:r w:rsidR="00D07FF4">
        <w:t>The PBAC acknowledged both the cost of olaparib and the overall net cost to the PBS</w:t>
      </w:r>
      <w:r w:rsidR="00D12EEC">
        <w:t>/RPBS</w:t>
      </w:r>
      <w:r w:rsidR="00D07FF4">
        <w:t xml:space="preserve"> may be underestimated for the reasons outlined above. However, in terms of the cost of olaparib the </w:t>
      </w:r>
      <w:r w:rsidR="00C7511C">
        <w:t xml:space="preserve">PBAC considered that </w:t>
      </w:r>
      <w:r w:rsidR="00D07FF4">
        <w:t xml:space="preserve">the following inputs would have a relatively large impact and hence the costs in the submission were </w:t>
      </w:r>
      <w:r w:rsidR="00C7511C">
        <w:t>likely to be overestimated:</w:t>
      </w:r>
      <w:bookmarkEnd w:id="66"/>
    </w:p>
    <w:p w14:paraId="3A85E609" w14:textId="77777777" w:rsidR="00C7511C" w:rsidRDefault="00C7511C" w:rsidP="00C7511C">
      <w:pPr>
        <w:pStyle w:val="PBACESParagraphBulletPoint"/>
        <w:ind w:left="1077" w:hanging="357"/>
      </w:pPr>
      <w:r>
        <w:t xml:space="preserve">The BRCA1/2 prevalence </w:t>
      </w:r>
      <w:r w:rsidR="00D07FF4">
        <w:t xml:space="preserve">which the PBAC considered should be reduced from 9.7% to </w:t>
      </w:r>
      <w:r>
        <w:t xml:space="preserve">7%. In addition, the PBAC considered that test failure due to inadequate tumour tissue for BRCA testing may further reduce the number of patients treated in practice. </w:t>
      </w:r>
    </w:p>
    <w:p w14:paraId="3DD6A84F" w14:textId="77777777" w:rsidR="00C7511C" w:rsidRPr="00F52B1D" w:rsidRDefault="00C7511C" w:rsidP="00EB604E">
      <w:pPr>
        <w:pStyle w:val="PBACESParagraphBulletPoint"/>
        <w:ind w:left="1077" w:hanging="357"/>
      </w:pPr>
      <w:r>
        <w:t xml:space="preserve">The uptake rate </w:t>
      </w:r>
      <w:r w:rsidR="00D07FF4">
        <w:t xml:space="preserve">which the PBAC considered </w:t>
      </w:r>
      <w:r>
        <w:t>is likely to be less than 100% in clinical practice and should be reduced to 95%.</w:t>
      </w:r>
    </w:p>
    <w:p w14:paraId="6F03ABA6" w14:textId="77777777" w:rsidR="00D07FF4" w:rsidRDefault="00D07FF4" w:rsidP="00D07FF4">
      <w:pPr>
        <w:pStyle w:val="ListParagraph"/>
        <w:ind w:left="709"/>
      </w:pPr>
      <w:bookmarkStart w:id="67" w:name="_Ref88044679"/>
      <w:r>
        <w:t>In addition, the PBAC noted a longer treatment duration was applied for 1L patients. Noting that the cost-effectiveness of a longer treatment duration had not been assessed, the PBAC considered the treatment duration for the 1L patients should be revised to 10.9 months as per 2L patients. The PBAC noted the risk of a longer treatment duration could be managed with the RSA.</w:t>
      </w:r>
      <w:bookmarkEnd w:id="67"/>
    </w:p>
    <w:p w14:paraId="7ADCEE0C" w14:textId="77777777" w:rsidR="00A042A9" w:rsidRPr="007913B2" w:rsidRDefault="00A042A9" w:rsidP="00A042A9">
      <w:pPr>
        <w:pStyle w:val="4-SubsectionHeading"/>
        <w:rPr>
          <w:rFonts w:asciiTheme="minorHAnsi" w:hAnsiTheme="minorHAnsi"/>
        </w:rPr>
      </w:pPr>
      <w:bookmarkStart w:id="68" w:name="_Toc413139285"/>
      <w:bookmarkStart w:id="69" w:name="_Toc497226194"/>
      <w:r w:rsidRPr="007913B2">
        <w:rPr>
          <w:rFonts w:asciiTheme="minorHAnsi" w:hAnsiTheme="minorHAnsi"/>
          <w:color w:val="auto"/>
        </w:rPr>
        <w:t>Quality use of medicines</w:t>
      </w:r>
      <w:bookmarkEnd w:id="68"/>
      <w:bookmarkEnd w:id="69"/>
    </w:p>
    <w:p w14:paraId="08A52E2F" w14:textId="77777777" w:rsidR="00A042A9" w:rsidRPr="00CA4838" w:rsidRDefault="00A042A9" w:rsidP="00DB2410">
      <w:pPr>
        <w:pStyle w:val="ListParagraph"/>
        <w:ind w:left="709"/>
      </w:pPr>
      <w:r w:rsidRPr="00CA4838">
        <w:t xml:space="preserve">This section was unchanged from the March 2021 submission. Quality of use medicine activities focused on education and training of health professionals and establishment of </w:t>
      </w:r>
      <w:r w:rsidRPr="00266EE3">
        <w:rPr>
          <w:iCs/>
        </w:rPr>
        <w:t>BRCA1/2 tumour</w:t>
      </w:r>
      <w:r w:rsidRPr="00CA4838">
        <w:t xml:space="preserve"> and germline testing capacity for mCRPC to tackle an identified risk of delays in patients getting their test results for </w:t>
      </w:r>
      <w:r w:rsidRPr="00266EE3">
        <w:rPr>
          <w:iCs/>
        </w:rPr>
        <w:t>BRCA1/2.</w:t>
      </w:r>
      <w:r w:rsidRPr="00CA4838">
        <w:t xml:space="preserve"> </w:t>
      </w:r>
    </w:p>
    <w:p w14:paraId="43E9833C" w14:textId="77777777" w:rsidR="00A042A9" w:rsidRPr="007913B2" w:rsidRDefault="00A042A9" w:rsidP="00A042A9">
      <w:pPr>
        <w:pStyle w:val="4-SubsectionHeading"/>
        <w:rPr>
          <w:rFonts w:asciiTheme="minorHAnsi" w:hAnsiTheme="minorHAnsi"/>
        </w:rPr>
      </w:pPr>
      <w:bookmarkStart w:id="70" w:name="_Toc497226195"/>
      <w:r w:rsidRPr="007913B2">
        <w:rPr>
          <w:rFonts w:asciiTheme="minorHAnsi" w:hAnsiTheme="minorHAnsi"/>
          <w:color w:val="auto"/>
        </w:rPr>
        <w:t>Financial management – risk sharing arrangements</w:t>
      </w:r>
      <w:bookmarkEnd w:id="65"/>
      <w:bookmarkEnd w:id="70"/>
    </w:p>
    <w:p w14:paraId="27493B27" w14:textId="664A0422" w:rsidR="00A042A9" w:rsidRPr="00CA4838" w:rsidRDefault="00A042A9" w:rsidP="0030433E">
      <w:pPr>
        <w:pStyle w:val="ListParagraph"/>
        <w:ind w:left="709"/>
      </w:pPr>
      <w:r w:rsidRPr="00CA4838">
        <w:t xml:space="preserve">The resubmission did not propose a risk-sharing agreement, but the Sponsor </w:t>
      </w:r>
      <w:r w:rsidR="00C7511C">
        <w:t xml:space="preserve">indicated it </w:t>
      </w:r>
      <w:r w:rsidRPr="00CA4838">
        <w:t xml:space="preserve">was willing to work with PBAC and Department of Health to determine a risk sharing agreement. </w:t>
      </w:r>
      <w:r w:rsidR="008914FE">
        <w:t xml:space="preserve">The PBAC considered that an RSA with </w:t>
      </w:r>
      <w:r w:rsidR="0014398D">
        <w:t xml:space="preserve"> </w:t>
      </w:r>
      <w:r w:rsidR="0014398D">
        <w:rPr>
          <w:noProof/>
          <w:color w:val="000000"/>
          <w:highlight w:val="black"/>
        </w:rPr>
        <w:t xml:space="preserve">''  </w:t>
      </w:r>
      <w:r w:rsidR="008914FE">
        <w:t xml:space="preserve">% rebate on </w:t>
      </w:r>
      <w:r w:rsidR="00C80442">
        <w:t>expenditure</w:t>
      </w:r>
      <w:r w:rsidR="008914FE">
        <w:t xml:space="preserve"> above the caps would be required to address uncertainty in the</w:t>
      </w:r>
      <w:r w:rsidR="001C5808">
        <w:t xml:space="preserve"> treated</w:t>
      </w:r>
      <w:r w:rsidR="008914FE">
        <w:t xml:space="preserve"> patient population, especially given ongoing changes in the clinical algorithm for prostate cancer. The PBAC noted that the caps would need to reflect revised financial estimates as outlined in paragraph</w:t>
      </w:r>
      <w:r w:rsidR="001C5808">
        <w:t>s 6.96 and 6.97</w:t>
      </w:r>
      <w:r w:rsidR="008914FE">
        <w:t>.</w:t>
      </w:r>
    </w:p>
    <w:p w14:paraId="3F6F122C" w14:textId="77777777" w:rsidR="007904FB" w:rsidRPr="00C33D30" w:rsidRDefault="007904FB" w:rsidP="007904FB">
      <w:pPr>
        <w:ind w:firstLine="720"/>
        <w:rPr>
          <w:i/>
        </w:rPr>
      </w:pPr>
      <w:r w:rsidRPr="00C33D30">
        <w:rPr>
          <w:i/>
        </w:rPr>
        <w:t>For more detail on PBAC’s view, see section 7 PBAC outcome.</w:t>
      </w:r>
    </w:p>
    <w:p w14:paraId="2318F502" w14:textId="77777777" w:rsidR="007904FB" w:rsidRPr="0090150D" w:rsidRDefault="007904FB" w:rsidP="0030433E">
      <w:pPr>
        <w:pStyle w:val="PBACESHeading1"/>
      </w:pPr>
      <w:bookmarkStart w:id="71" w:name="_Hlk76381249"/>
      <w:bookmarkStart w:id="72" w:name="_Hlk76377955"/>
      <w:r w:rsidRPr="0090150D">
        <w:t>PBAC Outcome</w:t>
      </w:r>
    </w:p>
    <w:p w14:paraId="0F7C0B19" w14:textId="77777777" w:rsidR="00832B7B" w:rsidRDefault="00832B7B" w:rsidP="008A4199">
      <w:pPr>
        <w:pStyle w:val="ListParagraph"/>
        <w:ind w:left="709"/>
      </w:pPr>
      <w:r>
        <w:t xml:space="preserve">The PBAC recommended olaparib for the treatment of metastatic castration resistant prostate cancer in patients with BRCA1 and BRCA2 pathogenic gene variants. The PBAC </w:t>
      </w:r>
      <w:r w:rsidR="00F34788">
        <w:t>is satisfied</w:t>
      </w:r>
      <w:r>
        <w:t xml:space="preserve"> that olaparib </w:t>
      </w:r>
      <w:r w:rsidR="00F34788">
        <w:t xml:space="preserve">provides, for some patients, a significant improvement in efficacy over </w:t>
      </w:r>
      <w:r w:rsidR="000D6418">
        <w:t>standard care (SoC)</w:t>
      </w:r>
      <w:r w:rsidR="00F34788">
        <w:t xml:space="preserve">, </w:t>
      </w:r>
      <w:r w:rsidR="000D6418">
        <w:t>based on the results of</w:t>
      </w:r>
      <w:r>
        <w:t xml:space="preserve"> the PROfound study. The PBAC considered that the mixed comparator of best supportive care (BSC) and cabazitaxel sufficiently reflected </w:t>
      </w:r>
      <w:r w:rsidR="000D6418">
        <w:t xml:space="preserve">SoC in </w:t>
      </w:r>
      <w:r>
        <w:t>current Australian clinical practice</w:t>
      </w:r>
      <w:r w:rsidR="00147542">
        <w:t>,</w:t>
      </w:r>
      <w:r>
        <w:t xml:space="preserve"> and the comparator arm from the PROfound study could reasonably be used as a proxy for BSC. The PBAC noted that the resubmission had addressed a number of its previous concerns with the economic model and considered that </w:t>
      </w:r>
      <w:r w:rsidR="001C5808">
        <w:t xml:space="preserve">with the revised price proposed in the pre-PBAC response </w:t>
      </w:r>
      <w:r>
        <w:t>the ICER was within a cost-effective range despite some remaining uncertainty regarding the extent of the overall survival gain</w:t>
      </w:r>
      <w:r w:rsidR="000D6418">
        <w:t xml:space="preserve"> and the BRCA testing component</w:t>
      </w:r>
      <w:r>
        <w:t xml:space="preserve">. </w:t>
      </w:r>
    </w:p>
    <w:p w14:paraId="24C2687E" w14:textId="77777777" w:rsidR="00F970EA" w:rsidRPr="007904FB" w:rsidRDefault="00F970EA" w:rsidP="00F970EA">
      <w:pPr>
        <w:pStyle w:val="ListParagraph"/>
        <w:ind w:left="709"/>
        <w:rPr>
          <w:color w:val="auto"/>
        </w:rPr>
      </w:pPr>
      <w:r w:rsidRPr="00CA4838">
        <w:t xml:space="preserve">The resubmission provided an amended current clinical management algorithm, which depicted three lines of treatment in mCRPC; with NHA (either enzalutamide or abiraterone) or docetaxel as first-line; BSC, NHA, cabazitaxel or docetaxel in second-line; followed by BSC or cabazitaxel in third line. In the proposed algorithm, olaparib </w:t>
      </w:r>
      <w:r w:rsidR="00147542">
        <w:t>could</w:t>
      </w:r>
      <w:r w:rsidR="00147542" w:rsidRPr="00CA4838">
        <w:t xml:space="preserve"> </w:t>
      </w:r>
      <w:r w:rsidRPr="00CA4838">
        <w:t>be used as an alternative first, second</w:t>
      </w:r>
      <w:r>
        <w:t>,</w:t>
      </w:r>
      <w:r w:rsidRPr="00CA4838">
        <w:t xml:space="preserve"> or third line treatment. </w:t>
      </w:r>
      <w:r>
        <w:t xml:space="preserve">The PBAC considered that this place in therapy </w:t>
      </w:r>
      <w:r w:rsidR="00D90249">
        <w:t xml:space="preserve">for olaparib </w:t>
      </w:r>
      <w:r>
        <w:t>is appropriate</w:t>
      </w:r>
      <w:r w:rsidR="00D90249">
        <w:t>.</w:t>
      </w:r>
    </w:p>
    <w:p w14:paraId="512F7C45" w14:textId="77777777" w:rsidR="007904FB" w:rsidRPr="00B73D66" w:rsidRDefault="00EA7961" w:rsidP="00EA7961">
      <w:pPr>
        <w:pStyle w:val="ListParagraph"/>
        <w:ind w:left="709"/>
      </w:pPr>
      <w:r>
        <w:t xml:space="preserve">The </w:t>
      </w:r>
      <w:r w:rsidR="00F970EA">
        <w:t xml:space="preserve">PBAC considered the </w:t>
      </w:r>
      <w:r>
        <w:t>requested restriction reflected th</w:t>
      </w:r>
      <w:r w:rsidR="00D90249">
        <w:t>e proposed place in therapy</w:t>
      </w:r>
      <w:r>
        <w:t xml:space="preserve"> and was consistent with the TGA indication (“treatment of adult patients with BRCA-mutated (germline and/or somatic) mCRPC who have progressed following prior therapy that included an NHA</w:t>
      </w:r>
      <w:r w:rsidR="00147542">
        <w:t>”</w:t>
      </w:r>
      <w:r>
        <w:t xml:space="preserve">). The proposed restriction also included a criterion to allow use in patients considered unsuitable for NHA treatment on the </w:t>
      </w:r>
      <w:r w:rsidRPr="00EA7961">
        <w:t>basis of predicted intolerance. The PBAC considered this criterion was not required and should not be included in the listing.</w:t>
      </w:r>
      <w:r>
        <w:t xml:space="preserve"> The PBAC considered it would be appropriate to clarify the </w:t>
      </w:r>
      <w:r w:rsidRPr="00EA7961">
        <w:t xml:space="preserve">term ‘novel hormonal agents’ </w:t>
      </w:r>
      <w:r>
        <w:t xml:space="preserve">in the restriction </w:t>
      </w:r>
      <w:r w:rsidRPr="00EA7961">
        <w:t>by</w:t>
      </w:r>
      <w:r w:rsidRPr="008A4199">
        <w:t xml:space="preserve"> providing a list of the specific drugs included in this category</w:t>
      </w:r>
      <w:r w:rsidR="00F970EA">
        <w:t xml:space="preserve">. The PBAC considered </w:t>
      </w:r>
      <w:r>
        <w:t xml:space="preserve">that an Authority Required (Telephone/online) restriction level would be </w:t>
      </w:r>
      <w:r w:rsidR="00EB604E">
        <w:t xml:space="preserve">appropriate </w:t>
      </w:r>
      <w:r>
        <w:t>for both initial and continuing listings.</w:t>
      </w:r>
    </w:p>
    <w:p w14:paraId="25BF3C62" w14:textId="77777777" w:rsidR="00D13B64" w:rsidRPr="00B73D66" w:rsidRDefault="00D90249" w:rsidP="00883B2C">
      <w:pPr>
        <w:pStyle w:val="ListParagraph"/>
        <w:ind w:left="709"/>
      </w:pPr>
      <w:r>
        <w:t>The resubmission nominated a mixed comparator to represent SoC, comprised of BSC and cabazitaxel assuming a 75:25 split in the modelled economic evaluation. The PBAC previously considered that docetaxel would</w:t>
      </w:r>
      <w:r w:rsidR="0055424C">
        <w:t xml:space="preserve"> also</w:t>
      </w:r>
      <w:r>
        <w:t xml:space="preserve"> be an appropriate comparator where patients had not previously received docetaxel (paragraph 7.4, olaparib PSD, March 2021), and outcomes for patients treated with docetaxel would be expected to differ somewhat from cabazitaxel as patients treated with docetaxel would not have received a prior taxane. However, the </w:t>
      </w:r>
      <w:r w:rsidR="0055424C">
        <w:t xml:space="preserve">PBAC noted </w:t>
      </w:r>
      <w:r>
        <w:t xml:space="preserve">that inclusion of docetaxel as the comparator in 15% of patients appeared to have minimal impact on the ICER. </w:t>
      </w:r>
      <w:r w:rsidR="00D13B64">
        <w:t>The PBAC considered that the mixed comparator of BSC and cabazitaxel sufficiently reflected SoC in current Australian clinical practice</w:t>
      </w:r>
      <w:r w:rsidR="00883B2C" w:rsidRPr="00AE4E23">
        <w:t>.</w:t>
      </w:r>
      <w:r w:rsidR="00D13B64" w:rsidRPr="00AE4E23">
        <w:t xml:space="preserve"> </w:t>
      </w:r>
    </w:p>
    <w:p w14:paraId="347C42DC" w14:textId="77777777" w:rsidR="00405704" w:rsidRPr="008A4199" w:rsidRDefault="00883B2C" w:rsidP="008A4199">
      <w:pPr>
        <w:pStyle w:val="ListParagraph"/>
        <w:ind w:left="709"/>
      </w:pPr>
      <w:r>
        <w:rPr>
          <w:bCs/>
          <w:snapToGrid w:val="0"/>
          <w:lang w:val="en-GB"/>
        </w:rPr>
        <w:t xml:space="preserve">The PBAC noted that </w:t>
      </w:r>
      <w:r w:rsidR="0055424C">
        <w:rPr>
          <w:bCs/>
          <w:snapToGrid w:val="0"/>
          <w:lang w:val="en-GB"/>
        </w:rPr>
        <w:t xml:space="preserve">as in the previous submission </w:t>
      </w:r>
      <w:r>
        <w:rPr>
          <w:bCs/>
          <w:snapToGrid w:val="0"/>
          <w:lang w:val="en-GB"/>
        </w:rPr>
        <w:t xml:space="preserve">the comparison with BSC was based on the BRCA1/2 subgroup </w:t>
      </w:r>
      <w:r w:rsidRPr="00AE4E23">
        <w:rPr>
          <w:bCs/>
          <w:snapToGrid w:val="0"/>
          <w:lang w:val="en-GB"/>
        </w:rPr>
        <w:t xml:space="preserve">of the PROfound trial. The PBAC recalled that it had previously advised that the </w:t>
      </w:r>
      <w:r w:rsidRPr="008A4199">
        <w:t xml:space="preserve">comparator arm from the PROfound study could reasonably be used as a proxy for SoC </w:t>
      </w:r>
      <w:r w:rsidR="00405704">
        <w:t xml:space="preserve">and concluded that </w:t>
      </w:r>
      <w:r w:rsidR="00405704" w:rsidRPr="00E64883">
        <w:rPr>
          <w:bCs/>
          <w:snapToGrid w:val="0"/>
          <w:lang w:val="en-GB"/>
        </w:rPr>
        <w:t>olaparib was superior in terms of efficacy</w:t>
      </w:r>
      <w:r w:rsidR="00405704">
        <w:rPr>
          <w:bCs/>
          <w:snapToGrid w:val="0"/>
          <w:lang w:val="en-GB"/>
        </w:rPr>
        <w:t xml:space="preserve"> and inferior in terms of safety compared to BSC</w:t>
      </w:r>
      <w:r w:rsidR="00405704" w:rsidRPr="006A189E">
        <w:t xml:space="preserve"> (paragraph 7.9</w:t>
      </w:r>
      <w:r w:rsidR="00405704">
        <w:t xml:space="preserve"> and 7.10</w:t>
      </w:r>
      <w:r w:rsidR="00405704" w:rsidRPr="006A189E">
        <w:t>, olaparib PSD, March 2021 PBAC meeting)</w:t>
      </w:r>
      <w:r w:rsidR="00405704" w:rsidRPr="00E64883">
        <w:rPr>
          <w:bCs/>
          <w:snapToGrid w:val="0"/>
          <w:lang w:val="en-GB"/>
        </w:rPr>
        <w:t>.</w:t>
      </w:r>
    </w:p>
    <w:p w14:paraId="1E1DC1CC" w14:textId="77777777" w:rsidR="00405704" w:rsidRDefault="00405704" w:rsidP="008A4199">
      <w:pPr>
        <w:pStyle w:val="ListParagraph"/>
        <w:ind w:left="709"/>
        <w:rPr>
          <w:iCs/>
        </w:rPr>
      </w:pPr>
      <w:r>
        <w:rPr>
          <w:snapToGrid w:val="0"/>
          <w:lang w:val="en-GB"/>
        </w:rPr>
        <w:t>The PBAC noted that 67.5% of patients in the NHA arm of Cohort A</w:t>
      </w:r>
      <w:r w:rsidR="0055424C">
        <w:rPr>
          <w:snapToGrid w:val="0"/>
          <w:lang w:val="en-GB"/>
        </w:rPr>
        <w:t xml:space="preserve"> of PROfound</w:t>
      </w:r>
      <w:r>
        <w:rPr>
          <w:snapToGrid w:val="0"/>
          <w:lang w:val="en-GB"/>
        </w:rPr>
        <w:t xml:space="preserve"> received subsequent treatment with olaparib. The PBAC noted that the resubmission presented additional justification for the </w:t>
      </w:r>
      <w:r w:rsidR="00592A72">
        <w:rPr>
          <w:snapToGrid w:val="0"/>
          <w:lang w:val="en-GB"/>
        </w:rPr>
        <w:t xml:space="preserve">RPSFTM </w:t>
      </w:r>
      <w:r>
        <w:rPr>
          <w:snapToGrid w:val="0"/>
          <w:lang w:val="en-GB"/>
        </w:rPr>
        <w:t>method of adjustment for this treatment switching</w:t>
      </w:r>
      <w:r w:rsidR="008A4F38">
        <w:rPr>
          <w:snapToGrid w:val="0"/>
          <w:lang w:val="en-GB"/>
        </w:rPr>
        <w:t xml:space="preserve"> </w:t>
      </w:r>
      <w:r w:rsidR="00592A72">
        <w:rPr>
          <w:snapToGrid w:val="0"/>
          <w:lang w:val="en-GB"/>
        </w:rPr>
        <w:t xml:space="preserve">and that this method </w:t>
      </w:r>
      <w:r w:rsidR="008A4F38">
        <w:rPr>
          <w:snapToGrid w:val="0"/>
          <w:lang w:val="en-GB"/>
        </w:rPr>
        <w:t>resulted in a</w:t>
      </w:r>
      <w:r w:rsidR="00592A72">
        <w:rPr>
          <w:snapToGrid w:val="0"/>
          <w:lang w:val="en-GB"/>
        </w:rPr>
        <w:t>n overall survival</w:t>
      </w:r>
      <w:r w:rsidR="008A4F38">
        <w:rPr>
          <w:snapToGrid w:val="0"/>
          <w:lang w:val="en-GB"/>
        </w:rPr>
        <w:t xml:space="preserve"> hazard ratio</w:t>
      </w:r>
      <w:r w:rsidR="00592A72">
        <w:rPr>
          <w:snapToGrid w:val="0"/>
          <w:lang w:val="en-GB"/>
        </w:rPr>
        <w:t xml:space="preserve"> (HR)</w:t>
      </w:r>
      <w:r w:rsidR="008A4F38">
        <w:rPr>
          <w:snapToGrid w:val="0"/>
          <w:lang w:val="en-GB"/>
        </w:rPr>
        <w:t xml:space="preserve"> of 0.28 (95% CI: 0.10, 0.79) with recensoring and 0.37 (95% CI: 0.16, 0.83) without recensoring. T</w:t>
      </w:r>
      <w:r>
        <w:rPr>
          <w:iCs/>
        </w:rPr>
        <w:t xml:space="preserve">he PBAC considered that the selection of RPSFTM was adequately justified in the resubmission. </w:t>
      </w:r>
      <w:r w:rsidR="008A4F38">
        <w:rPr>
          <w:iCs/>
        </w:rPr>
        <w:t xml:space="preserve">The PBAC noted that </w:t>
      </w:r>
      <w:r w:rsidR="008A4F38">
        <w:rPr>
          <w:snapToGrid w:val="0"/>
          <w:lang w:val="en-GB"/>
        </w:rPr>
        <w:t xml:space="preserve">the </w:t>
      </w:r>
      <w:r w:rsidR="008A4F38" w:rsidRPr="006F10C4">
        <w:rPr>
          <w:snapToGrid w:val="0"/>
          <w:lang w:val="en-GB"/>
        </w:rPr>
        <w:t xml:space="preserve">two statistical approaches used to adjust for switching </w:t>
      </w:r>
      <w:r w:rsidR="008A4F38">
        <w:rPr>
          <w:snapToGrid w:val="0"/>
          <w:lang w:val="en-GB"/>
        </w:rPr>
        <w:t>(with and without rece</w:t>
      </w:r>
      <w:r w:rsidR="008A4F38" w:rsidRPr="006F10C4">
        <w:rPr>
          <w:snapToGrid w:val="0"/>
          <w:lang w:val="en-GB"/>
        </w:rPr>
        <w:t xml:space="preserve">nsoring) produced materially different </w:t>
      </w:r>
      <w:r w:rsidR="001C5808">
        <w:rPr>
          <w:snapToGrid w:val="0"/>
          <w:lang w:val="en-GB"/>
        </w:rPr>
        <w:t xml:space="preserve">point estimates for the </w:t>
      </w:r>
      <w:r w:rsidR="008A4F38" w:rsidRPr="006F10C4">
        <w:rPr>
          <w:snapToGrid w:val="0"/>
          <w:lang w:val="en-GB"/>
        </w:rPr>
        <w:t>HR</w:t>
      </w:r>
      <w:r w:rsidR="008A4F38">
        <w:rPr>
          <w:snapToGrid w:val="0"/>
          <w:lang w:val="en-GB"/>
        </w:rPr>
        <w:t xml:space="preserve">. </w:t>
      </w:r>
      <w:r>
        <w:rPr>
          <w:iCs/>
        </w:rPr>
        <w:t xml:space="preserve">The PBAC noted the ESC’s advice that the confidence intervals were wide for the </w:t>
      </w:r>
      <w:r w:rsidR="00592A72">
        <w:rPr>
          <w:iCs/>
        </w:rPr>
        <w:t xml:space="preserve">estimated </w:t>
      </w:r>
      <w:r>
        <w:rPr>
          <w:iCs/>
        </w:rPr>
        <w:t>unadjusted</w:t>
      </w:r>
      <w:r w:rsidR="00592A72">
        <w:rPr>
          <w:iCs/>
        </w:rPr>
        <w:t xml:space="preserve"> and adjusted</w:t>
      </w:r>
      <w:r>
        <w:rPr>
          <w:iCs/>
        </w:rPr>
        <w:t xml:space="preserve"> HR</w:t>
      </w:r>
      <w:r w:rsidR="00592A72">
        <w:rPr>
          <w:iCs/>
        </w:rPr>
        <w:t>s</w:t>
      </w:r>
      <w:r>
        <w:rPr>
          <w:iCs/>
        </w:rPr>
        <w:t xml:space="preserve"> with considerable overlap in the </w:t>
      </w:r>
      <w:r w:rsidR="00592A72">
        <w:rPr>
          <w:iCs/>
        </w:rPr>
        <w:t xml:space="preserve">95% </w:t>
      </w:r>
      <w:r>
        <w:rPr>
          <w:iCs/>
        </w:rPr>
        <w:t xml:space="preserve">confidence intervals. </w:t>
      </w:r>
      <w:r w:rsidR="008A4F38">
        <w:rPr>
          <w:iCs/>
        </w:rPr>
        <w:t xml:space="preserve">The PBAC considered that </w:t>
      </w:r>
      <w:r w:rsidR="008A4F38" w:rsidRPr="006F10C4">
        <w:rPr>
          <w:snapToGrid w:val="0"/>
          <w:lang w:val="en-GB"/>
        </w:rPr>
        <w:t xml:space="preserve">there was </w:t>
      </w:r>
      <w:r w:rsidR="008A4F38">
        <w:rPr>
          <w:snapToGrid w:val="0"/>
          <w:lang w:val="en-GB"/>
        </w:rPr>
        <w:t>remaining</w:t>
      </w:r>
      <w:r w:rsidR="008A4F38" w:rsidRPr="006F10C4">
        <w:rPr>
          <w:snapToGrid w:val="0"/>
          <w:lang w:val="en-GB"/>
        </w:rPr>
        <w:t xml:space="preserve"> uncertainty about the treatment effect for OS </w:t>
      </w:r>
      <w:r w:rsidR="008A4F38">
        <w:rPr>
          <w:snapToGrid w:val="0"/>
          <w:lang w:val="en-GB"/>
        </w:rPr>
        <w:t xml:space="preserve">and </w:t>
      </w:r>
      <w:r w:rsidR="008A4F38">
        <w:rPr>
          <w:iCs/>
        </w:rPr>
        <w:t>agreed with the ESC that</w:t>
      </w:r>
      <w:r w:rsidR="00592A72">
        <w:rPr>
          <w:iCs/>
        </w:rPr>
        <w:t>, given the available clinical data,</w:t>
      </w:r>
      <w:r w:rsidR="008A4F38">
        <w:rPr>
          <w:iCs/>
        </w:rPr>
        <w:t xml:space="preserve"> it</w:t>
      </w:r>
      <w:r>
        <w:rPr>
          <w:iCs/>
        </w:rPr>
        <w:t xml:space="preserve"> would be appropriate to take a conservative approach to the choice of HRs applied in the economic evaluation</w:t>
      </w:r>
      <w:r w:rsidR="008A4F38">
        <w:rPr>
          <w:iCs/>
        </w:rPr>
        <w:t xml:space="preserve"> (see also paragraph </w:t>
      </w:r>
      <w:r w:rsidR="007C5E46">
        <w:rPr>
          <w:iCs/>
        </w:rPr>
        <w:t>7.9</w:t>
      </w:r>
      <w:r w:rsidR="008A4F38">
        <w:rPr>
          <w:iCs/>
        </w:rPr>
        <w:t>)</w:t>
      </w:r>
      <w:r>
        <w:rPr>
          <w:iCs/>
        </w:rPr>
        <w:t>.</w:t>
      </w:r>
      <w:r w:rsidR="008A4F38">
        <w:rPr>
          <w:iCs/>
        </w:rPr>
        <w:t xml:space="preserve"> </w:t>
      </w:r>
    </w:p>
    <w:p w14:paraId="76A07AB6" w14:textId="77777777" w:rsidR="00405704" w:rsidRDefault="008A4F38" w:rsidP="008A4199">
      <w:pPr>
        <w:pStyle w:val="ListParagraph"/>
        <w:ind w:left="709"/>
      </w:pPr>
      <w:r>
        <w:rPr>
          <w:bCs/>
          <w:snapToGrid w:val="0"/>
          <w:lang w:val="en-GB"/>
        </w:rPr>
        <w:t>For the comparison with cabazitaxel t</w:t>
      </w:r>
      <w:r w:rsidR="00405704">
        <w:rPr>
          <w:bCs/>
          <w:snapToGrid w:val="0"/>
          <w:lang w:val="en-GB"/>
        </w:rPr>
        <w:t>he resubmission presented a</w:t>
      </w:r>
      <w:r>
        <w:rPr>
          <w:bCs/>
          <w:snapToGrid w:val="0"/>
          <w:lang w:val="en-GB"/>
        </w:rPr>
        <w:t xml:space="preserve">n anchored matching-adjusted indirect comparison </w:t>
      </w:r>
      <w:r w:rsidR="0093279C">
        <w:rPr>
          <w:bCs/>
          <w:snapToGrid w:val="0"/>
          <w:lang w:val="en-GB"/>
        </w:rPr>
        <w:t xml:space="preserve">(MAIC) </w:t>
      </w:r>
      <w:r>
        <w:rPr>
          <w:bCs/>
          <w:snapToGrid w:val="0"/>
          <w:lang w:val="en-GB"/>
        </w:rPr>
        <w:t>using NHA as the common treatment arm</w:t>
      </w:r>
      <w:r w:rsidR="0093279C">
        <w:rPr>
          <w:bCs/>
          <w:snapToGrid w:val="0"/>
          <w:lang w:val="en-GB"/>
        </w:rPr>
        <w:t>. The MAIC</w:t>
      </w:r>
      <w:r>
        <w:rPr>
          <w:bCs/>
          <w:snapToGrid w:val="0"/>
          <w:lang w:val="en-GB"/>
        </w:rPr>
        <w:t xml:space="preserve"> match</w:t>
      </w:r>
      <w:r w:rsidR="0093279C">
        <w:rPr>
          <w:bCs/>
          <w:snapToGrid w:val="0"/>
          <w:lang w:val="en-GB"/>
        </w:rPr>
        <w:t>ed</w:t>
      </w:r>
      <w:r>
        <w:rPr>
          <w:bCs/>
          <w:snapToGrid w:val="0"/>
          <w:lang w:val="en-GB"/>
        </w:rPr>
        <w:t xml:space="preserve"> </w:t>
      </w:r>
      <w:r w:rsidR="0093279C">
        <w:t xml:space="preserve">the subgroup of patients with </w:t>
      </w:r>
      <w:r w:rsidR="0093279C">
        <w:rPr>
          <w:iCs/>
        </w:rPr>
        <w:t>BRCA1/2</w:t>
      </w:r>
      <w:r w:rsidR="0093279C">
        <w:t xml:space="preserve"> and prior taxane in PROfound </w:t>
      </w:r>
      <w:r>
        <w:rPr>
          <w:bCs/>
          <w:snapToGrid w:val="0"/>
          <w:lang w:val="en-GB"/>
        </w:rPr>
        <w:t>to</w:t>
      </w:r>
      <w:r w:rsidR="0093279C">
        <w:t xml:space="preserve"> the ITT population in CARD, who were required to have received prior treatment with taxanes</w:t>
      </w:r>
      <w:r>
        <w:rPr>
          <w:bCs/>
          <w:snapToGrid w:val="0"/>
          <w:lang w:val="en-GB"/>
        </w:rPr>
        <w:t xml:space="preserve">. The PBAC considered that </w:t>
      </w:r>
      <w:r w:rsidR="0093279C">
        <w:rPr>
          <w:bCs/>
          <w:snapToGrid w:val="0"/>
          <w:lang w:val="en-GB"/>
        </w:rPr>
        <w:t xml:space="preserve">the results of this </w:t>
      </w:r>
      <w:r>
        <w:rPr>
          <w:bCs/>
          <w:snapToGrid w:val="0"/>
          <w:lang w:val="en-GB"/>
        </w:rPr>
        <w:t xml:space="preserve">comparison </w:t>
      </w:r>
      <w:r w:rsidR="0093279C">
        <w:rPr>
          <w:bCs/>
          <w:snapToGrid w:val="0"/>
          <w:lang w:val="en-GB"/>
        </w:rPr>
        <w:t>were</w:t>
      </w:r>
      <w:r>
        <w:rPr>
          <w:bCs/>
          <w:snapToGrid w:val="0"/>
          <w:lang w:val="en-GB"/>
        </w:rPr>
        <w:t xml:space="preserve"> </w:t>
      </w:r>
      <w:r w:rsidR="0093279C">
        <w:rPr>
          <w:bCs/>
          <w:snapToGrid w:val="0"/>
          <w:lang w:val="en-GB"/>
        </w:rPr>
        <w:t xml:space="preserve">highly uncertain </w:t>
      </w:r>
      <w:r w:rsidR="0093279C" w:rsidRPr="00F52B1D">
        <w:t xml:space="preserve">due to important differences in baseline characteristics between the two trial populations which could not be adjusted for </w:t>
      </w:r>
      <w:r w:rsidR="0093279C">
        <w:t xml:space="preserve">(such as BRCA status) </w:t>
      </w:r>
      <w:r w:rsidR="0093279C" w:rsidRPr="00F52B1D">
        <w:t>and the unreliable survival results in the small post</w:t>
      </w:r>
      <w:r w:rsidR="0093279C">
        <w:noBreakHyphen/>
      </w:r>
      <w:r w:rsidR="0093279C" w:rsidRPr="00F52B1D">
        <w:t>hoc subgroup of BRCA1/2 patients with prior taxane treatment in PROfound.</w:t>
      </w:r>
      <w:r w:rsidR="0093279C" w:rsidRPr="00FC227C">
        <w:t xml:space="preserve"> </w:t>
      </w:r>
      <w:r w:rsidR="0093279C" w:rsidRPr="00F52B1D">
        <w:t xml:space="preserve">Therefore, </w:t>
      </w:r>
      <w:r w:rsidR="0093279C">
        <w:t xml:space="preserve">the PBAC </w:t>
      </w:r>
      <w:r w:rsidR="00C03A20">
        <w:t xml:space="preserve">again </w:t>
      </w:r>
      <w:r w:rsidR="0093279C">
        <w:t xml:space="preserve">considered </w:t>
      </w:r>
      <w:r w:rsidR="0093279C" w:rsidRPr="00F52B1D">
        <w:t>it</w:t>
      </w:r>
      <w:r w:rsidR="0093279C">
        <w:t xml:space="preserve"> would</w:t>
      </w:r>
      <w:r w:rsidR="0093279C" w:rsidRPr="00F52B1D">
        <w:t xml:space="preserve"> be more appropriate to use the comparative results of olaparib vs. NHAs in PROfound to represent estimates of effectiveness of olaparib over a mixed comparator (paragraphs 5.3,5.4, olaparib PSD, Mar</w:t>
      </w:r>
      <w:r w:rsidR="0093279C">
        <w:t xml:space="preserve">ch </w:t>
      </w:r>
      <w:r w:rsidR="0093279C" w:rsidRPr="00F52B1D">
        <w:t>2021</w:t>
      </w:r>
      <w:r w:rsidR="0093279C">
        <w:t xml:space="preserve"> PBAC meeting</w:t>
      </w:r>
      <w:r w:rsidR="0093279C" w:rsidRPr="00F52B1D">
        <w:t>).</w:t>
      </w:r>
      <w:r w:rsidR="0093279C">
        <w:t xml:space="preserve"> The PBAC considered that </w:t>
      </w:r>
      <w:r w:rsidR="0093279C" w:rsidRPr="006A189E">
        <w:t>the claim of non-inferior</w:t>
      </w:r>
      <w:r w:rsidR="0093279C">
        <w:t xml:space="preserve"> </w:t>
      </w:r>
      <w:r w:rsidR="0093279C" w:rsidRPr="006A189E">
        <w:t>safety compared with taxane chemotherapy was reasonable, noting that the</w:t>
      </w:r>
      <w:r w:rsidR="0093279C">
        <w:t>ir</w:t>
      </w:r>
      <w:r w:rsidR="0093279C" w:rsidRPr="006A189E">
        <w:t xml:space="preserve"> safety profile</w:t>
      </w:r>
      <w:r w:rsidR="0093279C">
        <w:t xml:space="preserve">s are </w:t>
      </w:r>
      <w:r w:rsidR="0093279C" w:rsidRPr="006A189E">
        <w:t>different</w:t>
      </w:r>
      <w:r w:rsidR="0093279C">
        <w:t>.</w:t>
      </w:r>
    </w:p>
    <w:p w14:paraId="5E0EE7B8" w14:textId="77777777" w:rsidR="0030433E" w:rsidRDefault="00832B7B" w:rsidP="0030433E">
      <w:pPr>
        <w:pStyle w:val="ListParagraph"/>
        <w:ind w:left="709"/>
      </w:pPr>
      <w:r>
        <w:t>The PBAC noted that the resubmission had addressed a number of its previous concerns with the economic model, including: a test-treat structure to assess the consequences of less than perfect test performance; BSC and cabazitaxel as comparators</w:t>
      </w:r>
      <w:r w:rsidR="00C03A20">
        <w:t xml:space="preserve"> and</w:t>
      </w:r>
      <w:r>
        <w:t xml:space="preserve"> revised time on treatment extrapolation. </w:t>
      </w:r>
      <w:bookmarkStart w:id="73" w:name="_Ref87604794"/>
    </w:p>
    <w:p w14:paraId="1305E372" w14:textId="730691A9" w:rsidR="00832B7B" w:rsidRDefault="00933EAD" w:rsidP="0030433E">
      <w:pPr>
        <w:pStyle w:val="ListParagraph"/>
        <w:ind w:left="709"/>
      </w:pPr>
      <w:r>
        <w:t>The PBAC previously advised that the resubmission should a</w:t>
      </w:r>
      <w:r w:rsidR="00832B7B">
        <w:t xml:space="preserve">ddress the material uncertainty about the treatment effect for OS used in the model. The model </w:t>
      </w:r>
      <w:r w:rsidR="005A7C3A">
        <w:t xml:space="preserve">in the previous submission </w:t>
      </w:r>
      <w:r w:rsidR="00832B7B">
        <w:t xml:space="preserve">applied </w:t>
      </w:r>
      <w:r w:rsidR="00B26E21">
        <w:t xml:space="preserve">the </w:t>
      </w:r>
      <w:r w:rsidR="00832B7B">
        <w:t xml:space="preserve">OS HR adjusted for treatment switching </w:t>
      </w:r>
      <w:r w:rsidR="00345FDA">
        <w:t xml:space="preserve">using </w:t>
      </w:r>
      <w:r w:rsidR="00832B7B">
        <w:t xml:space="preserve">RPSFTM with recensoring </w:t>
      </w:r>
      <w:r w:rsidR="00345FDA">
        <w:t>(</w:t>
      </w:r>
      <w:r w:rsidR="00832B7B">
        <w:t>HR=0.28) which was considerably lower than the adjusted value from the RPSFTM model without recensoring (HR=0.37)</w:t>
      </w:r>
      <w:r>
        <w:t>. This was unchanged in the resubmission</w:t>
      </w:r>
      <w:r w:rsidR="00EC364B">
        <w:t xml:space="preserve"> for the comparison with BSC (75% of patients) and a HR of 0.34 was applied in the comparison with cabazitaxel (25% of patients). </w:t>
      </w:r>
      <w:r w:rsidRPr="0030433E">
        <w:rPr>
          <w:iCs/>
        </w:rPr>
        <w:t xml:space="preserve">Recognising the uncertainty in the comparison of olaparib and cabazitaxel, the </w:t>
      </w:r>
      <w:r w:rsidR="00EC364B" w:rsidRPr="0030433E">
        <w:rPr>
          <w:iCs/>
        </w:rPr>
        <w:t>p</w:t>
      </w:r>
      <w:r w:rsidRPr="0030433E">
        <w:rPr>
          <w:iCs/>
        </w:rPr>
        <w:t>re</w:t>
      </w:r>
      <w:r w:rsidRPr="0030433E">
        <w:rPr>
          <w:iCs/>
        </w:rPr>
        <w:noBreakHyphen/>
        <w:t>PBAC response proposed that a weighted HR of 0.30 be appl</w:t>
      </w:r>
      <w:r w:rsidR="00350344" w:rsidRPr="0030433E">
        <w:rPr>
          <w:iCs/>
        </w:rPr>
        <w:t>i</w:t>
      </w:r>
      <w:r w:rsidRPr="0030433E">
        <w:rPr>
          <w:iCs/>
        </w:rPr>
        <w:t xml:space="preserve">ed to the total SoC arm, calculated using the RPSFTM </w:t>
      </w:r>
      <w:r w:rsidR="009B1168" w:rsidRPr="0030433E">
        <w:rPr>
          <w:iCs/>
        </w:rPr>
        <w:t xml:space="preserve">HR </w:t>
      </w:r>
      <w:r w:rsidRPr="0030433E">
        <w:rPr>
          <w:iCs/>
        </w:rPr>
        <w:t xml:space="preserve">with recensoring (0.28) applied to the 75% of patients receiving BSC and </w:t>
      </w:r>
      <w:r w:rsidR="009B1168" w:rsidRPr="0030433E">
        <w:rPr>
          <w:iCs/>
        </w:rPr>
        <w:t xml:space="preserve">the </w:t>
      </w:r>
      <w:r w:rsidRPr="0030433E">
        <w:rPr>
          <w:iCs/>
        </w:rPr>
        <w:t xml:space="preserve">RPSFTM </w:t>
      </w:r>
      <w:r w:rsidR="009B1168" w:rsidRPr="0030433E">
        <w:rPr>
          <w:iCs/>
        </w:rPr>
        <w:t xml:space="preserve">HR </w:t>
      </w:r>
      <w:r w:rsidRPr="0030433E">
        <w:rPr>
          <w:iCs/>
        </w:rPr>
        <w:t xml:space="preserve">without recensoring (0.37) applied to the 25% of patients receiving cabazitaxel. </w:t>
      </w:r>
      <w:r w:rsidR="00350344" w:rsidRPr="0030433E">
        <w:rPr>
          <w:iCs/>
        </w:rPr>
        <w:t xml:space="preserve">The ICER for this scenario using the reduced price in the pre-PBAC response was </w:t>
      </w:r>
      <w:r w:rsidR="00FD37ED" w:rsidRPr="0030433E">
        <w:rPr>
          <w:iCs/>
        </w:rPr>
        <w:t>$45,000 to &lt; $55,000</w:t>
      </w:r>
      <w:r w:rsidRPr="0030433E">
        <w:rPr>
          <w:iCs/>
        </w:rPr>
        <w:t xml:space="preserve">/QALY. </w:t>
      </w:r>
      <w:r w:rsidR="00B26E21" w:rsidRPr="0030433E">
        <w:rPr>
          <w:iCs/>
        </w:rPr>
        <w:t xml:space="preserve">The PBAC noted that </w:t>
      </w:r>
      <w:r w:rsidR="00EC364B" w:rsidRPr="0030433E">
        <w:rPr>
          <w:iCs/>
        </w:rPr>
        <w:t>using</w:t>
      </w:r>
      <w:r w:rsidR="00B26E21" w:rsidRPr="0030433E">
        <w:rPr>
          <w:iCs/>
        </w:rPr>
        <w:t xml:space="preserve"> a HR of 0.37 for the total SoC arm in</w:t>
      </w:r>
      <w:r w:rsidR="00350344" w:rsidRPr="0030433E">
        <w:rPr>
          <w:iCs/>
        </w:rPr>
        <w:t>creased the</w:t>
      </w:r>
      <w:r w:rsidR="00B26E21" w:rsidRPr="0030433E">
        <w:rPr>
          <w:iCs/>
        </w:rPr>
        <w:t xml:space="preserve"> ICER</w:t>
      </w:r>
      <w:r w:rsidR="00350344" w:rsidRPr="0030433E">
        <w:rPr>
          <w:iCs/>
        </w:rPr>
        <w:t xml:space="preserve"> to</w:t>
      </w:r>
      <w:r w:rsidR="00B26E21" w:rsidRPr="0030433E">
        <w:rPr>
          <w:iCs/>
        </w:rPr>
        <w:t xml:space="preserve"> of </w:t>
      </w:r>
      <w:r w:rsidR="00FD37ED" w:rsidRPr="0030433E">
        <w:rPr>
          <w:iCs/>
        </w:rPr>
        <w:t>$55,000 to &lt; $75,000</w:t>
      </w:r>
      <w:r w:rsidR="00B26E21" w:rsidRPr="0030433E">
        <w:rPr>
          <w:iCs/>
        </w:rPr>
        <w:t>/QALY.</w:t>
      </w:r>
      <w:bookmarkEnd w:id="73"/>
      <w:r w:rsidRPr="0030433E">
        <w:rPr>
          <w:iCs/>
        </w:rPr>
        <w:t xml:space="preserve"> </w:t>
      </w:r>
    </w:p>
    <w:p w14:paraId="63F339D2" w14:textId="77777777" w:rsidR="00832B7B" w:rsidRDefault="00832B7B" w:rsidP="007C5E46">
      <w:pPr>
        <w:pStyle w:val="ListParagraph"/>
        <w:ind w:left="709"/>
      </w:pPr>
      <w:r>
        <w:t xml:space="preserve">The PBAC noted that the </w:t>
      </w:r>
      <w:r w:rsidR="001C5808">
        <w:t>re</w:t>
      </w:r>
      <w:r>
        <w:t xml:space="preserve">submission reduced the time horizon from 10 years to 7.5 years, however </w:t>
      </w:r>
      <w:r w:rsidR="009B1168">
        <w:t xml:space="preserve">again considered the appropriate </w:t>
      </w:r>
      <w:r>
        <w:t>time horizon to</w:t>
      </w:r>
      <w:r w:rsidR="009B1168">
        <w:t xml:space="preserve"> be</w:t>
      </w:r>
      <w:r>
        <w:t xml:space="preserve"> 5 years</w:t>
      </w:r>
      <w:r w:rsidR="00350344">
        <w:t xml:space="preserve">. </w:t>
      </w:r>
      <w:r w:rsidR="001C5808">
        <w:t>Although</w:t>
      </w:r>
      <w:r w:rsidR="009B1168">
        <w:t>,</w:t>
      </w:r>
      <w:r w:rsidR="00350344">
        <w:t xml:space="preserve"> it was further noted</w:t>
      </w:r>
      <w:r w:rsidR="009B1168">
        <w:t xml:space="preserve"> that </w:t>
      </w:r>
      <w:r w:rsidR="00415CB6">
        <w:t>the ICER based on a 5 year horizon was similar to that for a 7.5 year horizon (paragraph</w:t>
      </w:r>
      <w:r w:rsidR="00220F36">
        <w:t xml:space="preserve"> </w:t>
      </w:r>
      <w:r w:rsidR="007C5E46">
        <w:t>6.85</w:t>
      </w:r>
      <w:r w:rsidR="00415CB6">
        <w:t>).</w:t>
      </w:r>
      <w:r>
        <w:t xml:space="preserve"> </w:t>
      </w:r>
    </w:p>
    <w:p w14:paraId="04FE09FB" w14:textId="77777777" w:rsidR="00832B7B" w:rsidRDefault="00933EAD">
      <w:pPr>
        <w:pStyle w:val="ListParagraph"/>
        <w:ind w:left="709"/>
      </w:pPr>
      <w:r>
        <w:t>The PBAC noted</w:t>
      </w:r>
      <w:r w:rsidR="00995B13">
        <w:t xml:space="preserve"> concerns previously raised regarding</w:t>
      </w:r>
      <w:r>
        <w:t xml:space="preserve"> the u</w:t>
      </w:r>
      <w:r w:rsidR="00832B7B">
        <w:t xml:space="preserve">tility values </w:t>
      </w:r>
      <w:r w:rsidR="00930F7F">
        <w:t xml:space="preserve">applied </w:t>
      </w:r>
      <w:r w:rsidR="00832B7B">
        <w:t>in the model</w:t>
      </w:r>
      <w:r w:rsidR="00930F7F">
        <w:t xml:space="preserve"> were not addressed</w:t>
      </w:r>
      <w:r w:rsidR="00380B32">
        <w:t>,</w:t>
      </w:r>
      <w:r w:rsidR="00930F7F">
        <w:t xml:space="preserve"> however </w:t>
      </w:r>
      <w:r w:rsidR="00347243">
        <w:t xml:space="preserve">further </w:t>
      </w:r>
      <w:r w:rsidR="00930F7F">
        <w:t xml:space="preserve">noted </w:t>
      </w:r>
      <w:r w:rsidR="00347243">
        <w:t xml:space="preserve">that </w:t>
      </w:r>
      <w:r w:rsidR="00930F7F">
        <w:t>the va</w:t>
      </w:r>
      <w:r w:rsidR="00347243">
        <w:t>l</w:t>
      </w:r>
      <w:r w:rsidR="00930F7F">
        <w:t>ues used were</w:t>
      </w:r>
      <w:r w:rsidR="00832B7B">
        <w:t xml:space="preserve"> </w:t>
      </w:r>
      <w:r w:rsidR="00347243">
        <w:t xml:space="preserve">sourced from the PROfound </w:t>
      </w:r>
      <w:r w:rsidR="00832B7B">
        <w:t xml:space="preserve">trial </w:t>
      </w:r>
      <w:r w:rsidR="00930F7F">
        <w:t>and</w:t>
      </w:r>
      <w:r w:rsidR="001C5808">
        <w:t xml:space="preserve"> that</w:t>
      </w:r>
      <w:r w:rsidR="00837ACC">
        <w:t xml:space="preserve"> </w:t>
      </w:r>
      <w:r w:rsidR="00AB4060">
        <w:t xml:space="preserve">removal of </w:t>
      </w:r>
      <w:r w:rsidR="00347243">
        <w:t xml:space="preserve">the </w:t>
      </w:r>
      <w:r w:rsidR="00AB4060">
        <w:t>time to death utility adjustments</w:t>
      </w:r>
      <w:r w:rsidR="00930F7F">
        <w:t xml:space="preserve"> had</w:t>
      </w:r>
      <w:r w:rsidR="00347243">
        <w:t xml:space="preserve"> </w:t>
      </w:r>
      <w:r w:rsidR="00930F7F">
        <w:t>a relatively small impact on the ICER</w:t>
      </w:r>
      <w:r w:rsidR="00345FDA">
        <w:t xml:space="preserve"> </w:t>
      </w:r>
      <w:r w:rsidR="00930F7F">
        <w:t xml:space="preserve">(paragraph </w:t>
      </w:r>
      <w:r w:rsidR="007C5E46">
        <w:t>6.77</w:t>
      </w:r>
      <w:r w:rsidR="00837ACC">
        <w:t>)</w:t>
      </w:r>
      <w:r w:rsidR="00AB4060">
        <w:t>.</w:t>
      </w:r>
      <w:r w:rsidR="00837ACC">
        <w:t xml:space="preserve"> </w:t>
      </w:r>
    </w:p>
    <w:p w14:paraId="20D189BF" w14:textId="77777777" w:rsidR="00664063" w:rsidRPr="006A189E" w:rsidRDefault="00EC364B" w:rsidP="00664063">
      <w:pPr>
        <w:pStyle w:val="ListParagraph"/>
        <w:ind w:left="709"/>
      </w:pPr>
      <w:r>
        <w:t>The PBAC noted that there were a number of areas of uncertainty in the economic model associated with BRCA testing</w:t>
      </w:r>
      <w:r w:rsidR="004F2C31">
        <w:t xml:space="preserve">, including cascade testing, </w:t>
      </w:r>
      <w:r w:rsidR="00EE5188">
        <w:t>test failure rate and test sensitivity</w:t>
      </w:r>
      <w:r>
        <w:t xml:space="preserve">. </w:t>
      </w:r>
      <w:r w:rsidR="00664063">
        <w:t xml:space="preserve">The PBAC considered that there may be a substantial proportion of patients for whom the tissue sample is not adequate for BRCA testing. </w:t>
      </w:r>
      <w:r w:rsidR="00664063" w:rsidRPr="00933EAD">
        <w:t xml:space="preserve">The </w:t>
      </w:r>
      <w:r w:rsidR="00220F36">
        <w:t>p</w:t>
      </w:r>
      <w:r w:rsidR="00664063" w:rsidRPr="00933EAD">
        <w:t xml:space="preserve">re-PBAC response argued the </w:t>
      </w:r>
      <w:r w:rsidR="00664063">
        <w:t xml:space="preserve">test </w:t>
      </w:r>
      <w:r w:rsidR="00664063" w:rsidRPr="00933EAD">
        <w:t xml:space="preserve">sensitivity should be calculated based on successful samples </w:t>
      </w:r>
      <w:r w:rsidR="00837ACC">
        <w:t xml:space="preserve"> and</w:t>
      </w:r>
      <w:r w:rsidR="00664063" w:rsidRPr="006A189E">
        <w:t xml:space="preserve"> stated that a test failure rate of 10% would be expected in clinical practice and </w:t>
      </w:r>
      <w:r w:rsidR="00664063">
        <w:t xml:space="preserve">with 50% of patients having </w:t>
      </w:r>
      <w:r w:rsidR="00664063" w:rsidRPr="006A189E">
        <w:t>germline BRCA mutations, the sensitivity of BRCA testing would be approximately 95%.</w:t>
      </w:r>
      <w:r w:rsidR="00664063">
        <w:t xml:space="preserve"> The PBAC noted that decreasing the sensitivity to 95% had a small impact on the ICER </w:t>
      </w:r>
      <w:r w:rsidR="00B85FA2">
        <w:t>(paragraph</w:t>
      </w:r>
      <w:r w:rsidR="00392DD2">
        <w:t xml:space="preserve"> </w:t>
      </w:r>
      <w:r w:rsidR="007C5E46">
        <w:t>6.87</w:t>
      </w:r>
      <w:r w:rsidR="00664063">
        <w:t xml:space="preserve">) </w:t>
      </w:r>
      <w:r w:rsidR="00B85FA2">
        <w:t xml:space="preserve">and when this was reduced to </w:t>
      </w:r>
      <w:r w:rsidR="00664063">
        <w:t>76% based on the test failure rate for PROfound</w:t>
      </w:r>
      <w:r w:rsidR="00B85FA2">
        <w:t>, the ICER remained below</w:t>
      </w:r>
      <w:r w:rsidR="00664063">
        <w:t xml:space="preserve"> </w:t>
      </w:r>
      <w:r w:rsidR="00FD37ED">
        <w:rPr>
          <w:iCs/>
        </w:rPr>
        <w:t>$55,000 to &lt; $75,000</w:t>
      </w:r>
      <w:r w:rsidR="00664063">
        <w:t>/QALY</w:t>
      </w:r>
      <w:r w:rsidR="00392DD2">
        <w:t xml:space="preserve"> using the revised price in the pre-PBAC response</w:t>
      </w:r>
      <w:r w:rsidR="00664063">
        <w:t>.</w:t>
      </w:r>
      <w:r w:rsidR="004F2C31" w:rsidRPr="004F2C31">
        <w:rPr>
          <w:color w:val="auto"/>
        </w:rPr>
        <w:t xml:space="preserve"> </w:t>
      </w:r>
      <w:r w:rsidR="004F2C31">
        <w:rPr>
          <w:color w:val="auto"/>
        </w:rPr>
        <w:t xml:space="preserve">Reducing </w:t>
      </w:r>
      <w:r w:rsidR="004F2C31">
        <w:t xml:space="preserve">the proportion of patients who test positive for BRCA from 9.7% to 7% increased the ICER </w:t>
      </w:r>
      <w:r w:rsidR="00392DD2">
        <w:t xml:space="preserve">(based on HR=0.37) </w:t>
      </w:r>
      <w:r w:rsidR="004F2C31">
        <w:t xml:space="preserve">from </w:t>
      </w:r>
      <w:r w:rsidR="00FD37ED">
        <w:rPr>
          <w:iCs/>
        </w:rPr>
        <w:t xml:space="preserve">$55,000 to &lt; $75,000 </w:t>
      </w:r>
      <w:r w:rsidR="003B5E65">
        <w:t xml:space="preserve">to </w:t>
      </w:r>
      <w:r w:rsidR="00FD37ED">
        <w:rPr>
          <w:iCs/>
        </w:rPr>
        <w:t>$55,000 to &lt; $75,000</w:t>
      </w:r>
      <w:r w:rsidR="001C5808">
        <w:t>/QALY</w:t>
      </w:r>
      <w:r w:rsidR="004F2C31">
        <w:t>.</w:t>
      </w:r>
    </w:p>
    <w:p w14:paraId="219E3AA2" w14:textId="77777777" w:rsidR="00832B7B" w:rsidRDefault="00664063" w:rsidP="00832B7B">
      <w:pPr>
        <w:pStyle w:val="ListParagraph"/>
        <w:ind w:left="709"/>
      </w:pPr>
      <w:r>
        <w:t>Overall, the PBAC considered that the resubmission</w:t>
      </w:r>
      <w:r w:rsidR="005E6CCA">
        <w:t>’s economic evaluation</w:t>
      </w:r>
      <w:r>
        <w:t xml:space="preserve"> had addressed </w:t>
      </w:r>
      <w:r w:rsidR="005E6CCA">
        <w:t xml:space="preserve">a number of the areas of uncertainty previously identified and </w:t>
      </w:r>
      <w:r w:rsidR="00832B7B">
        <w:t xml:space="preserve">that </w:t>
      </w:r>
      <w:r w:rsidR="005E6CCA">
        <w:t xml:space="preserve">with the reduced price presented in the pre-PBAC response </w:t>
      </w:r>
      <w:r w:rsidR="00832B7B">
        <w:t>the ICER was within a</w:t>
      </w:r>
      <w:r w:rsidR="005E6CCA">
        <w:t>n acceptably</w:t>
      </w:r>
      <w:r w:rsidR="00832B7B">
        <w:t xml:space="preserve"> cost-effective range</w:t>
      </w:r>
      <w:r w:rsidR="003B5E65">
        <w:t xml:space="preserve">. There remained </w:t>
      </w:r>
      <w:r w:rsidR="00832B7B">
        <w:t>some uncertainty regarding the extent of the overall survival gain</w:t>
      </w:r>
      <w:r w:rsidR="005E6CCA">
        <w:t xml:space="preserve"> and</w:t>
      </w:r>
      <w:r w:rsidR="003B5E65">
        <w:t xml:space="preserve"> assumptions regarding</w:t>
      </w:r>
      <w:r w:rsidR="005E6CCA">
        <w:t xml:space="preserve"> BRCA testing</w:t>
      </w:r>
      <w:r w:rsidR="003B5E65">
        <w:t>, however</w:t>
      </w:r>
      <w:r w:rsidR="005E6CCA">
        <w:t xml:space="preserve"> the ICER remain</w:t>
      </w:r>
      <w:r w:rsidR="00837ACC">
        <w:t>ed</w:t>
      </w:r>
      <w:r w:rsidR="005E6CCA">
        <w:t xml:space="preserve"> within an acceptabl</w:t>
      </w:r>
      <w:r w:rsidR="00345FDA">
        <w:t>e</w:t>
      </w:r>
      <w:r w:rsidR="005E6CCA">
        <w:t xml:space="preserve"> range</w:t>
      </w:r>
      <w:r w:rsidR="00837ACC">
        <w:t xml:space="preserve"> for all reasonable sensitivity analyses for these inputs</w:t>
      </w:r>
      <w:r w:rsidR="005E6CCA">
        <w:t xml:space="preserve">. </w:t>
      </w:r>
      <w:r w:rsidR="00832B7B">
        <w:t xml:space="preserve"> </w:t>
      </w:r>
    </w:p>
    <w:p w14:paraId="4E3C0EF3" w14:textId="77777777" w:rsidR="00832B7B" w:rsidRDefault="00832B7B" w:rsidP="00832B7B">
      <w:pPr>
        <w:pStyle w:val="ListParagraph"/>
        <w:ind w:left="709"/>
      </w:pPr>
      <w:bookmarkStart w:id="74" w:name="_Ref87602837"/>
      <w:r>
        <w:t xml:space="preserve">The PBAC considered that the net financial costs </w:t>
      </w:r>
      <w:r w:rsidR="00837ACC">
        <w:t>remain</w:t>
      </w:r>
      <w:r w:rsidR="00345FDA">
        <w:t>ed</w:t>
      </w:r>
      <w:r>
        <w:t xml:space="preserve"> uncertain and </w:t>
      </w:r>
      <w:r w:rsidR="001C5808">
        <w:t xml:space="preserve">that overall the cost of olaparib was </w:t>
      </w:r>
      <w:r>
        <w:t xml:space="preserve">likely to be overestimated. The PBAC considered that the financial </w:t>
      </w:r>
      <w:r w:rsidR="00C80442">
        <w:t>estimates</w:t>
      </w:r>
      <w:r>
        <w:t xml:space="preserve"> should be revised such that:</w:t>
      </w:r>
      <w:bookmarkEnd w:id="74"/>
    </w:p>
    <w:p w14:paraId="71165FA9" w14:textId="77777777" w:rsidR="00832B7B" w:rsidRDefault="00832B7B" w:rsidP="00832B7B">
      <w:pPr>
        <w:pStyle w:val="PBACESParagraphBulletPoint"/>
        <w:ind w:left="1077" w:hanging="357"/>
      </w:pPr>
      <w:r>
        <w:t xml:space="preserve">The BRCA1/2 prevalence is reduced </w:t>
      </w:r>
      <w:r w:rsidR="00664C6C">
        <w:t xml:space="preserve">to </w:t>
      </w:r>
      <w:r>
        <w:t xml:space="preserve">7%. In addition, the PBAC considered that test failure due to inadequate tumour tissue for BRCA testing may further reduce the number of patients treated in practice. </w:t>
      </w:r>
    </w:p>
    <w:p w14:paraId="0260B901" w14:textId="4C9CD23B" w:rsidR="001C5808" w:rsidRDefault="00832B7B" w:rsidP="001C5808">
      <w:pPr>
        <w:pStyle w:val="PBACESParagraphBulletPoint"/>
        <w:ind w:left="1077" w:hanging="357"/>
      </w:pPr>
      <w:r>
        <w:t>The uptake rate is reduced to 95%.</w:t>
      </w:r>
      <w:r w:rsidR="001C5808" w:rsidRPr="001C5808">
        <w:t xml:space="preserve"> </w:t>
      </w:r>
    </w:p>
    <w:p w14:paraId="53A61056" w14:textId="77777777" w:rsidR="00832B7B" w:rsidRPr="00F52B1D" w:rsidRDefault="001C5808" w:rsidP="001C5808">
      <w:pPr>
        <w:pStyle w:val="PBACESParagraphBulletPoint"/>
        <w:ind w:left="1077" w:hanging="357"/>
      </w:pPr>
      <w:r>
        <w:t>The treatment duration for 1L patients is reduced to 10.9 months (as per 2L patients) in line with the economic model.</w:t>
      </w:r>
    </w:p>
    <w:p w14:paraId="24CD9D32" w14:textId="77777777" w:rsidR="00832B7B" w:rsidRDefault="00C7511C" w:rsidP="00B73D66">
      <w:pPr>
        <w:pStyle w:val="ListParagraph"/>
        <w:ind w:left="709"/>
      </w:pPr>
      <w:r>
        <w:t>The PBAC considered that a</w:t>
      </w:r>
      <w:r w:rsidR="00832B7B">
        <w:t xml:space="preserve">n RSA with </w:t>
      </w:r>
      <w:r w:rsidR="00832B7B" w:rsidRPr="00CE64E7">
        <w:t>100</w:t>
      </w:r>
      <w:r w:rsidR="00832B7B">
        <w:t xml:space="preserve">% rebate on </w:t>
      </w:r>
      <w:r w:rsidR="00C80442">
        <w:t>expenditure</w:t>
      </w:r>
      <w:r w:rsidR="00832B7B">
        <w:t xml:space="preserve"> above the caps would be required</w:t>
      </w:r>
      <w:r w:rsidR="001C5808">
        <w:t xml:space="preserve"> to address the uncertainty in the treated patient population</w:t>
      </w:r>
      <w:r w:rsidR="008914FE">
        <w:t>, noting</w:t>
      </w:r>
      <w:r w:rsidR="00832B7B">
        <w:t xml:space="preserve"> </w:t>
      </w:r>
      <w:r w:rsidR="00837ACC">
        <w:t xml:space="preserve">that the caps would need to reflect revised financial </w:t>
      </w:r>
      <w:r w:rsidR="003F70D7">
        <w:t xml:space="preserve">estimates </w:t>
      </w:r>
      <w:r w:rsidR="00837ACC">
        <w:t xml:space="preserve">as outlined in paragraph </w:t>
      </w:r>
      <w:r w:rsidR="007C5E46">
        <w:t>7.14</w:t>
      </w:r>
      <w:r w:rsidR="00837ACC">
        <w:t>.</w:t>
      </w:r>
    </w:p>
    <w:p w14:paraId="7F144B7F" w14:textId="77777777" w:rsidR="007904FB" w:rsidRPr="00B73D66" w:rsidRDefault="007904FB" w:rsidP="00B73D66">
      <w:pPr>
        <w:pStyle w:val="ListParagraph"/>
        <w:ind w:left="709"/>
      </w:pPr>
      <w:r w:rsidRPr="00B73D66">
        <w:t xml:space="preserve">The PBAC found that the criteria prescribed by the National Health (Pharmaceuticals and Vaccines – Cost Recovery) Regulations 2009 for Pricing Pathway A were not met. Specifically the PBAC found that in the circumstances of its recommendation for </w:t>
      </w:r>
      <w:r w:rsidR="00F34788">
        <w:t>olaparib</w:t>
      </w:r>
      <w:r w:rsidRPr="00B73D66">
        <w:t>:</w:t>
      </w:r>
    </w:p>
    <w:p w14:paraId="48A13A27" w14:textId="77777777" w:rsidR="007904FB" w:rsidRPr="00763DFB" w:rsidRDefault="007904FB" w:rsidP="00B73D66">
      <w:pPr>
        <w:widowControl w:val="0"/>
        <w:numPr>
          <w:ilvl w:val="1"/>
          <w:numId w:val="30"/>
        </w:numPr>
        <w:spacing w:before="0" w:after="120"/>
        <w:rPr>
          <w:rFonts w:cstheme="minorHAnsi"/>
          <w:lang w:val="en-GB"/>
        </w:rPr>
      </w:pPr>
      <w:r w:rsidRPr="00763DFB">
        <w:rPr>
          <w:rFonts w:cstheme="minorHAnsi"/>
          <w:lang w:val="en-GB"/>
        </w:rPr>
        <w:t xml:space="preserve">The treatment is expected to provide a substantial and clinically relevant improvement in efficacy over alternative therapies, on the basis of </w:t>
      </w:r>
      <w:r w:rsidR="00F34788">
        <w:rPr>
          <w:rFonts w:cstheme="minorHAnsi"/>
          <w:lang w:val="en-GB"/>
        </w:rPr>
        <w:t>improved overall survival</w:t>
      </w:r>
      <w:r w:rsidRPr="00763DFB">
        <w:rPr>
          <w:rFonts w:cstheme="minorHAnsi"/>
          <w:lang w:val="en-GB"/>
        </w:rPr>
        <w:t xml:space="preserve">; </w:t>
      </w:r>
    </w:p>
    <w:p w14:paraId="6C40BD1C" w14:textId="77777777" w:rsidR="007904FB" w:rsidRPr="00763DFB" w:rsidRDefault="007904FB" w:rsidP="00B73D66">
      <w:pPr>
        <w:widowControl w:val="0"/>
        <w:numPr>
          <w:ilvl w:val="1"/>
          <w:numId w:val="30"/>
        </w:numPr>
        <w:spacing w:before="0" w:after="120"/>
        <w:rPr>
          <w:rFonts w:cstheme="minorHAnsi"/>
          <w:lang w:val="en-GB"/>
        </w:rPr>
      </w:pPr>
      <w:r w:rsidRPr="00763DFB">
        <w:rPr>
          <w:rFonts w:cstheme="minorHAnsi"/>
          <w:lang w:val="en-GB"/>
        </w:rPr>
        <w:t>The treatment is not expected to address a high and urgent unmet clinical need because</w:t>
      </w:r>
      <w:r w:rsidR="00F34788">
        <w:rPr>
          <w:rFonts w:cstheme="minorHAnsi"/>
          <w:lang w:val="en-GB"/>
        </w:rPr>
        <w:t xml:space="preserve"> there are other tre</w:t>
      </w:r>
      <w:r w:rsidR="00664C6C">
        <w:rPr>
          <w:rFonts w:cstheme="minorHAnsi"/>
          <w:lang w:val="en-GB"/>
        </w:rPr>
        <w:t>a</w:t>
      </w:r>
      <w:r w:rsidR="00F34788">
        <w:rPr>
          <w:rFonts w:cstheme="minorHAnsi"/>
          <w:lang w:val="en-GB"/>
        </w:rPr>
        <w:t>tments available for mCRPC</w:t>
      </w:r>
      <w:r w:rsidRPr="00763DFB">
        <w:rPr>
          <w:rFonts w:cstheme="minorHAnsi"/>
          <w:lang w:val="en-GB"/>
        </w:rPr>
        <w:t>;</w:t>
      </w:r>
    </w:p>
    <w:p w14:paraId="0AA3DE4D" w14:textId="77777777" w:rsidR="00F34788" w:rsidRPr="00F34788" w:rsidRDefault="007904FB" w:rsidP="00F34788">
      <w:pPr>
        <w:widowControl w:val="0"/>
        <w:numPr>
          <w:ilvl w:val="1"/>
          <w:numId w:val="30"/>
        </w:numPr>
        <w:spacing w:before="0" w:after="120"/>
        <w:rPr>
          <w:rFonts w:cstheme="minorHAnsi"/>
          <w:u w:val="single"/>
          <w:lang w:val="en-GB"/>
        </w:rPr>
      </w:pPr>
      <w:r w:rsidRPr="00763DFB">
        <w:rPr>
          <w:rFonts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F34788">
        <w:rPr>
          <w:rFonts w:cstheme="minorHAnsi"/>
          <w:lang w:val="en-GB"/>
        </w:rPr>
        <w:t>.</w:t>
      </w:r>
      <w:r w:rsidRPr="00763DFB">
        <w:rPr>
          <w:rFonts w:cstheme="minorHAnsi"/>
          <w:lang w:val="en-GB"/>
        </w:rPr>
        <w:t xml:space="preserve"> </w:t>
      </w:r>
    </w:p>
    <w:p w14:paraId="4B93DEA7" w14:textId="77777777" w:rsidR="007904FB" w:rsidRPr="00B73D66" w:rsidRDefault="007904FB" w:rsidP="00F34788">
      <w:pPr>
        <w:pStyle w:val="ListParagraph"/>
        <w:ind w:left="709"/>
      </w:pPr>
      <w:r w:rsidRPr="00B73D66">
        <w:t>The PBAC noted that this submission is not eligible for an Independent Review</w:t>
      </w:r>
      <w:r w:rsidR="00F34788">
        <w:t xml:space="preserve"> as it is a positive recommendation</w:t>
      </w:r>
      <w:r w:rsidRPr="00B73D66">
        <w:t xml:space="preserve">. </w:t>
      </w:r>
    </w:p>
    <w:p w14:paraId="02D18CBB" w14:textId="77777777" w:rsidR="007904FB" w:rsidRPr="00525B39" w:rsidRDefault="007904FB" w:rsidP="007904FB">
      <w:pPr>
        <w:spacing w:before="240" w:after="0"/>
        <w:rPr>
          <w:rFonts w:cs="Arial"/>
          <w:b/>
          <w:bCs/>
          <w:snapToGrid w:val="0"/>
          <w:lang w:val="en-GB"/>
        </w:rPr>
      </w:pPr>
      <w:r w:rsidRPr="00525B39">
        <w:rPr>
          <w:rFonts w:cs="Arial"/>
          <w:b/>
          <w:bCs/>
          <w:snapToGrid w:val="0"/>
          <w:lang w:val="en-GB"/>
        </w:rPr>
        <w:t>Outcome:</w:t>
      </w:r>
    </w:p>
    <w:p w14:paraId="3C10902A" w14:textId="77777777" w:rsidR="007904FB" w:rsidRPr="00525B39" w:rsidRDefault="007904FB" w:rsidP="007904FB">
      <w:pPr>
        <w:rPr>
          <w:rFonts w:cs="Arial"/>
          <w:bCs/>
          <w:snapToGrid w:val="0"/>
          <w:lang w:val="en-GB"/>
        </w:rPr>
      </w:pPr>
      <w:r w:rsidRPr="00525B39">
        <w:rPr>
          <w:rFonts w:cs="Arial"/>
          <w:bCs/>
          <w:snapToGrid w:val="0"/>
          <w:lang w:val="en-GB"/>
        </w:rPr>
        <w:t xml:space="preserve">Recommended </w:t>
      </w:r>
    </w:p>
    <w:p w14:paraId="627777DF" w14:textId="77777777" w:rsidR="0093279C" w:rsidRPr="00525B39" w:rsidRDefault="0093279C" w:rsidP="007904FB">
      <w:pPr>
        <w:widowControl w:val="0"/>
        <w:rPr>
          <w:rFonts w:cs="Arial"/>
          <w:b/>
          <w:bCs/>
          <w:snapToGrid w:val="0"/>
        </w:rPr>
      </w:pPr>
    </w:p>
    <w:bookmarkEnd w:id="71"/>
    <w:p w14:paraId="1C3E83F9" w14:textId="77777777" w:rsidR="007904FB" w:rsidRPr="00F237A4" w:rsidRDefault="007904FB" w:rsidP="0030433E">
      <w:pPr>
        <w:pStyle w:val="PBACESHeading1"/>
        <w:rPr>
          <w:iCs/>
          <w:lang w:val="en-GB"/>
        </w:rPr>
      </w:pPr>
      <w:r w:rsidRPr="00525B39">
        <w:rPr>
          <w:lang w:val="en-GB"/>
        </w:rPr>
        <w:t>Recommended listing</w:t>
      </w:r>
    </w:p>
    <w:p w14:paraId="2559B8C2" w14:textId="77777777" w:rsidR="00B73D66" w:rsidRDefault="00F341B7" w:rsidP="00B73D66">
      <w:pPr>
        <w:spacing w:before="0" w:after="0"/>
        <w:contextualSpacing/>
        <w:jc w:val="left"/>
        <w:rPr>
          <w:rFonts w:ascii="Calibri" w:hAnsi="Calibri" w:cs="Calibri"/>
        </w:rPr>
      </w:pPr>
      <w:r>
        <w:rPr>
          <w:rFonts w:ascii="Calibri" w:hAnsi="Calibri" w:cs="Calibri"/>
        </w:rPr>
        <w:t>Add indication (8022 – Castration resistant metastatic carcinoma of the prostate) as follows:</w:t>
      </w:r>
      <w:bookmarkStart w:id="75" w:name="_Hlk76377978"/>
      <w:bookmarkEnd w:id="72"/>
    </w:p>
    <w:p w14:paraId="7E11A105" w14:textId="77777777" w:rsidR="001C5808" w:rsidRDefault="001C5808" w:rsidP="00B73D66">
      <w:pPr>
        <w:spacing w:before="0" w:after="0"/>
        <w:contextualSpacing/>
        <w:jc w:val="left"/>
        <w:rPr>
          <w:rFonts w:ascii="Calibri" w:hAnsi="Calibri" w:cs="Calibri"/>
        </w:rPr>
      </w:pPr>
    </w:p>
    <w:tbl>
      <w:tblPr>
        <w:tblStyle w:val="TableGrid10"/>
        <w:tblW w:w="9067" w:type="dxa"/>
        <w:tblLayout w:type="fixed"/>
        <w:tblLook w:val="0020" w:firstRow="1" w:lastRow="0" w:firstColumn="0" w:lastColumn="0" w:noHBand="0" w:noVBand="0"/>
        <w:tblCaption w:val="Recommended listing"/>
      </w:tblPr>
      <w:tblGrid>
        <w:gridCol w:w="1129"/>
        <w:gridCol w:w="1134"/>
        <w:gridCol w:w="1560"/>
        <w:gridCol w:w="1275"/>
        <w:gridCol w:w="1276"/>
        <w:gridCol w:w="1134"/>
        <w:gridCol w:w="1559"/>
      </w:tblGrid>
      <w:tr w:rsidR="001C5808" w:rsidRPr="001C5808" w14:paraId="6C31689C" w14:textId="77777777" w:rsidTr="00F82068">
        <w:trPr>
          <w:trHeight w:val="185"/>
          <w:tblHeader/>
        </w:trPr>
        <w:tc>
          <w:tcPr>
            <w:tcW w:w="2263" w:type="dxa"/>
            <w:gridSpan w:val="2"/>
          </w:tcPr>
          <w:p w14:paraId="055B4604" w14:textId="77777777" w:rsidR="001C5808" w:rsidRPr="006D03BF" w:rsidRDefault="001C5808" w:rsidP="001C4366">
            <w:pPr>
              <w:keepNext/>
              <w:spacing w:before="0"/>
              <w:ind w:left="-57"/>
              <w:rPr>
                <w:rFonts w:ascii="Arial Narrow" w:hAnsi="Arial Narrow" w:cstheme="minorHAnsi"/>
                <w:b/>
                <w:bCs/>
                <w:sz w:val="20"/>
                <w:szCs w:val="20"/>
              </w:rPr>
            </w:pPr>
            <w:r w:rsidRPr="006D03BF">
              <w:rPr>
                <w:rFonts w:ascii="Arial Narrow" w:hAnsi="Arial Narrow" w:cstheme="minorHAnsi"/>
                <w:b/>
                <w:bCs/>
                <w:sz w:val="20"/>
                <w:szCs w:val="20"/>
              </w:rPr>
              <w:t>MEDICINAL PRODUCT</w:t>
            </w:r>
          </w:p>
          <w:p w14:paraId="1999AB0C" w14:textId="77777777" w:rsidR="001C5808" w:rsidRPr="006D03BF" w:rsidRDefault="001C5808" w:rsidP="001C4366">
            <w:pPr>
              <w:keepNext/>
              <w:spacing w:before="0"/>
              <w:ind w:left="-57"/>
              <w:rPr>
                <w:rFonts w:ascii="Arial Narrow" w:hAnsi="Arial Narrow" w:cstheme="minorHAnsi"/>
                <w:b/>
                <w:sz w:val="20"/>
                <w:szCs w:val="20"/>
              </w:rPr>
            </w:pPr>
            <w:r w:rsidRPr="006D03BF">
              <w:rPr>
                <w:rFonts w:ascii="Arial Narrow" w:hAnsi="Arial Narrow" w:cstheme="minorHAnsi"/>
                <w:b/>
                <w:bCs/>
                <w:sz w:val="20"/>
                <w:szCs w:val="20"/>
              </w:rPr>
              <w:t>medicinal product pack</w:t>
            </w:r>
          </w:p>
        </w:tc>
        <w:tc>
          <w:tcPr>
            <w:tcW w:w="1560" w:type="dxa"/>
          </w:tcPr>
          <w:p w14:paraId="3743A98D" w14:textId="77777777" w:rsidR="001C5808" w:rsidRPr="006D03BF" w:rsidRDefault="001C5808" w:rsidP="001C4366">
            <w:pPr>
              <w:keepNext/>
              <w:spacing w:before="0"/>
              <w:ind w:left="-108"/>
              <w:jc w:val="center"/>
              <w:rPr>
                <w:rFonts w:ascii="Arial Narrow" w:hAnsi="Arial Narrow" w:cstheme="minorHAnsi"/>
                <w:b/>
                <w:sz w:val="20"/>
                <w:szCs w:val="20"/>
              </w:rPr>
            </w:pPr>
            <w:r w:rsidRPr="006D03BF">
              <w:rPr>
                <w:rFonts w:ascii="Arial Narrow" w:hAnsi="Arial Narrow" w:cstheme="minorHAnsi"/>
                <w:b/>
                <w:sz w:val="20"/>
                <w:szCs w:val="20"/>
              </w:rPr>
              <w:t>PBS item code</w:t>
            </w:r>
          </w:p>
        </w:tc>
        <w:tc>
          <w:tcPr>
            <w:tcW w:w="1275" w:type="dxa"/>
          </w:tcPr>
          <w:p w14:paraId="39CC56EC" w14:textId="77777777" w:rsidR="001C5808" w:rsidRPr="006D03BF" w:rsidRDefault="001C5808" w:rsidP="001C4366">
            <w:pPr>
              <w:keepNext/>
              <w:spacing w:before="0"/>
              <w:ind w:left="-108"/>
              <w:jc w:val="center"/>
              <w:rPr>
                <w:rFonts w:ascii="Arial Narrow" w:hAnsi="Arial Narrow" w:cstheme="minorHAnsi"/>
                <w:b/>
                <w:sz w:val="20"/>
                <w:szCs w:val="20"/>
              </w:rPr>
            </w:pPr>
            <w:r w:rsidRPr="006D03BF">
              <w:rPr>
                <w:rFonts w:ascii="Arial Narrow" w:hAnsi="Arial Narrow" w:cstheme="minorHAnsi"/>
                <w:b/>
                <w:sz w:val="20"/>
                <w:szCs w:val="20"/>
              </w:rPr>
              <w:t>Max. qty packs</w:t>
            </w:r>
          </w:p>
        </w:tc>
        <w:tc>
          <w:tcPr>
            <w:tcW w:w="1276" w:type="dxa"/>
          </w:tcPr>
          <w:p w14:paraId="6F2F6742" w14:textId="77777777" w:rsidR="001C5808" w:rsidRPr="006D03BF" w:rsidRDefault="001C5808" w:rsidP="001C4366">
            <w:pPr>
              <w:keepNext/>
              <w:spacing w:before="0"/>
              <w:ind w:left="-108"/>
              <w:jc w:val="center"/>
              <w:rPr>
                <w:rFonts w:ascii="Arial Narrow" w:hAnsi="Arial Narrow" w:cstheme="minorHAnsi"/>
                <w:b/>
                <w:sz w:val="20"/>
                <w:szCs w:val="20"/>
              </w:rPr>
            </w:pPr>
            <w:r w:rsidRPr="006D03BF">
              <w:rPr>
                <w:rFonts w:ascii="Arial Narrow" w:hAnsi="Arial Narrow" w:cstheme="minorHAnsi"/>
                <w:b/>
                <w:sz w:val="20"/>
                <w:szCs w:val="20"/>
              </w:rPr>
              <w:t>Max. qty units</w:t>
            </w:r>
          </w:p>
        </w:tc>
        <w:tc>
          <w:tcPr>
            <w:tcW w:w="1134" w:type="dxa"/>
          </w:tcPr>
          <w:p w14:paraId="089952C7" w14:textId="77777777" w:rsidR="001C5808" w:rsidRPr="006D03BF" w:rsidRDefault="001C5808" w:rsidP="001C4366">
            <w:pPr>
              <w:keepNext/>
              <w:spacing w:before="0"/>
              <w:ind w:left="-108"/>
              <w:jc w:val="center"/>
              <w:rPr>
                <w:rFonts w:ascii="Arial Narrow" w:hAnsi="Arial Narrow" w:cstheme="minorHAnsi"/>
                <w:b/>
                <w:sz w:val="20"/>
                <w:szCs w:val="20"/>
              </w:rPr>
            </w:pPr>
            <w:r w:rsidRPr="006D03BF">
              <w:rPr>
                <w:rFonts w:ascii="Arial Narrow" w:hAnsi="Arial Narrow" w:cstheme="minorHAnsi"/>
                <w:b/>
                <w:sz w:val="20"/>
                <w:szCs w:val="20"/>
              </w:rPr>
              <w:t>№.of Rpts</w:t>
            </w:r>
          </w:p>
        </w:tc>
        <w:tc>
          <w:tcPr>
            <w:tcW w:w="1559" w:type="dxa"/>
          </w:tcPr>
          <w:p w14:paraId="7D09633F" w14:textId="77777777" w:rsidR="001C5808" w:rsidRPr="006D03BF" w:rsidRDefault="001C5808" w:rsidP="001C4366">
            <w:pPr>
              <w:keepNext/>
              <w:spacing w:before="0"/>
              <w:rPr>
                <w:rFonts w:ascii="Arial Narrow" w:hAnsi="Arial Narrow" w:cstheme="minorHAnsi"/>
                <w:b/>
                <w:sz w:val="20"/>
                <w:szCs w:val="20"/>
                <w:lang w:val="fr-FR"/>
              </w:rPr>
            </w:pPr>
            <w:r w:rsidRPr="006D03BF">
              <w:rPr>
                <w:rFonts w:ascii="Arial Narrow" w:hAnsi="Arial Narrow" w:cstheme="minorHAnsi"/>
                <w:b/>
                <w:sz w:val="20"/>
                <w:szCs w:val="20"/>
              </w:rPr>
              <w:t>Available brands</w:t>
            </w:r>
          </w:p>
        </w:tc>
      </w:tr>
      <w:tr w:rsidR="001C5808" w:rsidRPr="001C5808" w14:paraId="6293E6FB" w14:textId="77777777" w:rsidTr="00862CDC">
        <w:trPr>
          <w:trHeight w:val="181"/>
        </w:trPr>
        <w:tc>
          <w:tcPr>
            <w:tcW w:w="9067" w:type="dxa"/>
            <w:gridSpan w:val="7"/>
          </w:tcPr>
          <w:p w14:paraId="3E872B46" w14:textId="77777777" w:rsidR="001C5808" w:rsidRPr="006D03BF" w:rsidRDefault="001C5808" w:rsidP="001C4366">
            <w:pPr>
              <w:widowControl w:val="0"/>
              <w:spacing w:before="0"/>
              <w:ind w:left="-57"/>
              <w:jc w:val="left"/>
              <w:rPr>
                <w:rFonts w:ascii="Arial Narrow" w:eastAsia="Calibri" w:hAnsi="Arial Narrow" w:cstheme="minorHAnsi"/>
                <w:sz w:val="20"/>
                <w:szCs w:val="20"/>
              </w:rPr>
            </w:pPr>
            <w:r w:rsidRPr="006D03BF">
              <w:rPr>
                <w:rFonts w:ascii="Arial Narrow" w:eastAsia="Calibri" w:hAnsi="Arial Narrow" w:cstheme="minorHAnsi"/>
                <w:sz w:val="20"/>
                <w:szCs w:val="20"/>
              </w:rPr>
              <w:t>OLAPARIB</w:t>
            </w:r>
          </w:p>
        </w:tc>
      </w:tr>
      <w:tr w:rsidR="001C5808" w:rsidRPr="001C5808" w14:paraId="665B49CB" w14:textId="77777777" w:rsidTr="00862CDC">
        <w:trPr>
          <w:trHeight w:val="181"/>
        </w:trPr>
        <w:tc>
          <w:tcPr>
            <w:tcW w:w="2263" w:type="dxa"/>
            <w:gridSpan w:val="2"/>
          </w:tcPr>
          <w:p w14:paraId="5F11211F" w14:textId="77777777" w:rsidR="001C5808" w:rsidRPr="006D03BF" w:rsidRDefault="001C5808" w:rsidP="001C4366">
            <w:pPr>
              <w:keepNext/>
              <w:spacing w:before="0"/>
              <w:ind w:left="-57"/>
              <w:rPr>
                <w:rFonts w:ascii="Arial Narrow" w:hAnsi="Arial Narrow" w:cstheme="minorHAnsi"/>
                <w:sz w:val="20"/>
                <w:szCs w:val="20"/>
              </w:rPr>
            </w:pPr>
            <w:r w:rsidRPr="006D03BF">
              <w:rPr>
                <w:rFonts w:ascii="Arial Narrow" w:hAnsi="Arial Narrow" w:cstheme="minorHAnsi"/>
                <w:sz w:val="20"/>
                <w:szCs w:val="20"/>
              </w:rPr>
              <w:t>olaparib 150 mg tablet, 56</w:t>
            </w:r>
          </w:p>
        </w:tc>
        <w:tc>
          <w:tcPr>
            <w:tcW w:w="1560" w:type="dxa"/>
          </w:tcPr>
          <w:p w14:paraId="2F30785B" w14:textId="77777777" w:rsidR="001C5808" w:rsidRPr="006D03BF" w:rsidRDefault="001C5808" w:rsidP="001C4366">
            <w:pPr>
              <w:keepNext/>
              <w:spacing w:before="0"/>
              <w:jc w:val="center"/>
              <w:rPr>
                <w:rFonts w:ascii="Arial Narrow" w:hAnsi="Arial Narrow" w:cstheme="minorHAnsi"/>
                <w:sz w:val="20"/>
                <w:szCs w:val="20"/>
              </w:rPr>
            </w:pPr>
            <w:r w:rsidRPr="006D03BF">
              <w:rPr>
                <w:rFonts w:ascii="Arial Narrow" w:hAnsi="Arial Narrow" w:cstheme="minorHAnsi"/>
                <w:sz w:val="20"/>
                <w:szCs w:val="20"/>
              </w:rPr>
              <w:t xml:space="preserve"> New</w:t>
            </w:r>
          </w:p>
        </w:tc>
        <w:tc>
          <w:tcPr>
            <w:tcW w:w="1275" w:type="dxa"/>
          </w:tcPr>
          <w:p w14:paraId="71860995" w14:textId="77777777" w:rsidR="001C5808" w:rsidRPr="006D03BF" w:rsidRDefault="001C5808" w:rsidP="001C4366">
            <w:pPr>
              <w:keepNext/>
              <w:spacing w:before="0"/>
              <w:jc w:val="center"/>
              <w:rPr>
                <w:rFonts w:ascii="Arial Narrow" w:hAnsi="Arial Narrow" w:cstheme="minorHAnsi"/>
                <w:sz w:val="20"/>
                <w:szCs w:val="20"/>
              </w:rPr>
            </w:pPr>
            <w:r w:rsidRPr="006D03BF">
              <w:rPr>
                <w:rFonts w:ascii="Arial Narrow" w:hAnsi="Arial Narrow" w:cstheme="minorHAnsi"/>
                <w:sz w:val="20"/>
                <w:szCs w:val="20"/>
              </w:rPr>
              <w:t>2</w:t>
            </w:r>
          </w:p>
        </w:tc>
        <w:tc>
          <w:tcPr>
            <w:tcW w:w="1276" w:type="dxa"/>
          </w:tcPr>
          <w:p w14:paraId="3E2A80C1" w14:textId="77777777" w:rsidR="001C5808" w:rsidRPr="006D03BF" w:rsidRDefault="001C5808" w:rsidP="001C4366">
            <w:pPr>
              <w:keepNext/>
              <w:spacing w:before="0"/>
              <w:ind w:left="-10"/>
              <w:jc w:val="center"/>
              <w:rPr>
                <w:rFonts w:ascii="Arial Narrow" w:hAnsi="Arial Narrow" w:cstheme="minorHAnsi"/>
                <w:sz w:val="20"/>
                <w:szCs w:val="20"/>
              </w:rPr>
            </w:pPr>
            <w:r w:rsidRPr="006D03BF">
              <w:rPr>
                <w:rFonts w:ascii="Arial Narrow" w:hAnsi="Arial Narrow" w:cstheme="minorHAnsi"/>
                <w:sz w:val="20"/>
                <w:szCs w:val="20"/>
              </w:rPr>
              <w:t>112</w:t>
            </w:r>
          </w:p>
        </w:tc>
        <w:tc>
          <w:tcPr>
            <w:tcW w:w="1134" w:type="dxa"/>
          </w:tcPr>
          <w:p w14:paraId="7F9A4E0A" w14:textId="77777777" w:rsidR="001C5808" w:rsidRPr="006D03BF" w:rsidRDefault="001C5808" w:rsidP="001C4366">
            <w:pPr>
              <w:keepNext/>
              <w:spacing w:before="0"/>
              <w:jc w:val="center"/>
              <w:rPr>
                <w:rFonts w:ascii="Arial Narrow" w:hAnsi="Arial Narrow" w:cstheme="minorHAnsi"/>
                <w:sz w:val="20"/>
                <w:szCs w:val="20"/>
              </w:rPr>
            </w:pPr>
            <w:r w:rsidRPr="006D03BF">
              <w:rPr>
                <w:rFonts w:ascii="Arial Narrow" w:hAnsi="Arial Narrow" w:cstheme="minorHAnsi"/>
                <w:sz w:val="20"/>
                <w:szCs w:val="20"/>
              </w:rPr>
              <w:t>2</w:t>
            </w:r>
          </w:p>
        </w:tc>
        <w:tc>
          <w:tcPr>
            <w:tcW w:w="1559" w:type="dxa"/>
          </w:tcPr>
          <w:p w14:paraId="5DB0E558" w14:textId="77777777" w:rsidR="001C5808" w:rsidRPr="006D03BF" w:rsidRDefault="001C5808" w:rsidP="001C4366">
            <w:pPr>
              <w:widowControl w:val="0"/>
              <w:spacing w:before="0" w:line="256" w:lineRule="auto"/>
              <w:jc w:val="left"/>
              <w:rPr>
                <w:rFonts w:ascii="Arial Narrow" w:hAnsi="Arial Narrow" w:cstheme="minorHAnsi"/>
                <w:sz w:val="20"/>
                <w:szCs w:val="20"/>
              </w:rPr>
            </w:pPr>
            <w:r w:rsidRPr="006D03BF">
              <w:rPr>
                <w:rFonts w:ascii="Arial Narrow" w:eastAsia="Calibri" w:hAnsi="Arial Narrow" w:cstheme="minorHAnsi"/>
                <w:sz w:val="20"/>
                <w:szCs w:val="20"/>
              </w:rPr>
              <w:t>Lynparza</w:t>
            </w:r>
          </w:p>
        </w:tc>
      </w:tr>
      <w:tr w:rsidR="001C5808" w:rsidRPr="001C5808" w14:paraId="1950FA02" w14:textId="77777777" w:rsidTr="00862CDC">
        <w:trPr>
          <w:trHeight w:val="174"/>
        </w:trPr>
        <w:tc>
          <w:tcPr>
            <w:tcW w:w="2263" w:type="dxa"/>
            <w:gridSpan w:val="2"/>
          </w:tcPr>
          <w:p w14:paraId="572ACF01" w14:textId="77777777" w:rsidR="001C5808" w:rsidRPr="006D03BF" w:rsidRDefault="001C5808" w:rsidP="001C4366">
            <w:pPr>
              <w:keepNext/>
              <w:spacing w:before="0"/>
              <w:ind w:left="-57"/>
              <w:rPr>
                <w:rFonts w:ascii="Arial Narrow" w:hAnsi="Arial Narrow" w:cstheme="minorHAnsi"/>
                <w:sz w:val="20"/>
                <w:szCs w:val="20"/>
              </w:rPr>
            </w:pPr>
            <w:r w:rsidRPr="006D03BF">
              <w:rPr>
                <w:rFonts w:ascii="Arial Narrow" w:hAnsi="Arial Narrow" w:cstheme="minorHAnsi"/>
                <w:sz w:val="20"/>
                <w:szCs w:val="20"/>
              </w:rPr>
              <w:t>olaparib 100 mg tablet, 56</w:t>
            </w:r>
          </w:p>
        </w:tc>
        <w:tc>
          <w:tcPr>
            <w:tcW w:w="1560" w:type="dxa"/>
          </w:tcPr>
          <w:p w14:paraId="20544689" w14:textId="77777777" w:rsidR="001C5808" w:rsidRPr="006D03BF" w:rsidRDefault="001C5808" w:rsidP="001C4366">
            <w:pPr>
              <w:keepNext/>
              <w:spacing w:before="0"/>
              <w:jc w:val="center"/>
              <w:rPr>
                <w:rFonts w:ascii="Arial Narrow" w:hAnsi="Arial Narrow" w:cstheme="minorHAnsi"/>
                <w:sz w:val="20"/>
                <w:szCs w:val="20"/>
              </w:rPr>
            </w:pPr>
            <w:r w:rsidRPr="006D03BF">
              <w:rPr>
                <w:rFonts w:ascii="Arial Narrow" w:hAnsi="Arial Narrow" w:cstheme="minorHAnsi"/>
                <w:sz w:val="20"/>
                <w:szCs w:val="20"/>
              </w:rPr>
              <w:t xml:space="preserve"> New</w:t>
            </w:r>
          </w:p>
        </w:tc>
        <w:tc>
          <w:tcPr>
            <w:tcW w:w="1275" w:type="dxa"/>
          </w:tcPr>
          <w:p w14:paraId="5C22C232" w14:textId="77777777" w:rsidR="001C5808" w:rsidRPr="006D03BF" w:rsidRDefault="001C5808" w:rsidP="001C4366">
            <w:pPr>
              <w:keepNext/>
              <w:spacing w:before="0"/>
              <w:jc w:val="center"/>
              <w:rPr>
                <w:rFonts w:ascii="Arial Narrow" w:hAnsi="Arial Narrow" w:cstheme="minorHAnsi"/>
                <w:sz w:val="20"/>
                <w:szCs w:val="20"/>
              </w:rPr>
            </w:pPr>
            <w:r w:rsidRPr="006D03BF">
              <w:rPr>
                <w:rFonts w:ascii="Arial Narrow" w:hAnsi="Arial Narrow" w:cstheme="minorHAnsi"/>
                <w:sz w:val="20"/>
                <w:szCs w:val="20"/>
              </w:rPr>
              <w:t>2</w:t>
            </w:r>
          </w:p>
        </w:tc>
        <w:tc>
          <w:tcPr>
            <w:tcW w:w="1276" w:type="dxa"/>
          </w:tcPr>
          <w:p w14:paraId="3C80DC7E" w14:textId="77777777" w:rsidR="001C5808" w:rsidRPr="006D03BF" w:rsidRDefault="001C5808" w:rsidP="001C4366">
            <w:pPr>
              <w:keepNext/>
              <w:spacing w:before="0"/>
              <w:ind w:left="-10"/>
              <w:jc w:val="center"/>
              <w:rPr>
                <w:rFonts w:ascii="Arial Narrow" w:hAnsi="Arial Narrow" w:cstheme="minorHAnsi"/>
                <w:sz w:val="20"/>
                <w:szCs w:val="20"/>
              </w:rPr>
            </w:pPr>
            <w:r w:rsidRPr="006D03BF">
              <w:rPr>
                <w:rFonts w:ascii="Arial Narrow" w:hAnsi="Arial Narrow" w:cstheme="minorHAnsi"/>
                <w:sz w:val="20"/>
                <w:szCs w:val="20"/>
              </w:rPr>
              <w:t>112</w:t>
            </w:r>
          </w:p>
        </w:tc>
        <w:tc>
          <w:tcPr>
            <w:tcW w:w="1134" w:type="dxa"/>
          </w:tcPr>
          <w:p w14:paraId="3697AFEE" w14:textId="77777777" w:rsidR="001C5808" w:rsidRPr="006D03BF" w:rsidRDefault="001C5808" w:rsidP="001C4366">
            <w:pPr>
              <w:keepNext/>
              <w:spacing w:before="0"/>
              <w:jc w:val="center"/>
              <w:rPr>
                <w:rFonts w:ascii="Arial Narrow" w:hAnsi="Arial Narrow" w:cstheme="minorHAnsi"/>
                <w:sz w:val="20"/>
                <w:szCs w:val="20"/>
              </w:rPr>
            </w:pPr>
            <w:r w:rsidRPr="006D03BF">
              <w:rPr>
                <w:rFonts w:ascii="Arial Narrow" w:hAnsi="Arial Narrow" w:cstheme="minorHAnsi"/>
                <w:sz w:val="20"/>
                <w:szCs w:val="20"/>
              </w:rPr>
              <w:t>2</w:t>
            </w:r>
          </w:p>
        </w:tc>
        <w:tc>
          <w:tcPr>
            <w:tcW w:w="1559" w:type="dxa"/>
          </w:tcPr>
          <w:p w14:paraId="74451559" w14:textId="77777777" w:rsidR="001C5808" w:rsidRPr="006D03BF" w:rsidRDefault="001C5808" w:rsidP="001C4366">
            <w:pPr>
              <w:keepNext/>
              <w:spacing w:before="0"/>
              <w:rPr>
                <w:rFonts w:ascii="Arial Narrow" w:hAnsi="Arial Narrow" w:cstheme="minorHAnsi"/>
                <w:sz w:val="20"/>
                <w:szCs w:val="20"/>
              </w:rPr>
            </w:pPr>
            <w:r w:rsidRPr="006D03BF">
              <w:rPr>
                <w:rFonts w:ascii="Arial Narrow" w:hAnsi="Arial Narrow" w:cstheme="minorHAnsi"/>
                <w:sz w:val="20"/>
                <w:szCs w:val="20"/>
              </w:rPr>
              <w:t>Lynparza</w:t>
            </w:r>
          </w:p>
        </w:tc>
      </w:tr>
      <w:tr w:rsidR="001C5808" w:rsidRPr="001C5808" w14:paraId="1071B2D6" w14:textId="77777777" w:rsidTr="00862CDC">
        <w:trPr>
          <w:trHeight w:val="174"/>
        </w:trPr>
        <w:tc>
          <w:tcPr>
            <w:tcW w:w="9067" w:type="dxa"/>
            <w:gridSpan w:val="7"/>
          </w:tcPr>
          <w:p w14:paraId="5293F02C" w14:textId="77777777" w:rsidR="001C5808" w:rsidRPr="006D03BF" w:rsidRDefault="001C5808" w:rsidP="001C4366">
            <w:pPr>
              <w:keepNext/>
              <w:spacing w:before="0"/>
              <w:rPr>
                <w:rFonts w:ascii="Arial Narrow" w:hAnsi="Arial Narrow" w:cstheme="minorHAnsi"/>
                <w:sz w:val="20"/>
                <w:szCs w:val="20"/>
              </w:rPr>
            </w:pPr>
          </w:p>
        </w:tc>
      </w:tr>
      <w:tr w:rsidR="001C5808" w:rsidRPr="001C5808" w14:paraId="476247B9" w14:textId="77777777" w:rsidTr="00862CDC">
        <w:tc>
          <w:tcPr>
            <w:tcW w:w="9067" w:type="dxa"/>
            <w:gridSpan w:val="7"/>
          </w:tcPr>
          <w:p w14:paraId="74E66FF7" w14:textId="77777777" w:rsidR="001C5808" w:rsidRPr="006D03BF" w:rsidRDefault="001C5808" w:rsidP="001C4366">
            <w:pPr>
              <w:spacing w:before="0"/>
              <w:ind w:left="57"/>
              <w:rPr>
                <w:rFonts w:ascii="Arial Narrow" w:hAnsi="Arial Narrow" w:cstheme="minorHAnsi"/>
                <w:b/>
                <w:sz w:val="20"/>
                <w:szCs w:val="20"/>
              </w:rPr>
            </w:pPr>
            <w:r w:rsidRPr="006D03BF">
              <w:rPr>
                <w:rFonts w:ascii="Arial Narrow" w:hAnsi="Arial Narrow" w:cstheme="minorHAnsi"/>
                <w:b/>
                <w:sz w:val="20"/>
                <w:szCs w:val="20"/>
              </w:rPr>
              <w:t xml:space="preserve">Restriction Summary [New 1] </w:t>
            </w:r>
          </w:p>
        </w:tc>
      </w:tr>
      <w:tr w:rsidR="001C5808" w:rsidRPr="001C5808" w14:paraId="4C7D0D1B" w14:textId="77777777" w:rsidTr="00862CDC">
        <w:tc>
          <w:tcPr>
            <w:tcW w:w="1129" w:type="dxa"/>
            <w:vMerge w:val="restart"/>
          </w:tcPr>
          <w:p w14:paraId="20665AC0" w14:textId="77777777" w:rsidR="001C5808" w:rsidRPr="006D03BF" w:rsidRDefault="001C5808" w:rsidP="001C4366">
            <w:pPr>
              <w:spacing w:before="0"/>
              <w:jc w:val="center"/>
              <w:rPr>
                <w:rFonts w:ascii="Arial Narrow" w:hAnsi="Arial Narrow" w:cstheme="minorHAnsi"/>
                <w:sz w:val="20"/>
                <w:szCs w:val="20"/>
              </w:rPr>
            </w:pPr>
          </w:p>
        </w:tc>
        <w:tc>
          <w:tcPr>
            <w:tcW w:w="7938" w:type="dxa"/>
            <w:gridSpan w:val="6"/>
          </w:tcPr>
          <w:p w14:paraId="11B449BA" w14:textId="77777777" w:rsidR="001C5808" w:rsidRPr="006D03BF" w:rsidRDefault="001C5808" w:rsidP="001C4366">
            <w:pPr>
              <w:spacing w:before="0"/>
              <w:rPr>
                <w:rFonts w:ascii="Arial Narrow" w:hAnsi="Arial Narrow" w:cstheme="minorHAnsi"/>
                <w:sz w:val="20"/>
                <w:szCs w:val="20"/>
              </w:rPr>
            </w:pPr>
            <w:r w:rsidRPr="006D03BF">
              <w:rPr>
                <w:rFonts w:ascii="Arial Narrow" w:hAnsi="Arial Narrow" w:cstheme="minorHAnsi"/>
                <w:b/>
                <w:sz w:val="20"/>
                <w:szCs w:val="20"/>
              </w:rPr>
              <w:t xml:space="preserve">Category / Program:   </w:t>
            </w:r>
            <w:r w:rsidRPr="006D03BF">
              <w:rPr>
                <w:rFonts w:ascii="Arial Narrow" w:hAnsi="Arial Narrow" w:cstheme="minorHAnsi"/>
                <w:sz w:val="20"/>
                <w:szCs w:val="20"/>
              </w:rPr>
              <w:t>GENERAL – General Schedule (Code GE)</w:t>
            </w:r>
          </w:p>
        </w:tc>
      </w:tr>
      <w:tr w:rsidR="001C5808" w:rsidRPr="001C5808" w14:paraId="0FC6564F" w14:textId="77777777" w:rsidTr="00862CDC">
        <w:trPr>
          <w:trHeight w:val="240"/>
        </w:trPr>
        <w:tc>
          <w:tcPr>
            <w:tcW w:w="1129" w:type="dxa"/>
            <w:vMerge/>
          </w:tcPr>
          <w:p w14:paraId="746CA8E9" w14:textId="77777777" w:rsidR="001C5808" w:rsidRPr="006D03BF" w:rsidRDefault="001C5808" w:rsidP="001C4366">
            <w:pPr>
              <w:spacing w:before="0"/>
              <w:rPr>
                <w:rFonts w:ascii="Arial Narrow" w:hAnsi="Arial Narrow" w:cstheme="minorHAnsi"/>
                <w:sz w:val="20"/>
                <w:szCs w:val="20"/>
              </w:rPr>
            </w:pPr>
          </w:p>
        </w:tc>
        <w:tc>
          <w:tcPr>
            <w:tcW w:w="7938" w:type="dxa"/>
            <w:gridSpan w:val="6"/>
          </w:tcPr>
          <w:p w14:paraId="0798E643" w14:textId="77777777" w:rsidR="001C5808" w:rsidRPr="006D03BF" w:rsidRDefault="001C5808" w:rsidP="001C4366">
            <w:pPr>
              <w:spacing w:before="0"/>
              <w:rPr>
                <w:rFonts w:ascii="Arial Narrow" w:hAnsi="Arial Narrow" w:cstheme="minorHAnsi"/>
                <w:b/>
                <w:sz w:val="20"/>
                <w:szCs w:val="20"/>
              </w:rPr>
            </w:pPr>
            <w:r w:rsidRPr="006D03BF">
              <w:rPr>
                <w:rFonts w:ascii="Arial Narrow" w:hAnsi="Arial Narrow" w:cstheme="minorHAnsi"/>
                <w:b/>
                <w:sz w:val="20"/>
                <w:szCs w:val="20"/>
              </w:rPr>
              <w:t xml:space="preserve">Prescriber type:   </w:t>
            </w:r>
            <w:r w:rsidRPr="006D03BF">
              <w:rPr>
                <w:rFonts w:ascii="Arial Narrow" w:hAnsi="Arial Narrow" w:cstheme="minorHAnsi"/>
                <w:sz w:val="20"/>
                <w:szCs w:val="20"/>
              </w:rPr>
              <w:fldChar w:fldCharType="begin">
                <w:ffData>
                  <w:name w:val=""/>
                  <w:enabled/>
                  <w:calcOnExit w:val="0"/>
                  <w:checkBox>
                    <w:sizeAuto/>
                    <w:default w:val="1"/>
                  </w:checkBox>
                </w:ffData>
              </w:fldChar>
            </w:r>
            <w:r w:rsidRPr="006D03BF">
              <w:rPr>
                <w:rFonts w:ascii="Arial Narrow" w:hAnsi="Arial Narrow" w:cstheme="minorHAnsi"/>
                <w:sz w:val="20"/>
                <w:szCs w:val="20"/>
              </w:rPr>
              <w:instrText xml:space="preserve"> FORMCHECKBOX </w:instrText>
            </w:r>
            <w:r w:rsidR="00300B3C">
              <w:rPr>
                <w:rFonts w:ascii="Arial Narrow" w:hAnsi="Arial Narrow" w:cstheme="minorHAnsi"/>
                <w:sz w:val="20"/>
                <w:szCs w:val="20"/>
              </w:rPr>
            </w:r>
            <w:r w:rsidR="00300B3C">
              <w:rPr>
                <w:rFonts w:ascii="Arial Narrow" w:hAnsi="Arial Narrow" w:cstheme="minorHAnsi"/>
                <w:sz w:val="20"/>
                <w:szCs w:val="20"/>
              </w:rPr>
              <w:fldChar w:fldCharType="separate"/>
            </w:r>
            <w:r w:rsidRPr="006D03BF">
              <w:rPr>
                <w:rFonts w:ascii="Arial Narrow" w:hAnsi="Arial Narrow" w:cstheme="minorHAnsi"/>
                <w:sz w:val="20"/>
                <w:szCs w:val="20"/>
              </w:rPr>
              <w:fldChar w:fldCharType="end"/>
            </w:r>
            <w:r w:rsidRPr="006D03BF">
              <w:rPr>
                <w:rFonts w:ascii="Arial Narrow" w:hAnsi="Arial Narrow" w:cstheme="minorHAnsi"/>
                <w:sz w:val="20"/>
                <w:szCs w:val="20"/>
              </w:rPr>
              <w:t>Medical Practitioners</w:t>
            </w:r>
          </w:p>
        </w:tc>
      </w:tr>
      <w:tr w:rsidR="001C5808" w:rsidRPr="001C5808" w14:paraId="2746DB12" w14:textId="77777777" w:rsidTr="00862CDC">
        <w:trPr>
          <w:trHeight w:val="242"/>
        </w:trPr>
        <w:tc>
          <w:tcPr>
            <w:tcW w:w="1129" w:type="dxa"/>
            <w:vMerge/>
          </w:tcPr>
          <w:p w14:paraId="46E9D07E" w14:textId="77777777" w:rsidR="001C5808" w:rsidRPr="006D03BF" w:rsidRDefault="001C5808" w:rsidP="001C4366">
            <w:pPr>
              <w:spacing w:before="0"/>
              <w:rPr>
                <w:rFonts w:ascii="Arial Narrow" w:hAnsi="Arial Narrow" w:cstheme="minorHAnsi"/>
                <w:sz w:val="20"/>
                <w:szCs w:val="20"/>
              </w:rPr>
            </w:pPr>
          </w:p>
        </w:tc>
        <w:tc>
          <w:tcPr>
            <w:tcW w:w="7938" w:type="dxa"/>
            <w:gridSpan w:val="6"/>
          </w:tcPr>
          <w:p w14:paraId="12F049AB" w14:textId="77777777" w:rsidR="001C5808" w:rsidRPr="006D03BF" w:rsidRDefault="001C5808" w:rsidP="001C4366">
            <w:pPr>
              <w:spacing w:before="0"/>
              <w:rPr>
                <w:rFonts w:ascii="Arial Narrow" w:hAnsi="Arial Narrow" w:cstheme="minorHAnsi"/>
                <w:b/>
                <w:sz w:val="20"/>
                <w:szCs w:val="20"/>
              </w:rPr>
            </w:pPr>
            <w:r w:rsidRPr="006D03BF">
              <w:rPr>
                <w:rFonts w:ascii="Arial Narrow" w:hAnsi="Arial Narrow" w:cstheme="minorHAnsi"/>
                <w:b/>
                <w:sz w:val="20"/>
                <w:szCs w:val="20"/>
              </w:rPr>
              <w:t xml:space="preserve">Restriction type: </w:t>
            </w:r>
            <w:r w:rsidRPr="006D03BF">
              <w:rPr>
                <w:rFonts w:ascii="Arial Narrow" w:eastAsia="Calibri" w:hAnsi="Arial Narrow" w:cstheme="minorHAnsi"/>
                <w:sz w:val="20"/>
                <w:szCs w:val="20"/>
              </w:rPr>
              <w:fldChar w:fldCharType="begin">
                <w:ffData>
                  <w:name w:val="Check3"/>
                  <w:enabled/>
                  <w:calcOnExit w:val="0"/>
                  <w:checkBox>
                    <w:sizeAuto/>
                    <w:default w:val="1"/>
                  </w:checkBox>
                </w:ffData>
              </w:fldChar>
            </w:r>
            <w:bookmarkStart w:id="76" w:name="Check3"/>
            <w:r w:rsidRPr="006D03BF">
              <w:rPr>
                <w:rFonts w:ascii="Arial Narrow" w:eastAsia="Calibri" w:hAnsi="Arial Narrow" w:cstheme="minorHAnsi"/>
                <w:sz w:val="20"/>
                <w:szCs w:val="20"/>
              </w:rPr>
              <w:instrText xml:space="preserve"> FORMCHECKBOX </w:instrText>
            </w:r>
            <w:r w:rsidR="00300B3C">
              <w:rPr>
                <w:rFonts w:ascii="Arial Narrow" w:eastAsia="Calibri" w:hAnsi="Arial Narrow" w:cstheme="minorHAnsi"/>
                <w:sz w:val="20"/>
                <w:szCs w:val="20"/>
              </w:rPr>
            </w:r>
            <w:r w:rsidR="00300B3C">
              <w:rPr>
                <w:rFonts w:ascii="Arial Narrow" w:eastAsia="Calibri" w:hAnsi="Arial Narrow" w:cstheme="minorHAnsi"/>
                <w:sz w:val="20"/>
                <w:szCs w:val="20"/>
              </w:rPr>
              <w:fldChar w:fldCharType="separate"/>
            </w:r>
            <w:r w:rsidRPr="006D03BF">
              <w:rPr>
                <w:rFonts w:ascii="Arial Narrow" w:eastAsia="Calibri" w:hAnsi="Arial Narrow" w:cstheme="minorHAnsi"/>
                <w:sz w:val="20"/>
                <w:szCs w:val="20"/>
              </w:rPr>
              <w:fldChar w:fldCharType="end"/>
            </w:r>
            <w:bookmarkEnd w:id="76"/>
            <w:r w:rsidRPr="006D03BF">
              <w:rPr>
                <w:rFonts w:ascii="Arial Narrow" w:eastAsia="Calibri" w:hAnsi="Arial Narrow" w:cstheme="minorHAnsi"/>
                <w:sz w:val="20"/>
                <w:szCs w:val="20"/>
              </w:rPr>
              <w:t>Authority Required (telephone/online PBS Authorities system)</w:t>
            </w:r>
          </w:p>
        </w:tc>
      </w:tr>
      <w:tr w:rsidR="001C5808" w:rsidRPr="001C5808" w14:paraId="12B85548" w14:textId="77777777" w:rsidTr="00862CDC">
        <w:trPr>
          <w:trHeight w:val="242"/>
        </w:trPr>
        <w:tc>
          <w:tcPr>
            <w:tcW w:w="1129" w:type="dxa"/>
          </w:tcPr>
          <w:p w14:paraId="644F12FC" w14:textId="77777777" w:rsidR="001C5808" w:rsidRPr="006D03BF" w:rsidRDefault="001C5808" w:rsidP="001C4366">
            <w:pPr>
              <w:spacing w:before="0"/>
              <w:rPr>
                <w:rFonts w:ascii="Arial Narrow" w:hAnsi="Arial Narrow" w:cstheme="minorHAnsi"/>
                <w:sz w:val="20"/>
                <w:szCs w:val="20"/>
              </w:rPr>
            </w:pPr>
          </w:p>
        </w:tc>
        <w:tc>
          <w:tcPr>
            <w:tcW w:w="7938" w:type="dxa"/>
            <w:gridSpan w:val="6"/>
          </w:tcPr>
          <w:p w14:paraId="48983865" w14:textId="77777777" w:rsidR="001C5808" w:rsidRPr="006D03BF" w:rsidRDefault="001C5808" w:rsidP="001C4366">
            <w:pPr>
              <w:spacing w:before="0"/>
              <w:rPr>
                <w:rFonts w:ascii="Arial Narrow" w:hAnsi="Arial Narrow" w:cstheme="minorHAnsi"/>
                <w:b/>
                <w:sz w:val="20"/>
                <w:szCs w:val="20"/>
              </w:rPr>
            </w:pPr>
          </w:p>
        </w:tc>
      </w:tr>
      <w:tr w:rsidR="001C5808" w:rsidRPr="001C5808" w14:paraId="6A1C736B" w14:textId="77777777" w:rsidTr="00862CDC">
        <w:trPr>
          <w:trHeight w:val="242"/>
        </w:trPr>
        <w:tc>
          <w:tcPr>
            <w:tcW w:w="1129" w:type="dxa"/>
          </w:tcPr>
          <w:p w14:paraId="44AC75C9" w14:textId="77777777" w:rsidR="001C5808" w:rsidRPr="006D03BF" w:rsidRDefault="001C5808" w:rsidP="001C4366">
            <w:pPr>
              <w:spacing w:before="0"/>
              <w:jc w:val="center"/>
              <w:rPr>
                <w:rFonts w:ascii="Arial Narrow" w:hAnsi="Arial Narrow" w:cstheme="minorHAnsi"/>
                <w:sz w:val="20"/>
                <w:szCs w:val="20"/>
              </w:rPr>
            </w:pPr>
          </w:p>
        </w:tc>
        <w:tc>
          <w:tcPr>
            <w:tcW w:w="7938" w:type="dxa"/>
            <w:gridSpan w:val="6"/>
          </w:tcPr>
          <w:p w14:paraId="272F7690" w14:textId="77777777" w:rsidR="001C5808" w:rsidRPr="006D03BF" w:rsidRDefault="001C5808" w:rsidP="001C4366">
            <w:pPr>
              <w:spacing w:before="0"/>
              <w:rPr>
                <w:rFonts w:ascii="Arial Narrow" w:hAnsi="Arial Narrow" w:cstheme="minorHAnsi"/>
                <w:bCs/>
                <w:sz w:val="20"/>
                <w:szCs w:val="20"/>
                <w:lang w:eastAsia="en-AU"/>
              </w:rPr>
            </w:pPr>
            <w:r w:rsidRPr="006D03BF">
              <w:rPr>
                <w:rFonts w:ascii="Arial Narrow" w:hAnsi="Arial Narrow" w:cstheme="minorHAnsi"/>
                <w:b/>
                <w:bCs/>
                <w:sz w:val="20"/>
                <w:szCs w:val="20"/>
                <w:lang w:eastAsia="en-AU"/>
              </w:rPr>
              <w:t>Administrative Advice:</w:t>
            </w:r>
          </w:p>
          <w:p w14:paraId="62E44448" w14:textId="77777777" w:rsidR="001C5808" w:rsidRPr="006D03BF" w:rsidRDefault="001C5808" w:rsidP="001C4366">
            <w:pPr>
              <w:spacing w:before="0"/>
              <w:rPr>
                <w:rFonts w:ascii="Arial Narrow" w:hAnsi="Arial Narrow" w:cstheme="minorHAnsi"/>
                <w:b/>
                <w:sz w:val="20"/>
                <w:szCs w:val="20"/>
              </w:rPr>
            </w:pPr>
            <w:r w:rsidRPr="006D03BF">
              <w:rPr>
                <w:rFonts w:ascii="Arial Narrow" w:hAnsi="Arial Narrow" w:cstheme="minorHAnsi"/>
                <w:bCs/>
                <w:sz w:val="20"/>
                <w:szCs w:val="20"/>
                <w:lang w:eastAsia="en-AU"/>
              </w:rPr>
              <w:t>Applications for authorisation under this restriction may be made in real time using the Online PBS Authorities system (see www.servicesaustralia.gov.au/HPOS) or by telephone by contacting Services Australia on 1800 888 333.</w:t>
            </w:r>
          </w:p>
        </w:tc>
      </w:tr>
      <w:tr w:rsidR="001C5808" w:rsidRPr="001C5808" w14:paraId="0A33A7F0" w14:textId="77777777" w:rsidTr="00862CDC">
        <w:trPr>
          <w:trHeight w:val="242"/>
        </w:trPr>
        <w:tc>
          <w:tcPr>
            <w:tcW w:w="1129" w:type="dxa"/>
          </w:tcPr>
          <w:p w14:paraId="6084B3F9" w14:textId="77777777" w:rsidR="001C5808" w:rsidRPr="006D03BF" w:rsidRDefault="001C5808" w:rsidP="001C4366">
            <w:pPr>
              <w:spacing w:before="0"/>
              <w:jc w:val="center"/>
              <w:rPr>
                <w:rFonts w:ascii="Arial Narrow" w:hAnsi="Arial Narrow" w:cstheme="minorHAnsi"/>
                <w:sz w:val="20"/>
                <w:szCs w:val="20"/>
              </w:rPr>
            </w:pPr>
          </w:p>
        </w:tc>
        <w:tc>
          <w:tcPr>
            <w:tcW w:w="7938" w:type="dxa"/>
            <w:gridSpan w:val="6"/>
          </w:tcPr>
          <w:p w14:paraId="5DF94B12" w14:textId="77777777" w:rsidR="001C5808" w:rsidRPr="006D03BF" w:rsidRDefault="001C5808" w:rsidP="001C4366">
            <w:pPr>
              <w:spacing w:before="0"/>
              <w:rPr>
                <w:rFonts w:ascii="Arial Narrow" w:hAnsi="Arial Narrow" w:cstheme="minorHAnsi"/>
                <w:b/>
                <w:sz w:val="20"/>
                <w:szCs w:val="20"/>
              </w:rPr>
            </w:pPr>
            <w:r w:rsidRPr="006D03BF">
              <w:rPr>
                <w:rFonts w:ascii="Arial Narrow" w:hAnsi="Arial Narrow" w:cstheme="minorHAnsi"/>
                <w:b/>
                <w:sz w:val="20"/>
                <w:szCs w:val="20"/>
              </w:rPr>
              <w:t>Administrative advice:</w:t>
            </w:r>
          </w:p>
          <w:p w14:paraId="3FC1D5CB" w14:textId="77777777" w:rsidR="001C5808" w:rsidRPr="006D03BF" w:rsidRDefault="001C5808" w:rsidP="001C4366">
            <w:pPr>
              <w:spacing w:before="0"/>
              <w:rPr>
                <w:rFonts w:ascii="Arial Narrow" w:hAnsi="Arial Narrow" w:cstheme="minorHAnsi"/>
                <w:bCs/>
                <w:i/>
                <w:iCs/>
                <w:sz w:val="20"/>
                <w:szCs w:val="20"/>
              </w:rPr>
            </w:pPr>
            <w:r w:rsidRPr="006D03BF">
              <w:rPr>
                <w:rFonts w:ascii="Arial Narrow" w:hAnsi="Arial Narrow" w:cstheme="minorHAnsi"/>
                <w:bCs/>
                <w:sz w:val="20"/>
                <w:szCs w:val="20"/>
              </w:rPr>
              <w:t>Where the term ‘novel hormonal drug’ appears in this restriction, it refers to: (i) abiraterone, (ii) apalutamide [pending Nov 21 PBAC meeting outcome], (iii) darolutamide, (iv) enzalutamide</w:t>
            </w:r>
            <w:r w:rsidRPr="006D03BF">
              <w:rPr>
                <w:rFonts w:ascii="Arial Narrow" w:hAnsi="Arial Narrow" w:cstheme="minorHAnsi"/>
                <w:bCs/>
                <w:i/>
                <w:iCs/>
                <w:sz w:val="20"/>
                <w:szCs w:val="20"/>
              </w:rPr>
              <w:t xml:space="preserve">  </w:t>
            </w:r>
          </w:p>
        </w:tc>
      </w:tr>
      <w:tr w:rsidR="001C5808" w:rsidRPr="001C5808" w14:paraId="74545040" w14:textId="77777777" w:rsidTr="00862CDC">
        <w:trPr>
          <w:trHeight w:val="242"/>
        </w:trPr>
        <w:tc>
          <w:tcPr>
            <w:tcW w:w="1129" w:type="dxa"/>
            <w:vAlign w:val="center"/>
          </w:tcPr>
          <w:p w14:paraId="7ABE57D5" w14:textId="77777777" w:rsidR="001C5808" w:rsidRPr="006D03BF" w:rsidRDefault="001C5808" w:rsidP="001C4366">
            <w:pPr>
              <w:spacing w:before="0"/>
              <w:jc w:val="center"/>
              <w:rPr>
                <w:rFonts w:ascii="Arial Narrow" w:hAnsi="Arial Narrow" w:cstheme="minorHAnsi"/>
                <w:sz w:val="20"/>
                <w:szCs w:val="20"/>
              </w:rPr>
            </w:pPr>
          </w:p>
        </w:tc>
        <w:tc>
          <w:tcPr>
            <w:tcW w:w="7938" w:type="dxa"/>
            <w:gridSpan w:val="6"/>
            <w:vAlign w:val="center"/>
          </w:tcPr>
          <w:p w14:paraId="733C88AD" w14:textId="77777777" w:rsidR="001C5808" w:rsidRPr="006D03BF" w:rsidRDefault="001C5808" w:rsidP="001C4366">
            <w:pPr>
              <w:spacing w:before="0"/>
              <w:jc w:val="left"/>
              <w:rPr>
                <w:rFonts w:ascii="Arial Narrow" w:hAnsi="Arial Narrow" w:cstheme="minorHAnsi"/>
                <w:b/>
                <w:i/>
                <w:iCs/>
                <w:sz w:val="20"/>
                <w:szCs w:val="20"/>
              </w:rPr>
            </w:pPr>
            <w:r w:rsidRPr="006D03BF">
              <w:rPr>
                <w:rFonts w:ascii="Arial Narrow" w:hAnsi="Arial Narrow" w:cstheme="minorHAnsi"/>
                <w:b/>
                <w:bCs/>
                <w:sz w:val="20"/>
                <w:szCs w:val="20"/>
                <w:lang w:eastAsia="en-AU"/>
              </w:rPr>
              <w:t>Administrative Advice:</w:t>
            </w:r>
            <w:r w:rsidRPr="006D03BF">
              <w:rPr>
                <w:rFonts w:ascii="Arial Narrow" w:hAnsi="Arial Narrow" w:cstheme="minorHAnsi"/>
                <w:sz w:val="20"/>
                <w:szCs w:val="20"/>
                <w:lang w:eastAsia="en-AU"/>
              </w:rPr>
              <w:t xml:space="preserve"> </w:t>
            </w:r>
            <w:r w:rsidRPr="006D03BF">
              <w:rPr>
                <w:rFonts w:ascii="Arial Narrow" w:eastAsia="Calibri" w:hAnsi="Arial Narrow" w:cstheme="minorHAnsi"/>
                <w:sz w:val="20"/>
                <w:szCs w:val="20"/>
              </w:rPr>
              <w:t>Special Pricing Arrangements Apply</w:t>
            </w:r>
          </w:p>
        </w:tc>
      </w:tr>
      <w:tr w:rsidR="001C5808" w:rsidRPr="001C5808" w14:paraId="4F3149A3" w14:textId="77777777" w:rsidTr="00862CDC">
        <w:trPr>
          <w:trHeight w:val="242"/>
        </w:trPr>
        <w:tc>
          <w:tcPr>
            <w:tcW w:w="1129" w:type="dxa"/>
          </w:tcPr>
          <w:p w14:paraId="6197ADBF"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12F15407" w14:textId="77777777" w:rsidR="001C5808" w:rsidRPr="006D03BF" w:rsidRDefault="001C5808" w:rsidP="001C4366">
            <w:pPr>
              <w:spacing w:before="0"/>
              <w:rPr>
                <w:rFonts w:ascii="Arial Narrow" w:hAnsi="Arial Narrow" w:cstheme="minorHAnsi"/>
                <w:b/>
                <w:bCs/>
                <w:sz w:val="20"/>
                <w:szCs w:val="20"/>
                <w:lang w:eastAsia="en-AU"/>
              </w:rPr>
            </w:pPr>
          </w:p>
        </w:tc>
      </w:tr>
      <w:tr w:rsidR="001C5808" w:rsidRPr="001C5808" w14:paraId="22C1F6E8" w14:textId="77777777" w:rsidTr="00862CDC">
        <w:tc>
          <w:tcPr>
            <w:tcW w:w="1129" w:type="dxa"/>
          </w:tcPr>
          <w:p w14:paraId="30E2DBCA"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0A16AB9A"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Indication:</w:t>
            </w:r>
            <w:r w:rsidRPr="006D03BF">
              <w:rPr>
                <w:rFonts w:ascii="Arial Narrow" w:hAnsi="Arial Narrow" w:cstheme="minorHAnsi"/>
                <w:sz w:val="20"/>
                <w:szCs w:val="20"/>
                <w:lang w:eastAsia="en-AU"/>
              </w:rPr>
              <w:t xml:space="preserve"> </w:t>
            </w:r>
            <w:r w:rsidRPr="006D03BF">
              <w:rPr>
                <w:rFonts w:ascii="Arial Narrow" w:hAnsi="Arial Narrow" w:cstheme="minorHAnsi"/>
                <w:bCs/>
                <w:sz w:val="20"/>
                <w:szCs w:val="20"/>
                <w:lang w:eastAsia="en-AU"/>
              </w:rPr>
              <w:t>Castration resistant metastatic carcinoma of the prostate</w:t>
            </w:r>
          </w:p>
        </w:tc>
      </w:tr>
      <w:tr w:rsidR="001C5808" w:rsidRPr="001C5808" w14:paraId="50940851" w14:textId="77777777" w:rsidTr="00862CDC">
        <w:tc>
          <w:tcPr>
            <w:tcW w:w="1129" w:type="dxa"/>
          </w:tcPr>
          <w:p w14:paraId="0629F275"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1247339F"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Treatment Phase:</w:t>
            </w:r>
            <w:r w:rsidRPr="006D03BF">
              <w:rPr>
                <w:rFonts w:ascii="Arial Narrow" w:hAnsi="Arial Narrow" w:cstheme="minorHAnsi"/>
                <w:bCs/>
                <w:sz w:val="20"/>
                <w:szCs w:val="20"/>
                <w:lang w:eastAsia="en-AU"/>
              </w:rPr>
              <w:t xml:space="preserve"> Initial treatment</w:t>
            </w:r>
          </w:p>
        </w:tc>
      </w:tr>
      <w:tr w:rsidR="001C5808" w:rsidRPr="001C5808" w14:paraId="27EB6AC6" w14:textId="77777777" w:rsidTr="00862CDC">
        <w:tc>
          <w:tcPr>
            <w:tcW w:w="1129" w:type="dxa"/>
          </w:tcPr>
          <w:p w14:paraId="5A0FF60C"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315F1668" w14:textId="77777777" w:rsidR="001C5808" w:rsidRPr="006D03BF" w:rsidRDefault="001C5808" w:rsidP="001C4366">
            <w:pPr>
              <w:spacing w:before="0"/>
              <w:rPr>
                <w:rFonts w:ascii="Arial Narrow" w:hAnsi="Arial Narrow" w:cstheme="minorHAnsi"/>
                <w:b/>
                <w:bCs/>
                <w:sz w:val="20"/>
                <w:szCs w:val="20"/>
                <w:lang w:eastAsia="en-AU"/>
              </w:rPr>
            </w:pPr>
          </w:p>
        </w:tc>
      </w:tr>
      <w:tr w:rsidR="001C5808" w:rsidRPr="001C5808" w14:paraId="5C23B000" w14:textId="77777777" w:rsidTr="00862CDC">
        <w:tc>
          <w:tcPr>
            <w:tcW w:w="1129" w:type="dxa"/>
          </w:tcPr>
          <w:p w14:paraId="0D6C035A"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03C949DF"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Clinical criteria:</w:t>
            </w:r>
          </w:p>
        </w:tc>
      </w:tr>
      <w:tr w:rsidR="001C5808" w:rsidRPr="001C5808" w14:paraId="3D6866E7" w14:textId="77777777" w:rsidTr="00862CDC">
        <w:tc>
          <w:tcPr>
            <w:tcW w:w="1129" w:type="dxa"/>
          </w:tcPr>
          <w:p w14:paraId="6023CE7C"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58B546C2" w14:textId="77777777" w:rsidR="001C5808" w:rsidRPr="006D03BF" w:rsidRDefault="001C5808" w:rsidP="001C4366">
            <w:pPr>
              <w:spacing w:before="0"/>
              <w:rPr>
                <w:rFonts w:ascii="Arial Narrow" w:hAnsi="Arial Narrow" w:cstheme="minorHAnsi"/>
                <w:iCs/>
                <w:sz w:val="20"/>
                <w:szCs w:val="20"/>
                <w:lang w:eastAsia="en-AU"/>
              </w:rPr>
            </w:pPr>
            <w:r w:rsidRPr="006D03BF">
              <w:rPr>
                <w:rFonts w:ascii="Arial Narrow" w:hAnsi="Arial Narrow" w:cstheme="minorHAnsi"/>
                <w:bCs/>
                <w:iCs/>
                <w:sz w:val="20"/>
                <w:szCs w:val="20"/>
                <w:lang w:eastAsia="en-AU"/>
              </w:rPr>
              <w:t>The condition must be associated with a class 4 or 5 BRCA1 or BRCA2 gene mutation.</w:t>
            </w:r>
          </w:p>
        </w:tc>
      </w:tr>
      <w:tr w:rsidR="001C5808" w:rsidRPr="001C5808" w14:paraId="769DE93E" w14:textId="77777777" w:rsidTr="00862CDC">
        <w:tc>
          <w:tcPr>
            <w:tcW w:w="1129" w:type="dxa"/>
          </w:tcPr>
          <w:p w14:paraId="6940915E"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6D15C11A"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AND</w:t>
            </w:r>
          </w:p>
        </w:tc>
      </w:tr>
      <w:tr w:rsidR="001C5808" w:rsidRPr="001C5808" w14:paraId="321BA3FA" w14:textId="77777777" w:rsidTr="00862CDC">
        <w:tc>
          <w:tcPr>
            <w:tcW w:w="1129" w:type="dxa"/>
          </w:tcPr>
          <w:p w14:paraId="2309F7D2"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5074F659"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Clinical criteria:</w:t>
            </w:r>
          </w:p>
        </w:tc>
      </w:tr>
      <w:tr w:rsidR="001C5808" w:rsidRPr="001C5808" w14:paraId="55CC8D77" w14:textId="77777777" w:rsidTr="00862CDC">
        <w:tc>
          <w:tcPr>
            <w:tcW w:w="1129" w:type="dxa"/>
          </w:tcPr>
          <w:p w14:paraId="696E7A05"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4E4C079A" w14:textId="77777777" w:rsidR="001C5808" w:rsidRPr="006D03BF" w:rsidRDefault="001C5808" w:rsidP="001C4366">
            <w:pPr>
              <w:spacing w:before="0"/>
              <w:rPr>
                <w:rFonts w:ascii="Arial Narrow" w:hAnsi="Arial Narrow" w:cstheme="minorHAnsi"/>
                <w:bCs/>
                <w:sz w:val="20"/>
                <w:szCs w:val="20"/>
                <w:lang w:eastAsia="en-AU"/>
              </w:rPr>
            </w:pPr>
            <w:r w:rsidRPr="006D03BF">
              <w:rPr>
                <w:rFonts w:ascii="Arial Narrow" w:hAnsi="Arial Narrow" w:cstheme="minorHAnsi"/>
                <w:bCs/>
                <w:sz w:val="20"/>
                <w:szCs w:val="20"/>
                <w:lang w:eastAsia="en-AU"/>
              </w:rPr>
              <w:t>The treatment must not be subsidised in combination with chemotherapy</w:t>
            </w:r>
          </w:p>
        </w:tc>
      </w:tr>
      <w:tr w:rsidR="001C5808" w:rsidRPr="001C5808" w14:paraId="497A177D" w14:textId="77777777" w:rsidTr="00862CDC">
        <w:tc>
          <w:tcPr>
            <w:tcW w:w="1129" w:type="dxa"/>
          </w:tcPr>
          <w:p w14:paraId="235BE500"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176CF184"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AND</w:t>
            </w:r>
          </w:p>
        </w:tc>
      </w:tr>
      <w:tr w:rsidR="001C5808" w:rsidRPr="001C5808" w14:paraId="4DBA4EA7" w14:textId="77777777" w:rsidTr="00862CDC">
        <w:tc>
          <w:tcPr>
            <w:tcW w:w="1129" w:type="dxa"/>
          </w:tcPr>
          <w:p w14:paraId="6BE3FBA3"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24398544"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Clinical criteria:</w:t>
            </w:r>
          </w:p>
        </w:tc>
      </w:tr>
      <w:tr w:rsidR="001C5808" w:rsidRPr="001C5808" w14:paraId="32A0BA84" w14:textId="77777777" w:rsidTr="00862CDC">
        <w:tc>
          <w:tcPr>
            <w:tcW w:w="1129" w:type="dxa"/>
          </w:tcPr>
          <w:p w14:paraId="7F684B69" w14:textId="77777777" w:rsidR="001C5808" w:rsidRPr="006D03BF" w:rsidRDefault="001C5808" w:rsidP="001C4366">
            <w:pPr>
              <w:spacing w:before="0"/>
              <w:jc w:val="center"/>
              <w:rPr>
                <w:rFonts w:ascii="Arial Narrow" w:hAnsi="Arial Narrow" w:cstheme="minorHAnsi"/>
                <w:iCs/>
                <w:sz w:val="20"/>
                <w:szCs w:val="20"/>
                <w:lang w:eastAsia="en-AU"/>
              </w:rPr>
            </w:pPr>
          </w:p>
        </w:tc>
        <w:tc>
          <w:tcPr>
            <w:tcW w:w="7938" w:type="dxa"/>
            <w:gridSpan w:val="6"/>
          </w:tcPr>
          <w:p w14:paraId="5F21E6D1" w14:textId="77777777" w:rsidR="001C5808" w:rsidRPr="006D03BF" w:rsidRDefault="001C5808" w:rsidP="001C4366">
            <w:pPr>
              <w:spacing w:before="0"/>
              <w:rPr>
                <w:rFonts w:ascii="Arial Narrow" w:hAnsi="Arial Narrow" w:cstheme="minorHAnsi"/>
                <w:bCs/>
                <w:sz w:val="20"/>
                <w:szCs w:val="20"/>
                <w:lang w:eastAsia="en-AU"/>
              </w:rPr>
            </w:pPr>
            <w:r w:rsidRPr="006D03BF">
              <w:rPr>
                <w:rFonts w:ascii="Arial Narrow" w:hAnsi="Arial Narrow" w:cstheme="minorHAnsi"/>
                <w:bCs/>
                <w:sz w:val="20"/>
                <w:szCs w:val="20"/>
                <w:lang w:eastAsia="en-AU"/>
              </w:rPr>
              <w:t>The condition must have progressed following prior treatment that included a novel hormonal drug for this condition (metastatic/non-metastatic disease)</w:t>
            </w:r>
          </w:p>
        </w:tc>
      </w:tr>
      <w:tr w:rsidR="001C5808" w:rsidRPr="001C5808" w14:paraId="51F91E75" w14:textId="77777777" w:rsidTr="00862CDC">
        <w:tc>
          <w:tcPr>
            <w:tcW w:w="1129" w:type="dxa"/>
          </w:tcPr>
          <w:p w14:paraId="5B202495"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7B283EAB" w14:textId="77777777" w:rsidR="001C5808" w:rsidRPr="006D03BF" w:rsidRDefault="001C5808" w:rsidP="001C4366">
            <w:pPr>
              <w:spacing w:before="0"/>
              <w:rPr>
                <w:rFonts w:ascii="Arial Narrow" w:hAnsi="Arial Narrow" w:cstheme="minorHAnsi"/>
                <w:b/>
                <w:bCs/>
                <w:sz w:val="20"/>
                <w:szCs w:val="20"/>
                <w:lang w:eastAsia="en-AU"/>
              </w:rPr>
            </w:pPr>
            <w:r w:rsidRPr="006D03BF">
              <w:rPr>
                <w:rFonts w:ascii="Arial Narrow" w:hAnsi="Arial Narrow" w:cstheme="minorHAnsi"/>
                <w:b/>
                <w:bCs/>
                <w:sz w:val="20"/>
                <w:szCs w:val="20"/>
                <w:lang w:eastAsia="en-AU"/>
              </w:rPr>
              <w:t>AND</w:t>
            </w:r>
          </w:p>
        </w:tc>
      </w:tr>
      <w:tr w:rsidR="001C5808" w:rsidRPr="001C5808" w14:paraId="12A4C1B7" w14:textId="77777777" w:rsidTr="00862CDC">
        <w:tc>
          <w:tcPr>
            <w:tcW w:w="1129" w:type="dxa"/>
          </w:tcPr>
          <w:p w14:paraId="5D123D8D"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1FD03C44" w14:textId="77777777" w:rsidR="001C5808" w:rsidRPr="006D03BF" w:rsidRDefault="001C5808" w:rsidP="001C4366">
            <w:pPr>
              <w:spacing w:before="0"/>
              <w:rPr>
                <w:rFonts w:ascii="Arial Narrow" w:hAnsi="Arial Narrow" w:cstheme="minorHAnsi"/>
                <w:b/>
                <w:bCs/>
                <w:sz w:val="20"/>
                <w:szCs w:val="20"/>
                <w:lang w:eastAsia="en-AU"/>
              </w:rPr>
            </w:pPr>
            <w:r w:rsidRPr="006D03BF">
              <w:rPr>
                <w:rFonts w:ascii="Arial Narrow" w:hAnsi="Arial Narrow" w:cstheme="minorHAnsi"/>
                <w:b/>
                <w:bCs/>
                <w:sz w:val="20"/>
                <w:szCs w:val="20"/>
                <w:lang w:eastAsia="en-AU"/>
              </w:rPr>
              <w:t>Clinical criteria</w:t>
            </w:r>
          </w:p>
        </w:tc>
      </w:tr>
      <w:tr w:rsidR="001C5808" w:rsidRPr="001C5808" w14:paraId="3EB3EBF2" w14:textId="77777777" w:rsidTr="00862CDC">
        <w:tc>
          <w:tcPr>
            <w:tcW w:w="1129" w:type="dxa"/>
          </w:tcPr>
          <w:p w14:paraId="55A8481F" w14:textId="77777777" w:rsidR="001C5808" w:rsidRPr="006D03BF" w:rsidRDefault="001C5808" w:rsidP="001C4366">
            <w:pPr>
              <w:spacing w:before="0"/>
              <w:jc w:val="center"/>
              <w:rPr>
                <w:rFonts w:ascii="Arial Narrow" w:hAnsi="Arial Narrow" w:cstheme="minorHAnsi"/>
                <w:bCs/>
                <w:sz w:val="20"/>
                <w:szCs w:val="20"/>
                <w:lang w:eastAsia="en-AU"/>
              </w:rPr>
            </w:pPr>
          </w:p>
        </w:tc>
        <w:tc>
          <w:tcPr>
            <w:tcW w:w="7938" w:type="dxa"/>
            <w:gridSpan w:val="6"/>
          </w:tcPr>
          <w:p w14:paraId="33E3A168" w14:textId="77777777" w:rsidR="001C5808" w:rsidRPr="006D03BF" w:rsidRDefault="001C5808" w:rsidP="001C4366">
            <w:pPr>
              <w:spacing w:before="0"/>
              <w:rPr>
                <w:rFonts w:ascii="Arial Narrow" w:hAnsi="Arial Narrow" w:cstheme="minorHAnsi"/>
                <w:bCs/>
                <w:sz w:val="20"/>
                <w:szCs w:val="20"/>
                <w:lang w:eastAsia="en-AU"/>
              </w:rPr>
            </w:pPr>
            <w:r w:rsidRPr="006D03BF">
              <w:rPr>
                <w:rFonts w:ascii="Arial Narrow" w:hAnsi="Arial Narrow" w:cstheme="minorHAnsi"/>
                <w:bCs/>
                <w:sz w:val="20"/>
                <w:szCs w:val="20"/>
                <w:lang w:eastAsia="en-AU"/>
              </w:rPr>
              <w:t>Patient must have a WHO performance status of 2 or less</w:t>
            </w:r>
          </w:p>
        </w:tc>
      </w:tr>
      <w:tr w:rsidR="001C5808" w:rsidRPr="001C5808" w14:paraId="7DEB40E1" w14:textId="77777777" w:rsidTr="00862CDC">
        <w:tc>
          <w:tcPr>
            <w:tcW w:w="1129" w:type="dxa"/>
          </w:tcPr>
          <w:p w14:paraId="176F829A" w14:textId="77777777" w:rsidR="001C5808" w:rsidRPr="006D03BF" w:rsidRDefault="001C5808" w:rsidP="001C4366">
            <w:pPr>
              <w:spacing w:before="0"/>
              <w:jc w:val="center"/>
              <w:rPr>
                <w:rFonts w:ascii="Arial Narrow" w:hAnsi="Arial Narrow" w:cstheme="minorHAnsi"/>
                <w:bCs/>
                <w:sz w:val="20"/>
                <w:szCs w:val="20"/>
                <w:lang w:eastAsia="en-AU"/>
              </w:rPr>
            </w:pPr>
          </w:p>
        </w:tc>
        <w:tc>
          <w:tcPr>
            <w:tcW w:w="7938" w:type="dxa"/>
            <w:gridSpan w:val="6"/>
          </w:tcPr>
          <w:p w14:paraId="2BF1FFB3" w14:textId="77777777" w:rsidR="001C5808" w:rsidRPr="006D03BF" w:rsidRDefault="001C5808" w:rsidP="001C4366">
            <w:pPr>
              <w:spacing w:before="0"/>
              <w:rPr>
                <w:rFonts w:ascii="Arial Narrow" w:hAnsi="Arial Narrow" w:cstheme="minorHAnsi"/>
                <w:b/>
                <w:bCs/>
                <w:sz w:val="20"/>
                <w:szCs w:val="20"/>
                <w:lang w:eastAsia="en-AU"/>
              </w:rPr>
            </w:pPr>
          </w:p>
        </w:tc>
      </w:tr>
      <w:tr w:rsidR="001C5808" w:rsidRPr="001C5808" w14:paraId="4A8C5220" w14:textId="77777777" w:rsidTr="00862CDC">
        <w:tc>
          <w:tcPr>
            <w:tcW w:w="1129" w:type="dxa"/>
          </w:tcPr>
          <w:p w14:paraId="4524E32F" w14:textId="77777777" w:rsidR="001C5808" w:rsidRPr="006D03BF" w:rsidRDefault="001C5808" w:rsidP="001C4366">
            <w:pPr>
              <w:spacing w:before="0"/>
              <w:jc w:val="center"/>
              <w:rPr>
                <w:rFonts w:ascii="Arial Narrow" w:hAnsi="Arial Narrow" w:cstheme="minorHAnsi"/>
                <w:bCs/>
                <w:sz w:val="20"/>
                <w:szCs w:val="20"/>
                <w:lang w:eastAsia="en-AU"/>
              </w:rPr>
            </w:pPr>
          </w:p>
        </w:tc>
        <w:tc>
          <w:tcPr>
            <w:tcW w:w="7938" w:type="dxa"/>
            <w:gridSpan w:val="6"/>
          </w:tcPr>
          <w:p w14:paraId="332C6E32" w14:textId="77777777" w:rsidR="001C5808" w:rsidRPr="006D03BF" w:rsidRDefault="001C5808" w:rsidP="001C4366">
            <w:pPr>
              <w:spacing w:before="0"/>
              <w:rPr>
                <w:rFonts w:ascii="Arial Narrow" w:hAnsi="Arial Narrow" w:cstheme="minorHAnsi"/>
                <w:b/>
                <w:bCs/>
                <w:sz w:val="20"/>
                <w:szCs w:val="20"/>
                <w:lang w:eastAsia="en-AU"/>
              </w:rPr>
            </w:pPr>
            <w:r w:rsidRPr="006D03BF">
              <w:rPr>
                <w:rFonts w:ascii="Arial Narrow" w:hAnsi="Arial Narrow" w:cstheme="minorHAnsi"/>
                <w:b/>
                <w:bCs/>
                <w:sz w:val="20"/>
                <w:szCs w:val="20"/>
                <w:lang w:eastAsia="en-AU"/>
              </w:rPr>
              <w:t>Treatment</w:t>
            </w:r>
            <w:r w:rsidRPr="006D03BF">
              <w:rPr>
                <w:rFonts w:ascii="Arial Narrow" w:hAnsi="Arial Narrow" w:cstheme="minorHAnsi"/>
                <w:b/>
                <w:bCs/>
                <w:i/>
                <w:iCs/>
                <w:sz w:val="20"/>
                <w:szCs w:val="20"/>
                <w:lang w:eastAsia="en-AU"/>
              </w:rPr>
              <w:t xml:space="preserve"> </w:t>
            </w:r>
            <w:r w:rsidRPr="006D03BF">
              <w:rPr>
                <w:rFonts w:ascii="Arial Narrow" w:hAnsi="Arial Narrow" w:cstheme="minorHAnsi"/>
                <w:b/>
                <w:bCs/>
                <w:sz w:val="20"/>
                <w:szCs w:val="20"/>
                <w:lang w:eastAsia="en-AU"/>
              </w:rPr>
              <w:t>criteria:</w:t>
            </w:r>
          </w:p>
        </w:tc>
      </w:tr>
      <w:tr w:rsidR="001C5808" w:rsidRPr="001C5808" w14:paraId="7413C4C5" w14:textId="77777777" w:rsidTr="00862CDC">
        <w:tc>
          <w:tcPr>
            <w:tcW w:w="1129" w:type="dxa"/>
          </w:tcPr>
          <w:p w14:paraId="043766ED" w14:textId="77777777" w:rsidR="001C5808" w:rsidRPr="006D03BF" w:rsidRDefault="001C5808" w:rsidP="001C4366">
            <w:pPr>
              <w:spacing w:before="0"/>
              <w:jc w:val="center"/>
              <w:rPr>
                <w:rFonts w:ascii="Arial Narrow" w:hAnsi="Arial Narrow" w:cstheme="minorHAnsi"/>
                <w:bCs/>
                <w:sz w:val="20"/>
                <w:szCs w:val="20"/>
                <w:lang w:eastAsia="en-AU"/>
              </w:rPr>
            </w:pPr>
          </w:p>
        </w:tc>
        <w:tc>
          <w:tcPr>
            <w:tcW w:w="7938" w:type="dxa"/>
            <w:gridSpan w:val="6"/>
          </w:tcPr>
          <w:p w14:paraId="5C7448A5" w14:textId="77777777" w:rsidR="001C5808" w:rsidRPr="006D03BF" w:rsidRDefault="001C5808" w:rsidP="001C4366">
            <w:pPr>
              <w:spacing w:before="0"/>
              <w:rPr>
                <w:rFonts w:ascii="Arial Narrow" w:hAnsi="Arial Narrow" w:cstheme="minorHAnsi"/>
                <w:bCs/>
                <w:iCs/>
                <w:sz w:val="20"/>
                <w:szCs w:val="20"/>
                <w:lang w:eastAsia="en-AU"/>
              </w:rPr>
            </w:pPr>
            <w:r w:rsidRPr="006D03BF">
              <w:rPr>
                <w:rFonts w:ascii="Arial Narrow" w:hAnsi="Arial Narrow" w:cstheme="minorHAnsi"/>
                <w:bCs/>
                <w:iCs/>
                <w:sz w:val="20"/>
                <w:szCs w:val="20"/>
                <w:lang w:eastAsia="en-AU"/>
              </w:rPr>
              <w:t>Patient must be undergoing treatment with this drug for the first time</w:t>
            </w:r>
          </w:p>
        </w:tc>
      </w:tr>
      <w:tr w:rsidR="001C5808" w:rsidRPr="001C5808" w14:paraId="36E77E95" w14:textId="77777777" w:rsidTr="00862CDC">
        <w:tc>
          <w:tcPr>
            <w:tcW w:w="9067" w:type="dxa"/>
            <w:gridSpan w:val="7"/>
          </w:tcPr>
          <w:p w14:paraId="3570A9CF" w14:textId="77777777" w:rsidR="001C5808" w:rsidRPr="006D03BF" w:rsidRDefault="001C5808" w:rsidP="001C4366">
            <w:pPr>
              <w:spacing w:before="0"/>
              <w:rPr>
                <w:rFonts w:ascii="Arial Narrow" w:hAnsi="Arial Narrow" w:cstheme="minorHAnsi"/>
                <w:b/>
                <w:bCs/>
                <w:sz w:val="20"/>
                <w:szCs w:val="20"/>
                <w:lang w:eastAsia="en-AU"/>
              </w:rPr>
            </w:pPr>
          </w:p>
          <w:p w14:paraId="3E2F47EF" w14:textId="77777777" w:rsidR="001C5808" w:rsidRPr="006D03BF" w:rsidRDefault="001C5808" w:rsidP="001C4366">
            <w:pPr>
              <w:spacing w:before="0"/>
              <w:rPr>
                <w:rFonts w:ascii="Arial Narrow" w:hAnsi="Arial Narrow" w:cstheme="minorHAnsi"/>
                <w:b/>
                <w:bCs/>
                <w:sz w:val="20"/>
                <w:szCs w:val="20"/>
                <w:lang w:eastAsia="en-AU"/>
              </w:rPr>
            </w:pPr>
          </w:p>
        </w:tc>
      </w:tr>
      <w:tr w:rsidR="001C5808" w:rsidRPr="001C5808" w14:paraId="31FFAA57" w14:textId="77777777" w:rsidTr="00862CDC">
        <w:tc>
          <w:tcPr>
            <w:tcW w:w="9067" w:type="dxa"/>
            <w:gridSpan w:val="7"/>
          </w:tcPr>
          <w:p w14:paraId="69EFDD0A" w14:textId="77777777" w:rsidR="001C5808" w:rsidRPr="006D03BF" w:rsidRDefault="001C5808" w:rsidP="001C4366">
            <w:pPr>
              <w:spacing w:before="0"/>
              <w:rPr>
                <w:rFonts w:ascii="Arial Narrow" w:hAnsi="Arial Narrow" w:cstheme="minorHAnsi"/>
                <w:b/>
                <w:bCs/>
                <w:iCs/>
                <w:sz w:val="20"/>
                <w:szCs w:val="20"/>
                <w:lang w:eastAsia="en-AU"/>
              </w:rPr>
            </w:pPr>
            <w:r w:rsidRPr="006D03BF">
              <w:rPr>
                <w:rFonts w:ascii="Arial Narrow" w:hAnsi="Arial Narrow" w:cstheme="minorHAnsi"/>
                <w:b/>
                <w:bCs/>
                <w:iCs/>
                <w:sz w:val="20"/>
                <w:szCs w:val="20"/>
                <w:lang w:eastAsia="en-AU"/>
              </w:rPr>
              <w:t>Restriction Summary [New 2]</w:t>
            </w:r>
          </w:p>
        </w:tc>
      </w:tr>
      <w:tr w:rsidR="001C5808" w:rsidRPr="001C5808" w14:paraId="7721D540" w14:textId="77777777" w:rsidTr="00862CDC">
        <w:tc>
          <w:tcPr>
            <w:tcW w:w="1129" w:type="dxa"/>
          </w:tcPr>
          <w:p w14:paraId="3836A00D"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22A6E166" w14:textId="77777777" w:rsidR="001C5808" w:rsidRPr="006D03BF" w:rsidRDefault="001C5808" w:rsidP="001C4366">
            <w:pPr>
              <w:spacing w:before="0"/>
              <w:rPr>
                <w:rFonts w:ascii="Arial Narrow" w:hAnsi="Arial Narrow" w:cstheme="minorHAnsi"/>
                <w:b/>
                <w:bCs/>
                <w:i/>
                <w:sz w:val="20"/>
                <w:szCs w:val="20"/>
                <w:lang w:eastAsia="en-AU"/>
              </w:rPr>
            </w:pPr>
            <w:r w:rsidRPr="006D03BF">
              <w:rPr>
                <w:rFonts w:ascii="Arial Narrow" w:hAnsi="Arial Narrow" w:cstheme="minorHAnsi"/>
                <w:b/>
                <w:bCs/>
                <w:sz w:val="20"/>
                <w:szCs w:val="20"/>
                <w:lang w:eastAsia="en-AU"/>
              </w:rPr>
              <w:t>Indication:</w:t>
            </w:r>
            <w:r w:rsidRPr="006D03BF">
              <w:rPr>
                <w:rFonts w:ascii="Arial Narrow" w:hAnsi="Arial Narrow" w:cstheme="minorHAnsi"/>
                <w:sz w:val="20"/>
                <w:szCs w:val="20"/>
                <w:lang w:eastAsia="en-AU"/>
              </w:rPr>
              <w:t xml:space="preserve"> </w:t>
            </w:r>
            <w:r w:rsidRPr="006D03BF">
              <w:rPr>
                <w:rFonts w:ascii="Arial Narrow" w:hAnsi="Arial Narrow" w:cstheme="minorHAnsi"/>
                <w:bCs/>
                <w:sz w:val="20"/>
                <w:szCs w:val="20"/>
                <w:lang w:eastAsia="en-AU"/>
              </w:rPr>
              <w:t>Castration resistant metastatic carcinoma of the prostate</w:t>
            </w:r>
          </w:p>
        </w:tc>
      </w:tr>
      <w:tr w:rsidR="001C5808" w:rsidRPr="001C5808" w14:paraId="122C0648" w14:textId="77777777" w:rsidTr="00862CDC">
        <w:tc>
          <w:tcPr>
            <w:tcW w:w="1129" w:type="dxa"/>
          </w:tcPr>
          <w:p w14:paraId="67FEF83A"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3B85AC33" w14:textId="77777777" w:rsidR="001C5808" w:rsidRPr="006D03BF" w:rsidRDefault="001C5808" w:rsidP="001C4366">
            <w:pPr>
              <w:spacing w:before="0"/>
              <w:rPr>
                <w:rFonts w:ascii="Arial Narrow" w:hAnsi="Arial Narrow" w:cstheme="minorHAnsi"/>
                <w:iCs/>
                <w:sz w:val="20"/>
                <w:szCs w:val="20"/>
                <w:lang w:eastAsia="en-AU"/>
              </w:rPr>
            </w:pPr>
            <w:r w:rsidRPr="006D03BF">
              <w:rPr>
                <w:rFonts w:ascii="Arial Narrow" w:hAnsi="Arial Narrow" w:cstheme="minorHAnsi"/>
                <w:b/>
                <w:bCs/>
                <w:iCs/>
                <w:sz w:val="20"/>
                <w:szCs w:val="20"/>
                <w:lang w:eastAsia="en-AU"/>
              </w:rPr>
              <w:t>Treatment Phase:</w:t>
            </w:r>
            <w:r w:rsidRPr="006D03BF">
              <w:rPr>
                <w:rFonts w:ascii="Arial Narrow" w:hAnsi="Arial Narrow" w:cstheme="minorHAnsi"/>
                <w:bCs/>
                <w:iCs/>
                <w:sz w:val="20"/>
                <w:szCs w:val="20"/>
                <w:lang w:eastAsia="en-AU"/>
              </w:rPr>
              <w:t xml:space="preserve"> Transitioning from non-PBS to PBS subsided treatment – ‘Grandfather’ arrangements</w:t>
            </w:r>
          </w:p>
        </w:tc>
      </w:tr>
      <w:tr w:rsidR="001C5808" w:rsidRPr="001C5808" w14:paraId="5C825FAD" w14:textId="77777777" w:rsidTr="00862CDC">
        <w:tc>
          <w:tcPr>
            <w:tcW w:w="1129" w:type="dxa"/>
          </w:tcPr>
          <w:p w14:paraId="3DF9C542"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32114B4C" w14:textId="77777777" w:rsidR="001C5808" w:rsidRPr="006D03BF" w:rsidRDefault="001C5808" w:rsidP="001C4366">
            <w:pPr>
              <w:spacing w:before="0"/>
              <w:rPr>
                <w:rFonts w:ascii="Arial Narrow" w:hAnsi="Arial Narrow" w:cstheme="minorHAnsi"/>
                <w:b/>
                <w:bCs/>
                <w:i/>
                <w:sz w:val="20"/>
                <w:szCs w:val="20"/>
                <w:lang w:eastAsia="en-AU"/>
              </w:rPr>
            </w:pPr>
          </w:p>
        </w:tc>
      </w:tr>
      <w:tr w:rsidR="001C5808" w:rsidRPr="001C5808" w14:paraId="1A4433FD" w14:textId="77777777" w:rsidTr="00862CDC">
        <w:tc>
          <w:tcPr>
            <w:tcW w:w="1129" w:type="dxa"/>
          </w:tcPr>
          <w:p w14:paraId="109D4B1D"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7D575426" w14:textId="77777777" w:rsidR="001C5808" w:rsidRPr="006D03BF" w:rsidRDefault="001C5808" w:rsidP="001C4366">
            <w:pPr>
              <w:spacing w:before="0"/>
              <w:rPr>
                <w:rFonts w:ascii="Arial Narrow" w:hAnsi="Arial Narrow" w:cstheme="minorHAnsi"/>
                <w:b/>
                <w:bCs/>
                <w:sz w:val="20"/>
                <w:szCs w:val="20"/>
                <w:lang w:eastAsia="en-AU"/>
              </w:rPr>
            </w:pPr>
            <w:r w:rsidRPr="006D03BF">
              <w:rPr>
                <w:rFonts w:ascii="Arial Narrow" w:hAnsi="Arial Narrow" w:cstheme="minorHAnsi"/>
                <w:b/>
                <w:bCs/>
                <w:sz w:val="20"/>
                <w:szCs w:val="20"/>
                <w:lang w:eastAsia="en-AU"/>
              </w:rPr>
              <w:t>Clinical Criteria</w:t>
            </w:r>
          </w:p>
        </w:tc>
      </w:tr>
      <w:tr w:rsidR="001C5808" w:rsidRPr="001C5808" w14:paraId="664D642A" w14:textId="77777777" w:rsidTr="00862CDC">
        <w:trPr>
          <w:trHeight w:val="163"/>
        </w:trPr>
        <w:tc>
          <w:tcPr>
            <w:tcW w:w="1129" w:type="dxa"/>
          </w:tcPr>
          <w:p w14:paraId="458B1FE4"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05534366" w14:textId="77777777" w:rsidR="001C5808" w:rsidRPr="006D03BF" w:rsidRDefault="001C5808" w:rsidP="001C4366">
            <w:pPr>
              <w:spacing w:before="0"/>
              <w:rPr>
                <w:rFonts w:ascii="Arial Narrow" w:hAnsi="Arial Narrow" w:cstheme="minorHAnsi"/>
                <w:bCs/>
                <w:strike/>
                <w:sz w:val="20"/>
                <w:szCs w:val="20"/>
                <w:lang w:eastAsia="en-AU"/>
              </w:rPr>
            </w:pPr>
            <w:r w:rsidRPr="006D03BF">
              <w:rPr>
                <w:rFonts w:ascii="Arial Narrow" w:hAnsi="Arial Narrow" w:cstheme="minorHAnsi"/>
                <w:bCs/>
                <w:sz w:val="20"/>
                <w:szCs w:val="20"/>
                <w:lang w:eastAsia="en-AU"/>
              </w:rPr>
              <w:t>Patient must have received non-PBS subsidised treatment with this drug for this condition prior to [insert listing date]</w:t>
            </w:r>
          </w:p>
        </w:tc>
      </w:tr>
      <w:tr w:rsidR="001C5808" w:rsidRPr="001C5808" w14:paraId="5437AA45" w14:textId="77777777" w:rsidTr="00862CDC">
        <w:tc>
          <w:tcPr>
            <w:tcW w:w="1129" w:type="dxa"/>
          </w:tcPr>
          <w:p w14:paraId="42087D5E"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5ABE5E62" w14:textId="77777777" w:rsidR="001C5808" w:rsidRPr="006D03BF" w:rsidRDefault="001C5808" w:rsidP="001C4366">
            <w:pPr>
              <w:spacing w:before="0"/>
              <w:rPr>
                <w:rFonts w:ascii="Arial Narrow" w:hAnsi="Arial Narrow" w:cstheme="minorHAnsi"/>
                <w:b/>
                <w:bCs/>
                <w:sz w:val="20"/>
                <w:szCs w:val="20"/>
                <w:lang w:eastAsia="en-AU"/>
              </w:rPr>
            </w:pPr>
            <w:r w:rsidRPr="006D03BF">
              <w:rPr>
                <w:rFonts w:ascii="Arial Narrow" w:hAnsi="Arial Narrow" w:cstheme="minorHAnsi"/>
                <w:b/>
                <w:bCs/>
                <w:sz w:val="20"/>
                <w:szCs w:val="20"/>
                <w:lang w:eastAsia="en-AU"/>
              </w:rPr>
              <w:t>AND</w:t>
            </w:r>
          </w:p>
        </w:tc>
      </w:tr>
      <w:tr w:rsidR="001C5808" w:rsidRPr="001C5808" w14:paraId="7EE552D0" w14:textId="77777777" w:rsidTr="00862CDC">
        <w:tc>
          <w:tcPr>
            <w:tcW w:w="1129" w:type="dxa"/>
          </w:tcPr>
          <w:p w14:paraId="768BFCA5"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73682F23"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Clinical criteria:</w:t>
            </w:r>
          </w:p>
        </w:tc>
      </w:tr>
      <w:tr w:rsidR="001C5808" w:rsidRPr="001C5808" w14:paraId="17357963" w14:textId="77777777" w:rsidTr="00862CDC">
        <w:tc>
          <w:tcPr>
            <w:tcW w:w="1129" w:type="dxa"/>
          </w:tcPr>
          <w:p w14:paraId="3EA6F491"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26013405"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sz w:val="20"/>
                <w:szCs w:val="20"/>
              </w:rPr>
              <w:t xml:space="preserve"> </w:t>
            </w:r>
            <w:r w:rsidRPr="006D03BF">
              <w:rPr>
                <w:rFonts w:ascii="Arial Narrow" w:hAnsi="Arial Narrow" w:cstheme="minorHAnsi"/>
                <w:bCs/>
                <w:sz w:val="20"/>
                <w:szCs w:val="20"/>
                <w:lang w:eastAsia="en-AU"/>
              </w:rPr>
              <w:t>The condition must be associated with a class 4 or 5 BRCA1 or BRCA2 gene mutation.</w:t>
            </w:r>
          </w:p>
        </w:tc>
      </w:tr>
      <w:tr w:rsidR="001C5808" w:rsidRPr="001C5808" w14:paraId="49DE1453" w14:textId="77777777" w:rsidTr="00862CDC">
        <w:tc>
          <w:tcPr>
            <w:tcW w:w="1129" w:type="dxa"/>
          </w:tcPr>
          <w:p w14:paraId="797E8F12"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0743AA04"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AND</w:t>
            </w:r>
          </w:p>
        </w:tc>
      </w:tr>
      <w:tr w:rsidR="001C5808" w:rsidRPr="001C5808" w14:paraId="26CE04DA" w14:textId="77777777" w:rsidTr="00862CDC">
        <w:tc>
          <w:tcPr>
            <w:tcW w:w="1129" w:type="dxa"/>
          </w:tcPr>
          <w:p w14:paraId="67BE88D2"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1393C3DF"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Clinical criteria:</w:t>
            </w:r>
          </w:p>
        </w:tc>
      </w:tr>
      <w:tr w:rsidR="001C5808" w:rsidRPr="001C5808" w14:paraId="561FE89C" w14:textId="77777777" w:rsidTr="00862CDC">
        <w:tc>
          <w:tcPr>
            <w:tcW w:w="1129" w:type="dxa"/>
          </w:tcPr>
          <w:p w14:paraId="489CD392"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436D609B" w14:textId="77777777" w:rsidR="001C5808" w:rsidRPr="006D03BF" w:rsidRDefault="001C5808" w:rsidP="001C4366">
            <w:pPr>
              <w:spacing w:before="0"/>
              <w:rPr>
                <w:rFonts w:ascii="Arial Narrow" w:hAnsi="Arial Narrow" w:cstheme="minorHAnsi"/>
                <w:bCs/>
                <w:i/>
                <w:sz w:val="20"/>
                <w:szCs w:val="20"/>
                <w:lang w:eastAsia="en-AU"/>
              </w:rPr>
            </w:pPr>
            <w:r w:rsidRPr="006D03BF">
              <w:rPr>
                <w:rFonts w:ascii="Arial Narrow" w:hAnsi="Arial Narrow" w:cstheme="minorHAnsi"/>
                <w:bCs/>
                <w:sz w:val="20"/>
                <w:szCs w:val="20"/>
                <w:lang w:eastAsia="en-AU"/>
              </w:rPr>
              <w:t>The treatment must not be subsidised in combination with</w:t>
            </w:r>
            <w:r w:rsidR="00FB3656">
              <w:rPr>
                <w:rFonts w:ascii="Arial Narrow" w:hAnsi="Arial Narrow" w:cstheme="minorHAnsi"/>
                <w:bCs/>
                <w:sz w:val="20"/>
                <w:szCs w:val="20"/>
                <w:lang w:eastAsia="en-AU"/>
              </w:rPr>
              <w:t xml:space="preserve"> </w:t>
            </w:r>
            <w:r w:rsidRPr="006D03BF">
              <w:rPr>
                <w:rFonts w:ascii="Arial Narrow" w:hAnsi="Arial Narrow" w:cstheme="minorHAnsi"/>
                <w:bCs/>
                <w:sz w:val="20"/>
                <w:szCs w:val="20"/>
                <w:lang w:eastAsia="en-AU"/>
              </w:rPr>
              <w:t>chemotherapy</w:t>
            </w:r>
          </w:p>
        </w:tc>
      </w:tr>
      <w:tr w:rsidR="001C5808" w:rsidRPr="001C5808" w14:paraId="02F4711F" w14:textId="77777777" w:rsidTr="00862CDC">
        <w:tc>
          <w:tcPr>
            <w:tcW w:w="1129" w:type="dxa"/>
          </w:tcPr>
          <w:p w14:paraId="212B7B65"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1C29998D" w14:textId="77777777" w:rsidR="001C5808" w:rsidRPr="006D03BF" w:rsidRDefault="001C5808" w:rsidP="001C4366">
            <w:pPr>
              <w:spacing w:before="0"/>
              <w:rPr>
                <w:rFonts w:ascii="Arial Narrow" w:hAnsi="Arial Narrow" w:cstheme="minorHAnsi"/>
                <w:b/>
                <w:sz w:val="20"/>
                <w:szCs w:val="20"/>
                <w:lang w:eastAsia="en-AU"/>
              </w:rPr>
            </w:pPr>
            <w:r w:rsidRPr="006D03BF">
              <w:rPr>
                <w:rFonts w:ascii="Arial Narrow" w:hAnsi="Arial Narrow" w:cstheme="minorHAnsi"/>
                <w:b/>
                <w:sz w:val="20"/>
                <w:szCs w:val="20"/>
                <w:lang w:eastAsia="en-AU"/>
              </w:rPr>
              <w:t>AND</w:t>
            </w:r>
          </w:p>
        </w:tc>
      </w:tr>
      <w:tr w:rsidR="001C5808" w:rsidRPr="001C5808" w14:paraId="20933F40" w14:textId="77777777" w:rsidTr="00862CDC">
        <w:tc>
          <w:tcPr>
            <w:tcW w:w="1129" w:type="dxa"/>
          </w:tcPr>
          <w:p w14:paraId="76A45CE5"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1A8CA499" w14:textId="77777777" w:rsidR="001C5808" w:rsidRPr="006D03BF" w:rsidRDefault="001C5808" w:rsidP="001C4366">
            <w:pPr>
              <w:spacing w:before="0"/>
              <w:rPr>
                <w:rFonts w:ascii="Arial Narrow" w:hAnsi="Arial Narrow" w:cstheme="minorHAnsi"/>
                <w:bCs/>
                <w:sz w:val="20"/>
                <w:szCs w:val="20"/>
                <w:lang w:eastAsia="en-AU"/>
              </w:rPr>
            </w:pPr>
            <w:r w:rsidRPr="006D03BF">
              <w:rPr>
                <w:rFonts w:ascii="Arial Narrow" w:hAnsi="Arial Narrow" w:cstheme="minorHAnsi"/>
                <w:b/>
                <w:bCs/>
                <w:sz w:val="20"/>
                <w:szCs w:val="20"/>
                <w:lang w:eastAsia="en-AU"/>
              </w:rPr>
              <w:t>Clinical criteria:</w:t>
            </w:r>
          </w:p>
        </w:tc>
      </w:tr>
      <w:tr w:rsidR="001C5808" w:rsidRPr="001C5808" w14:paraId="2A689879" w14:textId="77777777" w:rsidTr="00862CDC">
        <w:tc>
          <w:tcPr>
            <w:tcW w:w="1129" w:type="dxa"/>
          </w:tcPr>
          <w:p w14:paraId="4BEE4088"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0E2E89C9" w14:textId="77777777" w:rsidR="001C5808" w:rsidRPr="006D03BF" w:rsidRDefault="001C5808" w:rsidP="001C4366">
            <w:pPr>
              <w:spacing w:before="0"/>
              <w:rPr>
                <w:rFonts w:ascii="Arial Narrow" w:hAnsi="Arial Narrow" w:cstheme="minorHAnsi"/>
                <w:bCs/>
                <w:sz w:val="20"/>
                <w:szCs w:val="20"/>
                <w:lang w:eastAsia="en-AU"/>
              </w:rPr>
            </w:pPr>
            <w:r w:rsidRPr="006D03BF">
              <w:rPr>
                <w:rFonts w:ascii="Arial Narrow" w:hAnsi="Arial Narrow" w:cstheme="minorHAnsi"/>
                <w:bCs/>
                <w:sz w:val="20"/>
                <w:szCs w:val="20"/>
                <w:lang w:eastAsia="en-AU"/>
              </w:rPr>
              <w:t>The condition must have progressed following prior treatment that included a novel hormonal drug for this condition (metastatic/non-metastatic disease), prior to initiating non-PBS subsidised treatment with this drug</w:t>
            </w:r>
          </w:p>
        </w:tc>
      </w:tr>
      <w:tr w:rsidR="001C5808" w:rsidRPr="001C5808" w14:paraId="5D207BB7" w14:textId="77777777" w:rsidTr="00862CDC">
        <w:tc>
          <w:tcPr>
            <w:tcW w:w="1129" w:type="dxa"/>
          </w:tcPr>
          <w:p w14:paraId="09AE1322"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hideMark/>
          </w:tcPr>
          <w:p w14:paraId="7620A32A"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hAnsi="Arial Narrow" w:cstheme="minorHAnsi"/>
                <w:b/>
                <w:bCs/>
                <w:sz w:val="20"/>
                <w:szCs w:val="20"/>
                <w:lang w:eastAsia="en-AU"/>
              </w:rPr>
              <w:t>AND</w:t>
            </w:r>
          </w:p>
        </w:tc>
      </w:tr>
      <w:tr w:rsidR="001C5808" w:rsidRPr="001C5808" w14:paraId="62702F8B" w14:textId="77777777" w:rsidTr="00862CDC">
        <w:tc>
          <w:tcPr>
            <w:tcW w:w="1129" w:type="dxa"/>
          </w:tcPr>
          <w:p w14:paraId="42370641"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53F7BF3B" w14:textId="77777777" w:rsidR="001C5808" w:rsidRPr="006D03BF" w:rsidRDefault="001C5808" w:rsidP="001C4366">
            <w:pPr>
              <w:spacing w:before="0"/>
              <w:rPr>
                <w:rFonts w:ascii="Arial Narrow" w:hAnsi="Arial Narrow" w:cstheme="minorHAnsi"/>
                <w:b/>
                <w:bCs/>
                <w:sz w:val="20"/>
                <w:szCs w:val="20"/>
                <w:lang w:eastAsia="en-AU"/>
              </w:rPr>
            </w:pPr>
            <w:r w:rsidRPr="006D03BF">
              <w:rPr>
                <w:rFonts w:ascii="Arial Narrow" w:hAnsi="Arial Narrow" w:cstheme="minorHAnsi"/>
                <w:b/>
                <w:bCs/>
                <w:sz w:val="20"/>
                <w:szCs w:val="20"/>
                <w:lang w:eastAsia="en-AU"/>
              </w:rPr>
              <w:t>Clinical criteria</w:t>
            </w:r>
          </w:p>
        </w:tc>
      </w:tr>
      <w:tr w:rsidR="001C5808" w:rsidRPr="001C5808" w14:paraId="00685AC7" w14:textId="77777777" w:rsidTr="00862CDC">
        <w:tc>
          <w:tcPr>
            <w:tcW w:w="1129" w:type="dxa"/>
          </w:tcPr>
          <w:p w14:paraId="04DCE408"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2924B60A" w14:textId="77777777" w:rsidR="001C5808" w:rsidRPr="006D03BF" w:rsidRDefault="001C5808" w:rsidP="001C4366">
            <w:pPr>
              <w:spacing w:before="0"/>
              <w:rPr>
                <w:rFonts w:ascii="Arial Narrow" w:hAnsi="Arial Narrow" w:cstheme="minorHAnsi"/>
                <w:b/>
                <w:bCs/>
                <w:sz w:val="20"/>
                <w:szCs w:val="20"/>
                <w:lang w:eastAsia="en-AU"/>
              </w:rPr>
            </w:pPr>
            <w:r w:rsidRPr="006D03BF">
              <w:rPr>
                <w:rFonts w:ascii="Arial Narrow" w:hAnsi="Arial Narrow" w:cstheme="minorHAnsi"/>
                <w:bCs/>
                <w:sz w:val="20"/>
                <w:szCs w:val="20"/>
                <w:lang w:eastAsia="en-AU"/>
              </w:rPr>
              <w:t>Patient must have had a WHO performance status of 2 or less prior to initiating non-PBS-subsidised treatment</w:t>
            </w:r>
          </w:p>
        </w:tc>
      </w:tr>
      <w:tr w:rsidR="001C5808" w:rsidRPr="001C5808" w14:paraId="2B1D29B1" w14:textId="77777777" w:rsidTr="00862CDC">
        <w:tc>
          <w:tcPr>
            <w:tcW w:w="1129" w:type="dxa"/>
          </w:tcPr>
          <w:p w14:paraId="3E6F4029"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4CFD43C1" w14:textId="77777777" w:rsidR="001C5808" w:rsidRPr="006D03BF" w:rsidRDefault="001C5808" w:rsidP="001C4366">
            <w:pPr>
              <w:spacing w:before="0"/>
              <w:rPr>
                <w:rFonts w:ascii="Arial Narrow" w:hAnsi="Arial Narrow" w:cstheme="minorHAnsi"/>
                <w:sz w:val="20"/>
                <w:szCs w:val="20"/>
                <w:lang w:eastAsia="en-AU"/>
              </w:rPr>
            </w:pPr>
          </w:p>
        </w:tc>
      </w:tr>
      <w:tr w:rsidR="001C5808" w:rsidRPr="001C5808" w14:paraId="6A26AED5" w14:textId="77777777" w:rsidTr="00862CDC">
        <w:tc>
          <w:tcPr>
            <w:tcW w:w="1129" w:type="dxa"/>
          </w:tcPr>
          <w:p w14:paraId="18D53854"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46DEBDDD" w14:textId="77777777" w:rsidR="001C5808" w:rsidRPr="006D03BF" w:rsidRDefault="001C5808" w:rsidP="001C4366">
            <w:pPr>
              <w:spacing w:before="0"/>
              <w:rPr>
                <w:rFonts w:ascii="Arial Narrow" w:hAnsi="Arial Narrow" w:cstheme="minorHAnsi"/>
                <w:bCs/>
                <w:sz w:val="20"/>
                <w:szCs w:val="20"/>
                <w:lang w:eastAsia="en-AU"/>
              </w:rPr>
            </w:pPr>
            <w:r w:rsidRPr="006D03BF">
              <w:rPr>
                <w:rFonts w:ascii="Arial Narrow" w:hAnsi="Arial Narrow" w:cstheme="minorHAnsi"/>
                <w:b/>
                <w:bCs/>
                <w:sz w:val="20"/>
                <w:szCs w:val="20"/>
                <w:lang w:eastAsia="en-AU"/>
              </w:rPr>
              <w:t>Treatment criteria:</w:t>
            </w:r>
          </w:p>
        </w:tc>
      </w:tr>
      <w:tr w:rsidR="001C5808" w:rsidRPr="001C5808" w14:paraId="3FBCB655" w14:textId="77777777" w:rsidTr="00862CDC">
        <w:tc>
          <w:tcPr>
            <w:tcW w:w="1129" w:type="dxa"/>
          </w:tcPr>
          <w:p w14:paraId="690E22A1"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5E5360FD" w14:textId="77777777" w:rsidR="001C5808" w:rsidRPr="006D03BF" w:rsidRDefault="001C5808" w:rsidP="001C4366">
            <w:pPr>
              <w:spacing w:before="0"/>
              <w:rPr>
                <w:rFonts w:ascii="Arial Narrow" w:hAnsi="Arial Narrow" w:cstheme="minorHAnsi"/>
                <w:bCs/>
                <w:sz w:val="20"/>
                <w:szCs w:val="20"/>
                <w:lang w:eastAsia="en-AU"/>
              </w:rPr>
            </w:pPr>
            <w:r w:rsidRPr="006D03BF">
              <w:rPr>
                <w:rFonts w:ascii="Arial Narrow" w:hAnsi="Arial Narrow" w:cstheme="minorHAnsi"/>
                <w:bCs/>
                <w:sz w:val="20"/>
                <w:szCs w:val="20"/>
                <w:lang w:eastAsia="en-AU"/>
              </w:rPr>
              <w:t>Patient must be undergoing continuing treatment with this drug where non-PBS-subsidised treatment was for untreated (with this drug) disease which also has not progressed on non-PBS subsidised treatment</w:t>
            </w:r>
          </w:p>
        </w:tc>
      </w:tr>
      <w:tr w:rsidR="001C5808" w:rsidRPr="001C5808" w14:paraId="1DF820A3" w14:textId="77777777" w:rsidTr="00862CDC">
        <w:tc>
          <w:tcPr>
            <w:tcW w:w="1129" w:type="dxa"/>
          </w:tcPr>
          <w:p w14:paraId="45ABAE59" w14:textId="77777777" w:rsidR="001C5808" w:rsidRPr="006D03BF" w:rsidRDefault="001C5808" w:rsidP="001C4366">
            <w:pPr>
              <w:spacing w:before="0"/>
              <w:jc w:val="center"/>
              <w:rPr>
                <w:rFonts w:ascii="Arial Narrow" w:hAnsi="Arial Narrow" w:cstheme="minorHAnsi"/>
                <w:bCs/>
                <w:sz w:val="20"/>
                <w:szCs w:val="20"/>
                <w:lang w:eastAsia="en-AU"/>
              </w:rPr>
            </w:pPr>
          </w:p>
        </w:tc>
        <w:tc>
          <w:tcPr>
            <w:tcW w:w="7938" w:type="dxa"/>
            <w:gridSpan w:val="6"/>
          </w:tcPr>
          <w:p w14:paraId="664C7382" w14:textId="77777777" w:rsidR="001C5808" w:rsidRPr="006D03BF" w:rsidRDefault="001C5808" w:rsidP="001C4366">
            <w:pPr>
              <w:spacing w:before="0"/>
              <w:rPr>
                <w:rFonts w:ascii="Arial Narrow" w:hAnsi="Arial Narrow" w:cstheme="minorHAnsi"/>
                <w:bCs/>
                <w:sz w:val="20"/>
                <w:szCs w:val="20"/>
                <w:lang w:eastAsia="en-AU"/>
              </w:rPr>
            </w:pPr>
          </w:p>
        </w:tc>
      </w:tr>
      <w:tr w:rsidR="001C5808" w:rsidRPr="001C5808" w14:paraId="22216116" w14:textId="77777777" w:rsidTr="00862CDC">
        <w:tc>
          <w:tcPr>
            <w:tcW w:w="1129" w:type="dxa"/>
          </w:tcPr>
          <w:p w14:paraId="5308E1F5"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16D15E8E" w14:textId="77777777" w:rsidR="001C5808" w:rsidRPr="006D03BF" w:rsidRDefault="001C5808" w:rsidP="001C4366">
            <w:pPr>
              <w:spacing w:before="0"/>
              <w:rPr>
                <w:rFonts w:ascii="Arial Narrow" w:eastAsia="Calibri" w:hAnsi="Arial Narrow" w:cstheme="minorHAnsi"/>
                <w:b/>
                <w:bCs/>
                <w:sz w:val="20"/>
                <w:szCs w:val="20"/>
              </w:rPr>
            </w:pPr>
            <w:r w:rsidRPr="006D03BF">
              <w:rPr>
                <w:rFonts w:ascii="Arial Narrow" w:eastAsia="Calibri" w:hAnsi="Arial Narrow" w:cstheme="minorHAnsi"/>
                <w:b/>
                <w:bCs/>
                <w:sz w:val="20"/>
                <w:szCs w:val="20"/>
              </w:rPr>
              <w:t>Administrative advice:</w:t>
            </w:r>
          </w:p>
          <w:p w14:paraId="79252C4C" w14:textId="77777777" w:rsidR="001C5808" w:rsidRPr="006D03BF" w:rsidRDefault="001C5808" w:rsidP="001C4366">
            <w:pPr>
              <w:spacing w:before="0"/>
              <w:rPr>
                <w:rFonts w:ascii="Arial Narrow" w:hAnsi="Arial Narrow" w:cstheme="minorHAnsi"/>
                <w:b/>
                <w:bCs/>
                <w:sz w:val="20"/>
                <w:szCs w:val="20"/>
                <w:lang w:eastAsia="en-AU"/>
              </w:rPr>
            </w:pPr>
            <w:r w:rsidRPr="006D03BF">
              <w:rPr>
                <w:rFonts w:ascii="Arial Narrow" w:eastAsia="Calibri" w:hAnsi="Arial Narrow" w:cstheme="minorHAnsi"/>
                <w:sz w:val="20"/>
                <w:szCs w:val="20"/>
              </w:rPr>
              <w:t>Patients may qualify for PBS-subsidised treatment under this restriction once only. For continuing PBS-subsidised treatment, a ‘Grandfathered’ patient must qualify under the ‘Continuing treatment’ criteria.</w:t>
            </w:r>
          </w:p>
        </w:tc>
      </w:tr>
      <w:tr w:rsidR="001C5808" w:rsidRPr="001C5808" w14:paraId="3DD44486" w14:textId="77777777" w:rsidTr="00862CDC">
        <w:tc>
          <w:tcPr>
            <w:tcW w:w="1129" w:type="dxa"/>
          </w:tcPr>
          <w:p w14:paraId="75965E08" w14:textId="77777777" w:rsidR="001C5808" w:rsidRPr="006D03BF" w:rsidRDefault="001C5808" w:rsidP="001C4366">
            <w:pPr>
              <w:spacing w:before="0"/>
              <w:jc w:val="center"/>
              <w:rPr>
                <w:rFonts w:ascii="Arial Narrow" w:hAnsi="Arial Narrow" w:cstheme="minorHAnsi"/>
                <w:sz w:val="20"/>
                <w:szCs w:val="20"/>
                <w:lang w:eastAsia="en-AU"/>
              </w:rPr>
            </w:pPr>
          </w:p>
        </w:tc>
        <w:tc>
          <w:tcPr>
            <w:tcW w:w="7938" w:type="dxa"/>
            <w:gridSpan w:val="6"/>
          </w:tcPr>
          <w:p w14:paraId="24A25F54" w14:textId="77777777" w:rsidR="001C5808" w:rsidRPr="006D03BF" w:rsidRDefault="001C5808" w:rsidP="001C4366">
            <w:pPr>
              <w:spacing w:before="0"/>
              <w:rPr>
                <w:rFonts w:ascii="Arial Narrow" w:eastAsia="Calibri" w:hAnsi="Arial Narrow" w:cstheme="minorHAnsi"/>
                <w:sz w:val="20"/>
                <w:szCs w:val="20"/>
              </w:rPr>
            </w:pPr>
            <w:r w:rsidRPr="006D03BF">
              <w:rPr>
                <w:rFonts w:ascii="Arial Narrow" w:hAnsi="Arial Narrow" w:cstheme="minorHAnsi"/>
                <w:b/>
                <w:bCs/>
                <w:sz w:val="20"/>
                <w:szCs w:val="20"/>
                <w:lang w:eastAsia="en-AU"/>
              </w:rPr>
              <w:t>Administrative advice:</w:t>
            </w:r>
            <w:r w:rsidRPr="006D03BF">
              <w:rPr>
                <w:rFonts w:ascii="Arial Narrow" w:eastAsia="Calibri" w:hAnsi="Arial Narrow" w:cstheme="minorHAnsi"/>
                <w:sz w:val="20"/>
                <w:szCs w:val="20"/>
              </w:rPr>
              <w:t xml:space="preserve"> </w:t>
            </w:r>
          </w:p>
          <w:p w14:paraId="042FEE43" w14:textId="77777777" w:rsidR="001C5808" w:rsidRPr="006D03BF" w:rsidRDefault="001C5808" w:rsidP="001C4366">
            <w:pPr>
              <w:spacing w:before="0"/>
              <w:rPr>
                <w:rFonts w:ascii="Arial Narrow" w:hAnsi="Arial Narrow" w:cstheme="minorHAnsi"/>
                <w:sz w:val="20"/>
                <w:szCs w:val="20"/>
                <w:lang w:eastAsia="en-AU"/>
              </w:rPr>
            </w:pPr>
            <w:r w:rsidRPr="006D03BF">
              <w:rPr>
                <w:rFonts w:ascii="Arial Narrow" w:eastAsia="Calibri" w:hAnsi="Arial Narrow" w:cstheme="minorHAnsi"/>
                <w:sz w:val="20"/>
                <w:szCs w:val="20"/>
              </w:rPr>
              <w:t>This grandfather restriction will cease to operate from 12 months after the date specified in the clinical criteria.</w:t>
            </w:r>
          </w:p>
        </w:tc>
      </w:tr>
    </w:tbl>
    <w:p w14:paraId="1355ADC3" w14:textId="77777777" w:rsidR="001C5808" w:rsidRDefault="001C5808" w:rsidP="0030433E">
      <w:pPr>
        <w:spacing w:after="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418"/>
        <w:gridCol w:w="1276"/>
        <w:gridCol w:w="1275"/>
        <w:gridCol w:w="1276"/>
        <w:gridCol w:w="1559"/>
      </w:tblGrid>
      <w:tr w:rsidR="001C5808" w:rsidRPr="00D13A7A" w14:paraId="39B1D7BE" w14:textId="77777777" w:rsidTr="001C4366">
        <w:trPr>
          <w:cantSplit/>
          <w:trHeight w:val="471"/>
        </w:trPr>
        <w:tc>
          <w:tcPr>
            <w:tcW w:w="2263" w:type="dxa"/>
            <w:gridSpan w:val="2"/>
          </w:tcPr>
          <w:p w14:paraId="58F7C697" w14:textId="77777777" w:rsidR="001C5808" w:rsidRPr="006D03BF" w:rsidRDefault="001C5808" w:rsidP="001C4366">
            <w:pPr>
              <w:keepNext/>
              <w:spacing w:before="0" w:after="0"/>
              <w:ind w:left="-57"/>
              <w:rPr>
                <w:rFonts w:ascii="Arial Narrow" w:hAnsi="Arial Narrow" w:cs="Arial"/>
                <w:b/>
                <w:bCs/>
                <w:sz w:val="20"/>
                <w:szCs w:val="20"/>
              </w:rPr>
            </w:pPr>
            <w:r w:rsidRPr="006D03BF">
              <w:rPr>
                <w:rFonts w:ascii="Arial Narrow" w:hAnsi="Arial Narrow" w:cs="Arial"/>
                <w:b/>
                <w:bCs/>
                <w:sz w:val="20"/>
                <w:szCs w:val="20"/>
              </w:rPr>
              <w:t>MEDICINAL PRODUCT</w:t>
            </w:r>
          </w:p>
          <w:p w14:paraId="348A63E6" w14:textId="77777777" w:rsidR="001C5808" w:rsidRPr="006D03BF" w:rsidRDefault="001C5808" w:rsidP="001C4366">
            <w:pPr>
              <w:keepNext/>
              <w:spacing w:before="0" w:after="0"/>
              <w:ind w:left="-57"/>
              <w:rPr>
                <w:rFonts w:ascii="Arial Narrow" w:hAnsi="Arial Narrow" w:cs="Arial"/>
                <w:b/>
                <w:sz w:val="20"/>
                <w:szCs w:val="20"/>
              </w:rPr>
            </w:pPr>
            <w:r w:rsidRPr="006D03BF">
              <w:rPr>
                <w:rFonts w:ascii="Arial Narrow" w:hAnsi="Arial Narrow" w:cs="Arial"/>
                <w:b/>
                <w:bCs/>
                <w:sz w:val="20"/>
                <w:szCs w:val="20"/>
              </w:rPr>
              <w:t>medicinal product pack</w:t>
            </w:r>
          </w:p>
        </w:tc>
        <w:tc>
          <w:tcPr>
            <w:tcW w:w="1418" w:type="dxa"/>
          </w:tcPr>
          <w:p w14:paraId="3C274E9D" w14:textId="77777777" w:rsidR="001C5808" w:rsidRPr="006D03BF" w:rsidRDefault="001C5808" w:rsidP="001C4366">
            <w:pPr>
              <w:keepNext/>
              <w:spacing w:before="0" w:after="0"/>
              <w:ind w:left="-108"/>
              <w:jc w:val="center"/>
              <w:rPr>
                <w:rFonts w:ascii="Arial Narrow" w:hAnsi="Arial Narrow" w:cs="Arial"/>
                <w:b/>
                <w:sz w:val="20"/>
                <w:szCs w:val="20"/>
              </w:rPr>
            </w:pPr>
            <w:r w:rsidRPr="006D03BF">
              <w:rPr>
                <w:rFonts w:ascii="Arial Narrow" w:hAnsi="Arial Narrow" w:cs="Arial"/>
                <w:b/>
                <w:sz w:val="20"/>
                <w:szCs w:val="20"/>
              </w:rPr>
              <w:t>PBS item code</w:t>
            </w:r>
          </w:p>
        </w:tc>
        <w:tc>
          <w:tcPr>
            <w:tcW w:w="1276" w:type="dxa"/>
          </w:tcPr>
          <w:p w14:paraId="4AFFB1A1" w14:textId="77777777" w:rsidR="001C5808" w:rsidRPr="006D03BF" w:rsidRDefault="001C5808" w:rsidP="001C4366">
            <w:pPr>
              <w:keepNext/>
              <w:spacing w:before="0" w:after="0"/>
              <w:ind w:left="-108"/>
              <w:jc w:val="center"/>
              <w:rPr>
                <w:rFonts w:ascii="Arial Narrow" w:hAnsi="Arial Narrow" w:cs="Arial"/>
                <w:b/>
                <w:sz w:val="20"/>
                <w:szCs w:val="20"/>
              </w:rPr>
            </w:pPr>
            <w:r w:rsidRPr="006D03BF">
              <w:rPr>
                <w:rFonts w:ascii="Arial Narrow" w:hAnsi="Arial Narrow" w:cs="Arial"/>
                <w:b/>
                <w:sz w:val="20"/>
                <w:szCs w:val="20"/>
              </w:rPr>
              <w:t>Max. qty packs</w:t>
            </w:r>
          </w:p>
        </w:tc>
        <w:tc>
          <w:tcPr>
            <w:tcW w:w="1275" w:type="dxa"/>
          </w:tcPr>
          <w:p w14:paraId="4E4E4A19" w14:textId="77777777" w:rsidR="001C5808" w:rsidRPr="006D03BF" w:rsidRDefault="001C5808" w:rsidP="001C4366">
            <w:pPr>
              <w:keepNext/>
              <w:spacing w:before="0" w:after="0"/>
              <w:ind w:left="-108"/>
              <w:jc w:val="center"/>
              <w:rPr>
                <w:rFonts w:ascii="Arial Narrow" w:hAnsi="Arial Narrow" w:cs="Arial"/>
                <w:b/>
                <w:sz w:val="20"/>
                <w:szCs w:val="20"/>
              </w:rPr>
            </w:pPr>
            <w:r w:rsidRPr="006D03BF">
              <w:rPr>
                <w:rFonts w:ascii="Arial Narrow" w:hAnsi="Arial Narrow" w:cs="Arial"/>
                <w:b/>
                <w:sz w:val="20"/>
                <w:szCs w:val="20"/>
              </w:rPr>
              <w:t>Max. qty units</w:t>
            </w:r>
          </w:p>
        </w:tc>
        <w:tc>
          <w:tcPr>
            <w:tcW w:w="1276" w:type="dxa"/>
          </w:tcPr>
          <w:p w14:paraId="2C7D8E67" w14:textId="77777777" w:rsidR="001C5808" w:rsidRPr="006D03BF" w:rsidRDefault="001C5808" w:rsidP="001C4366">
            <w:pPr>
              <w:keepNext/>
              <w:spacing w:before="0" w:after="0"/>
              <w:ind w:left="-108"/>
              <w:jc w:val="center"/>
              <w:rPr>
                <w:rFonts w:ascii="Arial Narrow" w:hAnsi="Arial Narrow" w:cs="Arial"/>
                <w:b/>
                <w:sz w:val="20"/>
                <w:szCs w:val="20"/>
              </w:rPr>
            </w:pPr>
            <w:r w:rsidRPr="006D03BF">
              <w:rPr>
                <w:rFonts w:ascii="Arial Narrow" w:hAnsi="Arial Narrow" w:cs="Arial"/>
                <w:b/>
                <w:sz w:val="20"/>
                <w:szCs w:val="20"/>
              </w:rPr>
              <w:t>№.of Rpts</w:t>
            </w:r>
          </w:p>
        </w:tc>
        <w:tc>
          <w:tcPr>
            <w:tcW w:w="1559" w:type="dxa"/>
          </w:tcPr>
          <w:p w14:paraId="67CCDFC8" w14:textId="77777777" w:rsidR="001C5808" w:rsidRPr="006D03BF" w:rsidRDefault="001C5808" w:rsidP="001C4366">
            <w:pPr>
              <w:keepNext/>
              <w:spacing w:before="0" w:after="0"/>
              <w:rPr>
                <w:rFonts w:ascii="Arial Narrow" w:hAnsi="Arial Narrow" w:cs="Arial"/>
                <w:b/>
                <w:sz w:val="20"/>
                <w:szCs w:val="20"/>
                <w:lang w:val="fr-FR"/>
              </w:rPr>
            </w:pPr>
            <w:r w:rsidRPr="006D03BF">
              <w:rPr>
                <w:rFonts w:ascii="Arial Narrow" w:hAnsi="Arial Narrow" w:cs="Arial"/>
                <w:b/>
                <w:sz w:val="20"/>
                <w:szCs w:val="20"/>
              </w:rPr>
              <w:t>Available brands</w:t>
            </w:r>
          </w:p>
        </w:tc>
      </w:tr>
      <w:tr w:rsidR="001C5808" w:rsidRPr="00D13A7A" w14:paraId="1E155950" w14:textId="77777777" w:rsidTr="001C4366">
        <w:trPr>
          <w:cantSplit/>
          <w:trHeight w:val="46"/>
        </w:trPr>
        <w:tc>
          <w:tcPr>
            <w:tcW w:w="9067" w:type="dxa"/>
            <w:gridSpan w:val="7"/>
          </w:tcPr>
          <w:p w14:paraId="76AE76ED" w14:textId="77777777" w:rsidR="001C5808" w:rsidRPr="006D03BF" w:rsidRDefault="001C5808" w:rsidP="001C4366">
            <w:pPr>
              <w:keepNext/>
              <w:widowControl w:val="0"/>
              <w:spacing w:before="0" w:after="0"/>
              <w:ind w:left="-57"/>
              <w:jc w:val="left"/>
              <w:rPr>
                <w:rFonts w:ascii="Arial Narrow" w:eastAsia="Calibri" w:hAnsi="Arial Narrow"/>
                <w:sz w:val="20"/>
                <w:szCs w:val="20"/>
              </w:rPr>
            </w:pPr>
            <w:r w:rsidRPr="006D03BF">
              <w:rPr>
                <w:rFonts w:ascii="Arial Narrow" w:eastAsia="Calibri" w:hAnsi="Arial Narrow"/>
                <w:sz w:val="20"/>
                <w:szCs w:val="20"/>
              </w:rPr>
              <w:t>OLAPARIB</w:t>
            </w:r>
          </w:p>
        </w:tc>
      </w:tr>
      <w:tr w:rsidR="001C5808" w:rsidRPr="00D13A7A" w14:paraId="3242B21B" w14:textId="77777777" w:rsidTr="001C4366">
        <w:trPr>
          <w:cantSplit/>
          <w:trHeight w:val="46"/>
        </w:trPr>
        <w:tc>
          <w:tcPr>
            <w:tcW w:w="2263" w:type="dxa"/>
            <w:gridSpan w:val="2"/>
          </w:tcPr>
          <w:p w14:paraId="3410053D" w14:textId="77777777" w:rsidR="001C5808" w:rsidRPr="006D03BF" w:rsidRDefault="001C5808" w:rsidP="001C4366">
            <w:pPr>
              <w:keepNext/>
              <w:spacing w:before="0" w:after="0"/>
              <w:ind w:left="-57"/>
              <w:rPr>
                <w:rFonts w:ascii="Arial Narrow" w:hAnsi="Arial Narrow" w:cs="Arial"/>
                <w:sz w:val="20"/>
                <w:szCs w:val="20"/>
              </w:rPr>
            </w:pPr>
            <w:r w:rsidRPr="006D03BF">
              <w:rPr>
                <w:rFonts w:ascii="Arial Narrow" w:hAnsi="Arial Narrow" w:cs="Arial"/>
                <w:sz w:val="20"/>
                <w:szCs w:val="20"/>
              </w:rPr>
              <w:t>olaparib 150 mg tablet, 56</w:t>
            </w:r>
          </w:p>
        </w:tc>
        <w:tc>
          <w:tcPr>
            <w:tcW w:w="1418" w:type="dxa"/>
          </w:tcPr>
          <w:p w14:paraId="65A5D152" w14:textId="77777777" w:rsidR="001C5808" w:rsidRPr="006D03BF" w:rsidRDefault="001C5808" w:rsidP="001C4366">
            <w:pPr>
              <w:keepNext/>
              <w:spacing w:before="0" w:after="0"/>
              <w:jc w:val="center"/>
              <w:rPr>
                <w:rFonts w:ascii="Arial Narrow" w:hAnsi="Arial Narrow" w:cs="Arial"/>
                <w:sz w:val="20"/>
                <w:szCs w:val="20"/>
              </w:rPr>
            </w:pPr>
            <w:r w:rsidRPr="006D03BF">
              <w:rPr>
                <w:rFonts w:ascii="Arial Narrow" w:hAnsi="Arial Narrow" w:cs="Arial"/>
                <w:sz w:val="20"/>
                <w:szCs w:val="20"/>
              </w:rPr>
              <w:t>New</w:t>
            </w:r>
          </w:p>
        </w:tc>
        <w:tc>
          <w:tcPr>
            <w:tcW w:w="1276" w:type="dxa"/>
          </w:tcPr>
          <w:p w14:paraId="255C20AA" w14:textId="77777777" w:rsidR="001C5808" w:rsidRPr="006D03BF" w:rsidRDefault="001C5808" w:rsidP="001C4366">
            <w:pPr>
              <w:keepNext/>
              <w:spacing w:before="0" w:after="0"/>
              <w:jc w:val="center"/>
              <w:rPr>
                <w:rFonts w:ascii="Arial Narrow" w:hAnsi="Arial Narrow" w:cs="Arial"/>
                <w:sz w:val="20"/>
                <w:szCs w:val="20"/>
              </w:rPr>
            </w:pPr>
            <w:r w:rsidRPr="006D03BF">
              <w:rPr>
                <w:rFonts w:ascii="Arial Narrow" w:hAnsi="Arial Narrow" w:cs="Arial"/>
                <w:sz w:val="20"/>
                <w:szCs w:val="20"/>
              </w:rPr>
              <w:t>2</w:t>
            </w:r>
          </w:p>
        </w:tc>
        <w:tc>
          <w:tcPr>
            <w:tcW w:w="1275" w:type="dxa"/>
          </w:tcPr>
          <w:p w14:paraId="5A5DE67C" w14:textId="77777777" w:rsidR="001C5808" w:rsidRPr="006D03BF" w:rsidRDefault="001C5808" w:rsidP="001C4366">
            <w:pPr>
              <w:keepNext/>
              <w:spacing w:before="0" w:after="0"/>
              <w:ind w:left="-10"/>
              <w:jc w:val="center"/>
              <w:rPr>
                <w:rFonts w:ascii="Arial Narrow" w:hAnsi="Arial Narrow" w:cs="Arial"/>
                <w:sz w:val="20"/>
                <w:szCs w:val="20"/>
              </w:rPr>
            </w:pPr>
            <w:r w:rsidRPr="006D03BF">
              <w:rPr>
                <w:rFonts w:ascii="Arial Narrow" w:hAnsi="Arial Narrow" w:cs="Arial"/>
                <w:sz w:val="20"/>
                <w:szCs w:val="20"/>
              </w:rPr>
              <w:t>112</w:t>
            </w:r>
          </w:p>
        </w:tc>
        <w:tc>
          <w:tcPr>
            <w:tcW w:w="1276" w:type="dxa"/>
          </w:tcPr>
          <w:p w14:paraId="5F5FFCE2" w14:textId="77777777" w:rsidR="001C5808" w:rsidRPr="006D03BF" w:rsidRDefault="001C5808" w:rsidP="001C4366">
            <w:pPr>
              <w:keepNext/>
              <w:spacing w:before="0" w:after="0"/>
              <w:jc w:val="center"/>
              <w:rPr>
                <w:rFonts w:ascii="Arial Narrow" w:hAnsi="Arial Narrow" w:cs="Arial"/>
                <w:sz w:val="20"/>
                <w:szCs w:val="20"/>
              </w:rPr>
            </w:pPr>
            <w:r w:rsidRPr="006D03BF">
              <w:rPr>
                <w:rFonts w:ascii="Arial Narrow" w:hAnsi="Arial Narrow" w:cs="Arial"/>
                <w:sz w:val="20"/>
                <w:szCs w:val="20"/>
              </w:rPr>
              <w:t>5</w:t>
            </w:r>
          </w:p>
        </w:tc>
        <w:tc>
          <w:tcPr>
            <w:tcW w:w="1559" w:type="dxa"/>
          </w:tcPr>
          <w:p w14:paraId="00756224" w14:textId="77777777" w:rsidR="001C5808" w:rsidRPr="006D03BF" w:rsidRDefault="001C5808" w:rsidP="001C4366">
            <w:pPr>
              <w:keepNext/>
              <w:widowControl w:val="0"/>
              <w:spacing w:before="0" w:after="0"/>
              <w:jc w:val="left"/>
              <w:rPr>
                <w:rFonts w:ascii="Arial Narrow" w:eastAsia="Calibri" w:hAnsi="Arial Narrow"/>
                <w:sz w:val="20"/>
                <w:szCs w:val="20"/>
              </w:rPr>
            </w:pPr>
            <w:r w:rsidRPr="006D03BF">
              <w:rPr>
                <w:rFonts w:ascii="Arial Narrow" w:eastAsia="Calibri" w:hAnsi="Arial Narrow"/>
                <w:sz w:val="20"/>
                <w:szCs w:val="20"/>
              </w:rPr>
              <w:t>Lynparza</w:t>
            </w:r>
          </w:p>
        </w:tc>
      </w:tr>
      <w:tr w:rsidR="001C5808" w:rsidRPr="00D13A7A" w14:paraId="445EC1BF" w14:textId="77777777" w:rsidTr="001C4366">
        <w:trPr>
          <w:cantSplit/>
          <w:trHeight w:val="95"/>
        </w:trPr>
        <w:tc>
          <w:tcPr>
            <w:tcW w:w="2263" w:type="dxa"/>
            <w:gridSpan w:val="2"/>
          </w:tcPr>
          <w:p w14:paraId="43B78409" w14:textId="77777777" w:rsidR="001C5808" w:rsidRPr="006D03BF" w:rsidRDefault="001C5808" w:rsidP="001C4366">
            <w:pPr>
              <w:keepNext/>
              <w:spacing w:before="0" w:after="0"/>
              <w:ind w:left="-57"/>
              <w:rPr>
                <w:rFonts w:ascii="Arial Narrow" w:hAnsi="Arial Narrow" w:cs="Arial"/>
                <w:sz w:val="20"/>
                <w:szCs w:val="20"/>
              </w:rPr>
            </w:pPr>
            <w:r w:rsidRPr="006D03BF">
              <w:rPr>
                <w:rFonts w:ascii="Arial Narrow" w:hAnsi="Arial Narrow" w:cs="Arial"/>
                <w:sz w:val="20"/>
                <w:szCs w:val="20"/>
              </w:rPr>
              <w:t>olaparib 100 mg tablet, 56</w:t>
            </w:r>
          </w:p>
        </w:tc>
        <w:tc>
          <w:tcPr>
            <w:tcW w:w="1418" w:type="dxa"/>
          </w:tcPr>
          <w:p w14:paraId="72512485" w14:textId="77777777" w:rsidR="001C5808" w:rsidRPr="006D03BF" w:rsidRDefault="001C5808" w:rsidP="001C4366">
            <w:pPr>
              <w:keepNext/>
              <w:spacing w:before="0" w:after="0"/>
              <w:jc w:val="center"/>
              <w:rPr>
                <w:rFonts w:ascii="Arial Narrow" w:hAnsi="Arial Narrow" w:cs="Arial"/>
                <w:sz w:val="20"/>
                <w:szCs w:val="20"/>
              </w:rPr>
            </w:pPr>
            <w:r w:rsidRPr="006D03BF">
              <w:rPr>
                <w:rFonts w:ascii="Arial Narrow" w:hAnsi="Arial Narrow" w:cs="Arial"/>
                <w:sz w:val="20"/>
                <w:szCs w:val="20"/>
              </w:rPr>
              <w:t>New</w:t>
            </w:r>
          </w:p>
        </w:tc>
        <w:tc>
          <w:tcPr>
            <w:tcW w:w="1276" w:type="dxa"/>
          </w:tcPr>
          <w:p w14:paraId="2DF30358" w14:textId="77777777" w:rsidR="001C5808" w:rsidRPr="006D03BF" w:rsidRDefault="001C5808" w:rsidP="001C4366">
            <w:pPr>
              <w:keepNext/>
              <w:spacing w:before="0" w:after="0"/>
              <w:jc w:val="center"/>
              <w:rPr>
                <w:rFonts w:ascii="Arial Narrow" w:hAnsi="Arial Narrow" w:cs="Arial"/>
                <w:sz w:val="20"/>
                <w:szCs w:val="20"/>
              </w:rPr>
            </w:pPr>
            <w:r w:rsidRPr="006D03BF">
              <w:rPr>
                <w:rFonts w:ascii="Arial Narrow" w:hAnsi="Arial Narrow" w:cs="Arial"/>
                <w:sz w:val="20"/>
                <w:szCs w:val="20"/>
              </w:rPr>
              <w:t>2</w:t>
            </w:r>
          </w:p>
        </w:tc>
        <w:tc>
          <w:tcPr>
            <w:tcW w:w="1275" w:type="dxa"/>
          </w:tcPr>
          <w:p w14:paraId="5ED418B7" w14:textId="77777777" w:rsidR="001C5808" w:rsidRPr="006D03BF" w:rsidRDefault="001C5808" w:rsidP="001C4366">
            <w:pPr>
              <w:keepNext/>
              <w:spacing w:before="0" w:after="0"/>
              <w:ind w:left="-10"/>
              <w:jc w:val="center"/>
              <w:rPr>
                <w:rFonts w:ascii="Arial Narrow" w:hAnsi="Arial Narrow" w:cs="Arial"/>
                <w:sz w:val="20"/>
                <w:szCs w:val="20"/>
              </w:rPr>
            </w:pPr>
            <w:r w:rsidRPr="006D03BF">
              <w:rPr>
                <w:rFonts w:ascii="Arial Narrow" w:hAnsi="Arial Narrow" w:cs="Arial"/>
                <w:sz w:val="20"/>
                <w:szCs w:val="20"/>
              </w:rPr>
              <w:t>112</w:t>
            </w:r>
          </w:p>
        </w:tc>
        <w:tc>
          <w:tcPr>
            <w:tcW w:w="1276" w:type="dxa"/>
          </w:tcPr>
          <w:p w14:paraId="09C504D8" w14:textId="77777777" w:rsidR="001C5808" w:rsidRPr="006D03BF" w:rsidRDefault="001C5808" w:rsidP="001C4366">
            <w:pPr>
              <w:keepNext/>
              <w:spacing w:before="0" w:after="0"/>
              <w:jc w:val="center"/>
              <w:rPr>
                <w:rFonts w:ascii="Arial Narrow" w:hAnsi="Arial Narrow" w:cs="Arial"/>
                <w:sz w:val="20"/>
                <w:szCs w:val="20"/>
              </w:rPr>
            </w:pPr>
            <w:r w:rsidRPr="006D03BF">
              <w:rPr>
                <w:rFonts w:ascii="Arial Narrow" w:hAnsi="Arial Narrow" w:cs="Arial"/>
                <w:sz w:val="20"/>
                <w:szCs w:val="20"/>
              </w:rPr>
              <w:t>5</w:t>
            </w:r>
          </w:p>
        </w:tc>
        <w:tc>
          <w:tcPr>
            <w:tcW w:w="1559" w:type="dxa"/>
          </w:tcPr>
          <w:p w14:paraId="66577635" w14:textId="77777777" w:rsidR="001C5808" w:rsidRPr="006D03BF" w:rsidRDefault="001C5808" w:rsidP="001C4366">
            <w:pPr>
              <w:keepNext/>
              <w:spacing w:before="0" w:after="0"/>
              <w:rPr>
                <w:rFonts w:ascii="Arial Narrow" w:hAnsi="Arial Narrow" w:cs="Arial"/>
                <w:sz w:val="20"/>
                <w:szCs w:val="20"/>
              </w:rPr>
            </w:pPr>
            <w:r w:rsidRPr="006D03BF">
              <w:rPr>
                <w:rFonts w:ascii="Arial Narrow" w:hAnsi="Arial Narrow" w:cs="Arial"/>
                <w:sz w:val="20"/>
                <w:szCs w:val="20"/>
              </w:rPr>
              <w:t>Lynparza</w:t>
            </w:r>
          </w:p>
        </w:tc>
      </w:tr>
      <w:tr w:rsidR="001C5808" w:rsidRPr="00D13A7A" w14:paraId="40641EBF" w14:textId="77777777" w:rsidTr="001C4366">
        <w:trPr>
          <w:cantSplit/>
          <w:trHeight w:val="95"/>
        </w:trPr>
        <w:tc>
          <w:tcPr>
            <w:tcW w:w="9067" w:type="dxa"/>
            <w:gridSpan w:val="7"/>
          </w:tcPr>
          <w:p w14:paraId="023B84D9" w14:textId="77777777" w:rsidR="001C5808" w:rsidRPr="006D03BF" w:rsidRDefault="001C5808" w:rsidP="001C4366">
            <w:pPr>
              <w:keepNext/>
              <w:spacing w:before="0" w:after="0"/>
              <w:rPr>
                <w:rFonts w:ascii="Arial Narrow" w:hAnsi="Arial Narrow" w:cs="Arial"/>
                <w:sz w:val="20"/>
                <w:szCs w:val="20"/>
              </w:rPr>
            </w:pPr>
          </w:p>
        </w:tc>
      </w:tr>
      <w:tr w:rsidR="001C5808" w:rsidRPr="00D13A7A" w14:paraId="7B59E2B1" w14:textId="77777777" w:rsidTr="001C4366">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BFC5BC8" w14:textId="77777777" w:rsidR="001C5808" w:rsidRPr="006D03BF" w:rsidRDefault="001C5808" w:rsidP="001C4366">
            <w:pPr>
              <w:spacing w:before="0" w:after="0"/>
              <w:rPr>
                <w:rFonts w:ascii="Arial Narrow" w:hAnsi="Arial Narrow" w:cs="Arial"/>
                <w:b/>
                <w:sz w:val="20"/>
                <w:szCs w:val="20"/>
              </w:rPr>
            </w:pPr>
            <w:r w:rsidRPr="006D03BF">
              <w:rPr>
                <w:rFonts w:ascii="Arial Narrow" w:hAnsi="Arial Narrow"/>
                <w:b/>
                <w:sz w:val="20"/>
                <w:szCs w:val="20"/>
              </w:rPr>
              <w:t xml:space="preserve"> Restriction Summary [New 3] </w:t>
            </w:r>
          </w:p>
        </w:tc>
      </w:tr>
      <w:tr w:rsidR="001C5808" w:rsidRPr="00D13A7A" w14:paraId="7B919E10" w14:textId="77777777" w:rsidTr="001C4366">
        <w:tblPrEx>
          <w:tblCellMar>
            <w:top w:w="15" w:type="dxa"/>
            <w:left w:w="15" w:type="dxa"/>
            <w:bottom w:w="15" w:type="dxa"/>
            <w:right w:w="15" w:type="dxa"/>
          </w:tblCellMar>
          <w:tblLook w:val="04A0" w:firstRow="1" w:lastRow="0" w:firstColumn="1" w:lastColumn="0" w:noHBand="0" w:noVBand="1"/>
        </w:tblPrEx>
        <w:tc>
          <w:tcPr>
            <w:tcW w:w="988" w:type="dxa"/>
            <w:vMerge w:val="restart"/>
            <w:tcBorders>
              <w:top w:val="single" w:sz="4" w:space="0" w:color="auto"/>
              <w:left w:val="single" w:sz="4" w:space="0" w:color="auto"/>
              <w:right w:val="single" w:sz="4" w:space="0" w:color="auto"/>
            </w:tcBorders>
          </w:tcPr>
          <w:p w14:paraId="425A94BD" w14:textId="77777777" w:rsidR="001C5808" w:rsidRPr="006D03BF" w:rsidRDefault="001C5808" w:rsidP="001C4366">
            <w:pPr>
              <w:spacing w:before="0" w:after="0"/>
              <w:jc w:val="center"/>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2808FAFE" w14:textId="77777777" w:rsidR="001C5808" w:rsidRPr="006D03BF" w:rsidRDefault="001C5808" w:rsidP="001C4366">
            <w:pPr>
              <w:spacing w:before="0" w:after="0"/>
              <w:rPr>
                <w:rFonts w:ascii="Arial Narrow" w:hAnsi="Arial Narrow" w:cs="Arial"/>
                <w:sz w:val="20"/>
                <w:szCs w:val="20"/>
              </w:rPr>
            </w:pPr>
            <w:r w:rsidRPr="006D03BF">
              <w:rPr>
                <w:rFonts w:ascii="Arial Narrow" w:hAnsi="Arial Narrow" w:cs="Arial"/>
                <w:b/>
                <w:sz w:val="20"/>
                <w:szCs w:val="20"/>
              </w:rPr>
              <w:t xml:space="preserve">Category / Program:   </w:t>
            </w:r>
            <w:r w:rsidRPr="006D03BF">
              <w:rPr>
                <w:rFonts w:ascii="Arial Narrow" w:hAnsi="Arial Narrow" w:cs="Arial"/>
                <w:sz w:val="20"/>
                <w:szCs w:val="20"/>
              </w:rPr>
              <w:t>GENERAL – General Schedule (Code GE)</w:t>
            </w:r>
          </w:p>
        </w:tc>
      </w:tr>
      <w:tr w:rsidR="001C5808" w:rsidRPr="00D13A7A" w14:paraId="585CCEBA" w14:textId="77777777" w:rsidTr="001C4366">
        <w:tblPrEx>
          <w:tblCellMar>
            <w:top w:w="15" w:type="dxa"/>
            <w:left w:w="15" w:type="dxa"/>
            <w:bottom w:w="15" w:type="dxa"/>
            <w:right w:w="15" w:type="dxa"/>
          </w:tblCellMar>
          <w:tblLook w:val="04A0" w:firstRow="1" w:lastRow="0" w:firstColumn="1" w:lastColumn="0" w:noHBand="0" w:noVBand="1"/>
        </w:tblPrEx>
        <w:trPr>
          <w:trHeight w:val="136"/>
        </w:trPr>
        <w:tc>
          <w:tcPr>
            <w:tcW w:w="988" w:type="dxa"/>
            <w:vMerge/>
            <w:tcBorders>
              <w:left w:val="single" w:sz="4" w:space="0" w:color="auto"/>
              <w:right w:val="single" w:sz="4" w:space="0" w:color="auto"/>
            </w:tcBorders>
          </w:tcPr>
          <w:p w14:paraId="1C69CA12" w14:textId="77777777" w:rsidR="001C5808" w:rsidRPr="006D03BF" w:rsidRDefault="001C5808" w:rsidP="001C4366">
            <w:pPr>
              <w:spacing w:before="0" w:after="0"/>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2179CA91" w14:textId="77777777" w:rsidR="001C5808" w:rsidRPr="006D03BF" w:rsidRDefault="001C5808" w:rsidP="001C4366">
            <w:pPr>
              <w:spacing w:before="0" w:after="0"/>
              <w:rPr>
                <w:rFonts w:ascii="Arial Narrow" w:hAnsi="Arial Narrow" w:cs="Arial"/>
                <w:b/>
                <w:sz w:val="20"/>
                <w:szCs w:val="20"/>
              </w:rPr>
            </w:pPr>
            <w:r w:rsidRPr="006D03BF">
              <w:rPr>
                <w:rFonts w:ascii="Arial Narrow" w:hAnsi="Arial Narrow" w:cs="Arial"/>
                <w:b/>
                <w:sz w:val="20"/>
                <w:szCs w:val="20"/>
              </w:rPr>
              <w:t xml:space="preserve">Prescriber type:   </w:t>
            </w:r>
            <w:r w:rsidRPr="006D03BF">
              <w:rPr>
                <w:rFonts w:ascii="Arial Narrow" w:hAnsi="Arial Narrow" w:cs="Arial"/>
                <w:sz w:val="20"/>
                <w:szCs w:val="20"/>
              </w:rPr>
              <w:fldChar w:fldCharType="begin">
                <w:ffData>
                  <w:name w:val=""/>
                  <w:enabled/>
                  <w:calcOnExit w:val="0"/>
                  <w:checkBox>
                    <w:sizeAuto/>
                    <w:default w:val="1"/>
                  </w:checkBox>
                </w:ffData>
              </w:fldChar>
            </w:r>
            <w:r w:rsidRPr="006D03BF">
              <w:rPr>
                <w:rFonts w:ascii="Arial Narrow" w:hAnsi="Arial Narrow" w:cs="Arial"/>
                <w:sz w:val="20"/>
                <w:szCs w:val="20"/>
              </w:rPr>
              <w:instrText xml:space="preserve"> FORMCHECKBOX </w:instrText>
            </w:r>
            <w:r w:rsidR="00300B3C">
              <w:rPr>
                <w:rFonts w:ascii="Arial Narrow" w:hAnsi="Arial Narrow" w:cs="Arial"/>
                <w:sz w:val="20"/>
                <w:szCs w:val="20"/>
              </w:rPr>
            </w:r>
            <w:r w:rsidR="00300B3C">
              <w:rPr>
                <w:rFonts w:ascii="Arial Narrow" w:hAnsi="Arial Narrow" w:cs="Arial"/>
                <w:sz w:val="20"/>
                <w:szCs w:val="20"/>
              </w:rPr>
              <w:fldChar w:fldCharType="separate"/>
            </w:r>
            <w:r w:rsidRPr="006D03BF">
              <w:rPr>
                <w:rFonts w:ascii="Arial Narrow" w:hAnsi="Arial Narrow" w:cs="Arial"/>
                <w:sz w:val="20"/>
                <w:szCs w:val="20"/>
              </w:rPr>
              <w:fldChar w:fldCharType="end"/>
            </w:r>
            <w:r w:rsidRPr="006D03BF">
              <w:rPr>
                <w:rFonts w:ascii="Arial Narrow" w:hAnsi="Arial Narrow" w:cs="Arial"/>
                <w:sz w:val="20"/>
                <w:szCs w:val="20"/>
              </w:rPr>
              <w:t>Medical Practitioners</w:t>
            </w:r>
          </w:p>
        </w:tc>
      </w:tr>
      <w:tr w:rsidR="001C5808" w:rsidRPr="00D13A7A" w14:paraId="3816D0A9" w14:textId="77777777" w:rsidTr="001C4366">
        <w:tblPrEx>
          <w:tblCellMar>
            <w:top w:w="15" w:type="dxa"/>
            <w:left w:w="15" w:type="dxa"/>
            <w:bottom w:w="15" w:type="dxa"/>
            <w:right w:w="15" w:type="dxa"/>
          </w:tblCellMar>
          <w:tblLook w:val="04A0" w:firstRow="1" w:lastRow="0" w:firstColumn="1" w:lastColumn="0" w:noHBand="0" w:noVBand="1"/>
        </w:tblPrEx>
        <w:trPr>
          <w:trHeight w:val="190"/>
        </w:trPr>
        <w:tc>
          <w:tcPr>
            <w:tcW w:w="988" w:type="dxa"/>
            <w:vMerge/>
            <w:tcBorders>
              <w:left w:val="single" w:sz="4" w:space="0" w:color="auto"/>
              <w:bottom w:val="single" w:sz="4" w:space="0" w:color="auto"/>
              <w:right w:val="single" w:sz="4" w:space="0" w:color="auto"/>
            </w:tcBorders>
          </w:tcPr>
          <w:p w14:paraId="7B739C4B" w14:textId="77777777" w:rsidR="001C5808" w:rsidRPr="006D03BF" w:rsidRDefault="001C5808" w:rsidP="001C4366">
            <w:pPr>
              <w:spacing w:before="0" w:after="0"/>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1D3FEA93" w14:textId="77777777" w:rsidR="001C5808" w:rsidRPr="006D03BF" w:rsidRDefault="001C5808" w:rsidP="001C4366">
            <w:pPr>
              <w:spacing w:before="0" w:after="0"/>
              <w:rPr>
                <w:rFonts w:ascii="Arial Narrow" w:hAnsi="Arial Narrow" w:cs="Arial"/>
                <w:b/>
                <w:sz w:val="20"/>
                <w:szCs w:val="20"/>
              </w:rPr>
            </w:pPr>
            <w:r w:rsidRPr="006D03BF">
              <w:rPr>
                <w:rFonts w:ascii="Arial Narrow" w:hAnsi="Arial Narrow" w:cs="Arial"/>
                <w:b/>
                <w:sz w:val="20"/>
                <w:szCs w:val="20"/>
              </w:rPr>
              <w:t xml:space="preserve">Restriction type: </w:t>
            </w:r>
            <w:r w:rsidRPr="006D03BF">
              <w:rPr>
                <w:rFonts w:ascii="Arial Narrow" w:eastAsia="Calibri" w:hAnsi="Arial Narrow" w:cs="Arial"/>
                <w:sz w:val="20"/>
                <w:szCs w:val="20"/>
              </w:rPr>
              <w:fldChar w:fldCharType="begin">
                <w:ffData>
                  <w:name w:val="Check3"/>
                  <w:enabled/>
                  <w:calcOnExit w:val="0"/>
                  <w:checkBox>
                    <w:sizeAuto/>
                    <w:default w:val="1"/>
                  </w:checkBox>
                </w:ffData>
              </w:fldChar>
            </w:r>
            <w:r w:rsidRPr="006D03BF">
              <w:rPr>
                <w:rFonts w:ascii="Arial Narrow" w:eastAsia="Calibri" w:hAnsi="Arial Narrow" w:cs="Arial"/>
                <w:sz w:val="20"/>
                <w:szCs w:val="20"/>
              </w:rPr>
              <w:instrText xml:space="preserve"> FORMCHECKBOX </w:instrText>
            </w:r>
            <w:r w:rsidR="00300B3C">
              <w:rPr>
                <w:rFonts w:ascii="Arial Narrow" w:eastAsia="Calibri" w:hAnsi="Arial Narrow" w:cs="Arial"/>
                <w:sz w:val="20"/>
                <w:szCs w:val="20"/>
              </w:rPr>
            </w:r>
            <w:r w:rsidR="00300B3C">
              <w:rPr>
                <w:rFonts w:ascii="Arial Narrow" w:eastAsia="Calibri" w:hAnsi="Arial Narrow" w:cs="Arial"/>
                <w:sz w:val="20"/>
                <w:szCs w:val="20"/>
              </w:rPr>
              <w:fldChar w:fldCharType="separate"/>
            </w:r>
            <w:r w:rsidRPr="006D03BF">
              <w:rPr>
                <w:rFonts w:ascii="Arial Narrow" w:eastAsia="Calibri" w:hAnsi="Arial Narrow" w:cs="Arial"/>
                <w:sz w:val="20"/>
                <w:szCs w:val="20"/>
              </w:rPr>
              <w:fldChar w:fldCharType="end"/>
            </w:r>
            <w:r w:rsidRPr="006D03BF">
              <w:rPr>
                <w:rFonts w:ascii="Arial Narrow" w:eastAsia="Calibri" w:hAnsi="Arial Narrow" w:cs="Arial"/>
                <w:sz w:val="20"/>
                <w:szCs w:val="20"/>
              </w:rPr>
              <w:t>Authority Required (telephone/online PBS Authorities system)</w:t>
            </w:r>
          </w:p>
        </w:tc>
      </w:tr>
      <w:tr w:rsidR="001C5808" w:rsidRPr="00D13A7A" w14:paraId="52546986" w14:textId="77777777" w:rsidTr="001C4366">
        <w:tblPrEx>
          <w:tblCellMar>
            <w:top w:w="15" w:type="dxa"/>
            <w:left w:w="15" w:type="dxa"/>
            <w:bottom w:w="15" w:type="dxa"/>
            <w:right w:w="15" w:type="dxa"/>
          </w:tblCellMar>
          <w:tblLook w:val="04A0" w:firstRow="1" w:lastRow="0" w:firstColumn="1" w:lastColumn="0" w:noHBand="0" w:noVBand="1"/>
        </w:tblPrEx>
        <w:trPr>
          <w:trHeight w:val="190"/>
        </w:trPr>
        <w:tc>
          <w:tcPr>
            <w:tcW w:w="988" w:type="dxa"/>
            <w:tcBorders>
              <w:left w:val="single" w:sz="4" w:space="0" w:color="auto"/>
              <w:bottom w:val="single" w:sz="4" w:space="0" w:color="auto"/>
              <w:right w:val="single" w:sz="4" w:space="0" w:color="auto"/>
            </w:tcBorders>
          </w:tcPr>
          <w:p w14:paraId="5E4FB344" w14:textId="77777777" w:rsidR="001C5808" w:rsidRPr="006D03BF" w:rsidRDefault="001C5808" w:rsidP="001C4366">
            <w:pPr>
              <w:spacing w:before="0" w:after="0"/>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329D29AC" w14:textId="77777777" w:rsidR="001C5808" w:rsidRPr="006D03BF" w:rsidRDefault="001C5808" w:rsidP="001C4366">
            <w:pPr>
              <w:spacing w:before="0" w:after="0"/>
              <w:rPr>
                <w:rFonts w:ascii="Arial Narrow" w:hAnsi="Arial Narrow" w:cs="Arial"/>
                <w:b/>
                <w:sz w:val="20"/>
                <w:szCs w:val="20"/>
              </w:rPr>
            </w:pPr>
          </w:p>
        </w:tc>
      </w:tr>
      <w:tr w:rsidR="001C5808" w:rsidRPr="00D13A7A" w14:paraId="59C16E90" w14:textId="77777777" w:rsidTr="001C4366">
        <w:tblPrEx>
          <w:tblCellMar>
            <w:top w:w="15" w:type="dxa"/>
            <w:left w:w="15" w:type="dxa"/>
            <w:bottom w:w="15" w:type="dxa"/>
            <w:right w:w="15" w:type="dxa"/>
          </w:tblCellMar>
          <w:tblLook w:val="04A0" w:firstRow="1" w:lastRow="0" w:firstColumn="1" w:lastColumn="0" w:noHBand="0" w:noVBand="1"/>
        </w:tblPrEx>
        <w:trPr>
          <w:trHeight w:val="190"/>
        </w:trPr>
        <w:tc>
          <w:tcPr>
            <w:tcW w:w="988" w:type="dxa"/>
          </w:tcPr>
          <w:p w14:paraId="0B6122CF" w14:textId="77777777" w:rsidR="001C5808" w:rsidRPr="006D03BF" w:rsidRDefault="001C5808" w:rsidP="001C4366">
            <w:pPr>
              <w:spacing w:before="0" w:after="0"/>
              <w:jc w:val="center"/>
              <w:rPr>
                <w:rFonts w:ascii="Arial Narrow" w:hAnsi="Arial Narrow" w:cs="Arial"/>
                <w:sz w:val="20"/>
                <w:szCs w:val="20"/>
              </w:rPr>
            </w:pPr>
          </w:p>
        </w:tc>
        <w:tc>
          <w:tcPr>
            <w:tcW w:w="8079" w:type="dxa"/>
            <w:gridSpan w:val="6"/>
          </w:tcPr>
          <w:p w14:paraId="28810C9C" w14:textId="77777777" w:rsidR="001C5808" w:rsidRPr="006D03BF" w:rsidRDefault="001C5808" w:rsidP="001C4366">
            <w:pPr>
              <w:spacing w:before="0" w:after="0"/>
              <w:rPr>
                <w:rFonts w:ascii="Arial Narrow" w:hAnsi="Arial Narrow"/>
                <w:bCs/>
                <w:sz w:val="20"/>
                <w:szCs w:val="20"/>
                <w:lang w:eastAsia="en-AU"/>
              </w:rPr>
            </w:pPr>
            <w:r w:rsidRPr="006D03BF">
              <w:rPr>
                <w:rFonts w:ascii="Arial Narrow" w:hAnsi="Arial Narrow"/>
                <w:b/>
                <w:bCs/>
                <w:sz w:val="20"/>
                <w:szCs w:val="20"/>
                <w:lang w:eastAsia="en-AU"/>
              </w:rPr>
              <w:t>Administrative Advice:</w:t>
            </w:r>
          </w:p>
          <w:p w14:paraId="79CD72FE" w14:textId="77777777" w:rsidR="001C5808" w:rsidRPr="006D03BF" w:rsidRDefault="001C5808" w:rsidP="001C4366">
            <w:pPr>
              <w:spacing w:before="0" w:after="0"/>
              <w:rPr>
                <w:rFonts w:ascii="Arial Narrow" w:hAnsi="Arial Narrow" w:cs="Arial"/>
                <w:b/>
                <w:sz w:val="20"/>
                <w:szCs w:val="20"/>
              </w:rPr>
            </w:pPr>
            <w:r w:rsidRPr="006D03BF">
              <w:rPr>
                <w:rFonts w:ascii="Arial Narrow" w:hAnsi="Arial Narrow"/>
                <w:bCs/>
                <w:sz w:val="20"/>
                <w:szCs w:val="20"/>
                <w:lang w:eastAsia="en-AU"/>
              </w:rPr>
              <w:t>Applications for authorisation under this restriction may be made in real time using the Online PBS Authorities system (see www.servicesaustralia.gov.au/HPOS) or by telephone by contacting Services Australia on 1800 888 333.</w:t>
            </w:r>
          </w:p>
        </w:tc>
      </w:tr>
      <w:tr w:rsidR="001C5808" w:rsidRPr="00D13A7A" w14:paraId="5CCC1FE4" w14:textId="77777777" w:rsidTr="001C4366">
        <w:tblPrEx>
          <w:tblCellMar>
            <w:top w:w="15" w:type="dxa"/>
            <w:left w:w="15" w:type="dxa"/>
            <w:bottom w:w="15" w:type="dxa"/>
            <w:right w:w="15" w:type="dxa"/>
          </w:tblCellMar>
          <w:tblLook w:val="04A0" w:firstRow="1" w:lastRow="0" w:firstColumn="1" w:lastColumn="0" w:noHBand="0" w:noVBand="1"/>
        </w:tblPrEx>
        <w:trPr>
          <w:trHeight w:val="190"/>
        </w:trPr>
        <w:tc>
          <w:tcPr>
            <w:tcW w:w="988" w:type="dxa"/>
            <w:tcBorders>
              <w:left w:val="single" w:sz="4" w:space="0" w:color="auto"/>
              <w:bottom w:val="single" w:sz="4" w:space="0" w:color="auto"/>
              <w:right w:val="single" w:sz="4" w:space="0" w:color="auto"/>
            </w:tcBorders>
          </w:tcPr>
          <w:p w14:paraId="6CBB608D" w14:textId="77777777" w:rsidR="001C5808" w:rsidRPr="006D03BF" w:rsidRDefault="001C5808" w:rsidP="001C4366">
            <w:pPr>
              <w:spacing w:before="0" w:after="0"/>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6B74040C" w14:textId="77777777" w:rsidR="001C5808" w:rsidRPr="006D03BF" w:rsidRDefault="001C5808" w:rsidP="001C4366">
            <w:pPr>
              <w:spacing w:before="0" w:after="0"/>
              <w:rPr>
                <w:rFonts w:ascii="Arial Narrow" w:hAnsi="Arial Narrow" w:cs="Arial"/>
                <w:b/>
                <w:sz w:val="20"/>
                <w:szCs w:val="20"/>
              </w:rPr>
            </w:pPr>
          </w:p>
        </w:tc>
      </w:tr>
      <w:tr w:rsidR="001C5808" w:rsidRPr="00D13A7A" w14:paraId="7F98CFE5" w14:textId="77777777" w:rsidTr="00CD28A8">
        <w:tblPrEx>
          <w:tblCellMar>
            <w:top w:w="15" w:type="dxa"/>
            <w:left w:w="15" w:type="dxa"/>
            <w:bottom w:w="15" w:type="dxa"/>
            <w:right w:w="15" w:type="dxa"/>
          </w:tblCellMar>
        </w:tblPrEx>
        <w:tc>
          <w:tcPr>
            <w:tcW w:w="988" w:type="dxa"/>
            <w:vAlign w:val="center"/>
          </w:tcPr>
          <w:p w14:paraId="1DF05E73" w14:textId="77777777" w:rsidR="001C5808" w:rsidRPr="006D03BF" w:rsidRDefault="001C5808" w:rsidP="001C4366">
            <w:pPr>
              <w:spacing w:before="0" w:after="0"/>
              <w:jc w:val="center"/>
              <w:rPr>
                <w:rFonts w:ascii="Arial Narrow" w:hAnsi="Arial Narrow"/>
                <w:sz w:val="20"/>
                <w:szCs w:val="20"/>
                <w:lang w:eastAsia="en-AU"/>
              </w:rPr>
            </w:pPr>
          </w:p>
        </w:tc>
        <w:tc>
          <w:tcPr>
            <w:tcW w:w="8079" w:type="dxa"/>
            <w:gridSpan w:val="6"/>
            <w:vAlign w:val="center"/>
            <w:hideMark/>
          </w:tcPr>
          <w:p w14:paraId="2964157B" w14:textId="77777777" w:rsidR="001C5808" w:rsidRPr="006D03BF" w:rsidRDefault="001C5808" w:rsidP="001C4366">
            <w:pPr>
              <w:spacing w:before="0" w:after="0"/>
              <w:rPr>
                <w:rFonts w:ascii="Arial Narrow" w:hAnsi="Arial Narrow"/>
                <w:sz w:val="20"/>
                <w:szCs w:val="20"/>
                <w:lang w:eastAsia="en-AU"/>
              </w:rPr>
            </w:pPr>
            <w:r w:rsidRPr="006D03BF">
              <w:rPr>
                <w:rFonts w:ascii="Arial Narrow" w:hAnsi="Arial Narrow"/>
                <w:b/>
                <w:bCs/>
                <w:sz w:val="20"/>
                <w:szCs w:val="20"/>
                <w:lang w:eastAsia="en-AU"/>
              </w:rPr>
              <w:t>Indication:</w:t>
            </w:r>
            <w:r w:rsidRPr="006D03BF">
              <w:rPr>
                <w:rFonts w:ascii="Arial Narrow" w:hAnsi="Arial Narrow"/>
                <w:sz w:val="20"/>
                <w:szCs w:val="20"/>
                <w:lang w:eastAsia="en-AU"/>
              </w:rPr>
              <w:t xml:space="preserve"> </w:t>
            </w:r>
            <w:r w:rsidRPr="006D03BF">
              <w:rPr>
                <w:rFonts w:ascii="Arial Narrow" w:hAnsi="Arial Narrow"/>
                <w:bCs/>
                <w:sz w:val="20"/>
                <w:szCs w:val="20"/>
                <w:lang w:eastAsia="en-AU"/>
              </w:rPr>
              <w:t>Castration resistant metastatic carcinoma of the prostate</w:t>
            </w:r>
          </w:p>
        </w:tc>
      </w:tr>
      <w:tr w:rsidR="001C5808" w:rsidRPr="00D13A7A" w14:paraId="241955E0" w14:textId="77777777" w:rsidTr="00CD28A8">
        <w:tblPrEx>
          <w:tblCellMar>
            <w:top w:w="15" w:type="dxa"/>
            <w:left w:w="15" w:type="dxa"/>
            <w:bottom w:w="15" w:type="dxa"/>
            <w:right w:w="15" w:type="dxa"/>
          </w:tblCellMar>
        </w:tblPrEx>
        <w:tc>
          <w:tcPr>
            <w:tcW w:w="988" w:type="dxa"/>
            <w:vAlign w:val="center"/>
          </w:tcPr>
          <w:p w14:paraId="246C7795" w14:textId="77777777" w:rsidR="001C5808" w:rsidRPr="006D03BF" w:rsidRDefault="001C5808" w:rsidP="001C4366">
            <w:pPr>
              <w:spacing w:before="0" w:after="0"/>
              <w:jc w:val="center"/>
              <w:rPr>
                <w:rFonts w:ascii="Arial Narrow" w:hAnsi="Arial Narrow"/>
                <w:sz w:val="20"/>
                <w:szCs w:val="20"/>
                <w:lang w:eastAsia="en-AU"/>
              </w:rPr>
            </w:pPr>
          </w:p>
        </w:tc>
        <w:tc>
          <w:tcPr>
            <w:tcW w:w="8079" w:type="dxa"/>
            <w:gridSpan w:val="6"/>
            <w:vAlign w:val="center"/>
            <w:hideMark/>
          </w:tcPr>
          <w:p w14:paraId="70345E7A" w14:textId="77777777" w:rsidR="001C5808" w:rsidRPr="006D03BF" w:rsidRDefault="001C5808" w:rsidP="001C4366">
            <w:pPr>
              <w:spacing w:before="0" w:after="0"/>
              <w:rPr>
                <w:rFonts w:ascii="Arial Narrow" w:hAnsi="Arial Narrow"/>
                <w:sz w:val="20"/>
                <w:szCs w:val="20"/>
                <w:lang w:eastAsia="en-AU"/>
              </w:rPr>
            </w:pPr>
            <w:r w:rsidRPr="006D03BF">
              <w:rPr>
                <w:rFonts w:ascii="Arial Narrow" w:hAnsi="Arial Narrow"/>
                <w:b/>
                <w:bCs/>
                <w:sz w:val="20"/>
                <w:szCs w:val="20"/>
                <w:lang w:eastAsia="en-AU"/>
              </w:rPr>
              <w:t>Treatment Phase:</w:t>
            </w:r>
            <w:r w:rsidRPr="006D03BF">
              <w:rPr>
                <w:rFonts w:ascii="Arial Narrow" w:hAnsi="Arial Narrow"/>
                <w:bCs/>
                <w:sz w:val="20"/>
                <w:szCs w:val="20"/>
                <w:lang w:eastAsia="en-AU"/>
              </w:rPr>
              <w:t xml:space="preserve"> Continuing treatment</w:t>
            </w:r>
          </w:p>
        </w:tc>
      </w:tr>
      <w:tr w:rsidR="001C5808" w:rsidRPr="00D13A7A" w14:paraId="68F0D570" w14:textId="77777777" w:rsidTr="001C4366">
        <w:tblPrEx>
          <w:tblCellMar>
            <w:top w:w="15" w:type="dxa"/>
            <w:left w:w="15" w:type="dxa"/>
            <w:bottom w:w="15" w:type="dxa"/>
            <w:right w:w="15" w:type="dxa"/>
          </w:tblCellMar>
          <w:tblLook w:val="04A0" w:firstRow="1" w:lastRow="0" w:firstColumn="1" w:lastColumn="0" w:noHBand="0" w:noVBand="1"/>
        </w:tblPrEx>
        <w:tc>
          <w:tcPr>
            <w:tcW w:w="988" w:type="dxa"/>
            <w:vAlign w:val="center"/>
          </w:tcPr>
          <w:p w14:paraId="7B00270C" w14:textId="77777777" w:rsidR="001C5808" w:rsidRPr="006D03BF" w:rsidRDefault="001C5808" w:rsidP="001C4366">
            <w:pPr>
              <w:spacing w:before="0" w:after="0"/>
              <w:jc w:val="center"/>
              <w:rPr>
                <w:rFonts w:ascii="Arial Narrow" w:hAnsi="Arial Narrow"/>
                <w:sz w:val="20"/>
                <w:szCs w:val="20"/>
                <w:lang w:eastAsia="en-AU"/>
              </w:rPr>
            </w:pPr>
          </w:p>
        </w:tc>
        <w:tc>
          <w:tcPr>
            <w:tcW w:w="8079" w:type="dxa"/>
            <w:gridSpan w:val="6"/>
            <w:vAlign w:val="center"/>
          </w:tcPr>
          <w:p w14:paraId="4FE6EBCC" w14:textId="77777777" w:rsidR="001C5808" w:rsidRPr="006D03BF" w:rsidRDefault="001C5808" w:rsidP="001C4366">
            <w:pPr>
              <w:spacing w:before="0" w:after="0"/>
              <w:rPr>
                <w:rFonts w:ascii="Arial Narrow" w:hAnsi="Arial Narrow"/>
                <w:b/>
                <w:bCs/>
                <w:sz w:val="20"/>
                <w:szCs w:val="20"/>
                <w:lang w:eastAsia="en-AU"/>
              </w:rPr>
            </w:pPr>
          </w:p>
        </w:tc>
      </w:tr>
      <w:tr w:rsidR="001C5808" w:rsidRPr="00D13A7A" w14:paraId="7973E6CE" w14:textId="77777777" w:rsidTr="00CD28A8">
        <w:tblPrEx>
          <w:tblCellMar>
            <w:top w:w="15" w:type="dxa"/>
            <w:left w:w="15" w:type="dxa"/>
            <w:bottom w:w="15" w:type="dxa"/>
            <w:right w:w="15" w:type="dxa"/>
          </w:tblCellMar>
        </w:tblPrEx>
        <w:tc>
          <w:tcPr>
            <w:tcW w:w="988" w:type="dxa"/>
            <w:vAlign w:val="center"/>
          </w:tcPr>
          <w:p w14:paraId="7A390BD7" w14:textId="77777777" w:rsidR="001C5808" w:rsidRPr="006D03BF" w:rsidRDefault="001C5808" w:rsidP="001C4366">
            <w:pPr>
              <w:spacing w:before="0" w:after="0"/>
              <w:jc w:val="center"/>
              <w:rPr>
                <w:rFonts w:ascii="Arial Narrow" w:hAnsi="Arial Narrow"/>
                <w:sz w:val="20"/>
                <w:szCs w:val="20"/>
                <w:lang w:eastAsia="en-AU"/>
              </w:rPr>
            </w:pPr>
          </w:p>
        </w:tc>
        <w:tc>
          <w:tcPr>
            <w:tcW w:w="8079" w:type="dxa"/>
            <w:gridSpan w:val="6"/>
            <w:vAlign w:val="center"/>
            <w:hideMark/>
          </w:tcPr>
          <w:p w14:paraId="7988355B" w14:textId="77777777" w:rsidR="001C5808" w:rsidRPr="006D03BF" w:rsidRDefault="001C5808" w:rsidP="001C4366">
            <w:pPr>
              <w:spacing w:before="0" w:after="0"/>
              <w:rPr>
                <w:rFonts w:ascii="Arial Narrow" w:hAnsi="Arial Narrow"/>
                <w:sz w:val="20"/>
                <w:szCs w:val="20"/>
                <w:lang w:eastAsia="en-AU"/>
              </w:rPr>
            </w:pPr>
            <w:r w:rsidRPr="006D03BF">
              <w:rPr>
                <w:rFonts w:ascii="Arial Narrow" w:hAnsi="Arial Narrow"/>
                <w:b/>
                <w:bCs/>
                <w:sz w:val="20"/>
                <w:szCs w:val="20"/>
                <w:lang w:eastAsia="en-AU"/>
              </w:rPr>
              <w:t>Clinical criteria:</w:t>
            </w:r>
          </w:p>
        </w:tc>
      </w:tr>
      <w:tr w:rsidR="001C5808" w:rsidRPr="00D13A7A" w14:paraId="6569F9A3" w14:textId="77777777" w:rsidTr="00CD28A8">
        <w:tblPrEx>
          <w:tblCellMar>
            <w:top w:w="15" w:type="dxa"/>
            <w:left w:w="15" w:type="dxa"/>
            <w:bottom w:w="15" w:type="dxa"/>
            <w:right w:w="15" w:type="dxa"/>
          </w:tblCellMar>
        </w:tblPrEx>
        <w:tc>
          <w:tcPr>
            <w:tcW w:w="988" w:type="dxa"/>
            <w:vAlign w:val="center"/>
          </w:tcPr>
          <w:p w14:paraId="6E6A6BB0" w14:textId="77777777" w:rsidR="001C5808" w:rsidRPr="006D03BF" w:rsidRDefault="001C5808" w:rsidP="001C4366">
            <w:pPr>
              <w:spacing w:before="0" w:after="0"/>
              <w:jc w:val="center"/>
              <w:rPr>
                <w:rFonts w:ascii="Arial Narrow" w:hAnsi="Arial Narrow"/>
                <w:sz w:val="20"/>
                <w:szCs w:val="20"/>
                <w:lang w:eastAsia="en-AU"/>
              </w:rPr>
            </w:pPr>
          </w:p>
        </w:tc>
        <w:tc>
          <w:tcPr>
            <w:tcW w:w="8079" w:type="dxa"/>
            <w:gridSpan w:val="6"/>
            <w:vAlign w:val="center"/>
            <w:hideMark/>
          </w:tcPr>
          <w:p w14:paraId="03B22CB6" w14:textId="77777777" w:rsidR="001C5808" w:rsidRPr="006D03BF" w:rsidRDefault="001C5808" w:rsidP="001C4366">
            <w:pPr>
              <w:spacing w:before="0" w:after="0"/>
              <w:rPr>
                <w:rFonts w:ascii="Arial Narrow" w:hAnsi="Arial Narrow"/>
                <w:sz w:val="20"/>
                <w:szCs w:val="20"/>
                <w:lang w:eastAsia="en-AU"/>
              </w:rPr>
            </w:pPr>
            <w:r w:rsidRPr="006D03BF">
              <w:rPr>
                <w:rFonts w:ascii="Arial Narrow" w:hAnsi="Arial Narrow"/>
                <w:sz w:val="20"/>
                <w:szCs w:val="20"/>
                <w:lang w:eastAsia="en-AU"/>
              </w:rPr>
              <w:t>Patient must have previously received PBS-subsidised treatment with this drug for this condition</w:t>
            </w:r>
          </w:p>
        </w:tc>
      </w:tr>
      <w:tr w:rsidR="001C5808" w:rsidRPr="00D13A7A" w14:paraId="577EB284" w14:textId="77777777" w:rsidTr="001C4366">
        <w:tblPrEx>
          <w:tblCellMar>
            <w:top w:w="15" w:type="dxa"/>
            <w:left w:w="15" w:type="dxa"/>
            <w:bottom w:w="15" w:type="dxa"/>
            <w:right w:w="15" w:type="dxa"/>
          </w:tblCellMar>
          <w:tblLook w:val="04A0" w:firstRow="1" w:lastRow="0" w:firstColumn="1" w:lastColumn="0" w:noHBand="0" w:noVBand="1"/>
        </w:tblPrEx>
        <w:tc>
          <w:tcPr>
            <w:tcW w:w="988" w:type="dxa"/>
            <w:vAlign w:val="center"/>
          </w:tcPr>
          <w:p w14:paraId="2D9AD2E9" w14:textId="77777777" w:rsidR="001C5808" w:rsidRPr="006D03BF" w:rsidRDefault="001C5808" w:rsidP="001C4366">
            <w:pPr>
              <w:spacing w:before="0" w:after="0"/>
              <w:jc w:val="center"/>
              <w:rPr>
                <w:rFonts w:ascii="Arial Narrow" w:hAnsi="Arial Narrow"/>
                <w:sz w:val="20"/>
                <w:szCs w:val="20"/>
                <w:lang w:eastAsia="en-AU"/>
              </w:rPr>
            </w:pPr>
          </w:p>
        </w:tc>
        <w:tc>
          <w:tcPr>
            <w:tcW w:w="8079" w:type="dxa"/>
            <w:gridSpan w:val="6"/>
            <w:vAlign w:val="center"/>
            <w:hideMark/>
          </w:tcPr>
          <w:p w14:paraId="2799EF51" w14:textId="77777777" w:rsidR="001C5808" w:rsidRPr="006D03BF" w:rsidRDefault="001C5808" w:rsidP="001C4366">
            <w:pPr>
              <w:spacing w:before="0" w:after="0"/>
              <w:rPr>
                <w:rFonts w:ascii="Arial Narrow" w:hAnsi="Arial Narrow"/>
                <w:sz w:val="20"/>
                <w:szCs w:val="20"/>
                <w:lang w:eastAsia="en-AU"/>
              </w:rPr>
            </w:pPr>
            <w:r w:rsidRPr="006D03BF">
              <w:rPr>
                <w:rFonts w:ascii="Arial Narrow" w:hAnsi="Arial Narrow"/>
                <w:b/>
                <w:bCs/>
                <w:sz w:val="20"/>
                <w:szCs w:val="20"/>
                <w:lang w:eastAsia="en-AU"/>
              </w:rPr>
              <w:t>AND</w:t>
            </w:r>
          </w:p>
        </w:tc>
      </w:tr>
      <w:tr w:rsidR="001C5808" w:rsidRPr="00D13A7A" w14:paraId="59100C6E" w14:textId="77777777" w:rsidTr="001C4366">
        <w:tblPrEx>
          <w:tblCellMar>
            <w:top w:w="15" w:type="dxa"/>
            <w:left w:w="15" w:type="dxa"/>
            <w:bottom w:w="15" w:type="dxa"/>
            <w:right w:w="15" w:type="dxa"/>
          </w:tblCellMar>
          <w:tblLook w:val="04A0" w:firstRow="1" w:lastRow="0" w:firstColumn="1" w:lastColumn="0" w:noHBand="0" w:noVBand="1"/>
        </w:tblPrEx>
        <w:tc>
          <w:tcPr>
            <w:tcW w:w="988" w:type="dxa"/>
            <w:vAlign w:val="center"/>
          </w:tcPr>
          <w:p w14:paraId="329365B8" w14:textId="77777777" w:rsidR="001C5808" w:rsidRPr="006D03BF" w:rsidRDefault="001C5808" w:rsidP="001C4366">
            <w:pPr>
              <w:spacing w:before="0" w:after="0"/>
              <w:jc w:val="center"/>
              <w:rPr>
                <w:rFonts w:ascii="Arial Narrow" w:hAnsi="Arial Narrow"/>
                <w:sz w:val="20"/>
                <w:szCs w:val="20"/>
                <w:lang w:eastAsia="en-AU"/>
              </w:rPr>
            </w:pPr>
          </w:p>
        </w:tc>
        <w:tc>
          <w:tcPr>
            <w:tcW w:w="8079" w:type="dxa"/>
            <w:gridSpan w:val="6"/>
            <w:vAlign w:val="center"/>
            <w:hideMark/>
          </w:tcPr>
          <w:p w14:paraId="5BB20FAB" w14:textId="77777777" w:rsidR="001C5808" w:rsidRPr="006D03BF" w:rsidRDefault="001C5808" w:rsidP="001C4366">
            <w:pPr>
              <w:spacing w:before="0" w:after="0"/>
              <w:rPr>
                <w:rFonts w:ascii="Arial Narrow" w:hAnsi="Arial Narrow"/>
                <w:sz w:val="20"/>
                <w:szCs w:val="20"/>
                <w:lang w:eastAsia="en-AU"/>
              </w:rPr>
            </w:pPr>
            <w:r w:rsidRPr="006D03BF">
              <w:rPr>
                <w:rFonts w:ascii="Arial Narrow" w:hAnsi="Arial Narrow"/>
                <w:b/>
                <w:bCs/>
                <w:sz w:val="20"/>
                <w:szCs w:val="20"/>
                <w:lang w:eastAsia="en-AU"/>
              </w:rPr>
              <w:t>Clinical criteria:</w:t>
            </w:r>
          </w:p>
        </w:tc>
      </w:tr>
      <w:tr w:rsidR="001C5808" w:rsidRPr="00D13A7A" w14:paraId="4492A191" w14:textId="77777777" w:rsidTr="001C4366">
        <w:tblPrEx>
          <w:tblCellMar>
            <w:top w:w="15" w:type="dxa"/>
            <w:left w:w="15" w:type="dxa"/>
            <w:bottom w:w="15" w:type="dxa"/>
            <w:right w:w="15" w:type="dxa"/>
          </w:tblCellMar>
          <w:tblLook w:val="04A0" w:firstRow="1" w:lastRow="0" w:firstColumn="1" w:lastColumn="0" w:noHBand="0" w:noVBand="1"/>
        </w:tblPrEx>
        <w:tc>
          <w:tcPr>
            <w:tcW w:w="988" w:type="dxa"/>
            <w:vAlign w:val="center"/>
          </w:tcPr>
          <w:p w14:paraId="57B9B4B9" w14:textId="77777777" w:rsidR="001C5808" w:rsidRPr="006D03BF" w:rsidRDefault="001C5808" w:rsidP="001C4366">
            <w:pPr>
              <w:spacing w:before="0" w:after="0"/>
              <w:jc w:val="center"/>
              <w:rPr>
                <w:rFonts w:ascii="Arial Narrow" w:hAnsi="Arial Narrow"/>
                <w:iCs/>
                <w:sz w:val="20"/>
                <w:szCs w:val="20"/>
                <w:lang w:eastAsia="en-AU"/>
              </w:rPr>
            </w:pPr>
          </w:p>
        </w:tc>
        <w:tc>
          <w:tcPr>
            <w:tcW w:w="8079" w:type="dxa"/>
            <w:gridSpan w:val="6"/>
            <w:vAlign w:val="center"/>
            <w:hideMark/>
          </w:tcPr>
          <w:p w14:paraId="0A56F21B" w14:textId="77777777" w:rsidR="001C5808" w:rsidRPr="006D03BF" w:rsidRDefault="001C5808" w:rsidP="001C4366">
            <w:pPr>
              <w:spacing w:before="0" w:after="0"/>
              <w:rPr>
                <w:rFonts w:ascii="Arial Narrow" w:hAnsi="Arial Narrow" w:cs="Arial"/>
                <w:iCs/>
                <w:sz w:val="20"/>
                <w:szCs w:val="20"/>
              </w:rPr>
            </w:pPr>
            <w:r w:rsidRPr="006D03BF">
              <w:rPr>
                <w:rFonts w:ascii="Arial Narrow" w:hAnsi="Arial Narrow"/>
                <w:bCs/>
                <w:iCs/>
                <w:sz w:val="20"/>
                <w:szCs w:val="20"/>
                <w:lang w:eastAsia="en-AU"/>
              </w:rPr>
              <w:t>Patient must not have developed disease progression while receiving treatment with this drug for this condition.</w:t>
            </w:r>
          </w:p>
        </w:tc>
      </w:tr>
      <w:tr w:rsidR="001C5808" w:rsidRPr="00D13A7A" w14:paraId="60C24D24" w14:textId="77777777" w:rsidTr="001C4366">
        <w:tblPrEx>
          <w:tblCellMar>
            <w:top w:w="15" w:type="dxa"/>
            <w:left w:w="15" w:type="dxa"/>
            <w:bottom w:w="15" w:type="dxa"/>
            <w:right w:w="15" w:type="dxa"/>
          </w:tblCellMar>
          <w:tblLook w:val="04A0" w:firstRow="1" w:lastRow="0" w:firstColumn="1" w:lastColumn="0" w:noHBand="0" w:noVBand="1"/>
        </w:tblPrEx>
        <w:tc>
          <w:tcPr>
            <w:tcW w:w="988" w:type="dxa"/>
            <w:vAlign w:val="center"/>
          </w:tcPr>
          <w:p w14:paraId="484D1483" w14:textId="77777777" w:rsidR="001C5808" w:rsidRPr="006D03BF" w:rsidRDefault="001C5808" w:rsidP="001C4366">
            <w:pPr>
              <w:spacing w:before="0" w:after="0"/>
              <w:jc w:val="center"/>
              <w:rPr>
                <w:rFonts w:ascii="Arial Narrow" w:hAnsi="Arial Narrow"/>
                <w:i/>
                <w:sz w:val="20"/>
                <w:szCs w:val="20"/>
                <w:lang w:eastAsia="en-AU"/>
              </w:rPr>
            </w:pPr>
          </w:p>
        </w:tc>
        <w:tc>
          <w:tcPr>
            <w:tcW w:w="8079" w:type="dxa"/>
            <w:gridSpan w:val="6"/>
            <w:vAlign w:val="center"/>
          </w:tcPr>
          <w:p w14:paraId="5018C174" w14:textId="77777777" w:rsidR="001C5808" w:rsidRPr="006D03BF" w:rsidRDefault="001C5808" w:rsidP="001C4366">
            <w:pPr>
              <w:spacing w:before="0" w:after="0"/>
              <w:rPr>
                <w:rFonts w:ascii="Arial Narrow" w:hAnsi="Arial Narrow"/>
                <w:bCs/>
                <w:strike/>
                <w:sz w:val="20"/>
                <w:szCs w:val="20"/>
                <w:lang w:eastAsia="en-AU"/>
              </w:rPr>
            </w:pPr>
            <w:r w:rsidRPr="006D03BF">
              <w:rPr>
                <w:rFonts w:ascii="Arial Narrow" w:hAnsi="Arial Narrow"/>
                <w:b/>
                <w:bCs/>
                <w:sz w:val="20"/>
                <w:szCs w:val="20"/>
                <w:lang w:eastAsia="en-AU"/>
              </w:rPr>
              <w:t>AND</w:t>
            </w:r>
          </w:p>
        </w:tc>
      </w:tr>
      <w:tr w:rsidR="001C5808" w:rsidRPr="00D13A7A" w14:paraId="21449078" w14:textId="77777777" w:rsidTr="001C4366">
        <w:tblPrEx>
          <w:tblCellMar>
            <w:top w:w="15" w:type="dxa"/>
            <w:left w:w="15" w:type="dxa"/>
            <w:bottom w:w="15" w:type="dxa"/>
            <w:right w:w="15" w:type="dxa"/>
          </w:tblCellMar>
          <w:tblLook w:val="04A0" w:firstRow="1" w:lastRow="0" w:firstColumn="1" w:lastColumn="0" w:noHBand="0" w:noVBand="1"/>
        </w:tblPrEx>
        <w:tc>
          <w:tcPr>
            <w:tcW w:w="988" w:type="dxa"/>
            <w:vAlign w:val="center"/>
          </w:tcPr>
          <w:p w14:paraId="19163B4B" w14:textId="77777777" w:rsidR="001C5808" w:rsidRPr="006D03BF" w:rsidRDefault="001C5808" w:rsidP="001C4366">
            <w:pPr>
              <w:spacing w:before="0" w:after="0"/>
              <w:jc w:val="left"/>
              <w:rPr>
                <w:rFonts w:ascii="Arial Narrow" w:hAnsi="Arial Narrow"/>
                <w:iCs/>
                <w:sz w:val="20"/>
                <w:szCs w:val="20"/>
                <w:lang w:eastAsia="en-AU"/>
              </w:rPr>
            </w:pPr>
          </w:p>
        </w:tc>
        <w:tc>
          <w:tcPr>
            <w:tcW w:w="8079" w:type="dxa"/>
            <w:gridSpan w:val="6"/>
            <w:vAlign w:val="center"/>
          </w:tcPr>
          <w:p w14:paraId="04ED5E3A" w14:textId="77777777" w:rsidR="001C5808" w:rsidRPr="006D03BF" w:rsidRDefault="001C5808" w:rsidP="001C4366">
            <w:pPr>
              <w:spacing w:before="0" w:after="0"/>
              <w:rPr>
                <w:rFonts w:ascii="Arial Narrow" w:hAnsi="Arial Narrow"/>
                <w:bCs/>
                <w:strike/>
                <w:sz w:val="20"/>
                <w:szCs w:val="20"/>
                <w:lang w:eastAsia="en-AU"/>
              </w:rPr>
            </w:pPr>
            <w:r w:rsidRPr="006D03BF">
              <w:rPr>
                <w:rFonts w:ascii="Arial Narrow" w:hAnsi="Arial Narrow"/>
                <w:b/>
                <w:bCs/>
                <w:sz w:val="20"/>
                <w:szCs w:val="20"/>
                <w:lang w:eastAsia="en-AU"/>
              </w:rPr>
              <w:t>Clinical criteria:</w:t>
            </w:r>
          </w:p>
        </w:tc>
      </w:tr>
      <w:tr w:rsidR="001C5808" w:rsidRPr="00D13A7A" w14:paraId="4EB2105A" w14:textId="77777777" w:rsidTr="00FB3656">
        <w:tblPrEx>
          <w:tblCellMar>
            <w:top w:w="15" w:type="dxa"/>
            <w:left w:w="15" w:type="dxa"/>
            <w:bottom w:w="15" w:type="dxa"/>
            <w:right w:w="15" w:type="dxa"/>
          </w:tblCellMar>
          <w:tblLook w:val="04A0" w:firstRow="1" w:lastRow="0" w:firstColumn="1" w:lastColumn="0" w:noHBand="0" w:noVBand="1"/>
        </w:tblPrEx>
        <w:tc>
          <w:tcPr>
            <w:tcW w:w="988" w:type="dxa"/>
          </w:tcPr>
          <w:p w14:paraId="5E670450" w14:textId="77777777" w:rsidR="001C5808" w:rsidRPr="006D03BF" w:rsidRDefault="001C5808" w:rsidP="001C4366">
            <w:pPr>
              <w:spacing w:before="0" w:after="0"/>
              <w:jc w:val="center"/>
              <w:rPr>
                <w:rFonts w:ascii="Arial Narrow" w:hAnsi="Arial Narrow"/>
                <w:iCs/>
                <w:sz w:val="20"/>
                <w:szCs w:val="20"/>
                <w:lang w:eastAsia="en-AU"/>
              </w:rPr>
            </w:pPr>
          </w:p>
        </w:tc>
        <w:tc>
          <w:tcPr>
            <w:tcW w:w="8079" w:type="dxa"/>
            <w:gridSpan w:val="6"/>
          </w:tcPr>
          <w:p w14:paraId="311D5E29" w14:textId="77777777" w:rsidR="001C5808" w:rsidRPr="006D03BF" w:rsidRDefault="001C5808" w:rsidP="001C4366">
            <w:pPr>
              <w:spacing w:before="0" w:after="0"/>
              <w:rPr>
                <w:rFonts w:ascii="Arial Narrow" w:hAnsi="Arial Narrow"/>
                <w:bCs/>
                <w:strike/>
                <w:sz w:val="20"/>
                <w:szCs w:val="20"/>
                <w:lang w:eastAsia="en-AU"/>
              </w:rPr>
            </w:pPr>
            <w:r w:rsidRPr="006D03BF">
              <w:rPr>
                <w:rFonts w:ascii="Arial Narrow" w:hAnsi="Arial Narrow"/>
                <w:bCs/>
                <w:sz w:val="20"/>
                <w:szCs w:val="20"/>
                <w:lang w:eastAsia="en-AU"/>
              </w:rPr>
              <w:t>The treatment must not be subsidised in combination with</w:t>
            </w:r>
            <w:r w:rsidR="00BC77C0">
              <w:rPr>
                <w:rFonts w:ascii="Arial Narrow" w:hAnsi="Arial Narrow"/>
                <w:bCs/>
                <w:sz w:val="20"/>
                <w:szCs w:val="20"/>
                <w:lang w:eastAsia="en-AU"/>
              </w:rPr>
              <w:t xml:space="preserve"> </w:t>
            </w:r>
            <w:r w:rsidRPr="006D03BF">
              <w:rPr>
                <w:rFonts w:ascii="Arial Narrow" w:hAnsi="Arial Narrow"/>
                <w:bCs/>
                <w:sz w:val="20"/>
                <w:szCs w:val="20"/>
                <w:lang w:eastAsia="en-AU"/>
              </w:rPr>
              <w:t>chemotherapy</w:t>
            </w:r>
          </w:p>
        </w:tc>
      </w:tr>
    </w:tbl>
    <w:p w14:paraId="202A3526" w14:textId="77777777" w:rsidR="001C5808" w:rsidRDefault="001C5808" w:rsidP="00B73D66">
      <w:pPr>
        <w:spacing w:before="0" w:after="0"/>
        <w:contextualSpacing/>
        <w:jc w:val="left"/>
        <w:rPr>
          <w:rFonts w:ascii="Calibri" w:hAnsi="Calibri" w:cs="Calibri"/>
          <w:lang w:eastAsia="en-AU"/>
        </w:rPr>
      </w:pPr>
    </w:p>
    <w:bookmarkEnd w:id="75"/>
    <w:p w14:paraId="0F94B7CA" w14:textId="77777777" w:rsidR="0030433E" w:rsidRDefault="001802CD" w:rsidP="0030433E">
      <w:pPr>
        <w:pStyle w:val="PBACESHeading1"/>
        <w:rPr>
          <w:lang w:val="en-GB"/>
        </w:rPr>
      </w:pPr>
      <w:r w:rsidRPr="00CD28A8">
        <w:rPr>
          <w:lang w:val="en-GB"/>
        </w:rPr>
        <w:t>Context for Decision</w:t>
      </w:r>
    </w:p>
    <w:p w14:paraId="22399C1F" w14:textId="270F4347" w:rsidR="001802CD" w:rsidRPr="0030433E" w:rsidRDefault="001802CD" w:rsidP="0030433E">
      <w:pPr>
        <w:pStyle w:val="ListParagraph"/>
        <w:numPr>
          <w:ilvl w:val="0"/>
          <w:numId w:val="0"/>
        </w:numPr>
        <w:ind w:left="709"/>
      </w:pPr>
      <w:r w:rsidRPr="0030433E">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7271BD1" w14:textId="77777777" w:rsidR="001802CD" w:rsidRPr="00CD28A8" w:rsidRDefault="001802CD" w:rsidP="0030433E">
      <w:pPr>
        <w:pStyle w:val="PBACESHeading1"/>
        <w:rPr>
          <w:lang w:val="en-GB"/>
        </w:rPr>
      </w:pPr>
      <w:r w:rsidRPr="00CD28A8">
        <w:rPr>
          <w:lang w:val="en-GB"/>
        </w:rPr>
        <w:t>Sponsor’s Comment</w:t>
      </w:r>
    </w:p>
    <w:p w14:paraId="05EE00F2" w14:textId="3A6DF902" w:rsidR="003F554B" w:rsidRPr="005078DD" w:rsidRDefault="003F554B" w:rsidP="003F554B">
      <w:pPr>
        <w:ind w:left="680"/>
        <w:rPr>
          <w:rFonts w:cstheme="minorHAnsi"/>
          <w:sz w:val="20"/>
          <w:szCs w:val="20"/>
          <w:u w:val="single"/>
        </w:rPr>
      </w:pPr>
      <w:bookmarkStart w:id="77" w:name="_GoBack"/>
      <w:bookmarkEnd w:id="3"/>
      <w:bookmarkEnd w:id="77"/>
      <w:r>
        <w:rPr>
          <w:rFonts w:cs="Arial"/>
          <w:bCs/>
        </w:rPr>
        <w:t>In discussion with the Department</w:t>
      </w:r>
      <w:r w:rsidRPr="00CD6B57">
        <w:rPr>
          <w:rFonts w:cs="Arial"/>
          <w:bCs/>
        </w:rPr>
        <w:t xml:space="preserve"> </w:t>
      </w:r>
      <w:r>
        <w:rPr>
          <w:rFonts w:cs="Arial"/>
          <w:bCs/>
        </w:rPr>
        <w:t>during the listing process</w:t>
      </w:r>
      <w:r w:rsidRPr="00CD6B57">
        <w:rPr>
          <w:rFonts w:cs="Arial"/>
          <w:bCs/>
        </w:rPr>
        <w:t xml:space="preserve">, a minor amendment to the clinical criterion was agreed to as follows: “the treatment must not be subsidised in combination with chemotherapy </w:t>
      </w:r>
      <w:r w:rsidRPr="00CD6B57">
        <w:rPr>
          <w:rFonts w:cs="Arial"/>
          <w:bCs/>
          <w:u w:val="single"/>
        </w:rPr>
        <w:t>or a novel hormonal drug</w:t>
      </w:r>
      <w:r w:rsidRPr="00CD6B57">
        <w:rPr>
          <w:rFonts w:cs="Arial"/>
          <w:bCs/>
        </w:rPr>
        <w:t>.”</w:t>
      </w:r>
    </w:p>
    <w:p w14:paraId="38B13498" w14:textId="78B2DABD" w:rsidR="008C7808" w:rsidRPr="0030433E" w:rsidRDefault="008C7808" w:rsidP="0030433E">
      <w:pPr>
        <w:pStyle w:val="ListParagraph"/>
        <w:numPr>
          <w:ilvl w:val="0"/>
          <w:numId w:val="0"/>
        </w:numPr>
        <w:ind w:left="709"/>
      </w:pPr>
    </w:p>
    <w:sectPr w:rsidR="008C7808" w:rsidRPr="0030433E" w:rsidSect="00FD55B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389" w:footer="13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E4C133" w16cid:durableId="25C73C06"/>
  <w16cid:commentId w16cid:paraId="67E7D723" w16cid:durableId="25C7326E"/>
  <w16cid:commentId w16cid:paraId="65639536" w16cid:durableId="25C73287"/>
  <w16cid:commentId w16cid:paraId="7F2FBA87" w16cid:durableId="25C736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4307B" w14:textId="77777777" w:rsidR="00300B3C" w:rsidRDefault="00300B3C" w:rsidP="00BA3306">
      <w:pPr>
        <w:spacing w:before="0" w:after="0"/>
      </w:pPr>
      <w:r>
        <w:separator/>
      </w:r>
    </w:p>
    <w:p w14:paraId="2C449B61" w14:textId="77777777" w:rsidR="00300B3C" w:rsidRDefault="00300B3C"/>
  </w:endnote>
  <w:endnote w:type="continuationSeparator" w:id="0">
    <w:p w14:paraId="0CFF749F" w14:textId="77777777" w:rsidR="00300B3C" w:rsidRDefault="00300B3C" w:rsidP="00BA3306">
      <w:pPr>
        <w:spacing w:before="0" w:after="0"/>
      </w:pPr>
      <w:r>
        <w:continuationSeparator/>
      </w:r>
    </w:p>
    <w:p w14:paraId="3F29A757" w14:textId="77777777" w:rsidR="00300B3C" w:rsidRDefault="00300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HelveticaNeueLT Com 55 Roman">
    <w:altName w:val="Yu Gothic"/>
    <w:panose1 w:val="00000000000000000000"/>
    <w:charset w:val="00"/>
    <w:family w:val="roman"/>
    <w:notTrueType/>
    <w:pitch w:val="default"/>
    <w:sig w:usb0="00000003" w:usb1="08070000" w:usb2="00000010" w:usb3="00000000" w:csb0="00020001" w:csb1="00000000"/>
  </w:font>
  <w:font w:name="ArialNarrow">
    <w:altName w:val="Arial"/>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Bold">
    <w:altName w:val="Yu Gothic"/>
    <w:charset w:val="80"/>
    <w:family w:val="auto"/>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FDAF" w14:textId="77777777" w:rsidR="00300B3C" w:rsidRDefault="00300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781B" w14:textId="77777777" w:rsidR="00300B3C" w:rsidRDefault="00300B3C" w:rsidP="00C317F3">
    <w:pPr>
      <w:pStyle w:val="Footer"/>
      <w:jc w:val="center"/>
    </w:pPr>
  </w:p>
  <w:p w14:paraId="6B759C71" w14:textId="59C41960" w:rsidR="00300B3C" w:rsidRPr="007904FB" w:rsidRDefault="00300B3C" w:rsidP="00C317F3">
    <w:pPr>
      <w:pStyle w:val="Footer"/>
      <w:jc w:val="center"/>
      <w:rPr>
        <w:b/>
        <w:bCs/>
      </w:rPr>
    </w:pPr>
    <w:r w:rsidRPr="007904FB">
      <w:rPr>
        <w:b/>
        <w:bCs/>
      </w:rPr>
      <w:fldChar w:fldCharType="begin"/>
    </w:r>
    <w:r w:rsidRPr="007904FB">
      <w:rPr>
        <w:b/>
        <w:bCs/>
      </w:rPr>
      <w:instrText xml:space="preserve"> PAGE   \* MERGEFORMAT </w:instrText>
    </w:r>
    <w:r w:rsidRPr="007904FB">
      <w:rPr>
        <w:b/>
        <w:bCs/>
      </w:rPr>
      <w:fldChar w:fldCharType="separate"/>
    </w:r>
    <w:r w:rsidR="00954D9F">
      <w:rPr>
        <w:b/>
        <w:bCs/>
        <w:noProof/>
      </w:rPr>
      <w:t>50</w:t>
    </w:r>
    <w:r w:rsidRPr="007904FB">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7F57B" w14:textId="77777777" w:rsidR="00300B3C" w:rsidRDefault="00300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ADAB" w14:textId="77777777" w:rsidR="00300B3C" w:rsidRDefault="00300B3C" w:rsidP="00BA3306">
      <w:pPr>
        <w:spacing w:before="0" w:after="0"/>
      </w:pPr>
      <w:r>
        <w:separator/>
      </w:r>
    </w:p>
    <w:p w14:paraId="676D7653" w14:textId="77777777" w:rsidR="00300B3C" w:rsidRDefault="00300B3C"/>
  </w:footnote>
  <w:footnote w:type="continuationSeparator" w:id="0">
    <w:p w14:paraId="46478A6A" w14:textId="77777777" w:rsidR="00300B3C" w:rsidRDefault="00300B3C" w:rsidP="00BA3306">
      <w:pPr>
        <w:spacing w:before="0" w:after="0"/>
      </w:pPr>
      <w:r>
        <w:continuationSeparator/>
      </w:r>
    </w:p>
    <w:p w14:paraId="4195EA30" w14:textId="77777777" w:rsidR="00300B3C" w:rsidRDefault="00300B3C"/>
  </w:footnote>
  <w:footnote w:id="1">
    <w:p w14:paraId="1FEA9867" w14:textId="77777777" w:rsidR="00300B3C" w:rsidRDefault="00300B3C">
      <w:pPr>
        <w:pStyle w:val="FootnoteText"/>
      </w:pPr>
      <w:r>
        <w:rPr>
          <w:rStyle w:val="FootnoteReference"/>
        </w:rPr>
        <w:footnoteRef/>
      </w:r>
      <w:r>
        <w:t xml:space="preserve"> </w:t>
      </w:r>
      <w:r w:rsidRPr="009B29F2">
        <w:rPr>
          <w:sz w:val="20"/>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80B05" w14:textId="77777777" w:rsidR="00300B3C" w:rsidRDefault="00300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E74F" w14:textId="77777777" w:rsidR="00300B3C" w:rsidRPr="007904FB" w:rsidRDefault="00300B3C" w:rsidP="007904FB">
    <w:pPr>
      <w:pStyle w:val="Header"/>
      <w:jc w:val="center"/>
      <w:rPr>
        <w:i/>
        <w:iCs/>
      </w:rPr>
    </w:pPr>
    <w:r w:rsidRPr="001802CD">
      <w:rPr>
        <w:i/>
        <w:iCs/>
      </w:rPr>
      <w:t xml:space="preserve">Public Summary Document </w:t>
    </w:r>
    <w:r w:rsidRPr="007904FB">
      <w:rPr>
        <w:i/>
        <w:iCs/>
      </w:rPr>
      <w:t>– November 2021 PBAC Meeting</w:t>
    </w:r>
  </w:p>
  <w:p w14:paraId="1C60B16B" w14:textId="77777777" w:rsidR="00300B3C" w:rsidRDefault="00300B3C" w:rsidP="007904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8C02" w14:textId="77777777" w:rsidR="00300B3C" w:rsidRDefault="00300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47830"/>
    <w:multiLevelType w:val="hybridMultilevel"/>
    <w:tmpl w:val="48DECB52"/>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2553" w:firstLine="0"/>
      </w:pPr>
      <w:rPr>
        <w:rFonts w:hint="default"/>
      </w:rPr>
    </w:lvl>
    <w:lvl w:ilvl="3">
      <w:start w:val="1"/>
      <w:numFmt w:val="decimal"/>
      <w:lvlRestart w:val="1"/>
      <w:pStyle w:val="Heading2"/>
      <w:lvlText w:val="%1.%4"/>
      <w:lvlJc w:val="left"/>
      <w:pPr>
        <w:ind w:left="1289"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575C58"/>
    <w:multiLevelType w:val="multilevel"/>
    <w:tmpl w:val="2C4E081C"/>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55215E"/>
    <w:multiLevelType w:val="hybridMultilevel"/>
    <w:tmpl w:val="14206FFA"/>
    <w:lvl w:ilvl="0" w:tplc="C2AA9F86">
      <w:start w:val="1"/>
      <w:numFmt w:val="bullet"/>
      <w:lvlText w:val=""/>
      <w:lvlJc w:val="left"/>
      <w:pPr>
        <w:ind w:left="700" w:hanging="360"/>
      </w:pPr>
      <w:rPr>
        <w:rFonts w:ascii="Symbol" w:hAnsi="Symbol" w:hint="default"/>
        <w:color w:val="auto"/>
      </w:rPr>
    </w:lvl>
    <w:lvl w:ilvl="1" w:tplc="3C5E6A5C">
      <w:start w:val="1"/>
      <w:numFmt w:val="bullet"/>
      <w:lvlText w:val="o"/>
      <w:lvlJc w:val="left"/>
      <w:pPr>
        <w:ind w:left="1523" w:hanging="360"/>
      </w:pPr>
      <w:rPr>
        <w:rFonts w:ascii="Courier New" w:hAnsi="Courier New" w:cs="Courier New" w:hint="default"/>
        <w:color w:val="auto"/>
      </w:rPr>
    </w:lvl>
    <w:lvl w:ilvl="2" w:tplc="0C090005" w:tentative="1">
      <w:start w:val="1"/>
      <w:numFmt w:val="bullet"/>
      <w:lvlText w:val=""/>
      <w:lvlJc w:val="left"/>
      <w:pPr>
        <w:ind w:left="2243" w:hanging="360"/>
      </w:pPr>
      <w:rPr>
        <w:rFonts w:ascii="Wingdings" w:hAnsi="Wingdings" w:hint="default"/>
      </w:rPr>
    </w:lvl>
    <w:lvl w:ilvl="3" w:tplc="0C090001" w:tentative="1">
      <w:start w:val="1"/>
      <w:numFmt w:val="bullet"/>
      <w:lvlText w:val=""/>
      <w:lvlJc w:val="left"/>
      <w:pPr>
        <w:ind w:left="2963" w:hanging="360"/>
      </w:pPr>
      <w:rPr>
        <w:rFonts w:ascii="Symbol" w:hAnsi="Symbol" w:hint="default"/>
      </w:rPr>
    </w:lvl>
    <w:lvl w:ilvl="4" w:tplc="0C090003" w:tentative="1">
      <w:start w:val="1"/>
      <w:numFmt w:val="bullet"/>
      <w:lvlText w:val="o"/>
      <w:lvlJc w:val="left"/>
      <w:pPr>
        <w:ind w:left="3683" w:hanging="360"/>
      </w:pPr>
      <w:rPr>
        <w:rFonts w:ascii="Courier New" w:hAnsi="Courier New" w:cs="Courier New" w:hint="default"/>
      </w:rPr>
    </w:lvl>
    <w:lvl w:ilvl="5" w:tplc="0C090005" w:tentative="1">
      <w:start w:val="1"/>
      <w:numFmt w:val="bullet"/>
      <w:lvlText w:val=""/>
      <w:lvlJc w:val="left"/>
      <w:pPr>
        <w:ind w:left="4403" w:hanging="360"/>
      </w:pPr>
      <w:rPr>
        <w:rFonts w:ascii="Wingdings" w:hAnsi="Wingdings" w:hint="default"/>
      </w:rPr>
    </w:lvl>
    <w:lvl w:ilvl="6" w:tplc="0C090001" w:tentative="1">
      <w:start w:val="1"/>
      <w:numFmt w:val="bullet"/>
      <w:lvlText w:val=""/>
      <w:lvlJc w:val="left"/>
      <w:pPr>
        <w:ind w:left="5123" w:hanging="360"/>
      </w:pPr>
      <w:rPr>
        <w:rFonts w:ascii="Symbol" w:hAnsi="Symbol" w:hint="default"/>
      </w:rPr>
    </w:lvl>
    <w:lvl w:ilvl="7" w:tplc="0C090003" w:tentative="1">
      <w:start w:val="1"/>
      <w:numFmt w:val="bullet"/>
      <w:lvlText w:val="o"/>
      <w:lvlJc w:val="left"/>
      <w:pPr>
        <w:ind w:left="5843" w:hanging="360"/>
      </w:pPr>
      <w:rPr>
        <w:rFonts w:ascii="Courier New" w:hAnsi="Courier New" w:cs="Courier New" w:hint="default"/>
      </w:rPr>
    </w:lvl>
    <w:lvl w:ilvl="8" w:tplc="0C090005" w:tentative="1">
      <w:start w:val="1"/>
      <w:numFmt w:val="bullet"/>
      <w:lvlText w:val=""/>
      <w:lvlJc w:val="left"/>
      <w:pPr>
        <w:ind w:left="6563" w:hanging="360"/>
      </w:pPr>
      <w:rPr>
        <w:rFonts w:ascii="Wingdings" w:hAnsi="Wingdings" w:hint="default"/>
      </w:rPr>
    </w:lvl>
  </w:abstractNum>
  <w:abstractNum w:abstractNumId="16" w15:restartNumberingAfterBreak="0">
    <w:nsid w:val="40B77624"/>
    <w:multiLevelType w:val="hybridMultilevel"/>
    <w:tmpl w:val="09324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3904B4F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AF26E9BA">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86FE5"/>
    <w:multiLevelType w:val="hybridMultilevel"/>
    <w:tmpl w:val="036246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8A4544"/>
    <w:multiLevelType w:val="hybridMultilevel"/>
    <w:tmpl w:val="8B4C6772"/>
    <w:lvl w:ilvl="0" w:tplc="801653C8">
      <w:start w:val="26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5C2798"/>
    <w:multiLevelType w:val="hybridMultilevel"/>
    <w:tmpl w:val="B01822A6"/>
    <w:lvl w:ilvl="0" w:tplc="C2AA9F86">
      <w:start w:val="1"/>
      <w:numFmt w:val="bullet"/>
      <w:lvlText w:val=""/>
      <w:lvlJc w:val="left"/>
      <w:pPr>
        <w:ind w:left="617" w:hanging="360"/>
      </w:pPr>
      <w:rPr>
        <w:rFonts w:ascii="Symbol" w:hAnsi="Symbol" w:hint="default"/>
        <w:color w:val="auto"/>
      </w:rPr>
    </w:lvl>
    <w:lvl w:ilvl="1" w:tplc="A162D53A">
      <w:start w:val="1"/>
      <w:numFmt w:val="bullet"/>
      <w:lvlText w:val=""/>
      <w:lvlJc w:val="left"/>
      <w:pPr>
        <w:ind w:left="1440" w:hanging="360"/>
      </w:pPr>
      <w:rPr>
        <w:rFonts w:ascii="Wingdings" w:hAnsi="Wingdings"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BD1B8B"/>
    <w:multiLevelType w:val="hybridMultilevel"/>
    <w:tmpl w:val="A01A9286"/>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1069"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4D033C"/>
    <w:multiLevelType w:val="multilevel"/>
    <w:tmpl w:val="326CE612"/>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6958" w:hanging="720"/>
      </w:pPr>
      <w:rPr>
        <w:rFonts w:hint="default"/>
        <w:i w:val="0"/>
        <w:iCs/>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C63ECC"/>
    <w:multiLevelType w:val="hybridMultilevel"/>
    <w:tmpl w:val="95F095BA"/>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5"/>
  </w:num>
  <w:num w:numId="4">
    <w:abstractNumId w:val="7"/>
  </w:num>
  <w:num w:numId="5">
    <w:abstractNumId w:val="6"/>
  </w:num>
  <w:num w:numId="6">
    <w:abstractNumId w:val="28"/>
  </w:num>
  <w:num w:numId="7">
    <w:abstractNumId w:val="19"/>
  </w:num>
  <w:num w:numId="8">
    <w:abstractNumId w:val="3"/>
  </w:num>
  <w:num w:numId="9">
    <w:abstractNumId w:val="11"/>
  </w:num>
  <w:num w:numId="10">
    <w:abstractNumId w:val="25"/>
  </w:num>
  <w:num w:numId="11">
    <w:abstractNumId w:val="1"/>
  </w:num>
  <w:num w:numId="12">
    <w:abstractNumId w:val="29"/>
  </w:num>
  <w:num w:numId="13">
    <w:abstractNumId w:val="14"/>
  </w:num>
  <w:num w:numId="14">
    <w:abstractNumId w:val="20"/>
  </w:num>
  <w:num w:numId="15">
    <w:abstractNumId w:val="17"/>
  </w:num>
  <w:num w:numId="16">
    <w:abstractNumId w:val="24"/>
  </w:num>
  <w:num w:numId="17">
    <w:abstractNumId w:val="5"/>
  </w:num>
  <w:num w:numId="18">
    <w:abstractNumId w:val="30"/>
  </w:num>
  <w:num w:numId="19">
    <w:abstractNumId w:val="8"/>
  </w:num>
  <w:num w:numId="20">
    <w:abstractNumId w:val="18"/>
  </w:num>
  <w:num w:numId="21">
    <w:abstractNumId w:val="23"/>
  </w:num>
  <w:num w:numId="22">
    <w:abstractNumId w:val="2"/>
  </w:num>
  <w:num w:numId="23">
    <w:abstractNumId w:val="22"/>
  </w:num>
  <w:num w:numId="24">
    <w:abstractNumId w:val="4"/>
  </w:num>
  <w:num w:numId="25">
    <w:abstractNumId w:val="0"/>
  </w:num>
  <w:num w:numId="26">
    <w:abstractNumId w:val="10"/>
  </w:num>
  <w:num w:numId="27">
    <w:abstractNumId w:val="13"/>
  </w:num>
  <w:num w:numId="28">
    <w:abstractNumId w:val="9"/>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8"/>
  </w:num>
  <w:num w:numId="36">
    <w:abstractNumId w:val="28"/>
  </w:num>
  <w:num w:numId="37">
    <w:abstractNumId w:val="28"/>
  </w:num>
  <w:num w:numId="38">
    <w:abstractNumId w:val="28"/>
  </w:num>
  <w:num w:numId="39">
    <w:abstractNumId w:val="21"/>
  </w:num>
  <w:num w:numId="40">
    <w:abstractNumId w:val="28"/>
  </w:num>
  <w:num w:numId="41">
    <w:abstractNumId w:val="28"/>
  </w:num>
  <w:num w:numId="42">
    <w:abstractNumId w:val="28"/>
  </w:num>
  <w:num w:numId="43">
    <w:abstractNumId w:val="28"/>
  </w:num>
  <w:num w:numId="44">
    <w:abstractNumId w:val="28"/>
  </w:num>
  <w:num w:numId="45">
    <w:abstractNumId w:val="25"/>
  </w:num>
  <w:num w:numId="46">
    <w:abstractNumId w:val="28"/>
  </w:num>
  <w:num w:numId="47">
    <w:abstractNumId w:val="25"/>
  </w:num>
  <w:num w:numId="48">
    <w:abstractNumId w:val="28"/>
  </w:num>
  <w:num w:numId="49">
    <w:abstractNumId w:val="28"/>
  </w:num>
  <w:num w:numId="50">
    <w:abstractNumId w:val="20"/>
  </w:num>
  <w:num w:numId="51">
    <w:abstractNumId w:val="28"/>
  </w:num>
  <w:num w:numId="52">
    <w:abstractNumId w:val="28"/>
  </w:num>
  <w:num w:numId="53">
    <w:abstractNumId w:val="16"/>
  </w:num>
  <w:num w:numId="54">
    <w:abstractNumId w:val="28"/>
  </w:num>
  <w:num w:numId="5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AU"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17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A6"/>
    <w:rsid w:val="0000064B"/>
    <w:rsid w:val="00000AD9"/>
    <w:rsid w:val="00000CAD"/>
    <w:rsid w:val="00001AB4"/>
    <w:rsid w:val="0000272D"/>
    <w:rsid w:val="00002C0E"/>
    <w:rsid w:val="000034A9"/>
    <w:rsid w:val="0000460F"/>
    <w:rsid w:val="00004C24"/>
    <w:rsid w:val="000062E0"/>
    <w:rsid w:val="00006F7A"/>
    <w:rsid w:val="000070A1"/>
    <w:rsid w:val="00007CAB"/>
    <w:rsid w:val="00007F10"/>
    <w:rsid w:val="000102BD"/>
    <w:rsid w:val="00010570"/>
    <w:rsid w:val="0001066F"/>
    <w:rsid w:val="00010793"/>
    <w:rsid w:val="00010FBC"/>
    <w:rsid w:val="0001195D"/>
    <w:rsid w:val="00012370"/>
    <w:rsid w:val="00012607"/>
    <w:rsid w:val="0001281E"/>
    <w:rsid w:val="000131C9"/>
    <w:rsid w:val="00013222"/>
    <w:rsid w:val="000134E3"/>
    <w:rsid w:val="0001548D"/>
    <w:rsid w:val="00015712"/>
    <w:rsid w:val="00015822"/>
    <w:rsid w:val="00016DE3"/>
    <w:rsid w:val="000170E1"/>
    <w:rsid w:val="0001756B"/>
    <w:rsid w:val="00017D8E"/>
    <w:rsid w:val="000200E3"/>
    <w:rsid w:val="0002095B"/>
    <w:rsid w:val="00022237"/>
    <w:rsid w:val="00022AE1"/>
    <w:rsid w:val="00022AFC"/>
    <w:rsid w:val="00022DC1"/>
    <w:rsid w:val="00023054"/>
    <w:rsid w:val="000230CC"/>
    <w:rsid w:val="00024077"/>
    <w:rsid w:val="00024103"/>
    <w:rsid w:val="00024641"/>
    <w:rsid w:val="00024A75"/>
    <w:rsid w:val="00024CA4"/>
    <w:rsid w:val="000255EE"/>
    <w:rsid w:val="00026536"/>
    <w:rsid w:val="000277D8"/>
    <w:rsid w:val="000300CA"/>
    <w:rsid w:val="000306AB"/>
    <w:rsid w:val="00030D9F"/>
    <w:rsid w:val="000311DF"/>
    <w:rsid w:val="00031667"/>
    <w:rsid w:val="00033235"/>
    <w:rsid w:val="00033CE1"/>
    <w:rsid w:val="00033EFE"/>
    <w:rsid w:val="00034404"/>
    <w:rsid w:val="0003497C"/>
    <w:rsid w:val="00034BF9"/>
    <w:rsid w:val="0003529B"/>
    <w:rsid w:val="00035482"/>
    <w:rsid w:val="00035931"/>
    <w:rsid w:val="000359BA"/>
    <w:rsid w:val="00036121"/>
    <w:rsid w:val="000372D8"/>
    <w:rsid w:val="00040C91"/>
    <w:rsid w:val="00042430"/>
    <w:rsid w:val="000429F1"/>
    <w:rsid w:val="0004441D"/>
    <w:rsid w:val="00044904"/>
    <w:rsid w:val="00044E6D"/>
    <w:rsid w:val="00045807"/>
    <w:rsid w:val="00045903"/>
    <w:rsid w:val="00045972"/>
    <w:rsid w:val="00045A0E"/>
    <w:rsid w:val="00045AFA"/>
    <w:rsid w:val="00045E86"/>
    <w:rsid w:val="0004600D"/>
    <w:rsid w:val="00046073"/>
    <w:rsid w:val="000461C5"/>
    <w:rsid w:val="000461CF"/>
    <w:rsid w:val="00046D06"/>
    <w:rsid w:val="0004758F"/>
    <w:rsid w:val="0005008C"/>
    <w:rsid w:val="000512AD"/>
    <w:rsid w:val="00051A7E"/>
    <w:rsid w:val="00051A82"/>
    <w:rsid w:val="000522EE"/>
    <w:rsid w:val="00052714"/>
    <w:rsid w:val="00052BCD"/>
    <w:rsid w:val="000533A0"/>
    <w:rsid w:val="00054171"/>
    <w:rsid w:val="00054959"/>
    <w:rsid w:val="00054BEF"/>
    <w:rsid w:val="00054C68"/>
    <w:rsid w:val="00054F1A"/>
    <w:rsid w:val="00055DCD"/>
    <w:rsid w:val="00055E01"/>
    <w:rsid w:val="00055EC6"/>
    <w:rsid w:val="0005741F"/>
    <w:rsid w:val="000578D9"/>
    <w:rsid w:val="00057F71"/>
    <w:rsid w:val="000606E0"/>
    <w:rsid w:val="00060788"/>
    <w:rsid w:val="0006184B"/>
    <w:rsid w:val="00061B3E"/>
    <w:rsid w:val="00061EBE"/>
    <w:rsid w:val="00061F31"/>
    <w:rsid w:val="00062018"/>
    <w:rsid w:val="00062067"/>
    <w:rsid w:val="0006287B"/>
    <w:rsid w:val="00062CCE"/>
    <w:rsid w:val="0006442F"/>
    <w:rsid w:val="00064682"/>
    <w:rsid w:val="00064A52"/>
    <w:rsid w:val="00064D04"/>
    <w:rsid w:val="00065413"/>
    <w:rsid w:val="00065C62"/>
    <w:rsid w:val="00065C9E"/>
    <w:rsid w:val="00065CDE"/>
    <w:rsid w:val="00065E4C"/>
    <w:rsid w:val="00065F21"/>
    <w:rsid w:val="00065F4A"/>
    <w:rsid w:val="0006620E"/>
    <w:rsid w:val="0006637C"/>
    <w:rsid w:val="00066461"/>
    <w:rsid w:val="00066E3E"/>
    <w:rsid w:val="00066ECD"/>
    <w:rsid w:val="000676E5"/>
    <w:rsid w:val="000677DE"/>
    <w:rsid w:val="000678D8"/>
    <w:rsid w:val="000703C6"/>
    <w:rsid w:val="0007063B"/>
    <w:rsid w:val="000708AA"/>
    <w:rsid w:val="00070D75"/>
    <w:rsid w:val="00071347"/>
    <w:rsid w:val="00072C98"/>
    <w:rsid w:val="00075D28"/>
    <w:rsid w:val="00080F05"/>
    <w:rsid w:val="00080FF3"/>
    <w:rsid w:val="00081373"/>
    <w:rsid w:val="0008168C"/>
    <w:rsid w:val="00081E18"/>
    <w:rsid w:val="00082660"/>
    <w:rsid w:val="00082868"/>
    <w:rsid w:val="00082C14"/>
    <w:rsid w:val="0008308F"/>
    <w:rsid w:val="00083101"/>
    <w:rsid w:val="00084212"/>
    <w:rsid w:val="000842A3"/>
    <w:rsid w:val="000847FE"/>
    <w:rsid w:val="00084B18"/>
    <w:rsid w:val="0008611E"/>
    <w:rsid w:val="00086133"/>
    <w:rsid w:val="0008627A"/>
    <w:rsid w:val="0008715E"/>
    <w:rsid w:val="00090AA3"/>
    <w:rsid w:val="00090D86"/>
    <w:rsid w:val="00092727"/>
    <w:rsid w:val="00092945"/>
    <w:rsid w:val="00093285"/>
    <w:rsid w:val="00093511"/>
    <w:rsid w:val="00093944"/>
    <w:rsid w:val="00094CDE"/>
    <w:rsid w:val="00096009"/>
    <w:rsid w:val="0009605C"/>
    <w:rsid w:val="0009688E"/>
    <w:rsid w:val="00096BCD"/>
    <w:rsid w:val="000A0DBD"/>
    <w:rsid w:val="000A1F7B"/>
    <w:rsid w:val="000A2078"/>
    <w:rsid w:val="000A2694"/>
    <w:rsid w:val="000A2EF1"/>
    <w:rsid w:val="000A30B8"/>
    <w:rsid w:val="000A3482"/>
    <w:rsid w:val="000A3C16"/>
    <w:rsid w:val="000A3D99"/>
    <w:rsid w:val="000A3E50"/>
    <w:rsid w:val="000A3F4C"/>
    <w:rsid w:val="000A460C"/>
    <w:rsid w:val="000A6AA2"/>
    <w:rsid w:val="000A6FBD"/>
    <w:rsid w:val="000A7333"/>
    <w:rsid w:val="000A7DB5"/>
    <w:rsid w:val="000A7EA5"/>
    <w:rsid w:val="000B0B74"/>
    <w:rsid w:val="000B0EC5"/>
    <w:rsid w:val="000B0FAB"/>
    <w:rsid w:val="000B1410"/>
    <w:rsid w:val="000B1BD1"/>
    <w:rsid w:val="000B2BE3"/>
    <w:rsid w:val="000B2F35"/>
    <w:rsid w:val="000B35EA"/>
    <w:rsid w:val="000B3A5C"/>
    <w:rsid w:val="000B3DDA"/>
    <w:rsid w:val="000B4432"/>
    <w:rsid w:val="000B4ABB"/>
    <w:rsid w:val="000B4CD6"/>
    <w:rsid w:val="000B52FC"/>
    <w:rsid w:val="000B56CD"/>
    <w:rsid w:val="000B5A5A"/>
    <w:rsid w:val="000B627F"/>
    <w:rsid w:val="000B637C"/>
    <w:rsid w:val="000B67A3"/>
    <w:rsid w:val="000B6B69"/>
    <w:rsid w:val="000B7AED"/>
    <w:rsid w:val="000C0142"/>
    <w:rsid w:val="000C0400"/>
    <w:rsid w:val="000C0628"/>
    <w:rsid w:val="000C0FDE"/>
    <w:rsid w:val="000C11CC"/>
    <w:rsid w:val="000C1321"/>
    <w:rsid w:val="000C1443"/>
    <w:rsid w:val="000C1591"/>
    <w:rsid w:val="000C20F7"/>
    <w:rsid w:val="000C21A9"/>
    <w:rsid w:val="000C232C"/>
    <w:rsid w:val="000C278D"/>
    <w:rsid w:val="000C2915"/>
    <w:rsid w:val="000C36D8"/>
    <w:rsid w:val="000C5EE4"/>
    <w:rsid w:val="000C668E"/>
    <w:rsid w:val="000C67DC"/>
    <w:rsid w:val="000C6A40"/>
    <w:rsid w:val="000C6EDA"/>
    <w:rsid w:val="000C6EDD"/>
    <w:rsid w:val="000C7883"/>
    <w:rsid w:val="000C793A"/>
    <w:rsid w:val="000C7A8A"/>
    <w:rsid w:val="000C7EA6"/>
    <w:rsid w:val="000C7F62"/>
    <w:rsid w:val="000D0023"/>
    <w:rsid w:val="000D0A81"/>
    <w:rsid w:val="000D1296"/>
    <w:rsid w:val="000D14F8"/>
    <w:rsid w:val="000D169F"/>
    <w:rsid w:val="000D16D9"/>
    <w:rsid w:val="000D1AB4"/>
    <w:rsid w:val="000D2003"/>
    <w:rsid w:val="000D2259"/>
    <w:rsid w:val="000D39EF"/>
    <w:rsid w:val="000D44C0"/>
    <w:rsid w:val="000D45AF"/>
    <w:rsid w:val="000D4939"/>
    <w:rsid w:val="000D5386"/>
    <w:rsid w:val="000D5C2B"/>
    <w:rsid w:val="000D635D"/>
    <w:rsid w:val="000D635F"/>
    <w:rsid w:val="000D6418"/>
    <w:rsid w:val="000D689F"/>
    <w:rsid w:val="000D6EAD"/>
    <w:rsid w:val="000D7B5D"/>
    <w:rsid w:val="000D7F84"/>
    <w:rsid w:val="000E07CD"/>
    <w:rsid w:val="000E0EEF"/>
    <w:rsid w:val="000E246E"/>
    <w:rsid w:val="000E40A9"/>
    <w:rsid w:val="000E44D5"/>
    <w:rsid w:val="000E50B9"/>
    <w:rsid w:val="000E5E42"/>
    <w:rsid w:val="000E67C9"/>
    <w:rsid w:val="000E6867"/>
    <w:rsid w:val="000E6B0D"/>
    <w:rsid w:val="000E6BFD"/>
    <w:rsid w:val="000E7019"/>
    <w:rsid w:val="000E7725"/>
    <w:rsid w:val="000E7BCA"/>
    <w:rsid w:val="000E7E98"/>
    <w:rsid w:val="000F1585"/>
    <w:rsid w:val="000F243A"/>
    <w:rsid w:val="000F2534"/>
    <w:rsid w:val="000F2F19"/>
    <w:rsid w:val="000F313A"/>
    <w:rsid w:val="000F3652"/>
    <w:rsid w:val="000F4383"/>
    <w:rsid w:val="000F4795"/>
    <w:rsid w:val="000F6A78"/>
    <w:rsid w:val="001003D6"/>
    <w:rsid w:val="0010086D"/>
    <w:rsid w:val="001009BA"/>
    <w:rsid w:val="00100F35"/>
    <w:rsid w:val="00101863"/>
    <w:rsid w:val="0010189C"/>
    <w:rsid w:val="001018A8"/>
    <w:rsid w:val="00102FB0"/>
    <w:rsid w:val="001034DB"/>
    <w:rsid w:val="0010496D"/>
    <w:rsid w:val="00104A1D"/>
    <w:rsid w:val="001059D6"/>
    <w:rsid w:val="00105A03"/>
    <w:rsid w:val="00105BBF"/>
    <w:rsid w:val="00105FC6"/>
    <w:rsid w:val="00107AEB"/>
    <w:rsid w:val="00107F25"/>
    <w:rsid w:val="0011037E"/>
    <w:rsid w:val="00110539"/>
    <w:rsid w:val="0011099E"/>
    <w:rsid w:val="00111338"/>
    <w:rsid w:val="00111951"/>
    <w:rsid w:val="00111BB6"/>
    <w:rsid w:val="0011237F"/>
    <w:rsid w:val="00112F1A"/>
    <w:rsid w:val="00113225"/>
    <w:rsid w:val="00113DA9"/>
    <w:rsid w:val="00113DD9"/>
    <w:rsid w:val="001142C3"/>
    <w:rsid w:val="00114989"/>
    <w:rsid w:val="00114E3A"/>
    <w:rsid w:val="00115D22"/>
    <w:rsid w:val="00115D90"/>
    <w:rsid w:val="00115FF0"/>
    <w:rsid w:val="00116E8C"/>
    <w:rsid w:val="00116FEE"/>
    <w:rsid w:val="001173D5"/>
    <w:rsid w:val="001179EF"/>
    <w:rsid w:val="001204EA"/>
    <w:rsid w:val="00120D2F"/>
    <w:rsid w:val="00120E1F"/>
    <w:rsid w:val="001217CD"/>
    <w:rsid w:val="00122C04"/>
    <w:rsid w:val="00123051"/>
    <w:rsid w:val="001234B9"/>
    <w:rsid w:val="001234FA"/>
    <w:rsid w:val="001241D0"/>
    <w:rsid w:val="001249B3"/>
    <w:rsid w:val="0012523C"/>
    <w:rsid w:val="00125673"/>
    <w:rsid w:val="00125974"/>
    <w:rsid w:val="0012678F"/>
    <w:rsid w:val="00126900"/>
    <w:rsid w:val="0012701F"/>
    <w:rsid w:val="0012752B"/>
    <w:rsid w:val="001277A0"/>
    <w:rsid w:val="001279AE"/>
    <w:rsid w:val="0013055F"/>
    <w:rsid w:val="00130C5A"/>
    <w:rsid w:val="00131321"/>
    <w:rsid w:val="00131B01"/>
    <w:rsid w:val="00131F8D"/>
    <w:rsid w:val="001323D6"/>
    <w:rsid w:val="00133731"/>
    <w:rsid w:val="0013384E"/>
    <w:rsid w:val="00133B1C"/>
    <w:rsid w:val="00134EAC"/>
    <w:rsid w:val="00135050"/>
    <w:rsid w:val="00136399"/>
    <w:rsid w:val="00136520"/>
    <w:rsid w:val="00136E76"/>
    <w:rsid w:val="0013753F"/>
    <w:rsid w:val="00140A20"/>
    <w:rsid w:val="00140B02"/>
    <w:rsid w:val="00140B5B"/>
    <w:rsid w:val="00141411"/>
    <w:rsid w:val="00141EFB"/>
    <w:rsid w:val="0014216D"/>
    <w:rsid w:val="00142813"/>
    <w:rsid w:val="001428C0"/>
    <w:rsid w:val="001437BE"/>
    <w:rsid w:val="0014398D"/>
    <w:rsid w:val="00143B0F"/>
    <w:rsid w:val="00145CA5"/>
    <w:rsid w:val="00145F4F"/>
    <w:rsid w:val="00145FFC"/>
    <w:rsid w:val="001468C6"/>
    <w:rsid w:val="00146C47"/>
    <w:rsid w:val="0014701B"/>
    <w:rsid w:val="001472EC"/>
    <w:rsid w:val="00147542"/>
    <w:rsid w:val="001476C7"/>
    <w:rsid w:val="00147C02"/>
    <w:rsid w:val="00147DB4"/>
    <w:rsid w:val="001509E1"/>
    <w:rsid w:val="0015150F"/>
    <w:rsid w:val="00151C77"/>
    <w:rsid w:val="00151D1E"/>
    <w:rsid w:val="00151E87"/>
    <w:rsid w:val="00151E9B"/>
    <w:rsid w:val="00152635"/>
    <w:rsid w:val="001526A8"/>
    <w:rsid w:val="001528A7"/>
    <w:rsid w:val="00152E7F"/>
    <w:rsid w:val="0015304D"/>
    <w:rsid w:val="0015305D"/>
    <w:rsid w:val="00153A96"/>
    <w:rsid w:val="00154735"/>
    <w:rsid w:val="00154AE3"/>
    <w:rsid w:val="00154FFE"/>
    <w:rsid w:val="00155151"/>
    <w:rsid w:val="001554F5"/>
    <w:rsid w:val="00156300"/>
    <w:rsid w:val="00156913"/>
    <w:rsid w:val="00156BAA"/>
    <w:rsid w:val="001576E1"/>
    <w:rsid w:val="00157764"/>
    <w:rsid w:val="001579DF"/>
    <w:rsid w:val="00157CA1"/>
    <w:rsid w:val="0016052D"/>
    <w:rsid w:val="00160882"/>
    <w:rsid w:val="00160DAE"/>
    <w:rsid w:val="00161B12"/>
    <w:rsid w:val="001640AB"/>
    <w:rsid w:val="00165A49"/>
    <w:rsid w:val="00165B51"/>
    <w:rsid w:val="001667A9"/>
    <w:rsid w:val="00167321"/>
    <w:rsid w:val="00167DB9"/>
    <w:rsid w:val="00167ED0"/>
    <w:rsid w:val="001709D4"/>
    <w:rsid w:val="0017104B"/>
    <w:rsid w:val="00172016"/>
    <w:rsid w:val="00173577"/>
    <w:rsid w:val="00173E55"/>
    <w:rsid w:val="00174A50"/>
    <w:rsid w:val="00174AE5"/>
    <w:rsid w:val="00175FCD"/>
    <w:rsid w:val="00176658"/>
    <w:rsid w:val="00176AA5"/>
    <w:rsid w:val="001770A7"/>
    <w:rsid w:val="0017720E"/>
    <w:rsid w:val="001772CC"/>
    <w:rsid w:val="00177893"/>
    <w:rsid w:val="00177E00"/>
    <w:rsid w:val="001802CD"/>
    <w:rsid w:val="0018065D"/>
    <w:rsid w:val="00180852"/>
    <w:rsid w:val="0018141A"/>
    <w:rsid w:val="001827E5"/>
    <w:rsid w:val="001830E3"/>
    <w:rsid w:val="0018373E"/>
    <w:rsid w:val="001839C0"/>
    <w:rsid w:val="00183C88"/>
    <w:rsid w:val="00184221"/>
    <w:rsid w:val="0018443E"/>
    <w:rsid w:val="00184AC2"/>
    <w:rsid w:val="00184EB4"/>
    <w:rsid w:val="00185104"/>
    <w:rsid w:val="001853A6"/>
    <w:rsid w:val="00185C35"/>
    <w:rsid w:val="00185EC6"/>
    <w:rsid w:val="00186295"/>
    <w:rsid w:val="00186307"/>
    <w:rsid w:val="001863F7"/>
    <w:rsid w:val="00186614"/>
    <w:rsid w:val="00186EBC"/>
    <w:rsid w:val="00190450"/>
    <w:rsid w:val="00190F55"/>
    <w:rsid w:val="001913B7"/>
    <w:rsid w:val="001916C0"/>
    <w:rsid w:val="00191DB6"/>
    <w:rsid w:val="00192406"/>
    <w:rsid w:val="00192EFD"/>
    <w:rsid w:val="00194767"/>
    <w:rsid w:val="001950F2"/>
    <w:rsid w:val="00195873"/>
    <w:rsid w:val="00195DA4"/>
    <w:rsid w:val="0019629B"/>
    <w:rsid w:val="001966A5"/>
    <w:rsid w:val="00196ACB"/>
    <w:rsid w:val="00196B6A"/>
    <w:rsid w:val="00196C64"/>
    <w:rsid w:val="00197D31"/>
    <w:rsid w:val="001A001E"/>
    <w:rsid w:val="001A0085"/>
    <w:rsid w:val="001A0142"/>
    <w:rsid w:val="001A05CE"/>
    <w:rsid w:val="001A1062"/>
    <w:rsid w:val="001A1B33"/>
    <w:rsid w:val="001A20DC"/>
    <w:rsid w:val="001A275E"/>
    <w:rsid w:val="001A2A0C"/>
    <w:rsid w:val="001A3923"/>
    <w:rsid w:val="001A3DC9"/>
    <w:rsid w:val="001A56C0"/>
    <w:rsid w:val="001A6AF2"/>
    <w:rsid w:val="001A6BC4"/>
    <w:rsid w:val="001B00CE"/>
    <w:rsid w:val="001B02DB"/>
    <w:rsid w:val="001B06EE"/>
    <w:rsid w:val="001B0744"/>
    <w:rsid w:val="001B12A9"/>
    <w:rsid w:val="001B1418"/>
    <w:rsid w:val="001B1978"/>
    <w:rsid w:val="001B2429"/>
    <w:rsid w:val="001B314B"/>
    <w:rsid w:val="001B37A3"/>
    <w:rsid w:val="001B3A53"/>
    <w:rsid w:val="001B40A0"/>
    <w:rsid w:val="001B4D42"/>
    <w:rsid w:val="001B5B6B"/>
    <w:rsid w:val="001B5F63"/>
    <w:rsid w:val="001B6146"/>
    <w:rsid w:val="001B6389"/>
    <w:rsid w:val="001B71AF"/>
    <w:rsid w:val="001B742D"/>
    <w:rsid w:val="001B7B69"/>
    <w:rsid w:val="001C04CC"/>
    <w:rsid w:val="001C051E"/>
    <w:rsid w:val="001C06AA"/>
    <w:rsid w:val="001C16C7"/>
    <w:rsid w:val="001C1870"/>
    <w:rsid w:val="001C1ED0"/>
    <w:rsid w:val="001C217F"/>
    <w:rsid w:val="001C2AFA"/>
    <w:rsid w:val="001C2D01"/>
    <w:rsid w:val="001C2ECB"/>
    <w:rsid w:val="001C401C"/>
    <w:rsid w:val="001C40A1"/>
    <w:rsid w:val="001C4366"/>
    <w:rsid w:val="001C44FC"/>
    <w:rsid w:val="001C45E4"/>
    <w:rsid w:val="001C5808"/>
    <w:rsid w:val="001C69D7"/>
    <w:rsid w:val="001C71AB"/>
    <w:rsid w:val="001C7497"/>
    <w:rsid w:val="001C796E"/>
    <w:rsid w:val="001C7A70"/>
    <w:rsid w:val="001C7D1B"/>
    <w:rsid w:val="001D08AD"/>
    <w:rsid w:val="001D0AD6"/>
    <w:rsid w:val="001D2604"/>
    <w:rsid w:val="001D38A0"/>
    <w:rsid w:val="001D464C"/>
    <w:rsid w:val="001D4B47"/>
    <w:rsid w:val="001D55C8"/>
    <w:rsid w:val="001D5D47"/>
    <w:rsid w:val="001D5DE3"/>
    <w:rsid w:val="001D69B9"/>
    <w:rsid w:val="001D6B4C"/>
    <w:rsid w:val="001D72F6"/>
    <w:rsid w:val="001D7560"/>
    <w:rsid w:val="001E02CA"/>
    <w:rsid w:val="001E0994"/>
    <w:rsid w:val="001E0B0D"/>
    <w:rsid w:val="001E1827"/>
    <w:rsid w:val="001E25EC"/>
    <w:rsid w:val="001E265B"/>
    <w:rsid w:val="001E35CB"/>
    <w:rsid w:val="001E42CA"/>
    <w:rsid w:val="001E4E98"/>
    <w:rsid w:val="001E553B"/>
    <w:rsid w:val="001E5896"/>
    <w:rsid w:val="001E5918"/>
    <w:rsid w:val="001E6E1F"/>
    <w:rsid w:val="001E6E30"/>
    <w:rsid w:val="001E7A50"/>
    <w:rsid w:val="001F0668"/>
    <w:rsid w:val="001F073C"/>
    <w:rsid w:val="001F0D0A"/>
    <w:rsid w:val="001F10CE"/>
    <w:rsid w:val="001F1AB7"/>
    <w:rsid w:val="001F2027"/>
    <w:rsid w:val="001F251E"/>
    <w:rsid w:val="001F28D5"/>
    <w:rsid w:val="001F2912"/>
    <w:rsid w:val="001F2BAD"/>
    <w:rsid w:val="001F2EAC"/>
    <w:rsid w:val="001F2F47"/>
    <w:rsid w:val="001F3120"/>
    <w:rsid w:val="001F354B"/>
    <w:rsid w:val="001F4E39"/>
    <w:rsid w:val="001F5AD4"/>
    <w:rsid w:val="001F5C4E"/>
    <w:rsid w:val="001F6753"/>
    <w:rsid w:val="001F6804"/>
    <w:rsid w:val="001F6896"/>
    <w:rsid w:val="001F693D"/>
    <w:rsid w:val="00200296"/>
    <w:rsid w:val="0020038B"/>
    <w:rsid w:val="00200F32"/>
    <w:rsid w:val="0020131E"/>
    <w:rsid w:val="0020132B"/>
    <w:rsid w:val="0020158A"/>
    <w:rsid w:val="00201ADB"/>
    <w:rsid w:val="00201C7B"/>
    <w:rsid w:val="00201EDA"/>
    <w:rsid w:val="00202521"/>
    <w:rsid w:val="00203751"/>
    <w:rsid w:val="002039B1"/>
    <w:rsid w:val="00204B6C"/>
    <w:rsid w:val="00204D5B"/>
    <w:rsid w:val="00205338"/>
    <w:rsid w:val="00205742"/>
    <w:rsid w:val="002058E5"/>
    <w:rsid w:val="00205DE6"/>
    <w:rsid w:val="00205DEE"/>
    <w:rsid w:val="00206B09"/>
    <w:rsid w:val="00206CF0"/>
    <w:rsid w:val="00206D37"/>
    <w:rsid w:val="00206D69"/>
    <w:rsid w:val="00206E41"/>
    <w:rsid w:val="00207466"/>
    <w:rsid w:val="00210001"/>
    <w:rsid w:val="00210084"/>
    <w:rsid w:val="002101C8"/>
    <w:rsid w:val="002105D8"/>
    <w:rsid w:val="0021061F"/>
    <w:rsid w:val="00210FAA"/>
    <w:rsid w:val="002110CF"/>
    <w:rsid w:val="00211340"/>
    <w:rsid w:val="00211C10"/>
    <w:rsid w:val="00211F51"/>
    <w:rsid w:val="0021221E"/>
    <w:rsid w:val="00212F8A"/>
    <w:rsid w:val="002131C0"/>
    <w:rsid w:val="002134D5"/>
    <w:rsid w:val="00214438"/>
    <w:rsid w:val="002147CA"/>
    <w:rsid w:val="00215787"/>
    <w:rsid w:val="00216816"/>
    <w:rsid w:val="00216D6D"/>
    <w:rsid w:val="002205EB"/>
    <w:rsid w:val="00220F36"/>
    <w:rsid w:val="00220FE5"/>
    <w:rsid w:val="0022112C"/>
    <w:rsid w:val="002213DB"/>
    <w:rsid w:val="00221812"/>
    <w:rsid w:val="00221F03"/>
    <w:rsid w:val="0022220D"/>
    <w:rsid w:val="0022242F"/>
    <w:rsid w:val="002234A6"/>
    <w:rsid w:val="00223669"/>
    <w:rsid w:val="002238FB"/>
    <w:rsid w:val="00224A59"/>
    <w:rsid w:val="0022566E"/>
    <w:rsid w:val="00225FCB"/>
    <w:rsid w:val="002262E5"/>
    <w:rsid w:val="002266C7"/>
    <w:rsid w:val="00226D01"/>
    <w:rsid w:val="002274C1"/>
    <w:rsid w:val="00227C4F"/>
    <w:rsid w:val="0023076F"/>
    <w:rsid w:val="002310A8"/>
    <w:rsid w:val="002312C2"/>
    <w:rsid w:val="0023169D"/>
    <w:rsid w:val="00231CB4"/>
    <w:rsid w:val="00232313"/>
    <w:rsid w:val="00232ADD"/>
    <w:rsid w:val="00233296"/>
    <w:rsid w:val="002340AB"/>
    <w:rsid w:val="002343E8"/>
    <w:rsid w:val="0023455A"/>
    <w:rsid w:val="00234879"/>
    <w:rsid w:val="00235609"/>
    <w:rsid w:val="0023582A"/>
    <w:rsid w:val="00235F7B"/>
    <w:rsid w:val="00237A1D"/>
    <w:rsid w:val="0024045D"/>
    <w:rsid w:val="00240AE0"/>
    <w:rsid w:val="00240E09"/>
    <w:rsid w:val="00241242"/>
    <w:rsid w:val="0024136A"/>
    <w:rsid w:val="002418F6"/>
    <w:rsid w:val="002425EA"/>
    <w:rsid w:val="00242EA0"/>
    <w:rsid w:val="00243685"/>
    <w:rsid w:val="0024382B"/>
    <w:rsid w:val="00243879"/>
    <w:rsid w:val="00243F24"/>
    <w:rsid w:val="0024459C"/>
    <w:rsid w:val="00244C7D"/>
    <w:rsid w:val="00244F6C"/>
    <w:rsid w:val="00245511"/>
    <w:rsid w:val="00245AD1"/>
    <w:rsid w:val="00246BDF"/>
    <w:rsid w:val="002470BB"/>
    <w:rsid w:val="00247D85"/>
    <w:rsid w:val="002502D2"/>
    <w:rsid w:val="00251086"/>
    <w:rsid w:val="00251802"/>
    <w:rsid w:val="00251DA0"/>
    <w:rsid w:val="0025203A"/>
    <w:rsid w:val="00252C15"/>
    <w:rsid w:val="002530E7"/>
    <w:rsid w:val="002532B4"/>
    <w:rsid w:val="00253B46"/>
    <w:rsid w:val="0025422F"/>
    <w:rsid w:val="002542D1"/>
    <w:rsid w:val="002543EC"/>
    <w:rsid w:val="0025487C"/>
    <w:rsid w:val="00254EEB"/>
    <w:rsid w:val="002555D9"/>
    <w:rsid w:val="00255C67"/>
    <w:rsid w:val="0025613F"/>
    <w:rsid w:val="00256FFF"/>
    <w:rsid w:val="00257C18"/>
    <w:rsid w:val="00257C43"/>
    <w:rsid w:val="00257D43"/>
    <w:rsid w:val="00257F91"/>
    <w:rsid w:val="00257FBD"/>
    <w:rsid w:val="00260174"/>
    <w:rsid w:val="00260BED"/>
    <w:rsid w:val="00260C4D"/>
    <w:rsid w:val="00261DC6"/>
    <w:rsid w:val="00262C13"/>
    <w:rsid w:val="00263EA0"/>
    <w:rsid w:val="00264623"/>
    <w:rsid w:val="00264773"/>
    <w:rsid w:val="00264D09"/>
    <w:rsid w:val="00264E52"/>
    <w:rsid w:val="00265183"/>
    <w:rsid w:val="00265DF6"/>
    <w:rsid w:val="00266EE3"/>
    <w:rsid w:val="00267AE1"/>
    <w:rsid w:val="00267B57"/>
    <w:rsid w:val="00270A52"/>
    <w:rsid w:val="00270BBC"/>
    <w:rsid w:val="00270C57"/>
    <w:rsid w:val="00270D11"/>
    <w:rsid w:val="00271274"/>
    <w:rsid w:val="00271A15"/>
    <w:rsid w:val="00271B26"/>
    <w:rsid w:val="002724D5"/>
    <w:rsid w:val="002739EC"/>
    <w:rsid w:val="00275217"/>
    <w:rsid w:val="00275369"/>
    <w:rsid w:val="0027575E"/>
    <w:rsid w:val="002757F8"/>
    <w:rsid w:val="002764F6"/>
    <w:rsid w:val="00276C8A"/>
    <w:rsid w:val="00276E9F"/>
    <w:rsid w:val="00277179"/>
    <w:rsid w:val="002779EE"/>
    <w:rsid w:val="00277D40"/>
    <w:rsid w:val="002801F4"/>
    <w:rsid w:val="00280B5B"/>
    <w:rsid w:val="00280D8D"/>
    <w:rsid w:val="00281671"/>
    <w:rsid w:val="00281DCF"/>
    <w:rsid w:val="002829B7"/>
    <w:rsid w:val="00282E4B"/>
    <w:rsid w:val="00283134"/>
    <w:rsid w:val="0028342E"/>
    <w:rsid w:val="002836DF"/>
    <w:rsid w:val="00283899"/>
    <w:rsid w:val="00284049"/>
    <w:rsid w:val="00284751"/>
    <w:rsid w:val="00284B97"/>
    <w:rsid w:val="00284D22"/>
    <w:rsid w:val="0028570D"/>
    <w:rsid w:val="00285716"/>
    <w:rsid w:val="002861AB"/>
    <w:rsid w:val="00286A2C"/>
    <w:rsid w:val="00287596"/>
    <w:rsid w:val="002875E0"/>
    <w:rsid w:val="00287E1E"/>
    <w:rsid w:val="00290537"/>
    <w:rsid w:val="002923DF"/>
    <w:rsid w:val="0029289C"/>
    <w:rsid w:val="002928F4"/>
    <w:rsid w:val="00292DD5"/>
    <w:rsid w:val="002938FE"/>
    <w:rsid w:val="00293B67"/>
    <w:rsid w:val="00293C37"/>
    <w:rsid w:val="00294B08"/>
    <w:rsid w:val="00294CC8"/>
    <w:rsid w:val="00294DBC"/>
    <w:rsid w:val="0029511D"/>
    <w:rsid w:val="00295945"/>
    <w:rsid w:val="00296EB5"/>
    <w:rsid w:val="00297471"/>
    <w:rsid w:val="002974D0"/>
    <w:rsid w:val="00297598"/>
    <w:rsid w:val="002A0089"/>
    <w:rsid w:val="002A035B"/>
    <w:rsid w:val="002A0D57"/>
    <w:rsid w:val="002A1E6D"/>
    <w:rsid w:val="002A1F6F"/>
    <w:rsid w:val="002A1FF3"/>
    <w:rsid w:val="002A391F"/>
    <w:rsid w:val="002A4503"/>
    <w:rsid w:val="002A4759"/>
    <w:rsid w:val="002A5CF9"/>
    <w:rsid w:val="002A70C8"/>
    <w:rsid w:val="002A71A2"/>
    <w:rsid w:val="002A78B9"/>
    <w:rsid w:val="002A7F12"/>
    <w:rsid w:val="002B05B8"/>
    <w:rsid w:val="002B083F"/>
    <w:rsid w:val="002B16A0"/>
    <w:rsid w:val="002B16DC"/>
    <w:rsid w:val="002B19F8"/>
    <w:rsid w:val="002B2239"/>
    <w:rsid w:val="002B24B0"/>
    <w:rsid w:val="002B2680"/>
    <w:rsid w:val="002B33DB"/>
    <w:rsid w:val="002B43F0"/>
    <w:rsid w:val="002B4941"/>
    <w:rsid w:val="002B501B"/>
    <w:rsid w:val="002B5D74"/>
    <w:rsid w:val="002B67CA"/>
    <w:rsid w:val="002B6817"/>
    <w:rsid w:val="002B6C43"/>
    <w:rsid w:val="002B6C93"/>
    <w:rsid w:val="002B712B"/>
    <w:rsid w:val="002B732B"/>
    <w:rsid w:val="002B73E9"/>
    <w:rsid w:val="002B76C9"/>
    <w:rsid w:val="002B7ADB"/>
    <w:rsid w:val="002C0016"/>
    <w:rsid w:val="002C00AD"/>
    <w:rsid w:val="002C00F5"/>
    <w:rsid w:val="002C0630"/>
    <w:rsid w:val="002C0898"/>
    <w:rsid w:val="002C1543"/>
    <w:rsid w:val="002C17C7"/>
    <w:rsid w:val="002C1A20"/>
    <w:rsid w:val="002C1B05"/>
    <w:rsid w:val="002C1D2F"/>
    <w:rsid w:val="002C227D"/>
    <w:rsid w:val="002C27AA"/>
    <w:rsid w:val="002C3C4E"/>
    <w:rsid w:val="002C4187"/>
    <w:rsid w:val="002C5858"/>
    <w:rsid w:val="002C6654"/>
    <w:rsid w:val="002C6D79"/>
    <w:rsid w:val="002C6F12"/>
    <w:rsid w:val="002C7C13"/>
    <w:rsid w:val="002C7C2B"/>
    <w:rsid w:val="002C7D13"/>
    <w:rsid w:val="002D020C"/>
    <w:rsid w:val="002D0339"/>
    <w:rsid w:val="002D0EF2"/>
    <w:rsid w:val="002D1242"/>
    <w:rsid w:val="002D1358"/>
    <w:rsid w:val="002D1AFD"/>
    <w:rsid w:val="002D1E7D"/>
    <w:rsid w:val="002D23E6"/>
    <w:rsid w:val="002D24A4"/>
    <w:rsid w:val="002D24AC"/>
    <w:rsid w:val="002D2FCA"/>
    <w:rsid w:val="002D37DE"/>
    <w:rsid w:val="002D3CE9"/>
    <w:rsid w:val="002D5378"/>
    <w:rsid w:val="002D75C7"/>
    <w:rsid w:val="002D7823"/>
    <w:rsid w:val="002E0345"/>
    <w:rsid w:val="002E0D93"/>
    <w:rsid w:val="002E298A"/>
    <w:rsid w:val="002E2D16"/>
    <w:rsid w:val="002E3137"/>
    <w:rsid w:val="002E31B6"/>
    <w:rsid w:val="002E3537"/>
    <w:rsid w:val="002E36F0"/>
    <w:rsid w:val="002E4293"/>
    <w:rsid w:val="002E4C2D"/>
    <w:rsid w:val="002E50E8"/>
    <w:rsid w:val="002E5285"/>
    <w:rsid w:val="002E5980"/>
    <w:rsid w:val="002E5DEA"/>
    <w:rsid w:val="002E6AD9"/>
    <w:rsid w:val="002E6C6A"/>
    <w:rsid w:val="002E724A"/>
    <w:rsid w:val="002E7734"/>
    <w:rsid w:val="002E7E63"/>
    <w:rsid w:val="002F0155"/>
    <w:rsid w:val="002F078A"/>
    <w:rsid w:val="002F11DC"/>
    <w:rsid w:val="002F1DA1"/>
    <w:rsid w:val="002F26E6"/>
    <w:rsid w:val="002F28BE"/>
    <w:rsid w:val="002F311E"/>
    <w:rsid w:val="002F313A"/>
    <w:rsid w:val="002F345B"/>
    <w:rsid w:val="002F3640"/>
    <w:rsid w:val="002F369E"/>
    <w:rsid w:val="002F4437"/>
    <w:rsid w:val="002F4515"/>
    <w:rsid w:val="002F49FB"/>
    <w:rsid w:val="002F4F08"/>
    <w:rsid w:val="002F5E10"/>
    <w:rsid w:val="002F5FEC"/>
    <w:rsid w:val="002F71B8"/>
    <w:rsid w:val="002F71F4"/>
    <w:rsid w:val="002F7D8E"/>
    <w:rsid w:val="00300256"/>
    <w:rsid w:val="003006A7"/>
    <w:rsid w:val="00300B3C"/>
    <w:rsid w:val="003018A9"/>
    <w:rsid w:val="00301AE1"/>
    <w:rsid w:val="00301EA1"/>
    <w:rsid w:val="00301F26"/>
    <w:rsid w:val="00301F92"/>
    <w:rsid w:val="00302082"/>
    <w:rsid w:val="00302C07"/>
    <w:rsid w:val="00302FCC"/>
    <w:rsid w:val="003032F7"/>
    <w:rsid w:val="003036E8"/>
    <w:rsid w:val="0030376B"/>
    <w:rsid w:val="0030399F"/>
    <w:rsid w:val="0030433E"/>
    <w:rsid w:val="0030453E"/>
    <w:rsid w:val="00304547"/>
    <w:rsid w:val="00305895"/>
    <w:rsid w:val="00305B3B"/>
    <w:rsid w:val="003062AE"/>
    <w:rsid w:val="00306727"/>
    <w:rsid w:val="00306DFC"/>
    <w:rsid w:val="003075FE"/>
    <w:rsid w:val="003100C5"/>
    <w:rsid w:val="0031033B"/>
    <w:rsid w:val="0031085F"/>
    <w:rsid w:val="00310957"/>
    <w:rsid w:val="00310E37"/>
    <w:rsid w:val="00311015"/>
    <w:rsid w:val="00311F20"/>
    <w:rsid w:val="003123C7"/>
    <w:rsid w:val="00312885"/>
    <w:rsid w:val="00312F31"/>
    <w:rsid w:val="00313DAF"/>
    <w:rsid w:val="00313E3D"/>
    <w:rsid w:val="003144F2"/>
    <w:rsid w:val="003146BD"/>
    <w:rsid w:val="0031480D"/>
    <w:rsid w:val="00314BFC"/>
    <w:rsid w:val="00315115"/>
    <w:rsid w:val="00315514"/>
    <w:rsid w:val="003156A0"/>
    <w:rsid w:val="00315C7D"/>
    <w:rsid w:val="00315D5E"/>
    <w:rsid w:val="00315FEF"/>
    <w:rsid w:val="003163E0"/>
    <w:rsid w:val="00316D26"/>
    <w:rsid w:val="00316EA1"/>
    <w:rsid w:val="00317C9D"/>
    <w:rsid w:val="00317E18"/>
    <w:rsid w:val="003205D2"/>
    <w:rsid w:val="003208AE"/>
    <w:rsid w:val="003208DD"/>
    <w:rsid w:val="003208DE"/>
    <w:rsid w:val="00320D6D"/>
    <w:rsid w:val="003218AE"/>
    <w:rsid w:val="00322A21"/>
    <w:rsid w:val="00322A91"/>
    <w:rsid w:val="00323420"/>
    <w:rsid w:val="00323A5B"/>
    <w:rsid w:val="00323CDD"/>
    <w:rsid w:val="00323DA0"/>
    <w:rsid w:val="00324141"/>
    <w:rsid w:val="00324397"/>
    <w:rsid w:val="0032468C"/>
    <w:rsid w:val="00324B79"/>
    <w:rsid w:val="00325130"/>
    <w:rsid w:val="003254F1"/>
    <w:rsid w:val="0032567F"/>
    <w:rsid w:val="0032595D"/>
    <w:rsid w:val="00325B00"/>
    <w:rsid w:val="00325C94"/>
    <w:rsid w:val="00326C86"/>
    <w:rsid w:val="00327E87"/>
    <w:rsid w:val="00327F44"/>
    <w:rsid w:val="00330D8B"/>
    <w:rsid w:val="00331A16"/>
    <w:rsid w:val="00331E46"/>
    <w:rsid w:val="00331F4C"/>
    <w:rsid w:val="003322F5"/>
    <w:rsid w:val="00332F38"/>
    <w:rsid w:val="00333459"/>
    <w:rsid w:val="003336EC"/>
    <w:rsid w:val="00333C84"/>
    <w:rsid w:val="003346EF"/>
    <w:rsid w:val="00334ACF"/>
    <w:rsid w:val="00334FB0"/>
    <w:rsid w:val="003362A8"/>
    <w:rsid w:val="00337141"/>
    <w:rsid w:val="00337669"/>
    <w:rsid w:val="003403D4"/>
    <w:rsid w:val="00340F1D"/>
    <w:rsid w:val="00341A14"/>
    <w:rsid w:val="00342355"/>
    <w:rsid w:val="00342B04"/>
    <w:rsid w:val="003432BD"/>
    <w:rsid w:val="003437A1"/>
    <w:rsid w:val="00343A46"/>
    <w:rsid w:val="00343FEE"/>
    <w:rsid w:val="0034441A"/>
    <w:rsid w:val="00344439"/>
    <w:rsid w:val="003447E7"/>
    <w:rsid w:val="00344A52"/>
    <w:rsid w:val="00345E01"/>
    <w:rsid w:val="00345FDA"/>
    <w:rsid w:val="003470E6"/>
    <w:rsid w:val="00347243"/>
    <w:rsid w:val="00347D71"/>
    <w:rsid w:val="00350344"/>
    <w:rsid w:val="0035045D"/>
    <w:rsid w:val="003507CD"/>
    <w:rsid w:val="0035092E"/>
    <w:rsid w:val="00351381"/>
    <w:rsid w:val="00351BE7"/>
    <w:rsid w:val="003530A6"/>
    <w:rsid w:val="00353627"/>
    <w:rsid w:val="00354017"/>
    <w:rsid w:val="00354261"/>
    <w:rsid w:val="0035468D"/>
    <w:rsid w:val="00354E8F"/>
    <w:rsid w:val="00355773"/>
    <w:rsid w:val="003559E3"/>
    <w:rsid w:val="00355F72"/>
    <w:rsid w:val="00355FD1"/>
    <w:rsid w:val="003560DE"/>
    <w:rsid w:val="00356D97"/>
    <w:rsid w:val="00357657"/>
    <w:rsid w:val="003577AC"/>
    <w:rsid w:val="00357DFC"/>
    <w:rsid w:val="00357E32"/>
    <w:rsid w:val="003603F2"/>
    <w:rsid w:val="003628E2"/>
    <w:rsid w:val="00362F81"/>
    <w:rsid w:val="003639A6"/>
    <w:rsid w:val="003640D9"/>
    <w:rsid w:val="003645D5"/>
    <w:rsid w:val="003648C2"/>
    <w:rsid w:val="00365064"/>
    <w:rsid w:val="00365D08"/>
    <w:rsid w:val="00367155"/>
    <w:rsid w:val="003675E1"/>
    <w:rsid w:val="003676A6"/>
    <w:rsid w:val="003679AE"/>
    <w:rsid w:val="0037021D"/>
    <w:rsid w:val="00370688"/>
    <w:rsid w:val="00370AC2"/>
    <w:rsid w:val="00370CE2"/>
    <w:rsid w:val="003714BA"/>
    <w:rsid w:val="00371AEE"/>
    <w:rsid w:val="00372288"/>
    <w:rsid w:val="00372574"/>
    <w:rsid w:val="003731C1"/>
    <w:rsid w:val="0037425F"/>
    <w:rsid w:val="00374705"/>
    <w:rsid w:val="003747ED"/>
    <w:rsid w:val="00374E7D"/>
    <w:rsid w:val="00375052"/>
    <w:rsid w:val="00376372"/>
    <w:rsid w:val="003774BE"/>
    <w:rsid w:val="003775B5"/>
    <w:rsid w:val="00377679"/>
    <w:rsid w:val="003779F7"/>
    <w:rsid w:val="0038015E"/>
    <w:rsid w:val="00380AF6"/>
    <w:rsid w:val="00380B32"/>
    <w:rsid w:val="003813FB"/>
    <w:rsid w:val="0038169F"/>
    <w:rsid w:val="003820B7"/>
    <w:rsid w:val="00382356"/>
    <w:rsid w:val="0038281C"/>
    <w:rsid w:val="00382943"/>
    <w:rsid w:val="00383186"/>
    <w:rsid w:val="003831B2"/>
    <w:rsid w:val="0038516B"/>
    <w:rsid w:val="00385A64"/>
    <w:rsid w:val="00386D1A"/>
    <w:rsid w:val="00387738"/>
    <w:rsid w:val="0039045D"/>
    <w:rsid w:val="0039137F"/>
    <w:rsid w:val="00391479"/>
    <w:rsid w:val="00391654"/>
    <w:rsid w:val="00391726"/>
    <w:rsid w:val="0039182E"/>
    <w:rsid w:val="0039208B"/>
    <w:rsid w:val="00392DD2"/>
    <w:rsid w:val="00392DF8"/>
    <w:rsid w:val="0039342B"/>
    <w:rsid w:val="003936F7"/>
    <w:rsid w:val="00393AF6"/>
    <w:rsid w:val="00393D8E"/>
    <w:rsid w:val="00394C83"/>
    <w:rsid w:val="00394E89"/>
    <w:rsid w:val="003962F3"/>
    <w:rsid w:val="00396339"/>
    <w:rsid w:val="00396D5D"/>
    <w:rsid w:val="00397170"/>
    <w:rsid w:val="003971AD"/>
    <w:rsid w:val="0039730B"/>
    <w:rsid w:val="00397876"/>
    <w:rsid w:val="003A04B8"/>
    <w:rsid w:val="003A096A"/>
    <w:rsid w:val="003A0EA1"/>
    <w:rsid w:val="003A1D39"/>
    <w:rsid w:val="003A26FD"/>
    <w:rsid w:val="003A29F1"/>
    <w:rsid w:val="003A317F"/>
    <w:rsid w:val="003A3433"/>
    <w:rsid w:val="003A349F"/>
    <w:rsid w:val="003A4292"/>
    <w:rsid w:val="003A43CF"/>
    <w:rsid w:val="003A48C0"/>
    <w:rsid w:val="003A48F8"/>
    <w:rsid w:val="003A4BE8"/>
    <w:rsid w:val="003A537E"/>
    <w:rsid w:val="003A5B91"/>
    <w:rsid w:val="003A60E6"/>
    <w:rsid w:val="003A660F"/>
    <w:rsid w:val="003A693E"/>
    <w:rsid w:val="003A79A4"/>
    <w:rsid w:val="003B00DB"/>
    <w:rsid w:val="003B095E"/>
    <w:rsid w:val="003B0EE4"/>
    <w:rsid w:val="003B1440"/>
    <w:rsid w:val="003B3A47"/>
    <w:rsid w:val="003B3C35"/>
    <w:rsid w:val="003B5873"/>
    <w:rsid w:val="003B58C9"/>
    <w:rsid w:val="003B5A19"/>
    <w:rsid w:val="003B5D40"/>
    <w:rsid w:val="003B5E65"/>
    <w:rsid w:val="003B6774"/>
    <w:rsid w:val="003B706C"/>
    <w:rsid w:val="003B7303"/>
    <w:rsid w:val="003B79AF"/>
    <w:rsid w:val="003C0127"/>
    <w:rsid w:val="003C01AE"/>
    <w:rsid w:val="003C055D"/>
    <w:rsid w:val="003C09D4"/>
    <w:rsid w:val="003C0EAF"/>
    <w:rsid w:val="003C18AA"/>
    <w:rsid w:val="003C194F"/>
    <w:rsid w:val="003C1A9F"/>
    <w:rsid w:val="003C1CC4"/>
    <w:rsid w:val="003C1D66"/>
    <w:rsid w:val="003C23AC"/>
    <w:rsid w:val="003C268A"/>
    <w:rsid w:val="003C34ED"/>
    <w:rsid w:val="003C3B0E"/>
    <w:rsid w:val="003C3DB3"/>
    <w:rsid w:val="003C3EED"/>
    <w:rsid w:val="003C4158"/>
    <w:rsid w:val="003C467F"/>
    <w:rsid w:val="003C4D0F"/>
    <w:rsid w:val="003C544D"/>
    <w:rsid w:val="003C54D2"/>
    <w:rsid w:val="003C5C7A"/>
    <w:rsid w:val="003C5E7B"/>
    <w:rsid w:val="003C619E"/>
    <w:rsid w:val="003C734C"/>
    <w:rsid w:val="003C765E"/>
    <w:rsid w:val="003C777E"/>
    <w:rsid w:val="003C7DE8"/>
    <w:rsid w:val="003D11A9"/>
    <w:rsid w:val="003D1451"/>
    <w:rsid w:val="003D1FB3"/>
    <w:rsid w:val="003D2486"/>
    <w:rsid w:val="003D2A37"/>
    <w:rsid w:val="003D3986"/>
    <w:rsid w:val="003D3CA5"/>
    <w:rsid w:val="003D3E6A"/>
    <w:rsid w:val="003D3EFE"/>
    <w:rsid w:val="003D400F"/>
    <w:rsid w:val="003D482A"/>
    <w:rsid w:val="003D4939"/>
    <w:rsid w:val="003D679B"/>
    <w:rsid w:val="003D69EF"/>
    <w:rsid w:val="003D7A6B"/>
    <w:rsid w:val="003E087D"/>
    <w:rsid w:val="003E0ADE"/>
    <w:rsid w:val="003E0B7C"/>
    <w:rsid w:val="003E0EDB"/>
    <w:rsid w:val="003E2388"/>
    <w:rsid w:val="003E45AE"/>
    <w:rsid w:val="003E5365"/>
    <w:rsid w:val="003E6196"/>
    <w:rsid w:val="003E6475"/>
    <w:rsid w:val="003E6742"/>
    <w:rsid w:val="003E6B42"/>
    <w:rsid w:val="003E740B"/>
    <w:rsid w:val="003F012B"/>
    <w:rsid w:val="003F096C"/>
    <w:rsid w:val="003F105A"/>
    <w:rsid w:val="003F2750"/>
    <w:rsid w:val="003F2CC6"/>
    <w:rsid w:val="003F427E"/>
    <w:rsid w:val="003F554B"/>
    <w:rsid w:val="003F57E6"/>
    <w:rsid w:val="003F60EC"/>
    <w:rsid w:val="003F6199"/>
    <w:rsid w:val="003F6387"/>
    <w:rsid w:val="003F67E5"/>
    <w:rsid w:val="003F6BEF"/>
    <w:rsid w:val="003F6C0E"/>
    <w:rsid w:val="003F6CD6"/>
    <w:rsid w:val="003F6F3A"/>
    <w:rsid w:val="003F70D7"/>
    <w:rsid w:val="003F7A2D"/>
    <w:rsid w:val="003F7B97"/>
    <w:rsid w:val="00401E77"/>
    <w:rsid w:val="004033BF"/>
    <w:rsid w:val="004044F2"/>
    <w:rsid w:val="004049BE"/>
    <w:rsid w:val="00404AAD"/>
    <w:rsid w:val="00404B7C"/>
    <w:rsid w:val="00404C3E"/>
    <w:rsid w:val="00405704"/>
    <w:rsid w:val="004067E0"/>
    <w:rsid w:val="00407137"/>
    <w:rsid w:val="00407472"/>
    <w:rsid w:val="0040781D"/>
    <w:rsid w:val="00410F61"/>
    <w:rsid w:val="004112C2"/>
    <w:rsid w:val="00411E3A"/>
    <w:rsid w:val="00412691"/>
    <w:rsid w:val="004126A6"/>
    <w:rsid w:val="004137A6"/>
    <w:rsid w:val="004139E1"/>
    <w:rsid w:val="00413FE6"/>
    <w:rsid w:val="004146FC"/>
    <w:rsid w:val="00414755"/>
    <w:rsid w:val="0041498A"/>
    <w:rsid w:val="00414FDC"/>
    <w:rsid w:val="004152E6"/>
    <w:rsid w:val="00415702"/>
    <w:rsid w:val="00415864"/>
    <w:rsid w:val="00415CB6"/>
    <w:rsid w:val="004160AB"/>
    <w:rsid w:val="00416479"/>
    <w:rsid w:val="00416644"/>
    <w:rsid w:val="004167CF"/>
    <w:rsid w:val="0041685C"/>
    <w:rsid w:val="0041686F"/>
    <w:rsid w:val="00416894"/>
    <w:rsid w:val="004176F9"/>
    <w:rsid w:val="00417F5F"/>
    <w:rsid w:val="00420540"/>
    <w:rsid w:val="00420F72"/>
    <w:rsid w:val="00421450"/>
    <w:rsid w:val="00421AD7"/>
    <w:rsid w:val="00422390"/>
    <w:rsid w:val="00422518"/>
    <w:rsid w:val="00422564"/>
    <w:rsid w:val="0042269D"/>
    <w:rsid w:val="004226F0"/>
    <w:rsid w:val="004227E2"/>
    <w:rsid w:val="00422BB2"/>
    <w:rsid w:val="00422F23"/>
    <w:rsid w:val="00423F3A"/>
    <w:rsid w:val="00424778"/>
    <w:rsid w:val="0042495A"/>
    <w:rsid w:val="00425029"/>
    <w:rsid w:val="0042528D"/>
    <w:rsid w:val="004256E4"/>
    <w:rsid w:val="00425AE0"/>
    <w:rsid w:val="00426090"/>
    <w:rsid w:val="00426C29"/>
    <w:rsid w:val="00426CF2"/>
    <w:rsid w:val="00427E55"/>
    <w:rsid w:val="004302A2"/>
    <w:rsid w:val="00430711"/>
    <w:rsid w:val="00431635"/>
    <w:rsid w:val="00432473"/>
    <w:rsid w:val="00432C95"/>
    <w:rsid w:val="00432CD2"/>
    <w:rsid w:val="00433934"/>
    <w:rsid w:val="004343B1"/>
    <w:rsid w:val="004348A3"/>
    <w:rsid w:val="00434EC5"/>
    <w:rsid w:val="0043503B"/>
    <w:rsid w:val="00435828"/>
    <w:rsid w:val="0043724F"/>
    <w:rsid w:val="00437A1A"/>
    <w:rsid w:val="00437BB5"/>
    <w:rsid w:val="00437F91"/>
    <w:rsid w:val="004408C3"/>
    <w:rsid w:val="00441CDB"/>
    <w:rsid w:val="00441CE7"/>
    <w:rsid w:val="00441E44"/>
    <w:rsid w:val="004420C5"/>
    <w:rsid w:val="004439AD"/>
    <w:rsid w:val="00443A64"/>
    <w:rsid w:val="00443D67"/>
    <w:rsid w:val="004440EA"/>
    <w:rsid w:val="00444BA4"/>
    <w:rsid w:val="004468CD"/>
    <w:rsid w:val="004471B7"/>
    <w:rsid w:val="00447EED"/>
    <w:rsid w:val="0045029B"/>
    <w:rsid w:val="004503C7"/>
    <w:rsid w:val="004504C1"/>
    <w:rsid w:val="00450B74"/>
    <w:rsid w:val="00451525"/>
    <w:rsid w:val="00451599"/>
    <w:rsid w:val="00452DD8"/>
    <w:rsid w:val="0045389C"/>
    <w:rsid w:val="00453BAE"/>
    <w:rsid w:val="00453D59"/>
    <w:rsid w:val="004548BF"/>
    <w:rsid w:val="004548E9"/>
    <w:rsid w:val="00455696"/>
    <w:rsid w:val="00456242"/>
    <w:rsid w:val="00456F76"/>
    <w:rsid w:val="00457D2E"/>
    <w:rsid w:val="004600B8"/>
    <w:rsid w:val="00460B6A"/>
    <w:rsid w:val="00460DDB"/>
    <w:rsid w:val="004619BB"/>
    <w:rsid w:val="00462B88"/>
    <w:rsid w:val="00463B33"/>
    <w:rsid w:val="00464333"/>
    <w:rsid w:val="0046438F"/>
    <w:rsid w:val="0046491A"/>
    <w:rsid w:val="004655CF"/>
    <w:rsid w:val="00465D3F"/>
    <w:rsid w:val="0046600B"/>
    <w:rsid w:val="0046621E"/>
    <w:rsid w:val="00466575"/>
    <w:rsid w:val="004665CF"/>
    <w:rsid w:val="00467ADC"/>
    <w:rsid w:val="004700BC"/>
    <w:rsid w:val="00470AEC"/>
    <w:rsid w:val="00470C8B"/>
    <w:rsid w:val="00470D46"/>
    <w:rsid w:val="00471F59"/>
    <w:rsid w:val="004723C1"/>
    <w:rsid w:val="00472489"/>
    <w:rsid w:val="00472D4D"/>
    <w:rsid w:val="00473128"/>
    <w:rsid w:val="0047385F"/>
    <w:rsid w:val="00473E75"/>
    <w:rsid w:val="00474465"/>
    <w:rsid w:val="004749F4"/>
    <w:rsid w:val="00474C08"/>
    <w:rsid w:val="004752A7"/>
    <w:rsid w:val="004753AC"/>
    <w:rsid w:val="00476F8C"/>
    <w:rsid w:val="00480876"/>
    <w:rsid w:val="00480A19"/>
    <w:rsid w:val="00481549"/>
    <w:rsid w:val="0048174E"/>
    <w:rsid w:val="00481E2F"/>
    <w:rsid w:val="00482A01"/>
    <w:rsid w:val="00482E8B"/>
    <w:rsid w:val="00482F23"/>
    <w:rsid w:val="0048361D"/>
    <w:rsid w:val="004838BF"/>
    <w:rsid w:val="0048458A"/>
    <w:rsid w:val="00485543"/>
    <w:rsid w:val="00485B35"/>
    <w:rsid w:val="004865A9"/>
    <w:rsid w:val="0048669E"/>
    <w:rsid w:val="00486788"/>
    <w:rsid w:val="004874D1"/>
    <w:rsid w:val="0048761C"/>
    <w:rsid w:val="00487894"/>
    <w:rsid w:val="004908B7"/>
    <w:rsid w:val="00490A71"/>
    <w:rsid w:val="00490DAD"/>
    <w:rsid w:val="004918F7"/>
    <w:rsid w:val="004919DD"/>
    <w:rsid w:val="00492381"/>
    <w:rsid w:val="00492CD8"/>
    <w:rsid w:val="004935EF"/>
    <w:rsid w:val="004937E4"/>
    <w:rsid w:val="00493B40"/>
    <w:rsid w:val="00493FDA"/>
    <w:rsid w:val="00494230"/>
    <w:rsid w:val="0049425A"/>
    <w:rsid w:val="00494355"/>
    <w:rsid w:val="00494B44"/>
    <w:rsid w:val="00494D28"/>
    <w:rsid w:val="00494F7C"/>
    <w:rsid w:val="00495519"/>
    <w:rsid w:val="004956CB"/>
    <w:rsid w:val="00495B6C"/>
    <w:rsid w:val="00497114"/>
    <w:rsid w:val="00497DBB"/>
    <w:rsid w:val="004A0B6B"/>
    <w:rsid w:val="004A0C6D"/>
    <w:rsid w:val="004A147D"/>
    <w:rsid w:val="004A2926"/>
    <w:rsid w:val="004A2CF5"/>
    <w:rsid w:val="004A2DF5"/>
    <w:rsid w:val="004A38B9"/>
    <w:rsid w:val="004A4197"/>
    <w:rsid w:val="004A4EF3"/>
    <w:rsid w:val="004A5746"/>
    <w:rsid w:val="004A6105"/>
    <w:rsid w:val="004A6E78"/>
    <w:rsid w:val="004A7A66"/>
    <w:rsid w:val="004B088E"/>
    <w:rsid w:val="004B0FD3"/>
    <w:rsid w:val="004B10A4"/>
    <w:rsid w:val="004B1C23"/>
    <w:rsid w:val="004B20F7"/>
    <w:rsid w:val="004B2450"/>
    <w:rsid w:val="004B3C00"/>
    <w:rsid w:val="004B5491"/>
    <w:rsid w:val="004B56D4"/>
    <w:rsid w:val="004B66A2"/>
    <w:rsid w:val="004B6791"/>
    <w:rsid w:val="004B7394"/>
    <w:rsid w:val="004B7D80"/>
    <w:rsid w:val="004C0705"/>
    <w:rsid w:val="004C0BB3"/>
    <w:rsid w:val="004C0E15"/>
    <w:rsid w:val="004C1322"/>
    <w:rsid w:val="004C1C08"/>
    <w:rsid w:val="004C1D0C"/>
    <w:rsid w:val="004C2FF3"/>
    <w:rsid w:val="004C314A"/>
    <w:rsid w:val="004C3B63"/>
    <w:rsid w:val="004C445C"/>
    <w:rsid w:val="004C5427"/>
    <w:rsid w:val="004C5BAB"/>
    <w:rsid w:val="004C5F62"/>
    <w:rsid w:val="004C61F2"/>
    <w:rsid w:val="004C69A7"/>
    <w:rsid w:val="004C6B3D"/>
    <w:rsid w:val="004C7705"/>
    <w:rsid w:val="004D1006"/>
    <w:rsid w:val="004D1368"/>
    <w:rsid w:val="004D222D"/>
    <w:rsid w:val="004D242D"/>
    <w:rsid w:val="004D27A3"/>
    <w:rsid w:val="004D2D24"/>
    <w:rsid w:val="004D3031"/>
    <w:rsid w:val="004D38E7"/>
    <w:rsid w:val="004D45DF"/>
    <w:rsid w:val="004D5466"/>
    <w:rsid w:val="004D58AC"/>
    <w:rsid w:val="004D5E1D"/>
    <w:rsid w:val="004D601A"/>
    <w:rsid w:val="004D6068"/>
    <w:rsid w:val="004D718E"/>
    <w:rsid w:val="004D79E1"/>
    <w:rsid w:val="004D7F30"/>
    <w:rsid w:val="004E0C0B"/>
    <w:rsid w:val="004E11CF"/>
    <w:rsid w:val="004E1D1C"/>
    <w:rsid w:val="004E2125"/>
    <w:rsid w:val="004E346E"/>
    <w:rsid w:val="004E586C"/>
    <w:rsid w:val="004E5DAC"/>
    <w:rsid w:val="004E5F8F"/>
    <w:rsid w:val="004E6CFF"/>
    <w:rsid w:val="004E6D75"/>
    <w:rsid w:val="004E7AD4"/>
    <w:rsid w:val="004F0B44"/>
    <w:rsid w:val="004F0D15"/>
    <w:rsid w:val="004F0E2D"/>
    <w:rsid w:val="004F1030"/>
    <w:rsid w:val="004F1802"/>
    <w:rsid w:val="004F2605"/>
    <w:rsid w:val="004F2C31"/>
    <w:rsid w:val="004F3688"/>
    <w:rsid w:val="004F3AAE"/>
    <w:rsid w:val="004F3B64"/>
    <w:rsid w:val="004F4987"/>
    <w:rsid w:val="004F4BDE"/>
    <w:rsid w:val="004F4D63"/>
    <w:rsid w:val="004F60FC"/>
    <w:rsid w:val="004F68B2"/>
    <w:rsid w:val="004F6A58"/>
    <w:rsid w:val="004F6E4A"/>
    <w:rsid w:val="004F72AE"/>
    <w:rsid w:val="004F7C5D"/>
    <w:rsid w:val="004F7CAC"/>
    <w:rsid w:val="00500497"/>
    <w:rsid w:val="0050119B"/>
    <w:rsid w:val="0050175A"/>
    <w:rsid w:val="00501DF8"/>
    <w:rsid w:val="005030E8"/>
    <w:rsid w:val="00503E77"/>
    <w:rsid w:val="00504561"/>
    <w:rsid w:val="00504BE6"/>
    <w:rsid w:val="00504DA3"/>
    <w:rsid w:val="0050545C"/>
    <w:rsid w:val="00505EE8"/>
    <w:rsid w:val="00506B84"/>
    <w:rsid w:val="00506FBA"/>
    <w:rsid w:val="005078DD"/>
    <w:rsid w:val="00510630"/>
    <w:rsid w:val="00510B33"/>
    <w:rsid w:val="00510BD7"/>
    <w:rsid w:val="00511320"/>
    <w:rsid w:val="00511860"/>
    <w:rsid w:val="005119C9"/>
    <w:rsid w:val="005132E1"/>
    <w:rsid w:val="00513692"/>
    <w:rsid w:val="00513DE8"/>
    <w:rsid w:val="005140A9"/>
    <w:rsid w:val="005143F9"/>
    <w:rsid w:val="0051470B"/>
    <w:rsid w:val="00514E56"/>
    <w:rsid w:val="0051534D"/>
    <w:rsid w:val="005164D2"/>
    <w:rsid w:val="00516566"/>
    <w:rsid w:val="00517B5F"/>
    <w:rsid w:val="00517F70"/>
    <w:rsid w:val="0052005C"/>
    <w:rsid w:val="00520713"/>
    <w:rsid w:val="0052151B"/>
    <w:rsid w:val="005218C3"/>
    <w:rsid w:val="00521F55"/>
    <w:rsid w:val="00522304"/>
    <w:rsid w:val="00522FAF"/>
    <w:rsid w:val="00523429"/>
    <w:rsid w:val="0052386D"/>
    <w:rsid w:val="00523FA1"/>
    <w:rsid w:val="0052439B"/>
    <w:rsid w:val="0052566A"/>
    <w:rsid w:val="00525866"/>
    <w:rsid w:val="00525A89"/>
    <w:rsid w:val="00526BEC"/>
    <w:rsid w:val="0052758B"/>
    <w:rsid w:val="005300CD"/>
    <w:rsid w:val="0053049B"/>
    <w:rsid w:val="00530C84"/>
    <w:rsid w:val="0053189E"/>
    <w:rsid w:val="00531C11"/>
    <w:rsid w:val="00531F24"/>
    <w:rsid w:val="00531F75"/>
    <w:rsid w:val="0053211C"/>
    <w:rsid w:val="00532563"/>
    <w:rsid w:val="00532764"/>
    <w:rsid w:val="00532D60"/>
    <w:rsid w:val="0053350B"/>
    <w:rsid w:val="005335D8"/>
    <w:rsid w:val="0053370B"/>
    <w:rsid w:val="0053496A"/>
    <w:rsid w:val="00534F07"/>
    <w:rsid w:val="00535A10"/>
    <w:rsid w:val="00535C74"/>
    <w:rsid w:val="005361AB"/>
    <w:rsid w:val="005362D2"/>
    <w:rsid w:val="005363A1"/>
    <w:rsid w:val="00536912"/>
    <w:rsid w:val="005416CF"/>
    <w:rsid w:val="00541D43"/>
    <w:rsid w:val="00542068"/>
    <w:rsid w:val="0054214D"/>
    <w:rsid w:val="00542DC0"/>
    <w:rsid w:val="00543431"/>
    <w:rsid w:val="005439E5"/>
    <w:rsid w:val="00543AF9"/>
    <w:rsid w:val="00543E39"/>
    <w:rsid w:val="00544C74"/>
    <w:rsid w:val="00544DE1"/>
    <w:rsid w:val="00545978"/>
    <w:rsid w:val="0054598F"/>
    <w:rsid w:val="00545E69"/>
    <w:rsid w:val="00546701"/>
    <w:rsid w:val="00546A13"/>
    <w:rsid w:val="00547252"/>
    <w:rsid w:val="00547DB9"/>
    <w:rsid w:val="00547FC0"/>
    <w:rsid w:val="0055010C"/>
    <w:rsid w:val="0055110F"/>
    <w:rsid w:val="00551A51"/>
    <w:rsid w:val="00551DCF"/>
    <w:rsid w:val="005526EC"/>
    <w:rsid w:val="00552C63"/>
    <w:rsid w:val="00552C9C"/>
    <w:rsid w:val="0055323C"/>
    <w:rsid w:val="005535A0"/>
    <w:rsid w:val="00553CC8"/>
    <w:rsid w:val="0055424C"/>
    <w:rsid w:val="0055474D"/>
    <w:rsid w:val="00554E1B"/>
    <w:rsid w:val="0055532F"/>
    <w:rsid w:val="005558A9"/>
    <w:rsid w:val="0055633E"/>
    <w:rsid w:val="00556A5E"/>
    <w:rsid w:val="00556EBA"/>
    <w:rsid w:val="005574A9"/>
    <w:rsid w:val="00557628"/>
    <w:rsid w:val="0055780A"/>
    <w:rsid w:val="00557DD1"/>
    <w:rsid w:val="005602FE"/>
    <w:rsid w:val="005605A2"/>
    <w:rsid w:val="00560B4A"/>
    <w:rsid w:val="00560BC3"/>
    <w:rsid w:val="005617DF"/>
    <w:rsid w:val="00561D24"/>
    <w:rsid w:val="00562B7C"/>
    <w:rsid w:val="00563B64"/>
    <w:rsid w:val="0056429D"/>
    <w:rsid w:val="005643D7"/>
    <w:rsid w:val="00564F67"/>
    <w:rsid w:val="005664A7"/>
    <w:rsid w:val="00566926"/>
    <w:rsid w:val="00570CE1"/>
    <w:rsid w:val="005726FC"/>
    <w:rsid w:val="0057324A"/>
    <w:rsid w:val="005738A6"/>
    <w:rsid w:val="00573D99"/>
    <w:rsid w:val="00574904"/>
    <w:rsid w:val="00575488"/>
    <w:rsid w:val="00575BEC"/>
    <w:rsid w:val="00576714"/>
    <w:rsid w:val="00576ADE"/>
    <w:rsid w:val="00577726"/>
    <w:rsid w:val="00577CFD"/>
    <w:rsid w:val="00577DEF"/>
    <w:rsid w:val="00581B91"/>
    <w:rsid w:val="00581FED"/>
    <w:rsid w:val="00582D10"/>
    <w:rsid w:val="00583297"/>
    <w:rsid w:val="00583375"/>
    <w:rsid w:val="00583544"/>
    <w:rsid w:val="0058384A"/>
    <w:rsid w:val="00586B54"/>
    <w:rsid w:val="0058753A"/>
    <w:rsid w:val="005904A1"/>
    <w:rsid w:val="0059065B"/>
    <w:rsid w:val="00590663"/>
    <w:rsid w:val="00590753"/>
    <w:rsid w:val="00590A47"/>
    <w:rsid w:val="00590FAF"/>
    <w:rsid w:val="005923EC"/>
    <w:rsid w:val="005924C9"/>
    <w:rsid w:val="005925A2"/>
    <w:rsid w:val="005927DE"/>
    <w:rsid w:val="00592A72"/>
    <w:rsid w:val="00592FC3"/>
    <w:rsid w:val="005933F1"/>
    <w:rsid w:val="00593A80"/>
    <w:rsid w:val="005944D3"/>
    <w:rsid w:val="00595A97"/>
    <w:rsid w:val="00595AB5"/>
    <w:rsid w:val="00595C7C"/>
    <w:rsid w:val="00595CDA"/>
    <w:rsid w:val="00595EC8"/>
    <w:rsid w:val="00596DED"/>
    <w:rsid w:val="00597271"/>
    <w:rsid w:val="0059747A"/>
    <w:rsid w:val="00597972"/>
    <w:rsid w:val="00597FAB"/>
    <w:rsid w:val="005A05EC"/>
    <w:rsid w:val="005A20B7"/>
    <w:rsid w:val="005A310D"/>
    <w:rsid w:val="005A3281"/>
    <w:rsid w:val="005A4C43"/>
    <w:rsid w:val="005A4DA7"/>
    <w:rsid w:val="005A5843"/>
    <w:rsid w:val="005A61D3"/>
    <w:rsid w:val="005A63EA"/>
    <w:rsid w:val="005A6FB4"/>
    <w:rsid w:val="005A70DD"/>
    <w:rsid w:val="005A7C3A"/>
    <w:rsid w:val="005B0A6E"/>
    <w:rsid w:val="005B104C"/>
    <w:rsid w:val="005B22D1"/>
    <w:rsid w:val="005B5C30"/>
    <w:rsid w:val="005B5DED"/>
    <w:rsid w:val="005B61EA"/>
    <w:rsid w:val="005B703A"/>
    <w:rsid w:val="005B7B12"/>
    <w:rsid w:val="005C0CB8"/>
    <w:rsid w:val="005C1CAD"/>
    <w:rsid w:val="005C2085"/>
    <w:rsid w:val="005C26F9"/>
    <w:rsid w:val="005C35CB"/>
    <w:rsid w:val="005C3A10"/>
    <w:rsid w:val="005C3C59"/>
    <w:rsid w:val="005C407E"/>
    <w:rsid w:val="005C4092"/>
    <w:rsid w:val="005C446F"/>
    <w:rsid w:val="005C4EF2"/>
    <w:rsid w:val="005C50D3"/>
    <w:rsid w:val="005C586F"/>
    <w:rsid w:val="005C696F"/>
    <w:rsid w:val="005C6A66"/>
    <w:rsid w:val="005C6C3D"/>
    <w:rsid w:val="005C6F88"/>
    <w:rsid w:val="005C7372"/>
    <w:rsid w:val="005C7732"/>
    <w:rsid w:val="005C793C"/>
    <w:rsid w:val="005D0BC0"/>
    <w:rsid w:val="005D0C16"/>
    <w:rsid w:val="005D24CB"/>
    <w:rsid w:val="005D2758"/>
    <w:rsid w:val="005D32D6"/>
    <w:rsid w:val="005D367F"/>
    <w:rsid w:val="005D50E9"/>
    <w:rsid w:val="005D5BA1"/>
    <w:rsid w:val="005D697E"/>
    <w:rsid w:val="005E055E"/>
    <w:rsid w:val="005E1086"/>
    <w:rsid w:val="005E18D0"/>
    <w:rsid w:val="005E1E5B"/>
    <w:rsid w:val="005E2518"/>
    <w:rsid w:val="005E284D"/>
    <w:rsid w:val="005E3983"/>
    <w:rsid w:val="005E41A4"/>
    <w:rsid w:val="005E49B2"/>
    <w:rsid w:val="005E588D"/>
    <w:rsid w:val="005E6358"/>
    <w:rsid w:val="005E663B"/>
    <w:rsid w:val="005E6CCA"/>
    <w:rsid w:val="005F022D"/>
    <w:rsid w:val="005F082D"/>
    <w:rsid w:val="005F0AE8"/>
    <w:rsid w:val="005F0BB6"/>
    <w:rsid w:val="005F0D85"/>
    <w:rsid w:val="005F1209"/>
    <w:rsid w:val="005F1369"/>
    <w:rsid w:val="005F15C1"/>
    <w:rsid w:val="005F1FD6"/>
    <w:rsid w:val="005F244F"/>
    <w:rsid w:val="005F2515"/>
    <w:rsid w:val="005F2A6B"/>
    <w:rsid w:val="005F2A8A"/>
    <w:rsid w:val="005F2AD4"/>
    <w:rsid w:val="005F3366"/>
    <w:rsid w:val="005F38C0"/>
    <w:rsid w:val="005F40C1"/>
    <w:rsid w:val="005F437C"/>
    <w:rsid w:val="005F44B4"/>
    <w:rsid w:val="005F50B1"/>
    <w:rsid w:val="005F5F97"/>
    <w:rsid w:val="005F6782"/>
    <w:rsid w:val="005F6DFF"/>
    <w:rsid w:val="005F75EC"/>
    <w:rsid w:val="005F7617"/>
    <w:rsid w:val="005F79CB"/>
    <w:rsid w:val="00600294"/>
    <w:rsid w:val="006003B0"/>
    <w:rsid w:val="00600A39"/>
    <w:rsid w:val="00601040"/>
    <w:rsid w:val="00601243"/>
    <w:rsid w:val="00601F91"/>
    <w:rsid w:val="006024D3"/>
    <w:rsid w:val="0060293B"/>
    <w:rsid w:val="00602F2F"/>
    <w:rsid w:val="00602FC1"/>
    <w:rsid w:val="006051E8"/>
    <w:rsid w:val="0060593F"/>
    <w:rsid w:val="00605962"/>
    <w:rsid w:val="00606EF9"/>
    <w:rsid w:val="0060706A"/>
    <w:rsid w:val="00607758"/>
    <w:rsid w:val="00607AF2"/>
    <w:rsid w:val="00610411"/>
    <w:rsid w:val="00610582"/>
    <w:rsid w:val="00610674"/>
    <w:rsid w:val="00610D5E"/>
    <w:rsid w:val="006110E8"/>
    <w:rsid w:val="00611138"/>
    <w:rsid w:val="006112E3"/>
    <w:rsid w:val="0061292D"/>
    <w:rsid w:val="00613467"/>
    <w:rsid w:val="006137CE"/>
    <w:rsid w:val="00613A2E"/>
    <w:rsid w:val="006169F7"/>
    <w:rsid w:val="00616C56"/>
    <w:rsid w:val="0061733D"/>
    <w:rsid w:val="0062027A"/>
    <w:rsid w:val="0062097D"/>
    <w:rsid w:val="006209BD"/>
    <w:rsid w:val="006226B4"/>
    <w:rsid w:val="006228FA"/>
    <w:rsid w:val="00622C6F"/>
    <w:rsid w:val="00623092"/>
    <w:rsid w:val="00623454"/>
    <w:rsid w:val="0062398E"/>
    <w:rsid w:val="00624315"/>
    <w:rsid w:val="006245AB"/>
    <w:rsid w:val="00624778"/>
    <w:rsid w:val="00624C1E"/>
    <w:rsid w:val="00624CA9"/>
    <w:rsid w:val="00624FDA"/>
    <w:rsid w:val="0062545B"/>
    <w:rsid w:val="0062552A"/>
    <w:rsid w:val="00625B0E"/>
    <w:rsid w:val="00625CE0"/>
    <w:rsid w:val="0062628B"/>
    <w:rsid w:val="00626B8A"/>
    <w:rsid w:val="0062726F"/>
    <w:rsid w:val="00627CBD"/>
    <w:rsid w:val="00630496"/>
    <w:rsid w:val="0063224D"/>
    <w:rsid w:val="00632FC2"/>
    <w:rsid w:val="006332BE"/>
    <w:rsid w:val="006339D0"/>
    <w:rsid w:val="0063492F"/>
    <w:rsid w:val="00634F8B"/>
    <w:rsid w:val="006362A6"/>
    <w:rsid w:val="00636C8E"/>
    <w:rsid w:val="00637B56"/>
    <w:rsid w:val="00637C5B"/>
    <w:rsid w:val="00637EF3"/>
    <w:rsid w:val="006408C3"/>
    <w:rsid w:val="00640E3F"/>
    <w:rsid w:val="00640E65"/>
    <w:rsid w:val="006419DC"/>
    <w:rsid w:val="00641F9D"/>
    <w:rsid w:val="0064235C"/>
    <w:rsid w:val="006425A2"/>
    <w:rsid w:val="006427E9"/>
    <w:rsid w:val="0064290C"/>
    <w:rsid w:val="00642BF2"/>
    <w:rsid w:val="00642E3D"/>
    <w:rsid w:val="00643430"/>
    <w:rsid w:val="0064344A"/>
    <w:rsid w:val="006436B7"/>
    <w:rsid w:val="006448C0"/>
    <w:rsid w:val="00644B1E"/>
    <w:rsid w:val="00645AB3"/>
    <w:rsid w:val="00645BCC"/>
    <w:rsid w:val="00645C65"/>
    <w:rsid w:val="00645E1D"/>
    <w:rsid w:val="006461F9"/>
    <w:rsid w:val="0064620D"/>
    <w:rsid w:val="006468C9"/>
    <w:rsid w:val="00646AB7"/>
    <w:rsid w:val="0064719A"/>
    <w:rsid w:val="0064721A"/>
    <w:rsid w:val="0064764F"/>
    <w:rsid w:val="00647A19"/>
    <w:rsid w:val="00647E86"/>
    <w:rsid w:val="006500FE"/>
    <w:rsid w:val="00650329"/>
    <w:rsid w:val="0065050D"/>
    <w:rsid w:val="0065160B"/>
    <w:rsid w:val="00651B09"/>
    <w:rsid w:val="00651BCD"/>
    <w:rsid w:val="00651C7E"/>
    <w:rsid w:val="0065210F"/>
    <w:rsid w:val="0065226B"/>
    <w:rsid w:val="0065284B"/>
    <w:rsid w:val="00655158"/>
    <w:rsid w:val="006558AF"/>
    <w:rsid w:val="00655AE8"/>
    <w:rsid w:val="00655C76"/>
    <w:rsid w:val="00655F9C"/>
    <w:rsid w:val="00656A27"/>
    <w:rsid w:val="00656D7B"/>
    <w:rsid w:val="0065726F"/>
    <w:rsid w:val="00657754"/>
    <w:rsid w:val="00657C49"/>
    <w:rsid w:val="00657CB6"/>
    <w:rsid w:val="00657DCB"/>
    <w:rsid w:val="0066006D"/>
    <w:rsid w:val="0066058E"/>
    <w:rsid w:val="00660A50"/>
    <w:rsid w:val="00660B18"/>
    <w:rsid w:val="006618AA"/>
    <w:rsid w:val="006626C6"/>
    <w:rsid w:val="00662932"/>
    <w:rsid w:val="00662C1B"/>
    <w:rsid w:val="00662DFF"/>
    <w:rsid w:val="00663120"/>
    <w:rsid w:val="0066359D"/>
    <w:rsid w:val="006638E8"/>
    <w:rsid w:val="00663BC4"/>
    <w:rsid w:val="00663EA5"/>
    <w:rsid w:val="00664063"/>
    <w:rsid w:val="00664356"/>
    <w:rsid w:val="00664947"/>
    <w:rsid w:val="00664C6C"/>
    <w:rsid w:val="00665FC6"/>
    <w:rsid w:val="00666628"/>
    <w:rsid w:val="006667D8"/>
    <w:rsid w:val="00666F2F"/>
    <w:rsid w:val="00667104"/>
    <w:rsid w:val="006673C4"/>
    <w:rsid w:val="00667C17"/>
    <w:rsid w:val="00667CBF"/>
    <w:rsid w:val="00667E71"/>
    <w:rsid w:val="00670B19"/>
    <w:rsid w:val="006714A6"/>
    <w:rsid w:val="006719D8"/>
    <w:rsid w:val="00671A3B"/>
    <w:rsid w:val="00671E82"/>
    <w:rsid w:val="00672120"/>
    <w:rsid w:val="00672456"/>
    <w:rsid w:val="00672B79"/>
    <w:rsid w:val="0067324E"/>
    <w:rsid w:val="0067327D"/>
    <w:rsid w:val="00673352"/>
    <w:rsid w:val="00673843"/>
    <w:rsid w:val="006741CB"/>
    <w:rsid w:val="00674DC8"/>
    <w:rsid w:val="006752C9"/>
    <w:rsid w:val="0067560A"/>
    <w:rsid w:val="00675634"/>
    <w:rsid w:val="006758C4"/>
    <w:rsid w:val="00675C31"/>
    <w:rsid w:val="0067703A"/>
    <w:rsid w:val="006770D5"/>
    <w:rsid w:val="00677527"/>
    <w:rsid w:val="00677B1C"/>
    <w:rsid w:val="00677EBE"/>
    <w:rsid w:val="0068030F"/>
    <w:rsid w:val="0068084F"/>
    <w:rsid w:val="00681419"/>
    <w:rsid w:val="00681836"/>
    <w:rsid w:val="00681C5B"/>
    <w:rsid w:val="006822B0"/>
    <w:rsid w:val="00682501"/>
    <w:rsid w:val="00682A78"/>
    <w:rsid w:val="0068368C"/>
    <w:rsid w:val="00683F93"/>
    <w:rsid w:val="0068446B"/>
    <w:rsid w:val="0068464C"/>
    <w:rsid w:val="006857C8"/>
    <w:rsid w:val="006859DC"/>
    <w:rsid w:val="0068650C"/>
    <w:rsid w:val="006866DF"/>
    <w:rsid w:val="00686A71"/>
    <w:rsid w:val="0069036F"/>
    <w:rsid w:val="00690C57"/>
    <w:rsid w:val="006910E6"/>
    <w:rsid w:val="0069123E"/>
    <w:rsid w:val="00691913"/>
    <w:rsid w:val="00693399"/>
    <w:rsid w:val="0069459C"/>
    <w:rsid w:val="00694995"/>
    <w:rsid w:val="00694C3B"/>
    <w:rsid w:val="0069689D"/>
    <w:rsid w:val="00696F9E"/>
    <w:rsid w:val="006A0C89"/>
    <w:rsid w:val="006A0DE1"/>
    <w:rsid w:val="006A138B"/>
    <w:rsid w:val="006A13C4"/>
    <w:rsid w:val="006A1569"/>
    <w:rsid w:val="006A15B9"/>
    <w:rsid w:val="006A1844"/>
    <w:rsid w:val="006A264C"/>
    <w:rsid w:val="006A2B9A"/>
    <w:rsid w:val="006A3502"/>
    <w:rsid w:val="006A42DC"/>
    <w:rsid w:val="006A49EA"/>
    <w:rsid w:val="006A532A"/>
    <w:rsid w:val="006A58AE"/>
    <w:rsid w:val="006A64E7"/>
    <w:rsid w:val="006A7EF0"/>
    <w:rsid w:val="006B0480"/>
    <w:rsid w:val="006B140A"/>
    <w:rsid w:val="006B2AC0"/>
    <w:rsid w:val="006B5BE4"/>
    <w:rsid w:val="006B5CFA"/>
    <w:rsid w:val="006B5D29"/>
    <w:rsid w:val="006B6044"/>
    <w:rsid w:val="006B6CA1"/>
    <w:rsid w:val="006B6DE4"/>
    <w:rsid w:val="006B6FDA"/>
    <w:rsid w:val="006B7977"/>
    <w:rsid w:val="006B7ADC"/>
    <w:rsid w:val="006C014A"/>
    <w:rsid w:val="006C0974"/>
    <w:rsid w:val="006C0E15"/>
    <w:rsid w:val="006C1135"/>
    <w:rsid w:val="006C15EA"/>
    <w:rsid w:val="006C1BEB"/>
    <w:rsid w:val="006C1CE7"/>
    <w:rsid w:val="006C1CFF"/>
    <w:rsid w:val="006C2205"/>
    <w:rsid w:val="006C232C"/>
    <w:rsid w:val="006C2465"/>
    <w:rsid w:val="006C26B4"/>
    <w:rsid w:val="006C28B0"/>
    <w:rsid w:val="006C2B49"/>
    <w:rsid w:val="006C2ED8"/>
    <w:rsid w:val="006C2F57"/>
    <w:rsid w:val="006C30F0"/>
    <w:rsid w:val="006C3D62"/>
    <w:rsid w:val="006C3E2F"/>
    <w:rsid w:val="006C4906"/>
    <w:rsid w:val="006C5980"/>
    <w:rsid w:val="006C606E"/>
    <w:rsid w:val="006C6440"/>
    <w:rsid w:val="006C6453"/>
    <w:rsid w:val="006C6A07"/>
    <w:rsid w:val="006C6AA6"/>
    <w:rsid w:val="006C7429"/>
    <w:rsid w:val="006C7667"/>
    <w:rsid w:val="006D031B"/>
    <w:rsid w:val="006D03BF"/>
    <w:rsid w:val="006D126E"/>
    <w:rsid w:val="006D139A"/>
    <w:rsid w:val="006D3271"/>
    <w:rsid w:val="006D33C5"/>
    <w:rsid w:val="006D3E54"/>
    <w:rsid w:val="006D4E1F"/>
    <w:rsid w:val="006D5390"/>
    <w:rsid w:val="006D5A41"/>
    <w:rsid w:val="006D5D03"/>
    <w:rsid w:val="006D5F43"/>
    <w:rsid w:val="006D72BB"/>
    <w:rsid w:val="006D76E0"/>
    <w:rsid w:val="006D7D25"/>
    <w:rsid w:val="006D7F81"/>
    <w:rsid w:val="006E00ED"/>
    <w:rsid w:val="006E142F"/>
    <w:rsid w:val="006E2ED6"/>
    <w:rsid w:val="006E3156"/>
    <w:rsid w:val="006E3795"/>
    <w:rsid w:val="006E43AD"/>
    <w:rsid w:val="006E4C6F"/>
    <w:rsid w:val="006E520E"/>
    <w:rsid w:val="006E5F39"/>
    <w:rsid w:val="006E6CEF"/>
    <w:rsid w:val="006E7302"/>
    <w:rsid w:val="006E7EC6"/>
    <w:rsid w:val="006F0633"/>
    <w:rsid w:val="006F0753"/>
    <w:rsid w:val="006F0813"/>
    <w:rsid w:val="006F161E"/>
    <w:rsid w:val="006F1A1A"/>
    <w:rsid w:val="006F1BB3"/>
    <w:rsid w:val="006F1F11"/>
    <w:rsid w:val="006F21CC"/>
    <w:rsid w:val="006F23E8"/>
    <w:rsid w:val="006F350A"/>
    <w:rsid w:val="006F374C"/>
    <w:rsid w:val="006F4000"/>
    <w:rsid w:val="006F49A9"/>
    <w:rsid w:val="006F52A2"/>
    <w:rsid w:val="006F5717"/>
    <w:rsid w:val="006F5834"/>
    <w:rsid w:val="0070068D"/>
    <w:rsid w:val="00700FE7"/>
    <w:rsid w:val="007014D2"/>
    <w:rsid w:val="00701550"/>
    <w:rsid w:val="00702DBD"/>
    <w:rsid w:val="00703418"/>
    <w:rsid w:val="00703689"/>
    <w:rsid w:val="00704BCA"/>
    <w:rsid w:val="00706007"/>
    <w:rsid w:val="007061AA"/>
    <w:rsid w:val="007063D3"/>
    <w:rsid w:val="00706AA1"/>
    <w:rsid w:val="00707321"/>
    <w:rsid w:val="00707AE7"/>
    <w:rsid w:val="00707DC0"/>
    <w:rsid w:val="00707F29"/>
    <w:rsid w:val="00710485"/>
    <w:rsid w:val="007109D8"/>
    <w:rsid w:val="007109FC"/>
    <w:rsid w:val="0071167D"/>
    <w:rsid w:val="007117ED"/>
    <w:rsid w:val="00711D1B"/>
    <w:rsid w:val="00711D52"/>
    <w:rsid w:val="00712C73"/>
    <w:rsid w:val="0071362E"/>
    <w:rsid w:val="007140A9"/>
    <w:rsid w:val="00714E0D"/>
    <w:rsid w:val="00715033"/>
    <w:rsid w:val="007159E6"/>
    <w:rsid w:val="00716E47"/>
    <w:rsid w:val="0071724A"/>
    <w:rsid w:val="0071763E"/>
    <w:rsid w:val="007177C6"/>
    <w:rsid w:val="00717C8E"/>
    <w:rsid w:val="00720356"/>
    <w:rsid w:val="00720AF4"/>
    <w:rsid w:val="00721566"/>
    <w:rsid w:val="00721CF3"/>
    <w:rsid w:val="00722107"/>
    <w:rsid w:val="00722446"/>
    <w:rsid w:val="007224BB"/>
    <w:rsid w:val="00722E05"/>
    <w:rsid w:val="007231D6"/>
    <w:rsid w:val="007236CF"/>
    <w:rsid w:val="00723E1E"/>
    <w:rsid w:val="00723F10"/>
    <w:rsid w:val="00724FAA"/>
    <w:rsid w:val="007251F2"/>
    <w:rsid w:val="007269F0"/>
    <w:rsid w:val="00726E27"/>
    <w:rsid w:val="00727744"/>
    <w:rsid w:val="0073089A"/>
    <w:rsid w:val="00730D7F"/>
    <w:rsid w:val="007317D8"/>
    <w:rsid w:val="0073215C"/>
    <w:rsid w:val="0073227D"/>
    <w:rsid w:val="007336AC"/>
    <w:rsid w:val="00734940"/>
    <w:rsid w:val="00734BE4"/>
    <w:rsid w:val="00735175"/>
    <w:rsid w:val="00735846"/>
    <w:rsid w:val="00735895"/>
    <w:rsid w:val="00736BF3"/>
    <w:rsid w:val="00736F40"/>
    <w:rsid w:val="0074034F"/>
    <w:rsid w:val="007408F2"/>
    <w:rsid w:val="00742887"/>
    <w:rsid w:val="00743477"/>
    <w:rsid w:val="00743587"/>
    <w:rsid w:val="007435A2"/>
    <w:rsid w:val="007437DD"/>
    <w:rsid w:val="00743B80"/>
    <w:rsid w:val="007452B0"/>
    <w:rsid w:val="007452FD"/>
    <w:rsid w:val="00745430"/>
    <w:rsid w:val="00745793"/>
    <w:rsid w:val="00745C87"/>
    <w:rsid w:val="00745EA8"/>
    <w:rsid w:val="00746204"/>
    <w:rsid w:val="007469AD"/>
    <w:rsid w:val="007500B7"/>
    <w:rsid w:val="007503C5"/>
    <w:rsid w:val="00750420"/>
    <w:rsid w:val="0075082C"/>
    <w:rsid w:val="007509A6"/>
    <w:rsid w:val="00750B5A"/>
    <w:rsid w:val="00751357"/>
    <w:rsid w:val="00751899"/>
    <w:rsid w:val="00751C6B"/>
    <w:rsid w:val="00751F15"/>
    <w:rsid w:val="0075216F"/>
    <w:rsid w:val="00752805"/>
    <w:rsid w:val="007539CE"/>
    <w:rsid w:val="00753B7C"/>
    <w:rsid w:val="00754391"/>
    <w:rsid w:val="0075475C"/>
    <w:rsid w:val="0075485F"/>
    <w:rsid w:val="00755AC4"/>
    <w:rsid w:val="0075748A"/>
    <w:rsid w:val="007579F6"/>
    <w:rsid w:val="00761EB8"/>
    <w:rsid w:val="007628C2"/>
    <w:rsid w:val="00763BFD"/>
    <w:rsid w:val="0076446C"/>
    <w:rsid w:val="00767A43"/>
    <w:rsid w:val="00767B32"/>
    <w:rsid w:val="00770966"/>
    <w:rsid w:val="00770990"/>
    <w:rsid w:val="00770BD9"/>
    <w:rsid w:val="007711DA"/>
    <w:rsid w:val="00771299"/>
    <w:rsid w:val="00772C70"/>
    <w:rsid w:val="00772D45"/>
    <w:rsid w:val="0077305D"/>
    <w:rsid w:val="0077357C"/>
    <w:rsid w:val="0077548D"/>
    <w:rsid w:val="00775979"/>
    <w:rsid w:val="00776A07"/>
    <w:rsid w:val="0077750E"/>
    <w:rsid w:val="00777958"/>
    <w:rsid w:val="007802F0"/>
    <w:rsid w:val="007806A5"/>
    <w:rsid w:val="00780A0D"/>
    <w:rsid w:val="00780F19"/>
    <w:rsid w:val="00781429"/>
    <w:rsid w:val="00781777"/>
    <w:rsid w:val="00781EC7"/>
    <w:rsid w:val="00781F4B"/>
    <w:rsid w:val="0078218C"/>
    <w:rsid w:val="007837A0"/>
    <w:rsid w:val="00783FAD"/>
    <w:rsid w:val="007847FA"/>
    <w:rsid w:val="0078543F"/>
    <w:rsid w:val="00785455"/>
    <w:rsid w:val="00785B64"/>
    <w:rsid w:val="00785DC4"/>
    <w:rsid w:val="00786ECF"/>
    <w:rsid w:val="00787332"/>
    <w:rsid w:val="007904F2"/>
    <w:rsid w:val="007904FB"/>
    <w:rsid w:val="007905E7"/>
    <w:rsid w:val="00790910"/>
    <w:rsid w:val="00791028"/>
    <w:rsid w:val="0079138C"/>
    <w:rsid w:val="00791D8A"/>
    <w:rsid w:val="00791DE1"/>
    <w:rsid w:val="007920A6"/>
    <w:rsid w:val="007927EF"/>
    <w:rsid w:val="0079375E"/>
    <w:rsid w:val="0079376D"/>
    <w:rsid w:val="007949AC"/>
    <w:rsid w:val="00795008"/>
    <w:rsid w:val="0079515E"/>
    <w:rsid w:val="007964C3"/>
    <w:rsid w:val="0079742C"/>
    <w:rsid w:val="0079754C"/>
    <w:rsid w:val="00797B26"/>
    <w:rsid w:val="00797D36"/>
    <w:rsid w:val="00797DB9"/>
    <w:rsid w:val="00797DEB"/>
    <w:rsid w:val="007A00C8"/>
    <w:rsid w:val="007A010F"/>
    <w:rsid w:val="007A0667"/>
    <w:rsid w:val="007A0797"/>
    <w:rsid w:val="007A0C94"/>
    <w:rsid w:val="007A12B9"/>
    <w:rsid w:val="007A1421"/>
    <w:rsid w:val="007A1613"/>
    <w:rsid w:val="007A1731"/>
    <w:rsid w:val="007A18F0"/>
    <w:rsid w:val="007A321D"/>
    <w:rsid w:val="007A34DE"/>
    <w:rsid w:val="007A37EA"/>
    <w:rsid w:val="007A3A8C"/>
    <w:rsid w:val="007A4500"/>
    <w:rsid w:val="007A4728"/>
    <w:rsid w:val="007A4F29"/>
    <w:rsid w:val="007A4F69"/>
    <w:rsid w:val="007A5DD7"/>
    <w:rsid w:val="007A5FB6"/>
    <w:rsid w:val="007A6254"/>
    <w:rsid w:val="007A71FD"/>
    <w:rsid w:val="007A7D87"/>
    <w:rsid w:val="007A7EB2"/>
    <w:rsid w:val="007B0703"/>
    <w:rsid w:val="007B0B54"/>
    <w:rsid w:val="007B0E0C"/>
    <w:rsid w:val="007B10BC"/>
    <w:rsid w:val="007B1105"/>
    <w:rsid w:val="007B146F"/>
    <w:rsid w:val="007B20A0"/>
    <w:rsid w:val="007B220A"/>
    <w:rsid w:val="007B23AF"/>
    <w:rsid w:val="007B241E"/>
    <w:rsid w:val="007B2AF8"/>
    <w:rsid w:val="007B3103"/>
    <w:rsid w:val="007B327C"/>
    <w:rsid w:val="007B3993"/>
    <w:rsid w:val="007B3F11"/>
    <w:rsid w:val="007B41C9"/>
    <w:rsid w:val="007B4A63"/>
    <w:rsid w:val="007B75FA"/>
    <w:rsid w:val="007C0194"/>
    <w:rsid w:val="007C0486"/>
    <w:rsid w:val="007C0803"/>
    <w:rsid w:val="007C0D0E"/>
    <w:rsid w:val="007C1432"/>
    <w:rsid w:val="007C26E5"/>
    <w:rsid w:val="007C31EB"/>
    <w:rsid w:val="007C52C6"/>
    <w:rsid w:val="007C5D16"/>
    <w:rsid w:val="007C5E46"/>
    <w:rsid w:val="007C6B1D"/>
    <w:rsid w:val="007C720A"/>
    <w:rsid w:val="007C7499"/>
    <w:rsid w:val="007D0326"/>
    <w:rsid w:val="007D08CF"/>
    <w:rsid w:val="007D0D28"/>
    <w:rsid w:val="007D1092"/>
    <w:rsid w:val="007D118C"/>
    <w:rsid w:val="007D1400"/>
    <w:rsid w:val="007D146E"/>
    <w:rsid w:val="007D1924"/>
    <w:rsid w:val="007D2621"/>
    <w:rsid w:val="007D291D"/>
    <w:rsid w:val="007D295E"/>
    <w:rsid w:val="007D3608"/>
    <w:rsid w:val="007D498F"/>
    <w:rsid w:val="007D5CA8"/>
    <w:rsid w:val="007D6A4B"/>
    <w:rsid w:val="007D6B9E"/>
    <w:rsid w:val="007D7382"/>
    <w:rsid w:val="007D7909"/>
    <w:rsid w:val="007E0801"/>
    <w:rsid w:val="007E0CAF"/>
    <w:rsid w:val="007E124D"/>
    <w:rsid w:val="007E14BC"/>
    <w:rsid w:val="007E19DC"/>
    <w:rsid w:val="007E1AD4"/>
    <w:rsid w:val="007E2A75"/>
    <w:rsid w:val="007E2B58"/>
    <w:rsid w:val="007E2F09"/>
    <w:rsid w:val="007E351C"/>
    <w:rsid w:val="007E4B5D"/>
    <w:rsid w:val="007E5704"/>
    <w:rsid w:val="007E5800"/>
    <w:rsid w:val="007E58EB"/>
    <w:rsid w:val="007E73DF"/>
    <w:rsid w:val="007E7BCA"/>
    <w:rsid w:val="007F05EF"/>
    <w:rsid w:val="007F08CA"/>
    <w:rsid w:val="007F0CE5"/>
    <w:rsid w:val="007F13BC"/>
    <w:rsid w:val="007F1A7B"/>
    <w:rsid w:val="007F2139"/>
    <w:rsid w:val="007F2CEE"/>
    <w:rsid w:val="007F31B3"/>
    <w:rsid w:val="007F3413"/>
    <w:rsid w:val="007F3B6E"/>
    <w:rsid w:val="007F4733"/>
    <w:rsid w:val="007F4D18"/>
    <w:rsid w:val="007F4DAB"/>
    <w:rsid w:val="007F6441"/>
    <w:rsid w:val="007F7AC2"/>
    <w:rsid w:val="007F7BAD"/>
    <w:rsid w:val="00800057"/>
    <w:rsid w:val="008013EB"/>
    <w:rsid w:val="00801BCA"/>
    <w:rsid w:val="008026AB"/>
    <w:rsid w:val="008028AA"/>
    <w:rsid w:val="00802990"/>
    <w:rsid w:val="00802B63"/>
    <w:rsid w:val="00802F00"/>
    <w:rsid w:val="00804885"/>
    <w:rsid w:val="008054D4"/>
    <w:rsid w:val="00806434"/>
    <w:rsid w:val="0080656C"/>
    <w:rsid w:val="00806C44"/>
    <w:rsid w:val="008071AC"/>
    <w:rsid w:val="00807559"/>
    <w:rsid w:val="0081033C"/>
    <w:rsid w:val="008104F8"/>
    <w:rsid w:val="00810827"/>
    <w:rsid w:val="008115C2"/>
    <w:rsid w:val="008117BF"/>
    <w:rsid w:val="00812496"/>
    <w:rsid w:val="008127AA"/>
    <w:rsid w:val="00813218"/>
    <w:rsid w:val="00813288"/>
    <w:rsid w:val="0081330E"/>
    <w:rsid w:val="00815160"/>
    <w:rsid w:val="00815FF9"/>
    <w:rsid w:val="008163EC"/>
    <w:rsid w:val="00816537"/>
    <w:rsid w:val="008168C1"/>
    <w:rsid w:val="00816998"/>
    <w:rsid w:val="008175BE"/>
    <w:rsid w:val="00817AD0"/>
    <w:rsid w:val="00817AD5"/>
    <w:rsid w:val="00820E7C"/>
    <w:rsid w:val="00821184"/>
    <w:rsid w:val="00821392"/>
    <w:rsid w:val="0082171E"/>
    <w:rsid w:val="00821A29"/>
    <w:rsid w:val="00822405"/>
    <w:rsid w:val="00822A97"/>
    <w:rsid w:val="00822AFF"/>
    <w:rsid w:val="00823233"/>
    <w:rsid w:val="00824426"/>
    <w:rsid w:val="00824B0E"/>
    <w:rsid w:val="00824C9D"/>
    <w:rsid w:val="00825528"/>
    <w:rsid w:val="00825B10"/>
    <w:rsid w:val="008260B8"/>
    <w:rsid w:val="00826351"/>
    <w:rsid w:val="00827126"/>
    <w:rsid w:val="00827916"/>
    <w:rsid w:val="00827AEE"/>
    <w:rsid w:val="00830225"/>
    <w:rsid w:val="008304C1"/>
    <w:rsid w:val="00830597"/>
    <w:rsid w:val="00830E52"/>
    <w:rsid w:val="0083117B"/>
    <w:rsid w:val="008314E5"/>
    <w:rsid w:val="0083233F"/>
    <w:rsid w:val="008324E3"/>
    <w:rsid w:val="00832B7B"/>
    <w:rsid w:val="00832DE2"/>
    <w:rsid w:val="00833013"/>
    <w:rsid w:val="00833035"/>
    <w:rsid w:val="00833408"/>
    <w:rsid w:val="00833E59"/>
    <w:rsid w:val="008347AF"/>
    <w:rsid w:val="00835257"/>
    <w:rsid w:val="00835275"/>
    <w:rsid w:val="008353EF"/>
    <w:rsid w:val="0083669D"/>
    <w:rsid w:val="00836E8D"/>
    <w:rsid w:val="00837473"/>
    <w:rsid w:val="00837ACC"/>
    <w:rsid w:val="00837C39"/>
    <w:rsid w:val="008407AC"/>
    <w:rsid w:val="00840A1B"/>
    <w:rsid w:val="00840A40"/>
    <w:rsid w:val="008415C8"/>
    <w:rsid w:val="00842307"/>
    <w:rsid w:val="00842ACA"/>
    <w:rsid w:val="00843169"/>
    <w:rsid w:val="00843A36"/>
    <w:rsid w:val="00843F38"/>
    <w:rsid w:val="00844347"/>
    <w:rsid w:val="0084437F"/>
    <w:rsid w:val="008450F3"/>
    <w:rsid w:val="00845946"/>
    <w:rsid w:val="00845AD9"/>
    <w:rsid w:val="00845F6A"/>
    <w:rsid w:val="00846970"/>
    <w:rsid w:val="00847095"/>
    <w:rsid w:val="008473FC"/>
    <w:rsid w:val="00847554"/>
    <w:rsid w:val="008476A0"/>
    <w:rsid w:val="00847BB1"/>
    <w:rsid w:val="0085041B"/>
    <w:rsid w:val="008509E0"/>
    <w:rsid w:val="008510AD"/>
    <w:rsid w:val="00851A65"/>
    <w:rsid w:val="00851C5E"/>
    <w:rsid w:val="00851FB0"/>
    <w:rsid w:val="0085201C"/>
    <w:rsid w:val="008522CA"/>
    <w:rsid w:val="008526DA"/>
    <w:rsid w:val="00852994"/>
    <w:rsid w:val="00852F2A"/>
    <w:rsid w:val="00852F38"/>
    <w:rsid w:val="00854EF0"/>
    <w:rsid w:val="00854FD4"/>
    <w:rsid w:val="00855061"/>
    <w:rsid w:val="00855351"/>
    <w:rsid w:val="00856327"/>
    <w:rsid w:val="0085660E"/>
    <w:rsid w:val="00856734"/>
    <w:rsid w:val="008567E7"/>
    <w:rsid w:val="00856C34"/>
    <w:rsid w:val="008576AE"/>
    <w:rsid w:val="00860B41"/>
    <w:rsid w:val="00860F89"/>
    <w:rsid w:val="0086103B"/>
    <w:rsid w:val="0086144F"/>
    <w:rsid w:val="00861B16"/>
    <w:rsid w:val="008621C6"/>
    <w:rsid w:val="00862B69"/>
    <w:rsid w:val="00862CDC"/>
    <w:rsid w:val="008631B5"/>
    <w:rsid w:val="0086386E"/>
    <w:rsid w:val="00863E95"/>
    <w:rsid w:val="00863FB9"/>
    <w:rsid w:val="0086431C"/>
    <w:rsid w:val="008653E1"/>
    <w:rsid w:val="00865546"/>
    <w:rsid w:val="0086589C"/>
    <w:rsid w:val="00865DC1"/>
    <w:rsid w:val="00865F59"/>
    <w:rsid w:val="008668B9"/>
    <w:rsid w:val="00866D58"/>
    <w:rsid w:val="00867E67"/>
    <w:rsid w:val="00870112"/>
    <w:rsid w:val="0087036C"/>
    <w:rsid w:val="00870C8E"/>
    <w:rsid w:val="008712BE"/>
    <w:rsid w:val="00871E67"/>
    <w:rsid w:val="008727FF"/>
    <w:rsid w:val="00873486"/>
    <w:rsid w:val="0087365A"/>
    <w:rsid w:val="0087384A"/>
    <w:rsid w:val="00873CD7"/>
    <w:rsid w:val="00874178"/>
    <w:rsid w:val="008743C7"/>
    <w:rsid w:val="0087455D"/>
    <w:rsid w:val="008750F9"/>
    <w:rsid w:val="00875341"/>
    <w:rsid w:val="0087536F"/>
    <w:rsid w:val="00875D08"/>
    <w:rsid w:val="00876E23"/>
    <w:rsid w:val="00877FE5"/>
    <w:rsid w:val="00880A40"/>
    <w:rsid w:val="008810DB"/>
    <w:rsid w:val="00881C2E"/>
    <w:rsid w:val="00881C81"/>
    <w:rsid w:val="00881CB5"/>
    <w:rsid w:val="008822E4"/>
    <w:rsid w:val="00882C06"/>
    <w:rsid w:val="00882CC7"/>
    <w:rsid w:val="0088306A"/>
    <w:rsid w:val="00883B2C"/>
    <w:rsid w:val="00883CC3"/>
    <w:rsid w:val="0088511E"/>
    <w:rsid w:val="008851D9"/>
    <w:rsid w:val="008856D8"/>
    <w:rsid w:val="00885C2E"/>
    <w:rsid w:val="008860A7"/>
    <w:rsid w:val="008869F4"/>
    <w:rsid w:val="00886FA9"/>
    <w:rsid w:val="008874E6"/>
    <w:rsid w:val="0088784A"/>
    <w:rsid w:val="00887C6C"/>
    <w:rsid w:val="00891073"/>
    <w:rsid w:val="008911CB"/>
    <w:rsid w:val="008912A2"/>
    <w:rsid w:val="008914FE"/>
    <w:rsid w:val="0089369B"/>
    <w:rsid w:val="00893A61"/>
    <w:rsid w:val="00893EEF"/>
    <w:rsid w:val="00895994"/>
    <w:rsid w:val="008975A2"/>
    <w:rsid w:val="00897B51"/>
    <w:rsid w:val="008A0222"/>
    <w:rsid w:val="008A073B"/>
    <w:rsid w:val="008A11CB"/>
    <w:rsid w:val="008A12B3"/>
    <w:rsid w:val="008A14CB"/>
    <w:rsid w:val="008A184F"/>
    <w:rsid w:val="008A1867"/>
    <w:rsid w:val="008A1BE0"/>
    <w:rsid w:val="008A1F0E"/>
    <w:rsid w:val="008A2C72"/>
    <w:rsid w:val="008A32F8"/>
    <w:rsid w:val="008A39F3"/>
    <w:rsid w:val="008A3ADD"/>
    <w:rsid w:val="008A3EAE"/>
    <w:rsid w:val="008A40BC"/>
    <w:rsid w:val="008A40DD"/>
    <w:rsid w:val="008A4199"/>
    <w:rsid w:val="008A4880"/>
    <w:rsid w:val="008A4AF2"/>
    <w:rsid w:val="008A4E1F"/>
    <w:rsid w:val="008A4F38"/>
    <w:rsid w:val="008A52B1"/>
    <w:rsid w:val="008A56AB"/>
    <w:rsid w:val="008A5754"/>
    <w:rsid w:val="008A58EE"/>
    <w:rsid w:val="008A5E0E"/>
    <w:rsid w:val="008A61DB"/>
    <w:rsid w:val="008A6E1E"/>
    <w:rsid w:val="008A76FB"/>
    <w:rsid w:val="008B0595"/>
    <w:rsid w:val="008B07EB"/>
    <w:rsid w:val="008B0A06"/>
    <w:rsid w:val="008B0C53"/>
    <w:rsid w:val="008B13FC"/>
    <w:rsid w:val="008B1648"/>
    <w:rsid w:val="008B1FFD"/>
    <w:rsid w:val="008B2287"/>
    <w:rsid w:val="008B23FF"/>
    <w:rsid w:val="008B25E0"/>
    <w:rsid w:val="008B2C31"/>
    <w:rsid w:val="008B2C46"/>
    <w:rsid w:val="008B2E71"/>
    <w:rsid w:val="008B3480"/>
    <w:rsid w:val="008B4702"/>
    <w:rsid w:val="008B4924"/>
    <w:rsid w:val="008B4C64"/>
    <w:rsid w:val="008B4EA4"/>
    <w:rsid w:val="008B5238"/>
    <w:rsid w:val="008B5B32"/>
    <w:rsid w:val="008B5EB7"/>
    <w:rsid w:val="008B5F92"/>
    <w:rsid w:val="008B6306"/>
    <w:rsid w:val="008B6385"/>
    <w:rsid w:val="008C17EB"/>
    <w:rsid w:val="008C2989"/>
    <w:rsid w:val="008C30E7"/>
    <w:rsid w:val="008C3D0F"/>
    <w:rsid w:val="008C435F"/>
    <w:rsid w:val="008C449C"/>
    <w:rsid w:val="008C45D7"/>
    <w:rsid w:val="008C460D"/>
    <w:rsid w:val="008C4611"/>
    <w:rsid w:val="008C515F"/>
    <w:rsid w:val="008C51FF"/>
    <w:rsid w:val="008C53FF"/>
    <w:rsid w:val="008C5563"/>
    <w:rsid w:val="008C58E2"/>
    <w:rsid w:val="008C63AA"/>
    <w:rsid w:val="008C6740"/>
    <w:rsid w:val="008C67E8"/>
    <w:rsid w:val="008C69C5"/>
    <w:rsid w:val="008C7808"/>
    <w:rsid w:val="008C787C"/>
    <w:rsid w:val="008C78A2"/>
    <w:rsid w:val="008D09DD"/>
    <w:rsid w:val="008D0A52"/>
    <w:rsid w:val="008D13AE"/>
    <w:rsid w:val="008D1784"/>
    <w:rsid w:val="008D1BF7"/>
    <w:rsid w:val="008D21B4"/>
    <w:rsid w:val="008D25F0"/>
    <w:rsid w:val="008D3188"/>
    <w:rsid w:val="008D32E3"/>
    <w:rsid w:val="008D475B"/>
    <w:rsid w:val="008D5431"/>
    <w:rsid w:val="008D57D6"/>
    <w:rsid w:val="008D66D5"/>
    <w:rsid w:val="008D6CAF"/>
    <w:rsid w:val="008D6D40"/>
    <w:rsid w:val="008D78FF"/>
    <w:rsid w:val="008D79F8"/>
    <w:rsid w:val="008D7BF5"/>
    <w:rsid w:val="008D7DB8"/>
    <w:rsid w:val="008E03F9"/>
    <w:rsid w:val="008E0720"/>
    <w:rsid w:val="008E0FFB"/>
    <w:rsid w:val="008E110B"/>
    <w:rsid w:val="008E1A79"/>
    <w:rsid w:val="008E20A3"/>
    <w:rsid w:val="008E2DA7"/>
    <w:rsid w:val="008E477C"/>
    <w:rsid w:val="008E5B07"/>
    <w:rsid w:val="008E6B54"/>
    <w:rsid w:val="008E7763"/>
    <w:rsid w:val="008E7DC0"/>
    <w:rsid w:val="008F064F"/>
    <w:rsid w:val="008F07C7"/>
    <w:rsid w:val="008F07FC"/>
    <w:rsid w:val="008F10C3"/>
    <w:rsid w:val="008F116D"/>
    <w:rsid w:val="008F16A5"/>
    <w:rsid w:val="008F1731"/>
    <w:rsid w:val="008F1C32"/>
    <w:rsid w:val="008F1D7B"/>
    <w:rsid w:val="008F2772"/>
    <w:rsid w:val="008F326A"/>
    <w:rsid w:val="008F3519"/>
    <w:rsid w:val="008F3F82"/>
    <w:rsid w:val="008F4670"/>
    <w:rsid w:val="008F4A7E"/>
    <w:rsid w:val="008F5299"/>
    <w:rsid w:val="008F5A0C"/>
    <w:rsid w:val="008F5E79"/>
    <w:rsid w:val="008F645A"/>
    <w:rsid w:val="008F703E"/>
    <w:rsid w:val="009000CA"/>
    <w:rsid w:val="00900174"/>
    <w:rsid w:val="009003BE"/>
    <w:rsid w:val="0090067B"/>
    <w:rsid w:val="009023B3"/>
    <w:rsid w:val="00902518"/>
    <w:rsid w:val="00902924"/>
    <w:rsid w:val="009038E8"/>
    <w:rsid w:val="00903B47"/>
    <w:rsid w:val="00903F33"/>
    <w:rsid w:val="00904DD6"/>
    <w:rsid w:val="009050C6"/>
    <w:rsid w:val="009055C5"/>
    <w:rsid w:val="00905D32"/>
    <w:rsid w:val="0090639B"/>
    <w:rsid w:val="00906C2F"/>
    <w:rsid w:val="0090734D"/>
    <w:rsid w:val="009077B1"/>
    <w:rsid w:val="00907899"/>
    <w:rsid w:val="00907A04"/>
    <w:rsid w:val="009101CA"/>
    <w:rsid w:val="00910B41"/>
    <w:rsid w:val="00910B86"/>
    <w:rsid w:val="00910BD4"/>
    <w:rsid w:val="00910BFF"/>
    <w:rsid w:val="00911691"/>
    <w:rsid w:val="00911F8B"/>
    <w:rsid w:val="00912228"/>
    <w:rsid w:val="0091238F"/>
    <w:rsid w:val="009143D6"/>
    <w:rsid w:val="00914719"/>
    <w:rsid w:val="00914CC6"/>
    <w:rsid w:val="00914DA7"/>
    <w:rsid w:val="009153BF"/>
    <w:rsid w:val="009158BF"/>
    <w:rsid w:val="009159F1"/>
    <w:rsid w:val="00915F63"/>
    <w:rsid w:val="00916635"/>
    <w:rsid w:val="00916AFA"/>
    <w:rsid w:val="00916D22"/>
    <w:rsid w:val="009177E9"/>
    <w:rsid w:val="00920E3C"/>
    <w:rsid w:val="00921478"/>
    <w:rsid w:val="00921900"/>
    <w:rsid w:val="009220C8"/>
    <w:rsid w:val="009221AD"/>
    <w:rsid w:val="00922A42"/>
    <w:rsid w:val="00922D2E"/>
    <w:rsid w:val="00923366"/>
    <w:rsid w:val="00923C2E"/>
    <w:rsid w:val="00923D6F"/>
    <w:rsid w:val="009240B7"/>
    <w:rsid w:val="00925A3E"/>
    <w:rsid w:val="00925D03"/>
    <w:rsid w:val="0092600B"/>
    <w:rsid w:val="00926217"/>
    <w:rsid w:val="009265C7"/>
    <w:rsid w:val="00927724"/>
    <w:rsid w:val="00927D19"/>
    <w:rsid w:val="00927EFD"/>
    <w:rsid w:val="0093081A"/>
    <w:rsid w:val="00930B2C"/>
    <w:rsid w:val="00930D09"/>
    <w:rsid w:val="00930F7F"/>
    <w:rsid w:val="00931326"/>
    <w:rsid w:val="00931442"/>
    <w:rsid w:val="0093279C"/>
    <w:rsid w:val="009328C9"/>
    <w:rsid w:val="00932FBB"/>
    <w:rsid w:val="009331CF"/>
    <w:rsid w:val="009334AC"/>
    <w:rsid w:val="00933568"/>
    <w:rsid w:val="00933EAD"/>
    <w:rsid w:val="00934564"/>
    <w:rsid w:val="0093520F"/>
    <w:rsid w:val="00935290"/>
    <w:rsid w:val="00935916"/>
    <w:rsid w:val="00935DDA"/>
    <w:rsid w:val="00936282"/>
    <w:rsid w:val="00937E53"/>
    <w:rsid w:val="00937F8B"/>
    <w:rsid w:val="009400D5"/>
    <w:rsid w:val="00940592"/>
    <w:rsid w:val="00940AE5"/>
    <w:rsid w:val="00940B6C"/>
    <w:rsid w:val="00940C97"/>
    <w:rsid w:val="009415C7"/>
    <w:rsid w:val="00941A22"/>
    <w:rsid w:val="00941ED9"/>
    <w:rsid w:val="00942010"/>
    <w:rsid w:val="009421D2"/>
    <w:rsid w:val="009422C8"/>
    <w:rsid w:val="00943170"/>
    <w:rsid w:val="0094320A"/>
    <w:rsid w:val="00943503"/>
    <w:rsid w:val="009439AB"/>
    <w:rsid w:val="009450BF"/>
    <w:rsid w:val="00945A89"/>
    <w:rsid w:val="00945C25"/>
    <w:rsid w:val="00945CA2"/>
    <w:rsid w:val="00947728"/>
    <w:rsid w:val="0094794D"/>
    <w:rsid w:val="00947D71"/>
    <w:rsid w:val="00950A7A"/>
    <w:rsid w:val="00950C55"/>
    <w:rsid w:val="0095170D"/>
    <w:rsid w:val="009518D9"/>
    <w:rsid w:val="00952555"/>
    <w:rsid w:val="00952632"/>
    <w:rsid w:val="00952915"/>
    <w:rsid w:val="00952F2E"/>
    <w:rsid w:val="00952FF2"/>
    <w:rsid w:val="0095307F"/>
    <w:rsid w:val="00953329"/>
    <w:rsid w:val="009535CA"/>
    <w:rsid w:val="009548FF"/>
    <w:rsid w:val="00954D9F"/>
    <w:rsid w:val="00954E34"/>
    <w:rsid w:val="00955526"/>
    <w:rsid w:val="009558F6"/>
    <w:rsid w:val="00955E53"/>
    <w:rsid w:val="0095676A"/>
    <w:rsid w:val="009575DA"/>
    <w:rsid w:val="00957632"/>
    <w:rsid w:val="00957FD5"/>
    <w:rsid w:val="00960DE3"/>
    <w:rsid w:val="009624F6"/>
    <w:rsid w:val="00962538"/>
    <w:rsid w:val="00962D67"/>
    <w:rsid w:val="00962E91"/>
    <w:rsid w:val="00963AF3"/>
    <w:rsid w:val="0096410D"/>
    <w:rsid w:val="00964142"/>
    <w:rsid w:val="00964C6F"/>
    <w:rsid w:val="00965269"/>
    <w:rsid w:val="0096549E"/>
    <w:rsid w:val="009666DF"/>
    <w:rsid w:val="009667C9"/>
    <w:rsid w:val="00966C09"/>
    <w:rsid w:val="00967637"/>
    <w:rsid w:val="00967CE3"/>
    <w:rsid w:val="009707A1"/>
    <w:rsid w:val="00970919"/>
    <w:rsid w:val="00970D2E"/>
    <w:rsid w:val="009727FC"/>
    <w:rsid w:val="009732E6"/>
    <w:rsid w:val="00973388"/>
    <w:rsid w:val="00973E9B"/>
    <w:rsid w:val="00974678"/>
    <w:rsid w:val="00974C47"/>
    <w:rsid w:val="00974F24"/>
    <w:rsid w:val="00975A73"/>
    <w:rsid w:val="00975BF4"/>
    <w:rsid w:val="00977BF0"/>
    <w:rsid w:val="00977E1A"/>
    <w:rsid w:val="00980455"/>
    <w:rsid w:val="0098072E"/>
    <w:rsid w:val="00980F87"/>
    <w:rsid w:val="00981467"/>
    <w:rsid w:val="00981C25"/>
    <w:rsid w:val="00982F86"/>
    <w:rsid w:val="0098316D"/>
    <w:rsid w:val="00984441"/>
    <w:rsid w:val="009844CF"/>
    <w:rsid w:val="00984A41"/>
    <w:rsid w:val="00984DD8"/>
    <w:rsid w:val="00984F09"/>
    <w:rsid w:val="009850A1"/>
    <w:rsid w:val="009859F4"/>
    <w:rsid w:val="00985E51"/>
    <w:rsid w:val="00987B55"/>
    <w:rsid w:val="009904DA"/>
    <w:rsid w:val="0099085F"/>
    <w:rsid w:val="00991D09"/>
    <w:rsid w:val="009925DB"/>
    <w:rsid w:val="00992777"/>
    <w:rsid w:val="00993114"/>
    <w:rsid w:val="00993CC9"/>
    <w:rsid w:val="00994084"/>
    <w:rsid w:val="009940A4"/>
    <w:rsid w:val="00995322"/>
    <w:rsid w:val="009953EE"/>
    <w:rsid w:val="00995AD7"/>
    <w:rsid w:val="00995B13"/>
    <w:rsid w:val="009A1740"/>
    <w:rsid w:val="009A2132"/>
    <w:rsid w:val="009A32AB"/>
    <w:rsid w:val="009A3E7C"/>
    <w:rsid w:val="009A4305"/>
    <w:rsid w:val="009A465F"/>
    <w:rsid w:val="009A563B"/>
    <w:rsid w:val="009A580E"/>
    <w:rsid w:val="009A61DE"/>
    <w:rsid w:val="009A62B8"/>
    <w:rsid w:val="009A6A4D"/>
    <w:rsid w:val="009A6F74"/>
    <w:rsid w:val="009A7185"/>
    <w:rsid w:val="009B0436"/>
    <w:rsid w:val="009B0768"/>
    <w:rsid w:val="009B1168"/>
    <w:rsid w:val="009B187C"/>
    <w:rsid w:val="009B29F2"/>
    <w:rsid w:val="009B2E47"/>
    <w:rsid w:val="009B33DB"/>
    <w:rsid w:val="009B3873"/>
    <w:rsid w:val="009B46F3"/>
    <w:rsid w:val="009B4853"/>
    <w:rsid w:val="009B56F6"/>
    <w:rsid w:val="009B5AC4"/>
    <w:rsid w:val="009B659F"/>
    <w:rsid w:val="009B6ACA"/>
    <w:rsid w:val="009C0675"/>
    <w:rsid w:val="009C0CC4"/>
    <w:rsid w:val="009C0DAD"/>
    <w:rsid w:val="009C0F03"/>
    <w:rsid w:val="009C177A"/>
    <w:rsid w:val="009C1B29"/>
    <w:rsid w:val="009C1C6F"/>
    <w:rsid w:val="009C2391"/>
    <w:rsid w:val="009C293A"/>
    <w:rsid w:val="009C4074"/>
    <w:rsid w:val="009C4D08"/>
    <w:rsid w:val="009C4F22"/>
    <w:rsid w:val="009C4FE6"/>
    <w:rsid w:val="009C6B0F"/>
    <w:rsid w:val="009C6F35"/>
    <w:rsid w:val="009C6F39"/>
    <w:rsid w:val="009C705A"/>
    <w:rsid w:val="009C70B0"/>
    <w:rsid w:val="009C7371"/>
    <w:rsid w:val="009D03E3"/>
    <w:rsid w:val="009D0454"/>
    <w:rsid w:val="009D04C9"/>
    <w:rsid w:val="009D0A54"/>
    <w:rsid w:val="009D1C8A"/>
    <w:rsid w:val="009D204A"/>
    <w:rsid w:val="009D2130"/>
    <w:rsid w:val="009D28DB"/>
    <w:rsid w:val="009D3237"/>
    <w:rsid w:val="009D33B2"/>
    <w:rsid w:val="009D3628"/>
    <w:rsid w:val="009D371E"/>
    <w:rsid w:val="009D451A"/>
    <w:rsid w:val="009D47CA"/>
    <w:rsid w:val="009D4C2A"/>
    <w:rsid w:val="009D5930"/>
    <w:rsid w:val="009D63D2"/>
    <w:rsid w:val="009D6459"/>
    <w:rsid w:val="009D6914"/>
    <w:rsid w:val="009D7C70"/>
    <w:rsid w:val="009E0034"/>
    <w:rsid w:val="009E0320"/>
    <w:rsid w:val="009E0729"/>
    <w:rsid w:val="009E1A3C"/>
    <w:rsid w:val="009E1C22"/>
    <w:rsid w:val="009E1E0B"/>
    <w:rsid w:val="009E1E0F"/>
    <w:rsid w:val="009E1EE0"/>
    <w:rsid w:val="009E226E"/>
    <w:rsid w:val="009E22A9"/>
    <w:rsid w:val="009E232B"/>
    <w:rsid w:val="009E2481"/>
    <w:rsid w:val="009E366C"/>
    <w:rsid w:val="009E37E4"/>
    <w:rsid w:val="009E3C7E"/>
    <w:rsid w:val="009E43E8"/>
    <w:rsid w:val="009E4A94"/>
    <w:rsid w:val="009E4B0C"/>
    <w:rsid w:val="009E4D52"/>
    <w:rsid w:val="009E7138"/>
    <w:rsid w:val="009E7411"/>
    <w:rsid w:val="009E7696"/>
    <w:rsid w:val="009E7A04"/>
    <w:rsid w:val="009E7AE5"/>
    <w:rsid w:val="009E7C13"/>
    <w:rsid w:val="009F0381"/>
    <w:rsid w:val="009F1287"/>
    <w:rsid w:val="009F193A"/>
    <w:rsid w:val="009F1A39"/>
    <w:rsid w:val="009F1B60"/>
    <w:rsid w:val="009F33D1"/>
    <w:rsid w:val="009F3631"/>
    <w:rsid w:val="009F363C"/>
    <w:rsid w:val="009F3790"/>
    <w:rsid w:val="009F4169"/>
    <w:rsid w:val="009F476C"/>
    <w:rsid w:val="009F4AC9"/>
    <w:rsid w:val="009F586C"/>
    <w:rsid w:val="009F5D30"/>
    <w:rsid w:val="009F61D7"/>
    <w:rsid w:val="009F6FB1"/>
    <w:rsid w:val="009F6FDF"/>
    <w:rsid w:val="009F7A90"/>
    <w:rsid w:val="009F7CEB"/>
    <w:rsid w:val="009F7D11"/>
    <w:rsid w:val="00A009B1"/>
    <w:rsid w:val="00A012B9"/>
    <w:rsid w:val="00A01747"/>
    <w:rsid w:val="00A01B74"/>
    <w:rsid w:val="00A03256"/>
    <w:rsid w:val="00A040FD"/>
    <w:rsid w:val="00A04170"/>
    <w:rsid w:val="00A04189"/>
    <w:rsid w:val="00A0426A"/>
    <w:rsid w:val="00A042A9"/>
    <w:rsid w:val="00A04C0D"/>
    <w:rsid w:val="00A05CD2"/>
    <w:rsid w:val="00A05D44"/>
    <w:rsid w:val="00A0608F"/>
    <w:rsid w:val="00A06351"/>
    <w:rsid w:val="00A07327"/>
    <w:rsid w:val="00A076CD"/>
    <w:rsid w:val="00A07F4C"/>
    <w:rsid w:val="00A10491"/>
    <w:rsid w:val="00A10495"/>
    <w:rsid w:val="00A10DB9"/>
    <w:rsid w:val="00A10FBF"/>
    <w:rsid w:val="00A10FE8"/>
    <w:rsid w:val="00A11D08"/>
    <w:rsid w:val="00A1242D"/>
    <w:rsid w:val="00A12A44"/>
    <w:rsid w:val="00A12A77"/>
    <w:rsid w:val="00A14C8E"/>
    <w:rsid w:val="00A15895"/>
    <w:rsid w:val="00A1594D"/>
    <w:rsid w:val="00A16638"/>
    <w:rsid w:val="00A1675F"/>
    <w:rsid w:val="00A167E0"/>
    <w:rsid w:val="00A172C2"/>
    <w:rsid w:val="00A17490"/>
    <w:rsid w:val="00A179C8"/>
    <w:rsid w:val="00A205BB"/>
    <w:rsid w:val="00A20B1A"/>
    <w:rsid w:val="00A21646"/>
    <w:rsid w:val="00A216BB"/>
    <w:rsid w:val="00A216F9"/>
    <w:rsid w:val="00A21738"/>
    <w:rsid w:val="00A2271C"/>
    <w:rsid w:val="00A22A39"/>
    <w:rsid w:val="00A2315A"/>
    <w:rsid w:val="00A23190"/>
    <w:rsid w:val="00A23B2B"/>
    <w:rsid w:val="00A24B2D"/>
    <w:rsid w:val="00A252C9"/>
    <w:rsid w:val="00A25EC0"/>
    <w:rsid w:val="00A2643D"/>
    <w:rsid w:val="00A2672F"/>
    <w:rsid w:val="00A26AAA"/>
    <w:rsid w:val="00A26E4A"/>
    <w:rsid w:val="00A2713C"/>
    <w:rsid w:val="00A275E0"/>
    <w:rsid w:val="00A3054D"/>
    <w:rsid w:val="00A307E6"/>
    <w:rsid w:val="00A30822"/>
    <w:rsid w:val="00A3164F"/>
    <w:rsid w:val="00A325BB"/>
    <w:rsid w:val="00A33184"/>
    <w:rsid w:val="00A332C5"/>
    <w:rsid w:val="00A3438A"/>
    <w:rsid w:val="00A34436"/>
    <w:rsid w:val="00A3544E"/>
    <w:rsid w:val="00A35974"/>
    <w:rsid w:val="00A36478"/>
    <w:rsid w:val="00A36696"/>
    <w:rsid w:val="00A368D2"/>
    <w:rsid w:val="00A3699D"/>
    <w:rsid w:val="00A37AE7"/>
    <w:rsid w:val="00A40143"/>
    <w:rsid w:val="00A404E1"/>
    <w:rsid w:val="00A40BFF"/>
    <w:rsid w:val="00A412E8"/>
    <w:rsid w:val="00A413F5"/>
    <w:rsid w:val="00A41E5D"/>
    <w:rsid w:val="00A41FA6"/>
    <w:rsid w:val="00A4256C"/>
    <w:rsid w:val="00A428D5"/>
    <w:rsid w:val="00A44C6F"/>
    <w:rsid w:val="00A44C7A"/>
    <w:rsid w:val="00A44DE2"/>
    <w:rsid w:val="00A45200"/>
    <w:rsid w:val="00A45378"/>
    <w:rsid w:val="00A465C2"/>
    <w:rsid w:val="00A472CC"/>
    <w:rsid w:val="00A478FD"/>
    <w:rsid w:val="00A47973"/>
    <w:rsid w:val="00A47AB6"/>
    <w:rsid w:val="00A47D21"/>
    <w:rsid w:val="00A51718"/>
    <w:rsid w:val="00A535FB"/>
    <w:rsid w:val="00A53FA8"/>
    <w:rsid w:val="00A53FBA"/>
    <w:rsid w:val="00A5443C"/>
    <w:rsid w:val="00A54BB0"/>
    <w:rsid w:val="00A550AE"/>
    <w:rsid w:val="00A55432"/>
    <w:rsid w:val="00A5641C"/>
    <w:rsid w:val="00A57387"/>
    <w:rsid w:val="00A573E5"/>
    <w:rsid w:val="00A6053B"/>
    <w:rsid w:val="00A605AB"/>
    <w:rsid w:val="00A60AEF"/>
    <w:rsid w:val="00A6135B"/>
    <w:rsid w:val="00A61817"/>
    <w:rsid w:val="00A61913"/>
    <w:rsid w:val="00A61CDF"/>
    <w:rsid w:val="00A62499"/>
    <w:rsid w:val="00A631B2"/>
    <w:rsid w:val="00A63630"/>
    <w:rsid w:val="00A6374D"/>
    <w:rsid w:val="00A64ABF"/>
    <w:rsid w:val="00A650B8"/>
    <w:rsid w:val="00A6517D"/>
    <w:rsid w:val="00A65305"/>
    <w:rsid w:val="00A654E2"/>
    <w:rsid w:val="00A65C1F"/>
    <w:rsid w:val="00A667A2"/>
    <w:rsid w:val="00A66A34"/>
    <w:rsid w:val="00A66EF3"/>
    <w:rsid w:val="00A67474"/>
    <w:rsid w:val="00A67E50"/>
    <w:rsid w:val="00A720C0"/>
    <w:rsid w:val="00A72B88"/>
    <w:rsid w:val="00A72D82"/>
    <w:rsid w:val="00A734B5"/>
    <w:rsid w:val="00A73A9C"/>
    <w:rsid w:val="00A73AEE"/>
    <w:rsid w:val="00A73FC6"/>
    <w:rsid w:val="00A7417A"/>
    <w:rsid w:val="00A75112"/>
    <w:rsid w:val="00A75B56"/>
    <w:rsid w:val="00A75DA1"/>
    <w:rsid w:val="00A7633A"/>
    <w:rsid w:val="00A76371"/>
    <w:rsid w:val="00A765C9"/>
    <w:rsid w:val="00A7677D"/>
    <w:rsid w:val="00A769F4"/>
    <w:rsid w:val="00A76CDA"/>
    <w:rsid w:val="00A76DFE"/>
    <w:rsid w:val="00A76EA4"/>
    <w:rsid w:val="00A77505"/>
    <w:rsid w:val="00A77BDE"/>
    <w:rsid w:val="00A77CBB"/>
    <w:rsid w:val="00A77F64"/>
    <w:rsid w:val="00A801B8"/>
    <w:rsid w:val="00A803AB"/>
    <w:rsid w:val="00A806CA"/>
    <w:rsid w:val="00A80B41"/>
    <w:rsid w:val="00A80C35"/>
    <w:rsid w:val="00A81415"/>
    <w:rsid w:val="00A81E7A"/>
    <w:rsid w:val="00A81F82"/>
    <w:rsid w:val="00A82CA8"/>
    <w:rsid w:val="00A83382"/>
    <w:rsid w:val="00A837B1"/>
    <w:rsid w:val="00A83ED5"/>
    <w:rsid w:val="00A841B0"/>
    <w:rsid w:val="00A848A2"/>
    <w:rsid w:val="00A84EAA"/>
    <w:rsid w:val="00A84EC9"/>
    <w:rsid w:val="00A84FA9"/>
    <w:rsid w:val="00A8518D"/>
    <w:rsid w:val="00A85700"/>
    <w:rsid w:val="00A858D6"/>
    <w:rsid w:val="00A85A2B"/>
    <w:rsid w:val="00A85D7C"/>
    <w:rsid w:val="00A86148"/>
    <w:rsid w:val="00A86539"/>
    <w:rsid w:val="00A8671D"/>
    <w:rsid w:val="00A86E0A"/>
    <w:rsid w:val="00A87AC9"/>
    <w:rsid w:val="00A9034F"/>
    <w:rsid w:val="00A92CE3"/>
    <w:rsid w:val="00A92F77"/>
    <w:rsid w:val="00A931BC"/>
    <w:rsid w:val="00A93543"/>
    <w:rsid w:val="00A93C1C"/>
    <w:rsid w:val="00A93E88"/>
    <w:rsid w:val="00A93F16"/>
    <w:rsid w:val="00A93F6B"/>
    <w:rsid w:val="00A94135"/>
    <w:rsid w:val="00A94316"/>
    <w:rsid w:val="00A9438F"/>
    <w:rsid w:val="00A945C6"/>
    <w:rsid w:val="00A949CF"/>
    <w:rsid w:val="00A94D00"/>
    <w:rsid w:val="00A94EC9"/>
    <w:rsid w:val="00A94EFC"/>
    <w:rsid w:val="00A95B02"/>
    <w:rsid w:val="00A95CC8"/>
    <w:rsid w:val="00A963DD"/>
    <w:rsid w:val="00A9644D"/>
    <w:rsid w:val="00A96B52"/>
    <w:rsid w:val="00A973D2"/>
    <w:rsid w:val="00AA07C1"/>
    <w:rsid w:val="00AA1044"/>
    <w:rsid w:val="00AA1549"/>
    <w:rsid w:val="00AA1681"/>
    <w:rsid w:val="00AA1CEE"/>
    <w:rsid w:val="00AA2A06"/>
    <w:rsid w:val="00AA2EA6"/>
    <w:rsid w:val="00AA2FA1"/>
    <w:rsid w:val="00AA3F16"/>
    <w:rsid w:val="00AA51C1"/>
    <w:rsid w:val="00AA6156"/>
    <w:rsid w:val="00AA65FF"/>
    <w:rsid w:val="00AA6D2E"/>
    <w:rsid w:val="00AA6ED8"/>
    <w:rsid w:val="00AA6EE2"/>
    <w:rsid w:val="00AA73AC"/>
    <w:rsid w:val="00AA7409"/>
    <w:rsid w:val="00AA7B1C"/>
    <w:rsid w:val="00AA7B77"/>
    <w:rsid w:val="00AB09DF"/>
    <w:rsid w:val="00AB1837"/>
    <w:rsid w:val="00AB187A"/>
    <w:rsid w:val="00AB197C"/>
    <w:rsid w:val="00AB3465"/>
    <w:rsid w:val="00AB4060"/>
    <w:rsid w:val="00AB47DE"/>
    <w:rsid w:val="00AB4931"/>
    <w:rsid w:val="00AB514A"/>
    <w:rsid w:val="00AB515A"/>
    <w:rsid w:val="00AB5192"/>
    <w:rsid w:val="00AB5358"/>
    <w:rsid w:val="00AB5861"/>
    <w:rsid w:val="00AB67D8"/>
    <w:rsid w:val="00AB6BAD"/>
    <w:rsid w:val="00AB6EEF"/>
    <w:rsid w:val="00AB7459"/>
    <w:rsid w:val="00AC078D"/>
    <w:rsid w:val="00AC0D5F"/>
    <w:rsid w:val="00AC133B"/>
    <w:rsid w:val="00AC14D5"/>
    <w:rsid w:val="00AC17AA"/>
    <w:rsid w:val="00AC1DF2"/>
    <w:rsid w:val="00AC1E12"/>
    <w:rsid w:val="00AC234E"/>
    <w:rsid w:val="00AC2D2E"/>
    <w:rsid w:val="00AC3619"/>
    <w:rsid w:val="00AC3EAC"/>
    <w:rsid w:val="00AC50E3"/>
    <w:rsid w:val="00AC512D"/>
    <w:rsid w:val="00AC5797"/>
    <w:rsid w:val="00AC59CF"/>
    <w:rsid w:val="00AC5AD8"/>
    <w:rsid w:val="00AC5DB0"/>
    <w:rsid w:val="00AC678B"/>
    <w:rsid w:val="00AC6E3B"/>
    <w:rsid w:val="00AD0640"/>
    <w:rsid w:val="00AD0778"/>
    <w:rsid w:val="00AD0D4C"/>
    <w:rsid w:val="00AD35BC"/>
    <w:rsid w:val="00AD4615"/>
    <w:rsid w:val="00AD4BA6"/>
    <w:rsid w:val="00AD4F84"/>
    <w:rsid w:val="00AD51C9"/>
    <w:rsid w:val="00AD542F"/>
    <w:rsid w:val="00AD691C"/>
    <w:rsid w:val="00AD74E6"/>
    <w:rsid w:val="00AD74EA"/>
    <w:rsid w:val="00AD7A16"/>
    <w:rsid w:val="00AD7C21"/>
    <w:rsid w:val="00AE111B"/>
    <w:rsid w:val="00AE157D"/>
    <w:rsid w:val="00AE1801"/>
    <w:rsid w:val="00AE184B"/>
    <w:rsid w:val="00AE293E"/>
    <w:rsid w:val="00AE2A68"/>
    <w:rsid w:val="00AE36AC"/>
    <w:rsid w:val="00AE3A5A"/>
    <w:rsid w:val="00AE452F"/>
    <w:rsid w:val="00AE4E23"/>
    <w:rsid w:val="00AE5012"/>
    <w:rsid w:val="00AE6F5A"/>
    <w:rsid w:val="00AE772D"/>
    <w:rsid w:val="00AE7849"/>
    <w:rsid w:val="00AE78DE"/>
    <w:rsid w:val="00AE7A57"/>
    <w:rsid w:val="00AE7CC1"/>
    <w:rsid w:val="00AF04E2"/>
    <w:rsid w:val="00AF0A70"/>
    <w:rsid w:val="00AF0DF9"/>
    <w:rsid w:val="00AF1105"/>
    <w:rsid w:val="00AF1A88"/>
    <w:rsid w:val="00AF268F"/>
    <w:rsid w:val="00AF318F"/>
    <w:rsid w:val="00AF31CF"/>
    <w:rsid w:val="00AF420E"/>
    <w:rsid w:val="00AF4B11"/>
    <w:rsid w:val="00AF4BC8"/>
    <w:rsid w:val="00AF4BE4"/>
    <w:rsid w:val="00AF4C16"/>
    <w:rsid w:val="00AF4CBB"/>
    <w:rsid w:val="00AF520E"/>
    <w:rsid w:val="00AF52D4"/>
    <w:rsid w:val="00AF568D"/>
    <w:rsid w:val="00AF7178"/>
    <w:rsid w:val="00AF7685"/>
    <w:rsid w:val="00B00071"/>
    <w:rsid w:val="00B00DC9"/>
    <w:rsid w:val="00B0230D"/>
    <w:rsid w:val="00B02FAB"/>
    <w:rsid w:val="00B03C06"/>
    <w:rsid w:val="00B03D33"/>
    <w:rsid w:val="00B040CC"/>
    <w:rsid w:val="00B044B4"/>
    <w:rsid w:val="00B04C4A"/>
    <w:rsid w:val="00B0529B"/>
    <w:rsid w:val="00B05A6C"/>
    <w:rsid w:val="00B05B8E"/>
    <w:rsid w:val="00B05CD6"/>
    <w:rsid w:val="00B05E21"/>
    <w:rsid w:val="00B06079"/>
    <w:rsid w:val="00B06518"/>
    <w:rsid w:val="00B06E09"/>
    <w:rsid w:val="00B0771E"/>
    <w:rsid w:val="00B07AA2"/>
    <w:rsid w:val="00B10316"/>
    <w:rsid w:val="00B10A95"/>
    <w:rsid w:val="00B112C0"/>
    <w:rsid w:val="00B113A9"/>
    <w:rsid w:val="00B11EA0"/>
    <w:rsid w:val="00B12301"/>
    <w:rsid w:val="00B12AF9"/>
    <w:rsid w:val="00B12B5C"/>
    <w:rsid w:val="00B12EA8"/>
    <w:rsid w:val="00B13338"/>
    <w:rsid w:val="00B13955"/>
    <w:rsid w:val="00B13CAF"/>
    <w:rsid w:val="00B13DBF"/>
    <w:rsid w:val="00B140A5"/>
    <w:rsid w:val="00B1542E"/>
    <w:rsid w:val="00B16D36"/>
    <w:rsid w:val="00B16DC4"/>
    <w:rsid w:val="00B17FDB"/>
    <w:rsid w:val="00B20794"/>
    <w:rsid w:val="00B207B7"/>
    <w:rsid w:val="00B20BD3"/>
    <w:rsid w:val="00B20D44"/>
    <w:rsid w:val="00B21728"/>
    <w:rsid w:val="00B21BB1"/>
    <w:rsid w:val="00B21FEB"/>
    <w:rsid w:val="00B225D0"/>
    <w:rsid w:val="00B23AF6"/>
    <w:rsid w:val="00B24012"/>
    <w:rsid w:val="00B2419D"/>
    <w:rsid w:val="00B244F1"/>
    <w:rsid w:val="00B25779"/>
    <w:rsid w:val="00B257B7"/>
    <w:rsid w:val="00B259DF"/>
    <w:rsid w:val="00B25CBD"/>
    <w:rsid w:val="00B25D68"/>
    <w:rsid w:val="00B26E21"/>
    <w:rsid w:val="00B2719F"/>
    <w:rsid w:val="00B2777B"/>
    <w:rsid w:val="00B30120"/>
    <w:rsid w:val="00B30578"/>
    <w:rsid w:val="00B30C37"/>
    <w:rsid w:val="00B30D73"/>
    <w:rsid w:val="00B31AE6"/>
    <w:rsid w:val="00B31C0B"/>
    <w:rsid w:val="00B31E9A"/>
    <w:rsid w:val="00B3238C"/>
    <w:rsid w:val="00B3384E"/>
    <w:rsid w:val="00B33914"/>
    <w:rsid w:val="00B34A96"/>
    <w:rsid w:val="00B34BEA"/>
    <w:rsid w:val="00B35A8B"/>
    <w:rsid w:val="00B36197"/>
    <w:rsid w:val="00B362DE"/>
    <w:rsid w:val="00B367E2"/>
    <w:rsid w:val="00B36858"/>
    <w:rsid w:val="00B36C55"/>
    <w:rsid w:val="00B37849"/>
    <w:rsid w:val="00B37880"/>
    <w:rsid w:val="00B403B2"/>
    <w:rsid w:val="00B40E4C"/>
    <w:rsid w:val="00B4154D"/>
    <w:rsid w:val="00B42093"/>
    <w:rsid w:val="00B4220C"/>
    <w:rsid w:val="00B43206"/>
    <w:rsid w:val="00B438F3"/>
    <w:rsid w:val="00B445D7"/>
    <w:rsid w:val="00B446C2"/>
    <w:rsid w:val="00B44840"/>
    <w:rsid w:val="00B448A4"/>
    <w:rsid w:val="00B4529B"/>
    <w:rsid w:val="00B45541"/>
    <w:rsid w:val="00B45E6A"/>
    <w:rsid w:val="00B4656A"/>
    <w:rsid w:val="00B46924"/>
    <w:rsid w:val="00B46987"/>
    <w:rsid w:val="00B46C94"/>
    <w:rsid w:val="00B46EC3"/>
    <w:rsid w:val="00B46EFA"/>
    <w:rsid w:val="00B4773C"/>
    <w:rsid w:val="00B47BCA"/>
    <w:rsid w:val="00B5010F"/>
    <w:rsid w:val="00B50E03"/>
    <w:rsid w:val="00B51CF3"/>
    <w:rsid w:val="00B52156"/>
    <w:rsid w:val="00B5347E"/>
    <w:rsid w:val="00B53793"/>
    <w:rsid w:val="00B5383F"/>
    <w:rsid w:val="00B53972"/>
    <w:rsid w:val="00B542DE"/>
    <w:rsid w:val="00B55BD3"/>
    <w:rsid w:val="00B55CAC"/>
    <w:rsid w:val="00B561CA"/>
    <w:rsid w:val="00B56359"/>
    <w:rsid w:val="00B56A22"/>
    <w:rsid w:val="00B56D6A"/>
    <w:rsid w:val="00B56F50"/>
    <w:rsid w:val="00B6068F"/>
    <w:rsid w:val="00B61C73"/>
    <w:rsid w:val="00B63006"/>
    <w:rsid w:val="00B63460"/>
    <w:rsid w:val="00B6373A"/>
    <w:rsid w:val="00B63DC3"/>
    <w:rsid w:val="00B64D69"/>
    <w:rsid w:val="00B65CDC"/>
    <w:rsid w:val="00B660CA"/>
    <w:rsid w:val="00B66C04"/>
    <w:rsid w:val="00B66C37"/>
    <w:rsid w:val="00B66D20"/>
    <w:rsid w:val="00B66E57"/>
    <w:rsid w:val="00B67119"/>
    <w:rsid w:val="00B67161"/>
    <w:rsid w:val="00B6757C"/>
    <w:rsid w:val="00B704F1"/>
    <w:rsid w:val="00B70522"/>
    <w:rsid w:val="00B70F1B"/>
    <w:rsid w:val="00B711A9"/>
    <w:rsid w:val="00B71675"/>
    <w:rsid w:val="00B71B62"/>
    <w:rsid w:val="00B721CA"/>
    <w:rsid w:val="00B73D66"/>
    <w:rsid w:val="00B742C8"/>
    <w:rsid w:val="00B75BC0"/>
    <w:rsid w:val="00B76219"/>
    <w:rsid w:val="00B7636B"/>
    <w:rsid w:val="00B76492"/>
    <w:rsid w:val="00B764CC"/>
    <w:rsid w:val="00B7796D"/>
    <w:rsid w:val="00B77C00"/>
    <w:rsid w:val="00B77DED"/>
    <w:rsid w:val="00B80056"/>
    <w:rsid w:val="00B80B83"/>
    <w:rsid w:val="00B80E42"/>
    <w:rsid w:val="00B80F54"/>
    <w:rsid w:val="00B81744"/>
    <w:rsid w:val="00B82171"/>
    <w:rsid w:val="00B8254D"/>
    <w:rsid w:val="00B82631"/>
    <w:rsid w:val="00B827DC"/>
    <w:rsid w:val="00B82D6A"/>
    <w:rsid w:val="00B83300"/>
    <w:rsid w:val="00B83701"/>
    <w:rsid w:val="00B83BDF"/>
    <w:rsid w:val="00B83C3D"/>
    <w:rsid w:val="00B846E9"/>
    <w:rsid w:val="00B84C0B"/>
    <w:rsid w:val="00B84FDF"/>
    <w:rsid w:val="00B8560C"/>
    <w:rsid w:val="00B8588D"/>
    <w:rsid w:val="00B85948"/>
    <w:rsid w:val="00B85FA2"/>
    <w:rsid w:val="00B85FA6"/>
    <w:rsid w:val="00B863A0"/>
    <w:rsid w:val="00B86ACB"/>
    <w:rsid w:val="00B87E8B"/>
    <w:rsid w:val="00B900EB"/>
    <w:rsid w:val="00B91224"/>
    <w:rsid w:val="00B925F8"/>
    <w:rsid w:val="00B92D13"/>
    <w:rsid w:val="00B93061"/>
    <w:rsid w:val="00B93418"/>
    <w:rsid w:val="00B9357F"/>
    <w:rsid w:val="00B939D2"/>
    <w:rsid w:val="00B940E0"/>
    <w:rsid w:val="00B94984"/>
    <w:rsid w:val="00B95A53"/>
    <w:rsid w:val="00B963B5"/>
    <w:rsid w:val="00B968F3"/>
    <w:rsid w:val="00B96B35"/>
    <w:rsid w:val="00B96F9D"/>
    <w:rsid w:val="00BA01AB"/>
    <w:rsid w:val="00BA021F"/>
    <w:rsid w:val="00BA0775"/>
    <w:rsid w:val="00BA0907"/>
    <w:rsid w:val="00BA0DE8"/>
    <w:rsid w:val="00BA1249"/>
    <w:rsid w:val="00BA2163"/>
    <w:rsid w:val="00BA3282"/>
    <w:rsid w:val="00BA3306"/>
    <w:rsid w:val="00BA365A"/>
    <w:rsid w:val="00BA3D95"/>
    <w:rsid w:val="00BA40D2"/>
    <w:rsid w:val="00BA45E1"/>
    <w:rsid w:val="00BA5724"/>
    <w:rsid w:val="00BA5F00"/>
    <w:rsid w:val="00BA61BF"/>
    <w:rsid w:val="00BA6A8C"/>
    <w:rsid w:val="00BA73EE"/>
    <w:rsid w:val="00BB0EC7"/>
    <w:rsid w:val="00BB11EF"/>
    <w:rsid w:val="00BB2329"/>
    <w:rsid w:val="00BB251B"/>
    <w:rsid w:val="00BB2B67"/>
    <w:rsid w:val="00BB2D04"/>
    <w:rsid w:val="00BB3110"/>
    <w:rsid w:val="00BB3E03"/>
    <w:rsid w:val="00BB3F45"/>
    <w:rsid w:val="00BB4326"/>
    <w:rsid w:val="00BB54A6"/>
    <w:rsid w:val="00BB55EE"/>
    <w:rsid w:val="00BB5FC6"/>
    <w:rsid w:val="00BB5FE8"/>
    <w:rsid w:val="00BB5FF9"/>
    <w:rsid w:val="00BB6754"/>
    <w:rsid w:val="00BB6875"/>
    <w:rsid w:val="00BB71D1"/>
    <w:rsid w:val="00BC05AF"/>
    <w:rsid w:val="00BC0906"/>
    <w:rsid w:val="00BC0A62"/>
    <w:rsid w:val="00BC1CAF"/>
    <w:rsid w:val="00BC1ECD"/>
    <w:rsid w:val="00BC21F1"/>
    <w:rsid w:val="00BC3201"/>
    <w:rsid w:val="00BC560C"/>
    <w:rsid w:val="00BC5965"/>
    <w:rsid w:val="00BC5FC4"/>
    <w:rsid w:val="00BC6435"/>
    <w:rsid w:val="00BC6F7B"/>
    <w:rsid w:val="00BC7715"/>
    <w:rsid w:val="00BC77C0"/>
    <w:rsid w:val="00BC7C53"/>
    <w:rsid w:val="00BD03EC"/>
    <w:rsid w:val="00BD0C0C"/>
    <w:rsid w:val="00BD113E"/>
    <w:rsid w:val="00BD1421"/>
    <w:rsid w:val="00BD1C6A"/>
    <w:rsid w:val="00BD2339"/>
    <w:rsid w:val="00BD3962"/>
    <w:rsid w:val="00BD4013"/>
    <w:rsid w:val="00BD45EB"/>
    <w:rsid w:val="00BD478F"/>
    <w:rsid w:val="00BD495E"/>
    <w:rsid w:val="00BD540B"/>
    <w:rsid w:val="00BD590A"/>
    <w:rsid w:val="00BD5FBA"/>
    <w:rsid w:val="00BD6352"/>
    <w:rsid w:val="00BD647A"/>
    <w:rsid w:val="00BD6507"/>
    <w:rsid w:val="00BD7639"/>
    <w:rsid w:val="00BD7889"/>
    <w:rsid w:val="00BD7981"/>
    <w:rsid w:val="00BE07C5"/>
    <w:rsid w:val="00BE0DF9"/>
    <w:rsid w:val="00BE1030"/>
    <w:rsid w:val="00BE12B2"/>
    <w:rsid w:val="00BE2286"/>
    <w:rsid w:val="00BE242C"/>
    <w:rsid w:val="00BE2595"/>
    <w:rsid w:val="00BE3211"/>
    <w:rsid w:val="00BE3A29"/>
    <w:rsid w:val="00BE3CAA"/>
    <w:rsid w:val="00BE3D49"/>
    <w:rsid w:val="00BE3E5F"/>
    <w:rsid w:val="00BE4254"/>
    <w:rsid w:val="00BE4CF6"/>
    <w:rsid w:val="00BE583A"/>
    <w:rsid w:val="00BE619D"/>
    <w:rsid w:val="00BE7871"/>
    <w:rsid w:val="00BF0BEA"/>
    <w:rsid w:val="00BF0D5E"/>
    <w:rsid w:val="00BF1074"/>
    <w:rsid w:val="00BF10F5"/>
    <w:rsid w:val="00BF1548"/>
    <w:rsid w:val="00BF27E0"/>
    <w:rsid w:val="00BF2A2F"/>
    <w:rsid w:val="00BF2FF5"/>
    <w:rsid w:val="00BF3B0C"/>
    <w:rsid w:val="00BF5716"/>
    <w:rsid w:val="00BF5AE3"/>
    <w:rsid w:val="00BF5DBA"/>
    <w:rsid w:val="00BF5F98"/>
    <w:rsid w:val="00BF67FC"/>
    <w:rsid w:val="00BF694B"/>
    <w:rsid w:val="00BF7E30"/>
    <w:rsid w:val="00C000F2"/>
    <w:rsid w:val="00C0040B"/>
    <w:rsid w:val="00C00633"/>
    <w:rsid w:val="00C008C5"/>
    <w:rsid w:val="00C01A43"/>
    <w:rsid w:val="00C02056"/>
    <w:rsid w:val="00C022D1"/>
    <w:rsid w:val="00C02A8D"/>
    <w:rsid w:val="00C031FA"/>
    <w:rsid w:val="00C0322D"/>
    <w:rsid w:val="00C03A20"/>
    <w:rsid w:val="00C0408D"/>
    <w:rsid w:val="00C0418A"/>
    <w:rsid w:val="00C047F2"/>
    <w:rsid w:val="00C04A22"/>
    <w:rsid w:val="00C05448"/>
    <w:rsid w:val="00C054A8"/>
    <w:rsid w:val="00C05659"/>
    <w:rsid w:val="00C05C83"/>
    <w:rsid w:val="00C05EB4"/>
    <w:rsid w:val="00C063DF"/>
    <w:rsid w:val="00C06459"/>
    <w:rsid w:val="00C06DFB"/>
    <w:rsid w:val="00C06E71"/>
    <w:rsid w:val="00C07417"/>
    <w:rsid w:val="00C07BBA"/>
    <w:rsid w:val="00C10407"/>
    <w:rsid w:val="00C104D5"/>
    <w:rsid w:val="00C10B20"/>
    <w:rsid w:val="00C10B79"/>
    <w:rsid w:val="00C110F8"/>
    <w:rsid w:val="00C115F0"/>
    <w:rsid w:val="00C12645"/>
    <w:rsid w:val="00C128DD"/>
    <w:rsid w:val="00C137E2"/>
    <w:rsid w:val="00C13805"/>
    <w:rsid w:val="00C13FBB"/>
    <w:rsid w:val="00C14191"/>
    <w:rsid w:val="00C14AB0"/>
    <w:rsid w:val="00C1554B"/>
    <w:rsid w:val="00C164A4"/>
    <w:rsid w:val="00C16ACC"/>
    <w:rsid w:val="00C16EC8"/>
    <w:rsid w:val="00C17105"/>
    <w:rsid w:val="00C173A7"/>
    <w:rsid w:val="00C17699"/>
    <w:rsid w:val="00C177C9"/>
    <w:rsid w:val="00C17CB7"/>
    <w:rsid w:val="00C2011C"/>
    <w:rsid w:val="00C20419"/>
    <w:rsid w:val="00C2162A"/>
    <w:rsid w:val="00C221BF"/>
    <w:rsid w:val="00C22A12"/>
    <w:rsid w:val="00C23D35"/>
    <w:rsid w:val="00C23FEA"/>
    <w:rsid w:val="00C241E1"/>
    <w:rsid w:val="00C24D6E"/>
    <w:rsid w:val="00C24F04"/>
    <w:rsid w:val="00C2559A"/>
    <w:rsid w:val="00C255D4"/>
    <w:rsid w:val="00C262DC"/>
    <w:rsid w:val="00C268CF"/>
    <w:rsid w:val="00C26F79"/>
    <w:rsid w:val="00C30695"/>
    <w:rsid w:val="00C31220"/>
    <w:rsid w:val="00C317F3"/>
    <w:rsid w:val="00C31E87"/>
    <w:rsid w:val="00C32157"/>
    <w:rsid w:val="00C329EB"/>
    <w:rsid w:val="00C32B45"/>
    <w:rsid w:val="00C339CC"/>
    <w:rsid w:val="00C341E1"/>
    <w:rsid w:val="00C347F6"/>
    <w:rsid w:val="00C349C2"/>
    <w:rsid w:val="00C34D40"/>
    <w:rsid w:val="00C360C4"/>
    <w:rsid w:val="00C361F4"/>
    <w:rsid w:val="00C36CE8"/>
    <w:rsid w:val="00C37F48"/>
    <w:rsid w:val="00C40066"/>
    <w:rsid w:val="00C409D7"/>
    <w:rsid w:val="00C415B8"/>
    <w:rsid w:val="00C41969"/>
    <w:rsid w:val="00C41B69"/>
    <w:rsid w:val="00C41F0C"/>
    <w:rsid w:val="00C42422"/>
    <w:rsid w:val="00C42DA5"/>
    <w:rsid w:val="00C42F97"/>
    <w:rsid w:val="00C4445C"/>
    <w:rsid w:val="00C444DB"/>
    <w:rsid w:val="00C44C37"/>
    <w:rsid w:val="00C45587"/>
    <w:rsid w:val="00C46AE5"/>
    <w:rsid w:val="00C47654"/>
    <w:rsid w:val="00C47C1A"/>
    <w:rsid w:val="00C47E0A"/>
    <w:rsid w:val="00C47E70"/>
    <w:rsid w:val="00C509C2"/>
    <w:rsid w:val="00C50A84"/>
    <w:rsid w:val="00C51EB3"/>
    <w:rsid w:val="00C51F93"/>
    <w:rsid w:val="00C52283"/>
    <w:rsid w:val="00C529ED"/>
    <w:rsid w:val="00C52BE0"/>
    <w:rsid w:val="00C52DFC"/>
    <w:rsid w:val="00C5482E"/>
    <w:rsid w:val="00C54892"/>
    <w:rsid w:val="00C55239"/>
    <w:rsid w:val="00C56093"/>
    <w:rsid w:val="00C56F14"/>
    <w:rsid w:val="00C57D9B"/>
    <w:rsid w:val="00C57E4D"/>
    <w:rsid w:val="00C60ADC"/>
    <w:rsid w:val="00C60D47"/>
    <w:rsid w:val="00C60F01"/>
    <w:rsid w:val="00C61D38"/>
    <w:rsid w:val="00C622A3"/>
    <w:rsid w:val="00C626E2"/>
    <w:rsid w:val="00C628C8"/>
    <w:rsid w:val="00C62A5A"/>
    <w:rsid w:val="00C62C40"/>
    <w:rsid w:val="00C65198"/>
    <w:rsid w:val="00C65AB4"/>
    <w:rsid w:val="00C66BD6"/>
    <w:rsid w:val="00C66D47"/>
    <w:rsid w:val="00C67BA9"/>
    <w:rsid w:val="00C7091C"/>
    <w:rsid w:val="00C71734"/>
    <w:rsid w:val="00C719BD"/>
    <w:rsid w:val="00C71A5D"/>
    <w:rsid w:val="00C71B0C"/>
    <w:rsid w:val="00C71F6B"/>
    <w:rsid w:val="00C71FDA"/>
    <w:rsid w:val="00C721CC"/>
    <w:rsid w:val="00C723CF"/>
    <w:rsid w:val="00C73340"/>
    <w:rsid w:val="00C733BF"/>
    <w:rsid w:val="00C736E7"/>
    <w:rsid w:val="00C7470E"/>
    <w:rsid w:val="00C7511C"/>
    <w:rsid w:val="00C7519E"/>
    <w:rsid w:val="00C75B1E"/>
    <w:rsid w:val="00C80442"/>
    <w:rsid w:val="00C80874"/>
    <w:rsid w:val="00C80C48"/>
    <w:rsid w:val="00C81A12"/>
    <w:rsid w:val="00C82055"/>
    <w:rsid w:val="00C821DC"/>
    <w:rsid w:val="00C82261"/>
    <w:rsid w:val="00C82346"/>
    <w:rsid w:val="00C82487"/>
    <w:rsid w:val="00C824E4"/>
    <w:rsid w:val="00C8296F"/>
    <w:rsid w:val="00C82AD9"/>
    <w:rsid w:val="00C830B6"/>
    <w:rsid w:val="00C83319"/>
    <w:rsid w:val="00C83539"/>
    <w:rsid w:val="00C8369D"/>
    <w:rsid w:val="00C83FB3"/>
    <w:rsid w:val="00C843C0"/>
    <w:rsid w:val="00C843EE"/>
    <w:rsid w:val="00C846BE"/>
    <w:rsid w:val="00C84C02"/>
    <w:rsid w:val="00C84EED"/>
    <w:rsid w:val="00C8533C"/>
    <w:rsid w:val="00C8574E"/>
    <w:rsid w:val="00C85B60"/>
    <w:rsid w:val="00C867E9"/>
    <w:rsid w:val="00C87120"/>
    <w:rsid w:val="00C8734F"/>
    <w:rsid w:val="00C87A29"/>
    <w:rsid w:val="00C87F5E"/>
    <w:rsid w:val="00C905AB"/>
    <w:rsid w:val="00C907CF"/>
    <w:rsid w:val="00C9095D"/>
    <w:rsid w:val="00C914F8"/>
    <w:rsid w:val="00C9161F"/>
    <w:rsid w:val="00C918A6"/>
    <w:rsid w:val="00C920A1"/>
    <w:rsid w:val="00C9233D"/>
    <w:rsid w:val="00C92FFE"/>
    <w:rsid w:val="00C933E1"/>
    <w:rsid w:val="00C934DC"/>
    <w:rsid w:val="00C93644"/>
    <w:rsid w:val="00C93787"/>
    <w:rsid w:val="00C93AC7"/>
    <w:rsid w:val="00C9433C"/>
    <w:rsid w:val="00C94560"/>
    <w:rsid w:val="00C94B9B"/>
    <w:rsid w:val="00C95408"/>
    <w:rsid w:val="00C957EA"/>
    <w:rsid w:val="00C958F8"/>
    <w:rsid w:val="00C963DE"/>
    <w:rsid w:val="00C979FF"/>
    <w:rsid w:val="00CA0C26"/>
    <w:rsid w:val="00CA0FD9"/>
    <w:rsid w:val="00CA2797"/>
    <w:rsid w:val="00CA29F7"/>
    <w:rsid w:val="00CA2CFF"/>
    <w:rsid w:val="00CA3D4E"/>
    <w:rsid w:val="00CA4288"/>
    <w:rsid w:val="00CA4838"/>
    <w:rsid w:val="00CA4F13"/>
    <w:rsid w:val="00CA5169"/>
    <w:rsid w:val="00CA63CB"/>
    <w:rsid w:val="00CA68F3"/>
    <w:rsid w:val="00CA694A"/>
    <w:rsid w:val="00CA69AC"/>
    <w:rsid w:val="00CA6A91"/>
    <w:rsid w:val="00CA7036"/>
    <w:rsid w:val="00CA75B3"/>
    <w:rsid w:val="00CA75E5"/>
    <w:rsid w:val="00CA792A"/>
    <w:rsid w:val="00CA7E9A"/>
    <w:rsid w:val="00CA7FFB"/>
    <w:rsid w:val="00CB0769"/>
    <w:rsid w:val="00CB07A8"/>
    <w:rsid w:val="00CB0EF7"/>
    <w:rsid w:val="00CB16FC"/>
    <w:rsid w:val="00CB1938"/>
    <w:rsid w:val="00CB2072"/>
    <w:rsid w:val="00CB23F4"/>
    <w:rsid w:val="00CB284B"/>
    <w:rsid w:val="00CB35A5"/>
    <w:rsid w:val="00CB46AF"/>
    <w:rsid w:val="00CB5389"/>
    <w:rsid w:val="00CB606B"/>
    <w:rsid w:val="00CB60CC"/>
    <w:rsid w:val="00CB6B96"/>
    <w:rsid w:val="00CB716D"/>
    <w:rsid w:val="00CB78F9"/>
    <w:rsid w:val="00CB79EF"/>
    <w:rsid w:val="00CB7C1E"/>
    <w:rsid w:val="00CB7E6A"/>
    <w:rsid w:val="00CC044F"/>
    <w:rsid w:val="00CC0845"/>
    <w:rsid w:val="00CC10E1"/>
    <w:rsid w:val="00CC1193"/>
    <w:rsid w:val="00CC3142"/>
    <w:rsid w:val="00CC3164"/>
    <w:rsid w:val="00CC3543"/>
    <w:rsid w:val="00CC3BF4"/>
    <w:rsid w:val="00CC3D0D"/>
    <w:rsid w:val="00CC4081"/>
    <w:rsid w:val="00CC48A2"/>
    <w:rsid w:val="00CC4C25"/>
    <w:rsid w:val="00CC4DC9"/>
    <w:rsid w:val="00CC5899"/>
    <w:rsid w:val="00CC66ED"/>
    <w:rsid w:val="00CC675D"/>
    <w:rsid w:val="00CC6C6C"/>
    <w:rsid w:val="00CC735D"/>
    <w:rsid w:val="00CC79A7"/>
    <w:rsid w:val="00CC7EB2"/>
    <w:rsid w:val="00CC7FD1"/>
    <w:rsid w:val="00CD12E3"/>
    <w:rsid w:val="00CD1DD2"/>
    <w:rsid w:val="00CD22D6"/>
    <w:rsid w:val="00CD2497"/>
    <w:rsid w:val="00CD28A8"/>
    <w:rsid w:val="00CD28FD"/>
    <w:rsid w:val="00CD2D63"/>
    <w:rsid w:val="00CD2DA7"/>
    <w:rsid w:val="00CD31A7"/>
    <w:rsid w:val="00CD3934"/>
    <w:rsid w:val="00CD3E53"/>
    <w:rsid w:val="00CD5BEE"/>
    <w:rsid w:val="00CD5C15"/>
    <w:rsid w:val="00CD6027"/>
    <w:rsid w:val="00CD6327"/>
    <w:rsid w:val="00CD6B31"/>
    <w:rsid w:val="00CD6C7E"/>
    <w:rsid w:val="00CE03B7"/>
    <w:rsid w:val="00CE064E"/>
    <w:rsid w:val="00CE06C1"/>
    <w:rsid w:val="00CE0AC0"/>
    <w:rsid w:val="00CE119E"/>
    <w:rsid w:val="00CE13EB"/>
    <w:rsid w:val="00CE168A"/>
    <w:rsid w:val="00CE29BD"/>
    <w:rsid w:val="00CE2B78"/>
    <w:rsid w:val="00CE2BEE"/>
    <w:rsid w:val="00CE353B"/>
    <w:rsid w:val="00CE3BF2"/>
    <w:rsid w:val="00CE4B1B"/>
    <w:rsid w:val="00CE5848"/>
    <w:rsid w:val="00CE58A1"/>
    <w:rsid w:val="00CE64E7"/>
    <w:rsid w:val="00CE650C"/>
    <w:rsid w:val="00CE7227"/>
    <w:rsid w:val="00CE74A3"/>
    <w:rsid w:val="00CE7A3F"/>
    <w:rsid w:val="00CE7EC1"/>
    <w:rsid w:val="00CF0191"/>
    <w:rsid w:val="00CF0BD5"/>
    <w:rsid w:val="00CF0D38"/>
    <w:rsid w:val="00CF1CAC"/>
    <w:rsid w:val="00CF2841"/>
    <w:rsid w:val="00CF2B76"/>
    <w:rsid w:val="00CF40E5"/>
    <w:rsid w:val="00CF4240"/>
    <w:rsid w:val="00CF4371"/>
    <w:rsid w:val="00CF437B"/>
    <w:rsid w:val="00CF4B11"/>
    <w:rsid w:val="00CF4D27"/>
    <w:rsid w:val="00CF51D6"/>
    <w:rsid w:val="00CF53F0"/>
    <w:rsid w:val="00CF56DC"/>
    <w:rsid w:val="00CF5D79"/>
    <w:rsid w:val="00CF657B"/>
    <w:rsid w:val="00CF6902"/>
    <w:rsid w:val="00CF6F56"/>
    <w:rsid w:val="00D0007D"/>
    <w:rsid w:val="00D008C3"/>
    <w:rsid w:val="00D00951"/>
    <w:rsid w:val="00D00A50"/>
    <w:rsid w:val="00D00B80"/>
    <w:rsid w:val="00D00E73"/>
    <w:rsid w:val="00D00FF7"/>
    <w:rsid w:val="00D01B8C"/>
    <w:rsid w:val="00D01CDA"/>
    <w:rsid w:val="00D026F7"/>
    <w:rsid w:val="00D02DA9"/>
    <w:rsid w:val="00D02DBB"/>
    <w:rsid w:val="00D032AE"/>
    <w:rsid w:val="00D034DD"/>
    <w:rsid w:val="00D04952"/>
    <w:rsid w:val="00D059F9"/>
    <w:rsid w:val="00D061C6"/>
    <w:rsid w:val="00D06A16"/>
    <w:rsid w:val="00D07395"/>
    <w:rsid w:val="00D07520"/>
    <w:rsid w:val="00D07785"/>
    <w:rsid w:val="00D07FF4"/>
    <w:rsid w:val="00D1078F"/>
    <w:rsid w:val="00D10E60"/>
    <w:rsid w:val="00D10EFC"/>
    <w:rsid w:val="00D12550"/>
    <w:rsid w:val="00D12991"/>
    <w:rsid w:val="00D12BFB"/>
    <w:rsid w:val="00D12C01"/>
    <w:rsid w:val="00D12CD2"/>
    <w:rsid w:val="00D12EEC"/>
    <w:rsid w:val="00D134EA"/>
    <w:rsid w:val="00D136A4"/>
    <w:rsid w:val="00D13A7A"/>
    <w:rsid w:val="00D13B64"/>
    <w:rsid w:val="00D13E54"/>
    <w:rsid w:val="00D147D5"/>
    <w:rsid w:val="00D14D23"/>
    <w:rsid w:val="00D15330"/>
    <w:rsid w:val="00D15755"/>
    <w:rsid w:val="00D15B78"/>
    <w:rsid w:val="00D15D8B"/>
    <w:rsid w:val="00D168A9"/>
    <w:rsid w:val="00D16B7F"/>
    <w:rsid w:val="00D16EB9"/>
    <w:rsid w:val="00D177BE"/>
    <w:rsid w:val="00D17984"/>
    <w:rsid w:val="00D17BFD"/>
    <w:rsid w:val="00D2016C"/>
    <w:rsid w:val="00D20EBB"/>
    <w:rsid w:val="00D212AD"/>
    <w:rsid w:val="00D2165D"/>
    <w:rsid w:val="00D216AD"/>
    <w:rsid w:val="00D218A9"/>
    <w:rsid w:val="00D21968"/>
    <w:rsid w:val="00D2243F"/>
    <w:rsid w:val="00D23207"/>
    <w:rsid w:val="00D23ADA"/>
    <w:rsid w:val="00D248E3"/>
    <w:rsid w:val="00D24D4B"/>
    <w:rsid w:val="00D24DAD"/>
    <w:rsid w:val="00D25916"/>
    <w:rsid w:val="00D26259"/>
    <w:rsid w:val="00D26380"/>
    <w:rsid w:val="00D2646F"/>
    <w:rsid w:val="00D26D97"/>
    <w:rsid w:val="00D27268"/>
    <w:rsid w:val="00D27DE9"/>
    <w:rsid w:val="00D301D9"/>
    <w:rsid w:val="00D3094D"/>
    <w:rsid w:val="00D30AA5"/>
    <w:rsid w:val="00D3104E"/>
    <w:rsid w:val="00D31494"/>
    <w:rsid w:val="00D3166C"/>
    <w:rsid w:val="00D329E6"/>
    <w:rsid w:val="00D33018"/>
    <w:rsid w:val="00D33287"/>
    <w:rsid w:val="00D340C0"/>
    <w:rsid w:val="00D348D2"/>
    <w:rsid w:val="00D35D6F"/>
    <w:rsid w:val="00D364E9"/>
    <w:rsid w:val="00D366DA"/>
    <w:rsid w:val="00D3696A"/>
    <w:rsid w:val="00D3698B"/>
    <w:rsid w:val="00D36A02"/>
    <w:rsid w:val="00D36F99"/>
    <w:rsid w:val="00D37277"/>
    <w:rsid w:val="00D37972"/>
    <w:rsid w:val="00D379D9"/>
    <w:rsid w:val="00D40896"/>
    <w:rsid w:val="00D40DA0"/>
    <w:rsid w:val="00D41125"/>
    <w:rsid w:val="00D41534"/>
    <w:rsid w:val="00D418AF"/>
    <w:rsid w:val="00D420F7"/>
    <w:rsid w:val="00D42502"/>
    <w:rsid w:val="00D42650"/>
    <w:rsid w:val="00D4270E"/>
    <w:rsid w:val="00D42CE3"/>
    <w:rsid w:val="00D43AE9"/>
    <w:rsid w:val="00D449FA"/>
    <w:rsid w:val="00D44A32"/>
    <w:rsid w:val="00D451FC"/>
    <w:rsid w:val="00D45850"/>
    <w:rsid w:val="00D46358"/>
    <w:rsid w:val="00D4670A"/>
    <w:rsid w:val="00D46989"/>
    <w:rsid w:val="00D4780B"/>
    <w:rsid w:val="00D47BD5"/>
    <w:rsid w:val="00D5004A"/>
    <w:rsid w:val="00D5161D"/>
    <w:rsid w:val="00D51799"/>
    <w:rsid w:val="00D51E8D"/>
    <w:rsid w:val="00D5238F"/>
    <w:rsid w:val="00D52CC3"/>
    <w:rsid w:val="00D539A0"/>
    <w:rsid w:val="00D53C20"/>
    <w:rsid w:val="00D53F67"/>
    <w:rsid w:val="00D5426C"/>
    <w:rsid w:val="00D544E9"/>
    <w:rsid w:val="00D54886"/>
    <w:rsid w:val="00D54F48"/>
    <w:rsid w:val="00D55BD8"/>
    <w:rsid w:val="00D55E0F"/>
    <w:rsid w:val="00D55F1E"/>
    <w:rsid w:val="00D560E6"/>
    <w:rsid w:val="00D563D2"/>
    <w:rsid w:val="00D56F07"/>
    <w:rsid w:val="00D579FE"/>
    <w:rsid w:val="00D6060D"/>
    <w:rsid w:val="00D60B23"/>
    <w:rsid w:val="00D61286"/>
    <w:rsid w:val="00D616F5"/>
    <w:rsid w:val="00D61769"/>
    <w:rsid w:val="00D61D1A"/>
    <w:rsid w:val="00D61F15"/>
    <w:rsid w:val="00D62756"/>
    <w:rsid w:val="00D62B59"/>
    <w:rsid w:val="00D62D45"/>
    <w:rsid w:val="00D63BB9"/>
    <w:rsid w:val="00D63C48"/>
    <w:rsid w:val="00D64289"/>
    <w:rsid w:val="00D644B3"/>
    <w:rsid w:val="00D647EC"/>
    <w:rsid w:val="00D65178"/>
    <w:rsid w:val="00D6614F"/>
    <w:rsid w:val="00D6667B"/>
    <w:rsid w:val="00D67A20"/>
    <w:rsid w:val="00D702E0"/>
    <w:rsid w:val="00D70497"/>
    <w:rsid w:val="00D70893"/>
    <w:rsid w:val="00D70C1D"/>
    <w:rsid w:val="00D70DD2"/>
    <w:rsid w:val="00D71011"/>
    <w:rsid w:val="00D71194"/>
    <w:rsid w:val="00D713BC"/>
    <w:rsid w:val="00D71400"/>
    <w:rsid w:val="00D7174E"/>
    <w:rsid w:val="00D7296B"/>
    <w:rsid w:val="00D72BF0"/>
    <w:rsid w:val="00D73185"/>
    <w:rsid w:val="00D73725"/>
    <w:rsid w:val="00D73739"/>
    <w:rsid w:val="00D743FE"/>
    <w:rsid w:val="00D74C8F"/>
    <w:rsid w:val="00D74EEC"/>
    <w:rsid w:val="00D75583"/>
    <w:rsid w:val="00D762F3"/>
    <w:rsid w:val="00D766C1"/>
    <w:rsid w:val="00D76F62"/>
    <w:rsid w:val="00D776E5"/>
    <w:rsid w:val="00D777D4"/>
    <w:rsid w:val="00D77C25"/>
    <w:rsid w:val="00D81006"/>
    <w:rsid w:val="00D820CB"/>
    <w:rsid w:val="00D825E3"/>
    <w:rsid w:val="00D82F28"/>
    <w:rsid w:val="00D8366C"/>
    <w:rsid w:val="00D83C7C"/>
    <w:rsid w:val="00D83CE3"/>
    <w:rsid w:val="00D8441F"/>
    <w:rsid w:val="00D844F7"/>
    <w:rsid w:val="00D848A7"/>
    <w:rsid w:val="00D85DEA"/>
    <w:rsid w:val="00D8672D"/>
    <w:rsid w:val="00D86DB5"/>
    <w:rsid w:val="00D87528"/>
    <w:rsid w:val="00D87C64"/>
    <w:rsid w:val="00D90000"/>
    <w:rsid w:val="00D90249"/>
    <w:rsid w:val="00D90636"/>
    <w:rsid w:val="00D90D1F"/>
    <w:rsid w:val="00D90F75"/>
    <w:rsid w:val="00D93937"/>
    <w:rsid w:val="00D93CA8"/>
    <w:rsid w:val="00D93D75"/>
    <w:rsid w:val="00D94C13"/>
    <w:rsid w:val="00D952B4"/>
    <w:rsid w:val="00D95394"/>
    <w:rsid w:val="00D9617B"/>
    <w:rsid w:val="00D9622C"/>
    <w:rsid w:val="00D970E7"/>
    <w:rsid w:val="00D97837"/>
    <w:rsid w:val="00D97C78"/>
    <w:rsid w:val="00DA0061"/>
    <w:rsid w:val="00DA01E5"/>
    <w:rsid w:val="00DA032B"/>
    <w:rsid w:val="00DA0456"/>
    <w:rsid w:val="00DA05A4"/>
    <w:rsid w:val="00DA1838"/>
    <w:rsid w:val="00DA1DE8"/>
    <w:rsid w:val="00DA331A"/>
    <w:rsid w:val="00DA45A1"/>
    <w:rsid w:val="00DA477C"/>
    <w:rsid w:val="00DA4D42"/>
    <w:rsid w:val="00DA55BB"/>
    <w:rsid w:val="00DA59E8"/>
    <w:rsid w:val="00DA5BA4"/>
    <w:rsid w:val="00DA5E2B"/>
    <w:rsid w:val="00DA73EE"/>
    <w:rsid w:val="00DA7676"/>
    <w:rsid w:val="00DA771A"/>
    <w:rsid w:val="00DA7906"/>
    <w:rsid w:val="00DA7C1F"/>
    <w:rsid w:val="00DA7CF9"/>
    <w:rsid w:val="00DB05E8"/>
    <w:rsid w:val="00DB0EDA"/>
    <w:rsid w:val="00DB1CFB"/>
    <w:rsid w:val="00DB2410"/>
    <w:rsid w:val="00DB2F1C"/>
    <w:rsid w:val="00DB4215"/>
    <w:rsid w:val="00DB5023"/>
    <w:rsid w:val="00DB5AF6"/>
    <w:rsid w:val="00DB649D"/>
    <w:rsid w:val="00DB64BA"/>
    <w:rsid w:val="00DB64FE"/>
    <w:rsid w:val="00DB6C5F"/>
    <w:rsid w:val="00DB7C88"/>
    <w:rsid w:val="00DC0547"/>
    <w:rsid w:val="00DC09BB"/>
    <w:rsid w:val="00DC0AFF"/>
    <w:rsid w:val="00DC0BA0"/>
    <w:rsid w:val="00DC1743"/>
    <w:rsid w:val="00DC18A8"/>
    <w:rsid w:val="00DC1929"/>
    <w:rsid w:val="00DC1C1C"/>
    <w:rsid w:val="00DC26A1"/>
    <w:rsid w:val="00DC273B"/>
    <w:rsid w:val="00DC28ED"/>
    <w:rsid w:val="00DC30CB"/>
    <w:rsid w:val="00DC314B"/>
    <w:rsid w:val="00DC482E"/>
    <w:rsid w:val="00DC4B73"/>
    <w:rsid w:val="00DC4CC9"/>
    <w:rsid w:val="00DC4F8A"/>
    <w:rsid w:val="00DC6EAD"/>
    <w:rsid w:val="00DC6ECE"/>
    <w:rsid w:val="00DC6F32"/>
    <w:rsid w:val="00DC7746"/>
    <w:rsid w:val="00DC7949"/>
    <w:rsid w:val="00DD0E47"/>
    <w:rsid w:val="00DD110E"/>
    <w:rsid w:val="00DD2409"/>
    <w:rsid w:val="00DD2C85"/>
    <w:rsid w:val="00DD3049"/>
    <w:rsid w:val="00DD30CC"/>
    <w:rsid w:val="00DD3227"/>
    <w:rsid w:val="00DD392E"/>
    <w:rsid w:val="00DD3AC6"/>
    <w:rsid w:val="00DD452A"/>
    <w:rsid w:val="00DD4AB8"/>
    <w:rsid w:val="00DD4C06"/>
    <w:rsid w:val="00DD5143"/>
    <w:rsid w:val="00DD52E1"/>
    <w:rsid w:val="00DD5714"/>
    <w:rsid w:val="00DD624A"/>
    <w:rsid w:val="00DD6566"/>
    <w:rsid w:val="00DD67C0"/>
    <w:rsid w:val="00DD7353"/>
    <w:rsid w:val="00DD7454"/>
    <w:rsid w:val="00DD7812"/>
    <w:rsid w:val="00DD78DE"/>
    <w:rsid w:val="00DD7C0F"/>
    <w:rsid w:val="00DE00F3"/>
    <w:rsid w:val="00DE0E25"/>
    <w:rsid w:val="00DE13BC"/>
    <w:rsid w:val="00DE1F52"/>
    <w:rsid w:val="00DE200D"/>
    <w:rsid w:val="00DE30E2"/>
    <w:rsid w:val="00DE34AC"/>
    <w:rsid w:val="00DE3A9A"/>
    <w:rsid w:val="00DE3AA4"/>
    <w:rsid w:val="00DE3E27"/>
    <w:rsid w:val="00DE5069"/>
    <w:rsid w:val="00DE512B"/>
    <w:rsid w:val="00DE6421"/>
    <w:rsid w:val="00DE652D"/>
    <w:rsid w:val="00DE705E"/>
    <w:rsid w:val="00DE706B"/>
    <w:rsid w:val="00DE74A7"/>
    <w:rsid w:val="00DE7D90"/>
    <w:rsid w:val="00DE7E07"/>
    <w:rsid w:val="00DF04DF"/>
    <w:rsid w:val="00DF0F10"/>
    <w:rsid w:val="00DF1211"/>
    <w:rsid w:val="00DF16C0"/>
    <w:rsid w:val="00DF203A"/>
    <w:rsid w:val="00DF2D1A"/>
    <w:rsid w:val="00DF3246"/>
    <w:rsid w:val="00DF36F5"/>
    <w:rsid w:val="00DF383C"/>
    <w:rsid w:val="00DF3923"/>
    <w:rsid w:val="00DF39F7"/>
    <w:rsid w:val="00DF3A42"/>
    <w:rsid w:val="00DF469D"/>
    <w:rsid w:val="00DF52EF"/>
    <w:rsid w:val="00DF548B"/>
    <w:rsid w:val="00DF54DC"/>
    <w:rsid w:val="00DF5BD5"/>
    <w:rsid w:val="00DF5CFD"/>
    <w:rsid w:val="00DF6C28"/>
    <w:rsid w:val="00DF6CD0"/>
    <w:rsid w:val="00E00028"/>
    <w:rsid w:val="00E00210"/>
    <w:rsid w:val="00E00343"/>
    <w:rsid w:val="00E011AE"/>
    <w:rsid w:val="00E0121D"/>
    <w:rsid w:val="00E01314"/>
    <w:rsid w:val="00E01465"/>
    <w:rsid w:val="00E0187F"/>
    <w:rsid w:val="00E0193C"/>
    <w:rsid w:val="00E01D22"/>
    <w:rsid w:val="00E0242C"/>
    <w:rsid w:val="00E024BE"/>
    <w:rsid w:val="00E02506"/>
    <w:rsid w:val="00E041E4"/>
    <w:rsid w:val="00E045B2"/>
    <w:rsid w:val="00E047BF"/>
    <w:rsid w:val="00E05038"/>
    <w:rsid w:val="00E052AA"/>
    <w:rsid w:val="00E05FBC"/>
    <w:rsid w:val="00E0664C"/>
    <w:rsid w:val="00E06F4A"/>
    <w:rsid w:val="00E07209"/>
    <w:rsid w:val="00E07DE5"/>
    <w:rsid w:val="00E10857"/>
    <w:rsid w:val="00E10B7D"/>
    <w:rsid w:val="00E11461"/>
    <w:rsid w:val="00E12430"/>
    <w:rsid w:val="00E133DD"/>
    <w:rsid w:val="00E1370A"/>
    <w:rsid w:val="00E140E7"/>
    <w:rsid w:val="00E147EC"/>
    <w:rsid w:val="00E14D2F"/>
    <w:rsid w:val="00E151B4"/>
    <w:rsid w:val="00E15DC5"/>
    <w:rsid w:val="00E15DD4"/>
    <w:rsid w:val="00E17443"/>
    <w:rsid w:val="00E177FC"/>
    <w:rsid w:val="00E17CE2"/>
    <w:rsid w:val="00E20012"/>
    <w:rsid w:val="00E216B6"/>
    <w:rsid w:val="00E21C10"/>
    <w:rsid w:val="00E2267B"/>
    <w:rsid w:val="00E227EA"/>
    <w:rsid w:val="00E23426"/>
    <w:rsid w:val="00E23660"/>
    <w:rsid w:val="00E236E3"/>
    <w:rsid w:val="00E248D5"/>
    <w:rsid w:val="00E252B3"/>
    <w:rsid w:val="00E254C0"/>
    <w:rsid w:val="00E25D3B"/>
    <w:rsid w:val="00E264A6"/>
    <w:rsid w:val="00E26AC9"/>
    <w:rsid w:val="00E2761D"/>
    <w:rsid w:val="00E27C0E"/>
    <w:rsid w:val="00E30082"/>
    <w:rsid w:val="00E31326"/>
    <w:rsid w:val="00E31A1E"/>
    <w:rsid w:val="00E31B9C"/>
    <w:rsid w:val="00E323C0"/>
    <w:rsid w:val="00E32907"/>
    <w:rsid w:val="00E32C18"/>
    <w:rsid w:val="00E34484"/>
    <w:rsid w:val="00E35CCB"/>
    <w:rsid w:val="00E36C2E"/>
    <w:rsid w:val="00E36DF2"/>
    <w:rsid w:val="00E3723B"/>
    <w:rsid w:val="00E37424"/>
    <w:rsid w:val="00E37DAD"/>
    <w:rsid w:val="00E37F76"/>
    <w:rsid w:val="00E4011B"/>
    <w:rsid w:val="00E41414"/>
    <w:rsid w:val="00E41E90"/>
    <w:rsid w:val="00E422CA"/>
    <w:rsid w:val="00E443E6"/>
    <w:rsid w:val="00E44544"/>
    <w:rsid w:val="00E45180"/>
    <w:rsid w:val="00E45305"/>
    <w:rsid w:val="00E45E40"/>
    <w:rsid w:val="00E45E7E"/>
    <w:rsid w:val="00E460C5"/>
    <w:rsid w:val="00E465F1"/>
    <w:rsid w:val="00E46AC9"/>
    <w:rsid w:val="00E4700E"/>
    <w:rsid w:val="00E4744F"/>
    <w:rsid w:val="00E47DB2"/>
    <w:rsid w:val="00E47F3E"/>
    <w:rsid w:val="00E50209"/>
    <w:rsid w:val="00E50407"/>
    <w:rsid w:val="00E50FC7"/>
    <w:rsid w:val="00E513C8"/>
    <w:rsid w:val="00E52772"/>
    <w:rsid w:val="00E53197"/>
    <w:rsid w:val="00E53407"/>
    <w:rsid w:val="00E53941"/>
    <w:rsid w:val="00E53DB6"/>
    <w:rsid w:val="00E53E47"/>
    <w:rsid w:val="00E54ACA"/>
    <w:rsid w:val="00E54FB3"/>
    <w:rsid w:val="00E5572D"/>
    <w:rsid w:val="00E55904"/>
    <w:rsid w:val="00E55E06"/>
    <w:rsid w:val="00E55E72"/>
    <w:rsid w:val="00E55E74"/>
    <w:rsid w:val="00E563D7"/>
    <w:rsid w:val="00E569BD"/>
    <w:rsid w:val="00E57521"/>
    <w:rsid w:val="00E575EB"/>
    <w:rsid w:val="00E60005"/>
    <w:rsid w:val="00E60154"/>
    <w:rsid w:val="00E60616"/>
    <w:rsid w:val="00E60A10"/>
    <w:rsid w:val="00E60FB1"/>
    <w:rsid w:val="00E61088"/>
    <w:rsid w:val="00E6157A"/>
    <w:rsid w:val="00E61711"/>
    <w:rsid w:val="00E6181D"/>
    <w:rsid w:val="00E623BA"/>
    <w:rsid w:val="00E628DC"/>
    <w:rsid w:val="00E6346D"/>
    <w:rsid w:val="00E64A80"/>
    <w:rsid w:val="00E64EEA"/>
    <w:rsid w:val="00E66342"/>
    <w:rsid w:val="00E66614"/>
    <w:rsid w:val="00E6669F"/>
    <w:rsid w:val="00E66924"/>
    <w:rsid w:val="00E669A3"/>
    <w:rsid w:val="00E66A69"/>
    <w:rsid w:val="00E674E0"/>
    <w:rsid w:val="00E70890"/>
    <w:rsid w:val="00E7138E"/>
    <w:rsid w:val="00E71478"/>
    <w:rsid w:val="00E7176C"/>
    <w:rsid w:val="00E71CEB"/>
    <w:rsid w:val="00E72467"/>
    <w:rsid w:val="00E7323C"/>
    <w:rsid w:val="00E73680"/>
    <w:rsid w:val="00E7398B"/>
    <w:rsid w:val="00E73B7F"/>
    <w:rsid w:val="00E74154"/>
    <w:rsid w:val="00E74C8A"/>
    <w:rsid w:val="00E75539"/>
    <w:rsid w:val="00E761BC"/>
    <w:rsid w:val="00E764AD"/>
    <w:rsid w:val="00E768F3"/>
    <w:rsid w:val="00E77A50"/>
    <w:rsid w:val="00E80035"/>
    <w:rsid w:val="00E80F94"/>
    <w:rsid w:val="00E8191F"/>
    <w:rsid w:val="00E821A4"/>
    <w:rsid w:val="00E8269B"/>
    <w:rsid w:val="00E828DB"/>
    <w:rsid w:val="00E82A43"/>
    <w:rsid w:val="00E82ECE"/>
    <w:rsid w:val="00E8390B"/>
    <w:rsid w:val="00E83992"/>
    <w:rsid w:val="00E84824"/>
    <w:rsid w:val="00E848BF"/>
    <w:rsid w:val="00E851D6"/>
    <w:rsid w:val="00E85615"/>
    <w:rsid w:val="00E85860"/>
    <w:rsid w:val="00E85CAF"/>
    <w:rsid w:val="00E86256"/>
    <w:rsid w:val="00E86CC2"/>
    <w:rsid w:val="00E873A8"/>
    <w:rsid w:val="00E87B7B"/>
    <w:rsid w:val="00E928FC"/>
    <w:rsid w:val="00E929AD"/>
    <w:rsid w:val="00E92B30"/>
    <w:rsid w:val="00E930FA"/>
    <w:rsid w:val="00E93118"/>
    <w:rsid w:val="00E93202"/>
    <w:rsid w:val="00E942AF"/>
    <w:rsid w:val="00E94C35"/>
    <w:rsid w:val="00E94F14"/>
    <w:rsid w:val="00E9503F"/>
    <w:rsid w:val="00E95AE4"/>
    <w:rsid w:val="00E969C7"/>
    <w:rsid w:val="00E976DF"/>
    <w:rsid w:val="00EA041F"/>
    <w:rsid w:val="00EA04B5"/>
    <w:rsid w:val="00EA060C"/>
    <w:rsid w:val="00EA0A60"/>
    <w:rsid w:val="00EA0B8B"/>
    <w:rsid w:val="00EA1417"/>
    <w:rsid w:val="00EA1507"/>
    <w:rsid w:val="00EA1B29"/>
    <w:rsid w:val="00EA1D44"/>
    <w:rsid w:val="00EA38AB"/>
    <w:rsid w:val="00EA3B5B"/>
    <w:rsid w:val="00EA3D72"/>
    <w:rsid w:val="00EA4398"/>
    <w:rsid w:val="00EA4914"/>
    <w:rsid w:val="00EA4CAB"/>
    <w:rsid w:val="00EA4CED"/>
    <w:rsid w:val="00EA4F20"/>
    <w:rsid w:val="00EA5552"/>
    <w:rsid w:val="00EA5B28"/>
    <w:rsid w:val="00EA5EE0"/>
    <w:rsid w:val="00EA6256"/>
    <w:rsid w:val="00EA655D"/>
    <w:rsid w:val="00EA66E6"/>
    <w:rsid w:val="00EA6CAB"/>
    <w:rsid w:val="00EA701D"/>
    <w:rsid w:val="00EA7961"/>
    <w:rsid w:val="00EA7D38"/>
    <w:rsid w:val="00EB04DF"/>
    <w:rsid w:val="00EB05E0"/>
    <w:rsid w:val="00EB295A"/>
    <w:rsid w:val="00EB31F9"/>
    <w:rsid w:val="00EB360C"/>
    <w:rsid w:val="00EB426B"/>
    <w:rsid w:val="00EB54DD"/>
    <w:rsid w:val="00EB598E"/>
    <w:rsid w:val="00EB59E7"/>
    <w:rsid w:val="00EB5E6D"/>
    <w:rsid w:val="00EB5EC7"/>
    <w:rsid w:val="00EB604E"/>
    <w:rsid w:val="00EB60C7"/>
    <w:rsid w:val="00EB6364"/>
    <w:rsid w:val="00EB68BD"/>
    <w:rsid w:val="00EB7995"/>
    <w:rsid w:val="00EC0BA7"/>
    <w:rsid w:val="00EC0F30"/>
    <w:rsid w:val="00EC1E53"/>
    <w:rsid w:val="00EC2789"/>
    <w:rsid w:val="00EC2D18"/>
    <w:rsid w:val="00EC3222"/>
    <w:rsid w:val="00EC32A5"/>
    <w:rsid w:val="00EC3544"/>
    <w:rsid w:val="00EC364B"/>
    <w:rsid w:val="00EC4228"/>
    <w:rsid w:val="00EC4758"/>
    <w:rsid w:val="00EC4D55"/>
    <w:rsid w:val="00EC54F1"/>
    <w:rsid w:val="00EC57D3"/>
    <w:rsid w:val="00EC5EB6"/>
    <w:rsid w:val="00EC6741"/>
    <w:rsid w:val="00EC677D"/>
    <w:rsid w:val="00EC7E20"/>
    <w:rsid w:val="00EC7E7E"/>
    <w:rsid w:val="00ED00E8"/>
    <w:rsid w:val="00ED0EF9"/>
    <w:rsid w:val="00ED13F4"/>
    <w:rsid w:val="00ED1F76"/>
    <w:rsid w:val="00ED29A2"/>
    <w:rsid w:val="00ED36E5"/>
    <w:rsid w:val="00ED4354"/>
    <w:rsid w:val="00ED50F3"/>
    <w:rsid w:val="00ED5BB3"/>
    <w:rsid w:val="00ED5D91"/>
    <w:rsid w:val="00ED665A"/>
    <w:rsid w:val="00ED6DB9"/>
    <w:rsid w:val="00ED7061"/>
    <w:rsid w:val="00ED7509"/>
    <w:rsid w:val="00ED7997"/>
    <w:rsid w:val="00EE0506"/>
    <w:rsid w:val="00EE0793"/>
    <w:rsid w:val="00EE09B1"/>
    <w:rsid w:val="00EE0C8C"/>
    <w:rsid w:val="00EE1625"/>
    <w:rsid w:val="00EE1BEE"/>
    <w:rsid w:val="00EE1EF0"/>
    <w:rsid w:val="00EE1F68"/>
    <w:rsid w:val="00EE2852"/>
    <w:rsid w:val="00EE28A3"/>
    <w:rsid w:val="00EE2ACF"/>
    <w:rsid w:val="00EE2C00"/>
    <w:rsid w:val="00EE3DC3"/>
    <w:rsid w:val="00EE5014"/>
    <w:rsid w:val="00EE5063"/>
    <w:rsid w:val="00EE5188"/>
    <w:rsid w:val="00EE65F2"/>
    <w:rsid w:val="00EE66A9"/>
    <w:rsid w:val="00EE759A"/>
    <w:rsid w:val="00EF085E"/>
    <w:rsid w:val="00EF1372"/>
    <w:rsid w:val="00EF1638"/>
    <w:rsid w:val="00EF1E75"/>
    <w:rsid w:val="00EF2430"/>
    <w:rsid w:val="00EF2A3D"/>
    <w:rsid w:val="00EF3278"/>
    <w:rsid w:val="00EF327A"/>
    <w:rsid w:val="00EF3908"/>
    <w:rsid w:val="00EF3C94"/>
    <w:rsid w:val="00EF3E8B"/>
    <w:rsid w:val="00EF45D9"/>
    <w:rsid w:val="00EF59B7"/>
    <w:rsid w:val="00EF5E73"/>
    <w:rsid w:val="00EF680E"/>
    <w:rsid w:val="00EF727F"/>
    <w:rsid w:val="00F005A1"/>
    <w:rsid w:val="00F005E2"/>
    <w:rsid w:val="00F00678"/>
    <w:rsid w:val="00F0152D"/>
    <w:rsid w:val="00F01723"/>
    <w:rsid w:val="00F02419"/>
    <w:rsid w:val="00F02787"/>
    <w:rsid w:val="00F02B9A"/>
    <w:rsid w:val="00F02C95"/>
    <w:rsid w:val="00F02D52"/>
    <w:rsid w:val="00F02DB9"/>
    <w:rsid w:val="00F033D6"/>
    <w:rsid w:val="00F04264"/>
    <w:rsid w:val="00F049EC"/>
    <w:rsid w:val="00F04C26"/>
    <w:rsid w:val="00F0542E"/>
    <w:rsid w:val="00F0559A"/>
    <w:rsid w:val="00F05E99"/>
    <w:rsid w:val="00F0645B"/>
    <w:rsid w:val="00F0654C"/>
    <w:rsid w:val="00F06D2A"/>
    <w:rsid w:val="00F07167"/>
    <w:rsid w:val="00F07785"/>
    <w:rsid w:val="00F10657"/>
    <w:rsid w:val="00F1172E"/>
    <w:rsid w:val="00F12A6D"/>
    <w:rsid w:val="00F12ED0"/>
    <w:rsid w:val="00F13CFE"/>
    <w:rsid w:val="00F145A6"/>
    <w:rsid w:val="00F1546C"/>
    <w:rsid w:val="00F15A89"/>
    <w:rsid w:val="00F1615D"/>
    <w:rsid w:val="00F16853"/>
    <w:rsid w:val="00F17414"/>
    <w:rsid w:val="00F21165"/>
    <w:rsid w:val="00F225E3"/>
    <w:rsid w:val="00F226A1"/>
    <w:rsid w:val="00F22D8A"/>
    <w:rsid w:val="00F23A53"/>
    <w:rsid w:val="00F24426"/>
    <w:rsid w:val="00F26024"/>
    <w:rsid w:val="00F263CD"/>
    <w:rsid w:val="00F26484"/>
    <w:rsid w:val="00F26B4B"/>
    <w:rsid w:val="00F26D00"/>
    <w:rsid w:val="00F26D18"/>
    <w:rsid w:val="00F26DFE"/>
    <w:rsid w:val="00F2706C"/>
    <w:rsid w:val="00F271B9"/>
    <w:rsid w:val="00F275C9"/>
    <w:rsid w:val="00F302FF"/>
    <w:rsid w:val="00F30372"/>
    <w:rsid w:val="00F30512"/>
    <w:rsid w:val="00F3094A"/>
    <w:rsid w:val="00F30AEB"/>
    <w:rsid w:val="00F30C48"/>
    <w:rsid w:val="00F31FEB"/>
    <w:rsid w:val="00F341B7"/>
    <w:rsid w:val="00F34351"/>
    <w:rsid w:val="00F34788"/>
    <w:rsid w:val="00F34DF3"/>
    <w:rsid w:val="00F35C9E"/>
    <w:rsid w:val="00F36331"/>
    <w:rsid w:val="00F369FB"/>
    <w:rsid w:val="00F37864"/>
    <w:rsid w:val="00F37EE4"/>
    <w:rsid w:val="00F415C0"/>
    <w:rsid w:val="00F41B3C"/>
    <w:rsid w:val="00F426FF"/>
    <w:rsid w:val="00F429EF"/>
    <w:rsid w:val="00F4308F"/>
    <w:rsid w:val="00F4338F"/>
    <w:rsid w:val="00F4346F"/>
    <w:rsid w:val="00F4392F"/>
    <w:rsid w:val="00F452E6"/>
    <w:rsid w:val="00F45686"/>
    <w:rsid w:val="00F45E0D"/>
    <w:rsid w:val="00F46127"/>
    <w:rsid w:val="00F46D46"/>
    <w:rsid w:val="00F46FCD"/>
    <w:rsid w:val="00F47954"/>
    <w:rsid w:val="00F50F7D"/>
    <w:rsid w:val="00F5108A"/>
    <w:rsid w:val="00F512F7"/>
    <w:rsid w:val="00F51F92"/>
    <w:rsid w:val="00F5266D"/>
    <w:rsid w:val="00F52B1D"/>
    <w:rsid w:val="00F53FCC"/>
    <w:rsid w:val="00F54DCD"/>
    <w:rsid w:val="00F55521"/>
    <w:rsid w:val="00F556BB"/>
    <w:rsid w:val="00F56292"/>
    <w:rsid w:val="00F56314"/>
    <w:rsid w:val="00F573E3"/>
    <w:rsid w:val="00F61142"/>
    <w:rsid w:val="00F6177B"/>
    <w:rsid w:val="00F61C46"/>
    <w:rsid w:val="00F61E38"/>
    <w:rsid w:val="00F61E46"/>
    <w:rsid w:val="00F625F2"/>
    <w:rsid w:val="00F62611"/>
    <w:rsid w:val="00F62979"/>
    <w:rsid w:val="00F630C9"/>
    <w:rsid w:val="00F63C80"/>
    <w:rsid w:val="00F64A0D"/>
    <w:rsid w:val="00F6611D"/>
    <w:rsid w:val="00F663F9"/>
    <w:rsid w:val="00F66729"/>
    <w:rsid w:val="00F70138"/>
    <w:rsid w:val="00F706E3"/>
    <w:rsid w:val="00F708D1"/>
    <w:rsid w:val="00F70B93"/>
    <w:rsid w:val="00F712EE"/>
    <w:rsid w:val="00F71849"/>
    <w:rsid w:val="00F726CB"/>
    <w:rsid w:val="00F7277D"/>
    <w:rsid w:val="00F72B42"/>
    <w:rsid w:val="00F72BB2"/>
    <w:rsid w:val="00F72C19"/>
    <w:rsid w:val="00F730C9"/>
    <w:rsid w:val="00F733F3"/>
    <w:rsid w:val="00F736B1"/>
    <w:rsid w:val="00F73A39"/>
    <w:rsid w:val="00F73E47"/>
    <w:rsid w:val="00F73EC7"/>
    <w:rsid w:val="00F74BD3"/>
    <w:rsid w:val="00F74DB7"/>
    <w:rsid w:val="00F758FF"/>
    <w:rsid w:val="00F75C42"/>
    <w:rsid w:val="00F75D3A"/>
    <w:rsid w:val="00F7685B"/>
    <w:rsid w:val="00F76930"/>
    <w:rsid w:val="00F76A47"/>
    <w:rsid w:val="00F77A55"/>
    <w:rsid w:val="00F80139"/>
    <w:rsid w:val="00F8048C"/>
    <w:rsid w:val="00F809BE"/>
    <w:rsid w:val="00F82068"/>
    <w:rsid w:val="00F825B5"/>
    <w:rsid w:val="00F82EA5"/>
    <w:rsid w:val="00F835BA"/>
    <w:rsid w:val="00F83B25"/>
    <w:rsid w:val="00F841CA"/>
    <w:rsid w:val="00F84852"/>
    <w:rsid w:val="00F84A8B"/>
    <w:rsid w:val="00F84EBC"/>
    <w:rsid w:val="00F853AB"/>
    <w:rsid w:val="00F85F81"/>
    <w:rsid w:val="00F87C31"/>
    <w:rsid w:val="00F87C96"/>
    <w:rsid w:val="00F90422"/>
    <w:rsid w:val="00F90979"/>
    <w:rsid w:val="00F91219"/>
    <w:rsid w:val="00F9199B"/>
    <w:rsid w:val="00F9212E"/>
    <w:rsid w:val="00F92331"/>
    <w:rsid w:val="00F92345"/>
    <w:rsid w:val="00F930F2"/>
    <w:rsid w:val="00F9392D"/>
    <w:rsid w:val="00F9445F"/>
    <w:rsid w:val="00F9486B"/>
    <w:rsid w:val="00F94CDE"/>
    <w:rsid w:val="00F94D53"/>
    <w:rsid w:val="00F959D9"/>
    <w:rsid w:val="00F95B02"/>
    <w:rsid w:val="00F95F0A"/>
    <w:rsid w:val="00F96129"/>
    <w:rsid w:val="00F96471"/>
    <w:rsid w:val="00F96E21"/>
    <w:rsid w:val="00F970EA"/>
    <w:rsid w:val="00FA0329"/>
    <w:rsid w:val="00FA0DC8"/>
    <w:rsid w:val="00FA1A77"/>
    <w:rsid w:val="00FA2FFC"/>
    <w:rsid w:val="00FA35F7"/>
    <w:rsid w:val="00FA3738"/>
    <w:rsid w:val="00FA37B7"/>
    <w:rsid w:val="00FA39F2"/>
    <w:rsid w:val="00FA42EE"/>
    <w:rsid w:val="00FA5504"/>
    <w:rsid w:val="00FA56CB"/>
    <w:rsid w:val="00FA5742"/>
    <w:rsid w:val="00FA583A"/>
    <w:rsid w:val="00FA5E22"/>
    <w:rsid w:val="00FA5F81"/>
    <w:rsid w:val="00FA6427"/>
    <w:rsid w:val="00FA6B7E"/>
    <w:rsid w:val="00FA6C5B"/>
    <w:rsid w:val="00FA768E"/>
    <w:rsid w:val="00FB11A4"/>
    <w:rsid w:val="00FB2096"/>
    <w:rsid w:val="00FB3656"/>
    <w:rsid w:val="00FB37E4"/>
    <w:rsid w:val="00FB3B02"/>
    <w:rsid w:val="00FB3B97"/>
    <w:rsid w:val="00FB3D28"/>
    <w:rsid w:val="00FB4114"/>
    <w:rsid w:val="00FB44D9"/>
    <w:rsid w:val="00FB495B"/>
    <w:rsid w:val="00FB5052"/>
    <w:rsid w:val="00FB57DB"/>
    <w:rsid w:val="00FB5AAC"/>
    <w:rsid w:val="00FB6669"/>
    <w:rsid w:val="00FB7864"/>
    <w:rsid w:val="00FB7E40"/>
    <w:rsid w:val="00FC06E3"/>
    <w:rsid w:val="00FC14AA"/>
    <w:rsid w:val="00FC14BB"/>
    <w:rsid w:val="00FC18FD"/>
    <w:rsid w:val="00FC1AD3"/>
    <w:rsid w:val="00FC1B73"/>
    <w:rsid w:val="00FC1C3C"/>
    <w:rsid w:val="00FC2087"/>
    <w:rsid w:val="00FC227C"/>
    <w:rsid w:val="00FC22AB"/>
    <w:rsid w:val="00FC257C"/>
    <w:rsid w:val="00FC272E"/>
    <w:rsid w:val="00FC294A"/>
    <w:rsid w:val="00FC30F3"/>
    <w:rsid w:val="00FC3954"/>
    <w:rsid w:val="00FC41C3"/>
    <w:rsid w:val="00FC4831"/>
    <w:rsid w:val="00FC4BC8"/>
    <w:rsid w:val="00FC4CAA"/>
    <w:rsid w:val="00FC4DBD"/>
    <w:rsid w:val="00FC4EA7"/>
    <w:rsid w:val="00FC5607"/>
    <w:rsid w:val="00FC594B"/>
    <w:rsid w:val="00FC6787"/>
    <w:rsid w:val="00FC6AF5"/>
    <w:rsid w:val="00FC7DDB"/>
    <w:rsid w:val="00FC7EF4"/>
    <w:rsid w:val="00FD0792"/>
    <w:rsid w:val="00FD0DA5"/>
    <w:rsid w:val="00FD1088"/>
    <w:rsid w:val="00FD201F"/>
    <w:rsid w:val="00FD2394"/>
    <w:rsid w:val="00FD27CD"/>
    <w:rsid w:val="00FD2E62"/>
    <w:rsid w:val="00FD34AE"/>
    <w:rsid w:val="00FD3591"/>
    <w:rsid w:val="00FD37ED"/>
    <w:rsid w:val="00FD4211"/>
    <w:rsid w:val="00FD47D2"/>
    <w:rsid w:val="00FD4CF3"/>
    <w:rsid w:val="00FD4F49"/>
    <w:rsid w:val="00FD5092"/>
    <w:rsid w:val="00FD53FB"/>
    <w:rsid w:val="00FD55B3"/>
    <w:rsid w:val="00FD574B"/>
    <w:rsid w:val="00FD5FAA"/>
    <w:rsid w:val="00FD69A1"/>
    <w:rsid w:val="00FD6AF3"/>
    <w:rsid w:val="00FD6CE2"/>
    <w:rsid w:val="00FD71C7"/>
    <w:rsid w:val="00FD7841"/>
    <w:rsid w:val="00FD7A78"/>
    <w:rsid w:val="00FE0241"/>
    <w:rsid w:val="00FE0C19"/>
    <w:rsid w:val="00FE17D5"/>
    <w:rsid w:val="00FE1B39"/>
    <w:rsid w:val="00FE1BEE"/>
    <w:rsid w:val="00FE217F"/>
    <w:rsid w:val="00FE2431"/>
    <w:rsid w:val="00FE2F4B"/>
    <w:rsid w:val="00FE43EE"/>
    <w:rsid w:val="00FE45D7"/>
    <w:rsid w:val="00FE4C58"/>
    <w:rsid w:val="00FE57A7"/>
    <w:rsid w:val="00FE6221"/>
    <w:rsid w:val="00FE65CB"/>
    <w:rsid w:val="00FE6746"/>
    <w:rsid w:val="00FE699C"/>
    <w:rsid w:val="00FE6B7A"/>
    <w:rsid w:val="00FE6CB8"/>
    <w:rsid w:val="00FE7A06"/>
    <w:rsid w:val="00FE7C09"/>
    <w:rsid w:val="00FE7EE9"/>
    <w:rsid w:val="00FF0491"/>
    <w:rsid w:val="00FF0C90"/>
    <w:rsid w:val="00FF1663"/>
    <w:rsid w:val="00FF2550"/>
    <w:rsid w:val="00FF321A"/>
    <w:rsid w:val="00FF3592"/>
    <w:rsid w:val="00FF4741"/>
    <w:rsid w:val="00FF4CE1"/>
    <w:rsid w:val="00FF5299"/>
    <w:rsid w:val="00FF5FCF"/>
    <w:rsid w:val="00FF610D"/>
    <w:rsid w:val="00FF657E"/>
    <w:rsid w:val="00FF67C7"/>
    <w:rsid w:val="00FF75C2"/>
    <w:rsid w:val="00FF79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C1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808"/>
    <w:pPr>
      <w:spacing w:before="120" w:line="240" w:lineRule="auto"/>
      <w:jc w:val="both"/>
    </w:pPr>
    <w:rPr>
      <w:rFonts w:eastAsia="Times New Roman" w:cs="Times New Roman"/>
      <w:sz w:val="24"/>
      <w:szCs w:val="24"/>
      <w:lang w:eastAsia="en-GB"/>
    </w:rPr>
  </w:style>
  <w:style w:type="paragraph" w:styleId="Heading1">
    <w:name w:val="heading 1"/>
    <w:next w:val="MSACESParagraph"/>
    <w:link w:val="Heading1Char"/>
    <w:uiPriority w:val="2"/>
    <w:qFormat/>
    <w:rsid w:val="005C2085"/>
    <w:pPr>
      <w:keepNext/>
      <w:keepLines/>
      <w:numPr>
        <w:numId w:val="4"/>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3"/>
    <w:qFormat/>
    <w:rsid w:val="004A5746"/>
    <w:pPr>
      <w:keepNext/>
      <w:keepLines/>
      <w:numPr>
        <w:ilvl w:val="3"/>
        <w:numId w:val="4"/>
      </w:numPr>
      <w:spacing w:before="360" w:after="120"/>
      <w:ind w:left="864"/>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4"/>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4"/>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ind w:left="6480" w:hanging="180"/>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3"/>
    <w:rsid w:val="00245AD1"/>
    <w:rPr>
      <w:rFonts w:ascii="Arial" w:eastAsiaTheme="majorEastAsia" w:hAnsi="Arial" w:cstheme="majorBidi"/>
      <w:b/>
      <w:i/>
      <w:snapToGrid w:val="0"/>
      <w:sz w:val="28"/>
      <w:szCs w:val="28"/>
      <w:lang w:eastAsia="en-GB"/>
    </w:rPr>
  </w:style>
  <w:style w:type="character" w:customStyle="1" w:styleId="Heading3Char">
    <w:name w:val="Heading 3 Char"/>
    <w:basedOn w:val="DefaultParagraphFont"/>
    <w:link w:val="Heading3"/>
    <w:uiPriority w:val="3"/>
    <w:rsid w:val="00245AD1"/>
    <w:rPr>
      <w:rFonts w:eastAsiaTheme="majorEastAsia" w:cstheme="majorBidi"/>
      <w:b/>
      <w:sz w:val="28"/>
      <w:szCs w:val="28"/>
      <w:lang w:eastAsia="en-GB"/>
    </w:rPr>
  </w:style>
  <w:style w:type="paragraph" w:styleId="ListParagraph">
    <w:name w:val="List Paragraph"/>
    <w:aliases w:val="PBAC ES Paragraph,Body Text Bullet Points,Numbered para,BulletPoints,List Paragraph1,Bullet point,List Paragraph11,Recommendation,Section heading,Footnote,ES Paragraph,PBAC normal points,Bullet List,Bullet 1,Bullet1,Summary Bullets"/>
    <w:basedOn w:val="Normal"/>
    <w:link w:val="ListParagraphChar"/>
    <w:uiPriority w:val="34"/>
    <w:qFormat/>
    <w:rsid w:val="004908B7"/>
    <w:pPr>
      <w:numPr>
        <w:ilvl w:val="4"/>
        <w:numId w:val="1"/>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9000CA"/>
    <w:rPr>
      <w:color w:val="0070C0"/>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lang w:eastAsia="en-GB"/>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PBAC table,new style,MSD Table Grid,CMA Table Template,ASD Table,RTI AMCP Table,HTAtableplain"/>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Char"/>
    <w:next w:val="Normal"/>
    <w:link w:val="CaptionChar"/>
    <w:autoRedefine/>
    <w:uiPriority w:val="35"/>
    <w:qFormat/>
    <w:rsid w:val="001B37A3"/>
    <w:pPr>
      <w:keepNext/>
      <w:tabs>
        <w:tab w:val="left" w:pos="1418"/>
      </w:tabs>
      <w:spacing w:before="240" w:after="0"/>
      <w:contextualSpacing/>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uiPriority w:val="99"/>
    <w:rsid w:val="00BA3306"/>
    <w:rPr>
      <w:color w:val="00B0F0"/>
      <w:u w:val="single"/>
    </w:rPr>
  </w:style>
  <w:style w:type="paragraph" w:styleId="FootnoteText">
    <w:name w:val="footnote text"/>
    <w:basedOn w:val="Normal"/>
    <w:link w:val="FootnoteTextChar"/>
    <w:semiHidden/>
    <w:rsid w:val="00BA3306"/>
    <w:pPr>
      <w:spacing w:before="0" w:after="0"/>
    </w:pPr>
    <w:rPr>
      <w:sz w:val="18"/>
      <w:szCs w:val="20"/>
    </w:rPr>
  </w:style>
  <w:style w:type="character" w:customStyle="1" w:styleId="FootnoteTextChar">
    <w:name w:val="Footnote Text Char"/>
    <w:basedOn w:val="DefaultParagraphFont"/>
    <w:link w:val="FootnoteText"/>
    <w:semiHidden/>
    <w:rsid w:val="00481549"/>
    <w:rPr>
      <w:sz w:val="18"/>
      <w:szCs w:val="20"/>
    </w:rPr>
  </w:style>
  <w:style w:type="character" w:styleId="FootnoteReference">
    <w:name w:val="footnote reference"/>
    <w:basedOn w:val="DefaultParagraphFont"/>
    <w:rsid w:val="00BA3306"/>
    <w:rPr>
      <w:vertAlign w:val="superscript"/>
    </w:rPr>
  </w:style>
  <w:style w:type="character" w:styleId="CommentReference">
    <w:name w:val="annotation reference"/>
    <w:aliases w:val="Table Title,-H18,Annotationmark"/>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9000CA"/>
    <w:rPr>
      <w:rFonts w:eastAsia="Times New Roman" w:cs="Times New Roman"/>
      <w:color w:val="0070C0"/>
      <w:sz w:val="24"/>
      <w:szCs w:val="24"/>
      <w:lang w:eastAsia="en-GB"/>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uiPriority w:val="35"/>
    <w:rsid w:val="001B37A3"/>
    <w:rPr>
      <w:rFonts w:ascii="Arial Narrow" w:hAnsi="Arial Narrow"/>
      <w:b/>
      <w:iCs/>
      <w:sz w:val="20"/>
      <w:szCs w:val="18"/>
    </w:rPr>
  </w:style>
  <w:style w:type="paragraph" w:customStyle="1" w:styleId="TableFooter">
    <w:name w:val="Table Footer"/>
    <w:basedOn w:val="Normal"/>
    <w:link w:val="TableFooterChar"/>
    <w:uiPriority w:val="1"/>
    <w:qFormat/>
    <w:rsid w:val="00140A20"/>
    <w:pPr>
      <w:widowControl w:val="0"/>
      <w:spacing w:before="0" w:after="240"/>
      <w:contextualSpacing/>
    </w:pPr>
    <w:rPr>
      <w:rFonts w:ascii="Arial Narrow" w:hAnsi="Arial Narrow" w:cs="Arial"/>
      <w:snapToGrid w:val="0"/>
      <w:sz w:val="18"/>
      <w:szCs w:val="20"/>
    </w:rPr>
  </w:style>
  <w:style w:type="character" w:customStyle="1" w:styleId="TableFooterChar">
    <w:name w:val="Table Footer Char"/>
    <w:link w:val="TableFooter"/>
    <w:uiPriority w:val="1"/>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semiHidden/>
    <w:rsid w:val="00C317F3"/>
    <w:pPr>
      <w:tabs>
        <w:tab w:val="center" w:pos="4513"/>
        <w:tab w:val="right" w:pos="9026"/>
      </w:tabs>
      <w:spacing w:before="0" w:after="0"/>
    </w:pPr>
  </w:style>
  <w:style w:type="character" w:customStyle="1" w:styleId="FooterChar">
    <w:name w:val="Footer Char"/>
    <w:basedOn w:val="DefaultParagraphFont"/>
    <w:link w:val="Footer"/>
    <w:uiPriority w:val="99"/>
    <w:semiHidden/>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hAnsi="Arial" w:cs="Arial"/>
      <w:b/>
      <w:bCs/>
      <w:snapToGrid w:val="0"/>
      <w:sz w:val="20"/>
      <w:szCs w:val="20"/>
    </w:rPr>
  </w:style>
  <w:style w:type="paragraph" w:styleId="NoSpacing">
    <w:name w:val="No Spacing"/>
    <w:uiPriority w:val="10"/>
    <w:semiHidden/>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hAnsi="Times New Roman"/>
      <w:szCs w:val="20"/>
      <w:lang w:val="en-GB"/>
    </w:rPr>
  </w:style>
  <w:style w:type="paragraph" w:styleId="TOCHeading">
    <w:name w:val="TOC Heading"/>
    <w:basedOn w:val="Heading1"/>
    <w:next w:val="Normal"/>
    <w:uiPriority w:val="42"/>
    <w:qFormat/>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rsid w:val="00D93D75"/>
    <w:pPr>
      <w:widowControl w:val="0"/>
      <w:tabs>
        <w:tab w:val="right" w:pos="1134"/>
        <w:tab w:val="right" w:leader="dot" w:pos="9015"/>
      </w:tabs>
      <w:spacing w:after="0"/>
      <w:ind w:left="1758" w:hanging="879"/>
    </w:pPr>
    <w:rPr>
      <w:rFonts w:ascii="Arial"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ES Paragraph Char"/>
    <w:basedOn w:val="DefaultParagraphFont"/>
    <w:link w:val="ListParagraph"/>
    <w:uiPriority w:val="34"/>
    <w:qFormat/>
    <w:locked/>
    <w:rsid w:val="00F12ED0"/>
    <w:rPr>
      <w:rFonts w:eastAsia="Times New Roman" w:cs="Times New Roman"/>
      <w:color w:val="000000" w:themeColor="text1"/>
      <w:sz w:val="24"/>
      <w:szCs w:val="24"/>
      <w:lang w:eastAsia="en-GB"/>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1"/>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lang w:eastAsia="en-GB"/>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6A58AE"/>
    <w:pPr>
      <w:numPr>
        <w:numId w:val="9"/>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1"/>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6A58AE"/>
    <w:rPr>
      <w:rFonts w:ascii="Calibri" w:eastAsia="Times New Roman" w:hAnsi="Calibri" w:cs="Times New Roman"/>
      <w:color w:val="0070C0"/>
      <w:sz w:val="24"/>
      <w:szCs w:val="24"/>
      <w:lang w:eastAsia="en-GB"/>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lang w:eastAsia="en-GB"/>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lang w:eastAsia="en-GB"/>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lang w:eastAsia="en-GB"/>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10"/>
      </w:numPr>
      <w:spacing w:after="120"/>
    </w:pPr>
  </w:style>
  <w:style w:type="character" w:customStyle="1" w:styleId="PBACESParagraphBulletPointChar">
    <w:name w:val="PBAC ES Paragraph Bullet Point Char"/>
    <w:basedOn w:val="ListParagraphChar"/>
    <w:link w:val="PBACESParagraphBulletPoint"/>
    <w:uiPriority w:val="1"/>
    <w:rsid w:val="00245AD1"/>
    <w:rPr>
      <w:rFonts w:eastAsia="Times New Roman" w:cs="Times New Roman"/>
      <w:color w:val="000000" w:themeColor="text1"/>
      <w:sz w:val="24"/>
      <w:szCs w:val="24"/>
      <w:lang w:eastAsia="en-GB"/>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lang w:eastAsia="en-GB"/>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ind w:left="3600" w:hanging="360"/>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lang w:eastAsia="en-GB"/>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1"/>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1"/>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5"/>
      </w:numPr>
      <w:spacing w:before="120" w:after="120"/>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lang w:eastAsia="en-GB"/>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7"/>
      </w:numPr>
    </w:pPr>
  </w:style>
  <w:style w:type="paragraph" w:customStyle="1" w:styleId="MainBodyBulletPoint">
    <w:name w:val="MainBody Bullet Point"/>
    <w:basedOn w:val="InstructionBulletpoint"/>
    <w:link w:val="MainBodyBulletPointChar"/>
    <w:uiPriority w:val="1"/>
    <w:qFormat/>
    <w:rsid w:val="002532B4"/>
    <w:pPr>
      <w:numPr>
        <w:numId w:val="8"/>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eastAsia="Times New Roman" w:hAnsi="Calibri" w:cs="Times New Roman"/>
      <w:color w:val="0070C0"/>
      <w:sz w:val="24"/>
      <w:szCs w:val="24"/>
      <w:lang w:eastAsia="en-GB"/>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1"/>
      </w:numPr>
    </w:pPr>
  </w:style>
  <w:style w:type="numbering" w:customStyle="1" w:styleId="Style2">
    <w:name w:val="Style2"/>
    <w:uiPriority w:val="99"/>
    <w:rsid w:val="002A391F"/>
    <w:pPr>
      <w:numPr>
        <w:numId w:val="12"/>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3"/>
      </w:numPr>
    </w:pPr>
  </w:style>
  <w:style w:type="character" w:customStyle="1" w:styleId="TableRowHeaderChar">
    <w:name w:val="Table Row Header Char"/>
    <w:basedOn w:val="TableTextChar"/>
    <w:link w:val="TableRowHeader"/>
    <w:rsid w:val="0015150F"/>
    <w:rPr>
      <w:rFonts w:ascii="Arial Narrow" w:hAnsi="Arial Narrow"/>
      <w:b/>
      <w:sz w:val="20"/>
    </w:rPr>
  </w:style>
  <w:style w:type="character" w:customStyle="1" w:styleId="UnresolvedMention1">
    <w:name w:val="Unresolved Mention1"/>
    <w:basedOn w:val="DefaultParagraphFont"/>
    <w:uiPriority w:val="99"/>
    <w:semiHidden/>
    <w:unhideWhenUsed/>
    <w:rsid w:val="005F5F97"/>
    <w:rPr>
      <w:color w:val="605E5C"/>
      <w:shd w:val="clear" w:color="auto" w:fill="E1DFDD"/>
    </w:rPr>
  </w:style>
  <w:style w:type="paragraph" w:customStyle="1" w:styleId="TableText0">
    <w:name w:val="TableText"/>
    <w:basedOn w:val="Normal"/>
    <w:link w:val="TableTextChar0"/>
    <w:uiPriority w:val="3"/>
    <w:qFormat/>
    <w:rsid w:val="00AF4CBB"/>
    <w:pPr>
      <w:keepNext/>
      <w:spacing w:before="60" w:after="60"/>
      <w:jc w:val="left"/>
    </w:pPr>
    <w:rPr>
      <w:rFonts w:ascii="Times New Roman" w:hAnsi="Times New Roman"/>
      <w:color w:val="000000"/>
      <w:sz w:val="21"/>
      <w:szCs w:val="21"/>
      <w:lang w:eastAsia="en-AU"/>
    </w:rPr>
  </w:style>
  <w:style w:type="character" w:customStyle="1" w:styleId="TableTextChar0">
    <w:name w:val="TableText Char"/>
    <w:link w:val="TableText0"/>
    <w:uiPriority w:val="3"/>
    <w:rsid w:val="00AF4CBB"/>
    <w:rPr>
      <w:rFonts w:ascii="Times New Roman" w:eastAsia="Times New Roman" w:hAnsi="Times New Roman" w:cs="Times New Roman"/>
      <w:color w:val="000000"/>
      <w:sz w:val="21"/>
      <w:szCs w:val="21"/>
      <w:lang w:eastAsia="en-AU"/>
    </w:rPr>
  </w:style>
  <w:style w:type="paragraph" w:customStyle="1" w:styleId="Default">
    <w:name w:val="Default"/>
    <w:rsid w:val="00EE1EF0"/>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iPriority w:val="99"/>
    <w:unhideWhenUsed/>
    <w:qFormat/>
    <w:rsid w:val="00D762F3"/>
    <w:pPr>
      <w:spacing w:after="120"/>
      <w:jc w:val="left"/>
    </w:pPr>
    <w:rPr>
      <w:rFonts w:ascii="Arial" w:eastAsiaTheme="minorHAnsi" w:hAnsi="Arial" w:cstheme="minorBidi"/>
      <w:sz w:val="20"/>
      <w:szCs w:val="20"/>
      <w:lang w:val="en-GB" w:eastAsia="en-US"/>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D762F3"/>
    <w:rPr>
      <w:rFonts w:ascii="Arial" w:hAnsi="Arial"/>
      <w:sz w:val="20"/>
      <w:szCs w:val="20"/>
      <w:lang w:val="en-GB"/>
    </w:rPr>
  </w:style>
  <w:style w:type="paragraph" w:customStyle="1" w:styleId="RegularText">
    <w:name w:val="Regular Text"/>
    <w:basedOn w:val="BodyText"/>
    <w:link w:val="RegularTextChar"/>
    <w:rsid w:val="00595C7C"/>
    <w:pPr>
      <w:spacing w:before="0" w:after="0"/>
      <w:jc w:val="left"/>
    </w:pPr>
    <w:rPr>
      <w:rFonts w:ascii="Calibri" w:hAnsi="Calibri"/>
      <w:b/>
    </w:rPr>
  </w:style>
  <w:style w:type="character" w:customStyle="1" w:styleId="RegularTextChar">
    <w:name w:val="Regular Text Char"/>
    <w:basedOn w:val="BodyTextChar"/>
    <w:link w:val="RegularText"/>
    <w:rsid w:val="00595C7C"/>
    <w:rPr>
      <w:rFonts w:ascii="Calibri" w:eastAsia="Times New Roman" w:hAnsi="Calibri" w:cs="Times New Roman"/>
      <w:b/>
      <w:sz w:val="24"/>
      <w:szCs w:val="24"/>
      <w:lang w:eastAsia="en-GB"/>
    </w:rPr>
  </w:style>
  <w:style w:type="paragraph" w:styleId="BodyText">
    <w:name w:val="Body Text"/>
    <w:aliases w:val="- H16,Char1,Body Text PP,Body Text Char1 Char,Body Text Char3 Char Char,Body Text Char2 Char1 Char Char,Body Text Char1 Char Char1 Char Char,Body Text Char Char Char Char1 Char Char,Body Text Char1 Char Char Char Char1 Char Char"/>
    <w:basedOn w:val="Normal"/>
    <w:link w:val="BodyTextChar"/>
    <w:uiPriority w:val="4"/>
    <w:unhideWhenUsed/>
    <w:qFormat/>
    <w:rsid w:val="00595C7C"/>
    <w:pPr>
      <w:spacing w:after="120"/>
    </w:pPr>
  </w:style>
  <w:style w:type="character" w:customStyle="1" w:styleId="BodyTextChar">
    <w:name w:val="Body Text Char"/>
    <w:aliases w:val="- H16 Char,Char1 Char,Body Text PP Char,Body Text Char1 Char Char,Body Text Char3 Char Char Char,Body Text Char2 Char1 Char Char Char,Body Text Char1 Char Char1 Char Char Char,Body Text Char Char Char Char1 Char Char Char"/>
    <w:basedOn w:val="DefaultParagraphFont"/>
    <w:link w:val="BodyText"/>
    <w:uiPriority w:val="4"/>
    <w:rsid w:val="00595C7C"/>
    <w:rPr>
      <w:rFonts w:eastAsia="Times New Roman" w:cs="Times New Roman"/>
      <w:sz w:val="24"/>
      <w:szCs w:val="24"/>
      <w:lang w:eastAsia="en-GB"/>
    </w:rPr>
  </w:style>
  <w:style w:type="table" w:customStyle="1" w:styleId="AZTable">
    <w:name w:val="AZ Table"/>
    <w:basedOn w:val="TableNormal"/>
    <w:uiPriority w:val="99"/>
    <w:rsid w:val="00C05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text1">
    <w:name w:val="Table text"/>
    <w:basedOn w:val="Normal"/>
    <w:link w:val="TabletextChar1"/>
    <w:qFormat/>
    <w:rsid w:val="000B1410"/>
    <w:pPr>
      <w:spacing w:before="0" w:after="0"/>
      <w:jc w:val="left"/>
    </w:pPr>
    <w:rPr>
      <w:rFonts w:ascii="Arial Narrow" w:hAnsi="Arial Narrow"/>
      <w:snapToGrid w:val="0"/>
      <w:sz w:val="20"/>
    </w:rPr>
  </w:style>
  <w:style w:type="character" w:customStyle="1" w:styleId="TabletextChar1">
    <w:name w:val="Table text Char"/>
    <w:link w:val="Tabletext1"/>
    <w:rsid w:val="000B1410"/>
    <w:rPr>
      <w:rFonts w:ascii="Arial Narrow" w:eastAsia="Times New Roman" w:hAnsi="Arial Narrow" w:cs="Times New Roman"/>
      <w:snapToGrid w:val="0"/>
      <w:sz w:val="20"/>
      <w:szCs w:val="24"/>
      <w:lang w:eastAsia="en-GB"/>
    </w:rPr>
  </w:style>
  <w:style w:type="paragraph" w:customStyle="1" w:styleId="In-tableHeading">
    <w:name w:val="In-table Heading"/>
    <w:qFormat/>
    <w:rsid w:val="00201EDA"/>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Heading">
    <w:name w:val="Table/Figure Heading"/>
    <w:next w:val="In-tableHeading"/>
    <w:link w:val="TableFigureHeadingChar"/>
    <w:qFormat/>
    <w:rsid w:val="00201ED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201EDA"/>
    <w:rPr>
      <w:rFonts w:ascii="Arial Narrow" w:eastAsiaTheme="majorEastAsia" w:hAnsi="Arial Narrow" w:cstheme="majorBidi"/>
      <w:b/>
      <w:bCs/>
      <w:sz w:val="20"/>
      <w:szCs w:val="24"/>
      <w:lang w:eastAsia="en-AU"/>
    </w:rPr>
  </w:style>
  <w:style w:type="paragraph" w:customStyle="1" w:styleId="TableFigureFooter">
    <w:name w:val="Table/Figure Footer"/>
    <w:basedOn w:val="Normal"/>
    <w:link w:val="TableFigureFooterChar"/>
    <w:qFormat/>
    <w:rsid w:val="00201EDA"/>
    <w:pPr>
      <w:spacing w:before="0" w:after="120"/>
      <w:contextualSpacing/>
    </w:pPr>
    <w:rPr>
      <w:rFonts w:ascii="Arial Narrow" w:hAnsi="Arial Narrow" w:cs="Arial"/>
      <w:snapToGrid w:val="0"/>
      <w:sz w:val="18"/>
      <w:szCs w:val="22"/>
      <w:lang w:eastAsia="en-AU"/>
    </w:rPr>
  </w:style>
  <w:style w:type="character" w:customStyle="1" w:styleId="TableFigureFooterChar">
    <w:name w:val="Table/Figure Footer Char"/>
    <w:link w:val="TableFigureFooter"/>
    <w:rsid w:val="00201EDA"/>
    <w:rPr>
      <w:rFonts w:ascii="Arial Narrow" w:eastAsia="Times New Roman" w:hAnsi="Arial Narrow" w:cs="Arial"/>
      <w:snapToGrid w:val="0"/>
      <w:sz w:val="18"/>
      <w:lang w:eastAsia="en-AU"/>
    </w:rPr>
  </w:style>
  <w:style w:type="table" w:customStyle="1" w:styleId="TableGridbeth1">
    <w:name w:val="Table Gridbeth1"/>
    <w:basedOn w:val="TableNormal"/>
    <w:next w:val="TableGrid"/>
    <w:uiPriority w:val="59"/>
    <w:rsid w:val="00B6716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ReportDate">
    <w:name w:val="ReportDate"/>
    <w:basedOn w:val="Normal"/>
    <w:locked/>
    <w:rsid w:val="00B67161"/>
    <w:pPr>
      <w:spacing w:before="0" w:after="0" w:line="360" w:lineRule="auto"/>
      <w:jc w:val="right"/>
    </w:pPr>
    <w:rPr>
      <w:rFonts w:ascii="Arial" w:hAnsi="Arial" w:cs="Arial"/>
      <w:sz w:val="40"/>
      <w:szCs w:val="40"/>
      <w:lang w:eastAsia="en-US"/>
    </w:rPr>
  </w:style>
  <w:style w:type="table" w:styleId="TableGridLight">
    <w:name w:val="Grid Table Light"/>
    <w:basedOn w:val="TableNormal"/>
    <w:uiPriority w:val="40"/>
    <w:rsid w:val="00B671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B67161"/>
    <w:pPr>
      <w:spacing w:after="0" w:line="240" w:lineRule="auto"/>
    </w:pPr>
    <w:rPr>
      <w:rFonts w:eastAsiaTheme="minorEastAsia"/>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183C88"/>
  </w:style>
  <w:style w:type="table" w:styleId="GridTable1Light">
    <w:name w:val="Grid Table 1 Light"/>
    <w:basedOn w:val="TableNormal"/>
    <w:uiPriority w:val="46"/>
    <w:rsid w:val="00C312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BACTableStyle2">
    <w:name w:val="PBAC Table Style2"/>
    <w:basedOn w:val="TableGrid1"/>
    <w:uiPriority w:val="99"/>
    <w:rsid w:val="00C31220"/>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TableBullet">
    <w:name w:val="Table Bullet"/>
    <w:basedOn w:val="TableText"/>
    <w:link w:val="TableBulletChar"/>
    <w:qFormat/>
    <w:rsid w:val="00C34D40"/>
    <w:pPr>
      <w:widowControl/>
      <w:numPr>
        <w:numId w:val="14"/>
      </w:numPr>
      <w:spacing w:before="20" w:after="20" w:line="276" w:lineRule="auto"/>
    </w:pPr>
    <w:rPr>
      <w:rFonts w:eastAsiaTheme="majorEastAsia" w:cs="Arial"/>
      <w:szCs w:val="20"/>
      <w:lang w:eastAsia="en-AU" w:bidi="en-US"/>
    </w:rPr>
  </w:style>
  <w:style w:type="character" w:customStyle="1" w:styleId="TableBulletChar">
    <w:name w:val="Table Bullet Char"/>
    <w:basedOn w:val="TableTextChar"/>
    <w:link w:val="TableBullet"/>
    <w:rsid w:val="00C34D40"/>
    <w:rPr>
      <w:rFonts w:ascii="Arial Narrow" w:eastAsiaTheme="majorEastAsia" w:hAnsi="Arial Narrow" w:cs="Arial"/>
      <w:sz w:val="20"/>
      <w:szCs w:val="20"/>
      <w:lang w:eastAsia="en-AU" w:bidi="en-US"/>
    </w:rPr>
  </w:style>
  <w:style w:type="paragraph" w:customStyle="1" w:styleId="Body">
    <w:name w:val="Body"/>
    <w:basedOn w:val="BodyText"/>
    <w:link w:val="BodyChar"/>
    <w:qFormat/>
    <w:rsid w:val="000C36D8"/>
    <w:pPr>
      <w:spacing w:before="0" w:line="480" w:lineRule="auto"/>
    </w:pPr>
    <w:rPr>
      <w:rFonts w:ascii="Arial" w:hAnsi="Arial"/>
      <w:sz w:val="22"/>
      <w:szCs w:val="20"/>
      <w:lang w:val="en-GB" w:eastAsia="en-US"/>
    </w:rPr>
  </w:style>
  <w:style w:type="character" w:customStyle="1" w:styleId="BodyChar">
    <w:name w:val="Body Char"/>
    <w:basedOn w:val="DefaultParagraphFont"/>
    <w:link w:val="Body"/>
    <w:rsid w:val="000C36D8"/>
    <w:rPr>
      <w:rFonts w:ascii="Arial" w:eastAsia="Times New Roman" w:hAnsi="Arial" w:cs="Times New Roman"/>
      <w:szCs w:val="20"/>
      <w:lang w:val="en-GB"/>
    </w:rPr>
  </w:style>
  <w:style w:type="paragraph" w:customStyle="1" w:styleId="TableHeading">
    <w:name w:val="Table Heading"/>
    <w:basedOn w:val="TableText"/>
    <w:link w:val="TableHeadingChar"/>
    <w:qFormat/>
    <w:rsid w:val="00E93118"/>
    <w:pPr>
      <w:keepNext/>
      <w:keepLines/>
      <w:widowControl/>
      <w:spacing w:before="20" w:after="20" w:line="276" w:lineRule="auto"/>
    </w:pPr>
    <w:rPr>
      <w:rFonts w:eastAsiaTheme="majorEastAsia" w:cs="Arial"/>
      <w:b/>
      <w:szCs w:val="20"/>
      <w:lang w:eastAsia="en-AU" w:bidi="en-US"/>
    </w:rPr>
  </w:style>
  <w:style w:type="character" w:customStyle="1" w:styleId="TableHeadingChar">
    <w:name w:val="Table Heading Char"/>
    <w:basedOn w:val="DefaultParagraphFont"/>
    <w:link w:val="TableHeading"/>
    <w:locked/>
    <w:rsid w:val="00E93118"/>
    <w:rPr>
      <w:rFonts w:ascii="Arial Narrow" w:eastAsiaTheme="majorEastAsia" w:hAnsi="Arial Narrow" w:cs="Arial"/>
      <w:b/>
      <w:sz w:val="20"/>
      <w:szCs w:val="20"/>
      <w:lang w:eastAsia="en-AU" w:bidi="en-US"/>
    </w:rPr>
  </w:style>
  <w:style w:type="paragraph" w:customStyle="1" w:styleId="Sources">
    <w:name w:val="Sources"/>
    <w:basedOn w:val="Normal"/>
    <w:link w:val="SourcesChar"/>
    <w:qFormat/>
    <w:rsid w:val="00D72BF0"/>
    <w:pPr>
      <w:spacing w:after="120"/>
      <w:jc w:val="left"/>
    </w:pPr>
    <w:rPr>
      <w:rFonts w:ascii="Arial" w:eastAsiaTheme="minorHAnsi" w:hAnsi="Arial" w:cstheme="minorBidi"/>
      <w:sz w:val="16"/>
      <w:szCs w:val="22"/>
      <w:lang w:eastAsia="en-US"/>
    </w:rPr>
  </w:style>
  <w:style w:type="character" w:customStyle="1" w:styleId="SourcesChar">
    <w:name w:val="Sources Char"/>
    <w:basedOn w:val="DefaultParagraphFont"/>
    <w:link w:val="Sources"/>
    <w:rsid w:val="00D72BF0"/>
    <w:rPr>
      <w:rFonts w:ascii="Arial" w:hAnsi="Arial"/>
      <w:sz w:val="16"/>
    </w:rPr>
  </w:style>
  <w:style w:type="character" w:customStyle="1" w:styleId="A16">
    <w:name w:val="A16"/>
    <w:uiPriority w:val="99"/>
    <w:rsid w:val="000B0EC5"/>
    <w:rPr>
      <w:rFonts w:cs="HelveticaNeueLT Com 55 Roman"/>
      <w:color w:val="000000"/>
      <w:sz w:val="21"/>
      <w:szCs w:val="21"/>
    </w:rPr>
  </w:style>
  <w:style w:type="paragraph" w:customStyle="1" w:styleId="TableBodyText-H54">
    <w:name w:val="Table Body Text - H54"/>
    <w:basedOn w:val="BodyText"/>
    <w:link w:val="TableBodyText-H54Char"/>
    <w:qFormat/>
    <w:rsid w:val="00A05D44"/>
    <w:pPr>
      <w:keepLines/>
      <w:widowControl w:val="0"/>
      <w:spacing w:before="40" w:after="40"/>
      <w:jc w:val="left"/>
    </w:pPr>
    <w:rPr>
      <w:rFonts w:ascii="Arial" w:hAnsi="Arial"/>
      <w:color w:val="000000" w:themeColor="text1"/>
      <w:sz w:val="16"/>
      <w:lang w:val="en-GB" w:eastAsia="en-US"/>
    </w:rPr>
  </w:style>
  <w:style w:type="character" w:customStyle="1" w:styleId="TableBodyText-H54Char">
    <w:name w:val="Table Body Text - H54 Char"/>
    <w:basedOn w:val="DefaultParagraphFont"/>
    <w:link w:val="TableBodyText-H54"/>
    <w:rsid w:val="00A05D44"/>
    <w:rPr>
      <w:rFonts w:ascii="Arial" w:eastAsia="Times New Roman" w:hAnsi="Arial" w:cs="Times New Roman"/>
      <w:color w:val="000000" w:themeColor="text1"/>
      <w:sz w:val="16"/>
      <w:szCs w:val="24"/>
      <w:lang w:val="en-GB"/>
    </w:rPr>
  </w:style>
  <w:style w:type="table" w:customStyle="1" w:styleId="TableGrid2">
    <w:name w:val="Table Grid2"/>
    <w:basedOn w:val="TableNormal"/>
    <w:next w:val="TableGrid"/>
    <w:rsid w:val="00F94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BodyText">
    <w:name w:val="VA: Body Text"/>
    <w:basedOn w:val="Normal"/>
    <w:qFormat/>
    <w:rsid w:val="00BC7C53"/>
    <w:pPr>
      <w:spacing w:before="0" w:after="240"/>
      <w:ind w:left="357"/>
      <w:jc w:val="left"/>
    </w:pPr>
    <w:rPr>
      <w:rFonts w:eastAsiaTheme="minorEastAsia" w:cstheme="minorBidi"/>
      <w:color w:val="A5A5A5" w:themeColor="accent3"/>
      <w:lang w:val="en-GB" w:eastAsia="en-US"/>
    </w:rPr>
  </w:style>
  <w:style w:type="paragraph" w:customStyle="1" w:styleId="Tableheadingcent">
    <w:name w:val="Table heading cent"/>
    <w:basedOn w:val="Normal"/>
    <w:qFormat/>
    <w:rsid w:val="00A9034F"/>
    <w:pPr>
      <w:spacing w:before="40" w:after="40"/>
      <w:jc w:val="center"/>
    </w:pPr>
    <w:rPr>
      <w:rFonts w:eastAsiaTheme="minorHAnsi" w:cs="Tahoma"/>
      <w:b/>
      <w:sz w:val="20"/>
      <w:szCs w:val="18"/>
      <w:lang w:val="de-DE" w:eastAsia="en-US"/>
    </w:rPr>
  </w:style>
  <w:style w:type="table" w:customStyle="1" w:styleId="ELILILLYTABLE">
    <w:name w:val="ELI_LILLY TABLE"/>
    <w:basedOn w:val="TableNormal"/>
    <w:uiPriority w:val="99"/>
    <w:rsid w:val="00A9034F"/>
    <w:pPr>
      <w:spacing w:before="20" w:after="20" w:line="240" w:lineRule="auto"/>
      <w:ind w:left="113" w:right="113"/>
    </w:pPr>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hemeFill="background1" w:themeFillShade="F2"/>
      </w:tcPr>
    </w:tblStylePr>
  </w:style>
  <w:style w:type="character" w:styleId="Strong">
    <w:name w:val="Strong"/>
    <w:basedOn w:val="DefaultParagraphFont"/>
    <w:uiPriority w:val="22"/>
    <w:qFormat/>
    <w:rsid w:val="00C06E71"/>
    <w:rPr>
      <w:b/>
      <w:bCs/>
    </w:rPr>
  </w:style>
  <w:style w:type="paragraph" w:customStyle="1" w:styleId="NICEnormal">
    <w:name w:val="NICE normal"/>
    <w:link w:val="NICEnormalChar"/>
    <w:qFormat/>
    <w:rsid w:val="00A7633A"/>
    <w:pPr>
      <w:spacing w:after="240" w:line="360" w:lineRule="auto"/>
    </w:pPr>
    <w:rPr>
      <w:rFonts w:ascii="Arial" w:eastAsia="Times New Roman" w:hAnsi="Arial" w:cs="Times New Roman"/>
      <w:sz w:val="24"/>
      <w:szCs w:val="24"/>
      <w:lang w:val="en-GB"/>
    </w:rPr>
  </w:style>
  <w:style w:type="character" w:customStyle="1" w:styleId="NICEnormalChar">
    <w:name w:val="NICE normal Char"/>
    <w:link w:val="NICEnormal"/>
    <w:rsid w:val="00A7633A"/>
    <w:rPr>
      <w:rFonts w:ascii="Arial" w:eastAsia="Times New Roman" w:hAnsi="Arial" w:cs="Times New Roman"/>
      <w:sz w:val="24"/>
      <w:szCs w:val="24"/>
      <w:lang w:val="en-GB"/>
    </w:rPr>
  </w:style>
  <w:style w:type="table" w:styleId="ListTable3-Accent5">
    <w:name w:val="List Table 3 Accent 5"/>
    <w:basedOn w:val="TableNormal"/>
    <w:uiPriority w:val="48"/>
    <w:rsid w:val="00105BBF"/>
    <w:pPr>
      <w:spacing w:after="0" w:line="240" w:lineRule="auto"/>
    </w:pPr>
    <w:rPr>
      <w:rFonts w:eastAsiaTheme="minorEastAsia"/>
      <w:sz w:val="24"/>
      <w:szCs w:val="24"/>
      <w:lang w:val="en-US" w:eastAsia="zh-CN"/>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Bulletpoints">
    <w:name w:val="Bullet points"/>
    <w:basedOn w:val="ListParagraph"/>
    <w:qFormat/>
    <w:rsid w:val="00DC0BA0"/>
    <w:pPr>
      <w:numPr>
        <w:ilvl w:val="0"/>
        <w:numId w:val="15"/>
      </w:numPr>
      <w:spacing w:before="0" w:after="120"/>
      <w:contextualSpacing/>
    </w:pPr>
    <w:rPr>
      <w:rFonts w:cs="Arial"/>
      <w:snapToGrid w:val="0"/>
      <w:color w:val="auto"/>
      <w:lang w:eastAsia="en-AU"/>
    </w:rPr>
  </w:style>
  <w:style w:type="table" w:customStyle="1" w:styleId="ASDTable2">
    <w:name w:val="ASD Table2"/>
    <w:basedOn w:val="TableNormal"/>
    <w:next w:val="TableGrid"/>
    <w:uiPriority w:val="39"/>
    <w:rsid w:val="000277D8"/>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A042A9"/>
    <w:rPr>
      <w:color w:val="605E5C"/>
      <w:shd w:val="clear" w:color="auto" w:fill="E1DFDD"/>
    </w:rPr>
  </w:style>
  <w:style w:type="table" w:customStyle="1" w:styleId="Eviera-2018">
    <w:name w:val="Eviera - 2018"/>
    <w:basedOn w:val="TableNormal"/>
    <w:uiPriority w:val="99"/>
    <w:qFormat/>
    <w:rsid w:val="00A042A9"/>
    <w:pPr>
      <w:spacing w:before="40" w:after="40" w:line="240" w:lineRule="auto"/>
    </w:pPr>
    <w:rPr>
      <w:rFonts w:ascii="Calibri Light" w:eastAsia="SimSun" w:hAnsi="Calibri Light"/>
      <w:sz w:val="18"/>
      <w:lang w:val="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jc w:val="center"/>
      </w:pPr>
      <w:rPr>
        <w:rFonts w:ascii="Calibri Light" w:hAnsi="Calibri Light"/>
        <w:b/>
        <w:color w:val="70AD47"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paragraph" w:customStyle="1" w:styleId="Paragraphheading1">
    <w:name w:val="Paragraph heading 1"/>
    <w:qFormat/>
    <w:rsid w:val="00A042A9"/>
    <w:pPr>
      <w:spacing w:after="0" w:line="240" w:lineRule="auto"/>
      <w:ind w:left="720" w:hanging="720"/>
    </w:pPr>
    <w:rPr>
      <w:rFonts w:asciiTheme="majorHAnsi" w:eastAsia="Times New Roman" w:hAnsiTheme="majorHAnsi" w:cs="Arial"/>
      <w:i/>
      <w:snapToGrid w:val="0"/>
      <w:sz w:val="32"/>
      <w:szCs w:val="32"/>
    </w:rPr>
  </w:style>
  <w:style w:type="character" w:styleId="PlaceholderText">
    <w:name w:val="Placeholder Text"/>
    <w:basedOn w:val="DefaultParagraphFont"/>
    <w:uiPriority w:val="99"/>
    <w:semiHidden/>
    <w:rsid w:val="00A042A9"/>
    <w:rPr>
      <w:color w:val="808080"/>
    </w:rPr>
  </w:style>
  <w:style w:type="paragraph" w:customStyle="1" w:styleId="1-MainHeading">
    <w:name w:val="1-Main Heading"/>
    <w:link w:val="1-MainHeadingChar"/>
    <w:qFormat/>
    <w:rsid w:val="00A042A9"/>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A042A9"/>
    <w:rPr>
      <w:rFonts w:eastAsiaTheme="majorEastAsia" w:cstheme="majorBidi"/>
      <w:b/>
      <w:spacing w:val="5"/>
      <w:kern w:val="28"/>
      <w:sz w:val="36"/>
      <w:szCs w:val="36"/>
      <w:lang w:eastAsia="en-AU"/>
    </w:rPr>
  </w:style>
  <w:style w:type="paragraph" w:customStyle="1" w:styleId="4-SubsectionHeading">
    <w:name w:val="4-Subsection Heading"/>
    <w:basedOn w:val="Heading2"/>
    <w:next w:val="Normal"/>
    <w:link w:val="4-SubsectionHeadingChar"/>
    <w:qFormat/>
    <w:rsid w:val="00A042A9"/>
    <w:pPr>
      <w:keepLines w:val="0"/>
      <w:numPr>
        <w:ilvl w:val="0"/>
        <w:numId w:val="0"/>
      </w:numPr>
      <w:spacing w:before="120"/>
      <w:jc w:val="both"/>
    </w:pPr>
    <w:rPr>
      <w:snapToGrid/>
      <w:color w:val="2E74B5" w:themeColor="accent1" w:themeShade="BF"/>
      <w:spacing w:val="5"/>
      <w:kern w:val="28"/>
      <w:szCs w:val="36"/>
      <w:lang w:eastAsia="en-AU"/>
    </w:rPr>
  </w:style>
  <w:style w:type="character" w:customStyle="1" w:styleId="4-SubsectionHeadingChar">
    <w:name w:val="4-Subsection Heading Char"/>
    <w:basedOn w:val="Heading2Char"/>
    <w:link w:val="4-SubsectionHeading"/>
    <w:rsid w:val="00A042A9"/>
    <w:rPr>
      <w:rFonts w:ascii="Arial" w:eastAsiaTheme="majorEastAsia" w:hAnsi="Arial" w:cstheme="majorBidi"/>
      <w:b/>
      <w:i/>
      <w:snapToGrid/>
      <w:color w:val="2E74B5" w:themeColor="accent1" w:themeShade="BF"/>
      <w:spacing w:val="5"/>
      <w:kern w:val="28"/>
      <w:sz w:val="28"/>
      <w:szCs w:val="36"/>
      <w:lang w:eastAsia="en-AU"/>
    </w:rPr>
  </w:style>
  <w:style w:type="paragraph" w:customStyle="1" w:styleId="3-SubsectionHeading">
    <w:name w:val="3-Subsection Heading"/>
    <w:basedOn w:val="Heading2"/>
    <w:next w:val="Normal"/>
    <w:link w:val="3-SubsectionHeadingChar"/>
    <w:qFormat/>
    <w:rsid w:val="007904FB"/>
    <w:pPr>
      <w:keepLines w:val="0"/>
      <w:numPr>
        <w:ilvl w:val="0"/>
        <w:numId w:val="0"/>
      </w:numPr>
      <w:spacing w:before="120"/>
      <w:jc w:val="both"/>
      <w:outlineLvl w:val="9"/>
    </w:pPr>
    <w:rPr>
      <w:snapToGrid/>
      <w:spacing w:val="5"/>
      <w:kern w:val="28"/>
      <w:szCs w:val="36"/>
    </w:rPr>
  </w:style>
  <w:style w:type="character" w:customStyle="1" w:styleId="3-SubsectionHeadingChar">
    <w:name w:val="3-Subsection Heading Char"/>
    <w:basedOn w:val="Heading2Char"/>
    <w:link w:val="3-SubsectionHeading"/>
    <w:rsid w:val="007904FB"/>
    <w:rPr>
      <w:rFonts w:ascii="Arial" w:eastAsiaTheme="majorEastAsia" w:hAnsi="Arial" w:cstheme="majorBidi"/>
      <w:b/>
      <w:i/>
      <w:snapToGrid/>
      <w:spacing w:val="5"/>
      <w:kern w:val="28"/>
      <w:sz w:val="28"/>
      <w:szCs w:val="36"/>
      <w:lang w:eastAsia="en-GB"/>
    </w:rPr>
  </w:style>
  <w:style w:type="paragraph" w:customStyle="1" w:styleId="2-SectionHeading">
    <w:name w:val="2-Section Heading"/>
    <w:qFormat/>
    <w:rsid w:val="007904FB"/>
    <w:pPr>
      <w:keepNext/>
      <w:spacing w:before="240" w:after="120" w:line="240" w:lineRule="auto"/>
      <w:outlineLvl w:val="1"/>
    </w:pPr>
    <w:rPr>
      <w:rFonts w:eastAsia="Times New Roman" w:cs="Arial"/>
      <w:b/>
      <w:snapToGrid w:val="0"/>
      <w:sz w:val="32"/>
      <w:szCs w:val="32"/>
      <w:lang w:eastAsia="en-AU"/>
    </w:rPr>
  </w:style>
  <w:style w:type="paragraph" w:customStyle="1" w:styleId="null">
    <w:name w:val="null"/>
    <w:basedOn w:val="Normal"/>
    <w:rsid w:val="00832B7B"/>
    <w:pPr>
      <w:spacing w:before="100" w:beforeAutospacing="1" w:after="100" w:afterAutospacing="1"/>
      <w:jc w:val="left"/>
    </w:pPr>
    <w:rPr>
      <w:rFonts w:ascii="Times New Roman" w:eastAsiaTheme="minorHAnsi" w:hAnsi="Times New Roman"/>
      <w:lang w:eastAsia="en-AU"/>
    </w:rPr>
  </w:style>
  <w:style w:type="table" w:customStyle="1" w:styleId="TableGrid10">
    <w:name w:val="Table Grid1"/>
    <w:basedOn w:val="TableNormal"/>
    <w:next w:val="TableGrid"/>
    <w:uiPriority w:val="39"/>
    <w:rsid w:val="001C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24982810">
      <w:bodyDiv w:val="1"/>
      <w:marLeft w:val="0"/>
      <w:marRight w:val="0"/>
      <w:marTop w:val="0"/>
      <w:marBottom w:val="0"/>
      <w:divBdr>
        <w:top w:val="none" w:sz="0" w:space="0" w:color="auto"/>
        <w:left w:val="none" w:sz="0" w:space="0" w:color="auto"/>
        <w:bottom w:val="none" w:sz="0" w:space="0" w:color="auto"/>
        <w:right w:val="none" w:sz="0" w:space="0" w:color="auto"/>
      </w:divBdr>
    </w:div>
    <w:div w:id="26683499">
      <w:bodyDiv w:val="1"/>
      <w:marLeft w:val="0"/>
      <w:marRight w:val="0"/>
      <w:marTop w:val="0"/>
      <w:marBottom w:val="0"/>
      <w:divBdr>
        <w:top w:val="none" w:sz="0" w:space="0" w:color="auto"/>
        <w:left w:val="none" w:sz="0" w:space="0" w:color="auto"/>
        <w:bottom w:val="none" w:sz="0" w:space="0" w:color="auto"/>
        <w:right w:val="none" w:sz="0" w:space="0" w:color="auto"/>
      </w:divBdr>
      <w:divsChild>
        <w:div w:id="543298748">
          <w:marLeft w:val="0"/>
          <w:marRight w:val="0"/>
          <w:marTop w:val="0"/>
          <w:marBottom w:val="0"/>
          <w:divBdr>
            <w:top w:val="none" w:sz="0" w:space="0" w:color="auto"/>
            <w:left w:val="none" w:sz="0" w:space="0" w:color="auto"/>
            <w:bottom w:val="none" w:sz="0" w:space="0" w:color="auto"/>
            <w:right w:val="none" w:sz="0" w:space="0" w:color="auto"/>
          </w:divBdr>
          <w:divsChild>
            <w:div w:id="416177122">
              <w:marLeft w:val="0"/>
              <w:marRight w:val="0"/>
              <w:marTop w:val="0"/>
              <w:marBottom w:val="0"/>
              <w:divBdr>
                <w:top w:val="none" w:sz="0" w:space="0" w:color="auto"/>
                <w:left w:val="none" w:sz="0" w:space="0" w:color="auto"/>
                <w:bottom w:val="none" w:sz="0" w:space="0" w:color="auto"/>
                <w:right w:val="none" w:sz="0" w:space="0" w:color="auto"/>
              </w:divBdr>
              <w:divsChild>
                <w:div w:id="2520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983">
      <w:bodyDiv w:val="1"/>
      <w:marLeft w:val="0"/>
      <w:marRight w:val="0"/>
      <w:marTop w:val="0"/>
      <w:marBottom w:val="0"/>
      <w:divBdr>
        <w:top w:val="none" w:sz="0" w:space="0" w:color="auto"/>
        <w:left w:val="none" w:sz="0" w:space="0" w:color="auto"/>
        <w:bottom w:val="none" w:sz="0" w:space="0" w:color="auto"/>
        <w:right w:val="none" w:sz="0" w:space="0" w:color="auto"/>
      </w:divBdr>
    </w:div>
    <w:div w:id="74474010">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16334369">
      <w:bodyDiv w:val="1"/>
      <w:marLeft w:val="0"/>
      <w:marRight w:val="0"/>
      <w:marTop w:val="0"/>
      <w:marBottom w:val="0"/>
      <w:divBdr>
        <w:top w:val="none" w:sz="0" w:space="0" w:color="auto"/>
        <w:left w:val="none" w:sz="0" w:space="0" w:color="auto"/>
        <w:bottom w:val="none" w:sz="0" w:space="0" w:color="auto"/>
        <w:right w:val="none" w:sz="0" w:space="0" w:color="auto"/>
      </w:divBdr>
      <w:divsChild>
        <w:div w:id="929774870">
          <w:marLeft w:val="0"/>
          <w:marRight w:val="0"/>
          <w:marTop w:val="0"/>
          <w:marBottom w:val="0"/>
          <w:divBdr>
            <w:top w:val="none" w:sz="0" w:space="0" w:color="auto"/>
            <w:left w:val="none" w:sz="0" w:space="0" w:color="auto"/>
            <w:bottom w:val="none" w:sz="0" w:space="0" w:color="auto"/>
            <w:right w:val="none" w:sz="0" w:space="0" w:color="auto"/>
          </w:divBdr>
          <w:divsChild>
            <w:div w:id="589118740">
              <w:marLeft w:val="0"/>
              <w:marRight w:val="0"/>
              <w:marTop w:val="0"/>
              <w:marBottom w:val="0"/>
              <w:divBdr>
                <w:top w:val="none" w:sz="0" w:space="0" w:color="auto"/>
                <w:left w:val="none" w:sz="0" w:space="0" w:color="auto"/>
                <w:bottom w:val="none" w:sz="0" w:space="0" w:color="auto"/>
                <w:right w:val="none" w:sz="0" w:space="0" w:color="auto"/>
              </w:divBdr>
              <w:divsChild>
                <w:div w:id="5131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9132">
      <w:bodyDiv w:val="1"/>
      <w:marLeft w:val="0"/>
      <w:marRight w:val="0"/>
      <w:marTop w:val="0"/>
      <w:marBottom w:val="0"/>
      <w:divBdr>
        <w:top w:val="none" w:sz="0" w:space="0" w:color="auto"/>
        <w:left w:val="none" w:sz="0" w:space="0" w:color="auto"/>
        <w:bottom w:val="none" w:sz="0" w:space="0" w:color="auto"/>
        <w:right w:val="none" w:sz="0" w:space="0" w:color="auto"/>
      </w:divBdr>
      <w:divsChild>
        <w:div w:id="414211315">
          <w:marLeft w:val="0"/>
          <w:marRight w:val="0"/>
          <w:marTop w:val="0"/>
          <w:marBottom w:val="0"/>
          <w:divBdr>
            <w:top w:val="none" w:sz="0" w:space="0" w:color="auto"/>
            <w:left w:val="none" w:sz="0" w:space="0" w:color="auto"/>
            <w:bottom w:val="none" w:sz="0" w:space="0" w:color="auto"/>
            <w:right w:val="none" w:sz="0" w:space="0" w:color="auto"/>
          </w:divBdr>
        </w:div>
        <w:div w:id="1939411592">
          <w:marLeft w:val="0"/>
          <w:marRight w:val="0"/>
          <w:marTop w:val="0"/>
          <w:marBottom w:val="0"/>
          <w:divBdr>
            <w:top w:val="none" w:sz="0" w:space="0" w:color="auto"/>
            <w:left w:val="none" w:sz="0" w:space="0" w:color="auto"/>
            <w:bottom w:val="none" w:sz="0" w:space="0" w:color="auto"/>
            <w:right w:val="none" w:sz="0" w:space="0" w:color="auto"/>
          </w:divBdr>
        </w:div>
        <w:div w:id="2126920336">
          <w:marLeft w:val="0"/>
          <w:marRight w:val="0"/>
          <w:marTop w:val="0"/>
          <w:marBottom w:val="0"/>
          <w:divBdr>
            <w:top w:val="none" w:sz="0" w:space="0" w:color="auto"/>
            <w:left w:val="none" w:sz="0" w:space="0" w:color="auto"/>
            <w:bottom w:val="none" w:sz="0" w:space="0" w:color="auto"/>
            <w:right w:val="none" w:sz="0" w:space="0" w:color="auto"/>
          </w:divBdr>
        </w:div>
        <w:div w:id="1157648367">
          <w:marLeft w:val="0"/>
          <w:marRight w:val="0"/>
          <w:marTop w:val="0"/>
          <w:marBottom w:val="0"/>
          <w:divBdr>
            <w:top w:val="none" w:sz="0" w:space="0" w:color="auto"/>
            <w:left w:val="none" w:sz="0" w:space="0" w:color="auto"/>
            <w:bottom w:val="none" w:sz="0" w:space="0" w:color="auto"/>
            <w:right w:val="none" w:sz="0" w:space="0" w:color="auto"/>
          </w:divBdr>
        </w:div>
        <w:div w:id="580262116">
          <w:marLeft w:val="0"/>
          <w:marRight w:val="0"/>
          <w:marTop w:val="0"/>
          <w:marBottom w:val="0"/>
          <w:divBdr>
            <w:top w:val="none" w:sz="0" w:space="0" w:color="auto"/>
            <w:left w:val="none" w:sz="0" w:space="0" w:color="auto"/>
            <w:bottom w:val="none" w:sz="0" w:space="0" w:color="auto"/>
            <w:right w:val="none" w:sz="0" w:space="0" w:color="auto"/>
          </w:divBdr>
        </w:div>
        <w:div w:id="1987664565">
          <w:marLeft w:val="0"/>
          <w:marRight w:val="0"/>
          <w:marTop w:val="0"/>
          <w:marBottom w:val="0"/>
          <w:divBdr>
            <w:top w:val="none" w:sz="0" w:space="0" w:color="auto"/>
            <w:left w:val="none" w:sz="0" w:space="0" w:color="auto"/>
            <w:bottom w:val="none" w:sz="0" w:space="0" w:color="auto"/>
            <w:right w:val="none" w:sz="0" w:space="0" w:color="auto"/>
          </w:divBdr>
        </w:div>
        <w:div w:id="1654292066">
          <w:marLeft w:val="0"/>
          <w:marRight w:val="0"/>
          <w:marTop w:val="0"/>
          <w:marBottom w:val="0"/>
          <w:divBdr>
            <w:top w:val="none" w:sz="0" w:space="0" w:color="auto"/>
            <w:left w:val="none" w:sz="0" w:space="0" w:color="auto"/>
            <w:bottom w:val="none" w:sz="0" w:space="0" w:color="auto"/>
            <w:right w:val="none" w:sz="0" w:space="0" w:color="auto"/>
          </w:divBdr>
        </w:div>
        <w:div w:id="607977581">
          <w:marLeft w:val="0"/>
          <w:marRight w:val="0"/>
          <w:marTop w:val="0"/>
          <w:marBottom w:val="0"/>
          <w:divBdr>
            <w:top w:val="none" w:sz="0" w:space="0" w:color="auto"/>
            <w:left w:val="none" w:sz="0" w:space="0" w:color="auto"/>
            <w:bottom w:val="none" w:sz="0" w:space="0" w:color="auto"/>
            <w:right w:val="none" w:sz="0" w:space="0" w:color="auto"/>
          </w:divBdr>
        </w:div>
        <w:div w:id="1367634250">
          <w:marLeft w:val="0"/>
          <w:marRight w:val="0"/>
          <w:marTop w:val="0"/>
          <w:marBottom w:val="0"/>
          <w:divBdr>
            <w:top w:val="none" w:sz="0" w:space="0" w:color="auto"/>
            <w:left w:val="none" w:sz="0" w:space="0" w:color="auto"/>
            <w:bottom w:val="none" w:sz="0" w:space="0" w:color="auto"/>
            <w:right w:val="none" w:sz="0" w:space="0" w:color="auto"/>
          </w:divBdr>
        </w:div>
        <w:div w:id="1167135478">
          <w:marLeft w:val="0"/>
          <w:marRight w:val="0"/>
          <w:marTop w:val="0"/>
          <w:marBottom w:val="0"/>
          <w:divBdr>
            <w:top w:val="none" w:sz="0" w:space="0" w:color="auto"/>
            <w:left w:val="none" w:sz="0" w:space="0" w:color="auto"/>
            <w:bottom w:val="none" w:sz="0" w:space="0" w:color="auto"/>
            <w:right w:val="none" w:sz="0" w:space="0" w:color="auto"/>
          </w:divBdr>
        </w:div>
        <w:div w:id="1790932541">
          <w:marLeft w:val="0"/>
          <w:marRight w:val="0"/>
          <w:marTop w:val="0"/>
          <w:marBottom w:val="0"/>
          <w:divBdr>
            <w:top w:val="none" w:sz="0" w:space="0" w:color="auto"/>
            <w:left w:val="none" w:sz="0" w:space="0" w:color="auto"/>
            <w:bottom w:val="none" w:sz="0" w:space="0" w:color="auto"/>
            <w:right w:val="none" w:sz="0" w:space="0" w:color="auto"/>
          </w:divBdr>
        </w:div>
        <w:div w:id="598830142">
          <w:marLeft w:val="0"/>
          <w:marRight w:val="0"/>
          <w:marTop w:val="0"/>
          <w:marBottom w:val="0"/>
          <w:divBdr>
            <w:top w:val="none" w:sz="0" w:space="0" w:color="auto"/>
            <w:left w:val="none" w:sz="0" w:space="0" w:color="auto"/>
            <w:bottom w:val="none" w:sz="0" w:space="0" w:color="auto"/>
            <w:right w:val="none" w:sz="0" w:space="0" w:color="auto"/>
          </w:divBdr>
        </w:div>
        <w:div w:id="992297805">
          <w:marLeft w:val="0"/>
          <w:marRight w:val="0"/>
          <w:marTop w:val="0"/>
          <w:marBottom w:val="0"/>
          <w:divBdr>
            <w:top w:val="none" w:sz="0" w:space="0" w:color="auto"/>
            <w:left w:val="none" w:sz="0" w:space="0" w:color="auto"/>
            <w:bottom w:val="none" w:sz="0" w:space="0" w:color="auto"/>
            <w:right w:val="none" w:sz="0" w:space="0" w:color="auto"/>
          </w:divBdr>
        </w:div>
      </w:divsChild>
    </w:div>
    <w:div w:id="154345229">
      <w:bodyDiv w:val="1"/>
      <w:marLeft w:val="0"/>
      <w:marRight w:val="0"/>
      <w:marTop w:val="0"/>
      <w:marBottom w:val="0"/>
      <w:divBdr>
        <w:top w:val="none" w:sz="0" w:space="0" w:color="auto"/>
        <w:left w:val="none" w:sz="0" w:space="0" w:color="auto"/>
        <w:bottom w:val="none" w:sz="0" w:space="0" w:color="auto"/>
        <w:right w:val="none" w:sz="0" w:space="0" w:color="auto"/>
      </w:divBdr>
      <w:divsChild>
        <w:div w:id="2120903674">
          <w:marLeft w:val="0"/>
          <w:marRight w:val="0"/>
          <w:marTop w:val="0"/>
          <w:marBottom w:val="0"/>
          <w:divBdr>
            <w:top w:val="none" w:sz="0" w:space="0" w:color="auto"/>
            <w:left w:val="none" w:sz="0" w:space="0" w:color="auto"/>
            <w:bottom w:val="none" w:sz="0" w:space="0" w:color="auto"/>
            <w:right w:val="none" w:sz="0" w:space="0" w:color="auto"/>
          </w:divBdr>
          <w:divsChild>
            <w:div w:id="926351660">
              <w:marLeft w:val="0"/>
              <w:marRight w:val="0"/>
              <w:marTop w:val="0"/>
              <w:marBottom w:val="0"/>
              <w:divBdr>
                <w:top w:val="none" w:sz="0" w:space="0" w:color="auto"/>
                <w:left w:val="none" w:sz="0" w:space="0" w:color="auto"/>
                <w:bottom w:val="none" w:sz="0" w:space="0" w:color="auto"/>
                <w:right w:val="none" w:sz="0" w:space="0" w:color="auto"/>
              </w:divBdr>
              <w:divsChild>
                <w:div w:id="5873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6798076">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00159575">
      <w:bodyDiv w:val="1"/>
      <w:marLeft w:val="0"/>
      <w:marRight w:val="0"/>
      <w:marTop w:val="0"/>
      <w:marBottom w:val="0"/>
      <w:divBdr>
        <w:top w:val="none" w:sz="0" w:space="0" w:color="auto"/>
        <w:left w:val="none" w:sz="0" w:space="0" w:color="auto"/>
        <w:bottom w:val="none" w:sz="0" w:space="0" w:color="auto"/>
        <w:right w:val="none" w:sz="0" w:space="0" w:color="auto"/>
      </w:divBdr>
    </w:div>
    <w:div w:id="310865537">
      <w:bodyDiv w:val="1"/>
      <w:marLeft w:val="0"/>
      <w:marRight w:val="0"/>
      <w:marTop w:val="0"/>
      <w:marBottom w:val="0"/>
      <w:divBdr>
        <w:top w:val="none" w:sz="0" w:space="0" w:color="auto"/>
        <w:left w:val="none" w:sz="0" w:space="0" w:color="auto"/>
        <w:bottom w:val="none" w:sz="0" w:space="0" w:color="auto"/>
        <w:right w:val="none" w:sz="0" w:space="0" w:color="auto"/>
      </w:divBdr>
    </w:div>
    <w:div w:id="339896873">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57459460">
      <w:bodyDiv w:val="1"/>
      <w:marLeft w:val="0"/>
      <w:marRight w:val="0"/>
      <w:marTop w:val="0"/>
      <w:marBottom w:val="0"/>
      <w:divBdr>
        <w:top w:val="none" w:sz="0" w:space="0" w:color="auto"/>
        <w:left w:val="none" w:sz="0" w:space="0" w:color="auto"/>
        <w:bottom w:val="none" w:sz="0" w:space="0" w:color="auto"/>
        <w:right w:val="none" w:sz="0" w:space="0" w:color="auto"/>
      </w:divBdr>
      <w:divsChild>
        <w:div w:id="165101633">
          <w:marLeft w:val="0"/>
          <w:marRight w:val="0"/>
          <w:marTop w:val="0"/>
          <w:marBottom w:val="0"/>
          <w:divBdr>
            <w:top w:val="none" w:sz="0" w:space="0" w:color="auto"/>
            <w:left w:val="none" w:sz="0" w:space="0" w:color="auto"/>
            <w:bottom w:val="none" w:sz="0" w:space="0" w:color="auto"/>
            <w:right w:val="none" w:sz="0" w:space="0" w:color="auto"/>
          </w:divBdr>
          <w:divsChild>
            <w:div w:id="352465143">
              <w:marLeft w:val="0"/>
              <w:marRight w:val="0"/>
              <w:marTop w:val="0"/>
              <w:marBottom w:val="0"/>
              <w:divBdr>
                <w:top w:val="none" w:sz="0" w:space="0" w:color="auto"/>
                <w:left w:val="none" w:sz="0" w:space="0" w:color="auto"/>
                <w:bottom w:val="none" w:sz="0" w:space="0" w:color="auto"/>
                <w:right w:val="none" w:sz="0" w:space="0" w:color="auto"/>
              </w:divBdr>
              <w:divsChild>
                <w:div w:id="13652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3590636">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9375">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49484368">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83016743">
      <w:bodyDiv w:val="1"/>
      <w:marLeft w:val="0"/>
      <w:marRight w:val="0"/>
      <w:marTop w:val="0"/>
      <w:marBottom w:val="0"/>
      <w:divBdr>
        <w:top w:val="none" w:sz="0" w:space="0" w:color="auto"/>
        <w:left w:val="none" w:sz="0" w:space="0" w:color="auto"/>
        <w:bottom w:val="none" w:sz="0" w:space="0" w:color="auto"/>
        <w:right w:val="none" w:sz="0" w:space="0" w:color="auto"/>
      </w:divBdr>
    </w:div>
    <w:div w:id="683900181">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0059">
      <w:bodyDiv w:val="1"/>
      <w:marLeft w:val="0"/>
      <w:marRight w:val="0"/>
      <w:marTop w:val="0"/>
      <w:marBottom w:val="0"/>
      <w:divBdr>
        <w:top w:val="none" w:sz="0" w:space="0" w:color="auto"/>
        <w:left w:val="none" w:sz="0" w:space="0" w:color="auto"/>
        <w:bottom w:val="none" w:sz="0" w:space="0" w:color="auto"/>
        <w:right w:val="none" w:sz="0" w:space="0" w:color="auto"/>
      </w:divBdr>
      <w:divsChild>
        <w:div w:id="1895965029">
          <w:marLeft w:val="0"/>
          <w:marRight w:val="0"/>
          <w:marTop w:val="0"/>
          <w:marBottom w:val="0"/>
          <w:divBdr>
            <w:top w:val="none" w:sz="0" w:space="0" w:color="auto"/>
            <w:left w:val="none" w:sz="0" w:space="0" w:color="auto"/>
            <w:bottom w:val="none" w:sz="0" w:space="0" w:color="auto"/>
            <w:right w:val="none" w:sz="0" w:space="0" w:color="auto"/>
          </w:divBdr>
          <w:divsChild>
            <w:div w:id="47456158">
              <w:marLeft w:val="0"/>
              <w:marRight w:val="0"/>
              <w:marTop w:val="0"/>
              <w:marBottom w:val="0"/>
              <w:divBdr>
                <w:top w:val="none" w:sz="0" w:space="0" w:color="auto"/>
                <w:left w:val="none" w:sz="0" w:space="0" w:color="auto"/>
                <w:bottom w:val="none" w:sz="0" w:space="0" w:color="auto"/>
                <w:right w:val="none" w:sz="0" w:space="0" w:color="auto"/>
              </w:divBdr>
              <w:divsChild>
                <w:div w:id="14275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52651028">
      <w:bodyDiv w:val="1"/>
      <w:marLeft w:val="0"/>
      <w:marRight w:val="0"/>
      <w:marTop w:val="0"/>
      <w:marBottom w:val="0"/>
      <w:divBdr>
        <w:top w:val="none" w:sz="0" w:space="0" w:color="auto"/>
        <w:left w:val="none" w:sz="0" w:space="0" w:color="auto"/>
        <w:bottom w:val="none" w:sz="0" w:space="0" w:color="auto"/>
        <w:right w:val="none" w:sz="0" w:space="0" w:color="auto"/>
      </w:divBdr>
    </w:div>
    <w:div w:id="874656341">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55407418">
      <w:bodyDiv w:val="1"/>
      <w:marLeft w:val="0"/>
      <w:marRight w:val="0"/>
      <w:marTop w:val="0"/>
      <w:marBottom w:val="0"/>
      <w:divBdr>
        <w:top w:val="none" w:sz="0" w:space="0" w:color="auto"/>
        <w:left w:val="none" w:sz="0" w:space="0" w:color="auto"/>
        <w:bottom w:val="none" w:sz="0" w:space="0" w:color="auto"/>
        <w:right w:val="none" w:sz="0" w:space="0" w:color="auto"/>
      </w:divBdr>
      <w:divsChild>
        <w:div w:id="1216890696">
          <w:marLeft w:val="0"/>
          <w:marRight w:val="0"/>
          <w:marTop w:val="0"/>
          <w:marBottom w:val="0"/>
          <w:divBdr>
            <w:top w:val="none" w:sz="0" w:space="0" w:color="auto"/>
            <w:left w:val="none" w:sz="0" w:space="0" w:color="auto"/>
            <w:bottom w:val="none" w:sz="0" w:space="0" w:color="auto"/>
            <w:right w:val="none" w:sz="0" w:space="0" w:color="auto"/>
          </w:divBdr>
        </w:div>
      </w:divsChild>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090545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05">
          <w:marLeft w:val="0"/>
          <w:marRight w:val="0"/>
          <w:marTop w:val="0"/>
          <w:marBottom w:val="0"/>
          <w:divBdr>
            <w:top w:val="none" w:sz="0" w:space="0" w:color="auto"/>
            <w:left w:val="none" w:sz="0" w:space="0" w:color="auto"/>
            <w:bottom w:val="none" w:sz="0" w:space="0" w:color="auto"/>
            <w:right w:val="none" w:sz="0" w:space="0" w:color="auto"/>
          </w:divBdr>
        </w:div>
      </w:divsChild>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1983">
      <w:bodyDiv w:val="1"/>
      <w:marLeft w:val="0"/>
      <w:marRight w:val="0"/>
      <w:marTop w:val="0"/>
      <w:marBottom w:val="0"/>
      <w:divBdr>
        <w:top w:val="none" w:sz="0" w:space="0" w:color="auto"/>
        <w:left w:val="none" w:sz="0" w:space="0" w:color="auto"/>
        <w:bottom w:val="none" w:sz="0" w:space="0" w:color="auto"/>
        <w:right w:val="none" w:sz="0" w:space="0" w:color="auto"/>
      </w:divBdr>
    </w:div>
    <w:div w:id="1048994224">
      <w:bodyDiv w:val="1"/>
      <w:marLeft w:val="0"/>
      <w:marRight w:val="0"/>
      <w:marTop w:val="0"/>
      <w:marBottom w:val="0"/>
      <w:divBdr>
        <w:top w:val="none" w:sz="0" w:space="0" w:color="auto"/>
        <w:left w:val="none" w:sz="0" w:space="0" w:color="auto"/>
        <w:bottom w:val="none" w:sz="0" w:space="0" w:color="auto"/>
        <w:right w:val="none" w:sz="0" w:space="0" w:color="auto"/>
      </w:divBdr>
    </w:div>
    <w:div w:id="1100833765">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38181782">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49119859">
      <w:bodyDiv w:val="1"/>
      <w:marLeft w:val="0"/>
      <w:marRight w:val="0"/>
      <w:marTop w:val="0"/>
      <w:marBottom w:val="0"/>
      <w:divBdr>
        <w:top w:val="none" w:sz="0" w:space="0" w:color="auto"/>
        <w:left w:val="none" w:sz="0" w:space="0" w:color="auto"/>
        <w:bottom w:val="none" w:sz="0" w:space="0" w:color="auto"/>
        <w:right w:val="none" w:sz="0" w:space="0" w:color="auto"/>
      </w:divBdr>
      <w:divsChild>
        <w:div w:id="1637032444">
          <w:marLeft w:val="0"/>
          <w:marRight w:val="0"/>
          <w:marTop w:val="0"/>
          <w:marBottom w:val="0"/>
          <w:divBdr>
            <w:top w:val="none" w:sz="0" w:space="0" w:color="auto"/>
            <w:left w:val="none" w:sz="0" w:space="0" w:color="auto"/>
            <w:bottom w:val="none" w:sz="0" w:space="0" w:color="auto"/>
            <w:right w:val="none" w:sz="0" w:space="0" w:color="auto"/>
          </w:divBdr>
          <w:divsChild>
            <w:div w:id="540214175">
              <w:marLeft w:val="0"/>
              <w:marRight w:val="0"/>
              <w:marTop w:val="0"/>
              <w:marBottom w:val="0"/>
              <w:divBdr>
                <w:top w:val="none" w:sz="0" w:space="0" w:color="auto"/>
                <w:left w:val="none" w:sz="0" w:space="0" w:color="auto"/>
                <w:bottom w:val="none" w:sz="0" w:space="0" w:color="auto"/>
                <w:right w:val="none" w:sz="0" w:space="0" w:color="auto"/>
              </w:divBdr>
              <w:divsChild>
                <w:div w:id="13237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05741366">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4789643">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386627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57603476">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598371438">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1247473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05712866">
      <w:bodyDiv w:val="1"/>
      <w:marLeft w:val="0"/>
      <w:marRight w:val="0"/>
      <w:marTop w:val="0"/>
      <w:marBottom w:val="0"/>
      <w:divBdr>
        <w:top w:val="none" w:sz="0" w:space="0" w:color="auto"/>
        <w:left w:val="none" w:sz="0" w:space="0" w:color="auto"/>
        <w:bottom w:val="none" w:sz="0" w:space="0" w:color="auto"/>
        <w:right w:val="none" w:sz="0" w:space="0" w:color="auto"/>
      </w:divBdr>
    </w:div>
    <w:div w:id="17152774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14902947">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8901">
      <w:bodyDiv w:val="1"/>
      <w:marLeft w:val="0"/>
      <w:marRight w:val="0"/>
      <w:marTop w:val="0"/>
      <w:marBottom w:val="0"/>
      <w:divBdr>
        <w:top w:val="none" w:sz="0" w:space="0" w:color="auto"/>
        <w:left w:val="none" w:sz="0" w:space="0" w:color="auto"/>
        <w:bottom w:val="none" w:sz="0" w:space="0" w:color="auto"/>
        <w:right w:val="none" w:sz="0" w:space="0" w:color="auto"/>
      </w:divBdr>
    </w:div>
    <w:div w:id="1972594967">
      <w:bodyDiv w:val="1"/>
      <w:marLeft w:val="0"/>
      <w:marRight w:val="0"/>
      <w:marTop w:val="0"/>
      <w:marBottom w:val="0"/>
      <w:divBdr>
        <w:top w:val="none" w:sz="0" w:space="0" w:color="auto"/>
        <w:left w:val="none" w:sz="0" w:space="0" w:color="auto"/>
        <w:bottom w:val="none" w:sz="0" w:space="0" w:color="auto"/>
        <w:right w:val="none" w:sz="0" w:space="0" w:color="auto"/>
      </w:divBdr>
    </w:div>
    <w:div w:id="1999113159">
      <w:bodyDiv w:val="1"/>
      <w:marLeft w:val="0"/>
      <w:marRight w:val="0"/>
      <w:marTop w:val="0"/>
      <w:marBottom w:val="0"/>
      <w:divBdr>
        <w:top w:val="none" w:sz="0" w:space="0" w:color="auto"/>
        <w:left w:val="none" w:sz="0" w:space="0" w:color="auto"/>
        <w:bottom w:val="none" w:sz="0" w:space="0" w:color="auto"/>
        <w:right w:val="none" w:sz="0" w:space="0" w:color="auto"/>
      </w:divBdr>
      <w:divsChild>
        <w:div w:id="817453385">
          <w:marLeft w:val="0"/>
          <w:marRight w:val="0"/>
          <w:marTop w:val="0"/>
          <w:marBottom w:val="0"/>
          <w:divBdr>
            <w:top w:val="none" w:sz="0" w:space="0" w:color="auto"/>
            <w:left w:val="none" w:sz="0" w:space="0" w:color="auto"/>
            <w:bottom w:val="none" w:sz="0" w:space="0" w:color="auto"/>
            <w:right w:val="none" w:sz="0" w:space="0" w:color="auto"/>
          </w:divBdr>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18795496">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4590846">
      <w:bodyDiv w:val="1"/>
      <w:marLeft w:val="0"/>
      <w:marRight w:val="0"/>
      <w:marTop w:val="0"/>
      <w:marBottom w:val="0"/>
      <w:divBdr>
        <w:top w:val="none" w:sz="0" w:space="0" w:color="auto"/>
        <w:left w:val="none" w:sz="0" w:space="0" w:color="auto"/>
        <w:bottom w:val="none" w:sz="0" w:space="0" w:color="auto"/>
        <w:right w:val="none" w:sz="0" w:space="0" w:color="auto"/>
      </w:divBdr>
      <w:divsChild>
        <w:div w:id="1158305888">
          <w:marLeft w:val="0"/>
          <w:marRight w:val="0"/>
          <w:marTop w:val="0"/>
          <w:marBottom w:val="0"/>
          <w:divBdr>
            <w:top w:val="none" w:sz="0" w:space="0" w:color="auto"/>
            <w:left w:val="none" w:sz="0" w:space="0" w:color="auto"/>
            <w:bottom w:val="none" w:sz="0" w:space="0" w:color="auto"/>
            <w:right w:val="none" w:sz="0" w:space="0" w:color="auto"/>
          </w:divBdr>
          <w:divsChild>
            <w:div w:id="316735797">
              <w:marLeft w:val="0"/>
              <w:marRight w:val="0"/>
              <w:marTop w:val="0"/>
              <w:marBottom w:val="0"/>
              <w:divBdr>
                <w:top w:val="none" w:sz="0" w:space="0" w:color="auto"/>
                <w:left w:val="none" w:sz="0" w:space="0" w:color="auto"/>
                <w:bottom w:val="none" w:sz="0" w:space="0" w:color="auto"/>
                <w:right w:val="none" w:sz="0" w:space="0" w:color="auto"/>
              </w:divBdr>
              <w:divsChild>
                <w:div w:id="13320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B059-A926-4BAE-BB90-0BF92DFD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20046</Words>
  <Characters>114265</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2022-03-02T01:32:00Z</dcterms:created>
  <dcterms:modified xsi:type="dcterms:W3CDTF">2022-03-02T01:32:00Z</dcterms:modified>
</cp:coreProperties>
</file>