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C4F8E" w14:textId="77777777" w:rsidR="006C6C10" w:rsidRPr="00304732" w:rsidRDefault="003A31F8" w:rsidP="00304732">
      <w:pPr>
        <w:pStyle w:val="1-MainHeading"/>
      </w:pPr>
      <w:r w:rsidRPr="00A93402">
        <w:t>5.23</w:t>
      </w:r>
      <w:r w:rsidR="00A93402">
        <w:tab/>
      </w:r>
      <w:r w:rsidRPr="00A93402">
        <w:t>OMALIZUMAB</w:t>
      </w:r>
      <w:r w:rsidR="007E490F" w:rsidRPr="00A93402">
        <w:t>,</w:t>
      </w:r>
      <w:r w:rsidR="00304732">
        <w:br/>
      </w:r>
      <w:r w:rsidRPr="00A93402">
        <w:rPr>
          <w:bCs/>
        </w:rPr>
        <w:t>Injection 75 mg in 0.5 mL single dose pre</w:t>
      </w:r>
      <w:bookmarkStart w:id="0" w:name="_GoBack"/>
      <w:bookmarkEnd w:id="0"/>
      <w:r w:rsidRPr="00A93402">
        <w:rPr>
          <w:bCs/>
        </w:rPr>
        <w:t>-filled syringe</w:t>
      </w:r>
      <w:r w:rsidR="00A93402">
        <w:rPr>
          <w:bCs/>
        </w:rPr>
        <w:t>,</w:t>
      </w:r>
      <w:r w:rsidR="00304732">
        <w:rPr>
          <w:bCs/>
        </w:rPr>
        <w:br/>
      </w:r>
      <w:r w:rsidRPr="00A93402">
        <w:rPr>
          <w:bCs/>
        </w:rPr>
        <w:t>Injection 150 mg in 1 mL single dose pre-filled</w:t>
      </w:r>
      <w:r w:rsidR="00304732">
        <w:rPr>
          <w:bCs/>
        </w:rPr>
        <w:t xml:space="preserve"> </w:t>
      </w:r>
      <w:r w:rsidRPr="00A93402">
        <w:rPr>
          <w:bCs/>
        </w:rPr>
        <w:t>syringe,</w:t>
      </w:r>
      <w:r w:rsidR="00304732">
        <w:rPr>
          <w:bCs/>
        </w:rPr>
        <w:br/>
      </w:r>
      <w:r w:rsidRPr="00A93402">
        <w:rPr>
          <w:bCs/>
        </w:rPr>
        <w:t>Xolair</w:t>
      </w:r>
      <w:r w:rsidR="009E10AD" w:rsidRPr="00A93402">
        <w:rPr>
          <w:bCs/>
        </w:rPr>
        <w:t>®</w:t>
      </w:r>
      <w:r w:rsidR="007E490F" w:rsidRPr="00A93402">
        <w:rPr>
          <w:bCs/>
        </w:rPr>
        <w:t>,</w:t>
      </w:r>
      <w:r w:rsidR="00304732">
        <w:rPr>
          <w:bCs/>
        </w:rPr>
        <w:br/>
      </w:r>
      <w:r w:rsidRPr="00A93402">
        <w:rPr>
          <w:bCs/>
        </w:rPr>
        <w:t>Novartis Pharmaceuticals Australia Pty Limited</w:t>
      </w:r>
    </w:p>
    <w:p w14:paraId="0334A599" w14:textId="77777777" w:rsidR="00E11F44" w:rsidRPr="00E11F44" w:rsidRDefault="007E490F" w:rsidP="00CD6257">
      <w:pPr>
        <w:pStyle w:val="2-SectionHeading"/>
        <w:rPr>
          <w:rFonts w:cstheme="minorHAnsi"/>
          <w:color w:val="FF0000"/>
        </w:rPr>
      </w:pPr>
      <w:r w:rsidRPr="0033263D">
        <w:t xml:space="preserve">Purpose of </w:t>
      </w:r>
      <w:r w:rsidR="00FA0B04">
        <w:t>Submission</w:t>
      </w:r>
    </w:p>
    <w:p w14:paraId="15C19C1A" w14:textId="77777777" w:rsidR="007971AE" w:rsidRPr="00EF4580" w:rsidRDefault="007971AE" w:rsidP="007971AE">
      <w:pPr>
        <w:pStyle w:val="3-BodyText"/>
      </w:pPr>
      <w:r>
        <w:t xml:space="preserve">The Category 4 submission requested to combine the existing listings of </w:t>
      </w:r>
      <w:r w:rsidR="0069009D">
        <w:t xml:space="preserve">the </w:t>
      </w:r>
      <w:r>
        <w:t>75 mg and 150 mg strengths</w:t>
      </w:r>
      <w:r w:rsidR="00B02490">
        <w:t xml:space="preserve"> of omalizumab (Xolair</w:t>
      </w:r>
      <w:r w:rsidR="00640FF9">
        <w:t>®</w:t>
      </w:r>
      <w:r w:rsidR="00B02490">
        <w:t>)</w:t>
      </w:r>
      <w:r>
        <w:t xml:space="preserve"> to allow patients requiring </w:t>
      </w:r>
      <w:r w:rsidR="00403A00">
        <w:t xml:space="preserve">a dose of </w:t>
      </w:r>
      <w:r>
        <w:t>225</w:t>
      </w:r>
      <w:r w:rsidR="00AF2CDC">
        <w:t> </w:t>
      </w:r>
      <w:r>
        <w:t xml:space="preserve">mg </w:t>
      </w:r>
      <w:r w:rsidR="00403A00">
        <w:t xml:space="preserve">or </w:t>
      </w:r>
      <w:r>
        <w:t>375</w:t>
      </w:r>
      <w:r w:rsidR="00403A00">
        <w:t xml:space="preserve"> </w:t>
      </w:r>
      <w:r>
        <w:t>mg to pay a single co-payment.</w:t>
      </w:r>
    </w:p>
    <w:p w14:paraId="3F8E49CB" w14:textId="77777777" w:rsidR="007E490F" w:rsidRDefault="007E490F" w:rsidP="003F5916">
      <w:pPr>
        <w:pStyle w:val="2-SectionHeading"/>
        <w:numPr>
          <w:ilvl w:val="0"/>
          <w:numId w:val="1"/>
        </w:numPr>
      </w:pPr>
      <w:r w:rsidRPr="009E2E8E">
        <w:t>Background</w:t>
      </w:r>
    </w:p>
    <w:p w14:paraId="50B1D201" w14:textId="77777777" w:rsidR="00D8773C" w:rsidRPr="002D1397" w:rsidRDefault="00D8773C" w:rsidP="00D8773C">
      <w:pPr>
        <w:pStyle w:val="2-SectionHeading"/>
        <w:numPr>
          <w:ilvl w:val="0"/>
          <w:numId w:val="0"/>
        </w:numPr>
        <w:outlineLvl w:val="1"/>
        <w:rPr>
          <w:rFonts w:eastAsiaTheme="majorEastAsia" w:cstheme="majorBidi"/>
          <w:i/>
          <w:snapToGrid/>
          <w:spacing w:val="5"/>
          <w:kern w:val="28"/>
          <w:sz w:val="28"/>
          <w:szCs w:val="36"/>
          <w:lang w:eastAsia="en-US"/>
        </w:rPr>
      </w:pPr>
      <w:r>
        <w:rPr>
          <w:rFonts w:eastAsiaTheme="majorEastAsia" w:cstheme="majorBidi"/>
          <w:i/>
          <w:snapToGrid/>
          <w:spacing w:val="5"/>
          <w:kern w:val="28"/>
          <w:sz w:val="28"/>
          <w:szCs w:val="36"/>
          <w:lang w:eastAsia="en-US"/>
        </w:rPr>
        <w:t>Regulatory status</w:t>
      </w:r>
    </w:p>
    <w:p w14:paraId="50D2415C" w14:textId="77777777" w:rsidR="007919F9" w:rsidRPr="00655D19" w:rsidRDefault="00D93308" w:rsidP="00B10E6C">
      <w:pPr>
        <w:pStyle w:val="3-BodyText"/>
      </w:pPr>
      <w:r w:rsidRPr="00F17524">
        <w:t>Omalizumab</w:t>
      </w:r>
      <w:r w:rsidRPr="00D93308">
        <w:rPr>
          <w:color w:val="FF0000"/>
        </w:rPr>
        <w:t xml:space="preserve"> </w:t>
      </w:r>
      <w:r w:rsidRPr="009E2E8E">
        <w:t>was</w:t>
      </w:r>
      <w:r>
        <w:t xml:space="preserve"> first registered on the Australian Register of Therapeutic Goods (ARTG) on</w:t>
      </w:r>
      <w:r w:rsidRPr="00D93308">
        <w:rPr>
          <w:color w:val="FF0000"/>
        </w:rPr>
        <w:t xml:space="preserve"> </w:t>
      </w:r>
      <w:r>
        <w:t>13 June 2003.</w:t>
      </w:r>
    </w:p>
    <w:p w14:paraId="2D224DD3" w14:textId="77777777" w:rsidR="007971AE" w:rsidRDefault="00D8773C" w:rsidP="00B10E6C">
      <w:pPr>
        <w:pStyle w:val="3-BodyText"/>
      </w:pPr>
      <w:r w:rsidRPr="00655D19">
        <w:t>Omalizumab is</w:t>
      </w:r>
      <w:r>
        <w:t xml:space="preserve"> ARTG registered</w:t>
      </w:r>
      <w:r w:rsidRPr="00655D19">
        <w:t xml:space="preserve"> as </w:t>
      </w:r>
      <w:r w:rsidR="007971AE">
        <w:t>individual packs of</w:t>
      </w:r>
      <w:r w:rsidR="007971AE" w:rsidRPr="00655D19">
        <w:t xml:space="preserve"> </w:t>
      </w:r>
      <w:r w:rsidR="007971AE">
        <w:t xml:space="preserve">the </w:t>
      </w:r>
      <w:r w:rsidR="007971AE" w:rsidRPr="00655D19">
        <w:t xml:space="preserve">75 mg </w:t>
      </w:r>
      <w:r w:rsidR="007971AE">
        <w:t xml:space="preserve">or </w:t>
      </w:r>
      <w:r w:rsidR="007971AE" w:rsidRPr="00655D19">
        <w:t>150</w:t>
      </w:r>
      <w:r w:rsidR="007971AE">
        <w:t> </w:t>
      </w:r>
      <w:r w:rsidR="007971AE" w:rsidRPr="00655D19">
        <w:t>mg</w:t>
      </w:r>
      <w:r w:rsidR="007971AE">
        <w:t xml:space="preserve"> strengths in two forms, namely:</w:t>
      </w:r>
    </w:p>
    <w:p w14:paraId="1810649B" w14:textId="13BB02B9" w:rsidR="007971AE" w:rsidRDefault="00D8773C" w:rsidP="00B10E6C">
      <w:pPr>
        <w:pStyle w:val="Bulletpoints"/>
        <w:numPr>
          <w:ilvl w:val="0"/>
          <w:numId w:val="7"/>
        </w:numPr>
        <w:jc w:val="both"/>
      </w:pPr>
      <w:r w:rsidRPr="00655D19">
        <w:t>a p</w:t>
      </w:r>
      <w:r w:rsidRPr="00DC2C0D">
        <w:t>owder for injection vial with diluent ampoule</w:t>
      </w:r>
    </w:p>
    <w:p w14:paraId="47F056B0" w14:textId="77777777" w:rsidR="00D8773C" w:rsidRDefault="00D8773C" w:rsidP="00B10E6C">
      <w:pPr>
        <w:pStyle w:val="Bulletpoints"/>
        <w:numPr>
          <w:ilvl w:val="0"/>
          <w:numId w:val="7"/>
        </w:numPr>
        <w:jc w:val="both"/>
      </w:pPr>
      <w:r>
        <w:t xml:space="preserve">a </w:t>
      </w:r>
      <w:r w:rsidRPr="00DC2C0D">
        <w:t>solution for injection pre-filled syringe</w:t>
      </w:r>
      <w:r w:rsidR="00B02490">
        <w:t xml:space="preserve"> (PFS)</w:t>
      </w:r>
      <w:r w:rsidR="007971AE">
        <w:t>.</w:t>
      </w:r>
    </w:p>
    <w:p w14:paraId="6A3A899B" w14:textId="77777777" w:rsidR="00D8773C" w:rsidRDefault="00D8773C" w:rsidP="00B10E6C">
      <w:pPr>
        <w:pStyle w:val="3-BodyText"/>
      </w:pPr>
      <w:r w:rsidRPr="00655D19">
        <w:t>Omalizumab</w:t>
      </w:r>
      <w:r>
        <w:t xml:space="preserve"> is currently approved</w:t>
      </w:r>
      <w:r w:rsidRPr="00F17524">
        <w:t xml:space="preserve"> </w:t>
      </w:r>
      <w:r w:rsidRPr="00657C63">
        <w:t>for</w:t>
      </w:r>
      <w:r>
        <w:t xml:space="preserve"> the following indications:</w:t>
      </w:r>
    </w:p>
    <w:p w14:paraId="62BE002F" w14:textId="08643C44" w:rsidR="00D8773C" w:rsidRDefault="00D8773C" w:rsidP="00B10E6C">
      <w:pPr>
        <w:pStyle w:val="Bulletpoints"/>
        <w:numPr>
          <w:ilvl w:val="0"/>
          <w:numId w:val="7"/>
        </w:numPr>
        <w:jc w:val="both"/>
      </w:pPr>
      <w:r>
        <w:t>as add-on therapy to improve asthma control in patients 6 to 12 years of age with severe allergic asthma who have documented exacerbations despite daily high dose inhaled corticosteroids, and who have immunoglobulin E (IgE) levels corresponding to the recommended dosage range (see Figure 1)</w:t>
      </w:r>
    </w:p>
    <w:p w14:paraId="2E19F519" w14:textId="0868B401" w:rsidR="00D8773C" w:rsidRDefault="00D8773C" w:rsidP="00B10E6C">
      <w:pPr>
        <w:pStyle w:val="Bulletpoints"/>
        <w:numPr>
          <w:ilvl w:val="0"/>
          <w:numId w:val="7"/>
        </w:numPr>
        <w:jc w:val="both"/>
      </w:pPr>
      <w:r>
        <w:t>for the management of adult and adolescent patients (≥ 12 years of age) with moderate to severe allergic asthma, who are already being treated with inhaled corticosteroids, and who have serum IgE levels corresponding to the recommended dosage range (see Figure 1)</w:t>
      </w:r>
    </w:p>
    <w:p w14:paraId="34DC9ABF" w14:textId="33CE3FCA" w:rsidR="00D8773C" w:rsidRDefault="00D8773C" w:rsidP="00B10E6C">
      <w:pPr>
        <w:pStyle w:val="Bulletpoints"/>
        <w:numPr>
          <w:ilvl w:val="0"/>
          <w:numId w:val="7"/>
        </w:numPr>
        <w:jc w:val="both"/>
      </w:pPr>
      <w:r>
        <w:t>as add-on treatment in adult patients (18 years of age and above) with severe chronic rhinosinusitis with nasal polyps (CRSwNP) who have an inadequate response to intranasal corticosteroids, and who have serum IgE levels corresponding to the recommended dosage range</w:t>
      </w:r>
    </w:p>
    <w:p w14:paraId="0E2962FD" w14:textId="77777777" w:rsidR="00D8773C" w:rsidRDefault="00D8773C" w:rsidP="00B10E6C">
      <w:pPr>
        <w:pStyle w:val="Bulletpoints"/>
        <w:numPr>
          <w:ilvl w:val="0"/>
          <w:numId w:val="7"/>
        </w:numPr>
        <w:jc w:val="both"/>
      </w:pPr>
      <w:r>
        <w:lastRenderedPageBreak/>
        <w:t>for adults and adolescents (12 years of age and above) with chronic spontaneous urticaria (CSU) who remain symptomatic despite H1 antihistamine treatment.</w:t>
      </w:r>
    </w:p>
    <w:p w14:paraId="64C72FF7" w14:textId="77777777" w:rsidR="00D8773C" w:rsidRPr="00892A80" w:rsidRDefault="00D8773C" w:rsidP="00892A80">
      <w:pPr>
        <w:pStyle w:val="2-SectionHeading"/>
        <w:numPr>
          <w:ilvl w:val="0"/>
          <w:numId w:val="0"/>
        </w:numPr>
        <w:outlineLvl w:val="1"/>
        <w:rPr>
          <w:rFonts w:eastAsiaTheme="majorEastAsia" w:cstheme="majorBidi"/>
          <w:i/>
          <w:snapToGrid/>
          <w:spacing w:val="5"/>
          <w:kern w:val="28"/>
          <w:sz w:val="28"/>
          <w:szCs w:val="36"/>
          <w:lang w:eastAsia="en-US"/>
        </w:rPr>
      </w:pPr>
      <w:r>
        <w:rPr>
          <w:rFonts w:eastAsiaTheme="majorEastAsia" w:cstheme="majorBidi"/>
          <w:i/>
          <w:snapToGrid/>
          <w:spacing w:val="5"/>
          <w:kern w:val="28"/>
          <w:sz w:val="28"/>
          <w:szCs w:val="36"/>
          <w:lang w:eastAsia="en-US"/>
        </w:rPr>
        <w:t xml:space="preserve">Current </w:t>
      </w:r>
      <w:r w:rsidR="00010E54">
        <w:rPr>
          <w:rFonts w:eastAsiaTheme="majorEastAsia" w:cstheme="majorBidi"/>
          <w:i/>
          <w:snapToGrid/>
          <w:spacing w:val="5"/>
          <w:kern w:val="28"/>
          <w:sz w:val="28"/>
          <w:szCs w:val="36"/>
          <w:lang w:eastAsia="en-US"/>
        </w:rPr>
        <w:t>situation</w:t>
      </w:r>
    </w:p>
    <w:p w14:paraId="48880F71" w14:textId="77777777" w:rsidR="00D8773C" w:rsidRDefault="00183089" w:rsidP="00B10E6C">
      <w:pPr>
        <w:pStyle w:val="3-BodyText"/>
      </w:pPr>
      <w:r>
        <w:t>O</w:t>
      </w:r>
      <w:r w:rsidR="00D8773C" w:rsidRPr="009C7B65">
        <w:t>malizumab</w:t>
      </w:r>
      <w:r w:rsidR="00D412E3" w:rsidRPr="009C7B65">
        <w:t xml:space="preserve"> 75 mg and 150 mg </w:t>
      </w:r>
      <w:r w:rsidR="00B02490">
        <w:t>PFS</w:t>
      </w:r>
      <w:r w:rsidR="00D412E3" w:rsidRPr="009C7B65">
        <w:t xml:space="preserve"> are</w:t>
      </w:r>
      <w:r w:rsidR="00D8773C" w:rsidRPr="009C7B65">
        <w:t xml:space="preserve"> currently </w:t>
      </w:r>
      <w:r w:rsidR="00B02490">
        <w:t>PBS-</w:t>
      </w:r>
      <w:r w:rsidR="00D8773C" w:rsidRPr="009C7B65">
        <w:t>listed as Authority Required listing</w:t>
      </w:r>
      <w:r w:rsidR="00D412E3" w:rsidRPr="009C7B65">
        <w:t>s</w:t>
      </w:r>
      <w:r w:rsidR="00D8773C" w:rsidRPr="009C7B65">
        <w:t xml:space="preserve"> </w:t>
      </w:r>
      <w:r w:rsidR="009C7B65" w:rsidRPr="00DF5A9B">
        <w:t>under the S</w:t>
      </w:r>
      <w:r>
        <w:t xml:space="preserve">ection </w:t>
      </w:r>
      <w:r w:rsidR="009C7B65" w:rsidRPr="00DF5A9B">
        <w:t>100 Highly Specialised Drugs arrangements</w:t>
      </w:r>
      <w:r w:rsidR="009C7B65" w:rsidRPr="00F26CC6">
        <w:t xml:space="preserve"> </w:t>
      </w:r>
      <w:r w:rsidR="00D8773C" w:rsidRPr="00F26CC6">
        <w:t>for</w:t>
      </w:r>
      <w:r w:rsidR="00D8773C">
        <w:t>:</w:t>
      </w:r>
    </w:p>
    <w:p w14:paraId="26C52D6E" w14:textId="0A71EF6B" w:rsidR="00D8773C" w:rsidRDefault="00183089" w:rsidP="00B10E6C">
      <w:pPr>
        <w:pStyle w:val="Bulletpoints"/>
        <w:numPr>
          <w:ilvl w:val="0"/>
          <w:numId w:val="7"/>
        </w:numPr>
        <w:jc w:val="both"/>
      </w:pPr>
      <w:r>
        <w:t>U</w:t>
      </w:r>
      <w:r w:rsidR="00D8773C" w:rsidRPr="00CE1703">
        <w:t>ncontrolled severe asthma</w:t>
      </w:r>
      <w:r w:rsidR="00D8773C">
        <w:t xml:space="preserve"> in</w:t>
      </w:r>
      <w:r w:rsidR="00D8773C" w:rsidRPr="00CE1703">
        <w:t xml:space="preserve"> adults and adolescents (aged 12 years and above)</w:t>
      </w:r>
    </w:p>
    <w:p w14:paraId="756CA475" w14:textId="4FFA96D7" w:rsidR="00D8773C" w:rsidRDefault="00D67529" w:rsidP="00B10E6C">
      <w:pPr>
        <w:pStyle w:val="Bulletpoints"/>
        <w:numPr>
          <w:ilvl w:val="0"/>
          <w:numId w:val="7"/>
        </w:numPr>
        <w:jc w:val="both"/>
      </w:pPr>
      <w:r>
        <w:t>Uncontrolled severe allergic asthma (</w:t>
      </w:r>
      <w:r w:rsidR="00747E9D">
        <w:t>USAA</w:t>
      </w:r>
      <w:r>
        <w:t>)</w:t>
      </w:r>
      <w:r w:rsidR="00D8773C">
        <w:t xml:space="preserve"> (aged 6 years to less than 12 years)</w:t>
      </w:r>
    </w:p>
    <w:p w14:paraId="63EE11FD" w14:textId="77777777" w:rsidR="00D8773C" w:rsidRDefault="00D8773C" w:rsidP="00B10E6C">
      <w:pPr>
        <w:pStyle w:val="Bulletpoints"/>
        <w:numPr>
          <w:ilvl w:val="0"/>
          <w:numId w:val="7"/>
        </w:numPr>
        <w:jc w:val="both"/>
      </w:pPr>
      <w:r>
        <w:t>CSU</w:t>
      </w:r>
      <w:r w:rsidR="009E22D6">
        <w:t>.</w:t>
      </w:r>
    </w:p>
    <w:p w14:paraId="3F350FEB" w14:textId="77777777" w:rsidR="003C2362" w:rsidRPr="003C2362" w:rsidRDefault="003C2362" w:rsidP="00B10E6C">
      <w:pPr>
        <w:pStyle w:val="3-BodyText"/>
      </w:pPr>
      <w:r>
        <w:t xml:space="preserve">Omalizumab is dosed every two to four weeks according to a patient’s body weight and total serum IgE level as shown in Figure 1. </w:t>
      </w:r>
      <w:r w:rsidR="00D412E3">
        <w:t>A p</w:t>
      </w:r>
      <w:r>
        <w:t xml:space="preserve">atient’s </w:t>
      </w:r>
      <w:r w:rsidRPr="003C2362">
        <w:t>total monthly dose can range between 75</w:t>
      </w:r>
      <w:r w:rsidR="00D412E3">
        <w:t xml:space="preserve"> </w:t>
      </w:r>
      <w:r w:rsidRPr="003C2362">
        <w:t>mg and 750</w:t>
      </w:r>
      <w:r w:rsidR="00D412E3">
        <w:t xml:space="preserve"> </w:t>
      </w:r>
      <w:r w:rsidRPr="003C2362">
        <w:t xml:space="preserve">mg depending on the combination of </w:t>
      </w:r>
      <w:r>
        <w:t>their</w:t>
      </w:r>
      <w:r w:rsidRPr="003C2362">
        <w:t xml:space="preserve"> weight and serum IgE</w:t>
      </w:r>
      <w:r>
        <w:t>. As such, t</w:t>
      </w:r>
      <w:r w:rsidRPr="003C2362">
        <w:t xml:space="preserve">he total monthly dose of omalizumab is achieved with various </w:t>
      </w:r>
      <w:r w:rsidR="000117B8">
        <w:t>combinations</w:t>
      </w:r>
      <w:r w:rsidR="00D412E3" w:rsidRPr="003C2362">
        <w:t xml:space="preserve"> </w:t>
      </w:r>
      <w:r w:rsidRPr="003C2362">
        <w:t xml:space="preserve">of </w:t>
      </w:r>
      <w:r w:rsidR="00D412E3">
        <w:t xml:space="preserve">the </w:t>
      </w:r>
      <w:r w:rsidRPr="003C2362">
        <w:t>75 mg and 150 mg</w:t>
      </w:r>
      <w:r>
        <w:t xml:space="preserve"> </w:t>
      </w:r>
      <w:r w:rsidR="00183089">
        <w:t>PFS</w:t>
      </w:r>
      <w:r w:rsidR="00D412E3">
        <w:t>. The different strengths and treatment phases have</w:t>
      </w:r>
      <w:r w:rsidRPr="003C2362">
        <w:t xml:space="preserve"> separate PBS item codes.</w:t>
      </w:r>
    </w:p>
    <w:p w14:paraId="71B0919F" w14:textId="77777777" w:rsidR="00BC1CAD" w:rsidRDefault="009C7B65" w:rsidP="00B10E6C">
      <w:pPr>
        <w:pStyle w:val="3-BodyText"/>
      </w:pPr>
      <w:r>
        <w:t>P</w:t>
      </w:r>
      <w:r w:rsidR="00792EDB">
        <w:t>atients who require a monthly dose of 225</w:t>
      </w:r>
      <w:r w:rsidR="00794C18">
        <w:t xml:space="preserve"> mg</w:t>
      </w:r>
      <w:r w:rsidR="00792EDB">
        <w:t>, 375</w:t>
      </w:r>
      <w:r w:rsidR="00794C18">
        <w:t xml:space="preserve"> mg</w:t>
      </w:r>
      <w:r w:rsidR="00792EDB">
        <w:t>, 450</w:t>
      </w:r>
      <w:r w:rsidR="00794C18">
        <w:t xml:space="preserve"> </w:t>
      </w:r>
      <w:r w:rsidR="00010E54">
        <w:t>mg,</w:t>
      </w:r>
      <w:r w:rsidR="00792EDB">
        <w:t xml:space="preserve"> or 750</w:t>
      </w:r>
      <w:r w:rsidR="00794C18">
        <w:t> </w:t>
      </w:r>
      <w:r w:rsidR="00792EDB">
        <w:t xml:space="preserve">mg currently pay two co-payments </w:t>
      </w:r>
      <w:r w:rsidR="009E1461">
        <w:t xml:space="preserve">per </w:t>
      </w:r>
      <w:r w:rsidR="00792EDB">
        <w:t>month. P</w:t>
      </w:r>
      <w:r w:rsidR="003C2362">
        <w:t xml:space="preserve">atients </w:t>
      </w:r>
      <w:r w:rsidR="00792EDB">
        <w:t>who require a monthly</w:t>
      </w:r>
      <w:r w:rsidR="003C2362">
        <w:t xml:space="preserve"> dose of 75 mg, 150</w:t>
      </w:r>
      <w:r w:rsidR="005345D9">
        <w:t> </w:t>
      </w:r>
      <w:r w:rsidR="003C2362">
        <w:t xml:space="preserve">mg, 300 </w:t>
      </w:r>
      <w:r w:rsidR="003B6D2C">
        <w:t>mg,</w:t>
      </w:r>
      <w:r w:rsidR="003C2362">
        <w:t xml:space="preserve"> or 600 mg pay one co-payment per month. </w:t>
      </w:r>
      <w:r w:rsidR="00B02490">
        <w:t xml:space="preserve">The submission claimed that it </w:t>
      </w:r>
      <w:r w:rsidR="00183089">
        <w:t xml:space="preserve">was seeking </w:t>
      </w:r>
      <w:r w:rsidR="00B02490">
        <w:t xml:space="preserve">to </w:t>
      </w:r>
      <w:r w:rsidR="00B02490" w:rsidRPr="00B02490">
        <w:t>address concerns raised by</w:t>
      </w:r>
      <w:r w:rsidR="00FF3656">
        <w:t xml:space="preserve"> both patients and</w:t>
      </w:r>
      <w:r w:rsidR="00B02490" w:rsidRPr="00B02490">
        <w:t xml:space="preserve"> clinicians of considerable financial burden and inequity amongst patients with</w:t>
      </w:r>
      <w:r w:rsidR="00E56B96">
        <w:t xml:space="preserve"> USAA</w:t>
      </w:r>
      <w:r w:rsidR="00B02490" w:rsidRPr="00B02490">
        <w:t xml:space="preserve"> being treated with omalizumab.</w:t>
      </w:r>
    </w:p>
    <w:p w14:paraId="1DCF6624" w14:textId="77777777" w:rsidR="002771CE" w:rsidRDefault="002771CE" w:rsidP="008E048A">
      <w:pPr>
        <w:pStyle w:val="TableFigureHeading"/>
      </w:pPr>
      <w:r>
        <w:t xml:space="preserve">Figure </w:t>
      </w:r>
      <w:r>
        <w:rPr>
          <w:noProof/>
        </w:rPr>
        <w:t>1</w:t>
      </w:r>
      <w:r>
        <w:t xml:space="preserve">: </w:t>
      </w:r>
      <w:r w:rsidRPr="00BC1CAD">
        <w:t>Xolair doses for patients 6 years and older with allergic asthma and for patients 18 years and older with CRSwNP via subcutaneous administration.</w:t>
      </w:r>
    </w:p>
    <w:p w14:paraId="388E43C7" w14:textId="77777777" w:rsidR="002771CE" w:rsidRDefault="009F0F02">
      <w:pPr>
        <w:pStyle w:val="TableText0"/>
      </w:pPr>
      <w:r w:rsidRPr="00A556D9">
        <w:rPr>
          <w:noProof/>
        </w:rPr>
        <w:drawing>
          <wp:inline distT="0" distB="0" distL="0" distR="0" wp14:anchorId="2CA1CE4C" wp14:editId="5673FC4B">
            <wp:extent cx="5693229" cy="2530475"/>
            <wp:effectExtent l="0" t="0" r="3175" b="3175"/>
            <wp:docPr id="1" name="Picture 1" descr="Xolair doses for patients 6 years and older with allergic asthma and for patients 18 years and older with CRSwNP via subcutaneou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olair doses for patients 6 years and older with allergic asthma and for patients 18 years and older with CRSwNP via subcutaneous administration."/>
                    <pic:cNvPicPr/>
                  </pic:nvPicPr>
                  <pic:blipFill rotWithShape="1">
                    <a:blip r:embed="rId8"/>
                    <a:srcRect l="567" t="1264" r="559" b="782"/>
                    <a:stretch/>
                  </pic:blipFill>
                  <pic:spPr bwMode="auto">
                    <a:xfrm>
                      <a:off x="0" y="0"/>
                      <a:ext cx="5695063" cy="2531290"/>
                    </a:xfrm>
                    <a:prstGeom prst="rect">
                      <a:avLst/>
                    </a:prstGeom>
                    <a:ln>
                      <a:noFill/>
                    </a:ln>
                    <a:extLst>
                      <a:ext uri="{53640926-AAD7-44D8-BBD7-CCE9431645EC}">
                        <a14:shadowObscured xmlns:a14="http://schemas.microsoft.com/office/drawing/2010/main"/>
                      </a:ext>
                    </a:extLst>
                  </pic:spPr>
                </pic:pic>
              </a:graphicData>
            </a:graphic>
          </wp:inline>
        </w:drawing>
      </w:r>
    </w:p>
    <w:p w14:paraId="44CAF4D2" w14:textId="77777777" w:rsidR="00F17524" w:rsidRPr="002771CE" w:rsidRDefault="009F0F02">
      <w:pPr>
        <w:pStyle w:val="TableFigureFooter"/>
      </w:pPr>
      <w:r w:rsidRPr="002771CE">
        <w:t xml:space="preserve">Source: </w:t>
      </w:r>
      <w:r w:rsidR="000117B8" w:rsidRPr="002771CE">
        <w:t>p4 of Product Information</w:t>
      </w:r>
      <w:r w:rsidRPr="002771CE">
        <w:t xml:space="preserve"> of </w:t>
      </w:r>
      <w:r w:rsidR="00760165">
        <w:t>Xolair</w:t>
      </w:r>
    </w:p>
    <w:p w14:paraId="391EF9BA" w14:textId="77777777" w:rsidR="00612AE2" w:rsidRDefault="00612AE2" w:rsidP="0068437B">
      <w:pPr>
        <w:pStyle w:val="TableFigureFooter"/>
        <w:rPr>
          <w:rFonts w:asciiTheme="minorHAnsi" w:hAnsiTheme="minorHAnsi"/>
          <w:i/>
        </w:rPr>
      </w:pPr>
      <w:bookmarkStart w:id="1" w:name="_Hlk88025080"/>
    </w:p>
    <w:p w14:paraId="745F1B73" w14:textId="77777777" w:rsidR="00612AE2" w:rsidRPr="00465F14" w:rsidRDefault="00612AE2" w:rsidP="00465F14">
      <w:pPr>
        <w:pStyle w:val="TableFigureFooter"/>
        <w:ind w:firstLine="720"/>
        <w:rPr>
          <w:sz w:val="24"/>
          <w:szCs w:val="32"/>
        </w:rPr>
      </w:pPr>
      <w:bookmarkStart w:id="2" w:name="_Hlk86393771"/>
      <w:r w:rsidRPr="00465F14">
        <w:rPr>
          <w:rFonts w:asciiTheme="minorHAnsi" w:hAnsiTheme="minorHAnsi"/>
          <w:i/>
          <w:sz w:val="24"/>
          <w:szCs w:val="32"/>
        </w:rPr>
        <w:t xml:space="preserve">For more detail on PBAC’s view, see section </w:t>
      </w:r>
      <w:r>
        <w:rPr>
          <w:rFonts w:asciiTheme="minorHAnsi" w:hAnsiTheme="minorHAnsi"/>
          <w:i/>
          <w:sz w:val="24"/>
          <w:szCs w:val="32"/>
        </w:rPr>
        <w:t>5</w:t>
      </w:r>
      <w:r w:rsidRPr="00465F14">
        <w:rPr>
          <w:rFonts w:asciiTheme="minorHAnsi" w:hAnsiTheme="minorHAnsi"/>
          <w:i/>
          <w:sz w:val="24"/>
          <w:szCs w:val="32"/>
        </w:rPr>
        <w:t xml:space="preserve"> PBAC outcome.</w:t>
      </w:r>
    </w:p>
    <w:bookmarkEnd w:id="1"/>
    <w:bookmarkEnd w:id="2"/>
    <w:p w14:paraId="7FAD0488" w14:textId="77777777" w:rsidR="00964A9F" w:rsidRDefault="00964A9F">
      <w:pPr>
        <w:pStyle w:val="2-SectionHeading"/>
      </w:pPr>
      <w:r w:rsidRPr="009D507A">
        <w:lastRenderedPageBreak/>
        <w:t>Requested listing</w:t>
      </w:r>
    </w:p>
    <w:p w14:paraId="2B93DC0E" w14:textId="77777777" w:rsidR="00B02490" w:rsidRDefault="008449C2" w:rsidP="00B10E6C">
      <w:pPr>
        <w:pStyle w:val="3-BodyText"/>
      </w:pPr>
      <w:r w:rsidRPr="003C7437">
        <w:t xml:space="preserve">The submission </w:t>
      </w:r>
      <w:r w:rsidR="006C175C">
        <w:t>requested</w:t>
      </w:r>
      <w:r w:rsidRPr="003C7437">
        <w:t xml:space="preserve"> to</w:t>
      </w:r>
      <w:r w:rsidRPr="001165DA">
        <w:t xml:space="preserve"> </w:t>
      </w:r>
      <w:r w:rsidR="009A7769" w:rsidRPr="009A7769">
        <w:t xml:space="preserve">combine the existing listings of the 75 mg and 150 mg </w:t>
      </w:r>
      <w:r w:rsidR="00183089">
        <w:t>PFS</w:t>
      </w:r>
      <w:r w:rsidR="009A7769" w:rsidRPr="009A7769">
        <w:t xml:space="preserve"> of omalizumab for </w:t>
      </w:r>
      <w:r w:rsidR="002D3489">
        <w:t xml:space="preserve">the treatment of </w:t>
      </w:r>
      <w:r w:rsidR="009A7769" w:rsidRPr="009A7769">
        <w:t>USAA</w:t>
      </w:r>
      <w:r w:rsidR="002D3489">
        <w:t xml:space="preserve"> into a single listing</w:t>
      </w:r>
      <w:r w:rsidR="00B02490">
        <w:t>. The submission proposed two new PBS items as follows:</w:t>
      </w:r>
    </w:p>
    <w:p w14:paraId="626DC84B" w14:textId="77777777" w:rsidR="00B02490" w:rsidRDefault="00B02490" w:rsidP="00B10E6C">
      <w:pPr>
        <w:pStyle w:val="Bulletpoints"/>
        <w:numPr>
          <w:ilvl w:val="0"/>
          <w:numId w:val="7"/>
        </w:numPr>
        <w:jc w:val="both"/>
      </w:pPr>
      <w:r>
        <w:t>A listing of one 150 mg PFS and one 75 mg PFS, allowing patients who require</w:t>
      </w:r>
      <w:r w:rsidR="00921FCB">
        <w:t xml:space="preserve"> a dose of</w:t>
      </w:r>
      <w:r>
        <w:t xml:space="preserve"> </w:t>
      </w:r>
      <w:r w:rsidR="002D3489">
        <w:t>225 mg</w:t>
      </w:r>
      <w:r>
        <w:t xml:space="preserve"> to pay one co-payment and receive two individual products </w:t>
      </w:r>
    </w:p>
    <w:p w14:paraId="28A9E2D4" w14:textId="77777777" w:rsidR="002D3489" w:rsidRDefault="00B02490" w:rsidP="00B10E6C">
      <w:pPr>
        <w:pStyle w:val="Bulletpoints"/>
        <w:numPr>
          <w:ilvl w:val="0"/>
          <w:numId w:val="7"/>
        </w:numPr>
        <w:jc w:val="both"/>
      </w:pPr>
      <w:r>
        <w:t xml:space="preserve">A listing of </w:t>
      </w:r>
      <w:r w:rsidR="00921FCB">
        <w:t xml:space="preserve">two </w:t>
      </w:r>
      <w:r>
        <w:t>150 mg PFS and one 75 mg PFS, allowing patients who require</w:t>
      </w:r>
      <w:r w:rsidR="00921FCB">
        <w:t xml:space="preserve"> a dose of</w:t>
      </w:r>
      <w:r>
        <w:t xml:space="preserve"> 375 mg to pay one co-payment and receive </w:t>
      </w:r>
      <w:r w:rsidR="00921FCB">
        <w:t xml:space="preserve">three </w:t>
      </w:r>
      <w:r>
        <w:t>individual products.</w:t>
      </w:r>
    </w:p>
    <w:p w14:paraId="186FA2FA" w14:textId="77777777" w:rsidR="006A70BD" w:rsidRPr="00465F14" w:rsidRDefault="006A70BD" w:rsidP="008E048A">
      <w:pPr>
        <w:pStyle w:val="3-BodyText"/>
        <w:numPr>
          <w:ilvl w:val="0"/>
          <w:numId w:val="0"/>
        </w:numPr>
        <w:ind w:left="720"/>
        <w:rPr>
          <w:i/>
          <w:iCs/>
        </w:rPr>
      </w:pPr>
      <w:r w:rsidRPr="00465F14">
        <w:rPr>
          <w:i/>
          <w:iCs/>
        </w:rPr>
        <w:t>For more detail on PBAC’s view, see section 5 PBAC outcome.</w:t>
      </w:r>
    </w:p>
    <w:p w14:paraId="0DCC20FF" w14:textId="77777777" w:rsidR="006A05D9" w:rsidRDefault="00827B4D" w:rsidP="00921FCB">
      <w:pPr>
        <w:pStyle w:val="2-SectionHeading"/>
      </w:pPr>
      <w:r>
        <w:t>Consideration of evidence</w:t>
      </w:r>
    </w:p>
    <w:p w14:paraId="6B1A97BF" w14:textId="77777777" w:rsidR="00612AE2" w:rsidRDefault="00612AE2" w:rsidP="009F0ADB">
      <w:pPr>
        <w:pStyle w:val="4-SubsectionHeading"/>
        <w:rPr>
          <w:lang w:eastAsia="en-US"/>
        </w:rPr>
      </w:pPr>
      <w:r>
        <w:rPr>
          <w:lang w:eastAsia="en-US"/>
        </w:rPr>
        <w:t>Sponsor hearing</w:t>
      </w:r>
    </w:p>
    <w:p w14:paraId="763C74AB" w14:textId="77777777" w:rsidR="00612AE2" w:rsidRPr="00CC10BA" w:rsidRDefault="00A94E81" w:rsidP="00465F14">
      <w:pPr>
        <w:pStyle w:val="3-BodyText"/>
        <w:rPr>
          <w:lang w:eastAsia="en-US"/>
        </w:rPr>
      </w:pPr>
      <w:r w:rsidRPr="00F91542">
        <w:rPr>
          <w:rFonts w:ascii="Calibri" w:hAnsi="Calibri" w:cs="Calibri"/>
          <w:bCs/>
          <w:snapToGrid w:val="0"/>
        </w:rPr>
        <w:t>There was no hearing for this item.</w:t>
      </w:r>
    </w:p>
    <w:p w14:paraId="0854AEBF" w14:textId="77777777" w:rsidR="00612AE2" w:rsidRDefault="00612AE2" w:rsidP="00612AE2">
      <w:pPr>
        <w:pStyle w:val="4-SubsectionHeading"/>
      </w:pPr>
      <w:r>
        <w:t>Consumer comments</w:t>
      </w:r>
    </w:p>
    <w:p w14:paraId="33C09B25" w14:textId="77777777" w:rsidR="00612AE2" w:rsidRPr="00465F14" w:rsidRDefault="00A94E81" w:rsidP="00612AE2">
      <w:pPr>
        <w:pStyle w:val="3-BodyText"/>
      </w:pPr>
      <w:r w:rsidRPr="00836F75">
        <w:rPr>
          <w:rFonts w:cs="Arial"/>
          <w:bCs/>
          <w:snapToGrid w:val="0"/>
        </w:rPr>
        <w:t>The PBAC noted and welcomed the input from health care professionals (</w:t>
      </w:r>
      <w:r>
        <w:rPr>
          <w:rFonts w:cs="Arial"/>
          <w:bCs/>
          <w:snapToGrid w:val="0"/>
        </w:rPr>
        <w:t>3</w:t>
      </w:r>
      <w:r w:rsidRPr="00836F75">
        <w:rPr>
          <w:rFonts w:cs="Arial"/>
          <w:bCs/>
          <w:snapToGrid w:val="0"/>
        </w:rPr>
        <w:t>) and organisations (</w:t>
      </w:r>
      <w:r>
        <w:rPr>
          <w:rFonts w:cs="Arial"/>
          <w:bCs/>
          <w:snapToGrid w:val="0"/>
        </w:rPr>
        <w:t>3</w:t>
      </w:r>
      <w:r w:rsidRPr="00836F75">
        <w:rPr>
          <w:rFonts w:cs="Arial"/>
          <w:bCs/>
          <w:snapToGrid w:val="0"/>
        </w:rPr>
        <w:t xml:space="preserve">) via the Consumer Comments facility on the PBS website. The comments described </w:t>
      </w:r>
      <w:r>
        <w:rPr>
          <w:rFonts w:cs="Arial"/>
          <w:bCs/>
          <w:snapToGrid w:val="0"/>
        </w:rPr>
        <w:t xml:space="preserve">the </w:t>
      </w:r>
      <w:r w:rsidR="00F32CEF">
        <w:rPr>
          <w:rFonts w:cs="Arial"/>
          <w:bCs/>
          <w:snapToGrid w:val="0"/>
        </w:rPr>
        <w:t>benefits</w:t>
      </w:r>
      <w:r>
        <w:rPr>
          <w:rFonts w:cs="Arial"/>
          <w:bCs/>
          <w:snapToGrid w:val="0"/>
        </w:rPr>
        <w:t xml:space="preserve"> of </w:t>
      </w:r>
      <w:r w:rsidR="00F32CEF">
        <w:rPr>
          <w:rFonts w:cs="Arial"/>
          <w:bCs/>
          <w:snapToGrid w:val="0"/>
        </w:rPr>
        <w:t xml:space="preserve">allowing </w:t>
      </w:r>
      <w:r>
        <w:rPr>
          <w:rFonts w:cs="Arial"/>
          <w:bCs/>
          <w:snapToGrid w:val="0"/>
        </w:rPr>
        <w:t xml:space="preserve">patients who require multiple strengths of omalizumab to </w:t>
      </w:r>
      <w:r w:rsidR="00F32CEF">
        <w:rPr>
          <w:rFonts w:cs="Arial"/>
          <w:bCs/>
          <w:snapToGrid w:val="0"/>
        </w:rPr>
        <w:t>pay a single co-payment</w:t>
      </w:r>
      <w:r>
        <w:rPr>
          <w:rFonts w:cs="Arial"/>
          <w:bCs/>
          <w:snapToGrid w:val="0"/>
        </w:rPr>
        <w:t xml:space="preserve">. The comments </w:t>
      </w:r>
      <w:r w:rsidR="00F32CEF">
        <w:rPr>
          <w:rFonts w:cs="Arial"/>
          <w:bCs/>
          <w:snapToGrid w:val="0"/>
        </w:rPr>
        <w:t xml:space="preserve">supported a single co-payment for a combined dose. </w:t>
      </w:r>
    </w:p>
    <w:p w14:paraId="7F0CB866" w14:textId="77777777" w:rsidR="00A94E81" w:rsidRPr="00465F14" w:rsidRDefault="00A94E81" w:rsidP="00465F14">
      <w:pPr>
        <w:pStyle w:val="3-BodyText"/>
      </w:pPr>
      <w:r w:rsidRPr="00836F75">
        <w:rPr>
          <w:rFonts w:cs="Arial"/>
          <w:bCs/>
          <w:snapToGrid w:val="0"/>
        </w:rPr>
        <w:t xml:space="preserve">The PBAC noted the </w:t>
      </w:r>
      <w:r w:rsidR="00F32CEF">
        <w:rPr>
          <w:rFonts w:cs="Arial"/>
          <w:bCs/>
          <w:snapToGrid w:val="0"/>
        </w:rPr>
        <w:t>comments</w:t>
      </w:r>
      <w:r w:rsidRPr="00836F75">
        <w:rPr>
          <w:rFonts w:cs="Arial"/>
          <w:bCs/>
          <w:snapToGrid w:val="0"/>
        </w:rPr>
        <w:t xml:space="preserve"> received from</w:t>
      </w:r>
      <w:r>
        <w:rPr>
          <w:rFonts w:cs="Arial"/>
          <w:bCs/>
          <w:snapToGrid w:val="0"/>
        </w:rPr>
        <w:t xml:space="preserve"> Asthma Australia, the Centre for Community-Driven Research</w:t>
      </w:r>
      <w:r w:rsidR="00177B38">
        <w:rPr>
          <w:rFonts w:cs="Arial"/>
          <w:bCs/>
          <w:snapToGrid w:val="0"/>
        </w:rPr>
        <w:t>, and the NHMRC Centre of Excellence in Treatable Traits</w:t>
      </w:r>
      <w:r>
        <w:rPr>
          <w:rFonts w:cs="Arial"/>
          <w:bCs/>
          <w:snapToGrid w:val="0"/>
        </w:rPr>
        <w:t>,</w:t>
      </w:r>
      <w:r w:rsidRPr="00836F75">
        <w:rPr>
          <w:rFonts w:cs="Arial"/>
          <w:bCs/>
          <w:snapToGrid w:val="0"/>
        </w:rPr>
        <w:t xml:space="preserve"> clarifying the </w:t>
      </w:r>
      <w:r>
        <w:rPr>
          <w:rFonts w:cs="Arial"/>
          <w:bCs/>
          <w:snapToGrid w:val="0"/>
        </w:rPr>
        <w:t>current</w:t>
      </w:r>
      <w:r w:rsidRPr="00836F75">
        <w:rPr>
          <w:rFonts w:cs="Arial"/>
          <w:bCs/>
          <w:snapToGrid w:val="0"/>
        </w:rPr>
        <w:t xml:space="preserve"> use of </w:t>
      </w:r>
      <w:r>
        <w:rPr>
          <w:rFonts w:cs="Arial"/>
          <w:bCs/>
          <w:snapToGrid w:val="0"/>
        </w:rPr>
        <w:t>omalizumab</w:t>
      </w:r>
      <w:r w:rsidRPr="00836F75">
        <w:rPr>
          <w:rFonts w:cs="Arial"/>
          <w:bCs/>
          <w:snapToGrid w:val="0"/>
        </w:rPr>
        <w:t xml:space="preserve"> in clinical practice. The PBAC specifically noted that the </w:t>
      </w:r>
      <w:r w:rsidR="00177B38">
        <w:rPr>
          <w:rFonts w:cs="Arial"/>
          <w:bCs/>
          <w:snapToGrid w:val="0"/>
        </w:rPr>
        <w:t xml:space="preserve">cost </w:t>
      </w:r>
      <w:r w:rsidR="00F32CEF">
        <w:rPr>
          <w:rFonts w:cs="Arial"/>
          <w:bCs/>
          <w:snapToGrid w:val="0"/>
        </w:rPr>
        <w:t xml:space="preserve">burden </w:t>
      </w:r>
      <w:r w:rsidR="004B6078">
        <w:rPr>
          <w:rFonts w:cs="Arial"/>
          <w:bCs/>
          <w:snapToGrid w:val="0"/>
        </w:rPr>
        <w:t xml:space="preserve">arises due to </w:t>
      </w:r>
      <w:r w:rsidR="00F32CEF">
        <w:rPr>
          <w:rFonts w:cs="Arial"/>
          <w:bCs/>
          <w:snapToGrid w:val="0"/>
        </w:rPr>
        <w:t>omalizu</w:t>
      </w:r>
      <w:r w:rsidR="009A5B08">
        <w:rPr>
          <w:rFonts w:cs="Arial"/>
          <w:bCs/>
          <w:snapToGrid w:val="0"/>
        </w:rPr>
        <w:t xml:space="preserve">mab doses </w:t>
      </w:r>
      <w:r w:rsidR="00C36864">
        <w:rPr>
          <w:rFonts w:cs="Arial"/>
          <w:bCs/>
          <w:snapToGrid w:val="0"/>
        </w:rPr>
        <w:t>being</w:t>
      </w:r>
      <w:r w:rsidR="004B6078">
        <w:rPr>
          <w:rFonts w:cs="Arial"/>
          <w:bCs/>
          <w:snapToGrid w:val="0"/>
        </w:rPr>
        <w:t xml:space="preserve"> calculated </w:t>
      </w:r>
      <w:r w:rsidR="00F32CEF">
        <w:rPr>
          <w:rFonts w:cs="Arial"/>
          <w:bCs/>
          <w:snapToGrid w:val="0"/>
        </w:rPr>
        <w:t xml:space="preserve">based on specific combinations of body weight and serum </w:t>
      </w:r>
      <w:r w:rsidR="00C36864">
        <w:rPr>
          <w:rFonts w:cs="Arial"/>
          <w:bCs/>
          <w:snapToGrid w:val="0"/>
        </w:rPr>
        <w:t>I</w:t>
      </w:r>
      <w:r w:rsidR="00F32CEF">
        <w:rPr>
          <w:rFonts w:cs="Arial"/>
          <w:bCs/>
          <w:snapToGrid w:val="0"/>
        </w:rPr>
        <w:t>gE</w:t>
      </w:r>
      <w:r w:rsidR="0011134A">
        <w:rPr>
          <w:rFonts w:cs="Arial"/>
          <w:bCs/>
          <w:snapToGrid w:val="0"/>
        </w:rPr>
        <w:t>,</w:t>
      </w:r>
      <w:r w:rsidR="009A5B08">
        <w:rPr>
          <w:rFonts w:cs="Arial"/>
          <w:bCs/>
          <w:snapToGrid w:val="0"/>
        </w:rPr>
        <w:t xml:space="preserve"> and the requirement </w:t>
      </w:r>
      <w:r w:rsidR="0011134A">
        <w:rPr>
          <w:rFonts w:cs="Arial"/>
          <w:bCs/>
          <w:snapToGrid w:val="0"/>
        </w:rPr>
        <w:t>for some patients to pay</w:t>
      </w:r>
      <w:r w:rsidR="009A5B08">
        <w:rPr>
          <w:rFonts w:cs="Arial"/>
          <w:bCs/>
          <w:snapToGrid w:val="0"/>
        </w:rPr>
        <w:t xml:space="preserve"> more than one co-payment in situations where </w:t>
      </w:r>
      <w:r w:rsidR="00C36864">
        <w:rPr>
          <w:rFonts w:cs="Arial"/>
          <w:bCs/>
          <w:snapToGrid w:val="0"/>
        </w:rPr>
        <w:t>a</w:t>
      </w:r>
      <w:r w:rsidR="009A5B08">
        <w:rPr>
          <w:rFonts w:cs="Arial"/>
          <w:bCs/>
          <w:snapToGrid w:val="0"/>
        </w:rPr>
        <w:t xml:space="preserve"> </w:t>
      </w:r>
      <w:r w:rsidR="0011134A">
        <w:rPr>
          <w:rFonts w:cs="Arial"/>
          <w:bCs/>
          <w:snapToGrid w:val="0"/>
        </w:rPr>
        <w:t xml:space="preserve">single pack providing the required dose </w:t>
      </w:r>
      <w:r w:rsidR="009A5B08">
        <w:rPr>
          <w:rFonts w:cs="Arial"/>
          <w:bCs/>
          <w:snapToGrid w:val="0"/>
        </w:rPr>
        <w:t>do</w:t>
      </w:r>
      <w:r w:rsidR="00C36864">
        <w:rPr>
          <w:rFonts w:cs="Arial"/>
          <w:bCs/>
          <w:snapToGrid w:val="0"/>
        </w:rPr>
        <w:t>es</w:t>
      </w:r>
      <w:r w:rsidR="009A5B08">
        <w:rPr>
          <w:rFonts w:cs="Arial"/>
          <w:bCs/>
          <w:snapToGrid w:val="0"/>
        </w:rPr>
        <w:t xml:space="preserve"> not exist</w:t>
      </w:r>
      <w:r w:rsidR="00F32CEF">
        <w:rPr>
          <w:rFonts w:cs="Arial"/>
          <w:bCs/>
          <w:snapToGrid w:val="0"/>
        </w:rPr>
        <w:t>.</w:t>
      </w:r>
      <w:r w:rsidR="004B6078">
        <w:rPr>
          <w:rFonts w:cs="Arial"/>
          <w:bCs/>
          <w:snapToGrid w:val="0"/>
        </w:rPr>
        <w:t xml:space="preserve"> </w:t>
      </w:r>
    </w:p>
    <w:p w14:paraId="260B18B8" w14:textId="77777777" w:rsidR="009F0ADB" w:rsidRPr="00D70349" w:rsidRDefault="009F0ADB" w:rsidP="009F0ADB">
      <w:pPr>
        <w:pStyle w:val="4-SubsectionHeading"/>
        <w:rPr>
          <w:lang w:eastAsia="en-US"/>
        </w:rPr>
      </w:pPr>
      <w:r w:rsidRPr="009D507A">
        <w:rPr>
          <w:lang w:eastAsia="en-US"/>
        </w:rPr>
        <w:t>Estimated PBS utilisation and financial implications</w:t>
      </w:r>
    </w:p>
    <w:p w14:paraId="12C00178" w14:textId="77777777" w:rsidR="009F0ADB" w:rsidRDefault="009F0ADB" w:rsidP="009F0ADB">
      <w:pPr>
        <w:pStyle w:val="3-BodyText"/>
      </w:pPr>
      <w:r>
        <w:t>The submission provided a</w:t>
      </w:r>
      <w:r w:rsidRPr="001622DB">
        <w:t xml:space="preserve"> PBS 10% analysis</w:t>
      </w:r>
      <w:r>
        <w:t xml:space="preserve"> (based on 2</w:t>
      </w:r>
      <w:r w:rsidR="008458FA">
        <w:t>,</w:t>
      </w:r>
      <w:r>
        <w:t xml:space="preserve">449 </w:t>
      </w:r>
      <w:r w:rsidR="00921FCB">
        <w:t xml:space="preserve">scripts </w:t>
      </w:r>
      <w:r w:rsidR="001F49AF">
        <w:t xml:space="preserve">of </w:t>
      </w:r>
      <w:r w:rsidR="001F49AF" w:rsidRPr="001622DB">
        <w:t>omalizumab</w:t>
      </w:r>
      <w:r w:rsidR="009E1461">
        <w:t>)</w:t>
      </w:r>
      <w:r w:rsidR="00921FCB">
        <w:t>,</w:t>
      </w:r>
      <w:r w:rsidR="001F49AF" w:rsidRPr="001622DB">
        <w:t xml:space="preserve"> </w:t>
      </w:r>
      <w:r w:rsidR="001F49AF">
        <w:t>sourced from</w:t>
      </w:r>
      <w:r w:rsidR="00921FCB">
        <w:t xml:space="preserve"> a</w:t>
      </w:r>
      <w:r w:rsidR="001F49AF">
        <w:t xml:space="preserve"> PBS </w:t>
      </w:r>
      <w:r w:rsidR="00183089">
        <w:t>S</w:t>
      </w:r>
      <w:r w:rsidR="001F49AF">
        <w:t xml:space="preserve">ervices </w:t>
      </w:r>
      <w:r w:rsidR="00183089">
        <w:t>R</w:t>
      </w:r>
      <w:r w:rsidR="001F49AF">
        <w:t>eport</w:t>
      </w:r>
      <w:r w:rsidRPr="001622DB">
        <w:t xml:space="preserve"> from </w:t>
      </w:r>
      <w:r>
        <w:t xml:space="preserve">1 </w:t>
      </w:r>
      <w:r w:rsidRPr="001622DB">
        <w:t xml:space="preserve">January </w:t>
      </w:r>
      <w:r>
        <w:t xml:space="preserve">2020 </w:t>
      </w:r>
      <w:r w:rsidRPr="001622DB">
        <w:t xml:space="preserve">to </w:t>
      </w:r>
      <w:r>
        <w:t>31</w:t>
      </w:r>
      <w:r w:rsidR="008458FA">
        <w:t> </w:t>
      </w:r>
      <w:r w:rsidRPr="001622DB">
        <w:t xml:space="preserve">December 2020. </w:t>
      </w:r>
      <w:r w:rsidR="00B02490">
        <w:t>T</w:t>
      </w:r>
      <w:r w:rsidRPr="001622DB">
        <w:t xml:space="preserve">o determine the doses of omalizumab that </w:t>
      </w:r>
      <w:r>
        <w:t>we</w:t>
      </w:r>
      <w:r w:rsidRPr="001622DB">
        <w:t>re supplied, the analysis specifie</w:t>
      </w:r>
      <w:r>
        <w:t>d</w:t>
      </w:r>
      <w:r w:rsidRPr="001622DB">
        <w:t xml:space="preserve"> the quantit</w:t>
      </w:r>
      <w:r w:rsidR="00921FCB">
        <w:t>ies</w:t>
      </w:r>
      <w:r w:rsidRPr="001622DB">
        <w:t xml:space="preserve"> of</w:t>
      </w:r>
      <w:r w:rsidR="00921FCB">
        <w:t xml:space="preserve"> the</w:t>
      </w:r>
      <w:r w:rsidRPr="001622DB">
        <w:t xml:space="preserve"> 75</w:t>
      </w:r>
      <w:r>
        <w:t xml:space="preserve"> </w:t>
      </w:r>
      <w:r w:rsidRPr="001622DB">
        <w:t>mg</w:t>
      </w:r>
      <w:r w:rsidR="001F49AF">
        <w:t xml:space="preserve"> PFS</w:t>
      </w:r>
      <w:r w:rsidRPr="001622DB">
        <w:t xml:space="preserve"> and 150</w:t>
      </w:r>
      <w:r>
        <w:t xml:space="preserve"> </w:t>
      </w:r>
      <w:r w:rsidRPr="001622DB">
        <w:t>mg</w:t>
      </w:r>
      <w:r w:rsidR="001F49AF">
        <w:t xml:space="preserve"> PFS</w:t>
      </w:r>
      <w:r w:rsidRPr="001622DB">
        <w:t xml:space="preserve"> that </w:t>
      </w:r>
      <w:r>
        <w:t>we</w:t>
      </w:r>
      <w:r w:rsidRPr="001622DB">
        <w:t xml:space="preserve">re supplied with each prescription. The </w:t>
      </w:r>
      <w:r w:rsidR="001F49AF">
        <w:t xml:space="preserve">submission claimed that the </w:t>
      </w:r>
      <w:r w:rsidRPr="001622DB">
        <w:t xml:space="preserve">number of co-payments per patient </w:t>
      </w:r>
      <w:r w:rsidR="001F49AF">
        <w:t>could be</w:t>
      </w:r>
      <w:r>
        <w:t xml:space="preserve"> </w:t>
      </w:r>
      <w:r w:rsidRPr="001622DB">
        <w:t>deduced</w:t>
      </w:r>
      <w:r>
        <w:t xml:space="preserve"> </w:t>
      </w:r>
      <w:r w:rsidRPr="001622DB">
        <w:t xml:space="preserve">where both strengths of omalizumab </w:t>
      </w:r>
      <w:r>
        <w:t>we</w:t>
      </w:r>
      <w:r w:rsidRPr="001622DB">
        <w:t>re supplied on the same dispensing date for the same Patient ID.</w:t>
      </w:r>
    </w:p>
    <w:p w14:paraId="6B051C07" w14:textId="77777777" w:rsidR="009F0ADB" w:rsidRDefault="009F0ADB" w:rsidP="009F0ADB">
      <w:pPr>
        <w:pStyle w:val="3-BodyText"/>
      </w:pPr>
      <w:bookmarkStart w:id="3" w:name="_Hlk85639116"/>
      <w:r w:rsidRPr="00455343">
        <w:t>The PBS 10% analysis</w:t>
      </w:r>
      <w:r>
        <w:t xml:space="preserve"> indicated</w:t>
      </w:r>
      <w:r w:rsidRPr="00455343">
        <w:t xml:space="preserve"> that </w:t>
      </w:r>
      <w:r>
        <w:t>44.6</w:t>
      </w:r>
      <w:r w:rsidRPr="00455343">
        <w:t xml:space="preserve">% of patients </w:t>
      </w:r>
      <w:r>
        <w:t>have</w:t>
      </w:r>
      <w:r w:rsidRPr="00455343">
        <w:t xml:space="preserve"> both strengths of omalizumab </w:t>
      </w:r>
      <w:r>
        <w:t xml:space="preserve">dispensed together </w:t>
      </w:r>
      <w:r w:rsidRPr="00455343">
        <w:t xml:space="preserve">and pay a double patient co-payment, </w:t>
      </w:r>
      <w:r>
        <w:t>which the submission claim</w:t>
      </w:r>
      <w:r w:rsidR="00183089">
        <w:t>ed</w:t>
      </w:r>
      <w:r>
        <w:t xml:space="preserve"> </w:t>
      </w:r>
      <w:r w:rsidRPr="00455343">
        <w:t>represent</w:t>
      </w:r>
      <w:r w:rsidR="00183089">
        <w:t>ed</w:t>
      </w:r>
      <w:r>
        <w:t xml:space="preserve"> a</w:t>
      </w:r>
      <w:r w:rsidRPr="00455343">
        <w:t xml:space="preserve"> significant inequity amongst patients and highlight</w:t>
      </w:r>
      <w:r>
        <w:t>s</w:t>
      </w:r>
      <w:r w:rsidRPr="00455343">
        <w:t xml:space="preserve"> </w:t>
      </w:r>
      <w:r w:rsidR="00921FCB">
        <w:lastRenderedPageBreak/>
        <w:t>Quality Use of Medicines (</w:t>
      </w:r>
      <w:r>
        <w:t>QUM</w:t>
      </w:r>
      <w:r w:rsidR="00921FCB">
        <w:t>)</w:t>
      </w:r>
      <w:r w:rsidRPr="00455343">
        <w:t xml:space="preserve"> concerns.</w:t>
      </w:r>
      <w:r>
        <w:t xml:space="preserve"> </w:t>
      </w:r>
      <w:r w:rsidRPr="00465F14">
        <w:t xml:space="preserve">While this is evidence that </w:t>
      </w:r>
      <w:r w:rsidR="008458FA" w:rsidRPr="00465F14">
        <w:t>some</w:t>
      </w:r>
      <w:r w:rsidRPr="00465F14">
        <w:t xml:space="preserve"> omalizumab patients require multiple strengths for their treatment, the </w:t>
      </w:r>
      <w:r w:rsidR="00496A76" w:rsidRPr="00465F14">
        <w:t xml:space="preserve">PBAC </w:t>
      </w:r>
      <w:r w:rsidR="00465F14">
        <w:t>considered</w:t>
      </w:r>
      <w:r w:rsidR="00465F14" w:rsidRPr="00465F14">
        <w:t xml:space="preserve"> </w:t>
      </w:r>
      <w:r w:rsidR="00496A76" w:rsidRPr="00465F14">
        <w:t xml:space="preserve">that the </w:t>
      </w:r>
      <w:r w:rsidRPr="00465F14">
        <w:t xml:space="preserve">submission </w:t>
      </w:r>
      <w:r w:rsidR="00183089" w:rsidRPr="00465F14">
        <w:t xml:space="preserve">did not justify </w:t>
      </w:r>
      <w:r w:rsidRPr="00465F14">
        <w:t xml:space="preserve">the link between the use of multiple strengths and the QUM. </w:t>
      </w:r>
      <w:r w:rsidR="00496A76" w:rsidRPr="00465F14">
        <w:t>An a</w:t>
      </w:r>
      <w:r w:rsidR="008458FA" w:rsidRPr="00465F14">
        <w:t>nalysis of</w:t>
      </w:r>
      <w:r w:rsidRPr="00465F14">
        <w:t xml:space="preserve"> 100% PBS data</w:t>
      </w:r>
      <w:r w:rsidR="008458FA" w:rsidRPr="00465F14">
        <w:t xml:space="preserve"> </w:t>
      </w:r>
      <w:r w:rsidR="00496A76" w:rsidRPr="00465F14">
        <w:t xml:space="preserve">conducted </w:t>
      </w:r>
      <w:r w:rsidR="008458FA" w:rsidRPr="00465F14">
        <w:t>by the Secretariat</w:t>
      </w:r>
      <w:r w:rsidR="00496A76">
        <w:t xml:space="preserve"> (herein referred to as “the 100% analysis”)</w:t>
      </w:r>
      <w:r w:rsidRPr="00465F14">
        <w:t xml:space="preserve"> show</w:t>
      </w:r>
      <w:r w:rsidR="008458FA" w:rsidRPr="00465F14">
        <w:t>ed</w:t>
      </w:r>
      <w:r w:rsidRPr="00465F14">
        <w:t xml:space="preserve"> that 38.1% of omalizumab </w:t>
      </w:r>
      <w:r w:rsidR="008458FA" w:rsidRPr="00465F14">
        <w:t>supplies</w:t>
      </w:r>
      <w:r w:rsidRPr="00465F14">
        <w:t xml:space="preserve"> were that of multiple strengths dispensed on the same day</w:t>
      </w:r>
      <w:r w:rsidR="00921FCB" w:rsidRPr="00465F14">
        <w:t xml:space="preserve"> for the same patient</w:t>
      </w:r>
      <w:r w:rsidRPr="00465F14">
        <w:t>, the sum of which amounted to a total dose that would require both the 75 mg and 150</w:t>
      </w:r>
      <w:r w:rsidR="00AF2CDC">
        <w:t> </w:t>
      </w:r>
      <w:r w:rsidRPr="00465F14">
        <w:t>mg strengths (i.e. 225 or 375 mg fortnightly or 225 mg 4-weekly).</w:t>
      </w:r>
    </w:p>
    <w:p w14:paraId="3E1124AA" w14:textId="77777777" w:rsidR="009F0ADB" w:rsidRDefault="009F0ADB" w:rsidP="009F0ADB">
      <w:pPr>
        <w:pStyle w:val="3-BodyText"/>
      </w:pPr>
      <w:r>
        <w:t xml:space="preserve">The submission </w:t>
      </w:r>
      <w:r w:rsidRPr="000344F4">
        <w:t>estimated that 9</w:t>
      </w:r>
      <w:r>
        <w:t>3</w:t>
      </w:r>
      <w:r w:rsidRPr="000344F4">
        <w:t>% of patients</w:t>
      </w:r>
      <w:r w:rsidR="009E1461">
        <w:t xml:space="preserve"> who are</w:t>
      </w:r>
      <w:r w:rsidRPr="000344F4">
        <w:t xml:space="preserve"> prescribed omalizumab 75</w:t>
      </w:r>
      <w:r>
        <w:t xml:space="preserve"> </w:t>
      </w:r>
      <w:r w:rsidRPr="000344F4">
        <w:t>mg are also prescribed the 150</w:t>
      </w:r>
      <w:r>
        <w:t xml:space="preserve"> </w:t>
      </w:r>
      <w:r w:rsidRPr="000344F4">
        <w:t>mg</w:t>
      </w:r>
      <w:r>
        <w:t xml:space="preserve"> </w:t>
      </w:r>
      <w:r w:rsidRPr="000344F4">
        <w:t>strength to make up a total dose of either 225</w:t>
      </w:r>
      <w:r w:rsidR="00921FCB">
        <w:t xml:space="preserve"> </w:t>
      </w:r>
      <w:r w:rsidRPr="000344F4">
        <w:t>mg or 375</w:t>
      </w:r>
      <w:r w:rsidR="00921FCB">
        <w:t xml:space="preserve"> </w:t>
      </w:r>
      <w:r w:rsidRPr="000344F4">
        <w:t>mg, and</w:t>
      </w:r>
      <w:r w:rsidR="009E1461">
        <w:t xml:space="preserve"> that this</w:t>
      </w:r>
      <w:r w:rsidRPr="000344F4">
        <w:t xml:space="preserve"> therefore represents the proportion of 75</w:t>
      </w:r>
      <w:r>
        <w:t xml:space="preserve"> </w:t>
      </w:r>
      <w:r w:rsidRPr="000344F4">
        <w:t xml:space="preserve">mg users paying double patient co-payments for their treatment who </w:t>
      </w:r>
      <w:r w:rsidR="00921FCB">
        <w:t>under</w:t>
      </w:r>
      <w:r w:rsidRPr="000344F4">
        <w:t xml:space="preserve"> the </w:t>
      </w:r>
      <w:r>
        <w:t>requested</w:t>
      </w:r>
      <w:r w:rsidRPr="000344F4">
        <w:t xml:space="preserve"> </w:t>
      </w:r>
      <w:r>
        <w:t>listings</w:t>
      </w:r>
      <w:r w:rsidR="00921FCB">
        <w:t xml:space="preserve"> would pay only one co-payment</w:t>
      </w:r>
      <w:r w:rsidRPr="000344F4">
        <w:t>.</w:t>
      </w:r>
      <w:r>
        <w:t xml:space="preserve"> </w:t>
      </w:r>
      <w:r w:rsidR="00496A76" w:rsidRPr="00496A76">
        <w:t xml:space="preserve">The </w:t>
      </w:r>
      <w:r w:rsidR="00496A76" w:rsidRPr="00465F14">
        <w:t>1</w:t>
      </w:r>
      <w:r w:rsidRPr="00465F14">
        <w:t xml:space="preserve">00% </w:t>
      </w:r>
      <w:r w:rsidR="00496A76" w:rsidRPr="00465F14">
        <w:t>analysis</w:t>
      </w:r>
      <w:r w:rsidRPr="00465F14">
        <w:t xml:space="preserve"> show</w:t>
      </w:r>
      <w:r w:rsidR="008458FA" w:rsidRPr="00465F14">
        <w:t>ed</w:t>
      </w:r>
      <w:r w:rsidRPr="00465F14">
        <w:t xml:space="preserve"> that 98.2% of 75 mg </w:t>
      </w:r>
      <w:r w:rsidR="008458FA" w:rsidRPr="00465F14">
        <w:t>supplies</w:t>
      </w:r>
      <w:r w:rsidRPr="00465F14">
        <w:t xml:space="preserve"> were dispensed on the same day as a 150 mg dispensing</w:t>
      </w:r>
      <w:r w:rsidR="0069009D" w:rsidRPr="00465F14">
        <w:t xml:space="preserve"> for the same patient</w:t>
      </w:r>
      <w:r w:rsidRPr="00465F14">
        <w:t>.</w:t>
      </w:r>
    </w:p>
    <w:bookmarkEnd w:id="3"/>
    <w:p w14:paraId="32B86BCB" w14:textId="77777777" w:rsidR="009F0ADB" w:rsidRPr="008D7168" w:rsidRDefault="00921FCB" w:rsidP="009F0ADB">
      <w:pPr>
        <w:pStyle w:val="3-BodyText"/>
      </w:pPr>
      <w:r>
        <w:t>The t</w:t>
      </w:r>
      <w:r w:rsidR="009F0ADB" w:rsidRPr="00455343">
        <w:t>able</w:t>
      </w:r>
      <w:r w:rsidR="009F0ADB">
        <w:t xml:space="preserve"> below summarises</w:t>
      </w:r>
      <w:r w:rsidR="009F0ADB" w:rsidRPr="00455343">
        <w:t xml:space="preserve"> omalizumab 75</w:t>
      </w:r>
      <w:r w:rsidR="00742E5E">
        <w:t xml:space="preserve"> mg</w:t>
      </w:r>
      <w:r w:rsidR="006A5399">
        <w:t xml:space="preserve"> </w:t>
      </w:r>
      <w:r w:rsidR="00742E5E">
        <w:t>PFS</w:t>
      </w:r>
      <w:r w:rsidR="009F0ADB" w:rsidRPr="00455343">
        <w:t xml:space="preserve"> usage </w:t>
      </w:r>
      <w:r w:rsidR="009F0ADB">
        <w:t>by patient co-payment level</w:t>
      </w:r>
      <w:r w:rsidR="009F0ADB" w:rsidRPr="00455343">
        <w:t>.</w:t>
      </w:r>
      <w:r w:rsidR="009F0ADB">
        <w:t xml:space="preserve"> The submission included the item codes of other indications</w:t>
      </w:r>
      <w:r w:rsidR="006A5399">
        <w:t xml:space="preserve"> in its analysis</w:t>
      </w:r>
      <w:r w:rsidR="009F0ADB">
        <w:t xml:space="preserve">. </w:t>
      </w:r>
      <w:r w:rsidR="009F0ADB" w:rsidRPr="00465F14">
        <w:t xml:space="preserve">The fourth column added by the Secretariat shows the </w:t>
      </w:r>
      <w:r w:rsidR="008458FA" w:rsidRPr="00465F14">
        <w:t>proportions</w:t>
      </w:r>
      <w:r w:rsidR="009F0ADB" w:rsidRPr="00465F14">
        <w:t xml:space="preserve"> </w:t>
      </w:r>
      <w:r w:rsidR="008458FA" w:rsidRPr="00465F14">
        <w:t>for</w:t>
      </w:r>
      <w:r w:rsidR="009F0ADB" w:rsidRPr="00465F14">
        <w:t xml:space="preserve"> </w:t>
      </w:r>
      <w:r w:rsidRPr="00465F14">
        <w:t xml:space="preserve">the </w:t>
      </w:r>
      <w:r w:rsidR="009F0ADB" w:rsidRPr="00465F14">
        <w:t>USAA</w:t>
      </w:r>
      <w:r w:rsidRPr="00465F14">
        <w:t xml:space="preserve"> indication</w:t>
      </w:r>
      <w:r w:rsidR="009F0ADB" w:rsidRPr="00465F14">
        <w:t>.</w:t>
      </w:r>
    </w:p>
    <w:p w14:paraId="680C2302" w14:textId="77777777" w:rsidR="002771CE" w:rsidRDefault="002771CE" w:rsidP="008E048A">
      <w:pPr>
        <w:pStyle w:val="TableFigureHeading"/>
      </w:pPr>
      <w:r>
        <w:t xml:space="preserve">Table </w:t>
      </w:r>
      <w:r>
        <w:rPr>
          <w:noProof/>
        </w:rPr>
        <w:t>1</w:t>
      </w:r>
      <w:r>
        <w:t xml:space="preserve">: </w:t>
      </w:r>
      <w:r w:rsidRPr="00053828">
        <w:t>Omalizumab average co-payment</w:t>
      </w:r>
    </w:p>
    <w:tbl>
      <w:tblPr>
        <w:tblStyle w:val="TableGrid"/>
        <w:tblW w:w="5000" w:type="pct"/>
        <w:tblLook w:val="04A0" w:firstRow="1" w:lastRow="0" w:firstColumn="1" w:lastColumn="0" w:noHBand="0" w:noVBand="1"/>
        <w:tblCaption w:val="Table 1: Omalizumab average co-payment"/>
        <w:tblDescription w:val="Omalizumab average co-payment"/>
      </w:tblPr>
      <w:tblGrid>
        <w:gridCol w:w="3257"/>
        <w:gridCol w:w="1275"/>
        <w:gridCol w:w="2268"/>
        <w:gridCol w:w="2216"/>
      </w:tblGrid>
      <w:tr w:rsidR="009F0ADB" w14:paraId="1F087ED7" w14:textId="77777777" w:rsidTr="00A302A8">
        <w:trPr>
          <w:tblHeader/>
        </w:trPr>
        <w:tc>
          <w:tcPr>
            <w:tcW w:w="1806" w:type="pct"/>
            <w:vAlign w:val="center"/>
          </w:tcPr>
          <w:p w14:paraId="34A802E2" w14:textId="77777777" w:rsidR="009F0ADB" w:rsidRPr="006E5B44" w:rsidRDefault="009F0ADB" w:rsidP="00207571">
            <w:pPr>
              <w:pStyle w:val="In-tableHeading"/>
              <w:rPr>
                <w:rFonts w:eastAsiaTheme="minorHAnsi"/>
                <w:b w:val="0"/>
              </w:rPr>
            </w:pPr>
            <w:r>
              <w:rPr>
                <w:rFonts w:eastAsiaTheme="minorHAnsi"/>
              </w:rPr>
              <w:t>Co-payment categories</w:t>
            </w:r>
          </w:p>
        </w:tc>
        <w:tc>
          <w:tcPr>
            <w:tcW w:w="707" w:type="pct"/>
            <w:vAlign w:val="center"/>
          </w:tcPr>
          <w:p w14:paraId="2C8354F2" w14:textId="77777777" w:rsidR="009F0ADB" w:rsidRPr="006E5B44" w:rsidRDefault="009F0ADB" w:rsidP="00207571">
            <w:pPr>
              <w:pStyle w:val="In-tableHeading"/>
              <w:jc w:val="center"/>
              <w:rPr>
                <w:rFonts w:eastAsiaTheme="minorHAnsi"/>
                <w:b w:val="0"/>
              </w:rPr>
            </w:pPr>
            <w:r w:rsidRPr="006E5B44">
              <w:rPr>
                <w:rFonts w:eastAsiaTheme="minorHAnsi"/>
              </w:rPr>
              <w:t>Co-payment</w:t>
            </w:r>
            <w:r>
              <w:rPr>
                <w:rFonts w:eastAsiaTheme="minorHAnsi"/>
              </w:rPr>
              <w:t xml:space="preserve"> (2021)</w:t>
            </w:r>
          </w:p>
        </w:tc>
        <w:tc>
          <w:tcPr>
            <w:tcW w:w="1258" w:type="pct"/>
            <w:vAlign w:val="center"/>
          </w:tcPr>
          <w:p w14:paraId="455E8E46" w14:textId="77777777" w:rsidR="009F0ADB" w:rsidRPr="006E5B44" w:rsidRDefault="009F0ADB" w:rsidP="006A5399">
            <w:pPr>
              <w:pStyle w:val="In-tableHeading"/>
              <w:jc w:val="center"/>
              <w:rPr>
                <w:rFonts w:eastAsiaTheme="minorHAnsi"/>
                <w:b w:val="0"/>
              </w:rPr>
            </w:pPr>
            <w:r w:rsidRPr="006E5B44">
              <w:rPr>
                <w:rFonts w:eastAsiaTheme="minorHAnsi"/>
              </w:rPr>
              <w:t>Proportion of patients</w:t>
            </w:r>
            <w:r>
              <w:rPr>
                <w:rFonts w:eastAsiaTheme="minorHAnsi"/>
              </w:rPr>
              <w:t xml:space="preserve"> (75</w:t>
            </w:r>
            <w:r w:rsidR="006A5399">
              <w:rPr>
                <w:rFonts w:eastAsiaTheme="minorHAnsi"/>
              </w:rPr>
              <w:t> </w:t>
            </w:r>
            <w:r>
              <w:rPr>
                <w:rFonts w:eastAsiaTheme="minorHAnsi"/>
              </w:rPr>
              <w:t>mg only for all indications)</w:t>
            </w:r>
          </w:p>
        </w:tc>
        <w:tc>
          <w:tcPr>
            <w:tcW w:w="1229" w:type="pct"/>
            <w:vAlign w:val="center"/>
          </w:tcPr>
          <w:p w14:paraId="5784DC69" w14:textId="77777777" w:rsidR="009F0ADB" w:rsidRPr="00465F14" w:rsidRDefault="009F0ADB" w:rsidP="00207571">
            <w:pPr>
              <w:pStyle w:val="In-tableHeading"/>
              <w:jc w:val="center"/>
              <w:rPr>
                <w:rFonts w:eastAsiaTheme="minorHAnsi"/>
              </w:rPr>
            </w:pPr>
            <w:r w:rsidRPr="00465F14">
              <w:rPr>
                <w:rFonts w:eastAsiaTheme="minorHAnsi"/>
              </w:rPr>
              <w:t>Proportion of patients (using both 75 mg and 150 mg data for USAA)</w:t>
            </w:r>
          </w:p>
        </w:tc>
      </w:tr>
      <w:tr w:rsidR="009F0ADB" w14:paraId="4C32614E" w14:textId="77777777" w:rsidTr="00E92882">
        <w:tc>
          <w:tcPr>
            <w:tcW w:w="1806" w:type="pct"/>
          </w:tcPr>
          <w:p w14:paraId="23F6B7A7" w14:textId="77777777" w:rsidR="009F0ADB" w:rsidRPr="006E5B44" w:rsidRDefault="009F0ADB" w:rsidP="00207571">
            <w:pPr>
              <w:pStyle w:val="TableText0"/>
              <w:rPr>
                <w:rFonts w:eastAsiaTheme="minorHAnsi"/>
                <w:lang w:val="en-GB"/>
              </w:rPr>
            </w:pPr>
            <w:r w:rsidRPr="006E5B44">
              <w:rPr>
                <w:rFonts w:eastAsiaTheme="minorHAnsi"/>
                <w:lang w:val="en-GB"/>
              </w:rPr>
              <w:t>General-Ordinary</w:t>
            </w:r>
          </w:p>
        </w:tc>
        <w:tc>
          <w:tcPr>
            <w:tcW w:w="707" w:type="pct"/>
          </w:tcPr>
          <w:p w14:paraId="4AF04853" w14:textId="77777777" w:rsidR="009F0ADB" w:rsidRPr="006E5B44" w:rsidRDefault="009F0ADB" w:rsidP="00207571">
            <w:pPr>
              <w:pStyle w:val="TableText0"/>
              <w:jc w:val="right"/>
              <w:rPr>
                <w:rFonts w:eastAsiaTheme="minorHAnsi"/>
                <w:lang w:val="en-GB"/>
              </w:rPr>
            </w:pPr>
            <w:r w:rsidRPr="006E5B44">
              <w:rPr>
                <w:rFonts w:eastAsiaTheme="minorHAnsi"/>
                <w:lang w:val="en-GB"/>
              </w:rPr>
              <w:t>$41.30</w:t>
            </w:r>
          </w:p>
        </w:tc>
        <w:tc>
          <w:tcPr>
            <w:tcW w:w="1258" w:type="pct"/>
          </w:tcPr>
          <w:p w14:paraId="7F137D01" w14:textId="77777777" w:rsidR="009F0ADB" w:rsidRPr="006E5B44" w:rsidRDefault="009F0ADB" w:rsidP="00207571">
            <w:pPr>
              <w:pStyle w:val="TableText0"/>
              <w:jc w:val="right"/>
              <w:rPr>
                <w:rFonts w:eastAsiaTheme="minorHAnsi"/>
                <w:lang w:val="en-GB"/>
              </w:rPr>
            </w:pPr>
            <w:r w:rsidRPr="006E5B44">
              <w:rPr>
                <w:rFonts w:eastAsiaTheme="minorHAnsi"/>
                <w:lang w:val="en-GB"/>
              </w:rPr>
              <w:t>41.2%</w:t>
            </w:r>
          </w:p>
        </w:tc>
        <w:tc>
          <w:tcPr>
            <w:tcW w:w="1229" w:type="pct"/>
          </w:tcPr>
          <w:p w14:paraId="29AF7BF0" w14:textId="77777777" w:rsidR="009F0ADB" w:rsidRPr="00465F14" w:rsidRDefault="009F0ADB" w:rsidP="00207571">
            <w:pPr>
              <w:pStyle w:val="TableText0"/>
              <w:jc w:val="right"/>
              <w:rPr>
                <w:rFonts w:eastAsiaTheme="minorHAnsi"/>
                <w:lang w:val="en-GB"/>
              </w:rPr>
            </w:pPr>
            <w:r w:rsidRPr="00465F14">
              <w:rPr>
                <w:rFonts w:eastAsiaTheme="minorHAnsi"/>
                <w:lang w:val="en-GB"/>
              </w:rPr>
              <w:t>37.6%</w:t>
            </w:r>
          </w:p>
        </w:tc>
      </w:tr>
      <w:tr w:rsidR="009F0ADB" w14:paraId="56223796" w14:textId="77777777" w:rsidTr="00E92882">
        <w:tc>
          <w:tcPr>
            <w:tcW w:w="1806" w:type="pct"/>
          </w:tcPr>
          <w:p w14:paraId="43CBD33D" w14:textId="77777777" w:rsidR="009F0ADB" w:rsidRPr="006E5B44" w:rsidRDefault="009F0ADB" w:rsidP="00207571">
            <w:pPr>
              <w:pStyle w:val="TableText0"/>
              <w:rPr>
                <w:rFonts w:eastAsiaTheme="minorHAnsi"/>
                <w:lang w:val="en-GB"/>
              </w:rPr>
            </w:pPr>
            <w:r w:rsidRPr="006E5B44">
              <w:rPr>
                <w:rFonts w:eastAsiaTheme="minorHAnsi"/>
                <w:lang w:val="en-GB"/>
              </w:rPr>
              <w:t>General-Safety Net</w:t>
            </w:r>
          </w:p>
        </w:tc>
        <w:tc>
          <w:tcPr>
            <w:tcW w:w="707" w:type="pct"/>
          </w:tcPr>
          <w:p w14:paraId="7D73A632" w14:textId="77777777" w:rsidR="009F0ADB" w:rsidRPr="006E5B44" w:rsidRDefault="009F0ADB" w:rsidP="00207571">
            <w:pPr>
              <w:pStyle w:val="TableText0"/>
              <w:jc w:val="right"/>
              <w:rPr>
                <w:rFonts w:eastAsiaTheme="minorHAnsi"/>
                <w:lang w:val="en-GB"/>
              </w:rPr>
            </w:pPr>
            <w:r w:rsidRPr="006E5B44">
              <w:rPr>
                <w:rFonts w:eastAsiaTheme="minorHAnsi"/>
                <w:lang w:val="en-GB"/>
              </w:rPr>
              <w:t>$6.60</w:t>
            </w:r>
          </w:p>
        </w:tc>
        <w:tc>
          <w:tcPr>
            <w:tcW w:w="1258" w:type="pct"/>
          </w:tcPr>
          <w:p w14:paraId="58BBC09A" w14:textId="77777777" w:rsidR="009F0ADB" w:rsidRPr="006E5B44" w:rsidRDefault="009F0ADB" w:rsidP="00207571">
            <w:pPr>
              <w:pStyle w:val="TableText0"/>
              <w:jc w:val="right"/>
              <w:rPr>
                <w:rFonts w:eastAsiaTheme="minorHAnsi"/>
                <w:lang w:val="en-GB"/>
              </w:rPr>
            </w:pPr>
            <w:r w:rsidRPr="006E5B44">
              <w:rPr>
                <w:rFonts w:eastAsiaTheme="minorHAnsi"/>
                <w:lang w:val="en-GB"/>
              </w:rPr>
              <w:t>4.7%</w:t>
            </w:r>
          </w:p>
        </w:tc>
        <w:tc>
          <w:tcPr>
            <w:tcW w:w="1229" w:type="pct"/>
          </w:tcPr>
          <w:p w14:paraId="35D8B846" w14:textId="77777777" w:rsidR="009F0ADB" w:rsidRPr="00465F14" w:rsidRDefault="009F0ADB" w:rsidP="00207571">
            <w:pPr>
              <w:pStyle w:val="TableText0"/>
              <w:jc w:val="right"/>
              <w:rPr>
                <w:rFonts w:eastAsiaTheme="minorHAnsi"/>
                <w:lang w:val="en-GB"/>
              </w:rPr>
            </w:pPr>
            <w:r w:rsidRPr="00465F14">
              <w:rPr>
                <w:rFonts w:eastAsiaTheme="minorHAnsi"/>
                <w:lang w:val="en-GB"/>
              </w:rPr>
              <w:t>6.5%</w:t>
            </w:r>
          </w:p>
        </w:tc>
      </w:tr>
      <w:tr w:rsidR="009F0ADB" w14:paraId="3FF56680" w14:textId="77777777" w:rsidTr="00E92882">
        <w:tc>
          <w:tcPr>
            <w:tcW w:w="1806" w:type="pct"/>
          </w:tcPr>
          <w:p w14:paraId="79BB4D61" w14:textId="77777777" w:rsidR="009F0ADB" w:rsidRPr="006E5B44" w:rsidRDefault="009F0ADB" w:rsidP="00207571">
            <w:pPr>
              <w:pStyle w:val="TableText0"/>
              <w:rPr>
                <w:rFonts w:eastAsiaTheme="minorHAnsi"/>
                <w:lang w:val="en-GB"/>
              </w:rPr>
            </w:pPr>
            <w:r w:rsidRPr="006E5B44">
              <w:rPr>
                <w:rFonts w:eastAsiaTheme="minorHAnsi"/>
                <w:lang w:val="en-GB"/>
              </w:rPr>
              <w:t>Concessional-Ordinary</w:t>
            </w:r>
          </w:p>
        </w:tc>
        <w:tc>
          <w:tcPr>
            <w:tcW w:w="707" w:type="pct"/>
          </w:tcPr>
          <w:p w14:paraId="219484EA" w14:textId="77777777" w:rsidR="009F0ADB" w:rsidRPr="006E5B44" w:rsidRDefault="009F0ADB" w:rsidP="00207571">
            <w:pPr>
              <w:pStyle w:val="TableText0"/>
              <w:jc w:val="right"/>
              <w:rPr>
                <w:rFonts w:eastAsiaTheme="minorHAnsi"/>
                <w:lang w:val="en-GB"/>
              </w:rPr>
            </w:pPr>
            <w:r w:rsidRPr="006E5B44">
              <w:rPr>
                <w:rFonts w:eastAsiaTheme="minorHAnsi"/>
                <w:lang w:val="en-GB"/>
              </w:rPr>
              <w:t>$6.60</w:t>
            </w:r>
          </w:p>
        </w:tc>
        <w:tc>
          <w:tcPr>
            <w:tcW w:w="1258" w:type="pct"/>
          </w:tcPr>
          <w:p w14:paraId="59BBD674" w14:textId="77777777" w:rsidR="009F0ADB" w:rsidRPr="006E5B44" w:rsidRDefault="009F0ADB" w:rsidP="00207571">
            <w:pPr>
              <w:pStyle w:val="TableText0"/>
              <w:jc w:val="right"/>
              <w:rPr>
                <w:rFonts w:eastAsiaTheme="minorHAnsi"/>
                <w:lang w:val="en-GB"/>
              </w:rPr>
            </w:pPr>
            <w:r w:rsidRPr="006E5B44">
              <w:rPr>
                <w:rFonts w:eastAsiaTheme="minorHAnsi"/>
                <w:lang w:val="en-GB"/>
              </w:rPr>
              <w:t>34.7%</w:t>
            </w:r>
          </w:p>
        </w:tc>
        <w:tc>
          <w:tcPr>
            <w:tcW w:w="1229" w:type="pct"/>
          </w:tcPr>
          <w:p w14:paraId="161F0AFE" w14:textId="77777777" w:rsidR="009F0ADB" w:rsidRPr="00465F14" w:rsidRDefault="009F0ADB" w:rsidP="00207571">
            <w:pPr>
              <w:pStyle w:val="TableText0"/>
              <w:jc w:val="right"/>
              <w:rPr>
                <w:rFonts w:eastAsiaTheme="minorHAnsi"/>
                <w:lang w:val="en-GB"/>
              </w:rPr>
            </w:pPr>
            <w:r w:rsidRPr="00465F14">
              <w:rPr>
                <w:rFonts w:eastAsiaTheme="minorHAnsi"/>
                <w:lang w:val="en-GB"/>
              </w:rPr>
              <w:t>31.9%</w:t>
            </w:r>
          </w:p>
        </w:tc>
      </w:tr>
      <w:tr w:rsidR="009F0ADB" w14:paraId="06C2C4D3" w14:textId="77777777" w:rsidTr="00E92882">
        <w:tc>
          <w:tcPr>
            <w:tcW w:w="1806" w:type="pct"/>
          </w:tcPr>
          <w:p w14:paraId="446A0721" w14:textId="77777777" w:rsidR="009F0ADB" w:rsidRPr="006E5B44" w:rsidRDefault="009F0ADB" w:rsidP="00207571">
            <w:pPr>
              <w:pStyle w:val="TableText0"/>
              <w:rPr>
                <w:rFonts w:eastAsiaTheme="minorHAnsi"/>
                <w:lang w:val="en-GB"/>
              </w:rPr>
            </w:pPr>
            <w:r w:rsidRPr="006E5B44">
              <w:rPr>
                <w:rFonts w:eastAsiaTheme="minorHAnsi"/>
                <w:lang w:val="en-GB"/>
              </w:rPr>
              <w:t>Concessional-Safety Net</w:t>
            </w:r>
          </w:p>
        </w:tc>
        <w:tc>
          <w:tcPr>
            <w:tcW w:w="707" w:type="pct"/>
          </w:tcPr>
          <w:p w14:paraId="32A05388" w14:textId="77777777" w:rsidR="009F0ADB" w:rsidRPr="006E5B44" w:rsidRDefault="009F0ADB" w:rsidP="00207571">
            <w:pPr>
              <w:pStyle w:val="TableText0"/>
              <w:jc w:val="right"/>
              <w:rPr>
                <w:rFonts w:eastAsiaTheme="minorHAnsi"/>
                <w:lang w:val="en-GB"/>
              </w:rPr>
            </w:pPr>
            <w:r w:rsidRPr="006E5B44">
              <w:rPr>
                <w:rFonts w:eastAsiaTheme="minorHAnsi"/>
                <w:lang w:val="en-GB"/>
              </w:rPr>
              <w:t>$0</w:t>
            </w:r>
            <w:r>
              <w:rPr>
                <w:rFonts w:eastAsiaTheme="minorHAnsi"/>
                <w:lang w:val="en-GB"/>
              </w:rPr>
              <w:t>.00</w:t>
            </w:r>
          </w:p>
        </w:tc>
        <w:tc>
          <w:tcPr>
            <w:tcW w:w="1258" w:type="pct"/>
          </w:tcPr>
          <w:p w14:paraId="4BB15A61" w14:textId="77777777" w:rsidR="009F0ADB" w:rsidRPr="006E5B44" w:rsidRDefault="009F0ADB" w:rsidP="00207571">
            <w:pPr>
              <w:pStyle w:val="TableText0"/>
              <w:jc w:val="right"/>
              <w:rPr>
                <w:rFonts w:eastAsiaTheme="minorHAnsi"/>
                <w:lang w:val="en-GB"/>
              </w:rPr>
            </w:pPr>
            <w:r w:rsidRPr="006E5B44">
              <w:rPr>
                <w:rFonts w:eastAsiaTheme="minorHAnsi"/>
                <w:lang w:val="en-GB"/>
              </w:rPr>
              <w:t>18.8%</w:t>
            </w:r>
          </w:p>
        </w:tc>
        <w:tc>
          <w:tcPr>
            <w:tcW w:w="1229" w:type="pct"/>
          </w:tcPr>
          <w:p w14:paraId="6DE50A23" w14:textId="77777777" w:rsidR="009F0ADB" w:rsidRPr="00465F14" w:rsidRDefault="009F0ADB" w:rsidP="00207571">
            <w:pPr>
              <w:pStyle w:val="TableText0"/>
              <w:jc w:val="right"/>
              <w:rPr>
                <w:rFonts w:eastAsiaTheme="minorHAnsi"/>
                <w:lang w:val="en-GB"/>
              </w:rPr>
            </w:pPr>
            <w:r w:rsidRPr="00465F14">
              <w:rPr>
                <w:rFonts w:eastAsiaTheme="minorHAnsi"/>
                <w:lang w:val="en-GB"/>
              </w:rPr>
              <w:t>24%</w:t>
            </w:r>
          </w:p>
        </w:tc>
      </w:tr>
      <w:tr w:rsidR="009F0ADB" w14:paraId="166D946F" w14:textId="77777777" w:rsidTr="00E92882">
        <w:tc>
          <w:tcPr>
            <w:tcW w:w="1806" w:type="pct"/>
          </w:tcPr>
          <w:p w14:paraId="79057989" w14:textId="77777777" w:rsidR="009F0ADB" w:rsidRPr="006E5B44" w:rsidRDefault="009F0ADB" w:rsidP="00207571">
            <w:pPr>
              <w:pStyle w:val="TableText0"/>
              <w:rPr>
                <w:rFonts w:eastAsiaTheme="minorHAnsi"/>
                <w:lang w:val="en-GB"/>
              </w:rPr>
            </w:pPr>
            <w:r w:rsidRPr="006E5B44">
              <w:rPr>
                <w:rFonts w:eastAsiaTheme="minorHAnsi"/>
                <w:lang w:val="en-GB"/>
              </w:rPr>
              <w:t>RPBS-Ordinary</w:t>
            </w:r>
          </w:p>
        </w:tc>
        <w:tc>
          <w:tcPr>
            <w:tcW w:w="707" w:type="pct"/>
          </w:tcPr>
          <w:p w14:paraId="62148763" w14:textId="77777777" w:rsidR="009F0ADB" w:rsidRPr="006E5B44" w:rsidRDefault="009F0ADB" w:rsidP="00207571">
            <w:pPr>
              <w:pStyle w:val="TableText0"/>
              <w:jc w:val="right"/>
              <w:rPr>
                <w:rFonts w:eastAsiaTheme="minorHAnsi"/>
                <w:lang w:val="en-GB"/>
              </w:rPr>
            </w:pPr>
            <w:r w:rsidRPr="006E5B44">
              <w:rPr>
                <w:rFonts w:eastAsiaTheme="minorHAnsi"/>
                <w:lang w:val="en-GB"/>
              </w:rPr>
              <w:t>$6.60</w:t>
            </w:r>
          </w:p>
        </w:tc>
        <w:tc>
          <w:tcPr>
            <w:tcW w:w="1258" w:type="pct"/>
          </w:tcPr>
          <w:p w14:paraId="489ABC4D" w14:textId="77777777" w:rsidR="009F0ADB" w:rsidRPr="006E5B44" w:rsidRDefault="009F0ADB" w:rsidP="00207571">
            <w:pPr>
              <w:pStyle w:val="TableText0"/>
              <w:jc w:val="right"/>
              <w:rPr>
                <w:rFonts w:eastAsiaTheme="minorHAnsi"/>
                <w:lang w:val="en-GB"/>
              </w:rPr>
            </w:pPr>
            <w:r w:rsidRPr="006E5B44">
              <w:rPr>
                <w:rFonts w:eastAsiaTheme="minorHAnsi"/>
                <w:lang w:val="en-GB"/>
              </w:rPr>
              <w:t>0.4%</w:t>
            </w:r>
          </w:p>
        </w:tc>
        <w:tc>
          <w:tcPr>
            <w:tcW w:w="1229" w:type="pct"/>
          </w:tcPr>
          <w:p w14:paraId="7336BFEB" w14:textId="77777777" w:rsidR="009F0ADB" w:rsidRPr="00465F14" w:rsidRDefault="009F0ADB" w:rsidP="00207571">
            <w:pPr>
              <w:pStyle w:val="TableText0"/>
              <w:jc w:val="right"/>
              <w:rPr>
                <w:rFonts w:eastAsiaTheme="minorHAnsi"/>
                <w:lang w:val="en-GB"/>
              </w:rPr>
            </w:pPr>
            <w:r w:rsidRPr="00465F14">
              <w:rPr>
                <w:rFonts w:eastAsiaTheme="minorHAnsi"/>
                <w:lang w:val="en-GB"/>
              </w:rPr>
              <w:t>0%</w:t>
            </w:r>
          </w:p>
        </w:tc>
      </w:tr>
      <w:tr w:rsidR="009F0ADB" w14:paraId="57216C22" w14:textId="77777777" w:rsidTr="00E92882">
        <w:tc>
          <w:tcPr>
            <w:tcW w:w="1806" w:type="pct"/>
          </w:tcPr>
          <w:p w14:paraId="04E415C2" w14:textId="77777777" w:rsidR="009F0ADB" w:rsidRPr="006E5B44" w:rsidRDefault="009F0ADB" w:rsidP="00207571">
            <w:pPr>
              <w:pStyle w:val="TableText0"/>
              <w:rPr>
                <w:rFonts w:eastAsiaTheme="minorHAnsi"/>
                <w:lang w:val="en-GB"/>
              </w:rPr>
            </w:pPr>
            <w:r w:rsidRPr="006E5B44">
              <w:rPr>
                <w:rFonts w:eastAsiaTheme="minorHAnsi"/>
                <w:lang w:val="en-GB"/>
              </w:rPr>
              <w:t>RPBS-Safety Net</w:t>
            </w:r>
          </w:p>
        </w:tc>
        <w:tc>
          <w:tcPr>
            <w:tcW w:w="707" w:type="pct"/>
          </w:tcPr>
          <w:p w14:paraId="3D236621" w14:textId="77777777" w:rsidR="009F0ADB" w:rsidRPr="006E5B44" w:rsidRDefault="009F0ADB" w:rsidP="00207571">
            <w:pPr>
              <w:pStyle w:val="TableText0"/>
              <w:jc w:val="right"/>
              <w:rPr>
                <w:rFonts w:eastAsiaTheme="minorHAnsi"/>
                <w:lang w:val="en-GB"/>
              </w:rPr>
            </w:pPr>
            <w:r w:rsidRPr="006E5B44">
              <w:rPr>
                <w:rFonts w:eastAsiaTheme="minorHAnsi"/>
                <w:lang w:val="en-GB"/>
              </w:rPr>
              <w:t>$</w:t>
            </w:r>
            <w:r>
              <w:rPr>
                <w:rFonts w:eastAsiaTheme="minorHAnsi"/>
                <w:lang w:val="en-GB"/>
              </w:rPr>
              <w:t>0.0</w:t>
            </w:r>
            <w:r w:rsidRPr="006E5B44">
              <w:rPr>
                <w:rFonts w:eastAsiaTheme="minorHAnsi"/>
                <w:lang w:val="en-GB"/>
              </w:rPr>
              <w:t>0</w:t>
            </w:r>
          </w:p>
        </w:tc>
        <w:tc>
          <w:tcPr>
            <w:tcW w:w="1258" w:type="pct"/>
          </w:tcPr>
          <w:p w14:paraId="1211D1BD" w14:textId="77777777" w:rsidR="009F0ADB" w:rsidRPr="006E5B44" w:rsidRDefault="009F0ADB" w:rsidP="00207571">
            <w:pPr>
              <w:pStyle w:val="TableText0"/>
              <w:jc w:val="right"/>
              <w:rPr>
                <w:rFonts w:eastAsiaTheme="minorHAnsi"/>
                <w:lang w:val="en-GB"/>
              </w:rPr>
            </w:pPr>
            <w:r w:rsidRPr="006E5B44">
              <w:rPr>
                <w:rFonts w:eastAsiaTheme="minorHAnsi"/>
                <w:lang w:val="en-GB"/>
              </w:rPr>
              <w:t>0.2%</w:t>
            </w:r>
          </w:p>
        </w:tc>
        <w:tc>
          <w:tcPr>
            <w:tcW w:w="1229" w:type="pct"/>
          </w:tcPr>
          <w:p w14:paraId="50A7F9A7" w14:textId="77777777" w:rsidR="009F0ADB" w:rsidRPr="00465F14" w:rsidRDefault="009F0ADB" w:rsidP="00207571">
            <w:pPr>
              <w:pStyle w:val="TableText0"/>
              <w:jc w:val="right"/>
              <w:rPr>
                <w:rFonts w:eastAsiaTheme="minorHAnsi"/>
                <w:lang w:val="en-GB"/>
              </w:rPr>
            </w:pPr>
            <w:r w:rsidRPr="00465F14">
              <w:rPr>
                <w:rFonts w:eastAsiaTheme="minorHAnsi"/>
                <w:lang w:val="en-GB"/>
              </w:rPr>
              <w:t>0%</w:t>
            </w:r>
          </w:p>
        </w:tc>
      </w:tr>
      <w:tr w:rsidR="009F0ADB" w14:paraId="0B02841B" w14:textId="77777777" w:rsidTr="00E92882">
        <w:tc>
          <w:tcPr>
            <w:tcW w:w="1806" w:type="pct"/>
          </w:tcPr>
          <w:p w14:paraId="383E46D8" w14:textId="77777777" w:rsidR="009F0ADB" w:rsidRPr="006E5B44" w:rsidRDefault="009F0ADB" w:rsidP="00207571">
            <w:pPr>
              <w:pStyle w:val="TableText0"/>
              <w:rPr>
                <w:rFonts w:eastAsiaTheme="minorHAnsi"/>
                <w:lang w:val="en-GB"/>
              </w:rPr>
            </w:pPr>
            <w:r w:rsidRPr="006E5B44">
              <w:rPr>
                <w:rFonts w:eastAsiaTheme="minorHAnsi"/>
                <w:lang w:val="en-GB"/>
              </w:rPr>
              <w:t>Average co</w:t>
            </w:r>
            <w:r>
              <w:rPr>
                <w:rFonts w:eastAsiaTheme="minorHAnsi"/>
                <w:lang w:val="en-GB"/>
              </w:rPr>
              <w:t>-</w:t>
            </w:r>
            <w:r w:rsidRPr="006E5B44">
              <w:rPr>
                <w:rFonts w:eastAsiaTheme="minorHAnsi"/>
                <w:lang w:val="en-GB"/>
              </w:rPr>
              <w:t>payment per script</w:t>
            </w:r>
          </w:p>
        </w:tc>
        <w:tc>
          <w:tcPr>
            <w:tcW w:w="707" w:type="pct"/>
          </w:tcPr>
          <w:p w14:paraId="483094ED" w14:textId="77777777" w:rsidR="009F0ADB" w:rsidRPr="006E5B44" w:rsidRDefault="009F0ADB" w:rsidP="00207571">
            <w:pPr>
              <w:pStyle w:val="TableText0"/>
              <w:jc w:val="right"/>
              <w:rPr>
                <w:rFonts w:eastAsiaTheme="minorHAnsi"/>
                <w:lang w:val="en-GB"/>
              </w:rPr>
            </w:pPr>
            <w:r w:rsidRPr="006E5B44">
              <w:rPr>
                <w:rFonts w:eastAsiaTheme="minorHAnsi"/>
                <w:lang w:val="en-GB"/>
              </w:rPr>
              <w:t>$19.66</w:t>
            </w:r>
          </w:p>
        </w:tc>
        <w:tc>
          <w:tcPr>
            <w:tcW w:w="1258" w:type="pct"/>
          </w:tcPr>
          <w:p w14:paraId="0ACE1461" w14:textId="77777777" w:rsidR="009F0ADB" w:rsidRPr="006E5B44" w:rsidRDefault="009F0ADB" w:rsidP="00207571">
            <w:pPr>
              <w:pStyle w:val="TableText0"/>
              <w:jc w:val="right"/>
              <w:rPr>
                <w:rFonts w:eastAsiaTheme="minorHAnsi"/>
                <w:lang w:val="en-GB"/>
              </w:rPr>
            </w:pPr>
            <w:r>
              <w:rPr>
                <w:rFonts w:eastAsiaTheme="minorHAnsi"/>
                <w:lang w:val="en-GB"/>
              </w:rPr>
              <w:t>-</w:t>
            </w:r>
          </w:p>
        </w:tc>
        <w:tc>
          <w:tcPr>
            <w:tcW w:w="1229" w:type="pct"/>
          </w:tcPr>
          <w:p w14:paraId="1EF07D45" w14:textId="77777777" w:rsidR="009F0ADB" w:rsidRPr="00465F14" w:rsidRDefault="009F0ADB" w:rsidP="00207571">
            <w:pPr>
              <w:pStyle w:val="TableText0"/>
              <w:jc w:val="right"/>
              <w:rPr>
                <w:rFonts w:eastAsiaTheme="minorHAnsi"/>
                <w:lang w:val="en-GB"/>
              </w:rPr>
            </w:pPr>
            <w:r w:rsidRPr="00465F14">
              <w:rPr>
                <w:rFonts w:eastAsiaTheme="minorHAnsi"/>
                <w:lang w:val="en-GB"/>
              </w:rPr>
              <w:t>$18.05</w:t>
            </w:r>
          </w:p>
        </w:tc>
      </w:tr>
    </w:tbl>
    <w:p w14:paraId="7A92B095" w14:textId="77777777" w:rsidR="009F0ADB" w:rsidRPr="006D4969" w:rsidRDefault="009F0ADB" w:rsidP="009F0ADB">
      <w:pPr>
        <w:pStyle w:val="TableFigureFooter"/>
      </w:pPr>
      <w:r w:rsidRPr="006D4969">
        <w:t>Source: Proportion of patients from PBS</w:t>
      </w:r>
      <w:r>
        <w:t>/RPBS</w:t>
      </w:r>
      <w:r w:rsidRPr="006D4969">
        <w:t xml:space="preserve"> Services</w:t>
      </w:r>
      <w:r>
        <w:t xml:space="preserve"> (from </w:t>
      </w:r>
      <w:r w:rsidRPr="00580E2E">
        <w:t>Pharmaceutical Benefits Schedule Item Reports</w:t>
      </w:r>
      <w:r>
        <w:t xml:space="preserve"> website)</w:t>
      </w:r>
      <w:r w:rsidRPr="006D4969">
        <w:t xml:space="preserve"> dispensed for omalizumab 75</w:t>
      </w:r>
      <w:r>
        <w:t xml:space="preserve"> </w:t>
      </w:r>
      <w:r w:rsidRPr="006D4969">
        <w:t>mg</w:t>
      </w:r>
      <w:r>
        <w:t xml:space="preserve"> and 150 mg between</w:t>
      </w:r>
      <w:r w:rsidRPr="006D4969">
        <w:t xml:space="preserve"> Jan-Dec 2020</w:t>
      </w:r>
      <w:r>
        <w:t xml:space="preserve"> using the 2021 co-payment amounts.</w:t>
      </w:r>
    </w:p>
    <w:p w14:paraId="688D4DD8" w14:textId="77777777" w:rsidR="009F0ADB" w:rsidRPr="009459EC" w:rsidRDefault="009F0ADB" w:rsidP="009F0ADB">
      <w:pPr>
        <w:pStyle w:val="3-BodyText"/>
      </w:pPr>
      <w:r>
        <w:t>The submission claimed that a</w:t>
      </w:r>
      <w:r w:rsidRPr="00455343">
        <w:t xml:space="preserve"> significant proportion of omalizumab patients are impacted by extra co-pay</w:t>
      </w:r>
      <w:r w:rsidR="00254F1F">
        <w:t>ment</w:t>
      </w:r>
      <w:r w:rsidRPr="00455343">
        <w:t xml:space="preserve"> costs, with 41.2% of</w:t>
      </w:r>
      <w:r>
        <w:t xml:space="preserve"> omalizumab</w:t>
      </w:r>
      <w:r w:rsidRPr="00455343">
        <w:t xml:space="preserve"> patients</w:t>
      </w:r>
      <w:r w:rsidR="00640FF9">
        <w:t xml:space="preserve"> (</w:t>
      </w:r>
      <w:r w:rsidR="008E048A">
        <w:t>2</w:t>
      </w:r>
      <w:r w:rsidR="00914832">
        <w:t>54</w:t>
      </w:r>
      <w:r w:rsidR="00640FF9">
        <w:t xml:space="preserve"> patients)</w:t>
      </w:r>
      <w:r w:rsidRPr="00455343">
        <w:t xml:space="preserve"> having to pay $82.60 each month instead of $41.30, and 39.8% of</w:t>
      </w:r>
      <w:r>
        <w:t xml:space="preserve"> omalizumab</w:t>
      </w:r>
      <w:r w:rsidRPr="00455343">
        <w:t xml:space="preserve"> patients</w:t>
      </w:r>
      <w:r w:rsidR="00640FF9">
        <w:t xml:space="preserve"> (</w:t>
      </w:r>
      <w:r w:rsidR="00914832">
        <w:t>246</w:t>
      </w:r>
      <w:r w:rsidR="00172719">
        <w:t xml:space="preserve"> patients)</w:t>
      </w:r>
      <w:r w:rsidRPr="00455343">
        <w:t xml:space="preserve"> paying $13.20 each month instead of $6.60.</w:t>
      </w:r>
      <w:r>
        <w:t xml:space="preserve"> </w:t>
      </w:r>
      <w:r w:rsidRPr="00465F14">
        <w:t>Th</w:t>
      </w:r>
      <w:r w:rsidR="006A5399" w:rsidRPr="00465F14">
        <w:t>e</w:t>
      </w:r>
      <w:r w:rsidRPr="00465F14">
        <w:t xml:space="preserve"> </w:t>
      </w:r>
      <w:r w:rsidR="006A5399" w:rsidRPr="00465F14">
        <w:t xml:space="preserve">submission’s </w:t>
      </w:r>
      <w:r w:rsidRPr="00465F14">
        <w:t>claim assume</w:t>
      </w:r>
      <w:r w:rsidR="006A5399" w:rsidRPr="00465F14">
        <w:t>d</w:t>
      </w:r>
      <w:r w:rsidRPr="00465F14">
        <w:t xml:space="preserve"> that </w:t>
      </w:r>
      <w:r w:rsidR="0071484F">
        <w:t xml:space="preserve">all </w:t>
      </w:r>
      <w:r w:rsidRPr="00465F14">
        <w:t>of the 81% of patients taking the 75 mg strength</w:t>
      </w:r>
      <w:r w:rsidR="008E048A">
        <w:t xml:space="preserve"> of omalizumab</w:t>
      </w:r>
      <w:r w:rsidR="00914832">
        <w:t xml:space="preserve"> (500 patients)</w:t>
      </w:r>
      <w:r w:rsidRPr="00465F14">
        <w:t xml:space="preserve"> who paid a co-payment paid more than one co-payment per </w:t>
      </w:r>
      <w:r w:rsidR="003B6D2C" w:rsidRPr="00465F14">
        <w:t>month,</w:t>
      </w:r>
      <w:r w:rsidRPr="00465F14">
        <w:t xml:space="preserve"> </w:t>
      </w:r>
      <w:r w:rsidR="006A5399" w:rsidRPr="00465F14">
        <w:t xml:space="preserve">while </w:t>
      </w:r>
      <w:r w:rsidRPr="00465F14">
        <w:t>the remaining 19%</w:t>
      </w:r>
      <w:r w:rsidR="006A5399" w:rsidRPr="00465F14">
        <w:t xml:space="preserve"> of patients</w:t>
      </w:r>
      <w:r w:rsidRPr="00465F14">
        <w:t xml:space="preserve"> paid no co-payment. Th</w:t>
      </w:r>
      <w:r w:rsidR="009459EC">
        <w:t>e PBAC noted that th</w:t>
      </w:r>
      <w:r w:rsidRPr="00465F14">
        <w:t xml:space="preserve">is assumption </w:t>
      </w:r>
      <w:r w:rsidR="009459EC">
        <w:t>wa</w:t>
      </w:r>
      <w:r w:rsidRPr="00465F14">
        <w:t xml:space="preserve">s inconsistent with the submission’s claim that 93% of patients </w:t>
      </w:r>
      <w:r w:rsidR="009459EC">
        <w:t xml:space="preserve">using </w:t>
      </w:r>
      <w:r w:rsidRPr="00465F14">
        <w:t xml:space="preserve">omalizumab 75 mg pay more than one patient co-payment per month (i.e. 7% paid either one or no co-payment). </w:t>
      </w:r>
      <w:r w:rsidR="009459EC">
        <w:t>The PBAC considered i</w:t>
      </w:r>
      <w:r w:rsidRPr="00502338">
        <w:t xml:space="preserve">t would be reasonable to assume that the distribution across </w:t>
      </w:r>
      <w:r w:rsidR="00243732" w:rsidRPr="00502338">
        <w:t xml:space="preserve">different co-payment categories </w:t>
      </w:r>
      <w:r w:rsidR="00243732">
        <w:t>would remain</w:t>
      </w:r>
      <w:r w:rsidR="00243732" w:rsidRPr="00502338">
        <w:t xml:space="preserve"> unchanged between the populations taking a single strength and those taking both</w:t>
      </w:r>
      <w:r w:rsidR="00243732">
        <w:t xml:space="preserve"> </w:t>
      </w:r>
      <w:r w:rsidR="00243732">
        <w:lastRenderedPageBreak/>
        <w:t>strengths.</w:t>
      </w:r>
      <w:r w:rsidR="00243732" w:rsidRPr="00243732">
        <w:t xml:space="preserve"> </w:t>
      </w:r>
      <w:r w:rsidR="00243732">
        <w:t>The PBAC noted, b</w:t>
      </w:r>
      <w:r w:rsidR="00243732" w:rsidRPr="00502338">
        <w:t xml:space="preserve">ased on the </w:t>
      </w:r>
      <w:r w:rsidR="00243732">
        <w:t>100% analysis</w:t>
      </w:r>
      <w:r w:rsidR="00243732" w:rsidRPr="00914832">
        <w:t>,</w:t>
      </w:r>
      <w:r w:rsidR="00243732">
        <w:t xml:space="preserve"> that</w:t>
      </w:r>
      <w:r w:rsidR="00243732" w:rsidRPr="00914832">
        <w:t xml:space="preserve"> 76% of patients taking the 75 mg strength </w:t>
      </w:r>
      <w:r w:rsidR="00243732">
        <w:t xml:space="preserve">of omalizumab for USAA </w:t>
      </w:r>
      <w:r w:rsidR="00243732" w:rsidRPr="00914832">
        <w:t xml:space="preserve">would pay </w:t>
      </w:r>
      <w:r w:rsidR="00243732">
        <w:t>two</w:t>
      </w:r>
      <w:r w:rsidR="00243732" w:rsidRPr="00914832">
        <w:t xml:space="preserve"> co-payment</w:t>
      </w:r>
      <w:r w:rsidR="00243732">
        <w:t>s per month</w:t>
      </w:r>
      <w:r w:rsidR="00243732" w:rsidRPr="00914832">
        <w:t>.</w:t>
      </w:r>
      <w:r w:rsidRPr="00914832">
        <w:t xml:space="preserve"> </w:t>
      </w:r>
    </w:p>
    <w:p w14:paraId="0FF05248" w14:textId="77777777" w:rsidR="009F0ADB" w:rsidRPr="002771CE" w:rsidRDefault="009F0ADB" w:rsidP="009F0ADB">
      <w:pPr>
        <w:pStyle w:val="3-BodyText"/>
        <w:rPr>
          <w:lang w:val="en-GB"/>
        </w:rPr>
      </w:pPr>
      <w:r>
        <w:rPr>
          <w:lang w:val="en-GB"/>
        </w:rPr>
        <w:t>The submission</w:t>
      </w:r>
      <w:r w:rsidRPr="00865587">
        <w:rPr>
          <w:lang w:val="en-GB"/>
        </w:rPr>
        <w:t xml:space="preserve"> </w:t>
      </w:r>
      <w:r>
        <w:rPr>
          <w:lang w:val="en-GB"/>
        </w:rPr>
        <w:t>estimated that 500 patients per annum would benefit from the requested listing, and estimated using</w:t>
      </w:r>
      <w:r w:rsidRPr="00865587">
        <w:rPr>
          <w:lang w:val="en-GB"/>
        </w:rPr>
        <w:t xml:space="preserve"> an average co-payment of $19.66 per prescription</w:t>
      </w:r>
      <w:r>
        <w:rPr>
          <w:lang w:val="en-GB"/>
        </w:rPr>
        <w:t xml:space="preserve"> that</w:t>
      </w:r>
      <w:r w:rsidRPr="00865587">
        <w:rPr>
          <w:lang w:val="en-GB"/>
        </w:rPr>
        <w:t xml:space="preserve"> the </w:t>
      </w:r>
      <w:r>
        <w:rPr>
          <w:lang w:val="en-GB"/>
        </w:rPr>
        <w:t>cost to government of reduced</w:t>
      </w:r>
      <w:r w:rsidRPr="00865587">
        <w:rPr>
          <w:lang w:val="en-GB"/>
        </w:rPr>
        <w:t xml:space="preserve"> patient co-payments </w:t>
      </w:r>
      <w:r>
        <w:rPr>
          <w:lang w:val="en-GB"/>
        </w:rPr>
        <w:t>due to the requested listing</w:t>
      </w:r>
      <w:r w:rsidRPr="00865587">
        <w:rPr>
          <w:lang w:val="en-GB"/>
        </w:rPr>
        <w:t xml:space="preserve"> </w:t>
      </w:r>
      <w:r>
        <w:rPr>
          <w:lang w:val="en-GB"/>
        </w:rPr>
        <w:t>would</w:t>
      </w:r>
      <w:r w:rsidRPr="00865587">
        <w:rPr>
          <w:lang w:val="en-GB"/>
        </w:rPr>
        <w:t xml:space="preserve"> be $127,871 </w:t>
      </w:r>
      <w:r>
        <w:rPr>
          <w:lang w:val="en-GB"/>
        </w:rPr>
        <w:t>per annum (see Table 2)</w:t>
      </w:r>
      <w:r w:rsidRPr="00865587">
        <w:rPr>
          <w:lang w:val="en-GB"/>
        </w:rPr>
        <w:t xml:space="preserve">. </w:t>
      </w:r>
      <w:r>
        <w:rPr>
          <w:lang w:val="en-GB"/>
        </w:rPr>
        <w:t>The submission noted</w:t>
      </w:r>
      <w:r w:rsidRPr="00865587">
        <w:rPr>
          <w:lang w:val="en-GB"/>
        </w:rPr>
        <w:t xml:space="preserve"> the annual cost to the PBS/RPBS of omalizumab 75</w:t>
      </w:r>
      <w:r w:rsidR="000117B8">
        <w:rPr>
          <w:lang w:val="en-GB"/>
        </w:rPr>
        <w:t xml:space="preserve"> </w:t>
      </w:r>
      <w:r w:rsidRPr="00865587">
        <w:rPr>
          <w:lang w:val="en-GB"/>
        </w:rPr>
        <w:t>mg</w:t>
      </w:r>
      <w:r w:rsidR="000117B8">
        <w:rPr>
          <w:lang w:val="en-GB"/>
        </w:rPr>
        <w:t xml:space="preserve"> PFS</w:t>
      </w:r>
      <w:r w:rsidRPr="00865587">
        <w:rPr>
          <w:lang w:val="en-GB"/>
        </w:rPr>
        <w:t xml:space="preserve"> </w:t>
      </w:r>
      <w:r>
        <w:rPr>
          <w:lang w:val="en-GB"/>
        </w:rPr>
        <w:t>wa</w:t>
      </w:r>
      <w:r w:rsidRPr="00865587">
        <w:rPr>
          <w:lang w:val="en-GB"/>
        </w:rPr>
        <w:t>s $2,770,039</w:t>
      </w:r>
      <w:r>
        <w:rPr>
          <w:lang w:val="en-GB"/>
        </w:rPr>
        <w:t xml:space="preserve"> u</w:t>
      </w:r>
      <w:r w:rsidRPr="00865587">
        <w:rPr>
          <w:lang w:val="en-GB"/>
        </w:rPr>
        <w:t>sing the 2020 PBS Benefits report</w:t>
      </w:r>
      <w:r>
        <w:rPr>
          <w:lang w:val="en-GB"/>
        </w:rPr>
        <w:t xml:space="preserve">. </w:t>
      </w:r>
      <w:r w:rsidRPr="00502338">
        <w:rPr>
          <w:lang w:val="en-GB"/>
        </w:rPr>
        <w:t>The submission requested listings for</w:t>
      </w:r>
      <w:r w:rsidR="00F37FCE" w:rsidRPr="00502338">
        <w:rPr>
          <w:lang w:val="en-GB"/>
        </w:rPr>
        <w:t xml:space="preserve"> the</w:t>
      </w:r>
      <w:r w:rsidRPr="00502338">
        <w:rPr>
          <w:lang w:val="en-GB"/>
        </w:rPr>
        <w:t xml:space="preserve"> USAA</w:t>
      </w:r>
      <w:r w:rsidR="00F37FCE" w:rsidRPr="00502338">
        <w:rPr>
          <w:lang w:val="en-GB"/>
        </w:rPr>
        <w:t xml:space="preserve"> indication</w:t>
      </w:r>
      <w:r w:rsidRPr="00502338">
        <w:rPr>
          <w:lang w:val="en-GB"/>
        </w:rPr>
        <w:t xml:space="preserve">, </w:t>
      </w:r>
      <w:r w:rsidR="00666955" w:rsidRPr="00502338">
        <w:rPr>
          <w:lang w:val="en-GB"/>
        </w:rPr>
        <w:t>but</w:t>
      </w:r>
      <w:r w:rsidRPr="00502338">
        <w:rPr>
          <w:lang w:val="en-GB"/>
        </w:rPr>
        <w:t xml:space="preserve"> derived the average co-payment and the cost to government using all indications. In calculating the cost to government of reduced patient co-payments, the submission applied the proportion of 75 mg scripts that were dispensed with a 150 mg script to the total cost of omalizumab 75 mg across all indications, and multiplied it by the average co-payment.</w:t>
      </w:r>
      <w:r>
        <w:rPr>
          <w:i/>
          <w:iCs/>
          <w:lang w:val="en-GB"/>
        </w:rPr>
        <w:t xml:space="preserve"> </w:t>
      </w:r>
      <w:r w:rsidR="002771CE" w:rsidRPr="00502338">
        <w:rPr>
          <w:lang w:val="en-GB"/>
        </w:rPr>
        <w:t>While the PBAC considered t</w:t>
      </w:r>
      <w:r w:rsidRPr="00502338">
        <w:rPr>
          <w:lang w:val="en-GB"/>
        </w:rPr>
        <w:t>his method appropriate</w:t>
      </w:r>
      <w:r w:rsidR="002771CE">
        <w:rPr>
          <w:lang w:val="en-GB"/>
        </w:rPr>
        <w:t>,</w:t>
      </w:r>
      <w:r w:rsidRPr="00502338">
        <w:rPr>
          <w:lang w:val="en-GB"/>
        </w:rPr>
        <w:t xml:space="preserve"> </w:t>
      </w:r>
      <w:r w:rsidR="002771CE">
        <w:rPr>
          <w:lang w:val="en-GB"/>
        </w:rPr>
        <w:t>it considered the</w:t>
      </w:r>
      <w:r w:rsidR="002771CE" w:rsidRPr="00502338">
        <w:rPr>
          <w:lang w:val="en-GB"/>
        </w:rPr>
        <w:t xml:space="preserve"> </w:t>
      </w:r>
      <w:r w:rsidRPr="00502338">
        <w:rPr>
          <w:lang w:val="en-GB"/>
        </w:rPr>
        <w:t xml:space="preserve">input values </w:t>
      </w:r>
      <w:r w:rsidR="00914832">
        <w:rPr>
          <w:lang w:val="en-GB"/>
        </w:rPr>
        <w:t>should be based on the 100% analysis for the USAA indication</w:t>
      </w:r>
      <w:r w:rsidRPr="00502338">
        <w:rPr>
          <w:lang w:val="en-GB"/>
        </w:rPr>
        <w:t xml:space="preserve">. </w:t>
      </w:r>
      <w:r w:rsidR="00914832">
        <w:rPr>
          <w:lang w:val="en-GB"/>
        </w:rPr>
        <w:t>An</w:t>
      </w:r>
      <w:r w:rsidR="00914832" w:rsidRPr="00502338">
        <w:rPr>
          <w:lang w:val="en-GB"/>
        </w:rPr>
        <w:t xml:space="preserve"> </w:t>
      </w:r>
      <w:r w:rsidRPr="00502338">
        <w:rPr>
          <w:lang w:val="en-GB"/>
        </w:rPr>
        <w:t xml:space="preserve">adjusted cost to government based on the </w:t>
      </w:r>
      <w:r w:rsidR="002771CE">
        <w:rPr>
          <w:lang w:val="en-GB"/>
        </w:rPr>
        <w:t>100%</w:t>
      </w:r>
      <w:r w:rsidR="002771CE" w:rsidRPr="00502338">
        <w:rPr>
          <w:lang w:val="en-GB"/>
        </w:rPr>
        <w:t xml:space="preserve"> </w:t>
      </w:r>
      <w:r w:rsidRPr="00502338">
        <w:rPr>
          <w:lang w:val="en-GB"/>
        </w:rPr>
        <w:t xml:space="preserve">analysis </w:t>
      </w:r>
      <w:r w:rsidR="00914832">
        <w:rPr>
          <w:lang w:val="en-GB"/>
        </w:rPr>
        <w:t xml:space="preserve">for the USAA indication </w:t>
      </w:r>
      <w:r w:rsidRPr="00502338">
        <w:rPr>
          <w:lang w:val="en-GB"/>
        </w:rPr>
        <w:t>is shown in Table 3.</w:t>
      </w:r>
    </w:p>
    <w:p w14:paraId="11913C79" w14:textId="77777777" w:rsidR="00760165" w:rsidRDefault="00760165" w:rsidP="00914832">
      <w:pPr>
        <w:pStyle w:val="TableFigureHeading"/>
      </w:pPr>
      <w:r>
        <w:t xml:space="preserve">Table </w:t>
      </w:r>
      <w:r>
        <w:rPr>
          <w:noProof/>
        </w:rPr>
        <w:t>2</w:t>
      </w:r>
      <w:r>
        <w:t xml:space="preserve">: </w:t>
      </w:r>
      <w:r w:rsidRPr="00864217">
        <w:t>Financial implications of omalizumab 75 mg PFS patient co-payments</w:t>
      </w:r>
    </w:p>
    <w:tbl>
      <w:tblPr>
        <w:tblStyle w:val="TableGrid"/>
        <w:tblW w:w="5000" w:type="pct"/>
        <w:tblLook w:val="04A0" w:firstRow="1" w:lastRow="0" w:firstColumn="1" w:lastColumn="0" w:noHBand="0" w:noVBand="1"/>
        <w:tblCaption w:val="Table 2: Financial implications of omalizumab 75 mg PFS patient co-payments"/>
        <w:tblDescription w:val="Financial implications of omalizumab 75 mg PFS patient co-payments"/>
      </w:tblPr>
      <w:tblGrid>
        <w:gridCol w:w="7792"/>
        <w:gridCol w:w="1224"/>
      </w:tblGrid>
      <w:tr w:rsidR="009F0ADB" w:rsidRPr="00990797" w14:paraId="6515838D" w14:textId="77777777" w:rsidTr="00A302A8">
        <w:trPr>
          <w:tblHeader/>
        </w:trPr>
        <w:tc>
          <w:tcPr>
            <w:tcW w:w="4321" w:type="pct"/>
          </w:tcPr>
          <w:p w14:paraId="0BC996CC" w14:textId="77777777" w:rsidR="009F0ADB" w:rsidRPr="00990797" w:rsidRDefault="009F0ADB" w:rsidP="00207571">
            <w:pPr>
              <w:pStyle w:val="TableText0"/>
              <w:rPr>
                <w:rFonts w:eastAsiaTheme="minorHAnsi"/>
                <w:lang w:val="en-GB"/>
              </w:rPr>
            </w:pPr>
            <w:r w:rsidRPr="00990797">
              <w:rPr>
                <w:rFonts w:eastAsiaTheme="minorHAnsi"/>
                <w:lang w:val="en-GB"/>
              </w:rPr>
              <w:t xml:space="preserve">Co-payment revenue </w:t>
            </w:r>
            <w:r>
              <w:rPr>
                <w:rFonts w:eastAsiaTheme="minorHAnsi"/>
                <w:lang w:val="en-GB"/>
              </w:rPr>
              <w:t xml:space="preserve">that would be </w:t>
            </w:r>
            <w:r w:rsidRPr="00990797">
              <w:rPr>
                <w:rFonts w:eastAsiaTheme="minorHAnsi"/>
                <w:lang w:val="en-GB"/>
              </w:rPr>
              <w:t xml:space="preserve">lost </w:t>
            </w:r>
            <w:r>
              <w:rPr>
                <w:rFonts w:eastAsiaTheme="minorHAnsi"/>
                <w:lang w:val="en-GB"/>
              </w:rPr>
              <w:t>due to the requested listings</w:t>
            </w:r>
          </w:p>
        </w:tc>
        <w:tc>
          <w:tcPr>
            <w:tcW w:w="679" w:type="pct"/>
          </w:tcPr>
          <w:p w14:paraId="4FAAC35C" w14:textId="77777777" w:rsidR="009F0ADB" w:rsidRPr="00990797" w:rsidRDefault="009F0ADB" w:rsidP="00207571">
            <w:pPr>
              <w:pStyle w:val="TableText0"/>
              <w:rPr>
                <w:rFonts w:eastAsiaTheme="minorHAnsi"/>
                <w:lang w:val="en-GB"/>
              </w:rPr>
            </w:pPr>
            <w:r w:rsidRPr="00990797">
              <w:rPr>
                <w:rFonts w:eastAsiaTheme="minorHAnsi"/>
                <w:lang w:val="en-GB"/>
              </w:rPr>
              <w:t>$127,871</w:t>
            </w:r>
          </w:p>
        </w:tc>
      </w:tr>
      <w:tr w:rsidR="009F0ADB" w:rsidRPr="00990797" w14:paraId="194CD00E" w14:textId="77777777" w:rsidTr="00C152C5">
        <w:tc>
          <w:tcPr>
            <w:tcW w:w="4321" w:type="pct"/>
          </w:tcPr>
          <w:p w14:paraId="05649DFB" w14:textId="77777777" w:rsidR="009F0ADB" w:rsidRPr="00990797" w:rsidRDefault="009F0ADB" w:rsidP="007375D6">
            <w:pPr>
              <w:pStyle w:val="TableText0"/>
              <w:rPr>
                <w:rFonts w:eastAsiaTheme="minorHAnsi"/>
                <w:lang w:val="en-GB"/>
              </w:rPr>
            </w:pPr>
            <w:r w:rsidRPr="00990797">
              <w:rPr>
                <w:rFonts w:eastAsiaTheme="minorHAnsi"/>
                <w:lang w:val="en-GB"/>
              </w:rPr>
              <w:t>PBS Benefits associated with 75</w:t>
            </w:r>
            <w:r>
              <w:rPr>
                <w:rFonts w:eastAsiaTheme="minorHAnsi"/>
                <w:lang w:val="en-GB"/>
              </w:rPr>
              <w:t xml:space="preserve"> </w:t>
            </w:r>
            <w:r w:rsidRPr="00990797">
              <w:rPr>
                <w:rFonts w:eastAsiaTheme="minorHAnsi"/>
                <w:lang w:val="en-GB"/>
              </w:rPr>
              <w:t>mg</w:t>
            </w:r>
            <w:r w:rsidR="007375D6">
              <w:rPr>
                <w:rFonts w:eastAsiaTheme="minorHAnsi"/>
                <w:lang w:val="en-GB"/>
              </w:rPr>
              <w:t xml:space="preserve"> PFS</w:t>
            </w:r>
            <w:r w:rsidRPr="00990797">
              <w:rPr>
                <w:rFonts w:eastAsiaTheme="minorHAnsi"/>
                <w:lang w:val="en-GB"/>
              </w:rPr>
              <w:t xml:space="preserve"> scripts </w:t>
            </w:r>
          </w:p>
        </w:tc>
        <w:tc>
          <w:tcPr>
            <w:tcW w:w="679" w:type="pct"/>
          </w:tcPr>
          <w:p w14:paraId="000D4CED" w14:textId="77777777" w:rsidR="009F0ADB" w:rsidRPr="00990797" w:rsidRDefault="009F0ADB" w:rsidP="00207571">
            <w:pPr>
              <w:pStyle w:val="TableText0"/>
              <w:rPr>
                <w:rFonts w:eastAsiaTheme="minorHAnsi"/>
                <w:lang w:val="en-GB"/>
              </w:rPr>
            </w:pPr>
            <w:r w:rsidRPr="00990797">
              <w:rPr>
                <w:rFonts w:eastAsiaTheme="minorHAnsi"/>
                <w:lang w:val="en-GB"/>
              </w:rPr>
              <w:t>$2,770,039</w:t>
            </w:r>
          </w:p>
        </w:tc>
      </w:tr>
      <w:tr w:rsidR="009F0ADB" w:rsidRPr="00990797" w14:paraId="072A5C5B" w14:textId="77777777" w:rsidTr="00C152C5">
        <w:tc>
          <w:tcPr>
            <w:tcW w:w="4321" w:type="pct"/>
          </w:tcPr>
          <w:p w14:paraId="32D66628" w14:textId="77777777" w:rsidR="009F0ADB" w:rsidRPr="00990797" w:rsidRDefault="009F0ADB" w:rsidP="007375D6">
            <w:pPr>
              <w:pStyle w:val="TableText0"/>
              <w:rPr>
                <w:rFonts w:eastAsiaTheme="minorHAnsi"/>
                <w:lang w:val="en-GB"/>
              </w:rPr>
            </w:pPr>
            <w:r w:rsidRPr="00990797">
              <w:rPr>
                <w:rFonts w:eastAsiaTheme="minorHAnsi"/>
                <w:lang w:val="en-GB"/>
              </w:rPr>
              <w:t>Discount offered on omalizumab 75</w:t>
            </w:r>
            <w:r>
              <w:rPr>
                <w:rFonts w:eastAsiaTheme="minorHAnsi"/>
                <w:lang w:val="en-GB"/>
              </w:rPr>
              <w:t xml:space="preserve"> </w:t>
            </w:r>
            <w:r w:rsidRPr="00990797">
              <w:rPr>
                <w:rFonts w:eastAsiaTheme="minorHAnsi"/>
                <w:lang w:val="en-GB"/>
              </w:rPr>
              <w:t>mg</w:t>
            </w:r>
            <w:r w:rsidR="007375D6">
              <w:rPr>
                <w:rFonts w:eastAsiaTheme="minorHAnsi"/>
                <w:lang w:val="en-GB"/>
              </w:rPr>
              <w:t xml:space="preserve"> PFS</w:t>
            </w:r>
            <w:r w:rsidRPr="00990797">
              <w:rPr>
                <w:rFonts w:eastAsiaTheme="minorHAnsi"/>
                <w:lang w:val="en-GB"/>
              </w:rPr>
              <w:t xml:space="preserve"> to remain cost neutral to the PBS/RPBS (co-payment revenue lost as % of PBS Benefits paid)</w:t>
            </w:r>
          </w:p>
        </w:tc>
        <w:tc>
          <w:tcPr>
            <w:tcW w:w="679" w:type="pct"/>
            <w:vAlign w:val="center"/>
          </w:tcPr>
          <w:p w14:paraId="6619CF16" w14:textId="77777777" w:rsidR="009F0ADB" w:rsidRPr="00990797" w:rsidRDefault="009F0ADB" w:rsidP="00207571">
            <w:pPr>
              <w:pStyle w:val="TableText0"/>
              <w:rPr>
                <w:rFonts w:eastAsiaTheme="minorHAnsi"/>
                <w:lang w:val="en-GB"/>
              </w:rPr>
            </w:pPr>
            <w:r w:rsidRPr="00990797">
              <w:rPr>
                <w:rFonts w:eastAsiaTheme="minorHAnsi"/>
                <w:lang w:val="en-GB"/>
              </w:rPr>
              <w:t>4.62%</w:t>
            </w:r>
          </w:p>
        </w:tc>
      </w:tr>
    </w:tbl>
    <w:p w14:paraId="7F25CEF8" w14:textId="77777777" w:rsidR="009F0ADB" w:rsidRDefault="009F0ADB" w:rsidP="009F0ADB">
      <w:pPr>
        <w:pStyle w:val="TableFigureFooter"/>
      </w:pPr>
      <w:r>
        <w:t>Source</w:t>
      </w:r>
      <w:r w:rsidRPr="00990797">
        <w:t xml:space="preserve">: </w:t>
      </w:r>
      <w:r w:rsidR="00760165">
        <w:t xml:space="preserve">Submission </w:t>
      </w:r>
      <w:r>
        <w:t>Attachment 3</w:t>
      </w:r>
    </w:p>
    <w:p w14:paraId="6881FDF9" w14:textId="77777777" w:rsidR="00760165" w:rsidRDefault="00760165" w:rsidP="00914832">
      <w:pPr>
        <w:pStyle w:val="TableFigureHeading"/>
      </w:pPr>
      <w:r>
        <w:t xml:space="preserve">Table </w:t>
      </w:r>
      <w:r>
        <w:rPr>
          <w:noProof/>
        </w:rPr>
        <w:t>3</w:t>
      </w:r>
      <w:r>
        <w:t xml:space="preserve">: </w:t>
      </w:r>
      <w:r w:rsidRPr="00A523CA">
        <w:t>Financial implications of omalizumab 75 mg PFS patient co-payments (adjusted)</w:t>
      </w:r>
    </w:p>
    <w:tbl>
      <w:tblPr>
        <w:tblStyle w:val="TableGrid"/>
        <w:tblW w:w="5000" w:type="pct"/>
        <w:tblLook w:val="04A0" w:firstRow="1" w:lastRow="0" w:firstColumn="1" w:lastColumn="0" w:noHBand="0" w:noVBand="1"/>
        <w:tblCaption w:val="Table 3: Financial implications of omalizumab 75 mg PFS patient co-payments (adjusted)"/>
        <w:tblDescription w:val="Financial implications of omalizumab 75 mg PFS patient co-payments (adjusted)"/>
      </w:tblPr>
      <w:tblGrid>
        <w:gridCol w:w="7792"/>
        <w:gridCol w:w="1224"/>
      </w:tblGrid>
      <w:tr w:rsidR="009F0ADB" w:rsidRPr="002771CE" w14:paraId="5958E6CC" w14:textId="77777777" w:rsidTr="00A302A8">
        <w:trPr>
          <w:tblHeader/>
        </w:trPr>
        <w:tc>
          <w:tcPr>
            <w:tcW w:w="4321" w:type="pct"/>
          </w:tcPr>
          <w:p w14:paraId="5DF9194A" w14:textId="77777777" w:rsidR="009F0ADB" w:rsidRPr="00502338" w:rsidRDefault="009F0ADB" w:rsidP="00207571">
            <w:pPr>
              <w:pStyle w:val="TableText0"/>
              <w:rPr>
                <w:rFonts w:eastAsiaTheme="minorHAnsi"/>
                <w:lang w:val="en-GB"/>
              </w:rPr>
            </w:pPr>
            <w:r w:rsidRPr="00502338">
              <w:rPr>
                <w:rFonts w:eastAsiaTheme="minorHAnsi"/>
                <w:lang w:val="en-GB"/>
              </w:rPr>
              <w:t>Co-payment revenue that would be lost due to the requested listings</w:t>
            </w:r>
          </w:p>
        </w:tc>
        <w:tc>
          <w:tcPr>
            <w:tcW w:w="679" w:type="pct"/>
          </w:tcPr>
          <w:p w14:paraId="384C11F0" w14:textId="77777777" w:rsidR="009F0ADB" w:rsidRPr="00502338" w:rsidRDefault="009F0ADB" w:rsidP="00207571">
            <w:pPr>
              <w:pStyle w:val="TableText0"/>
              <w:rPr>
                <w:rFonts w:eastAsiaTheme="minorHAnsi"/>
                <w:lang w:val="en-GB"/>
              </w:rPr>
            </w:pPr>
            <w:r w:rsidRPr="00502338">
              <w:rPr>
                <w:rFonts w:eastAsiaTheme="minorHAnsi"/>
                <w:lang w:val="en-GB"/>
              </w:rPr>
              <w:t>$6,282</w:t>
            </w:r>
          </w:p>
        </w:tc>
      </w:tr>
      <w:tr w:rsidR="009F0ADB" w:rsidRPr="002771CE" w14:paraId="50BB8AE1" w14:textId="77777777" w:rsidTr="00C152C5">
        <w:tc>
          <w:tcPr>
            <w:tcW w:w="4321" w:type="pct"/>
          </w:tcPr>
          <w:p w14:paraId="429B0C4E" w14:textId="77777777" w:rsidR="009F0ADB" w:rsidRPr="00502338" w:rsidRDefault="009F0ADB" w:rsidP="007375D6">
            <w:pPr>
              <w:pStyle w:val="TableText0"/>
              <w:rPr>
                <w:rFonts w:eastAsiaTheme="minorHAnsi"/>
                <w:lang w:val="en-GB"/>
              </w:rPr>
            </w:pPr>
            <w:r w:rsidRPr="00502338">
              <w:rPr>
                <w:rFonts w:eastAsiaTheme="minorHAnsi"/>
                <w:lang w:val="en-GB"/>
              </w:rPr>
              <w:t>PBS/RPBS Benefits associated with 75 mg</w:t>
            </w:r>
            <w:r w:rsidR="007375D6" w:rsidRPr="00502338">
              <w:rPr>
                <w:rFonts w:eastAsiaTheme="minorHAnsi"/>
                <w:lang w:val="en-GB"/>
              </w:rPr>
              <w:t xml:space="preserve"> PFS</w:t>
            </w:r>
            <w:r w:rsidRPr="00502338">
              <w:rPr>
                <w:rFonts w:eastAsiaTheme="minorHAnsi"/>
                <w:lang w:val="en-GB"/>
              </w:rPr>
              <w:t xml:space="preserve"> USAA scripts </w:t>
            </w:r>
          </w:p>
        </w:tc>
        <w:tc>
          <w:tcPr>
            <w:tcW w:w="679" w:type="pct"/>
          </w:tcPr>
          <w:p w14:paraId="5133F143" w14:textId="77777777" w:rsidR="009F0ADB" w:rsidRPr="00502338" w:rsidRDefault="009F0ADB" w:rsidP="00207571">
            <w:pPr>
              <w:pStyle w:val="TableText0"/>
              <w:rPr>
                <w:rFonts w:eastAsiaTheme="minorHAnsi"/>
                <w:lang w:val="en-GB"/>
              </w:rPr>
            </w:pPr>
            <w:r w:rsidRPr="00502338">
              <w:rPr>
                <w:rFonts w:eastAsiaTheme="minorHAnsi"/>
                <w:lang w:val="en-GB"/>
              </w:rPr>
              <w:t>$133,677</w:t>
            </w:r>
          </w:p>
        </w:tc>
      </w:tr>
      <w:tr w:rsidR="009F0ADB" w:rsidRPr="002771CE" w14:paraId="366BD70C" w14:textId="77777777" w:rsidTr="00C152C5">
        <w:tc>
          <w:tcPr>
            <w:tcW w:w="4321" w:type="pct"/>
          </w:tcPr>
          <w:p w14:paraId="45CBB706" w14:textId="77777777" w:rsidR="009F0ADB" w:rsidRPr="00502338" w:rsidRDefault="009F0ADB" w:rsidP="00207571">
            <w:pPr>
              <w:pStyle w:val="TableText0"/>
              <w:rPr>
                <w:rFonts w:eastAsiaTheme="minorHAnsi"/>
                <w:lang w:val="en-GB"/>
              </w:rPr>
            </w:pPr>
            <w:r w:rsidRPr="00502338">
              <w:rPr>
                <w:rFonts w:eastAsiaTheme="minorHAnsi"/>
                <w:lang w:val="en-GB"/>
              </w:rPr>
              <w:t>Suggested discount to remain cost neutral (co-payment revenue lost as % of PBS/RPBS Benefits paid)</w:t>
            </w:r>
          </w:p>
        </w:tc>
        <w:tc>
          <w:tcPr>
            <w:tcW w:w="679" w:type="pct"/>
            <w:vAlign w:val="center"/>
          </w:tcPr>
          <w:p w14:paraId="3339407D" w14:textId="77777777" w:rsidR="009F0ADB" w:rsidRPr="00502338" w:rsidRDefault="009F0ADB" w:rsidP="00207571">
            <w:pPr>
              <w:pStyle w:val="TableText0"/>
              <w:rPr>
                <w:rFonts w:eastAsiaTheme="minorHAnsi"/>
                <w:lang w:val="en-GB"/>
              </w:rPr>
            </w:pPr>
            <w:r w:rsidRPr="00502338">
              <w:rPr>
                <w:rFonts w:eastAsiaTheme="minorHAnsi"/>
                <w:lang w:val="en-GB"/>
              </w:rPr>
              <w:t>4.68%</w:t>
            </w:r>
          </w:p>
        </w:tc>
      </w:tr>
    </w:tbl>
    <w:p w14:paraId="6225C6D1" w14:textId="77777777" w:rsidR="009F0ADB" w:rsidRPr="00C152C5" w:rsidRDefault="009F0ADB" w:rsidP="009F0ADB">
      <w:pPr>
        <w:pStyle w:val="TableFigureFooter"/>
      </w:pPr>
      <w:r w:rsidRPr="00C152C5">
        <w:t xml:space="preserve">Source: </w:t>
      </w:r>
      <w:r w:rsidR="00502338" w:rsidRPr="00C152C5">
        <w:t xml:space="preserve">The </w:t>
      </w:r>
      <w:r w:rsidR="00302686" w:rsidRPr="00C152C5">
        <w:t xml:space="preserve">100% </w:t>
      </w:r>
      <w:r w:rsidRPr="00C152C5">
        <w:t>analysis</w:t>
      </w:r>
    </w:p>
    <w:p w14:paraId="5E492980" w14:textId="77777777" w:rsidR="009F0ADB" w:rsidRPr="00645342" w:rsidRDefault="009F0ADB" w:rsidP="009F0ADB">
      <w:pPr>
        <w:pStyle w:val="3-BodyText"/>
        <w:rPr>
          <w:lang w:val="en-GB"/>
        </w:rPr>
      </w:pPr>
      <w:r>
        <w:rPr>
          <w:lang w:val="en-GB"/>
        </w:rPr>
        <w:t xml:space="preserve">The submission proposed </w:t>
      </w:r>
      <w:r w:rsidRPr="00865587">
        <w:rPr>
          <w:lang w:val="en-GB"/>
        </w:rPr>
        <w:t>a 4.62% discount on the price of omalizumab 75</w:t>
      </w:r>
      <w:r w:rsidR="007375D6">
        <w:rPr>
          <w:lang w:val="en-GB"/>
        </w:rPr>
        <w:t> </w:t>
      </w:r>
      <w:r w:rsidRPr="00865587">
        <w:rPr>
          <w:lang w:val="en-GB"/>
        </w:rPr>
        <w:t>mg</w:t>
      </w:r>
      <w:r w:rsidR="007375D6">
        <w:rPr>
          <w:lang w:val="en-GB"/>
        </w:rPr>
        <w:t xml:space="preserve"> PFS</w:t>
      </w:r>
      <w:r w:rsidRPr="00865587">
        <w:rPr>
          <w:lang w:val="en-GB"/>
        </w:rPr>
        <w:t xml:space="preserve"> to offset the </w:t>
      </w:r>
      <w:r>
        <w:rPr>
          <w:lang w:val="en-GB"/>
        </w:rPr>
        <w:t>financial impact of the reduced</w:t>
      </w:r>
      <w:r w:rsidRPr="00865587">
        <w:rPr>
          <w:lang w:val="en-GB"/>
        </w:rPr>
        <w:t xml:space="preserve"> patient co-payments should </w:t>
      </w:r>
      <w:r>
        <w:rPr>
          <w:lang w:val="en-GB"/>
        </w:rPr>
        <w:t>the requested listing be recommended (Table 4).</w:t>
      </w:r>
      <w:r w:rsidRPr="00987CC6">
        <w:rPr>
          <w:lang w:val="en-GB"/>
        </w:rPr>
        <w:t xml:space="preserve"> </w:t>
      </w:r>
      <w:r w:rsidRPr="006D4969">
        <w:rPr>
          <w:lang w:val="en-GB"/>
        </w:rPr>
        <w:t xml:space="preserve">The </w:t>
      </w:r>
      <w:r>
        <w:rPr>
          <w:lang w:val="en-GB"/>
        </w:rPr>
        <w:t>submission</w:t>
      </w:r>
      <w:r w:rsidRPr="006D4969">
        <w:rPr>
          <w:lang w:val="en-GB"/>
        </w:rPr>
        <w:t xml:space="preserve"> </w:t>
      </w:r>
      <w:r>
        <w:rPr>
          <w:lang w:val="en-GB"/>
        </w:rPr>
        <w:t xml:space="preserve">did not </w:t>
      </w:r>
      <w:r w:rsidRPr="006D4969">
        <w:rPr>
          <w:lang w:val="en-GB"/>
        </w:rPr>
        <w:t xml:space="preserve">offer </w:t>
      </w:r>
      <w:r>
        <w:rPr>
          <w:lang w:val="en-GB"/>
        </w:rPr>
        <w:t xml:space="preserve">a </w:t>
      </w:r>
      <w:r w:rsidRPr="006D4969">
        <w:rPr>
          <w:lang w:val="en-GB"/>
        </w:rPr>
        <w:t>discount on the 150</w:t>
      </w:r>
      <w:r w:rsidR="007375D6">
        <w:rPr>
          <w:lang w:val="en-GB"/>
        </w:rPr>
        <w:t> </w:t>
      </w:r>
      <w:r w:rsidRPr="006D4969">
        <w:rPr>
          <w:lang w:val="en-GB"/>
        </w:rPr>
        <w:t>mg</w:t>
      </w:r>
      <w:r w:rsidR="007375D6">
        <w:rPr>
          <w:lang w:val="en-GB"/>
        </w:rPr>
        <w:t xml:space="preserve"> PFS</w:t>
      </w:r>
      <w:r w:rsidRPr="006D4969">
        <w:rPr>
          <w:lang w:val="en-GB"/>
        </w:rPr>
        <w:t xml:space="preserve"> </w:t>
      </w:r>
      <w:r>
        <w:rPr>
          <w:lang w:val="en-GB"/>
        </w:rPr>
        <w:t>stating that</w:t>
      </w:r>
      <w:r w:rsidRPr="006D4969">
        <w:rPr>
          <w:lang w:val="en-GB"/>
        </w:rPr>
        <w:t xml:space="preserve"> only one co-payment would be lost per script dispensed under the </w:t>
      </w:r>
      <w:r>
        <w:rPr>
          <w:lang w:val="en-GB"/>
        </w:rPr>
        <w:t>requested listings,</w:t>
      </w:r>
      <w:r w:rsidRPr="00987CC6">
        <w:rPr>
          <w:lang w:val="en-GB"/>
        </w:rPr>
        <w:t xml:space="preserve"> </w:t>
      </w:r>
      <w:r>
        <w:rPr>
          <w:lang w:val="en-GB"/>
        </w:rPr>
        <w:t>and that</w:t>
      </w:r>
      <w:r w:rsidRPr="006D4969">
        <w:rPr>
          <w:lang w:val="en-GB"/>
        </w:rPr>
        <w:t xml:space="preserve"> </w:t>
      </w:r>
      <w:r>
        <w:rPr>
          <w:lang w:val="en-GB"/>
        </w:rPr>
        <w:t xml:space="preserve">the </w:t>
      </w:r>
      <w:r w:rsidRPr="006D4969">
        <w:rPr>
          <w:lang w:val="en-GB"/>
        </w:rPr>
        <w:t>majority of omalizumab 150</w:t>
      </w:r>
      <w:r w:rsidR="00666955">
        <w:rPr>
          <w:lang w:val="en-GB"/>
        </w:rPr>
        <w:t> </w:t>
      </w:r>
      <w:r w:rsidRPr="006D4969">
        <w:rPr>
          <w:lang w:val="en-GB"/>
        </w:rPr>
        <w:t>mg/</w:t>
      </w:r>
      <w:r w:rsidRPr="00E4682D">
        <w:rPr>
          <w:lang w:val="en-GB"/>
        </w:rPr>
        <w:t>mL</w:t>
      </w:r>
      <w:r w:rsidRPr="006D4969">
        <w:rPr>
          <w:lang w:val="en-GB"/>
        </w:rPr>
        <w:t xml:space="preserve"> </w:t>
      </w:r>
      <w:r>
        <w:rPr>
          <w:lang w:val="en-GB"/>
        </w:rPr>
        <w:t>usage is</w:t>
      </w:r>
      <w:r w:rsidRPr="006D4969">
        <w:rPr>
          <w:lang w:val="en-GB"/>
        </w:rPr>
        <w:t xml:space="preserve"> not impacted by double co-payments.</w:t>
      </w:r>
      <w:r>
        <w:rPr>
          <w:lang w:val="en-GB"/>
        </w:rPr>
        <w:t xml:space="preserve"> </w:t>
      </w:r>
      <w:r w:rsidR="00760165" w:rsidRPr="00502338">
        <w:t>The</w:t>
      </w:r>
      <w:r w:rsidRPr="00502338">
        <w:t xml:space="preserve"> 100% </w:t>
      </w:r>
      <w:r w:rsidR="00760165" w:rsidRPr="00502338">
        <w:t>analysis</w:t>
      </w:r>
      <w:r w:rsidR="00666955" w:rsidRPr="00502338">
        <w:t xml:space="preserve"> </w:t>
      </w:r>
      <w:r w:rsidRPr="00502338">
        <w:t>show</w:t>
      </w:r>
      <w:r w:rsidR="00666955" w:rsidRPr="00502338">
        <w:t>ed</w:t>
      </w:r>
      <w:r w:rsidRPr="00502338">
        <w:t xml:space="preserve"> that</w:t>
      </w:r>
      <w:r w:rsidRPr="00502338">
        <w:rPr>
          <w:lang w:val="en-GB"/>
        </w:rPr>
        <w:t xml:space="preserve"> 61.2% of omalizumab patients take only the 150 mg strength.</w:t>
      </w:r>
    </w:p>
    <w:p w14:paraId="37C9EAB8" w14:textId="77777777" w:rsidR="00760165" w:rsidRDefault="00760165" w:rsidP="00914832">
      <w:pPr>
        <w:pStyle w:val="TableFigureHeading"/>
      </w:pPr>
      <w:r>
        <w:t xml:space="preserve">Table </w:t>
      </w:r>
      <w:r>
        <w:rPr>
          <w:noProof/>
        </w:rPr>
        <w:t>4</w:t>
      </w:r>
      <w:r>
        <w:t xml:space="preserve">: </w:t>
      </w:r>
      <w:r w:rsidRPr="00275241">
        <w:t>Current and proposed DPMQ of omalizumab</w:t>
      </w:r>
    </w:p>
    <w:tbl>
      <w:tblPr>
        <w:tblStyle w:val="TableGrid"/>
        <w:tblW w:w="0" w:type="auto"/>
        <w:tblLook w:val="04A0" w:firstRow="1" w:lastRow="0" w:firstColumn="1" w:lastColumn="0" w:noHBand="0" w:noVBand="1"/>
        <w:tblCaption w:val="Table 4: Current and proposed DPMQ of omalizumab"/>
        <w:tblDescription w:val="Current and proposed DPMQ of omalizumab"/>
      </w:tblPr>
      <w:tblGrid>
        <w:gridCol w:w="4106"/>
        <w:gridCol w:w="1134"/>
        <w:gridCol w:w="1134"/>
        <w:gridCol w:w="1134"/>
        <w:gridCol w:w="1099"/>
      </w:tblGrid>
      <w:tr w:rsidR="00C152C5" w:rsidRPr="003971BA" w14:paraId="010FA1E4" w14:textId="77777777" w:rsidTr="00A302A8">
        <w:trPr>
          <w:tblHeader/>
        </w:trPr>
        <w:tc>
          <w:tcPr>
            <w:tcW w:w="4106" w:type="dxa"/>
            <w:vMerge w:val="restart"/>
            <w:shd w:val="clear" w:color="auto" w:fill="auto"/>
          </w:tcPr>
          <w:p w14:paraId="583E58CD" w14:textId="77777777" w:rsidR="00C152C5" w:rsidRPr="003971BA" w:rsidRDefault="00C152C5" w:rsidP="00207571">
            <w:pPr>
              <w:pStyle w:val="In-tableHeading"/>
              <w:rPr>
                <w:rFonts w:eastAsiaTheme="minorHAnsi"/>
              </w:rPr>
            </w:pPr>
            <w:r w:rsidRPr="003971BA">
              <w:rPr>
                <w:rFonts w:eastAsiaTheme="minorHAnsi"/>
              </w:rPr>
              <w:t>Drug name and strength</w:t>
            </w:r>
          </w:p>
        </w:tc>
        <w:tc>
          <w:tcPr>
            <w:tcW w:w="2268" w:type="dxa"/>
            <w:gridSpan w:val="2"/>
            <w:shd w:val="clear" w:color="auto" w:fill="auto"/>
          </w:tcPr>
          <w:p w14:paraId="6AE1A702" w14:textId="77777777" w:rsidR="00C152C5" w:rsidRPr="003971BA" w:rsidRDefault="00C152C5" w:rsidP="00207571">
            <w:pPr>
              <w:pStyle w:val="In-tableHeading"/>
              <w:rPr>
                <w:rFonts w:eastAsiaTheme="minorHAnsi"/>
                <w:bCs/>
              </w:rPr>
            </w:pPr>
            <w:r w:rsidRPr="003971BA">
              <w:rPr>
                <w:rFonts w:eastAsiaTheme="minorHAnsi"/>
                <w:bCs/>
              </w:rPr>
              <w:t>July 2021</w:t>
            </w:r>
          </w:p>
        </w:tc>
        <w:tc>
          <w:tcPr>
            <w:tcW w:w="2233" w:type="dxa"/>
            <w:gridSpan w:val="2"/>
            <w:shd w:val="clear" w:color="auto" w:fill="auto"/>
          </w:tcPr>
          <w:p w14:paraId="6DD0DF33" w14:textId="77777777" w:rsidR="00C152C5" w:rsidRPr="003971BA" w:rsidRDefault="00C152C5" w:rsidP="00207571">
            <w:pPr>
              <w:pStyle w:val="In-tableHeading"/>
              <w:rPr>
                <w:rFonts w:eastAsiaTheme="minorHAnsi"/>
                <w:bCs/>
              </w:rPr>
            </w:pPr>
            <w:r w:rsidRPr="003971BA">
              <w:rPr>
                <w:rFonts w:eastAsiaTheme="minorHAnsi"/>
                <w:bCs/>
              </w:rPr>
              <w:t>Proposed</w:t>
            </w:r>
          </w:p>
        </w:tc>
      </w:tr>
      <w:tr w:rsidR="00C152C5" w:rsidRPr="003971BA" w14:paraId="6778FF63" w14:textId="77777777" w:rsidTr="00A302A8">
        <w:trPr>
          <w:tblHeader/>
        </w:trPr>
        <w:tc>
          <w:tcPr>
            <w:tcW w:w="4106" w:type="dxa"/>
            <w:vMerge/>
            <w:shd w:val="clear" w:color="auto" w:fill="auto"/>
          </w:tcPr>
          <w:p w14:paraId="4FC24CC4" w14:textId="77777777" w:rsidR="00C152C5" w:rsidRPr="003971BA" w:rsidRDefault="00C152C5" w:rsidP="00207571">
            <w:pPr>
              <w:pStyle w:val="TableText0"/>
              <w:rPr>
                <w:rFonts w:eastAsiaTheme="minorHAnsi"/>
                <w:lang w:val="en-GB"/>
              </w:rPr>
            </w:pPr>
          </w:p>
        </w:tc>
        <w:tc>
          <w:tcPr>
            <w:tcW w:w="1134" w:type="dxa"/>
            <w:shd w:val="clear" w:color="auto" w:fill="auto"/>
          </w:tcPr>
          <w:p w14:paraId="6C07EA19" w14:textId="77777777" w:rsidR="00C152C5" w:rsidRPr="00C152C5" w:rsidRDefault="00C152C5" w:rsidP="00207571">
            <w:pPr>
              <w:pStyle w:val="TableText0"/>
              <w:rPr>
                <w:rFonts w:eastAsiaTheme="minorHAnsi"/>
                <w:b/>
                <w:bCs w:val="0"/>
                <w:lang w:val="en-GB"/>
              </w:rPr>
            </w:pPr>
            <w:r w:rsidRPr="00C152C5">
              <w:rPr>
                <w:rFonts w:eastAsiaTheme="minorHAnsi"/>
                <w:b/>
                <w:bCs w:val="0"/>
                <w:lang w:val="en-GB"/>
              </w:rPr>
              <w:t>Published</w:t>
            </w:r>
          </w:p>
        </w:tc>
        <w:tc>
          <w:tcPr>
            <w:tcW w:w="1134" w:type="dxa"/>
            <w:shd w:val="clear" w:color="auto" w:fill="auto"/>
          </w:tcPr>
          <w:p w14:paraId="06AC9FCC" w14:textId="77777777" w:rsidR="00C152C5" w:rsidRPr="00C152C5" w:rsidRDefault="00C152C5" w:rsidP="00207571">
            <w:pPr>
              <w:pStyle w:val="TableText0"/>
              <w:rPr>
                <w:rFonts w:eastAsiaTheme="minorHAnsi"/>
                <w:b/>
                <w:bCs w:val="0"/>
                <w:lang w:val="en-GB"/>
              </w:rPr>
            </w:pPr>
            <w:r w:rsidRPr="00C152C5">
              <w:rPr>
                <w:rFonts w:eastAsiaTheme="minorHAnsi"/>
                <w:b/>
                <w:bCs w:val="0"/>
                <w:lang w:val="en-GB"/>
              </w:rPr>
              <w:t>Effective</w:t>
            </w:r>
            <w:r w:rsidR="00DE30C5">
              <w:rPr>
                <w:rFonts w:eastAsiaTheme="minorHAnsi"/>
                <w:b/>
                <w:bCs w:val="0"/>
                <w:lang w:val="en-GB"/>
              </w:rPr>
              <w:t xml:space="preserve"> ($)</w:t>
            </w:r>
          </w:p>
        </w:tc>
        <w:tc>
          <w:tcPr>
            <w:tcW w:w="1134" w:type="dxa"/>
            <w:shd w:val="clear" w:color="auto" w:fill="auto"/>
          </w:tcPr>
          <w:p w14:paraId="277AF900" w14:textId="77777777" w:rsidR="00C152C5" w:rsidRPr="00C152C5" w:rsidRDefault="00C152C5" w:rsidP="00207571">
            <w:pPr>
              <w:pStyle w:val="TableText0"/>
              <w:rPr>
                <w:rFonts w:eastAsiaTheme="minorHAnsi"/>
                <w:b/>
                <w:bCs w:val="0"/>
                <w:lang w:val="en-GB"/>
              </w:rPr>
            </w:pPr>
            <w:r w:rsidRPr="00C152C5">
              <w:rPr>
                <w:rFonts w:eastAsiaTheme="minorHAnsi"/>
                <w:b/>
                <w:bCs w:val="0"/>
                <w:lang w:val="en-GB"/>
              </w:rPr>
              <w:t>Published</w:t>
            </w:r>
          </w:p>
        </w:tc>
        <w:tc>
          <w:tcPr>
            <w:tcW w:w="1099" w:type="dxa"/>
            <w:shd w:val="clear" w:color="auto" w:fill="auto"/>
          </w:tcPr>
          <w:p w14:paraId="33AF4F11" w14:textId="77777777" w:rsidR="00C152C5" w:rsidRPr="00C152C5" w:rsidRDefault="00C152C5" w:rsidP="00207571">
            <w:pPr>
              <w:pStyle w:val="TableText0"/>
              <w:rPr>
                <w:rFonts w:eastAsiaTheme="minorHAnsi"/>
                <w:b/>
                <w:bCs w:val="0"/>
                <w:lang w:val="en-GB"/>
              </w:rPr>
            </w:pPr>
            <w:r w:rsidRPr="00C152C5">
              <w:rPr>
                <w:rFonts w:eastAsiaTheme="minorHAnsi"/>
                <w:b/>
                <w:bCs w:val="0"/>
                <w:lang w:val="en-GB"/>
              </w:rPr>
              <w:t>Effective</w:t>
            </w:r>
            <w:r w:rsidR="00DE30C5">
              <w:rPr>
                <w:rFonts w:eastAsiaTheme="minorHAnsi"/>
                <w:b/>
                <w:bCs w:val="0"/>
                <w:lang w:val="en-GB"/>
              </w:rPr>
              <w:t xml:space="preserve"> ($)</w:t>
            </w:r>
          </w:p>
        </w:tc>
      </w:tr>
      <w:tr w:rsidR="009F0ADB" w:rsidRPr="003971BA" w14:paraId="6C5504CF" w14:textId="77777777" w:rsidTr="00207571">
        <w:tc>
          <w:tcPr>
            <w:tcW w:w="4106" w:type="dxa"/>
            <w:shd w:val="clear" w:color="auto" w:fill="auto"/>
          </w:tcPr>
          <w:p w14:paraId="27EA6C5B" w14:textId="77777777" w:rsidR="009F0ADB" w:rsidRPr="003971BA" w:rsidRDefault="009F0ADB" w:rsidP="00207571">
            <w:pPr>
              <w:pStyle w:val="TableText0"/>
              <w:rPr>
                <w:rFonts w:eastAsiaTheme="minorHAnsi"/>
                <w:lang w:val="en-GB"/>
              </w:rPr>
            </w:pPr>
            <w:r w:rsidRPr="003971BA">
              <w:t>Omalizumab 75mg/0.5mL</w:t>
            </w:r>
          </w:p>
        </w:tc>
        <w:tc>
          <w:tcPr>
            <w:tcW w:w="1134" w:type="dxa"/>
            <w:shd w:val="clear" w:color="auto" w:fill="auto"/>
          </w:tcPr>
          <w:p w14:paraId="674BAE68" w14:textId="77777777" w:rsidR="009F0ADB" w:rsidRPr="003971BA" w:rsidRDefault="009F0ADB" w:rsidP="00207571">
            <w:pPr>
              <w:pStyle w:val="TableText0"/>
              <w:rPr>
                <w:rFonts w:eastAsiaTheme="minorHAnsi"/>
                <w:lang w:val="en-GB"/>
              </w:rPr>
            </w:pPr>
            <w:r w:rsidRPr="003971BA">
              <w:t>$205.00</w:t>
            </w:r>
          </w:p>
        </w:tc>
        <w:tc>
          <w:tcPr>
            <w:tcW w:w="1134" w:type="dxa"/>
            <w:shd w:val="clear" w:color="auto" w:fill="auto"/>
          </w:tcPr>
          <w:p w14:paraId="5D6EB355" w14:textId="77777777" w:rsidR="009F0ADB" w:rsidRPr="00CD7F5F" w:rsidRDefault="00CD7F5F" w:rsidP="00207571">
            <w:pPr>
              <w:pStyle w:val="TableText0"/>
              <w:rPr>
                <w:rFonts w:eastAsiaTheme="minorHAnsi"/>
                <w:highlight w:val="black"/>
                <w:lang w:val="en-GB"/>
              </w:rPr>
            </w:pPr>
            <w:r>
              <w:rPr>
                <w:noProof/>
                <w:color w:val="000000"/>
                <w:highlight w:val="black"/>
              </w:rPr>
              <w:t>''''''''''''''''''''</w:t>
            </w:r>
          </w:p>
        </w:tc>
        <w:tc>
          <w:tcPr>
            <w:tcW w:w="1134" w:type="dxa"/>
            <w:shd w:val="clear" w:color="auto" w:fill="auto"/>
          </w:tcPr>
          <w:p w14:paraId="7AE29EC3" w14:textId="77777777" w:rsidR="009F0ADB" w:rsidRPr="003971BA" w:rsidRDefault="009F0ADB" w:rsidP="00207571">
            <w:pPr>
              <w:pStyle w:val="TableText0"/>
              <w:rPr>
                <w:rFonts w:eastAsiaTheme="minorHAnsi"/>
                <w:lang w:val="en-GB"/>
              </w:rPr>
            </w:pPr>
            <w:r w:rsidRPr="003971BA">
              <w:t>$205.00</w:t>
            </w:r>
          </w:p>
        </w:tc>
        <w:tc>
          <w:tcPr>
            <w:tcW w:w="1099" w:type="dxa"/>
            <w:shd w:val="clear" w:color="auto" w:fill="auto"/>
          </w:tcPr>
          <w:p w14:paraId="62F1ABB4" w14:textId="77777777" w:rsidR="009F0ADB" w:rsidRPr="00CD7F5F" w:rsidRDefault="00CD7F5F" w:rsidP="00207571">
            <w:pPr>
              <w:pStyle w:val="TableText0"/>
              <w:rPr>
                <w:rFonts w:eastAsiaTheme="minorHAnsi"/>
                <w:highlight w:val="black"/>
                <w:lang w:val="en-GB"/>
              </w:rPr>
            </w:pPr>
            <w:r>
              <w:rPr>
                <w:noProof/>
                <w:color w:val="000000"/>
                <w:highlight w:val="black"/>
              </w:rPr>
              <w:t>''''''''''''''''''</w:t>
            </w:r>
          </w:p>
        </w:tc>
      </w:tr>
      <w:tr w:rsidR="009F0ADB" w:rsidRPr="003971BA" w14:paraId="6AF454FE" w14:textId="77777777" w:rsidTr="00207571">
        <w:tc>
          <w:tcPr>
            <w:tcW w:w="4106" w:type="dxa"/>
            <w:shd w:val="clear" w:color="auto" w:fill="auto"/>
          </w:tcPr>
          <w:p w14:paraId="14A67309" w14:textId="77777777" w:rsidR="009F0ADB" w:rsidRPr="003971BA" w:rsidRDefault="009F0ADB" w:rsidP="00207571">
            <w:pPr>
              <w:pStyle w:val="TableText0"/>
              <w:rPr>
                <w:rFonts w:eastAsiaTheme="minorHAnsi"/>
                <w:lang w:val="en-GB"/>
              </w:rPr>
            </w:pPr>
            <w:r w:rsidRPr="003971BA">
              <w:t>Omalizumab 150mg/mL</w:t>
            </w:r>
          </w:p>
        </w:tc>
        <w:tc>
          <w:tcPr>
            <w:tcW w:w="1134" w:type="dxa"/>
            <w:shd w:val="clear" w:color="auto" w:fill="auto"/>
          </w:tcPr>
          <w:p w14:paraId="5097E13B" w14:textId="77777777" w:rsidR="009F0ADB" w:rsidRPr="003971BA" w:rsidRDefault="009F0ADB" w:rsidP="00207571">
            <w:pPr>
              <w:pStyle w:val="TableText0"/>
              <w:rPr>
                <w:rFonts w:eastAsiaTheme="minorHAnsi"/>
                <w:lang w:val="en-GB"/>
              </w:rPr>
            </w:pPr>
            <w:r w:rsidRPr="003971BA">
              <w:t>$410.00</w:t>
            </w:r>
          </w:p>
        </w:tc>
        <w:tc>
          <w:tcPr>
            <w:tcW w:w="1134" w:type="dxa"/>
            <w:shd w:val="clear" w:color="auto" w:fill="auto"/>
          </w:tcPr>
          <w:p w14:paraId="6DA880C7" w14:textId="77777777" w:rsidR="009F0ADB" w:rsidRPr="00CD7F5F" w:rsidRDefault="00CD7F5F" w:rsidP="00207571">
            <w:pPr>
              <w:pStyle w:val="TableText0"/>
              <w:rPr>
                <w:rFonts w:eastAsiaTheme="minorHAnsi"/>
                <w:highlight w:val="black"/>
                <w:lang w:val="en-GB"/>
              </w:rPr>
            </w:pPr>
            <w:r>
              <w:rPr>
                <w:noProof/>
                <w:color w:val="000000"/>
                <w:highlight w:val="black"/>
              </w:rPr>
              <w:t>'''''''''''''''''</w:t>
            </w:r>
          </w:p>
        </w:tc>
        <w:tc>
          <w:tcPr>
            <w:tcW w:w="1134" w:type="dxa"/>
            <w:shd w:val="clear" w:color="auto" w:fill="auto"/>
          </w:tcPr>
          <w:p w14:paraId="74614528" w14:textId="77777777" w:rsidR="009F0ADB" w:rsidRPr="003971BA" w:rsidRDefault="009F0ADB" w:rsidP="00207571">
            <w:pPr>
              <w:pStyle w:val="TableText0"/>
              <w:rPr>
                <w:rFonts w:eastAsiaTheme="minorHAnsi"/>
                <w:lang w:val="en-GB"/>
              </w:rPr>
            </w:pPr>
            <w:r w:rsidRPr="003971BA">
              <w:t>$410.00</w:t>
            </w:r>
          </w:p>
        </w:tc>
        <w:tc>
          <w:tcPr>
            <w:tcW w:w="1099" w:type="dxa"/>
            <w:shd w:val="clear" w:color="auto" w:fill="auto"/>
          </w:tcPr>
          <w:p w14:paraId="52A6FAE7" w14:textId="77777777" w:rsidR="009F0ADB" w:rsidRPr="00CD7F5F" w:rsidRDefault="00CD7F5F" w:rsidP="00207571">
            <w:pPr>
              <w:pStyle w:val="TableText0"/>
              <w:rPr>
                <w:rFonts w:eastAsiaTheme="minorHAnsi"/>
                <w:highlight w:val="black"/>
                <w:lang w:val="en-GB"/>
              </w:rPr>
            </w:pPr>
            <w:r>
              <w:rPr>
                <w:noProof/>
                <w:color w:val="000000"/>
                <w:highlight w:val="black"/>
              </w:rPr>
              <w:t>''''''''''''''''''</w:t>
            </w:r>
          </w:p>
        </w:tc>
      </w:tr>
      <w:tr w:rsidR="009F0ADB" w:rsidRPr="003971BA" w14:paraId="218E735D" w14:textId="77777777" w:rsidTr="00207571">
        <w:tc>
          <w:tcPr>
            <w:tcW w:w="4106" w:type="dxa"/>
            <w:shd w:val="clear" w:color="auto" w:fill="auto"/>
          </w:tcPr>
          <w:p w14:paraId="3A6D95C0" w14:textId="77777777" w:rsidR="009F0ADB" w:rsidRPr="003971BA" w:rsidRDefault="009F0ADB" w:rsidP="00207571">
            <w:pPr>
              <w:pStyle w:val="TableText0"/>
              <w:rPr>
                <w:rFonts w:eastAsiaTheme="minorHAnsi"/>
                <w:lang w:val="en-GB"/>
              </w:rPr>
            </w:pPr>
            <w:r w:rsidRPr="003971BA">
              <w:t>Omalizumab 75mg/0.5mL x 1 and 150mg/mL x 1</w:t>
            </w:r>
          </w:p>
        </w:tc>
        <w:tc>
          <w:tcPr>
            <w:tcW w:w="1134" w:type="dxa"/>
            <w:shd w:val="clear" w:color="auto" w:fill="auto"/>
          </w:tcPr>
          <w:p w14:paraId="1916BBCC" w14:textId="77777777" w:rsidR="009F0ADB" w:rsidRPr="003971BA" w:rsidRDefault="009F0ADB" w:rsidP="00207571">
            <w:pPr>
              <w:pStyle w:val="TableText0"/>
              <w:rPr>
                <w:rFonts w:eastAsiaTheme="minorHAnsi"/>
                <w:lang w:val="en-GB"/>
              </w:rPr>
            </w:pPr>
            <w:r w:rsidRPr="003971BA">
              <w:t>$615.00</w:t>
            </w:r>
          </w:p>
        </w:tc>
        <w:tc>
          <w:tcPr>
            <w:tcW w:w="1134" w:type="dxa"/>
            <w:shd w:val="clear" w:color="auto" w:fill="auto"/>
          </w:tcPr>
          <w:p w14:paraId="182F3ACF" w14:textId="77777777" w:rsidR="009F0ADB" w:rsidRPr="00CD7F5F" w:rsidRDefault="00CD7F5F" w:rsidP="00207571">
            <w:pPr>
              <w:pStyle w:val="TableText0"/>
              <w:rPr>
                <w:rFonts w:eastAsiaTheme="minorHAnsi"/>
                <w:highlight w:val="black"/>
                <w:lang w:val="en-GB"/>
              </w:rPr>
            </w:pPr>
            <w:r>
              <w:rPr>
                <w:noProof/>
                <w:color w:val="000000"/>
                <w:highlight w:val="black"/>
              </w:rPr>
              <w:t>'''''''''''''''''''</w:t>
            </w:r>
          </w:p>
        </w:tc>
        <w:tc>
          <w:tcPr>
            <w:tcW w:w="1134" w:type="dxa"/>
            <w:shd w:val="clear" w:color="auto" w:fill="auto"/>
          </w:tcPr>
          <w:p w14:paraId="66EFC56E" w14:textId="77777777" w:rsidR="009F0ADB" w:rsidRPr="003971BA" w:rsidRDefault="009F0ADB" w:rsidP="00207571">
            <w:pPr>
              <w:pStyle w:val="TableText0"/>
              <w:rPr>
                <w:rFonts w:eastAsiaTheme="minorHAnsi"/>
                <w:lang w:val="en-GB"/>
              </w:rPr>
            </w:pPr>
            <w:r w:rsidRPr="003971BA">
              <w:t>$615.00</w:t>
            </w:r>
          </w:p>
        </w:tc>
        <w:tc>
          <w:tcPr>
            <w:tcW w:w="1099" w:type="dxa"/>
            <w:shd w:val="clear" w:color="auto" w:fill="auto"/>
          </w:tcPr>
          <w:p w14:paraId="1775E993" w14:textId="77777777" w:rsidR="009F0ADB" w:rsidRPr="00CD7F5F" w:rsidRDefault="00CD7F5F" w:rsidP="00207571">
            <w:pPr>
              <w:pStyle w:val="TableText0"/>
              <w:rPr>
                <w:rFonts w:eastAsiaTheme="minorHAnsi"/>
                <w:highlight w:val="black"/>
                <w:lang w:val="en-GB"/>
              </w:rPr>
            </w:pPr>
            <w:r>
              <w:rPr>
                <w:noProof/>
                <w:color w:val="000000"/>
                <w:highlight w:val="black"/>
              </w:rPr>
              <w:t>''''''''''''''''''''</w:t>
            </w:r>
          </w:p>
        </w:tc>
      </w:tr>
      <w:tr w:rsidR="009F0ADB" w:rsidRPr="003971BA" w14:paraId="40E5AD95" w14:textId="77777777" w:rsidTr="00207571">
        <w:tc>
          <w:tcPr>
            <w:tcW w:w="4106" w:type="dxa"/>
            <w:shd w:val="clear" w:color="auto" w:fill="auto"/>
          </w:tcPr>
          <w:p w14:paraId="70EC6AC8" w14:textId="77777777" w:rsidR="009F0ADB" w:rsidRPr="003971BA" w:rsidRDefault="009F0ADB" w:rsidP="00207571">
            <w:pPr>
              <w:pStyle w:val="TableText0"/>
              <w:rPr>
                <w:rFonts w:eastAsiaTheme="minorHAnsi"/>
                <w:lang w:val="en-GB"/>
              </w:rPr>
            </w:pPr>
            <w:r w:rsidRPr="003971BA">
              <w:t>Omalizumab 75mg/0.5mL x 1 and 150mg/mL x 2</w:t>
            </w:r>
          </w:p>
        </w:tc>
        <w:tc>
          <w:tcPr>
            <w:tcW w:w="1134" w:type="dxa"/>
            <w:shd w:val="clear" w:color="auto" w:fill="auto"/>
          </w:tcPr>
          <w:p w14:paraId="38C97D1B" w14:textId="77777777" w:rsidR="009F0ADB" w:rsidRPr="003971BA" w:rsidRDefault="009F0ADB" w:rsidP="00207571">
            <w:pPr>
              <w:pStyle w:val="TableText0"/>
              <w:rPr>
                <w:rFonts w:eastAsiaTheme="minorHAnsi"/>
                <w:lang w:val="en-GB"/>
              </w:rPr>
            </w:pPr>
            <w:r w:rsidRPr="003971BA">
              <w:t>$1,025.00</w:t>
            </w:r>
          </w:p>
        </w:tc>
        <w:tc>
          <w:tcPr>
            <w:tcW w:w="1134" w:type="dxa"/>
            <w:shd w:val="clear" w:color="auto" w:fill="auto"/>
          </w:tcPr>
          <w:p w14:paraId="24D157CA" w14:textId="77777777" w:rsidR="009F0ADB" w:rsidRPr="00CD7F5F" w:rsidRDefault="00CD7F5F" w:rsidP="00207571">
            <w:pPr>
              <w:pStyle w:val="TableText0"/>
              <w:rPr>
                <w:rFonts w:eastAsiaTheme="minorHAnsi"/>
                <w:highlight w:val="black"/>
                <w:lang w:val="en-GB"/>
              </w:rPr>
            </w:pPr>
            <w:r>
              <w:rPr>
                <w:noProof/>
                <w:color w:val="000000"/>
                <w:highlight w:val="black"/>
              </w:rPr>
              <w:t>''''''''''''''''''</w:t>
            </w:r>
          </w:p>
        </w:tc>
        <w:tc>
          <w:tcPr>
            <w:tcW w:w="1134" w:type="dxa"/>
            <w:shd w:val="clear" w:color="auto" w:fill="auto"/>
          </w:tcPr>
          <w:p w14:paraId="0E21B834" w14:textId="77777777" w:rsidR="009F0ADB" w:rsidRPr="003971BA" w:rsidRDefault="009F0ADB" w:rsidP="00207571">
            <w:pPr>
              <w:pStyle w:val="TableText0"/>
              <w:rPr>
                <w:rFonts w:eastAsiaTheme="minorHAnsi"/>
                <w:lang w:val="en-GB"/>
              </w:rPr>
            </w:pPr>
            <w:r w:rsidRPr="003971BA">
              <w:t>$1,025.00</w:t>
            </w:r>
          </w:p>
        </w:tc>
        <w:tc>
          <w:tcPr>
            <w:tcW w:w="1099" w:type="dxa"/>
            <w:shd w:val="clear" w:color="auto" w:fill="auto"/>
          </w:tcPr>
          <w:p w14:paraId="3EA451DF" w14:textId="77777777" w:rsidR="009F0ADB" w:rsidRPr="00CD7F5F" w:rsidRDefault="00CD7F5F" w:rsidP="00207571">
            <w:pPr>
              <w:pStyle w:val="TableText0"/>
              <w:rPr>
                <w:rFonts w:eastAsiaTheme="minorHAnsi"/>
                <w:highlight w:val="black"/>
                <w:lang w:val="en-GB"/>
              </w:rPr>
            </w:pPr>
            <w:r>
              <w:rPr>
                <w:noProof/>
                <w:color w:val="000000"/>
                <w:highlight w:val="black"/>
              </w:rPr>
              <w:t>'''''''''''''''''''</w:t>
            </w:r>
          </w:p>
        </w:tc>
      </w:tr>
    </w:tbl>
    <w:p w14:paraId="4640F13D" w14:textId="77777777" w:rsidR="009F0ADB" w:rsidRPr="003971BA" w:rsidRDefault="009F0ADB" w:rsidP="009F0ADB">
      <w:pPr>
        <w:pStyle w:val="TableFigureFooter"/>
        <w:rPr>
          <w:lang w:val="en-GB"/>
        </w:rPr>
      </w:pPr>
      <w:r w:rsidRPr="003971BA">
        <w:t>Source: p17, Table 5 of the main submission</w:t>
      </w:r>
    </w:p>
    <w:p w14:paraId="44738F45" w14:textId="77777777" w:rsidR="009F0ADB" w:rsidRPr="00B3002D" w:rsidRDefault="009F0ADB" w:rsidP="00533CB3">
      <w:pPr>
        <w:pStyle w:val="3-BodyText"/>
      </w:pPr>
      <w:r w:rsidRPr="007836C0">
        <w:rPr>
          <w:lang w:val="en-GB"/>
        </w:rPr>
        <w:t>The submission proposed that the published price of omalizumab 75 mg</w:t>
      </w:r>
      <w:r w:rsidR="00870CE6" w:rsidRPr="007836C0">
        <w:rPr>
          <w:lang w:val="en-GB"/>
        </w:rPr>
        <w:t xml:space="preserve"> PFS </w:t>
      </w:r>
      <w:r w:rsidRPr="007836C0">
        <w:rPr>
          <w:lang w:val="en-GB"/>
        </w:rPr>
        <w:t>should stay the same so that it remains proportional to the cost of the 150</w:t>
      </w:r>
      <w:r w:rsidR="00870CE6" w:rsidRPr="007836C0">
        <w:rPr>
          <w:lang w:val="en-GB"/>
        </w:rPr>
        <w:t xml:space="preserve"> mg PFS</w:t>
      </w:r>
      <w:r w:rsidRPr="007836C0">
        <w:rPr>
          <w:lang w:val="en-GB"/>
        </w:rPr>
        <w:t xml:space="preserve">, and that </w:t>
      </w:r>
      <w:r w:rsidRPr="007836C0">
        <w:rPr>
          <w:lang w:val="en-GB"/>
        </w:rPr>
        <w:lastRenderedPageBreak/>
        <w:t xml:space="preserve">the discount should apply to the effective price only. </w:t>
      </w:r>
      <w:r w:rsidR="00AF34DA" w:rsidRPr="007836C0">
        <w:rPr>
          <w:lang w:val="en-GB"/>
        </w:rPr>
        <w:t>The sponsor proposed a</w:t>
      </w:r>
      <w:r w:rsidRPr="007836C0">
        <w:rPr>
          <w:lang w:val="en-GB"/>
        </w:rPr>
        <w:t>n adjustment to the rebate percentage applicable to the 75</w:t>
      </w:r>
      <w:r w:rsidR="00AF34DA" w:rsidRPr="007836C0">
        <w:rPr>
          <w:lang w:val="en-GB"/>
        </w:rPr>
        <w:t> </w:t>
      </w:r>
      <w:r w:rsidRPr="007836C0">
        <w:rPr>
          <w:lang w:val="en-GB"/>
        </w:rPr>
        <w:t>mg</w:t>
      </w:r>
      <w:r w:rsidR="00870CE6" w:rsidRPr="007836C0">
        <w:rPr>
          <w:lang w:val="en-GB"/>
        </w:rPr>
        <w:t xml:space="preserve"> PFS </w:t>
      </w:r>
      <w:r w:rsidRPr="007836C0">
        <w:rPr>
          <w:lang w:val="en-GB"/>
        </w:rPr>
        <w:t>under the Special Pricing Arrangement, noting that the price offered would apply to all 75</w:t>
      </w:r>
      <w:r w:rsidR="00870CE6" w:rsidRPr="007836C0">
        <w:rPr>
          <w:lang w:val="en-GB"/>
        </w:rPr>
        <w:t xml:space="preserve"> mg</w:t>
      </w:r>
      <w:r w:rsidRPr="007836C0">
        <w:rPr>
          <w:lang w:val="en-GB"/>
        </w:rPr>
        <w:t xml:space="preserve"> </w:t>
      </w:r>
      <w:r w:rsidR="00870CE6" w:rsidRPr="007836C0">
        <w:rPr>
          <w:lang w:val="en-GB"/>
        </w:rPr>
        <w:t xml:space="preserve">PFS </w:t>
      </w:r>
      <w:r w:rsidRPr="007836C0">
        <w:rPr>
          <w:lang w:val="en-GB"/>
        </w:rPr>
        <w:t>scripts in the future, irrespective of whether another strength is prescribed.</w:t>
      </w:r>
    </w:p>
    <w:p w14:paraId="204C294D" w14:textId="77777777" w:rsidR="00827B4D" w:rsidRPr="00D70349" w:rsidRDefault="00827B4D" w:rsidP="00502338">
      <w:pPr>
        <w:pStyle w:val="4-SubsectionHeading"/>
        <w:rPr>
          <w:lang w:eastAsia="en-US"/>
        </w:rPr>
      </w:pPr>
      <w:r>
        <w:rPr>
          <w:lang w:eastAsia="en-US"/>
        </w:rPr>
        <w:t>Quality Use of Medicines</w:t>
      </w:r>
    </w:p>
    <w:p w14:paraId="24D943A5" w14:textId="13A2D728" w:rsidR="00827B4D" w:rsidRDefault="00827B4D" w:rsidP="00827B4D">
      <w:pPr>
        <w:pStyle w:val="3-BodyText"/>
      </w:pPr>
      <w:r>
        <w:t xml:space="preserve">The submission noted Section 4.7.1 of the PBAC Guidelines, Activities to Support the QUM, which encourages sponsors to “identify and discuss possible risks to achieving QUM, and offer solutions to mitigate the possibility of inappropriate or potentially harmful use of the proposed medicine”. The submission provided a letter from an international respiratory expert to support its claim </w:t>
      </w:r>
      <w:r w:rsidR="00612AE2">
        <w:t>of</w:t>
      </w:r>
      <w:r>
        <w:t xml:space="preserve"> </w:t>
      </w:r>
      <w:r w:rsidR="00F37FCE">
        <w:t>QUM</w:t>
      </w:r>
      <w:r>
        <w:t xml:space="preserve"> </w:t>
      </w:r>
      <w:r w:rsidR="00612AE2">
        <w:t xml:space="preserve">issues </w:t>
      </w:r>
      <w:r>
        <w:t xml:space="preserve">as a result of the </w:t>
      </w:r>
      <w:r w:rsidR="00F56E57">
        <w:t xml:space="preserve">different </w:t>
      </w:r>
      <w:r>
        <w:t>co-payments</w:t>
      </w:r>
      <w:r w:rsidR="00F56E57">
        <w:t xml:space="preserve"> required for different total dosage</w:t>
      </w:r>
      <w:r w:rsidR="00F37FCE">
        <w:t>s</w:t>
      </w:r>
      <w:r>
        <w:t xml:space="preserve">. </w:t>
      </w:r>
    </w:p>
    <w:p w14:paraId="3E04CE29" w14:textId="77777777" w:rsidR="00827B4D" w:rsidRDefault="00827B4D" w:rsidP="00827B4D">
      <w:pPr>
        <w:pStyle w:val="3-BodyText"/>
      </w:pPr>
      <w:r>
        <w:t xml:space="preserve">The submission claimed that patients who require a monthly dose of 225 mg, 375 mg, 450 </w:t>
      </w:r>
      <w:r w:rsidR="00612AE2">
        <w:t>mg,</w:t>
      </w:r>
      <w:r>
        <w:t xml:space="preserve"> or 750 mg having to pay two co-payments to achieve a fortnightly or 4-weekly dose made up of multiple strengths reflects a QUM concern. </w:t>
      </w:r>
      <w:r w:rsidRPr="00B26127">
        <w:t xml:space="preserve">The submission considered that requiring </w:t>
      </w:r>
      <w:r>
        <w:t>patients</w:t>
      </w:r>
      <w:r w:rsidRPr="00B26127">
        <w:t xml:space="preserve"> to pay more than one patient co-payment per month for omalizumab compromises two of the four central objectives of the Australian National Medicines Policy (NMP)</w:t>
      </w:r>
      <w:r>
        <w:t xml:space="preserve"> 2000</w:t>
      </w:r>
      <w:r w:rsidRPr="00B26127">
        <w:t>, namely:</w:t>
      </w:r>
    </w:p>
    <w:p w14:paraId="5965BDBB" w14:textId="77777777" w:rsidR="00827B4D" w:rsidRDefault="00827B4D" w:rsidP="003F5916">
      <w:pPr>
        <w:pStyle w:val="Bulletpoints"/>
        <w:numPr>
          <w:ilvl w:val="0"/>
          <w:numId w:val="7"/>
        </w:numPr>
      </w:pPr>
      <w:r w:rsidRPr="00B26127">
        <w:t>“timely access to the medicines that Australians need, at a cost individuals and the community can afford”</w:t>
      </w:r>
    </w:p>
    <w:p w14:paraId="2F2C89AC" w14:textId="77777777" w:rsidR="00827B4D" w:rsidRPr="00AC0CDC" w:rsidRDefault="00827B4D" w:rsidP="003F5916">
      <w:pPr>
        <w:pStyle w:val="Bulletpoints"/>
        <w:numPr>
          <w:ilvl w:val="0"/>
          <w:numId w:val="7"/>
        </w:numPr>
      </w:pPr>
      <w:r w:rsidRPr="00B26127">
        <w:t>“quality use of medicines”.</w:t>
      </w:r>
      <w:r w:rsidRPr="00B26127">
        <w:rPr>
          <w:i/>
          <w:iCs/>
        </w:rPr>
        <w:t xml:space="preserve"> </w:t>
      </w:r>
    </w:p>
    <w:p w14:paraId="5AAA640C" w14:textId="77777777" w:rsidR="00827B4D" w:rsidRDefault="00827B4D" w:rsidP="00827B4D">
      <w:pPr>
        <w:pStyle w:val="3-BodyText"/>
      </w:pPr>
      <w:r>
        <w:t>The submission claimed that there is evidence of prescribers attempting to prevent patients from paying additional co-payments by prescribing:</w:t>
      </w:r>
    </w:p>
    <w:p w14:paraId="55CD1506" w14:textId="77777777" w:rsidR="00827B4D" w:rsidRDefault="00827B4D" w:rsidP="003F5916">
      <w:pPr>
        <w:pStyle w:val="Bulletpoints"/>
        <w:numPr>
          <w:ilvl w:val="0"/>
          <w:numId w:val="7"/>
        </w:numPr>
      </w:pPr>
      <w:r>
        <w:t xml:space="preserve">multiple units, e.g. 5 units of 75 mg PFS for a 375 mg total dose </w:t>
      </w:r>
    </w:p>
    <w:p w14:paraId="37AC59E7" w14:textId="77777777" w:rsidR="00827B4D" w:rsidRDefault="00827B4D" w:rsidP="003F5916">
      <w:pPr>
        <w:pStyle w:val="Bulletpoints"/>
        <w:numPr>
          <w:ilvl w:val="0"/>
          <w:numId w:val="7"/>
        </w:numPr>
      </w:pPr>
      <w:r>
        <w:t>double the quantity of treatment in a single supply for co-payments to average one fee per month, resulting in patients being dispensed large quantities of their treatment at any one time.</w:t>
      </w:r>
    </w:p>
    <w:p w14:paraId="6A01BAC6" w14:textId="77777777" w:rsidR="00827B4D" w:rsidRDefault="00827B4D" w:rsidP="00827B4D">
      <w:pPr>
        <w:pStyle w:val="3-BodyText"/>
        <w:numPr>
          <w:ilvl w:val="0"/>
          <w:numId w:val="0"/>
        </w:numPr>
        <w:ind w:left="720"/>
      </w:pPr>
      <w:r>
        <w:t xml:space="preserve">The submission stated that such cases of multiple injections may increase a patient’s risk of injection site adverse events. </w:t>
      </w:r>
      <w:r w:rsidR="006454F3">
        <w:t xml:space="preserve">The PBAC considered that </w:t>
      </w:r>
      <w:r w:rsidR="006454F3" w:rsidRPr="00502338">
        <w:t>t</w:t>
      </w:r>
      <w:r w:rsidRPr="00502338">
        <w:t xml:space="preserve">he claim of such prescribing behaviour </w:t>
      </w:r>
      <w:r w:rsidR="006454F3" w:rsidRPr="00502338">
        <w:t xml:space="preserve">was </w:t>
      </w:r>
      <w:r w:rsidRPr="00502338">
        <w:t>not reasonably justified.</w:t>
      </w:r>
      <w:r w:rsidRPr="006454F3">
        <w:t xml:space="preserve"> </w:t>
      </w:r>
      <w:r w:rsidR="003B5978">
        <w:t xml:space="preserve">The PBAC noted that the </w:t>
      </w:r>
      <w:r w:rsidRPr="00502338">
        <w:t xml:space="preserve">100% </w:t>
      </w:r>
      <w:r w:rsidR="006454F3" w:rsidRPr="00502338">
        <w:t>analysis</w:t>
      </w:r>
      <w:r w:rsidR="003B5978">
        <w:t xml:space="preserve"> showed</w:t>
      </w:r>
      <w:r w:rsidRPr="00502338">
        <w:t xml:space="preserve"> three instances (0.017%) out of 16,709 supplies of omalizumab </w:t>
      </w:r>
      <w:r w:rsidR="003B5978">
        <w:t xml:space="preserve">in 2020 </w:t>
      </w:r>
      <w:r w:rsidRPr="00502338">
        <w:t>where multiple units of the 75 mg were prescribed to make up the total dose of a treatment where a combination of strengths could have been used. The</w:t>
      </w:r>
      <w:r w:rsidR="006454F3">
        <w:t>se</w:t>
      </w:r>
      <w:r w:rsidRPr="00502338">
        <w:t xml:space="preserve"> instances may be attributed to patients on a total dose of 75 mg per fortnight or per 4-weeks who received multiple doses at once (e.g. Regulation 24 supply).</w:t>
      </w:r>
    </w:p>
    <w:p w14:paraId="5F671F2F" w14:textId="77777777" w:rsidR="00827B4D" w:rsidRPr="006454F3" w:rsidRDefault="006454F3" w:rsidP="00827B4D">
      <w:pPr>
        <w:pStyle w:val="3-BodyText"/>
      </w:pPr>
      <w:r>
        <w:t>T</w:t>
      </w:r>
      <w:r w:rsidR="00827B4D">
        <w:t xml:space="preserve">he submission stated that there is a risk of clinicians selecting a dosage that can be dosed with a single strength of omalizumab, which may result in patients being under- or over-dosed for their </w:t>
      </w:r>
      <w:r w:rsidR="00E56B96">
        <w:t>USAA</w:t>
      </w:r>
      <w:r w:rsidR="00827B4D">
        <w:t xml:space="preserve">. </w:t>
      </w:r>
      <w:r w:rsidR="00827B4D" w:rsidRPr="00502338">
        <w:t>The</w:t>
      </w:r>
      <w:r>
        <w:t xml:space="preserve"> PBAC noted that the</w:t>
      </w:r>
      <w:r w:rsidR="00827B4D" w:rsidRPr="00640FF9">
        <w:t xml:space="preserve"> submission </w:t>
      </w:r>
      <w:r w:rsidR="00A60ECE" w:rsidRPr="00640FF9">
        <w:t xml:space="preserve">did </w:t>
      </w:r>
      <w:r w:rsidR="00827B4D" w:rsidRPr="00640FF9">
        <w:t>not provide any evidence to substantiate this claim.</w:t>
      </w:r>
    </w:p>
    <w:p w14:paraId="12244570" w14:textId="77777777" w:rsidR="00436371" w:rsidRPr="00640FF9" w:rsidRDefault="00827B4D" w:rsidP="00436371">
      <w:pPr>
        <w:pStyle w:val="3-BodyText"/>
      </w:pPr>
      <w:r>
        <w:lastRenderedPageBreak/>
        <w:t>The submission claimed that t</w:t>
      </w:r>
      <w:r w:rsidRPr="007B37F4">
        <w:t xml:space="preserve">he proposed listing of omalizumab for </w:t>
      </w:r>
      <w:r w:rsidR="00E56B96">
        <w:t>USAA</w:t>
      </w:r>
      <w:r w:rsidRPr="007B37F4">
        <w:t xml:space="preserve"> provides a pragmatic solution for all suitable patients to have equitable, </w:t>
      </w:r>
      <w:r w:rsidR="00612AE2" w:rsidRPr="007B37F4">
        <w:t>affordable,</w:t>
      </w:r>
      <w:r w:rsidRPr="007B37F4">
        <w:t xml:space="preserve"> and safe access to treatment, at no additional cost to the Commonwealth.</w:t>
      </w:r>
    </w:p>
    <w:p w14:paraId="14889ABA" w14:textId="77777777" w:rsidR="00612AE2" w:rsidRPr="0052539B" w:rsidRDefault="00612AE2" w:rsidP="00612AE2">
      <w:pPr>
        <w:pStyle w:val="TableFigureFooter"/>
        <w:ind w:firstLine="720"/>
        <w:rPr>
          <w:sz w:val="24"/>
          <w:szCs w:val="32"/>
        </w:rPr>
      </w:pPr>
      <w:r w:rsidRPr="0052539B">
        <w:rPr>
          <w:rFonts w:asciiTheme="minorHAnsi" w:hAnsiTheme="minorHAnsi"/>
          <w:i/>
          <w:sz w:val="24"/>
          <w:szCs w:val="32"/>
        </w:rPr>
        <w:t xml:space="preserve">For more detail on PBAC’s view, see section </w:t>
      </w:r>
      <w:r>
        <w:rPr>
          <w:rFonts w:asciiTheme="minorHAnsi" w:hAnsiTheme="minorHAnsi"/>
          <w:i/>
          <w:sz w:val="24"/>
          <w:szCs w:val="32"/>
        </w:rPr>
        <w:t>5</w:t>
      </w:r>
      <w:r w:rsidRPr="0052539B">
        <w:rPr>
          <w:rFonts w:asciiTheme="minorHAnsi" w:hAnsiTheme="minorHAnsi"/>
          <w:i/>
          <w:sz w:val="24"/>
          <w:szCs w:val="32"/>
        </w:rPr>
        <w:t xml:space="preserve"> PBAC outcome.</w:t>
      </w:r>
    </w:p>
    <w:p w14:paraId="57A49E85" w14:textId="77777777" w:rsidR="00436371" w:rsidRDefault="00436371" w:rsidP="00436371">
      <w:pPr>
        <w:pStyle w:val="2-SectionHeading"/>
      </w:pPr>
      <w:r>
        <w:t>PBAC Outcome</w:t>
      </w:r>
    </w:p>
    <w:p w14:paraId="6162430F" w14:textId="6924C510" w:rsidR="009A5B08" w:rsidRDefault="009A5B08" w:rsidP="00916A0C">
      <w:pPr>
        <w:pStyle w:val="3-BodyText"/>
      </w:pPr>
      <w:r>
        <w:t xml:space="preserve">The PBAC did not recommend combining the existing listings of the 75 mg and 150 mg strengths of omalizumab under the S100 (HSD Program). </w:t>
      </w:r>
      <w:r w:rsidR="00F57C90">
        <w:t>The PBAC noted that the consumer comments described the financial burden to patients who are currently paying two monthly co-payments for the treatment of USAA. The PBAC noted that the a</w:t>
      </w:r>
      <w:r w:rsidR="00080B75">
        <w:t>ffected patient groups</w:t>
      </w:r>
      <w:r w:rsidR="00F57C90">
        <w:t xml:space="preserve"> are patients </w:t>
      </w:r>
      <w:r w:rsidR="00080B75">
        <w:t xml:space="preserve">with USAA </w:t>
      </w:r>
      <w:r w:rsidR="00F57C90">
        <w:t>who require a monthly dose of 225</w:t>
      </w:r>
      <w:r w:rsidR="00531BB1">
        <w:t> </w:t>
      </w:r>
      <w:r w:rsidR="00F57C90">
        <w:t>mg, 375 mg, 450 mg, or 750 mg</w:t>
      </w:r>
      <w:r w:rsidR="00080B75">
        <w:t xml:space="preserve"> (hereafter referred to as </w:t>
      </w:r>
      <w:r w:rsidR="00C36864">
        <w:t>the “</w:t>
      </w:r>
      <w:r w:rsidR="00080B75">
        <w:t>affected patients</w:t>
      </w:r>
      <w:r w:rsidR="00C36864">
        <w:t>”</w:t>
      </w:r>
      <w:r w:rsidR="00080B75">
        <w:t>)</w:t>
      </w:r>
      <w:r w:rsidR="00F57C90">
        <w:t xml:space="preserve">. </w:t>
      </w:r>
    </w:p>
    <w:p w14:paraId="11B38220" w14:textId="77777777" w:rsidR="00080B75" w:rsidRDefault="00080B75" w:rsidP="00614633">
      <w:pPr>
        <w:pStyle w:val="3-BodyText"/>
      </w:pPr>
      <w:r>
        <w:t>The PBAC noted that omalizumab is only ARTG registered</w:t>
      </w:r>
      <w:r w:rsidRPr="00655D19">
        <w:t xml:space="preserve"> as </w:t>
      </w:r>
      <w:r>
        <w:t>individual packs of</w:t>
      </w:r>
      <w:r w:rsidRPr="00655D19">
        <w:t xml:space="preserve"> </w:t>
      </w:r>
      <w:r>
        <w:t xml:space="preserve">the </w:t>
      </w:r>
      <w:r w:rsidRPr="00655D19">
        <w:t>75</w:t>
      </w:r>
      <w:r w:rsidR="00531BB1">
        <w:t> </w:t>
      </w:r>
      <w:r w:rsidRPr="00655D19">
        <w:t xml:space="preserve">mg </w:t>
      </w:r>
      <w:r w:rsidR="00640FF9">
        <w:t>or</w:t>
      </w:r>
      <w:r>
        <w:t xml:space="preserve"> </w:t>
      </w:r>
      <w:r w:rsidRPr="00655D19">
        <w:t>150</w:t>
      </w:r>
      <w:r>
        <w:t> </w:t>
      </w:r>
      <w:r w:rsidRPr="00655D19">
        <w:t>mg</w:t>
      </w:r>
      <w:r>
        <w:t xml:space="preserve"> strengths. The PBAC considered that a solution to </w:t>
      </w:r>
      <w:r w:rsidR="00D84C9E">
        <w:t>allow affected patients to pay a single monthly co-payment instead of two monthly co-payments</w:t>
      </w:r>
      <w:r>
        <w:t xml:space="preserve"> would be that: i) the sponsor seek</w:t>
      </w:r>
      <w:r w:rsidR="00640FF9">
        <w:t>s</w:t>
      </w:r>
      <w:r>
        <w:t xml:space="preserve"> </w:t>
      </w:r>
      <w:r w:rsidR="00C36864">
        <w:t xml:space="preserve">the </w:t>
      </w:r>
      <w:r>
        <w:t xml:space="preserve">ARTG registration of a </w:t>
      </w:r>
      <w:r w:rsidR="00C61C72">
        <w:t>co-pack or other form that provides for the required doses</w:t>
      </w:r>
      <w:r>
        <w:t>; and ii) seek</w:t>
      </w:r>
      <w:r w:rsidR="00640FF9">
        <w:t>s</w:t>
      </w:r>
      <w:r>
        <w:t xml:space="preserve"> PBS listing of </w:t>
      </w:r>
      <w:r w:rsidR="00C36864">
        <w:t>this</w:t>
      </w:r>
      <w:r>
        <w:t xml:space="preserve"> product</w:t>
      </w:r>
      <w:r w:rsidR="00C61C72">
        <w:t xml:space="preserve"> or products</w:t>
      </w:r>
      <w:r>
        <w:t xml:space="preserve">. The PBAC </w:t>
      </w:r>
      <w:r w:rsidRPr="00BE3746">
        <w:t xml:space="preserve">would welcome a submission for a </w:t>
      </w:r>
      <w:r w:rsidR="00C61C72">
        <w:t>co-pack</w:t>
      </w:r>
      <w:r w:rsidRPr="00BE3746">
        <w:t xml:space="preserve"> of omalizumab 75 mg and 150 mg </w:t>
      </w:r>
      <w:r>
        <w:t>PFS</w:t>
      </w:r>
      <w:r w:rsidR="00C36864">
        <w:t>.</w:t>
      </w:r>
    </w:p>
    <w:p w14:paraId="2E93B9C7" w14:textId="77777777" w:rsidR="006454F3" w:rsidRDefault="00793E10" w:rsidP="00F4524C">
      <w:pPr>
        <w:pStyle w:val="3-BodyText"/>
      </w:pPr>
      <w:r>
        <w:t>The PBAC noted that</w:t>
      </w:r>
      <w:r w:rsidR="002C73A1">
        <w:t xml:space="preserve"> when it first recommended omalizumab, as it does with all submissions, it considered any QUM concern, including the requirement for some patients to use a combination of </w:t>
      </w:r>
      <w:r w:rsidR="00C61C72">
        <w:t xml:space="preserve">forms to achieve the required </w:t>
      </w:r>
      <w:r w:rsidR="002C73A1">
        <w:t>dose</w:t>
      </w:r>
      <w:r>
        <w:t xml:space="preserve">. The PBAC considered that the QUM concerns the submission raised in relation to prescriber practice were unsubstantiated, and further considered that the way in which omalizumab is listed at present </w:t>
      </w:r>
      <w:r w:rsidR="008B488B">
        <w:t>does</w:t>
      </w:r>
      <w:r>
        <w:t xml:space="preserve"> not contribute to any of the perceived concerns.</w:t>
      </w:r>
    </w:p>
    <w:p w14:paraId="744ACAF3" w14:textId="77777777" w:rsidR="00120763" w:rsidRDefault="00120763" w:rsidP="00F4524C">
      <w:pPr>
        <w:pStyle w:val="3-BodyText"/>
      </w:pPr>
      <w:r>
        <w:t xml:space="preserve">The PBAC noted the pre-PBAC response </w:t>
      </w:r>
      <w:r w:rsidR="00172719">
        <w:t xml:space="preserve">also </w:t>
      </w:r>
      <w:r>
        <w:t>proposed to make special arrangements under Section 100(1)(c) of the Act</w:t>
      </w:r>
      <w:r w:rsidR="00172719">
        <w:t xml:space="preserve"> to combine the multiple </w:t>
      </w:r>
      <w:r w:rsidR="00531BB1">
        <w:t>strengths</w:t>
      </w:r>
      <w:r>
        <w:t xml:space="preserve">. The PBAC did not consider such </w:t>
      </w:r>
      <w:r w:rsidR="00C36864">
        <w:t xml:space="preserve">a </w:t>
      </w:r>
      <w:r>
        <w:t>proposal reasonable given th</w:t>
      </w:r>
      <w:r w:rsidR="00C36864">
        <w:t>at th</w:t>
      </w:r>
      <w:r>
        <w:t>e sponsor</w:t>
      </w:r>
      <w:r w:rsidR="00164B5E">
        <w:t xml:space="preserve"> </w:t>
      </w:r>
      <w:r w:rsidR="00C36864">
        <w:t>is able to</w:t>
      </w:r>
      <w:r>
        <w:t xml:space="preserve"> register a combination product on the ARTG and seek PBS subsidy </w:t>
      </w:r>
      <w:r w:rsidR="00172719">
        <w:t>for</w:t>
      </w:r>
      <w:r>
        <w:t xml:space="preserve"> such </w:t>
      </w:r>
      <w:r w:rsidR="00164B5E">
        <w:t xml:space="preserve">a </w:t>
      </w:r>
      <w:r>
        <w:t>combination product.</w:t>
      </w:r>
    </w:p>
    <w:p w14:paraId="7458CD4D" w14:textId="77777777" w:rsidR="006454F3" w:rsidRDefault="00E66F25" w:rsidP="00F4524C">
      <w:pPr>
        <w:pStyle w:val="3-BodyText"/>
      </w:pPr>
      <w:r>
        <w:rPr>
          <w:rFonts w:cs="Arial"/>
          <w:bCs/>
          <w:snapToGrid w:val="0"/>
          <w:lang w:val="en-GB"/>
        </w:rPr>
        <w:t>T</w:t>
      </w:r>
      <w:r w:rsidRPr="00D8553E">
        <w:rPr>
          <w:rFonts w:cs="Arial"/>
          <w:bCs/>
          <w:snapToGrid w:val="0"/>
          <w:lang w:val="en-GB"/>
        </w:rPr>
        <w:t>he PBAC noted that this submission is eligible for an Independent Review</w:t>
      </w:r>
      <w:r w:rsidR="00916A0C">
        <w:rPr>
          <w:rFonts w:cs="Arial"/>
          <w:bCs/>
          <w:snapToGrid w:val="0"/>
          <w:lang w:val="en-GB"/>
        </w:rPr>
        <w:t>.</w:t>
      </w:r>
    </w:p>
    <w:p w14:paraId="0DC8FB16" w14:textId="77777777" w:rsidR="00436371" w:rsidRPr="00F4524C" w:rsidRDefault="00F4524C" w:rsidP="00F4524C">
      <w:pPr>
        <w:rPr>
          <w:b/>
          <w:bCs/>
        </w:rPr>
      </w:pPr>
      <w:r w:rsidRPr="00F4524C">
        <w:rPr>
          <w:b/>
          <w:bCs/>
        </w:rPr>
        <w:t>Outcome:</w:t>
      </w:r>
    </w:p>
    <w:p w14:paraId="7255350F" w14:textId="77777777" w:rsidR="00F4524C" w:rsidRDefault="00F4524C" w:rsidP="00F4524C">
      <w:r>
        <w:t>Not recommended</w:t>
      </w:r>
    </w:p>
    <w:p w14:paraId="69C1079E" w14:textId="77777777" w:rsidR="00797616" w:rsidRPr="00797616" w:rsidRDefault="00797616" w:rsidP="00797616">
      <w:pPr>
        <w:pStyle w:val="2-SectionHeading"/>
      </w:pPr>
      <w:r w:rsidRPr="00C07617">
        <w:t>Context for Decision</w:t>
      </w:r>
    </w:p>
    <w:p w14:paraId="2D4E3588" w14:textId="77777777" w:rsidR="00797616" w:rsidRPr="007129F2" w:rsidRDefault="00797616" w:rsidP="00797616">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7129F2">
        <w:rPr>
          <w:rFonts w:asciiTheme="minorHAnsi" w:hAnsiTheme="minorHAnsi" w:cs="Arial"/>
          <w:bCs/>
          <w:lang w:val="en-GB"/>
        </w:rPr>
        <w:lastRenderedPageBreak/>
        <w:t>merits of the medicine or the circumstances in which it should be made available through the PBS. The PBAC welcomes applications containing new information at any time.</w:t>
      </w:r>
    </w:p>
    <w:p w14:paraId="2C6862EC" w14:textId="77777777" w:rsidR="00797616" w:rsidRPr="00797616" w:rsidRDefault="00797616" w:rsidP="00797616">
      <w:pPr>
        <w:pStyle w:val="2-SectionHeading"/>
      </w:pPr>
      <w:r>
        <w:t>Sponsor’s Comment</w:t>
      </w:r>
    </w:p>
    <w:p w14:paraId="3BA7BA45" w14:textId="77777777" w:rsidR="00F4524C" w:rsidRDefault="00C5332C" w:rsidP="00971EA8">
      <w:pPr>
        <w:ind w:left="720"/>
      </w:pPr>
      <w:r>
        <w:t xml:space="preserve">Novartis is unable to supply a co-pack for Xolair PFS for reasons outlined in the submission, and is disappointed that the PBAC has not recommended the proposed alternative. </w:t>
      </w:r>
    </w:p>
    <w:sectPr w:rsidR="00F4524C"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0B517" w16cid:durableId="25C8A3C3"/>
  <w16cid:commentId w16cid:paraId="5634BCC9" w16cid:durableId="25C8A32B"/>
  <w16cid:commentId w16cid:paraId="03BB4C1F" w16cid:durableId="25C8A3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4CEE" w14:textId="77777777" w:rsidR="00CD7F5F" w:rsidRDefault="00CD7F5F">
      <w:r>
        <w:separator/>
      </w:r>
    </w:p>
    <w:p w14:paraId="7102FF1B" w14:textId="77777777" w:rsidR="00CD7F5F" w:rsidRDefault="00CD7F5F"/>
  </w:endnote>
  <w:endnote w:type="continuationSeparator" w:id="0">
    <w:p w14:paraId="26BB84D8" w14:textId="77777777" w:rsidR="00CD7F5F" w:rsidRDefault="00CD7F5F">
      <w:r>
        <w:continuationSeparator/>
      </w:r>
    </w:p>
    <w:p w14:paraId="02E41B27" w14:textId="77777777" w:rsidR="00CD7F5F" w:rsidRDefault="00CD7F5F"/>
  </w:endnote>
  <w:endnote w:type="continuationNotice" w:id="1">
    <w:p w14:paraId="04A5F0F2" w14:textId="77777777" w:rsidR="00CD7F5F" w:rsidRDefault="00CD7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F5A9B" w14:paraId="75333274" w14:textId="77777777" w:rsidTr="005A3173">
      <w:trPr>
        <w:trHeight w:val="151"/>
      </w:trPr>
      <w:tc>
        <w:tcPr>
          <w:tcW w:w="2250" w:type="pct"/>
          <w:tcBorders>
            <w:top w:val="nil"/>
            <w:left w:val="nil"/>
            <w:bottom w:val="single" w:sz="4" w:space="0" w:color="4F81BD"/>
            <w:right w:val="nil"/>
          </w:tcBorders>
        </w:tcPr>
        <w:p w14:paraId="1B6E600D" w14:textId="77777777" w:rsidR="00DF5A9B" w:rsidRPr="005A3173" w:rsidRDefault="00DF5A9B" w:rsidP="005A3173">
          <w:pPr>
            <w:pStyle w:val="Header"/>
            <w:spacing w:line="276" w:lineRule="auto"/>
            <w:rPr>
              <w:rFonts w:eastAsia="MS Gothic"/>
              <w:b/>
              <w:bCs/>
              <w:color w:val="4F81BD"/>
            </w:rPr>
          </w:pPr>
        </w:p>
      </w:tc>
      <w:tc>
        <w:tcPr>
          <w:tcW w:w="500" w:type="pct"/>
          <w:vMerge w:val="restart"/>
          <w:noWrap/>
          <w:vAlign w:val="center"/>
          <w:hideMark/>
        </w:tcPr>
        <w:p w14:paraId="74679388" w14:textId="77777777" w:rsidR="00DF5A9B" w:rsidRPr="005A3173" w:rsidRDefault="00DF5A9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493CD2E" w14:textId="77777777" w:rsidR="00DF5A9B" w:rsidRPr="005A3173" w:rsidRDefault="00DF5A9B" w:rsidP="005A3173">
          <w:pPr>
            <w:pStyle w:val="Header"/>
            <w:spacing w:line="276" w:lineRule="auto"/>
            <w:rPr>
              <w:rFonts w:eastAsia="MS Gothic"/>
              <w:b/>
              <w:bCs/>
              <w:color w:val="4F81BD"/>
            </w:rPr>
          </w:pPr>
        </w:p>
      </w:tc>
    </w:tr>
    <w:tr w:rsidR="00DF5A9B" w14:paraId="7472027F" w14:textId="77777777" w:rsidTr="005A3173">
      <w:trPr>
        <w:trHeight w:val="150"/>
      </w:trPr>
      <w:tc>
        <w:tcPr>
          <w:tcW w:w="2250" w:type="pct"/>
          <w:tcBorders>
            <w:top w:val="single" w:sz="4" w:space="0" w:color="4F81BD"/>
            <w:left w:val="nil"/>
            <w:bottom w:val="nil"/>
            <w:right w:val="nil"/>
          </w:tcBorders>
        </w:tcPr>
        <w:p w14:paraId="482376B0" w14:textId="77777777" w:rsidR="00DF5A9B" w:rsidRPr="005A3173" w:rsidRDefault="00DF5A9B" w:rsidP="005A3173">
          <w:pPr>
            <w:pStyle w:val="Header"/>
            <w:spacing w:line="276" w:lineRule="auto"/>
            <w:rPr>
              <w:rFonts w:eastAsia="MS Gothic"/>
              <w:b/>
              <w:bCs/>
              <w:color w:val="4F81BD"/>
            </w:rPr>
          </w:pPr>
        </w:p>
      </w:tc>
      <w:tc>
        <w:tcPr>
          <w:tcW w:w="0" w:type="auto"/>
          <w:vMerge/>
          <w:vAlign w:val="center"/>
          <w:hideMark/>
        </w:tcPr>
        <w:p w14:paraId="138D232B" w14:textId="77777777" w:rsidR="00DF5A9B" w:rsidRPr="005A3173" w:rsidRDefault="00DF5A9B" w:rsidP="005A3173">
          <w:pPr>
            <w:rPr>
              <w:color w:val="365F91"/>
              <w:sz w:val="22"/>
              <w:szCs w:val="22"/>
            </w:rPr>
          </w:pPr>
        </w:p>
      </w:tc>
      <w:tc>
        <w:tcPr>
          <w:tcW w:w="2250" w:type="pct"/>
          <w:tcBorders>
            <w:top w:val="single" w:sz="4" w:space="0" w:color="4F81BD"/>
            <w:left w:val="nil"/>
            <w:bottom w:val="nil"/>
            <w:right w:val="nil"/>
          </w:tcBorders>
        </w:tcPr>
        <w:p w14:paraId="288AEB4F" w14:textId="77777777" w:rsidR="00DF5A9B" w:rsidRPr="005A3173" w:rsidRDefault="00DF5A9B" w:rsidP="005A3173">
          <w:pPr>
            <w:pStyle w:val="Header"/>
            <w:spacing w:line="276" w:lineRule="auto"/>
            <w:rPr>
              <w:rFonts w:eastAsia="MS Gothic"/>
              <w:b/>
              <w:bCs/>
              <w:color w:val="4F81BD"/>
            </w:rPr>
          </w:pPr>
        </w:p>
      </w:tc>
    </w:tr>
  </w:tbl>
  <w:p w14:paraId="54D6C94E" w14:textId="77777777" w:rsidR="00DF5A9B" w:rsidRDefault="00DF5A9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5A940" w14:textId="77777777" w:rsidR="00DF5A9B" w:rsidRDefault="00DF5A9B">
    <w:pPr>
      <w:pStyle w:val="Footer"/>
    </w:pPr>
  </w:p>
  <w:p w14:paraId="416AD604" w14:textId="77777777" w:rsidR="00DF5A9B" w:rsidRDefault="00DF5A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360A" w14:textId="77777777" w:rsidR="00DF5A9B" w:rsidRDefault="00DF5A9B" w:rsidP="00E27234">
    <w:pPr>
      <w:pStyle w:val="PBACFooter"/>
      <w:rPr>
        <w:rFonts w:asciiTheme="minorHAnsi" w:hAnsiTheme="minorHAnsi" w:cstheme="minorHAnsi"/>
        <w:sz w:val="24"/>
      </w:rPr>
    </w:pPr>
  </w:p>
  <w:p w14:paraId="1A2E11D9" w14:textId="08ED4D37" w:rsidR="00436371" w:rsidRPr="00D429EC" w:rsidRDefault="00436371" w:rsidP="00E27234">
    <w:pPr>
      <w:pStyle w:val="PBACFooter"/>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sidR="004F6994">
      <w:rPr>
        <w:rFonts w:asciiTheme="minorHAnsi" w:hAnsiTheme="minorHAnsi" w:cstheme="minorHAnsi"/>
        <w:noProof/>
        <w:sz w:val="24"/>
      </w:rPr>
      <w:t>8</w:t>
    </w:r>
    <w:r>
      <w:rPr>
        <w:rFonts w:asciiTheme="minorHAnsi" w:hAnsiTheme="minorHAnsi" w:cstheme="minorHAnsi"/>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F5A9B" w14:paraId="7A5527B9" w14:textId="77777777" w:rsidTr="005A3173">
      <w:trPr>
        <w:trHeight w:val="151"/>
      </w:trPr>
      <w:tc>
        <w:tcPr>
          <w:tcW w:w="2250" w:type="pct"/>
          <w:tcBorders>
            <w:top w:val="nil"/>
            <w:left w:val="nil"/>
            <w:bottom w:val="single" w:sz="4" w:space="0" w:color="4F81BD"/>
            <w:right w:val="nil"/>
          </w:tcBorders>
        </w:tcPr>
        <w:p w14:paraId="1F380951" w14:textId="77777777" w:rsidR="00DF5A9B" w:rsidRPr="005A3173" w:rsidRDefault="00DF5A9B" w:rsidP="005A3173">
          <w:pPr>
            <w:pStyle w:val="Header"/>
            <w:spacing w:line="276" w:lineRule="auto"/>
            <w:rPr>
              <w:rFonts w:eastAsia="MS Gothic"/>
              <w:b/>
              <w:bCs/>
              <w:color w:val="4F81BD"/>
            </w:rPr>
          </w:pPr>
        </w:p>
      </w:tc>
      <w:tc>
        <w:tcPr>
          <w:tcW w:w="500" w:type="pct"/>
          <w:vMerge w:val="restart"/>
          <w:noWrap/>
          <w:vAlign w:val="center"/>
          <w:hideMark/>
        </w:tcPr>
        <w:p w14:paraId="43CA34ED" w14:textId="77777777" w:rsidR="00DF5A9B" w:rsidRPr="005A3173" w:rsidRDefault="00DF5A9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F5D5365" w14:textId="77777777" w:rsidR="00DF5A9B" w:rsidRPr="005A3173" w:rsidRDefault="00DF5A9B" w:rsidP="005A3173">
          <w:pPr>
            <w:pStyle w:val="Header"/>
            <w:spacing w:line="276" w:lineRule="auto"/>
            <w:rPr>
              <w:rFonts w:eastAsia="MS Gothic"/>
              <w:b/>
              <w:bCs/>
              <w:color w:val="4F81BD"/>
            </w:rPr>
          </w:pPr>
        </w:p>
      </w:tc>
    </w:tr>
    <w:tr w:rsidR="00DF5A9B" w14:paraId="05DDF92E" w14:textId="77777777" w:rsidTr="005A3173">
      <w:trPr>
        <w:trHeight w:val="150"/>
      </w:trPr>
      <w:tc>
        <w:tcPr>
          <w:tcW w:w="2250" w:type="pct"/>
          <w:tcBorders>
            <w:top w:val="single" w:sz="4" w:space="0" w:color="4F81BD"/>
            <w:left w:val="nil"/>
            <w:bottom w:val="nil"/>
            <w:right w:val="nil"/>
          </w:tcBorders>
        </w:tcPr>
        <w:p w14:paraId="2FE1E2D6" w14:textId="77777777" w:rsidR="00DF5A9B" w:rsidRPr="005A3173" w:rsidRDefault="00DF5A9B" w:rsidP="005A3173">
          <w:pPr>
            <w:pStyle w:val="Header"/>
            <w:spacing w:line="276" w:lineRule="auto"/>
            <w:rPr>
              <w:rFonts w:eastAsia="MS Gothic"/>
              <w:b/>
              <w:bCs/>
              <w:color w:val="4F81BD"/>
            </w:rPr>
          </w:pPr>
        </w:p>
      </w:tc>
      <w:tc>
        <w:tcPr>
          <w:tcW w:w="0" w:type="auto"/>
          <w:vMerge/>
          <w:vAlign w:val="center"/>
          <w:hideMark/>
        </w:tcPr>
        <w:p w14:paraId="07C804B0" w14:textId="77777777" w:rsidR="00DF5A9B" w:rsidRPr="005A3173" w:rsidRDefault="00DF5A9B" w:rsidP="005A3173">
          <w:pPr>
            <w:rPr>
              <w:color w:val="365F91"/>
              <w:sz w:val="22"/>
              <w:szCs w:val="22"/>
            </w:rPr>
          </w:pPr>
        </w:p>
      </w:tc>
      <w:tc>
        <w:tcPr>
          <w:tcW w:w="2250" w:type="pct"/>
          <w:tcBorders>
            <w:top w:val="single" w:sz="4" w:space="0" w:color="4F81BD"/>
            <w:left w:val="nil"/>
            <w:bottom w:val="nil"/>
            <w:right w:val="nil"/>
          </w:tcBorders>
        </w:tcPr>
        <w:p w14:paraId="1F68785B" w14:textId="77777777" w:rsidR="00DF5A9B" w:rsidRPr="005A3173" w:rsidRDefault="00DF5A9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F5A9B" w14:paraId="5054A1F1" w14:textId="77777777" w:rsidTr="005A3173">
      <w:trPr>
        <w:trHeight w:val="151"/>
      </w:trPr>
      <w:tc>
        <w:tcPr>
          <w:tcW w:w="2250" w:type="pct"/>
          <w:tcBorders>
            <w:top w:val="nil"/>
            <w:left w:val="nil"/>
            <w:bottom w:val="single" w:sz="4" w:space="0" w:color="4F81BD"/>
            <w:right w:val="nil"/>
          </w:tcBorders>
        </w:tcPr>
        <w:p w14:paraId="2FACFD14" w14:textId="77777777" w:rsidR="00DF5A9B" w:rsidRPr="005A3173" w:rsidRDefault="00DF5A9B" w:rsidP="005A3173">
          <w:pPr>
            <w:pStyle w:val="Header"/>
            <w:spacing w:line="276" w:lineRule="auto"/>
            <w:rPr>
              <w:rFonts w:eastAsia="MS Gothic"/>
              <w:b/>
              <w:bCs/>
              <w:color w:val="4F81BD"/>
            </w:rPr>
          </w:pPr>
        </w:p>
      </w:tc>
      <w:tc>
        <w:tcPr>
          <w:tcW w:w="500" w:type="pct"/>
          <w:vMerge w:val="restart"/>
          <w:noWrap/>
          <w:vAlign w:val="center"/>
          <w:hideMark/>
        </w:tcPr>
        <w:p w14:paraId="1A75B7EB" w14:textId="77777777" w:rsidR="00DF5A9B" w:rsidRPr="005A3173" w:rsidRDefault="00DF5A9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11D6912" w14:textId="77777777" w:rsidR="00DF5A9B" w:rsidRPr="005A3173" w:rsidRDefault="00DF5A9B" w:rsidP="005A3173">
          <w:pPr>
            <w:pStyle w:val="Header"/>
            <w:spacing w:line="276" w:lineRule="auto"/>
            <w:rPr>
              <w:rFonts w:eastAsia="MS Gothic"/>
              <w:b/>
              <w:bCs/>
              <w:color w:val="4F81BD"/>
            </w:rPr>
          </w:pPr>
        </w:p>
      </w:tc>
    </w:tr>
    <w:tr w:rsidR="00DF5A9B" w14:paraId="6809D806" w14:textId="77777777" w:rsidTr="005A3173">
      <w:trPr>
        <w:trHeight w:val="150"/>
      </w:trPr>
      <w:tc>
        <w:tcPr>
          <w:tcW w:w="2250" w:type="pct"/>
          <w:tcBorders>
            <w:top w:val="single" w:sz="4" w:space="0" w:color="4F81BD"/>
            <w:left w:val="nil"/>
            <w:bottom w:val="nil"/>
            <w:right w:val="nil"/>
          </w:tcBorders>
        </w:tcPr>
        <w:p w14:paraId="59D5828D" w14:textId="77777777" w:rsidR="00DF5A9B" w:rsidRPr="005A3173" w:rsidRDefault="00DF5A9B" w:rsidP="005A3173">
          <w:pPr>
            <w:pStyle w:val="Header"/>
            <w:spacing w:line="276" w:lineRule="auto"/>
            <w:rPr>
              <w:rFonts w:eastAsia="MS Gothic"/>
              <w:b/>
              <w:bCs/>
              <w:color w:val="4F81BD"/>
            </w:rPr>
          </w:pPr>
        </w:p>
      </w:tc>
      <w:tc>
        <w:tcPr>
          <w:tcW w:w="0" w:type="auto"/>
          <w:vMerge/>
          <w:vAlign w:val="center"/>
          <w:hideMark/>
        </w:tcPr>
        <w:p w14:paraId="6EFE398E" w14:textId="77777777" w:rsidR="00DF5A9B" w:rsidRPr="005A3173" w:rsidRDefault="00DF5A9B" w:rsidP="005A3173">
          <w:pPr>
            <w:rPr>
              <w:color w:val="365F91"/>
              <w:sz w:val="22"/>
              <w:szCs w:val="22"/>
            </w:rPr>
          </w:pPr>
        </w:p>
      </w:tc>
      <w:tc>
        <w:tcPr>
          <w:tcW w:w="2250" w:type="pct"/>
          <w:tcBorders>
            <w:top w:val="single" w:sz="4" w:space="0" w:color="4F81BD"/>
            <w:left w:val="nil"/>
            <w:bottom w:val="nil"/>
            <w:right w:val="nil"/>
          </w:tcBorders>
        </w:tcPr>
        <w:p w14:paraId="29F2F0BA" w14:textId="77777777" w:rsidR="00DF5A9B" w:rsidRPr="005A3173" w:rsidRDefault="00DF5A9B" w:rsidP="005A3173">
          <w:pPr>
            <w:pStyle w:val="Header"/>
            <w:spacing w:line="276" w:lineRule="auto"/>
            <w:rPr>
              <w:rFonts w:eastAsia="MS Gothic"/>
              <w:b/>
              <w:bCs/>
              <w:color w:val="4F81BD"/>
            </w:rPr>
          </w:pPr>
        </w:p>
      </w:tc>
    </w:tr>
  </w:tbl>
  <w:p w14:paraId="5CB150D2" w14:textId="7749DEF6" w:rsidR="00DF5A9B" w:rsidRPr="007C0F57" w:rsidRDefault="00DF5A9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4F6994">
      <w:rPr>
        <w:rStyle w:val="PageNumber"/>
        <w:noProof/>
      </w:rPr>
      <w:t>1</w:t>
    </w:r>
    <w:r>
      <w:rPr>
        <w:rStyle w:val="PageNumber"/>
      </w:rPr>
      <w:fldChar w:fldCharType="end"/>
    </w:r>
    <w:r w:rsidRPr="007C0F57">
      <w:rPr>
        <w:b/>
        <w:i/>
        <w:sz w:val="20"/>
        <w:szCs w:val="20"/>
      </w:rPr>
      <w:t>BAC Meeting</w:t>
    </w:r>
  </w:p>
  <w:p w14:paraId="19765EAF" w14:textId="77777777" w:rsidR="00DF5A9B" w:rsidRPr="007C0F57" w:rsidRDefault="00DF5A9B" w:rsidP="007C0F57">
    <w:pPr>
      <w:pStyle w:val="Footer"/>
      <w:jc w:val="center"/>
      <w:rPr>
        <w:b/>
        <w:i/>
        <w:sz w:val="20"/>
        <w:szCs w:val="20"/>
      </w:rPr>
    </w:pPr>
    <w:r w:rsidRPr="007C0F57">
      <w:rPr>
        <w:b/>
        <w:i/>
        <w:sz w:val="20"/>
        <w:szCs w:val="20"/>
      </w:rPr>
      <w:t>Commercial-in-Confidence</w:t>
    </w:r>
  </w:p>
  <w:p w14:paraId="6D1B239B" w14:textId="77777777" w:rsidR="00DF5A9B" w:rsidRDefault="00DF5A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BC69" w14:textId="77777777" w:rsidR="00CD7F5F" w:rsidRDefault="00CD7F5F">
      <w:r>
        <w:separator/>
      </w:r>
    </w:p>
    <w:p w14:paraId="1022E8F5" w14:textId="77777777" w:rsidR="00CD7F5F" w:rsidRDefault="00CD7F5F"/>
  </w:footnote>
  <w:footnote w:type="continuationSeparator" w:id="0">
    <w:p w14:paraId="58A77F90" w14:textId="77777777" w:rsidR="00CD7F5F" w:rsidRDefault="00CD7F5F">
      <w:r>
        <w:continuationSeparator/>
      </w:r>
    </w:p>
    <w:p w14:paraId="2CD5A861" w14:textId="77777777" w:rsidR="00CD7F5F" w:rsidRDefault="00CD7F5F"/>
  </w:footnote>
  <w:footnote w:type="continuationNotice" w:id="1">
    <w:p w14:paraId="4E0A899A" w14:textId="77777777" w:rsidR="00CD7F5F" w:rsidRDefault="00CD7F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F5A9B" w:rsidRPr="008E0D90" w14:paraId="49A859F7" w14:textId="77777777" w:rsidTr="00A06225">
      <w:trPr>
        <w:trHeight w:val="151"/>
      </w:trPr>
      <w:tc>
        <w:tcPr>
          <w:tcW w:w="2389" w:type="pct"/>
          <w:tcBorders>
            <w:top w:val="nil"/>
            <w:left w:val="nil"/>
            <w:bottom w:val="single" w:sz="4" w:space="0" w:color="4F81BD"/>
            <w:right w:val="nil"/>
          </w:tcBorders>
        </w:tcPr>
        <w:p w14:paraId="7961B901" w14:textId="77777777" w:rsidR="00DF5A9B" w:rsidRPr="00A06225" w:rsidRDefault="00DF5A9B">
          <w:pPr>
            <w:pStyle w:val="Header"/>
            <w:spacing w:line="276" w:lineRule="auto"/>
            <w:rPr>
              <w:rFonts w:ascii="Cambria" w:eastAsia="MS Gothic" w:hAnsi="Cambria"/>
              <w:b/>
              <w:bCs/>
              <w:color w:val="4F81BD"/>
            </w:rPr>
          </w:pPr>
        </w:p>
      </w:tc>
      <w:tc>
        <w:tcPr>
          <w:tcW w:w="333" w:type="pct"/>
          <w:vMerge w:val="restart"/>
          <w:noWrap/>
          <w:vAlign w:val="center"/>
          <w:hideMark/>
        </w:tcPr>
        <w:p w14:paraId="350353C6" w14:textId="77777777" w:rsidR="00DF5A9B" w:rsidRPr="00A06225" w:rsidRDefault="00DF5A9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BB1A8DF" w14:textId="77777777" w:rsidR="00DF5A9B" w:rsidRPr="00A06225" w:rsidRDefault="00DF5A9B">
          <w:pPr>
            <w:pStyle w:val="Header"/>
            <w:spacing w:line="276" w:lineRule="auto"/>
            <w:rPr>
              <w:rFonts w:ascii="Cambria" w:eastAsia="MS Gothic" w:hAnsi="Cambria"/>
              <w:b/>
              <w:bCs/>
              <w:color w:val="4F81BD"/>
            </w:rPr>
          </w:pPr>
        </w:p>
      </w:tc>
    </w:tr>
    <w:tr w:rsidR="00DF5A9B" w:rsidRPr="008E0D90" w14:paraId="79D9FC3F" w14:textId="77777777" w:rsidTr="00A06225">
      <w:trPr>
        <w:trHeight w:val="150"/>
      </w:trPr>
      <w:tc>
        <w:tcPr>
          <w:tcW w:w="2389" w:type="pct"/>
          <w:tcBorders>
            <w:top w:val="single" w:sz="4" w:space="0" w:color="4F81BD"/>
            <w:left w:val="nil"/>
            <w:bottom w:val="nil"/>
            <w:right w:val="nil"/>
          </w:tcBorders>
        </w:tcPr>
        <w:p w14:paraId="5A90223C" w14:textId="77777777" w:rsidR="00DF5A9B" w:rsidRPr="00A06225" w:rsidRDefault="00DF5A9B">
          <w:pPr>
            <w:pStyle w:val="Header"/>
            <w:spacing w:line="276" w:lineRule="auto"/>
            <w:rPr>
              <w:rFonts w:ascii="Cambria" w:eastAsia="MS Gothic" w:hAnsi="Cambria"/>
              <w:b/>
              <w:bCs/>
              <w:color w:val="4F81BD"/>
            </w:rPr>
          </w:pPr>
        </w:p>
      </w:tc>
      <w:tc>
        <w:tcPr>
          <w:tcW w:w="0" w:type="auto"/>
          <w:vMerge/>
          <w:vAlign w:val="center"/>
          <w:hideMark/>
        </w:tcPr>
        <w:p w14:paraId="667E38E7" w14:textId="77777777" w:rsidR="00DF5A9B" w:rsidRPr="00A06225" w:rsidRDefault="00DF5A9B">
          <w:pPr>
            <w:rPr>
              <w:rFonts w:ascii="Cambria" w:hAnsi="Cambria"/>
              <w:color w:val="4F81BD"/>
              <w:sz w:val="22"/>
              <w:szCs w:val="22"/>
            </w:rPr>
          </w:pPr>
        </w:p>
      </w:tc>
      <w:tc>
        <w:tcPr>
          <w:tcW w:w="2278" w:type="pct"/>
          <w:tcBorders>
            <w:top w:val="single" w:sz="4" w:space="0" w:color="4F81BD"/>
            <w:left w:val="nil"/>
            <w:bottom w:val="nil"/>
            <w:right w:val="nil"/>
          </w:tcBorders>
        </w:tcPr>
        <w:p w14:paraId="1359DF58" w14:textId="77777777" w:rsidR="00DF5A9B" w:rsidRPr="00A06225" w:rsidRDefault="00DF5A9B">
          <w:pPr>
            <w:pStyle w:val="Header"/>
            <w:spacing w:line="276" w:lineRule="auto"/>
            <w:rPr>
              <w:rFonts w:ascii="Cambria" w:eastAsia="MS Gothic" w:hAnsi="Cambria"/>
              <w:b/>
              <w:bCs/>
              <w:color w:val="4F81BD"/>
            </w:rPr>
          </w:pPr>
        </w:p>
      </w:tc>
    </w:tr>
  </w:tbl>
  <w:p w14:paraId="3AAEEF74" w14:textId="77777777" w:rsidR="00DF5A9B" w:rsidRDefault="00DF5A9B">
    <w:pPr>
      <w:pStyle w:val="Header"/>
    </w:pPr>
  </w:p>
  <w:p w14:paraId="642504A3" w14:textId="77777777" w:rsidR="00DF5A9B" w:rsidRDefault="00DF5A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8A09" w14:textId="77777777" w:rsidR="00436371" w:rsidRDefault="006C7BDB" w:rsidP="00436371">
    <w:pPr>
      <w:pStyle w:val="PBACFooter"/>
      <w:rPr>
        <w:rFonts w:asciiTheme="minorHAnsi" w:hAnsiTheme="minorHAnsi" w:cstheme="minorHAnsi"/>
        <w:b w:val="0"/>
        <w:bCs/>
        <w:i/>
        <w:iCs/>
        <w:sz w:val="24"/>
      </w:rPr>
    </w:pPr>
    <w:r>
      <w:rPr>
        <w:rFonts w:asciiTheme="minorHAnsi" w:hAnsiTheme="minorHAnsi" w:cstheme="minorHAnsi"/>
        <w:b w:val="0"/>
        <w:bCs/>
        <w:i/>
        <w:iCs/>
        <w:sz w:val="24"/>
      </w:rPr>
      <w:t>Public Summary Document</w:t>
    </w:r>
    <w:r w:rsidR="00436371" w:rsidRPr="00436371">
      <w:rPr>
        <w:rFonts w:asciiTheme="minorHAnsi" w:hAnsiTheme="minorHAnsi" w:cstheme="minorHAnsi"/>
        <w:b w:val="0"/>
        <w:bCs/>
        <w:i/>
        <w:iCs/>
        <w:sz w:val="24"/>
      </w:rPr>
      <w:t xml:space="preserve"> - November 2021 PBAC Meeting</w:t>
    </w:r>
  </w:p>
  <w:p w14:paraId="14586299" w14:textId="77777777" w:rsidR="00436371" w:rsidRPr="00436371" w:rsidRDefault="00436371" w:rsidP="0043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9A75" w14:textId="77777777" w:rsidR="004F6994" w:rsidRDefault="004F6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1" w15:restartNumberingAfterBreak="0">
    <w:nsid w:val="1C0346D8"/>
    <w:multiLevelType w:val="hybridMultilevel"/>
    <w:tmpl w:val="E5245AE2"/>
    <w:lvl w:ilvl="0" w:tplc="0C090001">
      <w:start w:val="1"/>
      <w:numFmt w:val="bullet"/>
      <w:lvlText w:val=""/>
      <w:lvlJc w:val="left"/>
      <w:pPr>
        <w:ind w:left="1080" w:hanging="360"/>
      </w:pPr>
      <w:rPr>
        <w:rFonts w:ascii="Symbol" w:hAnsi="Symbol" w:hint="default"/>
        <w:b w:val="0"/>
        <w:sz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0346AD7"/>
    <w:multiLevelType w:val="hybridMultilevel"/>
    <w:tmpl w:val="917CBA22"/>
    <w:lvl w:ilvl="0" w:tplc="4582EF0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E541FE"/>
    <w:multiLevelType w:val="hybridMultilevel"/>
    <w:tmpl w:val="DC1A6FA8"/>
    <w:lvl w:ilvl="0" w:tplc="0EB0CEE6">
      <w:numFmt w:val="bullet"/>
      <w:lvlText w:val="-"/>
      <w:lvlJc w:val="left"/>
      <w:pPr>
        <w:ind w:left="720" w:hanging="360"/>
      </w:pPr>
      <w:rPr>
        <w:rFonts w:ascii="Constantia" w:eastAsia="Times New Roman" w:hAnsi="Constantia" w:cs="Constantia"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9F2C86"/>
    <w:multiLevelType w:val="multilevel"/>
    <w:tmpl w:val="8528D0D0"/>
    <w:lvl w:ilvl="0">
      <w:start w:val="1"/>
      <w:numFmt w:val="decimal"/>
      <w:lvlText w:val="%1"/>
      <w:lvlJc w:val="left"/>
      <w:pPr>
        <w:ind w:left="720" w:hanging="720"/>
      </w:pPr>
      <w:rPr>
        <w:rFonts w:hint="default"/>
        <w:b/>
      </w:rPr>
    </w:lvl>
    <w:lvl w:ilvl="1">
      <w:start w:val="1"/>
      <w:numFmt w:val="upperLetter"/>
      <w:lvlText w:val="%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84D033C"/>
    <w:multiLevelType w:val="multilevel"/>
    <w:tmpl w:val="027CA46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3"/>
  </w:num>
  <w:num w:numId="6">
    <w:abstractNumId w:val="0"/>
  </w:num>
  <w:num w:numId="7">
    <w:abstractNumId w:val="1"/>
  </w:num>
  <w:num w:numId="8">
    <w:abstractNumId w:val="2"/>
  </w:num>
  <w:num w:numId="9">
    <w:abstractNumId w:val="8"/>
  </w:num>
  <w:num w:numId="10">
    <w:abstractNumId w:val="6"/>
  </w:num>
  <w:num w:numId="11">
    <w:abstractNumId w:val="5"/>
  </w:num>
  <w:num w:numId="12">
    <w:abstractNumId w:val="8"/>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10E54"/>
    <w:rsid w:val="000117B8"/>
    <w:rsid w:val="00011A59"/>
    <w:rsid w:val="00014D69"/>
    <w:rsid w:val="00016A41"/>
    <w:rsid w:val="00016B11"/>
    <w:rsid w:val="000214D1"/>
    <w:rsid w:val="0002464A"/>
    <w:rsid w:val="000257B2"/>
    <w:rsid w:val="000257BC"/>
    <w:rsid w:val="00025A04"/>
    <w:rsid w:val="0002693D"/>
    <w:rsid w:val="0003050E"/>
    <w:rsid w:val="0003106B"/>
    <w:rsid w:val="000318CC"/>
    <w:rsid w:val="000344F4"/>
    <w:rsid w:val="00034905"/>
    <w:rsid w:val="00040F31"/>
    <w:rsid w:val="000421A1"/>
    <w:rsid w:val="0004240E"/>
    <w:rsid w:val="00044EC4"/>
    <w:rsid w:val="00045E26"/>
    <w:rsid w:val="000514B5"/>
    <w:rsid w:val="0005322E"/>
    <w:rsid w:val="00054933"/>
    <w:rsid w:val="00054E2B"/>
    <w:rsid w:val="00060E64"/>
    <w:rsid w:val="00062E88"/>
    <w:rsid w:val="00064D8F"/>
    <w:rsid w:val="00064F08"/>
    <w:rsid w:val="00066193"/>
    <w:rsid w:val="00066755"/>
    <w:rsid w:val="000670BB"/>
    <w:rsid w:val="00070149"/>
    <w:rsid w:val="00071A5B"/>
    <w:rsid w:val="00072730"/>
    <w:rsid w:val="0007337F"/>
    <w:rsid w:val="00074320"/>
    <w:rsid w:val="000763D5"/>
    <w:rsid w:val="00076C38"/>
    <w:rsid w:val="00077143"/>
    <w:rsid w:val="00077DF7"/>
    <w:rsid w:val="0008050C"/>
    <w:rsid w:val="00080B75"/>
    <w:rsid w:val="00082169"/>
    <w:rsid w:val="000834BE"/>
    <w:rsid w:val="00083613"/>
    <w:rsid w:val="00083F01"/>
    <w:rsid w:val="00083FFE"/>
    <w:rsid w:val="00085873"/>
    <w:rsid w:val="00087C4C"/>
    <w:rsid w:val="000918CB"/>
    <w:rsid w:val="00091B06"/>
    <w:rsid w:val="000951C4"/>
    <w:rsid w:val="00095ADA"/>
    <w:rsid w:val="000969AD"/>
    <w:rsid w:val="000975FB"/>
    <w:rsid w:val="000A02F8"/>
    <w:rsid w:val="000A27A6"/>
    <w:rsid w:val="000A3AA2"/>
    <w:rsid w:val="000A44B2"/>
    <w:rsid w:val="000A4B20"/>
    <w:rsid w:val="000A52F6"/>
    <w:rsid w:val="000A7E8F"/>
    <w:rsid w:val="000B44C3"/>
    <w:rsid w:val="000B558D"/>
    <w:rsid w:val="000B5A89"/>
    <w:rsid w:val="000B65F6"/>
    <w:rsid w:val="000B7592"/>
    <w:rsid w:val="000B7767"/>
    <w:rsid w:val="000C1CEB"/>
    <w:rsid w:val="000C31B9"/>
    <w:rsid w:val="000C53B6"/>
    <w:rsid w:val="000C5F95"/>
    <w:rsid w:val="000C615D"/>
    <w:rsid w:val="000C6996"/>
    <w:rsid w:val="000C7C46"/>
    <w:rsid w:val="000D09E9"/>
    <w:rsid w:val="000D113F"/>
    <w:rsid w:val="000D23BA"/>
    <w:rsid w:val="000E19B7"/>
    <w:rsid w:val="000E20FC"/>
    <w:rsid w:val="000E388C"/>
    <w:rsid w:val="000E3DFB"/>
    <w:rsid w:val="000E5EA1"/>
    <w:rsid w:val="000E681E"/>
    <w:rsid w:val="000E7E52"/>
    <w:rsid w:val="000F0003"/>
    <w:rsid w:val="000F3384"/>
    <w:rsid w:val="000F4E6A"/>
    <w:rsid w:val="000F650B"/>
    <w:rsid w:val="000F7354"/>
    <w:rsid w:val="00101ABE"/>
    <w:rsid w:val="00102202"/>
    <w:rsid w:val="00102700"/>
    <w:rsid w:val="00102A78"/>
    <w:rsid w:val="00103118"/>
    <w:rsid w:val="00104227"/>
    <w:rsid w:val="00107B3B"/>
    <w:rsid w:val="001107BF"/>
    <w:rsid w:val="0011134A"/>
    <w:rsid w:val="00113649"/>
    <w:rsid w:val="00113D5C"/>
    <w:rsid w:val="001165DA"/>
    <w:rsid w:val="001206A9"/>
    <w:rsid w:val="00120763"/>
    <w:rsid w:val="00121CA2"/>
    <w:rsid w:val="00122273"/>
    <w:rsid w:val="0012417C"/>
    <w:rsid w:val="00124BF2"/>
    <w:rsid w:val="0012597F"/>
    <w:rsid w:val="0012749D"/>
    <w:rsid w:val="001306A5"/>
    <w:rsid w:val="00130918"/>
    <w:rsid w:val="00130A3A"/>
    <w:rsid w:val="001311AE"/>
    <w:rsid w:val="001329DA"/>
    <w:rsid w:val="00137180"/>
    <w:rsid w:val="00140B74"/>
    <w:rsid w:val="00140D94"/>
    <w:rsid w:val="00142118"/>
    <w:rsid w:val="00142395"/>
    <w:rsid w:val="00142714"/>
    <w:rsid w:val="00144D09"/>
    <w:rsid w:val="001452ED"/>
    <w:rsid w:val="00147D84"/>
    <w:rsid w:val="001518E6"/>
    <w:rsid w:val="00153126"/>
    <w:rsid w:val="001549C1"/>
    <w:rsid w:val="00155893"/>
    <w:rsid w:val="00155D47"/>
    <w:rsid w:val="00156C8D"/>
    <w:rsid w:val="00160F4D"/>
    <w:rsid w:val="001622DB"/>
    <w:rsid w:val="00162BDD"/>
    <w:rsid w:val="00162D4E"/>
    <w:rsid w:val="00163329"/>
    <w:rsid w:val="00164623"/>
    <w:rsid w:val="00164B5E"/>
    <w:rsid w:val="001652DE"/>
    <w:rsid w:val="0016582C"/>
    <w:rsid w:val="00165B64"/>
    <w:rsid w:val="00167C39"/>
    <w:rsid w:val="00167F57"/>
    <w:rsid w:val="001724F3"/>
    <w:rsid w:val="00172719"/>
    <w:rsid w:val="00176B9D"/>
    <w:rsid w:val="00177B38"/>
    <w:rsid w:val="00180713"/>
    <w:rsid w:val="00180720"/>
    <w:rsid w:val="00183089"/>
    <w:rsid w:val="001830CE"/>
    <w:rsid w:val="001836E3"/>
    <w:rsid w:val="00183F78"/>
    <w:rsid w:val="001856AC"/>
    <w:rsid w:val="0018643B"/>
    <w:rsid w:val="001879E1"/>
    <w:rsid w:val="001947F4"/>
    <w:rsid w:val="00196307"/>
    <w:rsid w:val="00196329"/>
    <w:rsid w:val="00197F03"/>
    <w:rsid w:val="001A0D10"/>
    <w:rsid w:val="001A14AB"/>
    <w:rsid w:val="001A33EA"/>
    <w:rsid w:val="001A3D34"/>
    <w:rsid w:val="001A4413"/>
    <w:rsid w:val="001A4C4F"/>
    <w:rsid w:val="001A5A2B"/>
    <w:rsid w:val="001A76FB"/>
    <w:rsid w:val="001B017F"/>
    <w:rsid w:val="001B0B79"/>
    <w:rsid w:val="001B10F1"/>
    <w:rsid w:val="001B17AA"/>
    <w:rsid w:val="001B2BBC"/>
    <w:rsid w:val="001B2BCD"/>
    <w:rsid w:val="001B3A40"/>
    <w:rsid w:val="001B3FFE"/>
    <w:rsid w:val="001B5129"/>
    <w:rsid w:val="001C0B4C"/>
    <w:rsid w:val="001C0EC4"/>
    <w:rsid w:val="001C1195"/>
    <w:rsid w:val="001C12A5"/>
    <w:rsid w:val="001C12AE"/>
    <w:rsid w:val="001C1E84"/>
    <w:rsid w:val="001C2E42"/>
    <w:rsid w:val="001D1F5F"/>
    <w:rsid w:val="001E06D2"/>
    <w:rsid w:val="001E17C4"/>
    <w:rsid w:val="001E189C"/>
    <w:rsid w:val="001F005B"/>
    <w:rsid w:val="001F1850"/>
    <w:rsid w:val="001F1FBF"/>
    <w:rsid w:val="001F2B80"/>
    <w:rsid w:val="001F2F1C"/>
    <w:rsid w:val="001F3189"/>
    <w:rsid w:val="001F3F3E"/>
    <w:rsid w:val="001F49AF"/>
    <w:rsid w:val="00201FB8"/>
    <w:rsid w:val="00203A47"/>
    <w:rsid w:val="00203FAC"/>
    <w:rsid w:val="00213CFB"/>
    <w:rsid w:val="00214689"/>
    <w:rsid w:val="00214FEE"/>
    <w:rsid w:val="0021553C"/>
    <w:rsid w:val="0021557B"/>
    <w:rsid w:val="00216B87"/>
    <w:rsid w:val="002174FD"/>
    <w:rsid w:val="00217BE1"/>
    <w:rsid w:val="002214B9"/>
    <w:rsid w:val="00221ABB"/>
    <w:rsid w:val="00221F3C"/>
    <w:rsid w:val="00223370"/>
    <w:rsid w:val="00223B07"/>
    <w:rsid w:val="00225E08"/>
    <w:rsid w:val="0022625C"/>
    <w:rsid w:val="00230F63"/>
    <w:rsid w:val="002334A5"/>
    <w:rsid w:val="0023397E"/>
    <w:rsid w:val="00234252"/>
    <w:rsid w:val="0023466E"/>
    <w:rsid w:val="00237AC6"/>
    <w:rsid w:val="002405D4"/>
    <w:rsid w:val="0024219C"/>
    <w:rsid w:val="00243732"/>
    <w:rsid w:val="00244139"/>
    <w:rsid w:val="00244490"/>
    <w:rsid w:val="00244CE6"/>
    <w:rsid w:val="0024585B"/>
    <w:rsid w:val="00245B9C"/>
    <w:rsid w:val="0025144B"/>
    <w:rsid w:val="00253499"/>
    <w:rsid w:val="0025408F"/>
    <w:rsid w:val="00254A73"/>
    <w:rsid w:val="00254F1F"/>
    <w:rsid w:val="002551A4"/>
    <w:rsid w:val="00257664"/>
    <w:rsid w:val="00260165"/>
    <w:rsid w:val="00260B80"/>
    <w:rsid w:val="00261B66"/>
    <w:rsid w:val="00263009"/>
    <w:rsid w:val="00265151"/>
    <w:rsid w:val="00265C2C"/>
    <w:rsid w:val="00266509"/>
    <w:rsid w:val="00271BA1"/>
    <w:rsid w:val="00273AC5"/>
    <w:rsid w:val="002762FA"/>
    <w:rsid w:val="002771CE"/>
    <w:rsid w:val="00277505"/>
    <w:rsid w:val="0028158C"/>
    <w:rsid w:val="00281AB3"/>
    <w:rsid w:val="00282018"/>
    <w:rsid w:val="002823B6"/>
    <w:rsid w:val="00285C4F"/>
    <w:rsid w:val="00290C03"/>
    <w:rsid w:val="00294274"/>
    <w:rsid w:val="0029458F"/>
    <w:rsid w:val="002A018F"/>
    <w:rsid w:val="002A0E04"/>
    <w:rsid w:val="002A104C"/>
    <w:rsid w:val="002A187C"/>
    <w:rsid w:val="002A1EF7"/>
    <w:rsid w:val="002A494D"/>
    <w:rsid w:val="002A4960"/>
    <w:rsid w:val="002A636A"/>
    <w:rsid w:val="002B019B"/>
    <w:rsid w:val="002B09EA"/>
    <w:rsid w:val="002B0AE0"/>
    <w:rsid w:val="002B0BF4"/>
    <w:rsid w:val="002B1AE6"/>
    <w:rsid w:val="002B1D51"/>
    <w:rsid w:val="002B2DE8"/>
    <w:rsid w:val="002B30F8"/>
    <w:rsid w:val="002B388A"/>
    <w:rsid w:val="002B3C1A"/>
    <w:rsid w:val="002B4E10"/>
    <w:rsid w:val="002B5596"/>
    <w:rsid w:val="002B77D7"/>
    <w:rsid w:val="002C212F"/>
    <w:rsid w:val="002C2325"/>
    <w:rsid w:val="002C2F35"/>
    <w:rsid w:val="002C6AA9"/>
    <w:rsid w:val="002C73A1"/>
    <w:rsid w:val="002C7485"/>
    <w:rsid w:val="002D2641"/>
    <w:rsid w:val="002D283A"/>
    <w:rsid w:val="002D3489"/>
    <w:rsid w:val="002D3F7A"/>
    <w:rsid w:val="002D4543"/>
    <w:rsid w:val="002E3153"/>
    <w:rsid w:val="002E4A02"/>
    <w:rsid w:val="002E5292"/>
    <w:rsid w:val="002E72CA"/>
    <w:rsid w:val="002F0F5E"/>
    <w:rsid w:val="002F1D07"/>
    <w:rsid w:val="002F34AD"/>
    <w:rsid w:val="002F600D"/>
    <w:rsid w:val="002F6F0F"/>
    <w:rsid w:val="002F7E47"/>
    <w:rsid w:val="00300AD6"/>
    <w:rsid w:val="00300B1B"/>
    <w:rsid w:val="003019D0"/>
    <w:rsid w:val="0030203A"/>
    <w:rsid w:val="00302686"/>
    <w:rsid w:val="00304732"/>
    <w:rsid w:val="003064AF"/>
    <w:rsid w:val="00307031"/>
    <w:rsid w:val="00307DC6"/>
    <w:rsid w:val="00310A8B"/>
    <w:rsid w:val="00310B68"/>
    <w:rsid w:val="003160D2"/>
    <w:rsid w:val="003173FC"/>
    <w:rsid w:val="00317C6C"/>
    <w:rsid w:val="00320928"/>
    <w:rsid w:val="00320B80"/>
    <w:rsid w:val="00320CD3"/>
    <w:rsid w:val="00326E79"/>
    <w:rsid w:val="0032748A"/>
    <w:rsid w:val="003301B1"/>
    <w:rsid w:val="00331189"/>
    <w:rsid w:val="0033263D"/>
    <w:rsid w:val="00332C44"/>
    <w:rsid w:val="00334A70"/>
    <w:rsid w:val="00334E69"/>
    <w:rsid w:val="0033518A"/>
    <w:rsid w:val="00335535"/>
    <w:rsid w:val="003367EF"/>
    <w:rsid w:val="00341AE4"/>
    <w:rsid w:val="00345F6E"/>
    <w:rsid w:val="003476EE"/>
    <w:rsid w:val="00351EA4"/>
    <w:rsid w:val="003520F2"/>
    <w:rsid w:val="0035390E"/>
    <w:rsid w:val="003541DD"/>
    <w:rsid w:val="00356E5B"/>
    <w:rsid w:val="00364895"/>
    <w:rsid w:val="003736C9"/>
    <w:rsid w:val="00383B77"/>
    <w:rsid w:val="00384988"/>
    <w:rsid w:val="003872CF"/>
    <w:rsid w:val="00393DCA"/>
    <w:rsid w:val="003957EF"/>
    <w:rsid w:val="00396A02"/>
    <w:rsid w:val="003971BA"/>
    <w:rsid w:val="0039782C"/>
    <w:rsid w:val="00397E02"/>
    <w:rsid w:val="003A13A6"/>
    <w:rsid w:val="003A2165"/>
    <w:rsid w:val="003A31F8"/>
    <w:rsid w:val="003A3AF3"/>
    <w:rsid w:val="003A5B4A"/>
    <w:rsid w:val="003A5D95"/>
    <w:rsid w:val="003A733B"/>
    <w:rsid w:val="003B0D3A"/>
    <w:rsid w:val="003B2302"/>
    <w:rsid w:val="003B23C5"/>
    <w:rsid w:val="003B2A75"/>
    <w:rsid w:val="003B3964"/>
    <w:rsid w:val="003B4170"/>
    <w:rsid w:val="003B49B2"/>
    <w:rsid w:val="003B5978"/>
    <w:rsid w:val="003B6124"/>
    <w:rsid w:val="003B6D2C"/>
    <w:rsid w:val="003B6F9B"/>
    <w:rsid w:val="003B7960"/>
    <w:rsid w:val="003B7CE7"/>
    <w:rsid w:val="003C0908"/>
    <w:rsid w:val="003C093A"/>
    <w:rsid w:val="003C18D3"/>
    <w:rsid w:val="003C1ECF"/>
    <w:rsid w:val="003C2362"/>
    <w:rsid w:val="003C2FB5"/>
    <w:rsid w:val="003C69E2"/>
    <w:rsid w:val="003C6C66"/>
    <w:rsid w:val="003C7437"/>
    <w:rsid w:val="003D08B1"/>
    <w:rsid w:val="003D0B49"/>
    <w:rsid w:val="003D20F0"/>
    <w:rsid w:val="003D24C5"/>
    <w:rsid w:val="003D4594"/>
    <w:rsid w:val="003D4AC4"/>
    <w:rsid w:val="003D63B7"/>
    <w:rsid w:val="003D6C19"/>
    <w:rsid w:val="003D74C5"/>
    <w:rsid w:val="003E1B9D"/>
    <w:rsid w:val="003E4374"/>
    <w:rsid w:val="003E468B"/>
    <w:rsid w:val="003E62BD"/>
    <w:rsid w:val="003E6B19"/>
    <w:rsid w:val="003E788B"/>
    <w:rsid w:val="003F044F"/>
    <w:rsid w:val="003F0C3A"/>
    <w:rsid w:val="003F15F0"/>
    <w:rsid w:val="003F3228"/>
    <w:rsid w:val="003F5916"/>
    <w:rsid w:val="003F5C7D"/>
    <w:rsid w:val="003F5C8C"/>
    <w:rsid w:val="003F63CE"/>
    <w:rsid w:val="003F775A"/>
    <w:rsid w:val="00400E55"/>
    <w:rsid w:val="0040128E"/>
    <w:rsid w:val="0040216B"/>
    <w:rsid w:val="00403A00"/>
    <w:rsid w:val="0040420E"/>
    <w:rsid w:val="0040590E"/>
    <w:rsid w:val="00410424"/>
    <w:rsid w:val="0041142D"/>
    <w:rsid w:val="0041170E"/>
    <w:rsid w:val="00414F0C"/>
    <w:rsid w:val="00416A5C"/>
    <w:rsid w:val="00420400"/>
    <w:rsid w:val="0042216C"/>
    <w:rsid w:val="004252EC"/>
    <w:rsid w:val="00427032"/>
    <w:rsid w:val="00430D39"/>
    <w:rsid w:val="00435922"/>
    <w:rsid w:val="00436371"/>
    <w:rsid w:val="004413C1"/>
    <w:rsid w:val="00442C91"/>
    <w:rsid w:val="004465BD"/>
    <w:rsid w:val="00446938"/>
    <w:rsid w:val="004528FA"/>
    <w:rsid w:val="00455343"/>
    <w:rsid w:val="00461A44"/>
    <w:rsid w:val="00462D26"/>
    <w:rsid w:val="0046385A"/>
    <w:rsid w:val="00463D1D"/>
    <w:rsid w:val="00464039"/>
    <w:rsid w:val="00465F14"/>
    <w:rsid w:val="00466ADA"/>
    <w:rsid w:val="004702BB"/>
    <w:rsid w:val="00472DBD"/>
    <w:rsid w:val="0047494B"/>
    <w:rsid w:val="00476245"/>
    <w:rsid w:val="00476CD8"/>
    <w:rsid w:val="00477A9B"/>
    <w:rsid w:val="00477FD6"/>
    <w:rsid w:val="00482E0D"/>
    <w:rsid w:val="00483035"/>
    <w:rsid w:val="00485940"/>
    <w:rsid w:val="00486C95"/>
    <w:rsid w:val="004877C2"/>
    <w:rsid w:val="00490197"/>
    <w:rsid w:val="004904B9"/>
    <w:rsid w:val="00496662"/>
    <w:rsid w:val="00496A76"/>
    <w:rsid w:val="004A1431"/>
    <w:rsid w:val="004A2484"/>
    <w:rsid w:val="004A5A85"/>
    <w:rsid w:val="004A71D1"/>
    <w:rsid w:val="004A7C5B"/>
    <w:rsid w:val="004B0A83"/>
    <w:rsid w:val="004B1845"/>
    <w:rsid w:val="004B2348"/>
    <w:rsid w:val="004B2E01"/>
    <w:rsid w:val="004B2E98"/>
    <w:rsid w:val="004B5640"/>
    <w:rsid w:val="004B6078"/>
    <w:rsid w:val="004B6084"/>
    <w:rsid w:val="004BCF29"/>
    <w:rsid w:val="004C0206"/>
    <w:rsid w:val="004C03D0"/>
    <w:rsid w:val="004C1BD7"/>
    <w:rsid w:val="004C20B7"/>
    <w:rsid w:val="004C239C"/>
    <w:rsid w:val="004C31FE"/>
    <w:rsid w:val="004C524C"/>
    <w:rsid w:val="004C5489"/>
    <w:rsid w:val="004C5FFA"/>
    <w:rsid w:val="004C691D"/>
    <w:rsid w:val="004C6C07"/>
    <w:rsid w:val="004C7E15"/>
    <w:rsid w:val="004D020E"/>
    <w:rsid w:val="004D2CD1"/>
    <w:rsid w:val="004D4358"/>
    <w:rsid w:val="004D4FF6"/>
    <w:rsid w:val="004D5ADD"/>
    <w:rsid w:val="004D5B55"/>
    <w:rsid w:val="004E692D"/>
    <w:rsid w:val="004E7230"/>
    <w:rsid w:val="004E7D87"/>
    <w:rsid w:val="004F2553"/>
    <w:rsid w:val="004F306A"/>
    <w:rsid w:val="004F6994"/>
    <w:rsid w:val="00501554"/>
    <w:rsid w:val="00502338"/>
    <w:rsid w:val="00502AFE"/>
    <w:rsid w:val="00502E64"/>
    <w:rsid w:val="00503AD7"/>
    <w:rsid w:val="00503E89"/>
    <w:rsid w:val="00504E0C"/>
    <w:rsid w:val="00504E13"/>
    <w:rsid w:val="005109D4"/>
    <w:rsid w:val="00514CD7"/>
    <w:rsid w:val="005167EC"/>
    <w:rsid w:val="005170DA"/>
    <w:rsid w:val="00520D6A"/>
    <w:rsid w:val="00522DB6"/>
    <w:rsid w:val="005264A7"/>
    <w:rsid w:val="0052792D"/>
    <w:rsid w:val="005319B2"/>
    <w:rsid w:val="00531BB1"/>
    <w:rsid w:val="005323FD"/>
    <w:rsid w:val="00532402"/>
    <w:rsid w:val="00532C74"/>
    <w:rsid w:val="00532FC4"/>
    <w:rsid w:val="005345D9"/>
    <w:rsid w:val="00534E2E"/>
    <w:rsid w:val="00535133"/>
    <w:rsid w:val="005402B3"/>
    <w:rsid w:val="0054064C"/>
    <w:rsid w:val="00544552"/>
    <w:rsid w:val="00545130"/>
    <w:rsid w:val="0054624A"/>
    <w:rsid w:val="00546EE2"/>
    <w:rsid w:val="0055286A"/>
    <w:rsid w:val="00555745"/>
    <w:rsid w:val="00556F5B"/>
    <w:rsid w:val="00557D4F"/>
    <w:rsid w:val="0056122E"/>
    <w:rsid w:val="0056484E"/>
    <w:rsid w:val="00567D8A"/>
    <w:rsid w:val="00570946"/>
    <w:rsid w:val="005712B3"/>
    <w:rsid w:val="005764CD"/>
    <w:rsid w:val="00577C4D"/>
    <w:rsid w:val="00580532"/>
    <w:rsid w:val="00580941"/>
    <w:rsid w:val="00580E2E"/>
    <w:rsid w:val="00581932"/>
    <w:rsid w:val="005963BB"/>
    <w:rsid w:val="005A15D2"/>
    <w:rsid w:val="005A3173"/>
    <w:rsid w:val="005A3223"/>
    <w:rsid w:val="005A3DA3"/>
    <w:rsid w:val="005A4201"/>
    <w:rsid w:val="005A52C4"/>
    <w:rsid w:val="005A63A1"/>
    <w:rsid w:val="005A6B08"/>
    <w:rsid w:val="005B1473"/>
    <w:rsid w:val="005C0BDD"/>
    <w:rsid w:val="005C4778"/>
    <w:rsid w:val="005C4E96"/>
    <w:rsid w:val="005C4F73"/>
    <w:rsid w:val="005C79D8"/>
    <w:rsid w:val="005D03AB"/>
    <w:rsid w:val="005D401D"/>
    <w:rsid w:val="005D5017"/>
    <w:rsid w:val="005D63FA"/>
    <w:rsid w:val="005D73C7"/>
    <w:rsid w:val="005D7F59"/>
    <w:rsid w:val="005E0C2D"/>
    <w:rsid w:val="005E0D82"/>
    <w:rsid w:val="005E0F59"/>
    <w:rsid w:val="005E1333"/>
    <w:rsid w:val="005E3136"/>
    <w:rsid w:val="005E507D"/>
    <w:rsid w:val="005F0AD0"/>
    <w:rsid w:val="005F26EE"/>
    <w:rsid w:val="005F6F53"/>
    <w:rsid w:val="00601A91"/>
    <w:rsid w:val="00602BA3"/>
    <w:rsid w:val="0060555B"/>
    <w:rsid w:val="00605B63"/>
    <w:rsid w:val="00605F9A"/>
    <w:rsid w:val="00606442"/>
    <w:rsid w:val="00606EED"/>
    <w:rsid w:val="00612A95"/>
    <w:rsid w:val="00612AE2"/>
    <w:rsid w:val="00612E34"/>
    <w:rsid w:val="00614159"/>
    <w:rsid w:val="00614533"/>
    <w:rsid w:val="006158A3"/>
    <w:rsid w:val="00616C5F"/>
    <w:rsid w:val="00616DAC"/>
    <w:rsid w:val="006175B7"/>
    <w:rsid w:val="00617725"/>
    <w:rsid w:val="00617C00"/>
    <w:rsid w:val="006263BF"/>
    <w:rsid w:val="0062748A"/>
    <w:rsid w:val="00630546"/>
    <w:rsid w:val="00630A2C"/>
    <w:rsid w:val="0063682E"/>
    <w:rsid w:val="00636848"/>
    <w:rsid w:val="00640088"/>
    <w:rsid w:val="00640CE8"/>
    <w:rsid w:val="00640FF9"/>
    <w:rsid w:val="00642672"/>
    <w:rsid w:val="00642C96"/>
    <w:rsid w:val="00642DA8"/>
    <w:rsid w:val="006436CD"/>
    <w:rsid w:val="00645342"/>
    <w:rsid w:val="006454F3"/>
    <w:rsid w:val="00647D4C"/>
    <w:rsid w:val="00651169"/>
    <w:rsid w:val="006536FE"/>
    <w:rsid w:val="00653D69"/>
    <w:rsid w:val="006552E6"/>
    <w:rsid w:val="006554DB"/>
    <w:rsid w:val="00655794"/>
    <w:rsid w:val="00655D19"/>
    <w:rsid w:val="00656F2F"/>
    <w:rsid w:val="00657C63"/>
    <w:rsid w:val="00661B30"/>
    <w:rsid w:val="00661CBC"/>
    <w:rsid w:val="00662429"/>
    <w:rsid w:val="00662B85"/>
    <w:rsid w:val="00665542"/>
    <w:rsid w:val="00666955"/>
    <w:rsid w:val="006670BE"/>
    <w:rsid w:val="00667266"/>
    <w:rsid w:val="00670A76"/>
    <w:rsid w:val="006711AA"/>
    <w:rsid w:val="00672B57"/>
    <w:rsid w:val="00673F1F"/>
    <w:rsid w:val="006749D5"/>
    <w:rsid w:val="00675622"/>
    <w:rsid w:val="0067747D"/>
    <w:rsid w:val="006806AB"/>
    <w:rsid w:val="006818D5"/>
    <w:rsid w:val="00681CA4"/>
    <w:rsid w:val="0068437B"/>
    <w:rsid w:val="0069009D"/>
    <w:rsid w:val="0069039D"/>
    <w:rsid w:val="006906DB"/>
    <w:rsid w:val="00690A1C"/>
    <w:rsid w:val="00691900"/>
    <w:rsid w:val="00691E6C"/>
    <w:rsid w:val="0069342D"/>
    <w:rsid w:val="00693C3B"/>
    <w:rsid w:val="00693DFB"/>
    <w:rsid w:val="00694FD5"/>
    <w:rsid w:val="0069501D"/>
    <w:rsid w:val="00696129"/>
    <w:rsid w:val="00697CF2"/>
    <w:rsid w:val="006A05D9"/>
    <w:rsid w:val="006A12A5"/>
    <w:rsid w:val="006A2515"/>
    <w:rsid w:val="006A5399"/>
    <w:rsid w:val="006A59F9"/>
    <w:rsid w:val="006A5E20"/>
    <w:rsid w:val="006A70BD"/>
    <w:rsid w:val="006B0D94"/>
    <w:rsid w:val="006B0F2D"/>
    <w:rsid w:val="006B114E"/>
    <w:rsid w:val="006B1242"/>
    <w:rsid w:val="006B485D"/>
    <w:rsid w:val="006B7F24"/>
    <w:rsid w:val="006C0C45"/>
    <w:rsid w:val="006C175C"/>
    <w:rsid w:val="006C334C"/>
    <w:rsid w:val="006C4655"/>
    <w:rsid w:val="006C6C10"/>
    <w:rsid w:val="006C708E"/>
    <w:rsid w:val="006C7359"/>
    <w:rsid w:val="006C7BDB"/>
    <w:rsid w:val="006C7FC0"/>
    <w:rsid w:val="006D14E7"/>
    <w:rsid w:val="006D4444"/>
    <w:rsid w:val="006D4969"/>
    <w:rsid w:val="006D6493"/>
    <w:rsid w:val="006D6EC7"/>
    <w:rsid w:val="006E1BCD"/>
    <w:rsid w:val="006E2732"/>
    <w:rsid w:val="006E59CD"/>
    <w:rsid w:val="006E5B44"/>
    <w:rsid w:val="006F0A71"/>
    <w:rsid w:val="006F141F"/>
    <w:rsid w:val="006F1C67"/>
    <w:rsid w:val="006F1C6B"/>
    <w:rsid w:val="006F40C2"/>
    <w:rsid w:val="006F5125"/>
    <w:rsid w:val="006F733D"/>
    <w:rsid w:val="006F7604"/>
    <w:rsid w:val="00700765"/>
    <w:rsid w:val="00702959"/>
    <w:rsid w:val="00702B6F"/>
    <w:rsid w:val="00704069"/>
    <w:rsid w:val="00706209"/>
    <w:rsid w:val="00706A2F"/>
    <w:rsid w:val="0070718E"/>
    <w:rsid w:val="00707E52"/>
    <w:rsid w:val="00710259"/>
    <w:rsid w:val="0071031F"/>
    <w:rsid w:val="0071340B"/>
    <w:rsid w:val="0071436D"/>
    <w:rsid w:val="0071484F"/>
    <w:rsid w:val="00715BBB"/>
    <w:rsid w:val="00716DB1"/>
    <w:rsid w:val="007174BB"/>
    <w:rsid w:val="0072025D"/>
    <w:rsid w:val="00721CE0"/>
    <w:rsid w:val="00723328"/>
    <w:rsid w:val="00724047"/>
    <w:rsid w:val="00724832"/>
    <w:rsid w:val="00724C42"/>
    <w:rsid w:val="0073137C"/>
    <w:rsid w:val="007340B9"/>
    <w:rsid w:val="007353D3"/>
    <w:rsid w:val="007369CB"/>
    <w:rsid w:val="007375D6"/>
    <w:rsid w:val="0074156B"/>
    <w:rsid w:val="00741619"/>
    <w:rsid w:val="00742E5E"/>
    <w:rsid w:val="00747092"/>
    <w:rsid w:val="00747254"/>
    <w:rsid w:val="00747E9D"/>
    <w:rsid w:val="00750DBB"/>
    <w:rsid w:val="0075189A"/>
    <w:rsid w:val="007526E6"/>
    <w:rsid w:val="0075478F"/>
    <w:rsid w:val="00754DF9"/>
    <w:rsid w:val="007555E8"/>
    <w:rsid w:val="00755CC5"/>
    <w:rsid w:val="00757AF8"/>
    <w:rsid w:val="00760165"/>
    <w:rsid w:val="0076117F"/>
    <w:rsid w:val="007614EC"/>
    <w:rsid w:val="0076420C"/>
    <w:rsid w:val="00764F12"/>
    <w:rsid w:val="00765BE4"/>
    <w:rsid w:val="0077038A"/>
    <w:rsid w:val="00771611"/>
    <w:rsid w:val="00771D07"/>
    <w:rsid w:val="00773BE3"/>
    <w:rsid w:val="007742B4"/>
    <w:rsid w:val="007743DD"/>
    <w:rsid w:val="00774E2C"/>
    <w:rsid w:val="0077518D"/>
    <w:rsid w:val="007753C2"/>
    <w:rsid w:val="007836C0"/>
    <w:rsid w:val="007838B8"/>
    <w:rsid w:val="007852BA"/>
    <w:rsid w:val="00787FD8"/>
    <w:rsid w:val="007915BA"/>
    <w:rsid w:val="00791844"/>
    <w:rsid w:val="007919F9"/>
    <w:rsid w:val="00792EDB"/>
    <w:rsid w:val="00793E10"/>
    <w:rsid w:val="00794C18"/>
    <w:rsid w:val="00795240"/>
    <w:rsid w:val="0079608A"/>
    <w:rsid w:val="007971AE"/>
    <w:rsid w:val="00797616"/>
    <w:rsid w:val="007979BD"/>
    <w:rsid w:val="007A6A2F"/>
    <w:rsid w:val="007B024E"/>
    <w:rsid w:val="007B18C3"/>
    <w:rsid w:val="007B25F2"/>
    <w:rsid w:val="007B3DDC"/>
    <w:rsid w:val="007B72A6"/>
    <w:rsid w:val="007B7EBF"/>
    <w:rsid w:val="007C06D2"/>
    <w:rsid w:val="007C08E0"/>
    <w:rsid w:val="007C0F57"/>
    <w:rsid w:val="007C1054"/>
    <w:rsid w:val="007C40B6"/>
    <w:rsid w:val="007C5E9A"/>
    <w:rsid w:val="007C729F"/>
    <w:rsid w:val="007D2F34"/>
    <w:rsid w:val="007D3368"/>
    <w:rsid w:val="007D503D"/>
    <w:rsid w:val="007D59E7"/>
    <w:rsid w:val="007D5F2A"/>
    <w:rsid w:val="007E0211"/>
    <w:rsid w:val="007E1D28"/>
    <w:rsid w:val="007E4733"/>
    <w:rsid w:val="007E490F"/>
    <w:rsid w:val="007F0021"/>
    <w:rsid w:val="007F2641"/>
    <w:rsid w:val="007F7C36"/>
    <w:rsid w:val="008043CE"/>
    <w:rsid w:val="008055AF"/>
    <w:rsid w:val="008057CD"/>
    <w:rsid w:val="00806796"/>
    <w:rsid w:val="00807FEB"/>
    <w:rsid w:val="00810167"/>
    <w:rsid w:val="008115B0"/>
    <w:rsid w:val="00811CC0"/>
    <w:rsid w:val="008133D3"/>
    <w:rsid w:val="00815091"/>
    <w:rsid w:val="008151D6"/>
    <w:rsid w:val="008211A0"/>
    <w:rsid w:val="00821527"/>
    <w:rsid w:val="00822696"/>
    <w:rsid w:val="00823860"/>
    <w:rsid w:val="00825A6C"/>
    <w:rsid w:val="00825EFA"/>
    <w:rsid w:val="0082617E"/>
    <w:rsid w:val="008268BB"/>
    <w:rsid w:val="00826F6D"/>
    <w:rsid w:val="00827B4D"/>
    <w:rsid w:val="008306F3"/>
    <w:rsid w:val="00830A6B"/>
    <w:rsid w:val="00830E40"/>
    <w:rsid w:val="00832977"/>
    <w:rsid w:val="00832D9A"/>
    <w:rsid w:val="00835C62"/>
    <w:rsid w:val="008368A1"/>
    <w:rsid w:val="00837598"/>
    <w:rsid w:val="00840EF7"/>
    <w:rsid w:val="00841097"/>
    <w:rsid w:val="008420FB"/>
    <w:rsid w:val="008449C2"/>
    <w:rsid w:val="00844C0A"/>
    <w:rsid w:val="00844F28"/>
    <w:rsid w:val="008458FA"/>
    <w:rsid w:val="00846056"/>
    <w:rsid w:val="0084681F"/>
    <w:rsid w:val="00846C70"/>
    <w:rsid w:val="00847EC0"/>
    <w:rsid w:val="00851CF4"/>
    <w:rsid w:val="008559B7"/>
    <w:rsid w:val="00855FD6"/>
    <w:rsid w:val="00856DDD"/>
    <w:rsid w:val="00863E68"/>
    <w:rsid w:val="008645D4"/>
    <w:rsid w:val="008647B5"/>
    <w:rsid w:val="00865587"/>
    <w:rsid w:val="0086675B"/>
    <w:rsid w:val="008667E1"/>
    <w:rsid w:val="00867D64"/>
    <w:rsid w:val="00870CE6"/>
    <w:rsid w:val="008711BA"/>
    <w:rsid w:val="00875DCB"/>
    <w:rsid w:val="00876D8F"/>
    <w:rsid w:val="00876EB6"/>
    <w:rsid w:val="0087755A"/>
    <w:rsid w:val="00880E7B"/>
    <w:rsid w:val="00881D65"/>
    <w:rsid w:val="00882085"/>
    <w:rsid w:val="00883188"/>
    <w:rsid w:val="00884A0C"/>
    <w:rsid w:val="00886ACA"/>
    <w:rsid w:val="0089031E"/>
    <w:rsid w:val="00892A80"/>
    <w:rsid w:val="0089460B"/>
    <w:rsid w:val="00897D58"/>
    <w:rsid w:val="00897F22"/>
    <w:rsid w:val="008A0B39"/>
    <w:rsid w:val="008A17A3"/>
    <w:rsid w:val="008A1956"/>
    <w:rsid w:val="008A1E85"/>
    <w:rsid w:val="008A2419"/>
    <w:rsid w:val="008A4937"/>
    <w:rsid w:val="008A50F1"/>
    <w:rsid w:val="008A59D9"/>
    <w:rsid w:val="008A643E"/>
    <w:rsid w:val="008A6819"/>
    <w:rsid w:val="008B1551"/>
    <w:rsid w:val="008B2EC0"/>
    <w:rsid w:val="008B3F94"/>
    <w:rsid w:val="008B488B"/>
    <w:rsid w:val="008B6DCF"/>
    <w:rsid w:val="008D0945"/>
    <w:rsid w:val="008D0B3C"/>
    <w:rsid w:val="008D1409"/>
    <w:rsid w:val="008D15CC"/>
    <w:rsid w:val="008D1729"/>
    <w:rsid w:val="008D1B5C"/>
    <w:rsid w:val="008D3C82"/>
    <w:rsid w:val="008D447E"/>
    <w:rsid w:val="008D6ACF"/>
    <w:rsid w:val="008D7168"/>
    <w:rsid w:val="008D7A41"/>
    <w:rsid w:val="008E048A"/>
    <w:rsid w:val="008E111F"/>
    <w:rsid w:val="008E1C2F"/>
    <w:rsid w:val="008E2C72"/>
    <w:rsid w:val="008E3680"/>
    <w:rsid w:val="008E4569"/>
    <w:rsid w:val="008E4B4E"/>
    <w:rsid w:val="008E54FF"/>
    <w:rsid w:val="008E5870"/>
    <w:rsid w:val="008E77E4"/>
    <w:rsid w:val="008F0213"/>
    <w:rsid w:val="008F07ED"/>
    <w:rsid w:val="008F11F8"/>
    <w:rsid w:val="008F1434"/>
    <w:rsid w:val="008F191F"/>
    <w:rsid w:val="008F2BB9"/>
    <w:rsid w:val="008F3D6A"/>
    <w:rsid w:val="008F54C3"/>
    <w:rsid w:val="008F7355"/>
    <w:rsid w:val="009023DC"/>
    <w:rsid w:val="009027C5"/>
    <w:rsid w:val="00902986"/>
    <w:rsid w:val="00904413"/>
    <w:rsid w:val="00905C78"/>
    <w:rsid w:val="009067B7"/>
    <w:rsid w:val="0090775A"/>
    <w:rsid w:val="00907DFD"/>
    <w:rsid w:val="009112E0"/>
    <w:rsid w:val="0091215B"/>
    <w:rsid w:val="00913C99"/>
    <w:rsid w:val="009141F9"/>
    <w:rsid w:val="00914832"/>
    <w:rsid w:val="00914AC5"/>
    <w:rsid w:val="00916A0C"/>
    <w:rsid w:val="00917D69"/>
    <w:rsid w:val="00920B6D"/>
    <w:rsid w:val="00921FCB"/>
    <w:rsid w:val="009260D4"/>
    <w:rsid w:val="00926560"/>
    <w:rsid w:val="00926B15"/>
    <w:rsid w:val="00927683"/>
    <w:rsid w:val="00930291"/>
    <w:rsid w:val="00930937"/>
    <w:rsid w:val="009324A6"/>
    <w:rsid w:val="00933E6C"/>
    <w:rsid w:val="00935A6E"/>
    <w:rsid w:val="00937958"/>
    <w:rsid w:val="009406E5"/>
    <w:rsid w:val="00941602"/>
    <w:rsid w:val="00942160"/>
    <w:rsid w:val="00942179"/>
    <w:rsid w:val="0094356F"/>
    <w:rsid w:val="00943852"/>
    <w:rsid w:val="009459EC"/>
    <w:rsid w:val="00946921"/>
    <w:rsid w:val="00947343"/>
    <w:rsid w:val="0095146F"/>
    <w:rsid w:val="009525D4"/>
    <w:rsid w:val="009534C7"/>
    <w:rsid w:val="00953958"/>
    <w:rsid w:val="00956F52"/>
    <w:rsid w:val="00957944"/>
    <w:rsid w:val="009602C5"/>
    <w:rsid w:val="00962223"/>
    <w:rsid w:val="0096252B"/>
    <w:rsid w:val="00964053"/>
    <w:rsid w:val="00964A9D"/>
    <w:rsid w:val="00964A9F"/>
    <w:rsid w:val="00966D0D"/>
    <w:rsid w:val="00967732"/>
    <w:rsid w:val="0096783C"/>
    <w:rsid w:val="009717EC"/>
    <w:rsid w:val="00971EA8"/>
    <w:rsid w:val="009722B3"/>
    <w:rsid w:val="00973E24"/>
    <w:rsid w:val="00974C21"/>
    <w:rsid w:val="00974E51"/>
    <w:rsid w:val="00975948"/>
    <w:rsid w:val="00977BF3"/>
    <w:rsid w:val="009803E4"/>
    <w:rsid w:val="00980B0E"/>
    <w:rsid w:val="0098144B"/>
    <w:rsid w:val="00982B39"/>
    <w:rsid w:val="009836A3"/>
    <w:rsid w:val="00984617"/>
    <w:rsid w:val="00984C58"/>
    <w:rsid w:val="009855A8"/>
    <w:rsid w:val="00985D1A"/>
    <w:rsid w:val="00987CC6"/>
    <w:rsid w:val="00990797"/>
    <w:rsid w:val="009913F4"/>
    <w:rsid w:val="00991782"/>
    <w:rsid w:val="009937F7"/>
    <w:rsid w:val="0099465B"/>
    <w:rsid w:val="009951A1"/>
    <w:rsid w:val="00996093"/>
    <w:rsid w:val="00997A44"/>
    <w:rsid w:val="009A0CDD"/>
    <w:rsid w:val="009A3168"/>
    <w:rsid w:val="009A4BDF"/>
    <w:rsid w:val="009A5B08"/>
    <w:rsid w:val="009A5D04"/>
    <w:rsid w:val="009A61CA"/>
    <w:rsid w:val="009A7769"/>
    <w:rsid w:val="009B0C64"/>
    <w:rsid w:val="009B0F67"/>
    <w:rsid w:val="009B2756"/>
    <w:rsid w:val="009B3D56"/>
    <w:rsid w:val="009B3F8C"/>
    <w:rsid w:val="009B533B"/>
    <w:rsid w:val="009C703C"/>
    <w:rsid w:val="009C7B65"/>
    <w:rsid w:val="009D0C29"/>
    <w:rsid w:val="009D0C2B"/>
    <w:rsid w:val="009D206E"/>
    <w:rsid w:val="009D3CAA"/>
    <w:rsid w:val="009D5056"/>
    <w:rsid w:val="009D507A"/>
    <w:rsid w:val="009D6532"/>
    <w:rsid w:val="009D71FD"/>
    <w:rsid w:val="009E10AD"/>
    <w:rsid w:val="009E1461"/>
    <w:rsid w:val="009E22D6"/>
    <w:rsid w:val="009E2588"/>
    <w:rsid w:val="009E2E8E"/>
    <w:rsid w:val="009E40E1"/>
    <w:rsid w:val="009F0498"/>
    <w:rsid w:val="009F0ADB"/>
    <w:rsid w:val="009F0EFA"/>
    <w:rsid w:val="009F0F02"/>
    <w:rsid w:val="009F4E46"/>
    <w:rsid w:val="009F5B65"/>
    <w:rsid w:val="009F5F2E"/>
    <w:rsid w:val="00A00D24"/>
    <w:rsid w:val="00A01432"/>
    <w:rsid w:val="00A055E2"/>
    <w:rsid w:val="00A05BFC"/>
    <w:rsid w:val="00A06225"/>
    <w:rsid w:val="00A06AE0"/>
    <w:rsid w:val="00A07EA5"/>
    <w:rsid w:val="00A110D1"/>
    <w:rsid w:val="00A114AD"/>
    <w:rsid w:val="00A12587"/>
    <w:rsid w:val="00A128E6"/>
    <w:rsid w:val="00A144D3"/>
    <w:rsid w:val="00A15B51"/>
    <w:rsid w:val="00A179C0"/>
    <w:rsid w:val="00A22AC3"/>
    <w:rsid w:val="00A23F3F"/>
    <w:rsid w:val="00A24067"/>
    <w:rsid w:val="00A24A4B"/>
    <w:rsid w:val="00A26835"/>
    <w:rsid w:val="00A271CB"/>
    <w:rsid w:val="00A2744D"/>
    <w:rsid w:val="00A302A8"/>
    <w:rsid w:val="00A30D16"/>
    <w:rsid w:val="00A31E11"/>
    <w:rsid w:val="00A336B4"/>
    <w:rsid w:val="00A34E6C"/>
    <w:rsid w:val="00A34FD0"/>
    <w:rsid w:val="00A36398"/>
    <w:rsid w:val="00A37A5E"/>
    <w:rsid w:val="00A37C8D"/>
    <w:rsid w:val="00A4020E"/>
    <w:rsid w:val="00A408E8"/>
    <w:rsid w:val="00A4097B"/>
    <w:rsid w:val="00A40FB5"/>
    <w:rsid w:val="00A42826"/>
    <w:rsid w:val="00A429B3"/>
    <w:rsid w:val="00A43DBE"/>
    <w:rsid w:val="00A44EC1"/>
    <w:rsid w:val="00A45039"/>
    <w:rsid w:val="00A5037D"/>
    <w:rsid w:val="00A510E4"/>
    <w:rsid w:val="00A5273B"/>
    <w:rsid w:val="00A53A9D"/>
    <w:rsid w:val="00A55FEE"/>
    <w:rsid w:val="00A57422"/>
    <w:rsid w:val="00A57724"/>
    <w:rsid w:val="00A60ECE"/>
    <w:rsid w:val="00A61135"/>
    <w:rsid w:val="00A62C1A"/>
    <w:rsid w:val="00A6426D"/>
    <w:rsid w:val="00A65BA6"/>
    <w:rsid w:val="00A665C1"/>
    <w:rsid w:val="00A673A4"/>
    <w:rsid w:val="00A7001A"/>
    <w:rsid w:val="00A70622"/>
    <w:rsid w:val="00A70977"/>
    <w:rsid w:val="00A70D58"/>
    <w:rsid w:val="00A74065"/>
    <w:rsid w:val="00A744F9"/>
    <w:rsid w:val="00A75B62"/>
    <w:rsid w:val="00A77613"/>
    <w:rsid w:val="00A77B87"/>
    <w:rsid w:val="00A81851"/>
    <w:rsid w:val="00A8390C"/>
    <w:rsid w:val="00A86AE0"/>
    <w:rsid w:val="00A91362"/>
    <w:rsid w:val="00A9151C"/>
    <w:rsid w:val="00A919C6"/>
    <w:rsid w:val="00A91AA3"/>
    <w:rsid w:val="00A928BD"/>
    <w:rsid w:val="00A93402"/>
    <w:rsid w:val="00A94E81"/>
    <w:rsid w:val="00A97719"/>
    <w:rsid w:val="00A97DE9"/>
    <w:rsid w:val="00AA0FED"/>
    <w:rsid w:val="00AA12CD"/>
    <w:rsid w:val="00AA43D4"/>
    <w:rsid w:val="00AA4D1C"/>
    <w:rsid w:val="00AA52FD"/>
    <w:rsid w:val="00AA7006"/>
    <w:rsid w:val="00AA7295"/>
    <w:rsid w:val="00AB2A6A"/>
    <w:rsid w:val="00AB4684"/>
    <w:rsid w:val="00AB5856"/>
    <w:rsid w:val="00AC081D"/>
    <w:rsid w:val="00AC0CDC"/>
    <w:rsid w:val="00AC193C"/>
    <w:rsid w:val="00AC30C1"/>
    <w:rsid w:val="00AC4DE5"/>
    <w:rsid w:val="00AC5206"/>
    <w:rsid w:val="00AD3106"/>
    <w:rsid w:val="00AD383F"/>
    <w:rsid w:val="00AD4322"/>
    <w:rsid w:val="00AD69A5"/>
    <w:rsid w:val="00AD6C1B"/>
    <w:rsid w:val="00AE0BA0"/>
    <w:rsid w:val="00AE11A5"/>
    <w:rsid w:val="00AE1369"/>
    <w:rsid w:val="00AE13E2"/>
    <w:rsid w:val="00AE22D3"/>
    <w:rsid w:val="00AE5A49"/>
    <w:rsid w:val="00AF0DC7"/>
    <w:rsid w:val="00AF11D8"/>
    <w:rsid w:val="00AF2CDC"/>
    <w:rsid w:val="00AF34DA"/>
    <w:rsid w:val="00AF5867"/>
    <w:rsid w:val="00AF62DF"/>
    <w:rsid w:val="00AF68CC"/>
    <w:rsid w:val="00AF6E4F"/>
    <w:rsid w:val="00AF70D7"/>
    <w:rsid w:val="00B00CD0"/>
    <w:rsid w:val="00B00E7F"/>
    <w:rsid w:val="00B01FF4"/>
    <w:rsid w:val="00B02490"/>
    <w:rsid w:val="00B0326D"/>
    <w:rsid w:val="00B04C62"/>
    <w:rsid w:val="00B06478"/>
    <w:rsid w:val="00B07533"/>
    <w:rsid w:val="00B07CFB"/>
    <w:rsid w:val="00B1059E"/>
    <w:rsid w:val="00B10E6C"/>
    <w:rsid w:val="00B14A36"/>
    <w:rsid w:val="00B15C62"/>
    <w:rsid w:val="00B16273"/>
    <w:rsid w:val="00B170A5"/>
    <w:rsid w:val="00B1725F"/>
    <w:rsid w:val="00B176C8"/>
    <w:rsid w:val="00B17EE5"/>
    <w:rsid w:val="00B205AA"/>
    <w:rsid w:val="00B22E84"/>
    <w:rsid w:val="00B233AD"/>
    <w:rsid w:val="00B23E25"/>
    <w:rsid w:val="00B25F75"/>
    <w:rsid w:val="00B26127"/>
    <w:rsid w:val="00B26B3F"/>
    <w:rsid w:val="00B27270"/>
    <w:rsid w:val="00B2778F"/>
    <w:rsid w:val="00B3002D"/>
    <w:rsid w:val="00B327E2"/>
    <w:rsid w:val="00B33635"/>
    <w:rsid w:val="00B347EC"/>
    <w:rsid w:val="00B41B9C"/>
    <w:rsid w:val="00B42AF4"/>
    <w:rsid w:val="00B43E90"/>
    <w:rsid w:val="00B44308"/>
    <w:rsid w:val="00B45722"/>
    <w:rsid w:val="00B467DC"/>
    <w:rsid w:val="00B51E22"/>
    <w:rsid w:val="00B5392A"/>
    <w:rsid w:val="00B54BD6"/>
    <w:rsid w:val="00B56118"/>
    <w:rsid w:val="00B566E1"/>
    <w:rsid w:val="00B602F6"/>
    <w:rsid w:val="00B64DF1"/>
    <w:rsid w:val="00B6773F"/>
    <w:rsid w:val="00B707BF"/>
    <w:rsid w:val="00B70BD5"/>
    <w:rsid w:val="00B70EB3"/>
    <w:rsid w:val="00B72906"/>
    <w:rsid w:val="00B744B7"/>
    <w:rsid w:val="00B74F48"/>
    <w:rsid w:val="00B7525E"/>
    <w:rsid w:val="00B75B90"/>
    <w:rsid w:val="00B760FB"/>
    <w:rsid w:val="00B76765"/>
    <w:rsid w:val="00B767AB"/>
    <w:rsid w:val="00B77AA2"/>
    <w:rsid w:val="00B801BA"/>
    <w:rsid w:val="00B812D6"/>
    <w:rsid w:val="00B81B2D"/>
    <w:rsid w:val="00B833B6"/>
    <w:rsid w:val="00B84D5C"/>
    <w:rsid w:val="00B854A0"/>
    <w:rsid w:val="00B85AF6"/>
    <w:rsid w:val="00B869AB"/>
    <w:rsid w:val="00B95309"/>
    <w:rsid w:val="00B956ED"/>
    <w:rsid w:val="00B95F69"/>
    <w:rsid w:val="00B9748A"/>
    <w:rsid w:val="00BA2DA8"/>
    <w:rsid w:val="00BA347C"/>
    <w:rsid w:val="00BA5177"/>
    <w:rsid w:val="00BA6C5D"/>
    <w:rsid w:val="00BA7685"/>
    <w:rsid w:val="00BB298A"/>
    <w:rsid w:val="00BB3469"/>
    <w:rsid w:val="00BB5C49"/>
    <w:rsid w:val="00BB6240"/>
    <w:rsid w:val="00BB6285"/>
    <w:rsid w:val="00BB69F5"/>
    <w:rsid w:val="00BB6B5A"/>
    <w:rsid w:val="00BB7A66"/>
    <w:rsid w:val="00BB7EC3"/>
    <w:rsid w:val="00BC04B1"/>
    <w:rsid w:val="00BC1CAD"/>
    <w:rsid w:val="00BC470E"/>
    <w:rsid w:val="00BC4B9A"/>
    <w:rsid w:val="00BC5764"/>
    <w:rsid w:val="00BD02C3"/>
    <w:rsid w:val="00BD2A07"/>
    <w:rsid w:val="00BD7483"/>
    <w:rsid w:val="00BD7612"/>
    <w:rsid w:val="00BD76F6"/>
    <w:rsid w:val="00BD784C"/>
    <w:rsid w:val="00BE020A"/>
    <w:rsid w:val="00BE050F"/>
    <w:rsid w:val="00BE13DF"/>
    <w:rsid w:val="00BE25D7"/>
    <w:rsid w:val="00BE3746"/>
    <w:rsid w:val="00BE50C2"/>
    <w:rsid w:val="00BE7050"/>
    <w:rsid w:val="00BF092C"/>
    <w:rsid w:val="00BF27A0"/>
    <w:rsid w:val="00BF4CB6"/>
    <w:rsid w:val="00BF6CBD"/>
    <w:rsid w:val="00C00DA7"/>
    <w:rsid w:val="00C048E3"/>
    <w:rsid w:val="00C04CDE"/>
    <w:rsid w:val="00C068A6"/>
    <w:rsid w:val="00C12768"/>
    <w:rsid w:val="00C12D70"/>
    <w:rsid w:val="00C12E8A"/>
    <w:rsid w:val="00C152C5"/>
    <w:rsid w:val="00C15D3D"/>
    <w:rsid w:val="00C16724"/>
    <w:rsid w:val="00C172CF"/>
    <w:rsid w:val="00C21B09"/>
    <w:rsid w:val="00C2673A"/>
    <w:rsid w:val="00C27B58"/>
    <w:rsid w:val="00C27C1C"/>
    <w:rsid w:val="00C33186"/>
    <w:rsid w:val="00C35996"/>
    <w:rsid w:val="00C36864"/>
    <w:rsid w:val="00C46430"/>
    <w:rsid w:val="00C4747E"/>
    <w:rsid w:val="00C47FD2"/>
    <w:rsid w:val="00C5151E"/>
    <w:rsid w:val="00C5332C"/>
    <w:rsid w:val="00C5342C"/>
    <w:rsid w:val="00C53615"/>
    <w:rsid w:val="00C53B2B"/>
    <w:rsid w:val="00C57465"/>
    <w:rsid w:val="00C60272"/>
    <w:rsid w:val="00C603D4"/>
    <w:rsid w:val="00C61C72"/>
    <w:rsid w:val="00C6256A"/>
    <w:rsid w:val="00C63315"/>
    <w:rsid w:val="00C64EBC"/>
    <w:rsid w:val="00C66428"/>
    <w:rsid w:val="00C664D2"/>
    <w:rsid w:val="00C708AB"/>
    <w:rsid w:val="00C710E2"/>
    <w:rsid w:val="00C71C3F"/>
    <w:rsid w:val="00C7263C"/>
    <w:rsid w:val="00C7409E"/>
    <w:rsid w:val="00C74612"/>
    <w:rsid w:val="00C74D6D"/>
    <w:rsid w:val="00C76E76"/>
    <w:rsid w:val="00C77891"/>
    <w:rsid w:val="00C829A9"/>
    <w:rsid w:val="00C87B80"/>
    <w:rsid w:val="00C90330"/>
    <w:rsid w:val="00C91449"/>
    <w:rsid w:val="00C92D10"/>
    <w:rsid w:val="00C94A63"/>
    <w:rsid w:val="00C96EC0"/>
    <w:rsid w:val="00CA0941"/>
    <w:rsid w:val="00CA48D9"/>
    <w:rsid w:val="00CA620E"/>
    <w:rsid w:val="00CB0919"/>
    <w:rsid w:val="00CB0CF1"/>
    <w:rsid w:val="00CB0F03"/>
    <w:rsid w:val="00CB1193"/>
    <w:rsid w:val="00CB4767"/>
    <w:rsid w:val="00CB493D"/>
    <w:rsid w:val="00CB655B"/>
    <w:rsid w:val="00CC10BA"/>
    <w:rsid w:val="00CC3B97"/>
    <w:rsid w:val="00CD1CC2"/>
    <w:rsid w:val="00CD4176"/>
    <w:rsid w:val="00CD5FE8"/>
    <w:rsid w:val="00CD6257"/>
    <w:rsid w:val="00CD75BD"/>
    <w:rsid w:val="00CD7C0B"/>
    <w:rsid w:val="00CD7F5F"/>
    <w:rsid w:val="00CE10C4"/>
    <w:rsid w:val="00CE1703"/>
    <w:rsid w:val="00CE2343"/>
    <w:rsid w:val="00CE27B5"/>
    <w:rsid w:val="00CE4FE7"/>
    <w:rsid w:val="00CE6DAF"/>
    <w:rsid w:val="00CF241A"/>
    <w:rsid w:val="00CF410A"/>
    <w:rsid w:val="00CF7528"/>
    <w:rsid w:val="00CF7DE0"/>
    <w:rsid w:val="00CF7FDE"/>
    <w:rsid w:val="00D026E8"/>
    <w:rsid w:val="00D0321E"/>
    <w:rsid w:val="00D06707"/>
    <w:rsid w:val="00D069EB"/>
    <w:rsid w:val="00D07A8A"/>
    <w:rsid w:val="00D1072A"/>
    <w:rsid w:val="00D11199"/>
    <w:rsid w:val="00D1455A"/>
    <w:rsid w:val="00D14A70"/>
    <w:rsid w:val="00D172A0"/>
    <w:rsid w:val="00D17A95"/>
    <w:rsid w:val="00D207EA"/>
    <w:rsid w:val="00D2206C"/>
    <w:rsid w:val="00D22093"/>
    <w:rsid w:val="00D22E70"/>
    <w:rsid w:val="00D24EA7"/>
    <w:rsid w:val="00D25E87"/>
    <w:rsid w:val="00D31150"/>
    <w:rsid w:val="00D3138B"/>
    <w:rsid w:val="00D31FCE"/>
    <w:rsid w:val="00D3280C"/>
    <w:rsid w:val="00D3406A"/>
    <w:rsid w:val="00D40B11"/>
    <w:rsid w:val="00D412E3"/>
    <w:rsid w:val="00D429EC"/>
    <w:rsid w:val="00D441F1"/>
    <w:rsid w:val="00D4572C"/>
    <w:rsid w:val="00D469B2"/>
    <w:rsid w:val="00D52B24"/>
    <w:rsid w:val="00D54B09"/>
    <w:rsid w:val="00D5582A"/>
    <w:rsid w:val="00D6243E"/>
    <w:rsid w:val="00D65658"/>
    <w:rsid w:val="00D67529"/>
    <w:rsid w:val="00D67EB2"/>
    <w:rsid w:val="00D70349"/>
    <w:rsid w:val="00D7235D"/>
    <w:rsid w:val="00D72A67"/>
    <w:rsid w:val="00D72B6F"/>
    <w:rsid w:val="00D7392E"/>
    <w:rsid w:val="00D741EB"/>
    <w:rsid w:val="00D7679C"/>
    <w:rsid w:val="00D820F3"/>
    <w:rsid w:val="00D83605"/>
    <w:rsid w:val="00D84934"/>
    <w:rsid w:val="00D84C9E"/>
    <w:rsid w:val="00D866EB"/>
    <w:rsid w:val="00D86AEB"/>
    <w:rsid w:val="00D8773C"/>
    <w:rsid w:val="00D87D1A"/>
    <w:rsid w:val="00D91271"/>
    <w:rsid w:val="00D919F5"/>
    <w:rsid w:val="00D92E34"/>
    <w:rsid w:val="00D93308"/>
    <w:rsid w:val="00D94003"/>
    <w:rsid w:val="00D945F6"/>
    <w:rsid w:val="00D94F03"/>
    <w:rsid w:val="00D95161"/>
    <w:rsid w:val="00D9730D"/>
    <w:rsid w:val="00DA0560"/>
    <w:rsid w:val="00DA0A82"/>
    <w:rsid w:val="00DA0D14"/>
    <w:rsid w:val="00DA1FC9"/>
    <w:rsid w:val="00DA207F"/>
    <w:rsid w:val="00DA2CB5"/>
    <w:rsid w:val="00DA4BAC"/>
    <w:rsid w:val="00DB0151"/>
    <w:rsid w:val="00DB04D7"/>
    <w:rsid w:val="00DB1327"/>
    <w:rsid w:val="00DB50E1"/>
    <w:rsid w:val="00DB72CD"/>
    <w:rsid w:val="00DC0566"/>
    <w:rsid w:val="00DC05E1"/>
    <w:rsid w:val="00DC1499"/>
    <w:rsid w:val="00DC2C0D"/>
    <w:rsid w:val="00DC2C3E"/>
    <w:rsid w:val="00DC3137"/>
    <w:rsid w:val="00DC4880"/>
    <w:rsid w:val="00DD1CDA"/>
    <w:rsid w:val="00DD26F9"/>
    <w:rsid w:val="00DD42AB"/>
    <w:rsid w:val="00DE06AF"/>
    <w:rsid w:val="00DE1665"/>
    <w:rsid w:val="00DE30C5"/>
    <w:rsid w:val="00DE6D27"/>
    <w:rsid w:val="00DF01F8"/>
    <w:rsid w:val="00DF021D"/>
    <w:rsid w:val="00DF14EE"/>
    <w:rsid w:val="00DF217D"/>
    <w:rsid w:val="00DF26A7"/>
    <w:rsid w:val="00DF3277"/>
    <w:rsid w:val="00DF4033"/>
    <w:rsid w:val="00DF4D47"/>
    <w:rsid w:val="00DF5A9B"/>
    <w:rsid w:val="00DF5D4B"/>
    <w:rsid w:val="00DF6A31"/>
    <w:rsid w:val="00DF77A1"/>
    <w:rsid w:val="00DF7919"/>
    <w:rsid w:val="00E0207E"/>
    <w:rsid w:val="00E02AE6"/>
    <w:rsid w:val="00E03912"/>
    <w:rsid w:val="00E04748"/>
    <w:rsid w:val="00E06C27"/>
    <w:rsid w:val="00E078D9"/>
    <w:rsid w:val="00E10293"/>
    <w:rsid w:val="00E103A0"/>
    <w:rsid w:val="00E1043F"/>
    <w:rsid w:val="00E11F44"/>
    <w:rsid w:val="00E13E60"/>
    <w:rsid w:val="00E15627"/>
    <w:rsid w:val="00E15A79"/>
    <w:rsid w:val="00E164B3"/>
    <w:rsid w:val="00E16910"/>
    <w:rsid w:val="00E17592"/>
    <w:rsid w:val="00E239E2"/>
    <w:rsid w:val="00E24E09"/>
    <w:rsid w:val="00E27234"/>
    <w:rsid w:val="00E27B39"/>
    <w:rsid w:val="00E31B2B"/>
    <w:rsid w:val="00E3495C"/>
    <w:rsid w:val="00E42BDB"/>
    <w:rsid w:val="00E56B96"/>
    <w:rsid w:val="00E5726D"/>
    <w:rsid w:val="00E57EEB"/>
    <w:rsid w:val="00E62D94"/>
    <w:rsid w:val="00E62ECC"/>
    <w:rsid w:val="00E64F37"/>
    <w:rsid w:val="00E65091"/>
    <w:rsid w:val="00E65E54"/>
    <w:rsid w:val="00E661C7"/>
    <w:rsid w:val="00E66F25"/>
    <w:rsid w:val="00E721CF"/>
    <w:rsid w:val="00E732C4"/>
    <w:rsid w:val="00E741F8"/>
    <w:rsid w:val="00E74E41"/>
    <w:rsid w:val="00E750E3"/>
    <w:rsid w:val="00E80155"/>
    <w:rsid w:val="00E8044F"/>
    <w:rsid w:val="00E8134B"/>
    <w:rsid w:val="00E81B3B"/>
    <w:rsid w:val="00E81E0D"/>
    <w:rsid w:val="00E81F28"/>
    <w:rsid w:val="00E82695"/>
    <w:rsid w:val="00E83C7C"/>
    <w:rsid w:val="00E848C0"/>
    <w:rsid w:val="00E84BB8"/>
    <w:rsid w:val="00E86F92"/>
    <w:rsid w:val="00E91B4A"/>
    <w:rsid w:val="00E91B96"/>
    <w:rsid w:val="00E92882"/>
    <w:rsid w:val="00E935DA"/>
    <w:rsid w:val="00E93D1E"/>
    <w:rsid w:val="00E941A1"/>
    <w:rsid w:val="00E95CE3"/>
    <w:rsid w:val="00E95F9A"/>
    <w:rsid w:val="00EA0856"/>
    <w:rsid w:val="00EA23D9"/>
    <w:rsid w:val="00EA252F"/>
    <w:rsid w:val="00EA2825"/>
    <w:rsid w:val="00EA6518"/>
    <w:rsid w:val="00EA7184"/>
    <w:rsid w:val="00EA71A2"/>
    <w:rsid w:val="00EA7466"/>
    <w:rsid w:val="00EA7EDE"/>
    <w:rsid w:val="00EB0B63"/>
    <w:rsid w:val="00EB127B"/>
    <w:rsid w:val="00EB1936"/>
    <w:rsid w:val="00EB2A35"/>
    <w:rsid w:val="00EB3545"/>
    <w:rsid w:val="00EB37BE"/>
    <w:rsid w:val="00EB4125"/>
    <w:rsid w:val="00EB4BAE"/>
    <w:rsid w:val="00EB5088"/>
    <w:rsid w:val="00EB7210"/>
    <w:rsid w:val="00EC00D3"/>
    <w:rsid w:val="00EC2726"/>
    <w:rsid w:val="00EC6333"/>
    <w:rsid w:val="00EC681C"/>
    <w:rsid w:val="00ED1644"/>
    <w:rsid w:val="00ED2593"/>
    <w:rsid w:val="00ED3709"/>
    <w:rsid w:val="00ED4566"/>
    <w:rsid w:val="00ED7D55"/>
    <w:rsid w:val="00ED7D9C"/>
    <w:rsid w:val="00EE28E5"/>
    <w:rsid w:val="00EE31A2"/>
    <w:rsid w:val="00EE4B39"/>
    <w:rsid w:val="00EE5BB0"/>
    <w:rsid w:val="00EE5FA8"/>
    <w:rsid w:val="00EF0069"/>
    <w:rsid w:val="00EF0337"/>
    <w:rsid w:val="00EF381B"/>
    <w:rsid w:val="00EF44A0"/>
    <w:rsid w:val="00EF4580"/>
    <w:rsid w:val="00EF4FED"/>
    <w:rsid w:val="00EF5F45"/>
    <w:rsid w:val="00EF6843"/>
    <w:rsid w:val="00EF6FB3"/>
    <w:rsid w:val="00EF7C54"/>
    <w:rsid w:val="00F004E2"/>
    <w:rsid w:val="00F0068B"/>
    <w:rsid w:val="00F007C6"/>
    <w:rsid w:val="00F0172E"/>
    <w:rsid w:val="00F050BD"/>
    <w:rsid w:val="00F05657"/>
    <w:rsid w:val="00F05AB0"/>
    <w:rsid w:val="00F05C0E"/>
    <w:rsid w:val="00F068F9"/>
    <w:rsid w:val="00F12C74"/>
    <w:rsid w:val="00F1559A"/>
    <w:rsid w:val="00F17524"/>
    <w:rsid w:val="00F17ED6"/>
    <w:rsid w:val="00F20676"/>
    <w:rsid w:val="00F209E2"/>
    <w:rsid w:val="00F209F0"/>
    <w:rsid w:val="00F25578"/>
    <w:rsid w:val="00F258E5"/>
    <w:rsid w:val="00F25B9C"/>
    <w:rsid w:val="00F2675A"/>
    <w:rsid w:val="00F26CC6"/>
    <w:rsid w:val="00F275C0"/>
    <w:rsid w:val="00F300BC"/>
    <w:rsid w:val="00F30E63"/>
    <w:rsid w:val="00F3263C"/>
    <w:rsid w:val="00F32CEF"/>
    <w:rsid w:val="00F3334E"/>
    <w:rsid w:val="00F36CCB"/>
    <w:rsid w:val="00F374E5"/>
    <w:rsid w:val="00F37B93"/>
    <w:rsid w:val="00F37BAD"/>
    <w:rsid w:val="00F37ECA"/>
    <w:rsid w:val="00F37FCE"/>
    <w:rsid w:val="00F40A1C"/>
    <w:rsid w:val="00F43AF2"/>
    <w:rsid w:val="00F44F0E"/>
    <w:rsid w:val="00F45216"/>
    <w:rsid w:val="00F4524C"/>
    <w:rsid w:val="00F47EC8"/>
    <w:rsid w:val="00F5007E"/>
    <w:rsid w:val="00F50EC4"/>
    <w:rsid w:val="00F5199B"/>
    <w:rsid w:val="00F52232"/>
    <w:rsid w:val="00F52DC2"/>
    <w:rsid w:val="00F550CF"/>
    <w:rsid w:val="00F553D2"/>
    <w:rsid w:val="00F56E57"/>
    <w:rsid w:val="00F572F9"/>
    <w:rsid w:val="00F57A6D"/>
    <w:rsid w:val="00F57C90"/>
    <w:rsid w:val="00F6044B"/>
    <w:rsid w:val="00F62F19"/>
    <w:rsid w:val="00F638CC"/>
    <w:rsid w:val="00F64C9E"/>
    <w:rsid w:val="00F64CC1"/>
    <w:rsid w:val="00F663AD"/>
    <w:rsid w:val="00F72317"/>
    <w:rsid w:val="00F72717"/>
    <w:rsid w:val="00F73DC1"/>
    <w:rsid w:val="00F74919"/>
    <w:rsid w:val="00F75BB8"/>
    <w:rsid w:val="00F77714"/>
    <w:rsid w:val="00F80475"/>
    <w:rsid w:val="00F8078D"/>
    <w:rsid w:val="00F80E6E"/>
    <w:rsid w:val="00F81390"/>
    <w:rsid w:val="00F81F7A"/>
    <w:rsid w:val="00F8247A"/>
    <w:rsid w:val="00F82E5C"/>
    <w:rsid w:val="00F83F58"/>
    <w:rsid w:val="00F85206"/>
    <w:rsid w:val="00F87CEA"/>
    <w:rsid w:val="00F87EC6"/>
    <w:rsid w:val="00F9629A"/>
    <w:rsid w:val="00F97017"/>
    <w:rsid w:val="00F97EFC"/>
    <w:rsid w:val="00FA0B04"/>
    <w:rsid w:val="00FA0C7C"/>
    <w:rsid w:val="00FA1BDD"/>
    <w:rsid w:val="00FA305C"/>
    <w:rsid w:val="00FA462E"/>
    <w:rsid w:val="00FA4DD5"/>
    <w:rsid w:val="00FA4F6B"/>
    <w:rsid w:val="00FA5883"/>
    <w:rsid w:val="00FA6055"/>
    <w:rsid w:val="00FB0483"/>
    <w:rsid w:val="00FB0B39"/>
    <w:rsid w:val="00FB322F"/>
    <w:rsid w:val="00FB33A8"/>
    <w:rsid w:val="00FB421E"/>
    <w:rsid w:val="00FB442F"/>
    <w:rsid w:val="00FB4FB9"/>
    <w:rsid w:val="00FC118C"/>
    <w:rsid w:val="00FC1929"/>
    <w:rsid w:val="00FC5B46"/>
    <w:rsid w:val="00FC7A5F"/>
    <w:rsid w:val="00FD0FAA"/>
    <w:rsid w:val="00FD1D4F"/>
    <w:rsid w:val="00FD24BF"/>
    <w:rsid w:val="00FD3641"/>
    <w:rsid w:val="00FD3B6E"/>
    <w:rsid w:val="00FD57EB"/>
    <w:rsid w:val="00FD6D8E"/>
    <w:rsid w:val="00FE0663"/>
    <w:rsid w:val="00FE0E94"/>
    <w:rsid w:val="00FE369C"/>
    <w:rsid w:val="00FE3934"/>
    <w:rsid w:val="00FE3CD9"/>
    <w:rsid w:val="00FE50EE"/>
    <w:rsid w:val="00FF00BD"/>
    <w:rsid w:val="00FF0B13"/>
    <w:rsid w:val="00FF190B"/>
    <w:rsid w:val="00FF1ED4"/>
    <w:rsid w:val="00FF2801"/>
    <w:rsid w:val="00FF3656"/>
    <w:rsid w:val="00FF42C3"/>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59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3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1F3F3E"/>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1F3F3E"/>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
    <w:next w:val="ListBullet"/>
    <w:link w:val="ListParagraphChar"/>
    <w:uiPriority w:val="72"/>
    <w:qFormat/>
    <w:rsid w:val="001F3F3E"/>
    <w:pPr>
      <w:numPr>
        <w:numId w:val="8"/>
      </w:numPr>
      <w:spacing w:after="120"/>
      <w:ind w:left="1134" w:hanging="284"/>
    </w:pPr>
    <w:rPr>
      <w:rFonts w:asciiTheme="minorHAnsi" w:eastAsiaTheme="minorHAnsi" w:hAnsiTheme="minorHAnsi" w:cs="Arial"/>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1F3F3E"/>
    <w:rPr>
      <w:rFonts w:asciiTheme="minorHAnsi" w:eastAsiaTheme="minorHAnsi" w:hAnsiTheme="minorHAnsi" w:cs="Arial"/>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eastAsiaTheme="minorHAnsi" w:hAnsiTheme="minorHAnsi" w:cs="Arial"/>
      <w:b/>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cstheme="minorBidi"/>
      <w:snapToGrid w:val="0"/>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val="0"/>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1F3F3E"/>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1F3F3E"/>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val="0"/>
      <w:sz w:val="24"/>
      <w:szCs w:val="22"/>
    </w:rPr>
  </w:style>
  <w:style w:type="paragraph" w:customStyle="1" w:styleId="Bulletpoints">
    <w:name w:val="Bullet points"/>
    <w:basedOn w:val="ListParagraph"/>
    <w:qFormat/>
    <w:rsid w:val="00FA305C"/>
    <w:pPr>
      <w:ind w:left="1440" w:hanging="36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Source Caption,Caption PHMR,Caption for Figures and Tables,TabFig title/caption,Caption_Source"/>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1F3F3E"/>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1F3F3E"/>
    <w:pPr>
      <w:keepNext/>
    </w:pPr>
    <w:rPr>
      <w:rFonts w:ascii="Arial Narrow" w:eastAsiaTheme="majorEastAsia" w:hAnsi="Arial Narrow"/>
      <w:b/>
      <w:szCs w:val="24"/>
      <w:lang w:val="en-US"/>
    </w:rPr>
  </w:style>
  <w:style w:type="paragraph" w:customStyle="1" w:styleId="2-SectionHeading">
    <w:name w:val="2-Section Heading"/>
    <w:qFormat/>
    <w:rsid w:val="001F3F3E"/>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1F3F3E"/>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1F3F3E"/>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1F3F3E"/>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1F3F3E"/>
    <w:rPr>
      <w:rFonts w:ascii="Arial Narrow" w:eastAsiaTheme="majorEastAsia" w:hAnsi="Arial Narrow" w:cstheme="majorBidi"/>
      <w:b/>
      <w:bCs/>
      <w:szCs w:val="24"/>
    </w:rPr>
  </w:style>
  <w:style w:type="paragraph" w:customStyle="1" w:styleId="3-BodyText">
    <w:name w:val="3-Body Text"/>
    <w:link w:val="3-BodyTextChar"/>
    <w:qFormat/>
    <w:rsid w:val="001F3F3E"/>
    <w:pPr>
      <w:numPr>
        <w:ilvl w:val="1"/>
        <w:numId w:val="9"/>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1F3F3E"/>
    <w:rPr>
      <w:rFonts w:asciiTheme="minorHAnsi" w:eastAsiaTheme="minorHAnsi" w:hAnsiTheme="minorHAnsi" w:cstheme="minorBidi"/>
      <w:sz w:val="24"/>
      <w:szCs w:val="22"/>
    </w:rPr>
  </w:style>
  <w:style w:type="paragraph" w:customStyle="1" w:styleId="PageFooter">
    <w:name w:val="Page Footer"/>
    <w:basedOn w:val="Normal"/>
    <w:link w:val="PageFooterChar"/>
    <w:qFormat/>
    <w:rsid w:val="001F3F3E"/>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1F3F3E"/>
    <w:rPr>
      <w:rFonts w:ascii="Calibri" w:hAnsi="Calibri" w:cs="Arial"/>
      <w:b/>
      <w:sz w:val="24"/>
      <w:szCs w:val="24"/>
    </w:rPr>
  </w:style>
  <w:style w:type="paragraph" w:customStyle="1" w:styleId="TableFigureFooter">
    <w:name w:val="Table/Figure Footer"/>
    <w:basedOn w:val="Normal"/>
    <w:link w:val="TableFigureFooterChar"/>
    <w:qFormat/>
    <w:rsid w:val="001F3F3E"/>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1F3F3E"/>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1F3F3E"/>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1F3F3E"/>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1F3F3E"/>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1F3F3E"/>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CaptionChar">
    <w:name w:val="Caption Char"/>
    <w:aliases w:val="Source Caption Char,Caption PHMR Char,Caption for Figures and Tables Char,TabFig title/caption Char,Caption_Source Char"/>
    <w:basedOn w:val="DefaultParagraphFont"/>
    <w:link w:val="Caption"/>
    <w:uiPriority w:val="35"/>
    <w:rsid w:val="009F0F02"/>
    <w:rPr>
      <w:rFonts w:ascii="Calibri" w:hAnsi="Calibri"/>
      <w:i/>
      <w:iCs/>
      <w:color w:val="000000" w:themeColor="text1"/>
      <w:sz w:val="18"/>
      <w:szCs w:val="18"/>
    </w:rPr>
  </w:style>
  <w:style w:type="paragraph" w:styleId="NormalWeb">
    <w:name w:val="Normal (Web)"/>
    <w:basedOn w:val="Normal"/>
    <w:uiPriority w:val="99"/>
    <w:semiHidden/>
    <w:unhideWhenUsed/>
    <w:rsid w:val="007369CB"/>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100277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57363861">
      <w:bodyDiv w:val="1"/>
      <w:marLeft w:val="0"/>
      <w:marRight w:val="0"/>
      <w:marTop w:val="0"/>
      <w:marBottom w:val="0"/>
      <w:divBdr>
        <w:top w:val="none" w:sz="0" w:space="0" w:color="auto"/>
        <w:left w:val="none" w:sz="0" w:space="0" w:color="auto"/>
        <w:bottom w:val="none" w:sz="0" w:space="0" w:color="auto"/>
        <w:right w:val="none" w:sz="0" w:space="0" w:color="auto"/>
      </w:divBdr>
    </w:div>
    <w:div w:id="79260339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6937759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1625579">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215344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3622214">
      <w:bodyDiv w:val="1"/>
      <w:marLeft w:val="0"/>
      <w:marRight w:val="0"/>
      <w:marTop w:val="0"/>
      <w:marBottom w:val="0"/>
      <w:divBdr>
        <w:top w:val="none" w:sz="0" w:space="0" w:color="auto"/>
        <w:left w:val="none" w:sz="0" w:space="0" w:color="auto"/>
        <w:bottom w:val="none" w:sz="0" w:space="0" w:color="auto"/>
        <w:right w:val="none" w:sz="0" w:space="0" w:color="auto"/>
      </w:divBdr>
    </w:div>
    <w:div w:id="1831098596">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2295806">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869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ABFB-D90B-4D84-9C7D-41B5E50C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2866</Words>
  <Characters>14776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2022-03-15T01:20:00Z</dcterms:created>
  <dcterms:modified xsi:type="dcterms:W3CDTF">2022-03-15T01:20:00Z</dcterms:modified>
</cp:coreProperties>
</file>